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347E089E" w:rsidR="00EE10EB" w:rsidRDefault="17F3DDB3" w:rsidP="0D292004">
      <w:pPr>
        <w:rPr>
          <w:sz w:val="28"/>
          <w:szCs w:val="28"/>
          <w:u w:val="single"/>
        </w:rPr>
      </w:pPr>
      <w:r w:rsidRPr="0D292004">
        <w:rPr>
          <w:sz w:val="28"/>
          <w:szCs w:val="28"/>
          <w:u w:val="single"/>
        </w:rPr>
        <w:t>Reference list.</w:t>
      </w:r>
      <w:r w:rsidR="58876C06" w:rsidRPr="0D292004">
        <w:rPr>
          <w:sz w:val="28"/>
          <w:szCs w:val="28"/>
          <w:u w:val="single"/>
        </w:rPr>
        <w:t xml:space="preserve">  ECEY4003</w:t>
      </w:r>
    </w:p>
    <w:p w14:paraId="5A7E61D5" w14:textId="67368C63" w:rsidR="07C66C47" w:rsidRDefault="07C66C47" w:rsidP="0D292004">
      <w:pPr>
        <w:rPr>
          <w:sz w:val="28"/>
          <w:szCs w:val="28"/>
          <w:u w:val="single"/>
        </w:rPr>
      </w:pPr>
      <w:r w:rsidRPr="0D292004">
        <w:rPr>
          <w:sz w:val="28"/>
          <w:szCs w:val="28"/>
          <w:u w:val="single"/>
        </w:rPr>
        <w:t>Question 1</w:t>
      </w:r>
    </w:p>
    <w:p w14:paraId="34E01C09" w14:textId="2BBA5776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Bodrova, E. and Leong, D.J. (2007)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Tools of the mind: The Vygotskian approach to early childhood education</w:t>
      </w:r>
      <w:r w:rsidRPr="0D292004">
        <w:rPr>
          <w:rFonts w:ascii="Aptos" w:eastAsia="Aptos" w:hAnsi="Aptos" w:cs="Aptos"/>
          <w:sz w:val="28"/>
          <w:szCs w:val="28"/>
        </w:rPr>
        <w:t>. 2nd edn. Upper Saddle River, NJ: Pearson.</w:t>
      </w:r>
    </w:p>
    <w:p w14:paraId="217B2659" w14:textId="2ED10DDC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Bruner, J.S. (1966)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Toward a theory of instruction</w:t>
      </w:r>
      <w:r w:rsidRPr="0D292004">
        <w:rPr>
          <w:rFonts w:ascii="Aptos" w:eastAsia="Aptos" w:hAnsi="Aptos" w:cs="Aptos"/>
          <w:sz w:val="28"/>
          <w:szCs w:val="28"/>
        </w:rPr>
        <w:t>. Cambridge, MA: Harvard University Press.</w:t>
      </w:r>
    </w:p>
    <w:p w14:paraId="17F03A7D" w14:textId="197B7F31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Brussoni, M., Gibbons, R., Gray, C., Ishikawa, T., Sandseter, E.B.H., Bienenstock, A., Chabot, G., Fuselli, P. and Janssen, I. (2015) ‘What is the relationship between risky outdoor play and health in children? A systematic review’,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International Journal of Environmental Research and Public Health</w:t>
      </w:r>
      <w:r w:rsidRPr="0D292004">
        <w:rPr>
          <w:rFonts w:ascii="Aptos" w:eastAsia="Aptos" w:hAnsi="Aptos" w:cs="Aptos"/>
          <w:sz w:val="28"/>
          <w:szCs w:val="28"/>
        </w:rPr>
        <w:t>, 12(6), pp. 6423–6454.</w:t>
      </w:r>
    </w:p>
    <w:p w14:paraId="71BC9A6C" w14:textId="4F641124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Froebel, F. (1887)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The education of man</w:t>
      </w:r>
      <w:r w:rsidRPr="0D292004">
        <w:rPr>
          <w:rFonts w:ascii="Aptos" w:eastAsia="Aptos" w:hAnsi="Aptos" w:cs="Aptos"/>
          <w:sz w:val="28"/>
          <w:szCs w:val="28"/>
        </w:rPr>
        <w:t>. New York: D. Appleton and Company.</w:t>
      </w:r>
    </w:p>
    <w:p w14:paraId="345DF957" w14:textId="013865BA" w:rsidR="26C311BC" w:rsidRDefault="26C311BC" w:rsidP="0D292004">
      <w:pPr>
        <w:spacing w:before="240" w:after="240"/>
        <w:rPr>
          <w:rFonts w:ascii="Aptos" w:eastAsia="Aptos" w:hAnsi="Aptos" w:cs="Aptos"/>
          <w:sz w:val="28"/>
          <w:szCs w:val="28"/>
        </w:rPr>
      </w:pPr>
      <w:r w:rsidRPr="0D292004">
        <w:rPr>
          <w:rFonts w:ascii="Aptos" w:eastAsia="Aptos" w:hAnsi="Aptos" w:cs="Aptos"/>
          <w:sz w:val="28"/>
          <w:szCs w:val="28"/>
        </w:rPr>
        <w:t xml:space="preserve">Hirsh-Pasek, K., Golinkoff, R.M., Berk, L.E. and Singer, D.G. (2015)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A mandate for playful learning in preschool: Presenting the evidence</w:t>
      </w:r>
      <w:r w:rsidRPr="0D292004">
        <w:rPr>
          <w:rFonts w:ascii="Aptos" w:eastAsia="Aptos" w:hAnsi="Aptos" w:cs="Aptos"/>
          <w:sz w:val="28"/>
          <w:szCs w:val="28"/>
        </w:rPr>
        <w:t>. Oxford: Oxford University Press.</w:t>
      </w:r>
    </w:p>
    <w:p w14:paraId="3D21B5BF" w14:textId="798B3EFF" w:rsidR="002178CB" w:rsidRDefault="00E37463" w:rsidP="0D292004">
      <w:pPr>
        <w:spacing w:before="240" w:after="240"/>
      </w:pPr>
      <w:r w:rsidRPr="00E37463">
        <w:t xml:space="preserve">Parten, M.B. (1932) ‘Social participation among preschool children’, </w:t>
      </w:r>
      <w:r w:rsidRPr="00E37463">
        <w:rPr>
          <w:i/>
          <w:iCs/>
        </w:rPr>
        <w:t>Journal of Abnormal and Social Psychology</w:t>
      </w:r>
      <w:r w:rsidRPr="00E37463">
        <w:t>, 27(3), pp. 243–269.</w:t>
      </w:r>
    </w:p>
    <w:p w14:paraId="36DD6C6F" w14:textId="236C3D06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Piaget, J. (1952)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The origins of intelligence in children</w:t>
      </w:r>
      <w:r w:rsidRPr="0D292004">
        <w:rPr>
          <w:rFonts w:ascii="Aptos" w:eastAsia="Aptos" w:hAnsi="Aptos" w:cs="Aptos"/>
          <w:sz w:val="28"/>
          <w:szCs w:val="28"/>
        </w:rPr>
        <w:t>. New York: International Universities Press.</w:t>
      </w:r>
    </w:p>
    <w:p w14:paraId="06128A1B" w14:textId="4DDE7247" w:rsidR="26C311BC" w:rsidRDefault="26C311BC" w:rsidP="0D292004">
      <w:pPr>
        <w:spacing w:before="240" w:after="240"/>
        <w:rPr>
          <w:rFonts w:ascii="Aptos" w:eastAsia="Aptos" w:hAnsi="Aptos" w:cs="Aptos"/>
          <w:sz w:val="28"/>
          <w:szCs w:val="28"/>
        </w:rPr>
      </w:pPr>
      <w:r w:rsidRPr="0D292004">
        <w:rPr>
          <w:rFonts w:ascii="Aptos" w:eastAsia="Aptos" w:hAnsi="Aptos" w:cs="Aptos"/>
          <w:sz w:val="28"/>
          <w:szCs w:val="28"/>
        </w:rPr>
        <w:t xml:space="preserve">Sitorus, R.W., Siregar, K.P. and Sari, R.I. (2025)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The role of play-based learning in early childhood development</w:t>
      </w:r>
      <w:r w:rsidRPr="0D292004">
        <w:rPr>
          <w:rFonts w:ascii="Aptos" w:eastAsia="Aptos" w:hAnsi="Aptos" w:cs="Aptos"/>
          <w:sz w:val="28"/>
          <w:szCs w:val="28"/>
        </w:rPr>
        <w:t xml:space="preserve">. </w:t>
      </w:r>
      <w:proofErr w:type="spellStart"/>
      <w:r w:rsidRPr="0D292004">
        <w:rPr>
          <w:rFonts w:ascii="Aptos" w:eastAsia="Aptos" w:hAnsi="Aptos" w:cs="Aptos"/>
          <w:sz w:val="28"/>
          <w:szCs w:val="28"/>
        </w:rPr>
        <w:t>Educia</w:t>
      </w:r>
      <w:proofErr w:type="spellEnd"/>
      <w:r w:rsidRPr="0D292004">
        <w:rPr>
          <w:rFonts w:ascii="Aptos" w:eastAsia="Aptos" w:hAnsi="Aptos" w:cs="Aptos"/>
          <w:sz w:val="28"/>
          <w:szCs w:val="28"/>
        </w:rPr>
        <w:t xml:space="preserve"> Journal.</w:t>
      </w:r>
    </w:p>
    <w:p w14:paraId="0C15E7A6" w14:textId="69D2F2A5" w:rsidR="00B34A8F" w:rsidRDefault="00B10C70" w:rsidP="0D292004">
      <w:pPr>
        <w:spacing w:before="240" w:after="240"/>
      </w:pPr>
      <w:r>
        <w:t>S</w:t>
      </w:r>
      <w:r w:rsidRPr="00B10C70">
        <w:t xml:space="preserve">mith, P.K. and Connolly, K. (2018) ‘Parten’s stages of play in the 21st century: An updated review’, </w:t>
      </w:r>
      <w:r w:rsidRPr="00B10C70">
        <w:rPr>
          <w:i/>
          <w:iCs/>
        </w:rPr>
        <w:t>International Journal of Early Years Education</w:t>
      </w:r>
      <w:r w:rsidRPr="00B10C70">
        <w:t>, 26(3), pp. 245–262</w:t>
      </w:r>
    </w:p>
    <w:p w14:paraId="04CA0A7A" w14:textId="049960EE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Vygotsky, L.S. (1978)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Mind in society: The development of higher psychological processes</w:t>
      </w:r>
      <w:r w:rsidRPr="0D292004">
        <w:rPr>
          <w:rFonts w:ascii="Aptos" w:eastAsia="Aptos" w:hAnsi="Aptos" w:cs="Aptos"/>
          <w:sz w:val="28"/>
          <w:szCs w:val="28"/>
        </w:rPr>
        <w:t>. Cambridge, MA: Harvard University Press.</w:t>
      </w:r>
    </w:p>
    <w:p w14:paraId="2031B7CE" w14:textId="0EE4C98F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lastRenderedPageBreak/>
        <w:t xml:space="preserve">Welsh Government (2023)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Early childhood play, learning and care in Wales: Quality framework and guidance for 0–5 years</w:t>
      </w:r>
      <w:r w:rsidRPr="0D292004">
        <w:rPr>
          <w:rFonts w:ascii="Aptos" w:eastAsia="Aptos" w:hAnsi="Aptos" w:cs="Aptos"/>
          <w:sz w:val="28"/>
          <w:szCs w:val="28"/>
        </w:rPr>
        <w:t xml:space="preserve">. Cardiff: Welsh Government. Available at: </w:t>
      </w:r>
      <w:hyperlink r:id="rId5">
        <w:r w:rsidRPr="0D292004">
          <w:rPr>
            <w:rStyle w:val="Hyperlink"/>
            <w:rFonts w:ascii="Aptos" w:eastAsia="Aptos" w:hAnsi="Aptos" w:cs="Aptos"/>
            <w:sz w:val="28"/>
            <w:szCs w:val="28"/>
          </w:rPr>
          <w:t>https://hwb.gov.wales</w:t>
        </w:r>
      </w:hyperlink>
      <w:r w:rsidRPr="0D292004">
        <w:rPr>
          <w:rFonts w:ascii="Aptos" w:eastAsia="Aptos" w:hAnsi="Aptos" w:cs="Aptos"/>
          <w:sz w:val="28"/>
          <w:szCs w:val="28"/>
        </w:rPr>
        <w:t xml:space="preserve"> (Accessed: 28 February 2026).</w:t>
      </w:r>
    </w:p>
    <w:p w14:paraId="0B23BDFD" w14:textId="0E505694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Whitebread, D., Basilio, M., Kuvalja, M. and Verma, M. (2012)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The importance of play: A report on the value of children’s play with a series of policy recommendations</w:t>
      </w:r>
      <w:r w:rsidRPr="0D292004">
        <w:rPr>
          <w:rFonts w:ascii="Aptos" w:eastAsia="Aptos" w:hAnsi="Aptos" w:cs="Aptos"/>
          <w:sz w:val="28"/>
          <w:szCs w:val="28"/>
        </w:rPr>
        <w:t>. Brussels: Toy Industries of Europe.</w:t>
      </w:r>
    </w:p>
    <w:p w14:paraId="217551BF" w14:textId="71207562" w:rsidR="26C311BC" w:rsidRDefault="26C311B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Zosh, J.M., Hopkins, E.J., Jensen, H., Liu, C., Neale, D., Hirsh-Pasek, K., Solis, S.L. and Whitebread, D. (2017)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Learning through play: A review of the evidence</w:t>
      </w:r>
      <w:r w:rsidRPr="0D292004">
        <w:rPr>
          <w:rFonts w:ascii="Aptos" w:eastAsia="Aptos" w:hAnsi="Aptos" w:cs="Aptos"/>
          <w:sz w:val="28"/>
          <w:szCs w:val="28"/>
        </w:rPr>
        <w:t>. Billund: The LEGO Foundation.</w:t>
      </w:r>
    </w:p>
    <w:p w14:paraId="597AF1A6" w14:textId="5E3514E9" w:rsidR="0C5B72D6" w:rsidRDefault="0C5B72D6" w:rsidP="0D292004">
      <w:pPr>
        <w:spacing w:before="240" w:after="240"/>
        <w:rPr>
          <w:rFonts w:ascii="Aptos" w:eastAsia="Aptos" w:hAnsi="Aptos" w:cs="Aptos"/>
          <w:sz w:val="28"/>
          <w:szCs w:val="28"/>
          <w:u w:val="single"/>
        </w:rPr>
      </w:pPr>
      <w:r w:rsidRPr="0D292004">
        <w:rPr>
          <w:rFonts w:ascii="Aptos" w:eastAsia="Aptos" w:hAnsi="Aptos" w:cs="Aptos"/>
          <w:sz w:val="28"/>
          <w:szCs w:val="28"/>
          <w:u w:val="single"/>
        </w:rPr>
        <w:t>Question 2</w:t>
      </w:r>
    </w:p>
    <w:p w14:paraId="66DB8DE0" w14:textId="7D348A92" w:rsidR="324045B3" w:rsidRDefault="324045B3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Barker, J.E., Semenov, A.D., Michaelson, L., Provan, L.S., Snyder, H.R. and Munakata, Y. (2018) ‘Less-structured time in children’s daily lives predicts self-directed executive functioning’,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Frontiers in Psychology</w:t>
      </w:r>
      <w:r w:rsidRPr="0D292004">
        <w:rPr>
          <w:rFonts w:ascii="Aptos" w:eastAsia="Aptos" w:hAnsi="Aptos" w:cs="Aptos"/>
          <w:sz w:val="28"/>
          <w:szCs w:val="28"/>
        </w:rPr>
        <w:t>, 9, pp. 1–16.</w:t>
      </w:r>
    </w:p>
    <w:p w14:paraId="2EAE8FE9" w14:textId="44011172" w:rsidR="324045B3" w:rsidRDefault="324045B3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Brussoni, M., Gibbons, R., Gray, C., Ishikawa, T., Sandseter, E.B.H., Bienenstock, A., Chabot, G., Fuselli, P. and Janssen, I. (2015) ‘What is the relationship between risky outdoor play and health in children? A systematic review’,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International Journal of Environmental Research and Public Health</w:t>
      </w:r>
      <w:r w:rsidRPr="0D292004">
        <w:rPr>
          <w:rFonts w:ascii="Aptos" w:eastAsia="Aptos" w:hAnsi="Aptos" w:cs="Aptos"/>
          <w:sz w:val="28"/>
          <w:szCs w:val="28"/>
        </w:rPr>
        <w:t>, 12(6), pp. 6423–6454.</w:t>
      </w:r>
    </w:p>
    <w:p w14:paraId="368E5645" w14:textId="7FDA7081" w:rsidR="324045B3" w:rsidRDefault="324045B3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Hirsh-Pasek, K., Golinkoff, R.M., Berk, L.E. and Singer, D.G. (2015)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A mandate for playful learning in preschool: Presenting the evidence</w:t>
      </w:r>
      <w:r w:rsidRPr="0D292004">
        <w:rPr>
          <w:rFonts w:ascii="Aptos" w:eastAsia="Aptos" w:hAnsi="Aptos" w:cs="Aptos"/>
          <w:sz w:val="28"/>
          <w:szCs w:val="28"/>
        </w:rPr>
        <w:t>. Oxford: Oxford University Press.</w:t>
      </w:r>
    </w:p>
    <w:p w14:paraId="312B25F8" w14:textId="531076F8" w:rsidR="324045B3" w:rsidRDefault="324045B3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Whitebread, D., Basilio, M., Kuvalja, M. and Verma, M. (2017) ‘The importance of play: A report on the value of children’s play with a series of policy </w:t>
      </w:r>
      <w:proofErr w:type="gramStart"/>
      <w:r w:rsidRPr="0D292004">
        <w:rPr>
          <w:rFonts w:ascii="Aptos" w:eastAsia="Aptos" w:hAnsi="Aptos" w:cs="Aptos"/>
          <w:sz w:val="28"/>
          <w:szCs w:val="28"/>
        </w:rPr>
        <w:t>recommendations’</w:t>
      </w:r>
      <w:proofErr w:type="gramEnd"/>
      <w:r w:rsidRPr="0D292004">
        <w:rPr>
          <w:rFonts w:ascii="Aptos" w:eastAsia="Aptos" w:hAnsi="Aptos" w:cs="Aptos"/>
          <w:sz w:val="28"/>
          <w:szCs w:val="28"/>
        </w:rPr>
        <w:t>. Brussels: The LEGO Foundation.</w:t>
      </w:r>
    </w:p>
    <w:p w14:paraId="4946D0F5" w14:textId="7143D7D3" w:rsidR="324045B3" w:rsidRDefault="324045B3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Zosh, J.M., Hopkins, E.J., Jensen, H., Liu, C., Neale, D., Hirsh-Pasek, K., Solis, S.L. and Whitebread, D. (2017)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Learning through play: A review of the evidence</w:t>
      </w:r>
      <w:r w:rsidRPr="0D292004">
        <w:rPr>
          <w:rFonts w:ascii="Aptos" w:eastAsia="Aptos" w:hAnsi="Aptos" w:cs="Aptos"/>
          <w:sz w:val="28"/>
          <w:szCs w:val="28"/>
        </w:rPr>
        <w:t>. Billund: The LEGO Foundation.</w:t>
      </w:r>
    </w:p>
    <w:p w14:paraId="58F05898" w14:textId="29DD11F2" w:rsidR="1C639149" w:rsidRDefault="1C639149" w:rsidP="0D292004">
      <w:pPr>
        <w:spacing w:before="240" w:after="240"/>
        <w:rPr>
          <w:rFonts w:ascii="Aptos" w:eastAsia="Aptos" w:hAnsi="Aptos" w:cs="Aptos"/>
          <w:sz w:val="28"/>
          <w:szCs w:val="28"/>
          <w:u w:val="single"/>
        </w:rPr>
      </w:pPr>
      <w:r w:rsidRPr="0D292004">
        <w:rPr>
          <w:rFonts w:ascii="Aptos" w:eastAsia="Aptos" w:hAnsi="Aptos" w:cs="Aptos"/>
          <w:sz w:val="28"/>
          <w:szCs w:val="28"/>
          <w:u w:val="single"/>
        </w:rPr>
        <w:t>Question 3</w:t>
      </w:r>
    </w:p>
    <w:p w14:paraId="274BB13D" w14:textId="4E766EC8" w:rsidR="794B23AC" w:rsidRDefault="794B23A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lastRenderedPageBreak/>
        <w:t xml:space="preserve">Department for Education (2023)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 xml:space="preserve">Statutory framework for the early </w:t>
      </w:r>
      <w:proofErr w:type="gramStart"/>
      <w:r w:rsidRPr="0D292004">
        <w:rPr>
          <w:rFonts w:ascii="Aptos" w:eastAsia="Aptos" w:hAnsi="Aptos" w:cs="Aptos"/>
          <w:i/>
          <w:iCs/>
          <w:sz w:val="28"/>
          <w:szCs w:val="28"/>
        </w:rPr>
        <w:t>years</w:t>
      </w:r>
      <w:proofErr w:type="gramEnd"/>
      <w:r w:rsidRPr="0D292004">
        <w:rPr>
          <w:rFonts w:ascii="Aptos" w:eastAsia="Aptos" w:hAnsi="Aptos" w:cs="Aptos"/>
          <w:i/>
          <w:iCs/>
          <w:sz w:val="28"/>
          <w:szCs w:val="28"/>
        </w:rPr>
        <w:t xml:space="preserve"> foundation stage: Setting the standards for learning, development and care for children from birth to five</w:t>
      </w:r>
      <w:r w:rsidRPr="0D292004">
        <w:rPr>
          <w:rFonts w:ascii="Aptos" w:eastAsia="Aptos" w:hAnsi="Aptos" w:cs="Aptos"/>
          <w:sz w:val="28"/>
          <w:szCs w:val="28"/>
        </w:rPr>
        <w:t xml:space="preserve">. London: Department for Education. Available at: </w:t>
      </w:r>
      <w:hyperlink r:id="rId6">
        <w:r w:rsidRPr="0D292004">
          <w:rPr>
            <w:rStyle w:val="Hyperlink"/>
            <w:rFonts w:ascii="Aptos" w:eastAsia="Aptos" w:hAnsi="Aptos" w:cs="Aptos"/>
            <w:sz w:val="28"/>
            <w:szCs w:val="28"/>
          </w:rPr>
          <w:t>https://www.gov.uk/government/publications/early-years-foundation-stage-framework</w:t>
        </w:r>
      </w:hyperlink>
      <w:r w:rsidRPr="0D292004">
        <w:rPr>
          <w:rFonts w:ascii="Aptos" w:eastAsia="Aptos" w:hAnsi="Aptos" w:cs="Aptos"/>
          <w:sz w:val="28"/>
          <w:szCs w:val="28"/>
        </w:rPr>
        <w:t xml:space="preserve"> (Accessed: 28 February 2026).</w:t>
      </w:r>
    </w:p>
    <w:p w14:paraId="5FAADD70" w14:textId="7A1709B8" w:rsidR="794B23AC" w:rsidRDefault="794B23A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Education Endowment Foundation (2021)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Preparing for literacy: Improving communication, language and literacy in the early years</w:t>
      </w:r>
      <w:r w:rsidRPr="0D292004">
        <w:rPr>
          <w:rFonts w:ascii="Aptos" w:eastAsia="Aptos" w:hAnsi="Aptos" w:cs="Aptos"/>
          <w:sz w:val="28"/>
          <w:szCs w:val="28"/>
        </w:rPr>
        <w:t>. London: Education Endowment Foundation.</w:t>
      </w:r>
    </w:p>
    <w:p w14:paraId="504CEAC1" w14:textId="4FDC5FE2" w:rsidR="794B23AC" w:rsidRDefault="794B23A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Laevers, F. (2015)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Well-being and involvement in care settings: A process-oriented self-evaluation instrument</w:t>
      </w:r>
      <w:r w:rsidRPr="0D292004">
        <w:rPr>
          <w:rFonts w:ascii="Aptos" w:eastAsia="Aptos" w:hAnsi="Aptos" w:cs="Aptos"/>
          <w:sz w:val="28"/>
          <w:szCs w:val="28"/>
        </w:rPr>
        <w:t>. Leuven: Centre for Experiential Education, KU Leuven.</w:t>
      </w:r>
    </w:p>
    <w:p w14:paraId="0600C7B9" w14:textId="5E94B7DE" w:rsidR="794B23AC" w:rsidRDefault="794B23A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OECD (2020)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Early learning and child well-being: A study of five-year-olds in England, Estonia, and the United States</w:t>
      </w:r>
      <w:r w:rsidRPr="0D292004">
        <w:rPr>
          <w:rFonts w:ascii="Aptos" w:eastAsia="Aptos" w:hAnsi="Aptos" w:cs="Aptos"/>
          <w:sz w:val="28"/>
          <w:szCs w:val="28"/>
        </w:rPr>
        <w:t>. Paris: OECD Publishing.</w:t>
      </w:r>
    </w:p>
    <w:p w14:paraId="577EF1DE" w14:textId="74FD1847" w:rsidR="794B23AC" w:rsidRDefault="794B23AC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Whitebread, D., Basilio, M., Kuvalja, M. and Verma, M. (2017)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The importance of play: A report on the value of children’s play with a series of policy recommendations</w:t>
      </w:r>
      <w:r w:rsidRPr="0D292004">
        <w:rPr>
          <w:rFonts w:ascii="Aptos" w:eastAsia="Aptos" w:hAnsi="Aptos" w:cs="Aptos"/>
          <w:sz w:val="28"/>
          <w:szCs w:val="28"/>
        </w:rPr>
        <w:t>. Brussels: The LEGO Foundation.</w:t>
      </w:r>
    </w:p>
    <w:p w14:paraId="5018477F" w14:textId="18C4517F" w:rsidR="5E39E9AE" w:rsidRDefault="5E39E9AE" w:rsidP="0D292004">
      <w:pPr>
        <w:spacing w:before="240" w:after="240"/>
        <w:rPr>
          <w:rFonts w:ascii="Aptos" w:eastAsia="Aptos" w:hAnsi="Aptos" w:cs="Aptos"/>
          <w:sz w:val="28"/>
          <w:szCs w:val="28"/>
          <w:u w:val="single"/>
        </w:rPr>
      </w:pPr>
      <w:r w:rsidRPr="0D292004">
        <w:rPr>
          <w:rFonts w:ascii="Aptos" w:eastAsia="Aptos" w:hAnsi="Aptos" w:cs="Aptos"/>
          <w:sz w:val="28"/>
          <w:szCs w:val="28"/>
          <w:u w:val="single"/>
        </w:rPr>
        <w:t>Question 4</w:t>
      </w:r>
    </w:p>
    <w:p w14:paraId="7339E8CF" w14:textId="2F3052E4" w:rsidR="6F9E119E" w:rsidRDefault="6F9E119E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Howard, J. and McInnes, K. (2013) ‘The impact of children’s perception of an activity as play rather than work on emotional well‐being’,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Child: Care, Health and Development</w:t>
      </w:r>
      <w:r w:rsidRPr="0D292004">
        <w:rPr>
          <w:rFonts w:ascii="Aptos" w:eastAsia="Aptos" w:hAnsi="Aptos" w:cs="Aptos"/>
          <w:sz w:val="28"/>
          <w:szCs w:val="28"/>
        </w:rPr>
        <w:t>, 39(5), pp. 737–742.</w:t>
      </w:r>
    </w:p>
    <w:p w14:paraId="14C98B22" w14:textId="4B42672A" w:rsidR="6F9E119E" w:rsidRDefault="6F9E119E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United Nations (1989)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Convention on the Rights of the Child</w:t>
      </w:r>
      <w:r w:rsidRPr="0D292004">
        <w:rPr>
          <w:rFonts w:ascii="Aptos" w:eastAsia="Aptos" w:hAnsi="Aptos" w:cs="Aptos"/>
          <w:sz w:val="28"/>
          <w:szCs w:val="28"/>
        </w:rPr>
        <w:t xml:space="preserve">. New York: United Nations. Available at: </w:t>
      </w:r>
      <w:hyperlink r:id="rId7">
        <w:r w:rsidRPr="0D292004">
          <w:rPr>
            <w:rStyle w:val="Hyperlink"/>
            <w:rFonts w:ascii="Aptos" w:eastAsia="Aptos" w:hAnsi="Aptos" w:cs="Aptos"/>
            <w:sz w:val="28"/>
            <w:szCs w:val="28"/>
          </w:rPr>
          <w:t>https://www.ohchr.org/en/instruments-mechanisms/instruments/convention-rights-child</w:t>
        </w:r>
      </w:hyperlink>
      <w:r w:rsidRPr="0D292004">
        <w:rPr>
          <w:rFonts w:ascii="Aptos" w:eastAsia="Aptos" w:hAnsi="Aptos" w:cs="Aptos"/>
          <w:sz w:val="28"/>
          <w:szCs w:val="28"/>
        </w:rPr>
        <w:t xml:space="preserve"> (Accessed: 28 February 2026).</w:t>
      </w:r>
    </w:p>
    <w:p w14:paraId="78DBEE2F" w14:textId="4F537E8C" w:rsidR="6F9E119E" w:rsidRDefault="6F9E119E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Whitebread, D., Basilio, M., Kuvalja, M. and Verma, M. (2017)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The importance of play: A report on the value of children’s play with a series of policy recommendations</w:t>
      </w:r>
      <w:r w:rsidRPr="0D292004">
        <w:rPr>
          <w:rFonts w:ascii="Aptos" w:eastAsia="Aptos" w:hAnsi="Aptos" w:cs="Aptos"/>
          <w:sz w:val="28"/>
          <w:szCs w:val="28"/>
        </w:rPr>
        <w:t>. Brussels: The LEGO Foundation.</w:t>
      </w:r>
    </w:p>
    <w:p w14:paraId="7E66E4F9" w14:textId="69D08F28" w:rsidR="6F9E119E" w:rsidRDefault="6F9E119E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lastRenderedPageBreak/>
        <w:t xml:space="preserve">Zosh, J.M., Hopkins, E.J., Jensen, H., Liu, C., Neale, D., Hirsh-Pasek, K., Solis, S.L. and Whitebread, D. (2017)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>Learning through play: A review of the evidence</w:t>
      </w:r>
      <w:r w:rsidRPr="0D292004">
        <w:rPr>
          <w:rFonts w:ascii="Aptos" w:eastAsia="Aptos" w:hAnsi="Aptos" w:cs="Aptos"/>
          <w:sz w:val="28"/>
          <w:szCs w:val="28"/>
        </w:rPr>
        <w:t>. Billund: The LEGO Foundation.</w:t>
      </w:r>
    </w:p>
    <w:p w14:paraId="51DD32B1" w14:textId="68E44A79" w:rsidR="6F9E119E" w:rsidRDefault="6F9E119E" w:rsidP="0D292004">
      <w:pPr>
        <w:spacing w:before="240" w:after="240"/>
      </w:pPr>
      <w:r w:rsidRPr="0D292004">
        <w:rPr>
          <w:rFonts w:ascii="Aptos" w:eastAsia="Aptos" w:hAnsi="Aptos" w:cs="Aptos"/>
          <w:sz w:val="28"/>
          <w:szCs w:val="28"/>
        </w:rPr>
        <w:t xml:space="preserve">Department for Education (2023) </w:t>
      </w:r>
      <w:r w:rsidRPr="0D292004">
        <w:rPr>
          <w:rFonts w:ascii="Aptos" w:eastAsia="Aptos" w:hAnsi="Aptos" w:cs="Aptos"/>
          <w:i/>
          <w:iCs/>
          <w:sz w:val="28"/>
          <w:szCs w:val="28"/>
        </w:rPr>
        <w:t xml:space="preserve">Statutory framework for the early </w:t>
      </w:r>
      <w:proofErr w:type="gramStart"/>
      <w:r w:rsidRPr="0D292004">
        <w:rPr>
          <w:rFonts w:ascii="Aptos" w:eastAsia="Aptos" w:hAnsi="Aptos" w:cs="Aptos"/>
          <w:i/>
          <w:iCs/>
          <w:sz w:val="28"/>
          <w:szCs w:val="28"/>
        </w:rPr>
        <w:t>years</w:t>
      </w:r>
      <w:proofErr w:type="gramEnd"/>
      <w:r w:rsidRPr="0D292004">
        <w:rPr>
          <w:rFonts w:ascii="Aptos" w:eastAsia="Aptos" w:hAnsi="Aptos" w:cs="Aptos"/>
          <w:i/>
          <w:iCs/>
          <w:sz w:val="28"/>
          <w:szCs w:val="28"/>
        </w:rPr>
        <w:t xml:space="preserve"> foundation stage: Setting the standards for learning, development and care for children from birth to five</w:t>
      </w:r>
      <w:r w:rsidRPr="0D292004">
        <w:rPr>
          <w:rFonts w:ascii="Aptos" w:eastAsia="Aptos" w:hAnsi="Aptos" w:cs="Aptos"/>
          <w:sz w:val="28"/>
          <w:szCs w:val="28"/>
        </w:rPr>
        <w:t xml:space="preserve">. London: Department for Education. Available at: </w:t>
      </w:r>
      <w:hyperlink r:id="rId8">
        <w:r w:rsidRPr="0D292004">
          <w:rPr>
            <w:rStyle w:val="Hyperlink"/>
            <w:rFonts w:ascii="Aptos" w:eastAsia="Aptos" w:hAnsi="Aptos" w:cs="Aptos"/>
            <w:sz w:val="28"/>
            <w:szCs w:val="28"/>
          </w:rPr>
          <w:t>https://www.gov.uk/government/publications/early-years-foundation-stage-framework</w:t>
        </w:r>
      </w:hyperlink>
      <w:r w:rsidRPr="0D292004">
        <w:rPr>
          <w:rFonts w:ascii="Aptos" w:eastAsia="Aptos" w:hAnsi="Aptos" w:cs="Aptos"/>
          <w:sz w:val="28"/>
          <w:szCs w:val="28"/>
        </w:rPr>
        <w:t xml:space="preserve"> (Accessed: 28 February 2026).</w:t>
      </w:r>
    </w:p>
    <w:p w14:paraId="0F0848F7" w14:textId="23334E1A" w:rsidR="0D292004" w:rsidRDefault="0D292004"/>
    <w:p w14:paraId="6C8771D9" w14:textId="524EA87F" w:rsidR="0D292004" w:rsidRDefault="0D292004" w:rsidP="0D292004">
      <w:pPr>
        <w:spacing w:before="240" w:after="240"/>
        <w:rPr>
          <w:rFonts w:ascii="Aptos" w:eastAsia="Aptos" w:hAnsi="Aptos" w:cs="Aptos"/>
          <w:sz w:val="28"/>
          <w:szCs w:val="28"/>
        </w:rPr>
      </w:pPr>
    </w:p>
    <w:p w14:paraId="7A8150C3" w14:textId="1C5E6CD1" w:rsidR="0D292004" w:rsidRDefault="0D292004" w:rsidP="0D292004">
      <w:pPr>
        <w:spacing w:before="240" w:after="240"/>
      </w:pPr>
    </w:p>
    <w:p w14:paraId="06E0B7D3" w14:textId="3D3CCB42" w:rsidR="0D292004" w:rsidRDefault="0D292004" w:rsidP="0D292004">
      <w:pPr>
        <w:spacing w:before="240" w:after="240"/>
        <w:rPr>
          <w:rFonts w:ascii="Aptos" w:eastAsia="Aptos" w:hAnsi="Aptos" w:cs="Aptos"/>
          <w:sz w:val="28"/>
          <w:szCs w:val="28"/>
        </w:rPr>
      </w:pPr>
    </w:p>
    <w:p w14:paraId="00AF6049" w14:textId="0F35EF99" w:rsidR="0D292004" w:rsidRDefault="0D292004" w:rsidP="0D292004">
      <w:pPr>
        <w:spacing w:before="240" w:after="240"/>
        <w:rPr>
          <w:rFonts w:ascii="Aptos" w:eastAsia="Aptos" w:hAnsi="Aptos" w:cs="Aptos"/>
          <w:sz w:val="28"/>
          <w:szCs w:val="28"/>
        </w:rPr>
      </w:pPr>
    </w:p>
    <w:p w14:paraId="2E9FC49C" w14:textId="11658209" w:rsidR="0D292004" w:rsidRDefault="0D292004" w:rsidP="0D292004">
      <w:pPr>
        <w:spacing w:before="240" w:after="240"/>
      </w:pPr>
    </w:p>
    <w:p w14:paraId="64921550" w14:textId="2652070A" w:rsidR="0D292004" w:rsidRDefault="0D292004" w:rsidP="0D292004">
      <w:pPr>
        <w:spacing w:before="240" w:after="240"/>
        <w:rPr>
          <w:rFonts w:ascii="Aptos" w:eastAsia="Aptos" w:hAnsi="Aptos" w:cs="Aptos"/>
          <w:sz w:val="28"/>
          <w:szCs w:val="28"/>
        </w:rPr>
      </w:pPr>
    </w:p>
    <w:p w14:paraId="07348CCB" w14:textId="5BF62138" w:rsidR="0D292004" w:rsidRDefault="0D292004" w:rsidP="0D292004">
      <w:pPr>
        <w:rPr>
          <w:sz w:val="28"/>
          <w:szCs w:val="28"/>
          <w:u w:val="single"/>
        </w:rPr>
      </w:pPr>
    </w:p>
    <w:sectPr w:rsidR="0D29200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5CFB8"/>
    <w:multiLevelType w:val="hybridMultilevel"/>
    <w:tmpl w:val="48E027F2"/>
    <w:lvl w:ilvl="0" w:tplc="F3B4D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BA14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E019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EA8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3054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A0C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5CC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78B9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740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6D043"/>
    <w:multiLevelType w:val="hybridMultilevel"/>
    <w:tmpl w:val="09C07808"/>
    <w:lvl w:ilvl="0" w:tplc="5E0C83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BCDC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968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6EC8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30D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901D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1632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F277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C0B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3969A6"/>
    <w:multiLevelType w:val="hybridMultilevel"/>
    <w:tmpl w:val="995E3382"/>
    <w:lvl w:ilvl="0" w:tplc="4FE46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706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DA47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102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403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7EAD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4610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DC37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183047">
    <w:abstractNumId w:val="2"/>
  </w:num>
  <w:num w:numId="2" w16cid:durableId="1628928881">
    <w:abstractNumId w:val="1"/>
  </w:num>
  <w:num w:numId="3" w16cid:durableId="94715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369764"/>
    <w:rsid w:val="002178CB"/>
    <w:rsid w:val="00B10C70"/>
    <w:rsid w:val="00B34A8F"/>
    <w:rsid w:val="00E37463"/>
    <w:rsid w:val="00EE10EB"/>
    <w:rsid w:val="00FA4469"/>
    <w:rsid w:val="0208B5E3"/>
    <w:rsid w:val="07C66C47"/>
    <w:rsid w:val="0C5B72D6"/>
    <w:rsid w:val="0D292004"/>
    <w:rsid w:val="17F3DDB3"/>
    <w:rsid w:val="1C2A61D9"/>
    <w:rsid w:val="1C639149"/>
    <w:rsid w:val="2661C1EF"/>
    <w:rsid w:val="26C311BC"/>
    <w:rsid w:val="324045B3"/>
    <w:rsid w:val="3CFD8745"/>
    <w:rsid w:val="474314C1"/>
    <w:rsid w:val="4AADBE87"/>
    <w:rsid w:val="4ECEB85F"/>
    <w:rsid w:val="54A6C7FD"/>
    <w:rsid w:val="58876C06"/>
    <w:rsid w:val="5E39E9AE"/>
    <w:rsid w:val="63369764"/>
    <w:rsid w:val="6F9E119E"/>
    <w:rsid w:val="794B23AC"/>
    <w:rsid w:val="795EF597"/>
    <w:rsid w:val="7C51F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A1063"/>
  <w15:chartTrackingRefBased/>
  <w15:docId w15:val="{2CFDF31A-A899-4A2B-87C8-EE70D95C4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0D292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D292004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D292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early-years-foundation-stage-framewor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hchr.org/en/instruments-mechanisms/instruments/convention-rights-chil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early-years-foundation-stage-framework" TargetMode="External"/><Relationship Id="rId5" Type="http://schemas.openxmlformats.org/officeDocument/2006/relationships/hyperlink" Target="https://hwb.gov.wale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863</Words>
  <Characters>4921</Characters>
  <Application>Microsoft Office Word</Application>
  <DocSecurity>0</DocSecurity>
  <Lines>41</Lines>
  <Paragraphs>11</Paragraphs>
  <ScaleCrop>false</ScaleCrop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Morgan (2517331)</dc:creator>
  <cp:keywords/>
  <dc:description/>
  <cp:lastModifiedBy>Janine Morgan (2517331)</cp:lastModifiedBy>
  <cp:revision>6</cp:revision>
  <dcterms:created xsi:type="dcterms:W3CDTF">2026-02-28T12:15:00Z</dcterms:created>
  <dcterms:modified xsi:type="dcterms:W3CDTF">2026-02-28T20:48:00Z</dcterms:modified>
</cp:coreProperties>
</file>