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B16B7" w:rsidRDefault="001B7A95">
      <w:pPr>
        <w:pStyle w:val="Title"/>
      </w:pPr>
      <w:r>
        <w:t>Academic Skills for the Digital Era</w:t>
      </w:r>
    </w:p>
    <w:p w14:paraId="00000002" w14:textId="7A076A3C" w:rsidR="009B16B7" w:rsidRDefault="009B16B7">
      <w:pPr>
        <w:jc w:val="center"/>
        <w:rPr>
          <w:b/>
          <w:sz w:val="28"/>
        </w:rPr>
      </w:pPr>
    </w:p>
    <w:p w14:paraId="00000003" w14:textId="77777777" w:rsidR="009B16B7" w:rsidRDefault="001B7A95">
      <w:pPr>
        <w:jc w:val="center"/>
        <w:rPr>
          <w:b/>
          <w:sz w:val="28"/>
        </w:rPr>
      </w:pPr>
      <w:r>
        <w:rPr>
          <w:b/>
          <w:sz w:val="28"/>
        </w:rPr>
        <w:t>Assessment 2 Reflective Writing</w:t>
      </w:r>
    </w:p>
    <w:p w14:paraId="00000004" w14:textId="77777777" w:rsidR="009B16B7" w:rsidRDefault="009B16B7"/>
    <w:p w14:paraId="00000005" w14:textId="77777777" w:rsidR="009B16B7" w:rsidRDefault="009B16B7"/>
    <w:p w14:paraId="00000006" w14:textId="77777777" w:rsidR="009B16B7" w:rsidRDefault="009B16B7"/>
    <w:p w14:paraId="00000007" w14:textId="77777777" w:rsidR="009B16B7" w:rsidRDefault="009B16B7"/>
    <w:p w14:paraId="00000008" w14:textId="77777777" w:rsidR="009B16B7" w:rsidRDefault="009B16B7"/>
    <w:p w14:paraId="00000009" w14:textId="77777777" w:rsidR="009B16B7" w:rsidRDefault="009B16B7"/>
    <w:p w14:paraId="0000000A" w14:textId="77777777" w:rsidR="009B16B7" w:rsidRDefault="009B16B7"/>
    <w:p w14:paraId="0000000B" w14:textId="77777777" w:rsidR="009B16B7" w:rsidRDefault="009B16B7"/>
    <w:p w14:paraId="0000000C" w14:textId="77777777" w:rsidR="009B16B7" w:rsidRDefault="009B16B7"/>
    <w:p w14:paraId="0000000D" w14:textId="6300127E" w:rsidR="009B16B7" w:rsidRDefault="001B7A95">
      <w:pPr>
        <w:jc w:val="center"/>
        <w:rPr>
          <w:b/>
        </w:rPr>
      </w:pPr>
      <w:r>
        <w:rPr>
          <w:b/>
        </w:rPr>
        <w:t>Student Name:</w:t>
      </w:r>
      <w:r w:rsidR="002415FC">
        <w:rPr>
          <w:b/>
        </w:rPr>
        <w:t>LYUBOMIR IVANOV</w:t>
      </w:r>
    </w:p>
    <w:p w14:paraId="0000000E" w14:textId="2E7C2951" w:rsidR="009B16B7" w:rsidRDefault="001B7A95">
      <w:pPr>
        <w:jc w:val="center"/>
        <w:rPr>
          <w:b/>
        </w:rPr>
      </w:pPr>
      <w:r>
        <w:rPr>
          <w:b/>
        </w:rPr>
        <w:t>Student Number:</w:t>
      </w:r>
      <w:r w:rsidR="002854C9">
        <w:rPr>
          <w:b/>
        </w:rPr>
        <w:t>2330871</w:t>
      </w:r>
    </w:p>
    <w:p w14:paraId="0000000F" w14:textId="77777777" w:rsidR="009B16B7" w:rsidRDefault="001B7A95">
      <w:pPr>
        <w:spacing w:line="276" w:lineRule="auto"/>
        <w:jc w:val="left"/>
      </w:pPr>
      <w:r>
        <w:br w:type="page"/>
      </w:r>
    </w:p>
    <w:p w14:paraId="00000010" w14:textId="77777777" w:rsidR="009B16B7" w:rsidRDefault="001B7A95">
      <w:pPr>
        <w:rPr>
          <w:b/>
        </w:rPr>
      </w:pPr>
      <w:r>
        <w:rPr>
          <w:b/>
        </w:rPr>
        <w:lastRenderedPageBreak/>
        <w:t>Introduction to Gibbs' Reflective Model</w:t>
      </w:r>
    </w:p>
    <w:p w14:paraId="00000011" w14:textId="1EDC4BF0" w:rsidR="009B16B7" w:rsidRDefault="00641051">
      <w:r>
        <w:t xml:space="preserve">According to </w:t>
      </w:r>
      <w:r w:rsidRPr="00641051">
        <w:rPr>
          <w:bCs/>
        </w:rPr>
        <w:t>Gibbs,(1988)</w:t>
      </w:r>
      <w:r>
        <w:rPr>
          <w:bCs/>
        </w:rPr>
        <w:t xml:space="preserve"> </w:t>
      </w:r>
      <w:r>
        <w:t xml:space="preserve">Gibbs Reflective Cycle was developed by Graham Gibbs in 1988 and remains one of the most recognized frameworks for guiding reflection, especially in the context of educational and professional setups. Most of the developments are by Markkanen </w:t>
      </w:r>
      <w:r>
        <w:rPr>
          <w:i/>
        </w:rPr>
        <w:t>et al.</w:t>
      </w:r>
      <w:r>
        <w:t xml:space="preserve"> (2020). The structure of the model consists of six considerable basic stages. They are description, feelings, evaluation, analysis, conclusion, and action plan. Each stage calls for criticality from the experiences by individuals. The systematic reflection formulation helps individuals identify lessons and plan for future actions. The cycle begins by getting descriptive about an incident or experience, then dealing with one's feelings toward the incident. Afterward, one is expected to form a judgement about what was right and what could have been improved upon, so an extended analysis of the matter can be made. It is in the conclusion stage where one will synthesize the gained insights in stage 1, while in most cases, the action plan is possible in the final stage. The last stage aspires to determine how the insights will be used in future situations.</w:t>
      </w:r>
    </w:p>
    <w:p w14:paraId="0C14C604" w14:textId="0D069A12" w:rsidR="00641051" w:rsidRDefault="001B7A95">
      <w:r>
        <w:t>In this essay, I apply Gibbs' Reflective Cycle in light of my recent experiences as a newly enrolled university student. I have considered the challenges that I went through when I was first introduced to this high-ranking academic institution: adaptation to academic demands, time management, and social integration. I would like to further bring to light the experiences viewed through this reflective process and how some of these were conquered and contributed to assisting my personal and academic developme</w:t>
      </w:r>
      <w:r>
        <w:t>nt.</w:t>
      </w:r>
    </w:p>
    <w:p w14:paraId="00000013" w14:textId="77777777" w:rsidR="009B16B7" w:rsidRDefault="001B7A95">
      <w:pPr>
        <w:rPr>
          <w:b/>
          <w:u w:val="single"/>
        </w:rPr>
      </w:pPr>
      <w:r>
        <w:rPr>
          <w:b/>
          <w:u w:val="single"/>
        </w:rPr>
        <w:t xml:space="preserve">Description </w:t>
      </w:r>
    </w:p>
    <w:p w14:paraId="00000014" w14:textId="32B1323F" w:rsidR="009B16B7" w:rsidRPr="00641051" w:rsidRDefault="001B7A95">
      <w:pPr>
        <w:rPr>
          <w:lang w:val="en-IN"/>
        </w:rPr>
      </w:pPr>
      <w:r>
        <w:t xml:space="preserve">Starting university was a big change in my life that was exciting but full of unexpected challenges. First, I was troubled by troubles with the level of academic work demanded at the university. The writing style of the assignments at the university differed considerably from the one developed through my schooling. It became clear that university tasks required far greater critical thinking, analysis, </w:t>
      </w:r>
      <w:r w:rsidRPr="00641051">
        <w:t>and d</w:t>
      </w:r>
      <w:r w:rsidRPr="00C56F95">
        <w:t>ealing with scholarly sources than I had ever been prepared for</w:t>
      </w:r>
      <w:r w:rsidR="00641051" w:rsidRPr="00C56F95">
        <w:t xml:space="preserve"> </w:t>
      </w:r>
      <w:r w:rsidR="00641051" w:rsidRPr="00C56F95">
        <w:rPr>
          <w:lang w:val="en-IN"/>
        </w:rPr>
        <w:t>(Cottrell, 20</w:t>
      </w:r>
      <w:r w:rsidR="00C56F95">
        <w:rPr>
          <w:lang w:val="en-IN"/>
        </w:rPr>
        <w:t>24</w:t>
      </w:r>
      <w:r w:rsidR="00641051" w:rsidRPr="00C56F95">
        <w:rPr>
          <w:lang w:val="en-IN"/>
        </w:rPr>
        <w:t>; Godfrey, 201</w:t>
      </w:r>
      <w:r w:rsidR="00C56F95" w:rsidRPr="00C56F95">
        <w:rPr>
          <w:lang w:val="en-IN"/>
        </w:rPr>
        <w:t>8</w:t>
      </w:r>
      <w:r w:rsidR="00641051" w:rsidRPr="00C56F95">
        <w:rPr>
          <w:lang w:val="en-IN"/>
        </w:rPr>
        <w:t>).</w:t>
      </w:r>
    </w:p>
    <w:p w14:paraId="00000015" w14:textId="77777777" w:rsidR="009B16B7" w:rsidRDefault="001B7A95">
      <w:r>
        <w:t xml:space="preserve">Another big challenge was balancing several time commitments. The independence of university life meant that I had to manage my own time, balancing lectures, seminars, assignments, and a part-time job. Working out how to deal with this new liberty properly—the effective management of my time—was something I wrestled with for a while. I would often </w:t>
      </w:r>
      <w:r>
        <w:lastRenderedPageBreak/>
        <w:t>be procrastinating or rushing to finish assignments, thus affecting the quality of my work adversely.</w:t>
      </w:r>
    </w:p>
    <w:p w14:paraId="00000016" w14:textId="77777777" w:rsidR="009B16B7" w:rsidRDefault="001B7A95">
      <w:r>
        <w:t>Another level of challenge was social integration. Having entered a completely new setup with most faces being unfamiliar, connecting with people around became really difficult. While the large and diverse student body was exciting, this fact also made seeking a feeling of belonging all that more elusive. This period of social adjustment only added to the stress of getting adjusted to academics.</w:t>
      </w:r>
    </w:p>
    <w:p w14:paraId="00000017" w14:textId="77777777" w:rsidR="009B16B7" w:rsidRDefault="001B7A95">
      <w:pPr>
        <w:rPr>
          <w:b/>
          <w:u w:val="single"/>
        </w:rPr>
      </w:pPr>
      <w:r>
        <w:rPr>
          <w:b/>
          <w:u w:val="single"/>
        </w:rPr>
        <w:t xml:space="preserve">Feelings </w:t>
      </w:r>
    </w:p>
    <w:p w14:paraId="00000018" w14:textId="77777777" w:rsidR="009B16B7" w:rsidRDefault="001B7A95">
      <w:r>
        <w:t>In the first few weeks, I was ecstatic. University for me was a new chapter in my life; that meant great opportunities to make a fresh start. Soon enough, though, feelings of anxiety and lack of self-belief crept in with experiences I encountered at the university— academic and social challenges. The level of academic writing required by university was unfamiliar to me. Feeling incompetent, frustration set in when my efforts did not seem to pay off.</w:t>
      </w:r>
    </w:p>
    <w:p w14:paraId="00000019" w14:textId="3CB11766" w:rsidR="009B16B7" w:rsidRDefault="001B7A95">
      <w:r>
        <w:t>This struggle to manage my time effectively also contributed to feelings of stress and overwhelm</w:t>
      </w:r>
      <w:r w:rsidR="00641051">
        <w:t xml:space="preserve"> (</w:t>
      </w:r>
      <w:r w:rsidR="00641051" w:rsidRPr="00641051">
        <w:t>Tracy, 2007</w:t>
      </w:r>
      <w:r w:rsidR="00641051">
        <w:t>)</w:t>
      </w:r>
      <w:r>
        <w:t>. Many different responsibilities without a clear plan make one feel like he is always running behind, unable to keep up with the demands of university life most of the time.</w:t>
      </w:r>
    </w:p>
    <w:p w14:paraId="0000001A" w14:textId="1B6188FF" w:rsidR="009B16B7" w:rsidRDefault="001B7A95">
      <w:r>
        <w:t>Socially, I was awkward and did not fit in</w:t>
      </w:r>
      <w:r w:rsidR="00641051">
        <w:t xml:space="preserve"> </w:t>
      </w:r>
      <w:r w:rsidR="00641051" w:rsidRPr="00641051">
        <w:t xml:space="preserve">(Astin, </w:t>
      </w:r>
      <w:r w:rsidR="00C56F95">
        <w:t>2014</w:t>
      </w:r>
      <w:r w:rsidR="00641051" w:rsidRPr="00641051">
        <w:t>)</w:t>
      </w:r>
      <w:r>
        <w:t>. Watching others who appeared to so easily fit in with their peers made this loneliness even more pronounced. I often wondered if choosing to come to the university was the right decision; up to that point, the experience was very difficult and not nearly as exciting as it had been.</w:t>
      </w:r>
    </w:p>
    <w:p w14:paraId="0000001B" w14:textId="77777777" w:rsidR="009B16B7" w:rsidRDefault="001B7A95">
      <w:pPr>
        <w:rPr>
          <w:b/>
          <w:u w:val="single"/>
        </w:rPr>
      </w:pPr>
      <w:r>
        <w:rPr>
          <w:b/>
          <w:u w:val="single"/>
        </w:rPr>
        <w:t xml:space="preserve">Evaluation </w:t>
      </w:r>
    </w:p>
    <w:p w14:paraId="0000001C" w14:textId="77777777" w:rsidR="009B16B7" w:rsidRDefault="001B7A95">
      <w:r>
        <w:t>Looking back, I find that all my experiences are negative and positive. Positively speaking, struggling with academic writing motivated me to work on it. Attending the workshops arranged by the university writing centre and actively seeking feedback from professors helped me, over time, bring out an evident improvement in writing, boosting my confidence and contributing to better grades.</w:t>
      </w:r>
    </w:p>
    <w:p w14:paraId="0000001D" w14:textId="77777777" w:rsidR="009B16B7" w:rsidRDefault="001B7A95">
      <w:r>
        <w:t xml:space="preserve">However, my first efforts at time management were less effective. Because there was no framework for balancing the academic commitment with personal commitment, I missed deadlines and did low-quality work. This had repercussions not only on the academic </w:t>
      </w:r>
      <w:r>
        <w:lastRenderedPageBreak/>
        <w:t>performance but also on the mental well-being, for the pressure did not allow enjoying other aspects of university life.</w:t>
      </w:r>
    </w:p>
    <w:p w14:paraId="0000001E" w14:textId="132FF063" w:rsidR="009B16B7" w:rsidRDefault="001B7A95">
      <w:r>
        <w:t>Socially, although I finally made some good friends and found my place within the university community, the initial phase of isolation was quite trying</w:t>
      </w:r>
      <w:r w:rsidR="00641051">
        <w:t xml:space="preserve"> </w:t>
      </w:r>
      <w:r w:rsidR="00641051" w:rsidRPr="00641051">
        <w:t xml:space="preserve">(Tinto, </w:t>
      </w:r>
      <w:r w:rsidR="00C56F95">
        <w:t>2012</w:t>
      </w:r>
      <w:r w:rsidR="00641051" w:rsidRPr="00641051">
        <w:t>)</w:t>
      </w:r>
      <w:r>
        <w:t>. It has taught me the lesson that one needs to be very outgoing in interacting with others and making opportunities to connect with them—a thing to which I was earlier resistant.</w:t>
      </w:r>
    </w:p>
    <w:p w14:paraId="0000001F" w14:textId="77777777" w:rsidR="009B16B7" w:rsidRDefault="001B7A95">
      <w:pPr>
        <w:rPr>
          <w:b/>
          <w:u w:val="single"/>
        </w:rPr>
      </w:pPr>
      <w:r>
        <w:rPr>
          <w:b/>
          <w:u w:val="single"/>
        </w:rPr>
        <w:t xml:space="preserve">Analysis </w:t>
      </w:r>
    </w:p>
    <w:p w14:paraId="00000020" w14:textId="38C0F2AC" w:rsidR="009B16B7" w:rsidRDefault="001B7A95">
      <w:r>
        <w:t>These experiences can be understood better if analysed through Gibbs' model. I can relate to the fact that the difficulties I have been going through occur with most students who enter the university. Higher education is associated, for most, with a steep learning curve, especially concerning handling new academic expectations</w:t>
      </w:r>
      <w:r w:rsidR="00C56F95">
        <w:t xml:space="preserve"> (</w:t>
      </w:r>
      <w:r w:rsidR="00C56F95" w:rsidRPr="00C56F95">
        <w:t>Trowler,</w:t>
      </w:r>
      <w:r w:rsidR="00C56F95">
        <w:t xml:space="preserve"> </w:t>
      </w:r>
      <w:r w:rsidR="00C56F95" w:rsidRPr="00C56F95">
        <w:t>1998</w:t>
      </w:r>
      <w:r w:rsidR="00C56F95">
        <w:t xml:space="preserve">; </w:t>
      </w:r>
      <w:r w:rsidR="00C56F95" w:rsidRPr="00C56F95">
        <w:t>Musaji, Schulze and De Castro,2020</w:t>
      </w:r>
      <w:r w:rsidR="00C56F95">
        <w:t>)</w:t>
      </w:r>
      <w:r>
        <w:t>. Typical entry barriers, such as mastering academic writing and becoming efficient at time management, are some usual challenges with which many students struggle.</w:t>
      </w:r>
    </w:p>
    <w:p w14:paraId="00000021" w14:textId="77777777" w:rsidR="009B16B7" w:rsidRDefault="001B7A95">
      <w:r>
        <w:t>Feelings of isolation and difficulty meeting new people are also not uncommon, especially to the more introverted and those coming from different cultural backgrounds. These difficulties have sent a strong message in terms of the need to seek support and take initiative in getting through them. For example, there are resources usually provided by universities, such as academic writing centres, time management workshops, and social clubs, that make this transition smoother.</w:t>
      </w:r>
    </w:p>
    <w:p w14:paraId="00000022" w14:textId="77777777" w:rsidR="009B16B7" w:rsidRDefault="001B7A95">
      <w:r>
        <w:t>The experience also underscored the virtue of resilience and adaptability. After pushing through the very earliest challenges and looking out for resources and support, I had started to scale the hurdles one by one and adjusted to college life. That is a very cardinal part of personal growth and indispensable to succeeding in any university education.</w:t>
      </w:r>
    </w:p>
    <w:p w14:paraId="00000023" w14:textId="77777777" w:rsidR="009B16B7" w:rsidRDefault="001B7A95">
      <w:pPr>
        <w:rPr>
          <w:b/>
          <w:u w:val="single"/>
        </w:rPr>
      </w:pPr>
      <w:r>
        <w:rPr>
          <w:b/>
          <w:u w:val="single"/>
        </w:rPr>
        <w:t>Conclusion</w:t>
      </w:r>
    </w:p>
    <w:p w14:paraId="00000024" w14:textId="77777777" w:rsidR="009B16B7" w:rsidRDefault="001B7A95">
      <w:r>
        <w:t>Looking back, there is much I could have done to avoid getting into the situation I found myself in. As for the academic part, I should have sought help earlier, not when it got difficult for me to do my assignments. If I had started doing academic resources provided by the university from the start—for example, workshops in writing and study groups—I would have adapted faster to the requirements of higher education.</w:t>
      </w:r>
    </w:p>
    <w:p w14:paraId="00000025" w14:textId="77777777" w:rsidR="009B16B7" w:rsidRDefault="001B7A95">
      <w:r>
        <w:t xml:space="preserve">It would have been good, from the beginning, to set up a structured timetable in the time management. Deadlines and priorities of tasks, maybe breaking down assignments into smaller </w:t>
      </w:r>
      <w:r>
        <w:lastRenderedPageBreak/>
        <w:t>actionable steps, would have saved me from the last-minute rush, which mainly caused stress and lower quality work.</w:t>
      </w:r>
    </w:p>
    <w:p w14:paraId="00000026" w14:textId="77777777" w:rsidR="009B16B7" w:rsidRDefault="001B7A95">
      <w:r>
        <w:t>Socially, I should have reached out more and done all group activities. Joining some student societies or attending some social events from the very beginning would have helped me to meet new people, build up a network, and reduce feelings of isolation.</w:t>
      </w:r>
    </w:p>
    <w:p w14:paraId="00000027" w14:textId="77777777" w:rsidR="009B16B7" w:rsidRDefault="001B7A95">
      <w:pPr>
        <w:rPr>
          <w:b/>
          <w:u w:val="single"/>
        </w:rPr>
      </w:pPr>
      <w:r>
        <w:rPr>
          <w:b/>
          <w:u w:val="single"/>
        </w:rPr>
        <w:t xml:space="preserve">Action Plan </w:t>
      </w:r>
    </w:p>
    <w:p w14:paraId="00000028" w14:textId="77777777" w:rsidR="009B16B7" w:rsidRDefault="001B7A95">
      <w:r>
        <w:t>I would definitely work in a more proactive and structured way if I were to face all these challenges again. Academic-wise, I would create a regular study routine with breaks included and make sure that I start working on assignments as early as possible so that they are well done by the deadline. I would further learn from academic resources persistently through continuous attainment of feedback from professors and workshops.</w:t>
      </w:r>
    </w:p>
    <w:p w14:paraId="00000029" w14:textId="7D2FC29E" w:rsidR="009B16B7" w:rsidRDefault="001B7A95">
      <w:r>
        <w:t>I would enforce much greater time management by having a more disciplined approach to scheduling</w:t>
      </w:r>
      <w:r w:rsidR="005039C6">
        <w:t xml:space="preserve"> </w:t>
      </w:r>
      <w:r w:rsidR="005039C6" w:rsidRPr="005039C6">
        <w:t>(Lakein, 1973; Tracy, 2007</w:t>
      </w:r>
      <w:r w:rsidR="005039C6">
        <w:t>)</w:t>
      </w:r>
      <w:r>
        <w:t>. This involves setting up daily goals, keeping up deadlines using planners or digital calendars, allocating time for academics and personal activities to be able to maintain balance.</w:t>
      </w:r>
    </w:p>
    <w:p w14:paraId="0000002A" w14:textId="77777777" w:rsidR="009B16B7" w:rsidRDefault="001B7A95">
      <w:r>
        <w:t>I would get involved with my peers earlier by joining student societies and attending networking events. Realising the need to build contacts for support, I would be more willing to reach out and become involved in group activities that would help in building a sense of belonging within the university community.</w:t>
      </w:r>
    </w:p>
    <w:p w14:paraId="0000002B" w14:textId="77777777" w:rsidR="009B16B7" w:rsidRDefault="001B7A95">
      <w:pPr>
        <w:pStyle w:val="Heading1"/>
      </w:pPr>
      <w:r>
        <w:t xml:space="preserve">Conclusion </w:t>
      </w:r>
    </w:p>
    <w:p w14:paraId="0000002C" w14:textId="77777777" w:rsidR="009B16B7" w:rsidRDefault="001B7A95">
      <w:pPr>
        <w:spacing w:after="160"/>
      </w:pPr>
      <w:r>
        <w:t>The first university experience has been quite challenging but, at the same time, transformative. Reflection using Gibbs' model helped me realize that late utilization of academic resources, poor time management, and passive social engagement were my weaknesses in this semester. These improvements not only helped me to achieve better grades but made me a better person. I will be more organized regarding my academics and social life, seeing that I will balance out everything to have a successful university l</w:t>
      </w:r>
      <w:r>
        <w:t>ife in the future. This reflection has brought forward the clear importance of being resilient and adaptable, as well as knowing when to ask for help, while facing new challenges.</w:t>
      </w:r>
    </w:p>
    <w:p w14:paraId="5A997948" w14:textId="3E507138" w:rsidR="00C56F95" w:rsidRDefault="001B7A95" w:rsidP="00C25CFF">
      <w:pPr>
        <w:pStyle w:val="Heading1"/>
      </w:pPr>
      <w:r>
        <w:br w:type="page"/>
        <w:t xml:space="preserve">References </w:t>
      </w:r>
    </w:p>
    <w:p w14:paraId="4CCEA821" w14:textId="77777777" w:rsidR="00C56F95" w:rsidRPr="00C25CFF" w:rsidRDefault="00C56F95">
      <w:r w:rsidRPr="00C25CFF">
        <w:t>Astin, A.W., 2014. Student involvement: A developmental theory for higher education. In </w:t>
      </w:r>
      <w:r w:rsidRPr="00C25CFF">
        <w:rPr>
          <w:i/>
          <w:iCs/>
        </w:rPr>
        <w:t>College student development and academic life</w:t>
      </w:r>
      <w:r w:rsidRPr="00C25CFF">
        <w:t> (pp. 251-262). Routledge.</w:t>
      </w:r>
    </w:p>
    <w:p w14:paraId="2F14E630" w14:textId="77777777" w:rsidR="00C56F95" w:rsidRPr="00C25CFF" w:rsidRDefault="00C56F95">
      <w:r w:rsidRPr="00C25CFF">
        <w:t>Cottrell, S., 2024. </w:t>
      </w:r>
      <w:r w:rsidRPr="00C25CFF">
        <w:rPr>
          <w:i/>
          <w:iCs/>
        </w:rPr>
        <w:t>The study skills handbook</w:t>
      </w:r>
      <w:r w:rsidRPr="00C25CFF">
        <w:t>. Bloomsbury Publishing.</w:t>
      </w:r>
    </w:p>
    <w:p w14:paraId="4FCF7E01" w14:textId="77777777" w:rsidR="00C56F95" w:rsidRPr="00C25CFF" w:rsidRDefault="00C56F95" w:rsidP="005039C6">
      <w:r w:rsidRPr="00C25CFF">
        <w:t>Gibbs, G., 1988. Learning by doing: A guide to teaching and learning methods. </w:t>
      </w:r>
      <w:r w:rsidRPr="00C25CFF">
        <w:rPr>
          <w:i/>
          <w:iCs/>
        </w:rPr>
        <w:t>Further Education Unit</w:t>
      </w:r>
      <w:r w:rsidRPr="00C25CFF">
        <w:t>.</w:t>
      </w:r>
    </w:p>
    <w:p w14:paraId="6621B98A" w14:textId="77777777" w:rsidR="00C56F95" w:rsidRPr="00C25CFF" w:rsidRDefault="00C56F95">
      <w:r w:rsidRPr="00C25CFF">
        <w:t>Godfrey, J., 2018. </w:t>
      </w:r>
      <w:r w:rsidRPr="00C25CFF">
        <w:rPr>
          <w:i/>
          <w:iCs/>
        </w:rPr>
        <w:t>How to use your reading in your essays</w:t>
      </w:r>
      <w:r w:rsidRPr="00C25CFF">
        <w:t> (Vol. 22). Bloomsbury Publishing.</w:t>
      </w:r>
    </w:p>
    <w:p w14:paraId="36D7C06B" w14:textId="77777777" w:rsidR="00C56F95" w:rsidRPr="00C25CFF" w:rsidRDefault="00C56F95">
      <w:r w:rsidRPr="00C25CFF">
        <w:t>Lakein, A. and Leake, P., 1973. </w:t>
      </w:r>
      <w:r w:rsidRPr="00C25CFF">
        <w:rPr>
          <w:i/>
          <w:iCs/>
        </w:rPr>
        <w:t>How to get control of your time and your life</w:t>
      </w:r>
      <w:r w:rsidRPr="00C25CFF">
        <w:t> (p. 204). New York: New American Library.</w:t>
      </w:r>
    </w:p>
    <w:p w14:paraId="0DFDA82F" w14:textId="77777777" w:rsidR="00C56F95" w:rsidRPr="00C25CFF" w:rsidRDefault="00C56F95">
      <w:r w:rsidRPr="00C25CFF">
        <w:t>Markkanen, P., Välimäki, M., Anttila, M. and Kuuskorpi, M., 2020. A reflective cycle: Understanding challenging situations in a school setting. </w:t>
      </w:r>
      <w:r w:rsidRPr="00C25CFF">
        <w:rPr>
          <w:i/>
        </w:rPr>
        <w:t>Educational Research</w:t>
      </w:r>
      <w:r w:rsidRPr="00C25CFF">
        <w:t>, </w:t>
      </w:r>
      <w:r w:rsidRPr="00C25CFF">
        <w:rPr>
          <w:i/>
        </w:rPr>
        <w:t>62</w:t>
      </w:r>
      <w:r w:rsidRPr="00C25CFF">
        <w:t>(1), pp.46-62.</w:t>
      </w:r>
    </w:p>
    <w:p w14:paraId="5729C859" w14:textId="77777777" w:rsidR="00C56F95" w:rsidRPr="00C25CFF" w:rsidRDefault="00C56F95" w:rsidP="00C56F95">
      <w:r w:rsidRPr="00C25CFF">
        <w:t>Musaji, S., Schulze, W.S. and De Castro, J.O., 2020. How long does it take to get to the learning curve?. </w:t>
      </w:r>
      <w:r w:rsidRPr="00C25CFF">
        <w:rPr>
          <w:i/>
          <w:iCs/>
        </w:rPr>
        <w:t>Academy of Management Journal</w:t>
      </w:r>
      <w:r w:rsidRPr="00C25CFF">
        <w:t>, </w:t>
      </w:r>
      <w:r w:rsidRPr="00C25CFF">
        <w:rPr>
          <w:i/>
          <w:iCs/>
        </w:rPr>
        <w:t>63</w:t>
      </w:r>
      <w:r w:rsidRPr="00C25CFF">
        <w:t>(1), pp.205-223.</w:t>
      </w:r>
    </w:p>
    <w:p w14:paraId="78F7DDCA" w14:textId="77777777" w:rsidR="00C56F95" w:rsidRPr="00C25CFF" w:rsidRDefault="00C56F95">
      <w:r w:rsidRPr="00C25CFF">
        <w:t>Tinto, V., 2012. </w:t>
      </w:r>
      <w:r w:rsidRPr="00C25CFF">
        <w:rPr>
          <w:i/>
          <w:iCs/>
        </w:rPr>
        <w:t>Leaving college: Rethinking the causes and cures of student attrition</w:t>
      </w:r>
      <w:r w:rsidRPr="00C25CFF">
        <w:t>. University of Chicago press.</w:t>
      </w:r>
    </w:p>
    <w:p w14:paraId="580477F5" w14:textId="77777777" w:rsidR="00C56F95" w:rsidRPr="00C25CFF" w:rsidRDefault="00C56F95" w:rsidP="00C56F95">
      <w:r w:rsidRPr="00C25CFF">
        <w:t>Trowler, P.R., 1998. </w:t>
      </w:r>
      <w:r w:rsidRPr="00C25CFF">
        <w:rPr>
          <w:i/>
          <w:iCs/>
        </w:rPr>
        <w:t>Academics Responding to Change. New Higher Education Frameworks and Academic Cultures</w:t>
      </w:r>
      <w:r w:rsidRPr="00C25CFF">
        <w:t>. SRHE, Open University, 325 Chestnut Street, Philadelphia, PA 19106.</w:t>
      </w:r>
    </w:p>
    <w:sectPr w:rsidR="00C56F95" w:rsidRPr="00C25CFF">
      <w:footerReference w:type="default" r:id="rId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6B976" w14:textId="77777777" w:rsidR="00617D99" w:rsidRDefault="00617D99">
      <w:pPr>
        <w:spacing w:after="0" w:line="240" w:lineRule="auto"/>
      </w:pPr>
      <w:r>
        <w:separator/>
      </w:r>
    </w:p>
  </w:endnote>
  <w:endnote w:type="continuationSeparator" w:id="0">
    <w:p w14:paraId="2ABBBB89" w14:textId="77777777" w:rsidR="00617D99" w:rsidRDefault="0061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2" w14:textId="15A44716" w:rsidR="009B16B7" w:rsidRDefault="001B7A95">
    <w:pPr>
      <w:pBdr>
        <w:top w:val="nil"/>
        <w:left w:val="nil"/>
        <w:bottom w:val="nil"/>
        <w:right w:val="nil"/>
        <w:between w:val="nil"/>
      </w:pBdr>
      <w:tabs>
        <w:tab w:val="center" w:pos="4513"/>
        <w:tab w:val="right" w:pos="9026"/>
      </w:tabs>
      <w:spacing w:after="0" w:line="240" w:lineRule="auto"/>
      <w:jc w:val="right"/>
      <w:rPr>
        <w:color w:val="000000"/>
        <w:szCs w:val="24"/>
      </w:rPr>
    </w:pPr>
    <w:r>
      <w:rPr>
        <w:color w:val="000000"/>
        <w:szCs w:val="24"/>
      </w:rPr>
      <w:t xml:space="preserve">Page | </w:t>
    </w:r>
    <w:r>
      <w:rPr>
        <w:color w:val="000000"/>
        <w:szCs w:val="24"/>
      </w:rPr>
      <w:fldChar w:fldCharType="begin"/>
    </w:r>
    <w:r>
      <w:rPr>
        <w:color w:val="000000"/>
        <w:szCs w:val="24"/>
      </w:rPr>
      <w:instrText>PAGE</w:instrText>
    </w:r>
    <w:r>
      <w:rPr>
        <w:color w:val="000000"/>
        <w:szCs w:val="24"/>
      </w:rPr>
      <w:fldChar w:fldCharType="separate"/>
    </w:r>
    <w:r w:rsidR="00641051">
      <w:rPr>
        <w:noProof/>
        <w:color w:val="000000"/>
        <w:szCs w:val="24"/>
      </w:rPr>
      <w:t>2</w:t>
    </w:r>
    <w:r>
      <w:rPr>
        <w:color w:val="000000"/>
        <w:szCs w:val="24"/>
      </w:rPr>
      <w:fldChar w:fldCharType="end"/>
    </w:r>
    <w:r>
      <w:rPr>
        <w:color w:val="000000"/>
        <w:szCs w:val="24"/>
      </w:rPr>
      <w:t xml:space="preserve"> </w:t>
    </w:r>
  </w:p>
  <w:p w14:paraId="00000033" w14:textId="77777777" w:rsidR="009B16B7" w:rsidRDefault="009B16B7">
    <w:pPr>
      <w:pBdr>
        <w:top w:val="nil"/>
        <w:left w:val="nil"/>
        <w:bottom w:val="nil"/>
        <w:right w:val="nil"/>
        <w:between w:val="nil"/>
      </w:pBdr>
      <w:tabs>
        <w:tab w:val="center" w:pos="4513"/>
        <w:tab w:val="right" w:pos="9026"/>
      </w:tabs>
      <w:spacing w:after="0" w:line="240" w:lineRule="auto"/>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632C91" w14:textId="77777777" w:rsidR="00617D99" w:rsidRDefault="00617D99">
      <w:pPr>
        <w:spacing w:after="0" w:line="240" w:lineRule="auto"/>
      </w:pPr>
      <w:r>
        <w:separator/>
      </w:r>
    </w:p>
  </w:footnote>
  <w:footnote w:type="continuationSeparator" w:id="0">
    <w:p w14:paraId="31168B40" w14:textId="77777777" w:rsidR="00617D99" w:rsidRDefault="00617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6B7"/>
    <w:rsid w:val="001B7A95"/>
    <w:rsid w:val="002415FC"/>
    <w:rsid w:val="002854C9"/>
    <w:rsid w:val="003B29F8"/>
    <w:rsid w:val="005039C6"/>
    <w:rsid w:val="00617D99"/>
    <w:rsid w:val="00641051"/>
    <w:rsid w:val="00775E7D"/>
    <w:rsid w:val="009B16B7"/>
    <w:rsid w:val="00A57FDD"/>
    <w:rsid w:val="00C25CFF"/>
    <w:rsid w:val="00C56F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5BEF"/>
  <w15:docId w15:val="{3F7C8D40-177B-46B9-9CCC-96D23B26B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523"/>
    <w:rPr>
      <w:szCs w:val="28"/>
      <w:lang w:bidi="bn-BD"/>
    </w:rPr>
  </w:style>
  <w:style w:type="paragraph" w:styleId="Heading1">
    <w:name w:val="heading 1"/>
    <w:basedOn w:val="Normal"/>
    <w:next w:val="Normal"/>
    <w:link w:val="Heading1Char"/>
    <w:uiPriority w:val="9"/>
    <w:qFormat/>
    <w:rsid w:val="007E358A"/>
    <w:pPr>
      <w:keepNext/>
      <w:keepLines/>
      <w:spacing w:before="400" w:after="120"/>
      <w:outlineLvl w:val="0"/>
    </w:pPr>
    <w:rPr>
      <w:rFonts w:eastAsia="Arial" w:cs="Arial"/>
      <w:b/>
      <w:sz w:val="32"/>
      <w:szCs w:val="32"/>
    </w:rPr>
  </w:style>
  <w:style w:type="paragraph" w:styleId="Heading2">
    <w:name w:val="heading 2"/>
    <w:basedOn w:val="Normal"/>
    <w:next w:val="Normal"/>
    <w:link w:val="Heading2Char"/>
    <w:uiPriority w:val="9"/>
    <w:semiHidden/>
    <w:unhideWhenUsed/>
    <w:qFormat/>
    <w:rsid w:val="007E358A"/>
    <w:pPr>
      <w:keepNext/>
      <w:keepLines/>
      <w:spacing w:before="360" w:after="120"/>
      <w:outlineLvl w:val="1"/>
    </w:pPr>
    <w:rPr>
      <w:rFonts w:eastAsia="Arial" w:cs="Arial"/>
      <w:b/>
      <w:color w:val="7030A0"/>
      <w:sz w:val="28"/>
      <w:szCs w:val="32"/>
    </w:rPr>
  </w:style>
  <w:style w:type="paragraph" w:styleId="Heading3">
    <w:name w:val="heading 3"/>
    <w:basedOn w:val="Normal"/>
    <w:next w:val="Normal"/>
    <w:link w:val="Heading3Char"/>
    <w:uiPriority w:val="9"/>
    <w:semiHidden/>
    <w:unhideWhenUsed/>
    <w:qFormat/>
    <w:rsid w:val="00794EF6"/>
    <w:pPr>
      <w:keepNext/>
      <w:keepLines/>
      <w:spacing w:before="320" w:after="80"/>
      <w:outlineLvl w:val="2"/>
    </w:pPr>
    <w:rPr>
      <w:rFonts w:eastAsia="Arial" w:cs="Arial"/>
      <w:b/>
      <w:color w:val="385623" w:themeColor="accent6" w:themeShade="80"/>
      <w:sz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E67F2"/>
    <w:pPr>
      <w:pBdr>
        <w:bottom w:val="single" w:sz="8" w:space="4" w:color="4472C4" w:themeColor="accent1"/>
      </w:pBdr>
      <w:spacing w:after="300"/>
      <w:contextualSpacing/>
      <w:jc w:val="center"/>
    </w:pPr>
    <w:rPr>
      <w:rFonts w:eastAsiaTheme="majorEastAsia" w:cstheme="majorBidi"/>
      <w:b/>
      <w:spacing w:val="5"/>
      <w:kern w:val="28"/>
      <w:sz w:val="32"/>
      <w:szCs w:val="66"/>
    </w:rPr>
  </w:style>
  <w:style w:type="character" w:customStyle="1" w:styleId="Heading1Char">
    <w:name w:val="Heading 1 Char"/>
    <w:basedOn w:val="DefaultParagraphFont"/>
    <w:link w:val="Heading1"/>
    <w:uiPriority w:val="9"/>
    <w:rsid w:val="007E358A"/>
    <w:rPr>
      <w:rFonts w:ascii="Arial" w:eastAsia="Arial" w:hAnsi="Arial" w:cs="Arial"/>
      <w:b/>
      <w:kern w:val="0"/>
      <w:sz w:val="32"/>
      <w:szCs w:val="32"/>
      <w:lang w:val="en-GB" w:eastAsia="en-IN"/>
    </w:rPr>
  </w:style>
  <w:style w:type="character" w:customStyle="1" w:styleId="Heading2Char">
    <w:name w:val="Heading 2 Char"/>
    <w:basedOn w:val="DefaultParagraphFont"/>
    <w:link w:val="Heading2"/>
    <w:uiPriority w:val="9"/>
    <w:rsid w:val="007E358A"/>
    <w:rPr>
      <w:rFonts w:ascii="Arial" w:eastAsia="Arial" w:hAnsi="Arial" w:cs="Arial"/>
      <w:b/>
      <w:color w:val="7030A0"/>
      <w:kern w:val="0"/>
      <w:sz w:val="28"/>
      <w:szCs w:val="32"/>
      <w:lang w:val="en-GB" w:eastAsia="en-IN"/>
    </w:rPr>
  </w:style>
  <w:style w:type="character" w:customStyle="1" w:styleId="Heading3Char">
    <w:name w:val="Heading 3 Char"/>
    <w:basedOn w:val="DefaultParagraphFont"/>
    <w:link w:val="Heading3"/>
    <w:uiPriority w:val="9"/>
    <w:rsid w:val="00794EF6"/>
    <w:rPr>
      <w:rFonts w:ascii="Arial" w:eastAsia="Arial" w:hAnsi="Arial" w:cs="Arial"/>
      <w:b/>
      <w:color w:val="385623" w:themeColor="accent6" w:themeShade="80"/>
      <w:kern w:val="0"/>
      <w:sz w:val="28"/>
      <w:szCs w:val="28"/>
      <w:lang w:val="en-GB" w:eastAsia="en-IN"/>
    </w:rPr>
  </w:style>
  <w:style w:type="character" w:customStyle="1" w:styleId="TitleChar">
    <w:name w:val="Title Char"/>
    <w:basedOn w:val="DefaultParagraphFont"/>
    <w:link w:val="Title"/>
    <w:uiPriority w:val="10"/>
    <w:rsid w:val="007E67F2"/>
    <w:rPr>
      <w:rFonts w:ascii="Times New Roman" w:eastAsiaTheme="majorEastAsia" w:hAnsi="Times New Roman" w:cstheme="majorBidi"/>
      <w:b/>
      <w:spacing w:val="5"/>
      <w:kern w:val="28"/>
      <w:sz w:val="32"/>
      <w:szCs w:val="66"/>
      <w:lang w:val="en-GB" w:bidi="bn-BD"/>
    </w:rPr>
  </w:style>
  <w:style w:type="paragraph" w:styleId="Header">
    <w:name w:val="header"/>
    <w:basedOn w:val="Normal"/>
    <w:link w:val="HeaderChar"/>
    <w:uiPriority w:val="99"/>
    <w:unhideWhenUsed/>
    <w:rsid w:val="007E6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7F2"/>
    <w:rPr>
      <w:rFonts w:ascii="Times New Roman" w:hAnsi="Times New Roman"/>
      <w:kern w:val="0"/>
      <w:sz w:val="24"/>
      <w:szCs w:val="28"/>
      <w:lang w:val="en-GB" w:bidi="bn-BD"/>
    </w:rPr>
  </w:style>
  <w:style w:type="paragraph" w:styleId="Footer">
    <w:name w:val="footer"/>
    <w:basedOn w:val="Normal"/>
    <w:link w:val="FooterChar"/>
    <w:uiPriority w:val="99"/>
    <w:unhideWhenUsed/>
    <w:rsid w:val="007E6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7F2"/>
    <w:rPr>
      <w:rFonts w:ascii="Times New Roman" w:hAnsi="Times New Roman"/>
      <w:kern w:val="0"/>
      <w:sz w:val="24"/>
      <w:szCs w:val="28"/>
      <w:lang w:val="en-GB" w:bidi="bn-B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641051"/>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316495">
      <w:bodyDiv w:val="1"/>
      <w:marLeft w:val="0"/>
      <w:marRight w:val="0"/>
      <w:marTop w:val="0"/>
      <w:marBottom w:val="0"/>
      <w:divBdr>
        <w:top w:val="none" w:sz="0" w:space="0" w:color="auto"/>
        <w:left w:val="none" w:sz="0" w:space="0" w:color="auto"/>
        <w:bottom w:val="none" w:sz="0" w:space="0" w:color="auto"/>
        <w:right w:val="none" w:sz="0" w:space="0" w:color="auto"/>
      </w:divBdr>
    </w:div>
    <w:div w:id="1689524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EoOGatj7stXGzpEH+SiWya86QQ==">CgMxLjA4AHIhMWtTcjEwcXowajljT2YwMnd2eHBTdW8zTnBvak1lbXdq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DenisAKAdenz </cp:lastModifiedBy>
  <cp:revision>2</cp:revision>
  <dcterms:created xsi:type="dcterms:W3CDTF">2024-08-27T09:20:00Z</dcterms:created>
  <dcterms:modified xsi:type="dcterms:W3CDTF">2024-08-27T09:20:00Z</dcterms:modified>
</cp:coreProperties>
</file>