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AA882" w14:textId="77777777" w:rsidR="006374E9" w:rsidRDefault="006374E9">
      <w:pPr>
        <w:spacing w:line="480" w:lineRule="auto"/>
        <w:jc w:val="center"/>
        <w:rPr>
          <w:rFonts w:ascii="Times New Roman" w:eastAsia="Times New Roman" w:hAnsi="Times New Roman" w:cs="Times New Roman"/>
          <w:sz w:val="24"/>
          <w:szCs w:val="24"/>
        </w:rPr>
      </w:pPr>
    </w:p>
    <w:p w14:paraId="127957E0" w14:textId="77777777" w:rsidR="00185B00" w:rsidRDefault="00185B00">
      <w:pPr>
        <w:spacing w:line="480" w:lineRule="auto"/>
        <w:jc w:val="center"/>
        <w:rPr>
          <w:rFonts w:ascii="Times New Roman" w:eastAsia="Times New Roman" w:hAnsi="Times New Roman" w:cs="Times New Roman"/>
          <w:sz w:val="24"/>
          <w:szCs w:val="24"/>
        </w:rPr>
      </w:pPr>
    </w:p>
    <w:p w14:paraId="591B99CA" w14:textId="77777777" w:rsidR="00185B00" w:rsidRDefault="00185B00">
      <w:pPr>
        <w:spacing w:line="480" w:lineRule="auto"/>
        <w:jc w:val="center"/>
        <w:rPr>
          <w:rFonts w:ascii="Times New Roman" w:eastAsia="Times New Roman" w:hAnsi="Times New Roman" w:cs="Times New Roman"/>
          <w:sz w:val="24"/>
          <w:szCs w:val="24"/>
        </w:rPr>
      </w:pPr>
    </w:p>
    <w:p w14:paraId="5DA0A463" w14:textId="77777777" w:rsidR="00185B00" w:rsidRDefault="00185B00">
      <w:pPr>
        <w:spacing w:line="480" w:lineRule="auto"/>
        <w:jc w:val="center"/>
        <w:rPr>
          <w:rFonts w:ascii="Times New Roman" w:eastAsia="Times New Roman" w:hAnsi="Times New Roman" w:cs="Times New Roman"/>
          <w:sz w:val="24"/>
          <w:szCs w:val="24"/>
        </w:rPr>
      </w:pPr>
    </w:p>
    <w:p w14:paraId="0A3D926E" w14:textId="77777777" w:rsidR="00185B00" w:rsidRDefault="00185B00">
      <w:pPr>
        <w:spacing w:line="480" w:lineRule="auto"/>
        <w:jc w:val="center"/>
        <w:rPr>
          <w:rFonts w:ascii="Times New Roman" w:eastAsia="Times New Roman" w:hAnsi="Times New Roman" w:cs="Times New Roman"/>
          <w:sz w:val="24"/>
          <w:szCs w:val="24"/>
        </w:rPr>
      </w:pPr>
    </w:p>
    <w:p w14:paraId="587F708C" w14:textId="77777777" w:rsidR="006374E9" w:rsidRPr="00185B00" w:rsidRDefault="006374E9">
      <w:pPr>
        <w:spacing w:line="480" w:lineRule="auto"/>
        <w:jc w:val="center"/>
        <w:rPr>
          <w:rFonts w:ascii="Times New Roman" w:eastAsia="Times New Roman" w:hAnsi="Times New Roman" w:cs="Times New Roman"/>
          <w:sz w:val="36"/>
          <w:szCs w:val="36"/>
        </w:rPr>
      </w:pPr>
    </w:p>
    <w:p w14:paraId="32CBF6F0" w14:textId="20AD11FA" w:rsidR="006374E9" w:rsidRDefault="00F9369F">
      <w:pPr>
        <w:spacing w:line="480" w:lineRule="auto"/>
        <w:jc w:val="center"/>
        <w:rPr>
          <w:rFonts w:ascii="Times New Roman" w:eastAsia="Times New Roman" w:hAnsi="Times New Roman" w:cs="Times New Roman"/>
          <w:b/>
          <w:bCs/>
          <w:sz w:val="36"/>
          <w:szCs w:val="36"/>
        </w:rPr>
      </w:pPr>
      <w:r w:rsidRPr="00185B00">
        <w:rPr>
          <w:rFonts w:ascii="Times New Roman" w:eastAsia="Times New Roman" w:hAnsi="Times New Roman" w:cs="Times New Roman"/>
          <w:b/>
          <w:bCs/>
          <w:sz w:val="36"/>
          <w:szCs w:val="36"/>
        </w:rPr>
        <w:t>MANAGEMENT ACCOUNTING</w:t>
      </w:r>
    </w:p>
    <w:p w14:paraId="2A97751F" w14:textId="6CB7DC67" w:rsidR="004F3E16" w:rsidRPr="00185B00" w:rsidRDefault="004F3E16">
      <w:pPr>
        <w:spacing w:line="48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LCBB5002</w:t>
      </w:r>
    </w:p>
    <w:p w14:paraId="2B158093" w14:textId="1B84A0EF" w:rsidR="00F9369F" w:rsidRDefault="00F9369F">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Assignment 2 Report</w:t>
      </w:r>
    </w:p>
    <w:p w14:paraId="18A84093" w14:textId="1463DE2A" w:rsidR="00F9369F" w:rsidRDefault="001724AC" w:rsidP="00BF3F0F">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LECTURER: Zainab Atta</w:t>
      </w:r>
    </w:p>
    <w:p w14:paraId="7101B7AC" w14:textId="3BD3BF34" w:rsidR="001724AC" w:rsidRDefault="001724AC" w:rsidP="001724AC">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Riaz Bhatti</w:t>
      </w:r>
    </w:p>
    <w:p w14:paraId="3B18C441" w14:textId="605B100D" w:rsidR="00A741EB" w:rsidRDefault="00185B00" w:rsidP="00BF3F0F">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w:t>
      </w:r>
      <w:r w:rsidR="00A741EB">
        <w:rPr>
          <w:rFonts w:ascii="Times New Roman" w:eastAsia="Times New Roman" w:hAnsi="Times New Roman" w:cs="Times New Roman"/>
          <w:b/>
          <w:bCs/>
          <w:sz w:val="28"/>
          <w:szCs w:val="28"/>
        </w:rPr>
        <w:t>INTERNAL VERIFIER: Widin Sha’ven</w:t>
      </w:r>
    </w:p>
    <w:p w14:paraId="7C6EF287" w14:textId="2A7AA5D3" w:rsidR="00A741EB" w:rsidRDefault="00185B00" w:rsidP="00BF3F0F">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w:t>
      </w:r>
      <w:r w:rsidR="00A741EB">
        <w:rPr>
          <w:rFonts w:ascii="Times New Roman" w:eastAsia="Times New Roman" w:hAnsi="Times New Roman" w:cs="Times New Roman"/>
          <w:b/>
          <w:bCs/>
          <w:sz w:val="28"/>
          <w:szCs w:val="28"/>
        </w:rPr>
        <w:t>STUDENT NAME: Alina Munteanu</w:t>
      </w:r>
    </w:p>
    <w:p w14:paraId="6EB9D491" w14:textId="7AA7DA05" w:rsidR="00A741EB" w:rsidRPr="00F9369F" w:rsidRDefault="00A741EB" w:rsidP="00185B00">
      <w:pPr>
        <w:spacing w:line="48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CODE: </w:t>
      </w:r>
      <w:r w:rsidR="00BF3F0F">
        <w:rPr>
          <w:rFonts w:ascii="Times New Roman" w:eastAsia="Times New Roman" w:hAnsi="Times New Roman" w:cs="Times New Roman"/>
          <w:b/>
          <w:bCs/>
          <w:sz w:val="28"/>
          <w:szCs w:val="28"/>
        </w:rPr>
        <w:t>1920430</w:t>
      </w:r>
    </w:p>
    <w:p w14:paraId="55CD18D9" w14:textId="77777777" w:rsidR="006374E9" w:rsidRDefault="006374E9">
      <w:pPr>
        <w:spacing w:line="480" w:lineRule="auto"/>
        <w:jc w:val="center"/>
        <w:rPr>
          <w:rFonts w:ascii="Times New Roman" w:eastAsia="Times New Roman" w:hAnsi="Times New Roman" w:cs="Times New Roman"/>
          <w:sz w:val="24"/>
          <w:szCs w:val="24"/>
        </w:rPr>
      </w:pPr>
    </w:p>
    <w:p w14:paraId="383F177F" w14:textId="77777777" w:rsidR="006374E9" w:rsidRDefault="006374E9">
      <w:pPr>
        <w:spacing w:line="480" w:lineRule="auto"/>
        <w:jc w:val="center"/>
        <w:rPr>
          <w:rFonts w:ascii="Times New Roman" w:eastAsia="Times New Roman" w:hAnsi="Times New Roman" w:cs="Times New Roman"/>
          <w:sz w:val="24"/>
          <w:szCs w:val="24"/>
        </w:rPr>
      </w:pPr>
    </w:p>
    <w:p w14:paraId="677534BB" w14:textId="77777777" w:rsidR="006374E9" w:rsidRDefault="006374E9">
      <w:pPr>
        <w:spacing w:line="480" w:lineRule="auto"/>
        <w:jc w:val="center"/>
        <w:rPr>
          <w:rFonts w:ascii="Times New Roman" w:eastAsia="Times New Roman" w:hAnsi="Times New Roman" w:cs="Times New Roman"/>
          <w:sz w:val="24"/>
          <w:szCs w:val="24"/>
        </w:rPr>
      </w:pPr>
    </w:p>
    <w:p w14:paraId="1674E2B9" w14:textId="77777777" w:rsidR="006374E9" w:rsidRDefault="006374E9">
      <w:pPr>
        <w:spacing w:line="480" w:lineRule="auto"/>
        <w:jc w:val="center"/>
        <w:rPr>
          <w:rFonts w:ascii="Times New Roman" w:eastAsia="Times New Roman" w:hAnsi="Times New Roman" w:cs="Times New Roman"/>
          <w:sz w:val="24"/>
          <w:szCs w:val="24"/>
        </w:rPr>
      </w:pPr>
    </w:p>
    <w:p w14:paraId="1D2A7F31" w14:textId="77777777" w:rsidR="006374E9" w:rsidRDefault="006374E9">
      <w:pPr>
        <w:spacing w:line="480" w:lineRule="auto"/>
        <w:jc w:val="center"/>
        <w:rPr>
          <w:rFonts w:ascii="Times New Roman" w:eastAsia="Times New Roman" w:hAnsi="Times New Roman" w:cs="Times New Roman"/>
          <w:sz w:val="24"/>
          <w:szCs w:val="24"/>
        </w:rPr>
      </w:pPr>
    </w:p>
    <w:p w14:paraId="025E462F" w14:textId="77777777" w:rsidR="006374E9" w:rsidRDefault="006374E9">
      <w:pPr>
        <w:spacing w:line="480" w:lineRule="auto"/>
        <w:jc w:val="center"/>
        <w:rPr>
          <w:rFonts w:ascii="Times New Roman" w:eastAsia="Times New Roman" w:hAnsi="Times New Roman" w:cs="Times New Roman"/>
          <w:sz w:val="24"/>
          <w:szCs w:val="24"/>
        </w:rPr>
      </w:pPr>
    </w:p>
    <w:p w14:paraId="75B72235" w14:textId="77777777" w:rsidR="006374E9" w:rsidRDefault="006374E9">
      <w:pPr>
        <w:spacing w:line="480" w:lineRule="auto"/>
        <w:jc w:val="center"/>
        <w:rPr>
          <w:rFonts w:ascii="Times New Roman" w:eastAsia="Times New Roman" w:hAnsi="Times New Roman" w:cs="Times New Roman"/>
          <w:sz w:val="24"/>
          <w:szCs w:val="24"/>
        </w:rPr>
      </w:pPr>
    </w:p>
    <w:p w14:paraId="0DA840BF" w14:textId="77777777" w:rsidR="006374E9" w:rsidRDefault="006374E9">
      <w:pPr>
        <w:spacing w:line="480" w:lineRule="auto"/>
        <w:jc w:val="center"/>
        <w:rPr>
          <w:rFonts w:ascii="Times New Roman" w:eastAsia="Times New Roman" w:hAnsi="Times New Roman" w:cs="Times New Roman"/>
          <w:sz w:val="24"/>
          <w:szCs w:val="24"/>
        </w:rPr>
      </w:pPr>
    </w:p>
    <w:p w14:paraId="0AC8A2C0" w14:textId="77777777" w:rsidR="006374E9" w:rsidRDefault="006374E9">
      <w:pPr>
        <w:spacing w:line="480" w:lineRule="auto"/>
        <w:jc w:val="center"/>
        <w:rPr>
          <w:rFonts w:ascii="Times New Roman" w:eastAsia="Times New Roman" w:hAnsi="Times New Roman" w:cs="Times New Roman"/>
          <w:sz w:val="24"/>
          <w:szCs w:val="24"/>
        </w:rPr>
      </w:pPr>
    </w:p>
    <w:p w14:paraId="4E185E8A" w14:textId="77777777" w:rsidR="006374E9" w:rsidRDefault="006374E9">
      <w:pPr>
        <w:spacing w:line="480" w:lineRule="auto"/>
        <w:jc w:val="center"/>
        <w:rPr>
          <w:rFonts w:ascii="Times New Roman" w:eastAsia="Times New Roman" w:hAnsi="Times New Roman" w:cs="Times New Roman"/>
          <w:sz w:val="24"/>
          <w:szCs w:val="24"/>
        </w:rPr>
      </w:pPr>
    </w:p>
    <w:p w14:paraId="1E31A03C" w14:textId="77777777" w:rsidR="006374E9" w:rsidRDefault="006374E9">
      <w:pPr>
        <w:spacing w:line="480" w:lineRule="auto"/>
        <w:rPr>
          <w:rFonts w:ascii="Times New Roman" w:eastAsia="Times New Roman" w:hAnsi="Times New Roman" w:cs="Times New Roman"/>
          <w:sz w:val="24"/>
          <w:szCs w:val="24"/>
        </w:rPr>
      </w:pPr>
    </w:p>
    <w:p w14:paraId="70DCE68D" w14:textId="77777777" w:rsidR="006374E9" w:rsidRDefault="00A8742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2 Report</w:t>
      </w:r>
    </w:p>
    <w:p w14:paraId="6585975F" w14:textId="77777777"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accounting is the procedure of presenting financial and functional information to management to make sound business decisions. Budgets, future projections, and productivity reports are examples of this data. One of the most important facets of management accounting is its emphasis on short-term decisions. Management Accounting Information (MAI) is intended to assist the management team in making improved day-to-day judgments instead of long-term strategic choices. MAI usually involves data on costs, revenues, earnings, and other variables pertinent to business managers. This report is split into two sections. The first section demonstrates the preparatory work of a monthly control report that specifies Amana's Ltd.'s performance throughout the year 2020. The second section advises Mr. Amana on whether he should open his online store or sell on Amazon.</w:t>
      </w:r>
    </w:p>
    <w:p w14:paraId="510D03EF" w14:textId="77777777" w:rsidR="006374E9" w:rsidRDefault="00A8742E">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 A</w:t>
      </w:r>
    </w:p>
    <w:p w14:paraId="7B5CBB4B" w14:textId="579A8EBC" w:rsidR="006374E9" w:rsidRDefault="00A8742E">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 monthly control report is a document that summarises the company's performance for the previous month. It would include revenue, expense, profit/loss amounts, and a sales disintegration by the line of products or service. The report also compares actual results to budgeted amounts, outlining whatever areas in which actual outcomes deviated from expectations. This enables management to distinguish possible issues or areas for improvement rapidly. The monthly control report is helpful in a variety of ways. It can, for example, be utilised to monitor performance toward </w:t>
      </w:r>
      <w:r w:rsidR="00F509CF">
        <w:rPr>
          <w:rFonts w:ascii="Times New Roman" w:eastAsia="Times New Roman" w:hAnsi="Times New Roman" w:cs="Times New Roman"/>
          <w:color w:val="0E101A"/>
          <w:sz w:val="24"/>
          <w:szCs w:val="24"/>
        </w:rPr>
        <w:t>objectives</w:t>
      </w:r>
      <w:r>
        <w:rPr>
          <w:rFonts w:ascii="Times New Roman" w:eastAsia="Times New Roman" w:hAnsi="Times New Roman" w:cs="Times New Roman"/>
          <w:color w:val="0E101A"/>
          <w:sz w:val="24"/>
          <w:szCs w:val="24"/>
        </w:rPr>
        <w:t xml:space="preserve"> and goals (Davidyuk, 2017). It can also assist in identifying trends and patterns, enabling management to render better up-to-date choices about future strategy. Furthermore, the report could be used to forecast long-term performance.</w:t>
      </w:r>
    </w:p>
    <w:p w14:paraId="2F8A136C" w14:textId="77777777" w:rsidR="006374E9" w:rsidRDefault="00A8742E">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The chief financial officer (CFO) is generally responsible for the monthly control report, which is reviewed together with all other associates of top management before being distributed throughout the company. It could be mailed or posted on the web for staff members to use as a reference source. Numerous businesses have large databases accessible through staff members' intranets, rendering it simple to upload the report to a safe domain of the website. Staff members can then view it privately without being traced online from any smartphone or computer with an internet connection or obtain a copy for prospective use to their microchips, e.g., flash disk or hard drive. In so many instances, the monthly control statement is supplemented by an executive summary that summarises key points from the entire document. This makes it very convenient for managers to obtain the information they require without having to read through every single information in the monthly control report (Kholkin, 2020).</w:t>
      </w:r>
    </w:p>
    <w:p w14:paraId="5F17F4B8" w14:textId="53DDBB13" w:rsidR="006374E9" w:rsidRDefault="00A8742E">
      <w:pPr>
        <w:spacing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Flexible budgeting is the second most common type of budgeting. Flexible budgeting allows more flexibility in revenue and expenses resulting from better or worse than performance expectations. For instance, a company may have a lower minimum than anticipated income in a particular month. However, since it has a flexible budget, it can still stay within its budget by trying to cut down on some of its </w:t>
      </w:r>
      <w:r w:rsidR="00F509CF">
        <w:rPr>
          <w:rFonts w:ascii="Times New Roman" w:eastAsia="Times New Roman" w:hAnsi="Times New Roman" w:cs="Times New Roman"/>
          <w:color w:val="0E101A"/>
          <w:sz w:val="24"/>
          <w:szCs w:val="24"/>
        </w:rPr>
        <w:t>spending’s</w:t>
      </w:r>
      <w:r>
        <w:rPr>
          <w:rFonts w:ascii="Times New Roman" w:eastAsia="Times New Roman" w:hAnsi="Times New Roman" w:cs="Times New Roman"/>
          <w:color w:val="0E101A"/>
          <w:sz w:val="24"/>
          <w:szCs w:val="24"/>
        </w:rPr>
        <w:t>. In contrast, if the company's income increases one month, the extra funds can be used to expand the business. Flexible budgeting has two main advantages: it allows businesses to become more attentive to volatility in sales and expenditure, enabling them to compare actual performance to desired performance (Li, 2018). Businesses that can track their actual performance can recognize areas in which they are underperforming or outperforming and adapt accordingly. Preparing a flexible budget is a much more precise method of business budgeting because it accounts for both negative and positive adjustments in income and costs.</w:t>
      </w:r>
    </w:p>
    <w:p w14:paraId="41FEA912" w14:textId="61A8FF76" w:rsidR="00F509CF" w:rsidRDefault="00F509CF">
      <w:pPr>
        <w:spacing w:line="480" w:lineRule="auto"/>
        <w:ind w:firstLine="720"/>
        <w:rPr>
          <w:rFonts w:ascii="Times New Roman" w:eastAsia="Times New Roman" w:hAnsi="Times New Roman" w:cs="Times New Roman"/>
          <w:color w:val="0E101A"/>
          <w:sz w:val="24"/>
          <w:szCs w:val="24"/>
        </w:rPr>
      </w:pPr>
    </w:p>
    <w:p w14:paraId="01D3F4B7" w14:textId="77777777" w:rsidR="00841610" w:rsidRDefault="00841610">
      <w:pPr>
        <w:spacing w:line="480" w:lineRule="auto"/>
        <w:ind w:firstLine="720"/>
        <w:rPr>
          <w:rFonts w:ascii="Times New Roman" w:eastAsia="Times New Roman" w:hAnsi="Times New Roman" w:cs="Times New Roman"/>
          <w:color w:val="0E101A"/>
          <w:sz w:val="24"/>
          <w:szCs w:val="24"/>
        </w:rPr>
      </w:pPr>
    </w:p>
    <w:p w14:paraId="2B5D4F99" w14:textId="35C3727B" w:rsidR="00F509CF" w:rsidRDefault="00F509CF">
      <w:pPr>
        <w:spacing w:line="480" w:lineRule="auto"/>
        <w:ind w:firstLine="720"/>
        <w:rPr>
          <w:rFonts w:ascii="Times New Roman" w:eastAsia="Times New Roman" w:hAnsi="Times New Roman" w:cs="Times New Roman"/>
          <w:color w:val="0E101A"/>
          <w:sz w:val="24"/>
          <w:szCs w:val="24"/>
        </w:rPr>
      </w:pPr>
    </w:p>
    <w:p w14:paraId="260BA09E" w14:textId="271D8F43" w:rsidR="00F509CF" w:rsidRDefault="00F509CF">
      <w:pPr>
        <w:spacing w:line="480" w:lineRule="auto"/>
        <w:ind w:firstLine="720"/>
        <w:rPr>
          <w:rFonts w:ascii="Times New Roman" w:eastAsia="Times New Roman" w:hAnsi="Times New Roman" w:cs="Times New Roman"/>
          <w:color w:val="0E101A"/>
          <w:sz w:val="24"/>
          <w:szCs w:val="24"/>
        </w:rPr>
      </w:pPr>
    </w:p>
    <w:p w14:paraId="340DCA38" w14:textId="77777777" w:rsidR="00F509CF" w:rsidRDefault="00F509CF">
      <w:pPr>
        <w:spacing w:line="480" w:lineRule="auto"/>
        <w:ind w:firstLine="720"/>
        <w:rPr>
          <w:rFonts w:ascii="Times New Roman" w:eastAsia="Times New Roman" w:hAnsi="Times New Roman" w:cs="Times New Roman"/>
          <w:sz w:val="24"/>
          <w:szCs w:val="24"/>
        </w:rPr>
      </w:pPr>
    </w:p>
    <w:p w14:paraId="3514128F" w14:textId="77777777" w:rsidR="006374E9" w:rsidRDefault="00A8742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Monthly Control Report</w:t>
      </w:r>
    </w:p>
    <w:p w14:paraId="5E18B803" w14:textId="77777777" w:rsidR="006374E9" w:rsidRDefault="00A8742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Original budget</w:t>
      </w:r>
    </w:p>
    <w:p w14:paraId="7558308A" w14:textId="77777777" w:rsidR="006374E9" w:rsidRDefault="006374E9">
      <w:pPr>
        <w:spacing w:line="480" w:lineRule="auto"/>
        <w:jc w:val="center"/>
        <w:rPr>
          <w:rFonts w:ascii="Times New Roman" w:eastAsia="Times New Roman" w:hAnsi="Times New Roman" w:cs="Times New Roman"/>
          <w:sz w:val="24"/>
          <w:szCs w:val="24"/>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6374E9" w14:paraId="234732CD" w14:textId="77777777">
        <w:trPr>
          <w:jc w:val="center"/>
        </w:trPr>
        <w:tc>
          <w:tcPr>
            <w:tcW w:w="1805" w:type="dxa"/>
            <w:shd w:val="clear" w:color="auto" w:fill="auto"/>
            <w:tcMar>
              <w:top w:w="100" w:type="dxa"/>
              <w:left w:w="100" w:type="dxa"/>
              <w:bottom w:w="100" w:type="dxa"/>
              <w:right w:w="100" w:type="dxa"/>
            </w:tcMar>
          </w:tcPr>
          <w:p w14:paraId="534B1C16"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Particulars</w:t>
            </w:r>
          </w:p>
        </w:tc>
        <w:tc>
          <w:tcPr>
            <w:tcW w:w="1805" w:type="dxa"/>
            <w:shd w:val="clear" w:color="auto" w:fill="auto"/>
            <w:tcMar>
              <w:top w:w="100" w:type="dxa"/>
              <w:left w:w="100" w:type="dxa"/>
              <w:bottom w:w="100" w:type="dxa"/>
              <w:right w:w="100" w:type="dxa"/>
            </w:tcMar>
          </w:tcPr>
          <w:p w14:paraId="03815EDF" w14:textId="77777777" w:rsidR="006374E9" w:rsidRDefault="00A8742E">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Original (£)</w:t>
            </w:r>
          </w:p>
        </w:tc>
        <w:tc>
          <w:tcPr>
            <w:tcW w:w="1805" w:type="dxa"/>
            <w:shd w:val="clear" w:color="auto" w:fill="auto"/>
            <w:tcMar>
              <w:top w:w="100" w:type="dxa"/>
              <w:left w:w="100" w:type="dxa"/>
              <w:bottom w:w="100" w:type="dxa"/>
              <w:right w:w="100" w:type="dxa"/>
            </w:tcMar>
          </w:tcPr>
          <w:p w14:paraId="1521538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Actual (£)</w:t>
            </w:r>
          </w:p>
        </w:tc>
        <w:tc>
          <w:tcPr>
            <w:tcW w:w="1805" w:type="dxa"/>
            <w:shd w:val="clear" w:color="auto" w:fill="auto"/>
            <w:tcMar>
              <w:top w:w="100" w:type="dxa"/>
              <w:left w:w="100" w:type="dxa"/>
              <w:bottom w:w="100" w:type="dxa"/>
              <w:right w:w="100" w:type="dxa"/>
            </w:tcMar>
          </w:tcPr>
          <w:p w14:paraId="3A8F071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Variance</w:t>
            </w:r>
          </w:p>
        </w:tc>
        <w:tc>
          <w:tcPr>
            <w:tcW w:w="1805" w:type="dxa"/>
            <w:shd w:val="clear" w:color="auto" w:fill="auto"/>
            <w:tcMar>
              <w:top w:w="100" w:type="dxa"/>
              <w:left w:w="100" w:type="dxa"/>
              <w:bottom w:w="100" w:type="dxa"/>
              <w:right w:w="100" w:type="dxa"/>
            </w:tcMar>
          </w:tcPr>
          <w:p w14:paraId="1C0FC00B"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Favourable/Unfavourable Variance</w:t>
            </w:r>
          </w:p>
        </w:tc>
      </w:tr>
      <w:tr w:rsidR="006374E9" w14:paraId="7D4C435C" w14:textId="77777777">
        <w:trPr>
          <w:jc w:val="center"/>
        </w:trPr>
        <w:tc>
          <w:tcPr>
            <w:tcW w:w="1805" w:type="dxa"/>
            <w:shd w:val="clear" w:color="auto" w:fill="auto"/>
            <w:tcMar>
              <w:top w:w="100" w:type="dxa"/>
              <w:left w:w="100" w:type="dxa"/>
              <w:bottom w:w="100" w:type="dxa"/>
              <w:right w:w="100" w:type="dxa"/>
            </w:tcMar>
          </w:tcPr>
          <w:p w14:paraId="7D749CE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1805" w:type="dxa"/>
            <w:shd w:val="clear" w:color="auto" w:fill="auto"/>
            <w:tcMar>
              <w:top w:w="100" w:type="dxa"/>
              <w:left w:w="100" w:type="dxa"/>
              <w:bottom w:w="100" w:type="dxa"/>
              <w:right w:w="100" w:type="dxa"/>
            </w:tcMar>
          </w:tcPr>
          <w:p w14:paraId="7DB4B0EB"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805" w:type="dxa"/>
            <w:shd w:val="clear" w:color="auto" w:fill="auto"/>
            <w:tcMar>
              <w:top w:w="100" w:type="dxa"/>
              <w:left w:w="100" w:type="dxa"/>
              <w:bottom w:w="100" w:type="dxa"/>
              <w:right w:w="100" w:type="dxa"/>
            </w:tcMar>
          </w:tcPr>
          <w:p w14:paraId="17F42794"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805" w:type="dxa"/>
            <w:shd w:val="clear" w:color="auto" w:fill="auto"/>
            <w:tcMar>
              <w:top w:w="100" w:type="dxa"/>
              <w:left w:w="100" w:type="dxa"/>
              <w:bottom w:w="100" w:type="dxa"/>
              <w:right w:w="100" w:type="dxa"/>
            </w:tcMar>
          </w:tcPr>
          <w:p w14:paraId="0C9F042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1805" w:type="dxa"/>
            <w:shd w:val="clear" w:color="auto" w:fill="auto"/>
            <w:tcMar>
              <w:top w:w="100" w:type="dxa"/>
              <w:left w:w="100" w:type="dxa"/>
              <w:bottom w:w="100" w:type="dxa"/>
              <w:right w:w="100" w:type="dxa"/>
            </w:tcMar>
          </w:tcPr>
          <w:p w14:paraId="4B6F0629"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Unfavourable</w:t>
            </w:r>
          </w:p>
        </w:tc>
      </w:tr>
      <w:tr w:rsidR="006374E9" w14:paraId="301F92D9" w14:textId="77777777">
        <w:trPr>
          <w:jc w:val="center"/>
        </w:trPr>
        <w:tc>
          <w:tcPr>
            <w:tcW w:w="1805" w:type="dxa"/>
            <w:shd w:val="clear" w:color="auto" w:fill="auto"/>
            <w:tcMar>
              <w:top w:w="100" w:type="dxa"/>
              <w:left w:w="100" w:type="dxa"/>
              <w:bottom w:w="100" w:type="dxa"/>
              <w:right w:w="100" w:type="dxa"/>
            </w:tcMar>
          </w:tcPr>
          <w:p w14:paraId="71C112E9"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(100,000 x 25)</w:t>
            </w:r>
          </w:p>
          <w:p w14:paraId="16FF637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Sales Actual: (80,000 x 20) </w:t>
            </w:r>
          </w:p>
        </w:tc>
        <w:tc>
          <w:tcPr>
            <w:tcW w:w="1805" w:type="dxa"/>
            <w:shd w:val="clear" w:color="auto" w:fill="auto"/>
            <w:tcMar>
              <w:top w:w="100" w:type="dxa"/>
              <w:left w:w="100" w:type="dxa"/>
              <w:bottom w:w="100" w:type="dxa"/>
              <w:right w:w="100" w:type="dxa"/>
            </w:tcMar>
          </w:tcPr>
          <w:p w14:paraId="5E979895"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c>
          <w:tcPr>
            <w:tcW w:w="1805" w:type="dxa"/>
            <w:shd w:val="clear" w:color="auto" w:fill="auto"/>
            <w:tcMar>
              <w:top w:w="100" w:type="dxa"/>
              <w:left w:w="100" w:type="dxa"/>
              <w:bottom w:w="100" w:type="dxa"/>
              <w:right w:w="100" w:type="dxa"/>
            </w:tcMar>
          </w:tcPr>
          <w:p w14:paraId="78C5697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1,600,000</w:t>
            </w:r>
          </w:p>
        </w:tc>
        <w:tc>
          <w:tcPr>
            <w:tcW w:w="1805" w:type="dxa"/>
            <w:shd w:val="clear" w:color="auto" w:fill="auto"/>
            <w:tcMar>
              <w:top w:w="100" w:type="dxa"/>
              <w:left w:w="100" w:type="dxa"/>
              <w:bottom w:w="100" w:type="dxa"/>
              <w:right w:w="100" w:type="dxa"/>
            </w:tcMar>
          </w:tcPr>
          <w:p w14:paraId="486CC6B0"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900,000</w:t>
            </w:r>
          </w:p>
        </w:tc>
        <w:tc>
          <w:tcPr>
            <w:tcW w:w="1805" w:type="dxa"/>
            <w:shd w:val="clear" w:color="auto" w:fill="auto"/>
            <w:tcMar>
              <w:top w:w="100" w:type="dxa"/>
              <w:left w:w="100" w:type="dxa"/>
              <w:bottom w:w="100" w:type="dxa"/>
              <w:right w:w="100" w:type="dxa"/>
            </w:tcMar>
          </w:tcPr>
          <w:p w14:paraId="100F258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Unfavourable</w:t>
            </w:r>
          </w:p>
        </w:tc>
      </w:tr>
      <w:tr w:rsidR="006374E9" w14:paraId="4F1E961C" w14:textId="77777777">
        <w:trPr>
          <w:jc w:val="center"/>
        </w:trPr>
        <w:tc>
          <w:tcPr>
            <w:tcW w:w="1805" w:type="dxa"/>
            <w:shd w:val="clear" w:color="auto" w:fill="auto"/>
            <w:tcMar>
              <w:top w:w="100" w:type="dxa"/>
              <w:left w:w="100" w:type="dxa"/>
              <w:bottom w:w="100" w:type="dxa"/>
              <w:right w:w="100" w:type="dxa"/>
            </w:tcMar>
          </w:tcPr>
          <w:p w14:paraId="46514A66"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Less: Costs</w:t>
            </w:r>
          </w:p>
        </w:tc>
        <w:tc>
          <w:tcPr>
            <w:tcW w:w="1805" w:type="dxa"/>
            <w:shd w:val="clear" w:color="auto" w:fill="auto"/>
            <w:tcMar>
              <w:top w:w="100" w:type="dxa"/>
              <w:left w:w="100" w:type="dxa"/>
              <w:bottom w:w="100" w:type="dxa"/>
              <w:right w:w="100" w:type="dxa"/>
            </w:tcMar>
          </w:tcPr>
          <w:p w14:paraId="37A01468"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133B9C19"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70E0150A"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5F94160B"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r>
      <w:tr w:rsidR="006374E9" w14:paraId="43F1973B" w14:textId="77777777">
        <w:trPr>
          <w:jc w:val="center"/>
        </w:trPr>
        <w:tc>
          <w:tcPr>
            <w:tcW w:w="1805" w:type="dxa"/>
            <w:shd w:val="clear" w:color="auto" w:fill="auto"/>
            <w:tcMar>
              <w:top w:w="100" w:type="dxa"/>
              <w:left w:w="100" w:type="dxa"/>
              <w:bottom w:w="100" w:type="dxa"/>
              <w:right w:w="100" w:type="dxa"/>
            </w:tcMar>
          </w:tcPr>
          <w:p w14:paraId="6371A283"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Costs: Materials Labour</w:t>
            </w:r>
          </w:p>
        </w:tc>
        <w:tc>
          <w:tcPr>
            <w:tcW w:w="1805" w:type="dxa"/>
            <w:shd w:val="clear" w:color="auto" w:fill="auto"/>
            <w:tcMar>
              <w:top w:w="100" w:type="dxa"/>
              <w:left w:w="100" w:type="dxa"/>
              <w:bottom w:w="100" w:type="dxa"/>
              <w:right w:w="100" w:type="dxa"/>
            </w:tcMar>
          </w:tcPr>
          <w:p w14:paraId="19745C7A"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p w14:paraId="200C627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p w14:paraId="162AB7F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805" w:type="dxa"/>
            <w:shd w:val="clear" w:color="auto" w:fill="auto"/>
            <w:tcMar>
              <w:top w:w="100" w:type="dxa"/>
              <w:left w:w="100" w:type="dxa"/>
              <w:bottom w:w="100" w:type="dxa"/>
              <w:right w:w="100" w:type="dxa"/>
            </w:tcMar>
          </w:tcPr>
          <w:p w14:paraId="7FE049CE"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p w14:paraId="5A7C6430"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p w14:paraId="711C651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c>
          <w:tcPr>
            <w:tcW w:w="1805" w:type="dxa"/>
            <w:shd w:val="clear" w:color="auto" w:fill="auto"/>
            <w:tcMar>
              <w:top w:w="100" w:type="dxa"/>
              <w:left w:w="100" w:type="dxa"/>
              <w:bottom w:w="100" w:type="dxa"/>
              <w:right w:w="100" w:type="dxa"/>
            </w:tcMar>
          </w:tcPr>
          <w:p w14:paraId="69602E60"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p w14:paraId="29E00A1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p w14:paraId="12EFFFC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-40,000</w:t>
            </w:r>
          </w:p>
        </w:tc>
        <w:tc>
          <w:tcPr>
            <w:tcW w:w="1805" w:type="dxa"/>
            <w:shd w:val="clear" w:color="auto" w:fill="auto"/>
            <w:tcMar>
              <w:top w:w="100" w:type="dxa"/>
              <w:left w:w="100" w:type="dxa"/>
              <w:bottom w:w="100" w:type="dxa"/>
              <w:right w:w="100" w:type="dxa"/>
            </w:tcMar>
          </w:tcPr>
          <w:p w14:paraId="1C354772"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p w14:paraId="4302B070"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Unfavourable</w:t>
            </w:r>
          </w:p>
          <w:p w14:paraId="5937923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Unfavourable</w:t>
            </w:r>
          </w:p>
        </w:tc>
      </w:tr>
      <w:tr w:rsidR="006374E9" w14:paraId="07FDE789" w14:textId="77777777">
        <w:trPr>
          <w:jc w:val="center"/>
        </w:trPr>
        <w:tc>
          <w:tcPr>
            <w:tcW w:w="1805" w:type="dxa"/>
            <w:shd w:val="clear" w:color="auto" w:fill="auto"/>
            <w:tcMar>
              <w:top w:w="100" w:type="dxa"/>
              <w:left w:w="100" w:type="dxa"/>
              <w:bottom w:w="100" w:type="dxa"/>
              <w:right w:w="100" w:type="dxa"/>
            </w:tcMar>
          </w:tcPr>
          <w:p w14:paraId="26439C4F"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Overhead cost</w:t>
            </w:r>
          </w:p>
        </w:tc>
        <w:tc>
          <w:tcPr>
            <w:tcW w:w="1805" w:type="dxa"/>
            <w:shd w:val="clear" w:color="auto" w:fill="auto"/>
            <w:tcMar>
              <w:top w:w="100" w:type="dxa"/>
              <w:left w:w="100" w:type="dxa"/>
              <w:bottom w:w="100" w:type="dxa"/>
              <w:right w:w="100" w:type="dxa"/>
            </w:tcMar>
          </w:tcPr>
          <w:p w14:paraId="0AD04F6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1805" w:type="dxa"/>
            <w:shd w:val="clear" w:color="auto" w:fill="auto"/>
            <w:tcMar>
              <w:top w:w="100" w:type="dxa"/>
              <w:left w:w="100" w:type="dxa"/>
              <w:bottom w:w="100" w:type="dxa"/>
              <w:right w:w="100" w:type="dxa"/>
            </w:tcMar>
          </w:tcPr>
          <w:p w14:paraId="7483E26F"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805" w:type="dxa"/>
            <w:shd w:val="clear" w:color="auto" w:fill="auto"/>
            <w:tcMar>
              <w:top w:w="100" w:type="dxa"/>
              <w:left w:w="100" w:type="dxa"/>
              <w:bottom w:w="100" w:type="dxa"/>
              <w:right w:w="100" w:type="dxa"/>
            </w:tcMar>
          </w:tcPr>
          <w:p w14:paraId="0292B45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805" w:type="dxa"/>
            <w:shd w:val="clear" w:color="auto" w:fill="auto"/>
            <w:tcMar>
              <w:top w:w="100" w:type="dxa"/>
              <w:left w:w="100" w:type="dxa"/>
              <w:bottom w:w="100" w:type="dxa"/>
              <w:right w:w="100" w:type="dxa"/>
            </w:tcMar>
          </w:tcPr>
          <w:p w14:paraId="511E06F6"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Favourable</w:t>
            </w:r>
          </w:p>
        </w:tc>
      </w:tr>
      <w:tr w:rsidR="006374E9" w14:paraId="2514CF45" w14:textId="77777777">
        <w:trPr>
          <w:jc w:val="center"/>
        </w:trPr>
        <w:tc>
          <w:tcPr>
            <w:tcW w:w="1805" w:type="dxa"/>
            <w:shd w:val="clear" w:color="auto" w:fill="auto"/>
            <w:tcMar>
              <w:top w:w="100" w:type="dxa"/>
              <w:left w:w="100" w:type="dxa"/>
              <w:bottom w:w="100" w:type="dxa"/>
              <w:right w:w="100" w:type="dxa"/>
            </w:tcMar>
          </w:tcPr>
          <w:p w14:paraId="32A826EC"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Contribution</w:t>
            </w:r>
          </w:p>
        </w:tc>
        <w:tc>
          <w:tcPr>
            <w:tcW w:w="1805" w:type="dxa"/>
            <w:shd w:val="clear" w:color="auto" w:fill="auto"/>
            <w:tcMar>
              <w:top w:w="100" w:type="dxa"/>
              <w:left w:w="100" w:type="dxa"/>
              <w:bottom w:w="100" w:type="dxa"/>
              <w:right w:w="100" w:type="dxa"/>
            </w:tcMar>
          </w:tcPr>
          <w:p w14:paraId="77E9EF64"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1,700,000</w:t>
            </w:r>
          </w:p>
        </w:tc>
        <w:tc>
          <w:tcPr>
            <w:tcW w:w="1805" w:type="dxa"/>
            <w:shd w:val="clear" w:color="auto" w:fill="auto"/>
            <w:tcMar>
              <w:top w:w="100" w:type="dxa"/>
              <w:left w:w="100" w:type="dxa"/>
              <w:bottom w:w="100" w:type="dxa"/>
              <w:right w:w="100" w:type="dxa"/>
            </w:tcMar>
          </w:tcPr>
          <w:p w14:paraId="6491D05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760,000</w:t>
            </w:r>
          </w:p>
        </w:tc>
        <w:tc>
          <w:tcPr>
            <w:tcW w:w="1805" w:type="dxa"/>
            <w:shd w:val="clear" w:color="auto" w:fill="auto"/>
            <w:tcMar>
              <w:top w:w="100" w:type="dxa"/>
              <w:left w:w="100" w:type="dxa"/>
              <w:bottom w:w="100" w:type="dxa"/>
              <w:right w:w="100" w:type="dxa"/>
            </w:tcMar>
          </w:tcPr>
          <w:p w14:paraId="48F304C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940,000</w:t>
            </w:r>
          </w:p>
        </w:tc>
        <w:tc>
          <w:tcPr>
            <w:tcW w:w="1805" w:type="dxa"/>
            <w:shd w:val="clear" w:color="auto" w:fill="auto"/>
            <w:tcMar>
              <w:top w:w="100" w:type="dxa"/>
              <w:left w:w="100" w:type="dxa"/>
              <w:bottom w:w="100" w:type="dxa"/>
              <w:right w:w="100" w:type="dxa"/>
            </w:tcMar>
          </w:tcPr>
          <w:p w14:paraId="2E0C3332"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Unfavourable</w:t>
            </w:r>
          </w:p>
        </w:tc>
      </w:tr>
      <w:tr w:rsidR="006374E9" w14:paraId="708D15E8" w14:textId="77777777">
        <w:trPr>
          <w:jc w:val="center"/>
        </w:trPr>
        <w:tc>
          <w:tcPr>
            <w:tcW w:w="1805" w:type="dxa"/>
            <w:shd w:val="clear" w:color="auto" w:fill="auto"/>
            <w:tcMar>
              <w:top w:w="100" w:type="dxa"/>
              <w:left w:w="100" w:type="dxa"/>
              <w:bottom w:w="100" w:type="dxa"/>
              <w:right w:w="100" w:type="dxa"/>
            </w:tcMar>
          </w:tcPr>
          <w:p w14:paraId="2A605632"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Fixed </w:t>
            </w:r>
            <w:r>
              <w:rPr>
                <w:rFonts w:ascii="Times New Roman" w:eastAsia="Times New Roman" w:hAnsi="Times New Roman" w:cs="Times New Roman"/>
                <w:sz w:val="24"/>
                <w:szCs w:val="24"/>
              </w:rPr>
              <w:lastRenderedPageBreak/>
              <w:t>Overheads</w:t>
            </w:r>
          </w:p>
        </w:tc>
        <w:tc>
          <w:tcPr>
            <w:tcW w:w="1805" w:type="dxa"/>
            <w:shd w:val="clear" w:color="auto" w:fill="auto"/>
            <w:tcMar>
              <w:top w:w="100" w:type="dxa"/>
              <w:left w:w="100" w:type="dxa"/>
              <w:bottom w:w="100" w:type="dxa"/>
              <w:right w:w="100" w:type="dxa"/>
            </w:tcMar>
          </w:tcPr>
          <w:p w14:paraId="4CD7849F"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0307940B"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54C71A06"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753E4294"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r>
      <w:tr w:rsidR="006374E9" w14:paraId="7A1E379F" w14:textId="77777777">
        <w:trPr>
          <w:jc w:val="center"/>
        </w:trPr>
        <w:tc>
          <w:tcPr>
            <w:tcW w:w="1805" w:type="dxa"/>
            <w:shd w:val="clear" w:color="auto" w:fill="auto"/>
            <w:tcMar>
              <w:top w:w="100" w:type="dxa"/>
              <w:left w:w="100" w:type="dxa"/>
              <w:bottom w:w="100" w:type="dxa"/>
              <w:right w:w="100" w:type="dxa"/>
            </w:tcMar>
          </w:tcPr>
          <w:p w14:paraId="6F8E6615"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Rent(warehouse)</w:t>
            </w:r>
          </w:p>
        </w:tc>
        <w:tc>
          <w:tcPr>
            <w:tcW w:w="1805" w:type="dxa"/>
            <w:shd w:val="clear" w:color="auto" w:fill="auto"/>
            <w:tcMar>
              <w:top w:w="100" w:type="dxa"/>
              <w:left w:w="100" w:type="dxa"/>
              <w:bottom w:w="100" w:type="dxa"/>
              <w:right w:w="100" w:type="dxa"/>
            </w:tcMar>
          </w:tcPr>
          <w:p w14:paraId="44EF16C2"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805" w:type="dxa"/>
            <w:shd w:val="clear" w:color="auto" w:fill="auto"/>
            <w:tcMar>
              <w:top w:w="100" w:type="dxa"/>
              <w:left w:w="100" w:type="dxa"/>
              <w:bottom w:w="100" w:type="dxa"/>
              <w:right w:w="100" w:type="dxa"/>
            </w:tcMar>
          </w:tcPr>
          <w:p w14:paraId="2348F64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1805" w:type="dxa"/>
            <w:shd w:val="clear" w:color="auto" w:fill="auto"/>
            <w:tcMar>
              <w:top w:w="100" w:type="dxa"/>
              <w:left w:w="100" w:type="dxa"/>
              <w:bottom w:w="100" w:type="dxa"/>
              <w:right w:w="100" w:type="dxa"/>
            </w:tcMar>
          </w:tcPr>
          <w:p w14:paraId="411DE26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805" w:type="dxa"/>
            <w:shd w:val="clear" w:color="auto" w:fill="auto"/>
            <w:tcMar>
              <w:top w:w="100" w:type="dxa"/>
              <w:left w:w="100" w:type="dxa"/>
              <w:bottom w:w="100" w:type="dxa"/>
              <w:right w:w="100" w:type="dxa"/>
            </w:tcMar>
          </w:tcPr>
          <w:p w14:paraId="328381FB"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Favourable</w:t>
            </w:r>
          </w:p>
        </w:tc>
      </w:tr>
      <w:tr w:rsidR="006374E9" w14:paraId="7E60C9DC" w14:textId="77777777">
        <w:trPr>
          <w:jc w:val="center"/>
        </w:trPr>
        <w:tc>
          <w:tcPr>
            <w:tcW w:w="1805" w:type="dxa"/>
            <w:shd w:val="clear" w:color="auto" w:fill="auto"/>
            <w:tcMar>
              <w:top w:w="100" w:type="dxa"/>
              <w:left w:w="100" w:type="dxa"/>
              <w:bottom w:w="100" w:type="dxa"/>
              <w:right w:w="100" w:type="dxa"/>
            </w:tcMar>
          </w:tcPr>
          <w:p w14:paraId="7448CCD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805" w:type="dxa"/>
            <w:shd w:val="clear" w:color="auto" w:fill="auto"/>
            <w:tcMar>
              <w:top w:w="100" w:type="dxa"/>
              <w:left w:w="100" w:type="dxa"/>
              <w:bottom w:w="100" w:type="dxa"/>
              <w:right w:w="100" w:type="dxa"/>
            </w:tcMar>
          </w:tcPr>
          <w:p w14:paraId="27E82F1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805" w:type="dxa"/>
            <w:shd w:val="clear" w:color="auto" w:fill="auto"/>
            <w:tcMar>
              <w:top w:w="100" w:type="dxa"/>
              <w:left w:w="100" w:type="dxa"/>
              <w:bottom w:w="100" w:type="dxa"/>
              <w:right w:w="100" w:type="dxa"/>
            </w:tcMar>
          </w:tcPr>
          <w:p w14:paraId="1163B2D1"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805" w:type="dxa"/>
            <w:shd w:val="clear" w:color="auto" w:fill="auto"/>
            <w:tcMar>
              <w:top w:w="100" w:type="dxa"/>
              <w:left w:w="100" w:type="dxa"/>
              <w:bottom w:w="100" w:type="dxa"/>
              <w:right w:w="100" w:type="dxa"/>
            </w:tcMar>
          </w:tcPr>
          <w:p w14:paraId="38CFC282"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Nil</w:t>
            </w:r>
          </w:p>
        </w:tc>
        <w:tc>
          <w:tcPr>
            <w:tcW w:w="1805" w:type="dxa"/>
            <w:shd w:val="clear" w:color="auto" w:fill="auto"/>
            <w:tcMar>
              <w:top w:w="100" w:type="dxa"/>
              <w:left w:w="100" w:type="dxa"/>
              <w:bottom w:w="100" w:type="dxa"/>
              <w:right w:w="100" w:type="dxa"/>
            </w:tcMar>
          </w:tcPr>
          <w:p w14:paraId="1565D31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6374E9" w14:paraId="002F6DAC" w14:textId="77777777">
        <w:trPr>
          <w:jc w:val="center"/>
        </w:trPr>
        <w:tc>
          <w:tcPr>
            <w:tcW w:w="1805" w:type="dxa"/>
            <w:shd w:val="clear" w:color="auto" w:fill="auto"/>
            <w:tcMar>
              <w:top w:w="100" w:type="dxa"/>
              <w:left w:w="100" w:type="dxa"/>
              <w:bottom w:w="100" w:type="dxa"/>
              <w:right w:w="100" w:type="dxa"/>
            </w:tcMar>
          </w:tcPr>
          <w:p w14:paraId="622D0451"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Salary ( full time warehouse supervisor)</w:t>
            </w:r>
          </w:p>
        </w:tc>
        <w:tc>
          <w:tcPr>
            <w:tcW w:w="1805" w:type="dxa"/>
            <w:shd w:val="clear" w:color="auto" w:fill="auto"/>
            <w:tcMar>
              <w:top w:w="100" w:type="dxa"/>
              <w:left w:w="100" w:type="dxa"/>
              <w:bottom w:w="100" w:type="dxa"/>
              <w:right w:w="100" w:type="dxa"/>
            </w:tcMar>
          </w:tcPr>
          <w:p w14:paraId="740B79F4"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805" w:type="dxa"/>
            <w:shd w:val="clear" w:color="auto" w:fill="auto"/>
            <w:tcMar>
              <w:top w:w="100" w:type="dxa"/>
              <w:left w:w="100" w:type="dxa"/>
              <w:bottom w:w="100" w:type="dxa"/>
              <w:right w:w="100" w:type="dxa"/>
            </w:tcMar>
          </w:tcPr>
          <w:p w14:paraId="7752805F"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1805" w:type="dxa"/>
            <w:shd w:val="clear" w:color="auto" w:fill="auto"/>
            <w:tcMar>
              <w:top w:w="100" w:type="dxa"/>
              <w:left w:w="100" w:type="dxa"/>
              <w:bottom w:w="100" w:type="dxa"/>
              <w:right w:w="100" w:type="dxa"/>
            </w:tcMar>
          </w:tcPr>
          <w:p w14:paraId="3313AABB"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c>
          <w:tcPr>
            <w:tcW w:w="1805" w:type="dxa"/>
            <w:shd w:val="clear" w:color="auto" w:fill="auto"/>
            <w:tcMar>
              <w:top w:w="100" w:type="dxa"/>
              <w:left w:w="100" w:type="dxa"/>
              <w:bottom w:w="100" w:type="dxa"/>
              <w:right w:w="100" w:type="dxa"/>
            </w:tcMar>
          </w:tcPr>
          <w:p w14:paraId="1489A945"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Favourable</w:t>
            </w:r>
          </w:p>
        </w:tc>
      </w:tr>
      <w:tr w:rsidR="006374E9" w14:paraId="66823FF6" w14:textId="77777777">
        <w:trPr>
          <w:jc w:val="center"/>
        </w:trPr>
        <w:tc>
          <w:tcPr>
            <w:tcW w:w="1805" w:type="dxa"/>
            <w:shd w:val="clear" w:color="auto" w:fill="auto"/>
            <w:tcMar>
              <w:top w:w="100" w:type="dxa"/>
              <w:left w:w="100" w:type="dxa"/>
              <w:bottom w:w="100" w:type="dxa"/>
              <w:right w:w="100" w:type="dxa"/>
            </w:tcMar>
          </w:tcPr>
          <w:p w14:paraId="368F1C6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w:t>
            </w:r>
          </w:p>
        </w:tc>
        <w:tc>
          <w:tcPr>
            <w:tcW w:w="1805" w:type="dxa"/>
            <w:shd w:val="clear" w:color="auto" w:fill="auto"/>
            <w:tcMar>
              <w:top w:w="100" w:type="dxa"/>
              <w:left w:w="100" w:type="dxa"/>
              <w:bottom w:w="100" w:type="dxa"/>
              <w:right w:w="100" w:type="dxa"/>
            </w:tcMar>
          </w:tcPr>
          <w:p w14:paraId="2B4168BF"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1,350,000</w:t>
            </w:r>
          </w:p>
        </w:tc>
        <w:tc>
          <w:tcPr>
            <w:tcW w:w="1805" w:type="dxa"/>
            <w:shd w:val="clear" w:color="auto" w:fill="auto"/>
            <w:tcMar>
              <w:top w:w="100" w:type="dxa"/>
              <w:left w:w="100" w:type="dxa"/>
              <w:bottom w:w="100" w:type="dxa"/>
              <w:right w:w="100" w:type="dxa"/>
            </w:tcMar>
          </w:tcPr>
          <w:p w14:paraId="075C3AA3"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455,000</w:t>
            </w:r>
          </w:p>
        </w:tc>
        <w:tc>
          <w:tcPr>
            <w:tcW w:w="1805" w:type="dxa"/>
            <w:shd w:val="clear" w:color="auto" w:fill="auto"/>
            <w:tcMar>
              <w:top w:w="100" w:type="dxa"/>
              <w:left w:w="100" w:type="dxa"/>
              <w:bottom w:w="100" w:type="dxa"/>
              <w:right w:w="100" w:type="dxa"/>
            </w:tcMar>
          </w:tcPr>
          <w:p w14:paraId="78422B1F"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895,000</w:t>
            </w:r>
          </w:p>
        </w:tc>
        <w:tc>
          <w:tcPr>
            <w:tcW w:w="1805" w:type="dxa"/>
            <w:shd w:val="clear" w:color="auto" w:fill="auto"/>
            <w:tcMar>
              <w:top w:w="100" w:type="dxa"/>
              <w:left w:w="100" w:type="dxa"/>
              <w:bottom w:w="100" w:type="dxa"/>
              <w:right w:w="100" w:type="dxa"/>
            </w:tcMar>
          </w:tcPr>
          <w:p w14:paraId="1D7D2F09"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Unfavourable</w:t>
            </w:r>
          </w:p>
        </w:tc>
      </w:tr>
    </w:tbl>
    <w:p w14:paraId="2DDCBC73" w14:textId="77777777" w:rsidR="006374E9" w:rsidRDefault="006374E9">
      <w:pPr>
        <w:spacing w:line="480" w:lineRule="auto"/>
        <w:jc w:val="center"/>
        <w:rPr>
          <w:rFonts w:ascii="Times New Roman" w:eastAsia="Times New Roman" w:hAnsi="Times New Roman" w:cs="Times New Roman"/>
          <w:sz w:val="24"/>
          <w:szCs w:val="24"/>
        </w:rPr>
      </w:pPr>
    </w:p>
    <w:p w14:paraId="083659D4" w14:textId="77777777" w:rsidR="006374E9" w:rsidRDefault="00A8742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Flexed Budget</w:t>
      </w:r>
    </w:p>
    <w:p w14:paraId="2820C986" w14:textId="77777777" w:rsidR="006374E9" w:rsidRDefault="006374E9">
      <w:pPr>
        <w:spacing w:line="480" w:lineRule="auto"/>
        <w:jc w:val="center"/>
        <w:rPr>
          <w:rFonts w:ascii="Times New Roman" w:eastAsia="Times New Roman" w:hAnsi="Times New Roman" w:cs="Times New Roman"/>
          <w:sz w:val="24"/>
          <w:szCs w:val="24"/>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6374E9" w14:paraId="709A29A9" w14:textId="77777777">
        <w:trPr>
          <w:jc w:val="center"/>
        </w:trPr>
        <w:tc>
          <w:tcPr>
            <w:tcW w:w="1805" w:type="dxa"/>
            <w:shd w:val="clear" w:color="auto" w:fill="auto"/>
            <w:tcMar>
              <w:top w:w="100" w:type="dxa"/>
              <w:left w:w="100" w:type="dxa"/>
              <w:bottom w:w="100" w:type="dxa"/>
              <w:right w:w="100" w:type="dxa"/>
            </w:tcMar>
          </w:tcPr>
          <w:p w14:paraId="0CDFD34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Particulars</w:t>
            </w:r>
          </w:p>
        </w:tc>
        <w:tc>
          <w:tcPr>
            <w:tcW w:w="1805" w:type="dxa"/>
            <w:shd w:val="clear" w:color="auto" w:fill="auto"/>
            <w:tcMar>
              <w:top w:w="100" w:type="dxa"/>
              <w:left w:w="100" w:type="dxa"/>
              <w:bottom w:w="100" w:type="dxa"/>
              <w:right w:w="100" w:type="dxa"/>
            </w:tcMar>
          </w:tcPr>
          <w:p w14:paraId="01B9FE9A" w14:textId="77777777" w:rsidR="006374E9" w:rsidRDefault="00A8742E">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Original (£)</w:t>
            </w:r>
          </w:p>
        </w:tc>
        <w:tc>
          <w:tcPr>
            <w:tcW w:w="1805" w:type="dxa"/>
            <w:shd w:val="clear" w:color="auto" w:fill="auto"/>
            <w:tcMar>
              <w:top w:w="100" w:type="dxa"/>
              <w:left w:w="100" w:type="dxa"/>
              <w:bottom w:w="100" w:type="dxa"/>
              <w:right w:w="100" w:type="dxa"/>
            </w:tcMar>
          </w:tcPr>
          <w:p w14:paraId="57691450" w14:textId="77777777" w:rsidR="006374E9" w:rsidRDefault="00A8742E">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Actual (£)</w:t>
            </w:r>
          </w:p>
        </w:tc>
        <w:tc>
          <w:tcPr>
            <w:tcW w:w="1805" w:type="dxa"/>
            <w:shd w:val="clear" w:color="auto" w:fill="auto"/>
            <w:tcMar>
              <w:top w:w="100" w:type="dxa"/>
              <w:left w:w="100" w:type="dxa"/>
              <w:bottom w:w="100" w:type="dxa"/>
              <w:right w:w="100" w:type="dxa"/>
            </w:tcMar>
          </w:tcPr>
          <w:p w14:paraId="753D2E02" w14:textId="77777777" w:rsidR="006374E9" w:rsidRDefault="00A8742E">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Variance</w:t>
            </w:r>
          </w:p>
        </w:tc>
        <w:tc>
          <w:tcPr>
            <w:tcW w:w="1805" w:type="dxa"/>
            <w:shd w:val="clear" w:color="auto" w:fill="auto"/>
            <w:tcMar>
              <w:top w:w="100" w:type="dxa"/>
              <w:left w:w="100" w:type="dxa"/>
              <w:bottom w:w="100" w:type="dxa"/>
              <w:right w:w="100" w:type="dxa"/>
            </w:tcMar>
          </w:tcPr>
          <w:p w14:paraId="471AF79D" w14:textId="77777777" w:rsidR="006374E9" w:rsidRDefault="00A8742E">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Favourable/Unfavourable Variance</w:t>
            </w:r>
          </w:p>
        </w:tc>
      </w:tr>
      <w:tr w:rsidR="006374E9" w14:paraId="3D9E600F" w14:textId="77777777">
        <w:trPr>
          <w:jc w:val="center"/>
        </w:trPr>
        <w:tc>
          <w:tcPr>
            <w:tcW w:w="1805" w:type="dxa"/>
            <w:shd w:val="clear" w:color="auto" w:fill="auto"/>
            <w:tcMar>
              <w:top w:w="100" w:type="dxa"/>
              <w:left w:w="100" w:type="dxa"/>
              <w:bottom w:w="100" w:type="dxa"/>
              <w:right w:w="100" w:type="dxa"/>
            </w:tcMar>
          </w:tcPr>
          <w:p w14:paraId="653D1A40"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Units</w:t>
            </w:r>
          </w:p>
        </w:tc>
        <w:tc>
          <w:tcPr>
            <w:tcW w:w="1805" w:type="dxa"/>
            <w:shd w:val="clear" w:color="auto" w:fill="auto"/>
            <w:tcMar>
              <w:top w:w="100" w:type="dxa"/>
              <w:left w:w="100" w:type="dxa"/>
              <w:bottom w:w="100" w:type="dxa"/>
              <w:right w:w="100" w:type="dxa"/>
            </w:tcMar>
          </w:tcPr>
          <w:p w14:paraId="7424EBC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805" w:type="dxa"/>
            <w:shd w:val="clear" w:color="auto" w:fill="auto"/>
            <w:tcMar>
              <w:top w:w="100" w:type="dxa"/>
              <w:left w:w="100" w:type="dxa"/>
              <w:bottom w:w="100" w:type="dxa"/>
              <w:right w:w="100" w:type="dxa"/>
            </w:tcMar>
          </w:tcPr>
          <w:p w14:paraId="47762C0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80,0000</w:t>
            </w:r>
          </w:p>
        </w:tc>
        <w:tc>
          <w:tcPr>
            <w:tcW w:w="1805" w:type="dxa"/>
            <w:shd w:val="clear" w:color="auto" w:fill="auto"/>
            <w:tcMar>
              <w:top w:w="100" w:type="dxa"/>
              <w:left w:w="100" w:type="dxa"/>
              <w:bottom w:w="100" w:type="dxa"/>
              <w:right w:w="100" w:type="dxa"/>
            </w:tcMar>
          </w:tcPr>
          <w:p w14:paraId="1B83D06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c>
          <w:tcPr>
            <w:tcW w:w="1805" w:type="dxa"/>
            <w:shd w:val="clear" w:color="auto" w:fill="auto"/>
            <w:tcMar>
              <w:top w:w="100" w:type="dxa"/>
              <w:left w:w="100" w:type="dxa"/>
              <w:bottom w:w="100" w:type="dxa"/>
              <w:right w:w="100" w:type="dxa"/>
            </w:tcMar>
          </w:tcPr>
          <w:p w14:paraId="2ADEBA50"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Unfavourable</w:t>
            </w:r>
          </w:p>
        </w:tc>
      </w:tr>
      <w:tr w:rsidR="006374E9" w14:paraId="2A3533CD" w14:textId="77777777">
        <w:trPr>
          <w:jc w:val="center"/>
        </w:trPr>
        <w:tc>
          <w:tcPr>
            <w:tcW w:w="1805" w:type="dxa"/>
            <w:shd w:val="clear" w:color="auto" w:fill="auto"/>
            <w:tcMar>
              <w:top w:w="100" w:type="dxa"/>
              <w:left w:w="100" w:type="dxa"/>
              <w:bottom w:w="100" w:type="dxa"/>
              <w:right w:w="100" w:type="dxa"/>
            </w:tcMar>
          </w:tcPr>
          <w:p w14:paraId="7FD806D9" w14:textId="77777777" w:rsidR="006374E9" w:rsidRDefault="00A8742E">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(100,000 x 25)</w:t>
            </w:r>
          </w:p>
          <w:p w14:paraId="1D8BA626"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Sales Actual: (80,000 x 25) </w:t>
            </w:r>
          </w:p>
        </w:tc>
        <w:tc>
          <w:tcPr>
            <w:tcW w:w="1805" w:type="dxa"/>
            <w:shd w:val="clear" w:color="auto" w:fill="auto"/>
            <w:tcMar>
              <w:top w:w="100" w:type="dxa"/>
              <w:left w:w="100" w:type="dxa"/>
              <w:bottom w:w="100" w:type="dxa"/>
              <w:right w:w="100" w:type="dxa"/>
            </w:tcMar>
          </w:tcPr>
          <w:p w14:paraId="1171C843"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2,500,000</w:t>
            </w:r>
          </w:p>
        </w:tc>
        <w:tc>
          <w:tcPr>
            <w:tcW w:w="1805" w:type="dxa"/>
            <w:shd w:val="clear" w:color="auto" w:fill="auto"/>
            <w:tcMar>
              <w:top w:w="100" w:type="dxa"/>
              <w:left w:w="100" w:type="dxa"/>
              <w:bottom w:w="100" w:type="dxa"/>
              <w:right w:w="100" w:type="dxa"/>
            </w:tcMar>
          </w:tcPr>
          <w:p w14:paraId="551C7E9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2,000,000</w:t>
            </w:r>
          </w:p>
        </w:tc>
        <w:tc>
          <w:tcPr>
            <w:tcW w:w="1805" w:type="dxa"/>
            <w:shd w:val="clear" w:color="auto" w:fill="auto"/>
            <w:tcMar>
              <w:top w:w="100" w:type="dxa"/>
              <w:left w:w="100" w:type="dxa"/>
              <w:bottom w:w="100" w:type="dxa"/>
              <w:right w:w="100" w:type="dxa"/>
            </w:tcMar>
          </w:tcPr>
          <w:p w14:paraId="413249C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500,000</w:t>
            </w:r>
          </w:p>
        </w:tc>
        <w:tc>
          <w:tcPr>
            <w:tcW w:w="1805" w:type="dxa"/>
            <w:shd w:val="clear" w:color="auto" w:fill="auto"/>
            <w:tcMar>
              <w:top w:w="100" w:type="dxa"/>
              <w:left w:w="100" w:type="dxa"/>
              <w:bottom w:w="100" w:type="dxa"/>
              <w:right w:w="100" w:type="dxa"/>
            </w:tcMar>
          </w:tcPr>
          <w:p w14:paraId="4145B4C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Unfavourable</w:t>
            </w:r>
          </w:p>
        </w:tc>
      </w:tr>
      <w:tr w:rsidR="006374E9" w14:paraId="3C5C8517" w14:textId="77777777">
        <w:trPr>
          <w:jc w:val="center"/>
        </w:trPr>
        <w:tc>
          <w:tcPr>
            <w:tcW w:w="1805" w:type="dxa"/>
            <w:shd w:val="clear" w:color="auto" w:fill="auto"/>
            <w:tcMar>
              <w:top w:w="100" w:type="dxa"/>
              <w:left w:w="100" w:type="dxa"/>
              <w:bottom w:w="100" w:type="dxa"/>
              <w:right w:w="100" w:type="dxa"/>
            </w:tcMar>
          </w:tcPr>
          <w:p w14:paraId="5610FC7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Less: Variable Costs</w:t>
            </w:r>
          </w:p>
        </w:tc>
        <w:tc>
          <w:tcPr>
            <w:tcW w:w="1805" w:type="dxa"/>
            <w:shd w:val="clear" w:color="auto" w:fill="auto"/>
            <w:tcMar>
              <w:top w:w="100" w:type="dxa"/>
              <w:left w:w="100" w:type="dxa"/>
              <w:bottom w:w="100" w:type="dxa"/>
              <w:right w:w="100" w:type="dxa"/>
            </w:tcMar>
          </w:tcPr>
          <w:p w14:paraId="64B23586"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23BC3CC8"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07749C1A"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c>
          <w:tcPr>
            <w:tcW w:w="1805" w:type="dxa"/>
            <w:shd w:val="clear" w:color="auto" w:fill="auto"/>
            <w:tcMar>
              <w:top w:w="100" w:type="dxa"/>
              <w:left w:w="100" w:type="dxa"/>
              <w:bottom w:w="100" w:type="dxa"/>
              <w:right w:w="100" w:type="dxa"/>
            </w:tcMar>
          </w:tcPr>
          <w:p w14:paraId="1F9543F3"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p>
        </w:tc>
      </w:tr>
      <w:tr w:rsidR="006374E9" w14:paraId="73A7E0C3" w14:textId="77777777">
        <w:trPr>
          <w:jc w:val="center"/>
        </w:trPr>
        <w:tc>
          <w:tcPr>
            <w:tcW w:w="1805" w:type="dxa"/>
            <w:shd w:val="clear" w:color="auto" w:fill="auto"/>
            <w:tcMar>
              <w:top w:w="100" w:type="dxa"/>
              <w:left w:w="100" w:type="dxa"/>
              <w:bottom w:w="100" w:type="dxa"/>
              <w:right w:w="100" w:type="dxa"/>
            </w:tcMar>
          </w:tcPr>
          <w:p w14:paraId="446A859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Materials</w:t>
            </w:r>
          </w:p>
        </w:tc>
        <w:tc>
          <w:tcPr>
            <w:tcW w:w="1805" w:type="dxa"/>
            <w:shd w:val="clear" w:color="auto" w:fill="auto"/>
            <w:tcMar>
              <w:top w:w="100" w:type="dxa"/>
              <w:left w:w="100" w:type="dxa"/>
              <w:bottom w:w="100" w:type="dxa"/>
              <w:right w:w="100" w:type="dxa"/>
            </w:tcMar>
          </w:tcPr>
          <w:p w14:paraId="4593E193"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250,000</w:t>
            </w:r>
          </w:p>
        </w:tc>
        <w:tc>
          <w:tcPr>
            <w:tcW w:w="1805" w:type="dxa"/>
            <w:shd w:val="clear" w:color="auto" w:fill="auto"/>
            <w:tcMar>
              <w:top w:w="100" w:type="dxa"/>
              <w:left w:w="100" w:type="dxa"/>
              <w:bottom w:w="100" w:type="dxa"/>
              <w:right w:w="100" w:type="dxa"/>
            </w:tcMar>
          </w:tcPr>
          <w:p w14:paraId="55419792"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805" w:type="dxa"/>
            <w:shd w:val="clear" w:color="auto" w:fill="auto"/>
            <w:tcMar>
              <w:top w:w="100" w:type="dxa"/>
              <w:left w:w="100" w:type="dxa"/>
              <w:bottom w:w="100" w:type="dxa"/>
              <w:right w:w="100" w:type="dxa"/>
            </w:tcMar>
          </w:tcPr>
          <w:p w14:paraId="5060ADB4"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805" w:type="dxa"/>
            <w:shd w:val="clear" w:color="auto" w:fill="auto"/>
            <w:tcMar>
              <w:top w:w="100" w:type="dxa"/>
              <w:left w:w="100" w:type="dxa"/>
              <w:bottom w:w="100" w:type="dxa"/>
              <w:right w:w="100" w:type="dxa"/>
            </w:tcMar>
          </w:tcPr>
          <w:p w14:paraId="27F4C149"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Favourable</w:t>
            </w:r>
          </w:p>
        </w:tc>
      </w:tr>
      <w:tr w:rsidR="006374E9" w14:paraId="241F0161" w14:textId="77777777">
        <w:trPr>
          <w:jc w:val="center"/>
        </w:trPr>
        <w:tc>
          <w:tcPr>
            <w:tcW w:w="1805" w:type="dxa"/>
            <w:shd w:val="clear" w:color="auto" w:fill="auto"/>
            <w:tcMar>
              <w:top w:w="100" w:type="dxa"/>
              <w:left w:w="100" w:type="dxa"/>
              <w:bottom w:w="100" w:type="dxa"/>
              <w:right w:w="100" w:type="dxa"/>
            </w:tcMar>
          </w:tcPr>
          <w:p w14:paraId="0A66917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Labour</w:t>
            </w:r>
          </w:p>
        </w:tc>
        <w:tc>
          <w:tcPr>
            <w:tcW w:w="1805" w:type="dxa"/>
            <w:shd w:val="clear" w:color="auto" w:fill="auto"/>
            <w:tcMar>
              <w:top w:w="100" w:type="dxa"/>
              <w:left w:w="100" w:type="dxa"/>
              <w:bottom w:w="100" w:type="dxa"/>
              <w:right w:w="100" w:type="dxa"/>
            </w:tcMar>
          </w:tcPr>
          <w:p w14:paraId="1BE7B9E2"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400,000</w:t>
            </w:r>
          </w:p>
        </w:tc>
        <w:tc>
          <w:tcPr>
            <w:tcW w:w="1805" w:type="dxa"/>
            <w:shd w:val="clear" w:color="auto" w:fill="auto"/>
            <w:tcMar>
              <w:top w:w="100" w:type="dxa"/>
              <w:left w:w="100" w:type="dxa"/>
              <w:bottom w:w="100" w:type="dxa"/>
              <w:right w:w="100" w:type="dxa"/>
            </w:tcMar>
          </w:tcPr>
          <w:p w14:paraId="23D2CE4C"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320,000</w:t>
            </w:r>
          </w:p>
        </w:tc>
        <w:tc>
          <w:tcPr>
            <w:tcW w:w="1805" w:type="dxa"/>
            <w:shd w:val="clear" w:color="auto" w:fill="auto"/>
            <w:tcMar>
              <w:top w:w="100" w:type="dxa"/>
              <w:left w:w="100" w:type="dxa"/>
              <w:bottom w:w="100" w:type="dxa"/>
              <w:right w:w="100" w:type="dxa"/>
            </w:tcMar>
          </w:tcPr>
          <w:p w14:paraId="6941001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1805" w:type="dxa"/>
            <w:shd w:val="clear" w:color="auto" w:fill="auto"/>
            <w:tcMar>
              <w:top w:w="100" w:type="dxa"/>
              <w:left w:w="100" w:type="dxa"/>
              <w:bottom w:w="100" w:type="dxa"/>
              <w:right w:w="100" w:type="dxa"/>
            </w:tcMar>
          </w:tcPr>
          <w:p w14:paraId="7DAE55D0"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Favourable</w:t>
            </w:r>
          </w:p>
        </w:tc>
      </w:tr>
      <w:tr w:rsidR="006374E9" w14:paraId="616BFC93" w14:textId="77777777">
        <w:trPr>
          <w:jc w:val="center"/>
        </w:trPr>
        <w:tc>
          <w:tcPr>
            <w:tcW w:w="1805" w:type="dxa"/>
            <w:shd w:val="clear" w:color="auto" w:fill="auto"/>
            <w:tcMar>
              <w:top w:w="100" w:type="dxa"/>
              <w:left w:w="100" w:type="dxa"/>
              <w:bottom w:w="100" w:type="dxa"/>
              <w:right w:w="100" w:type="dxa"/>
            </w:tcMar>
          </w:tcPr>
          <w:p w14:paraId="5484A09B"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Overhead </w:t>
            </w:r>
          </w:p>
        </w:tc>
        <w:tc>
          <w:tcPr>
            <w:tcW w:w="1805" w:type="dxa"/>
            <w:shd w:val="clear" w:color="auto" w:fill="auto"/>
            <w:tcMar>
              <w:top w:w="100" w:type="dxa"/>
              <w:left w:w="100" w:type="dxa"/>
              <w:bottom w:w="100" w:type="dxa"/>
              <w:right w:w="100" w:type="dxa"/>
            </w:tcMar>
          </w:tcPr>
          <w:p w14:paraId="7F124740"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150,000</w:t>
            </w:r>
          </w:p>
        </w:tc>
        <w:tc>
          <w:tcPr>
            <w:tcW w:w="1805" w:type="dxa"/>
            <w:shd w:val="clear" w:color="auto" w:fill="auto"/>
            <w:tcMar>
              <w:top w:w="100" w:type="dxa"/>
              <w:left w:w="100" w:type="dxa"/>
              <w:bottom w:w="100" w:type="dxa"/>
              <w:right w:w="100" w:type="dxa"/>
            </w:tcMar>
          </w:tcPr>
          <w:p w14:paraId="7B44667F"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1805" w:type="dxa"/>
            <w:shd w:val="clear" w:color="auto" w:fill="auto"/>
            <w:tcMar>
              <w:top w:w="100" w:type="dxa"/>
              <w:left w:w="100" w:type="dxa"/>
              <w:bottom w:w="100" w:type="dxa"/>
              <w:right w:w="100" w:type="dxa"/>
            </w:tcMar>
          </w:tcPr>
          <w:p w14:paraId="0A1D06E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c>
          <w:tcPr>
            <w:tcW w:w="1805" w:type="dxa"/>
            <w:shd w:val="clear" w:color="auto" w:fill="auto"/>
            <w:tcMar>
              <w:top w:w="100" w:type="dxa"/>
              <w:left w:w="100" w:type="dxa"/>
              <w:bottom w:w="100" w:type="dxa"/>
              <w:right w:w="100" w:type="dxa"/>
            </w:tcMar>
          </w:tcPr>
          <w:p w14:paraId="169EB3FF"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Favourable</w:t>
            </w:r>
          </w:p>
        </w:tc>
      </w:tr>
      <w:tr w:rsidR="006374E9" w14:paraId="52BCFBC9" w14:textId="77777777">
        <w:trPr>
          <w:jc w:val="center"/>
        </w:trPr>
        <w:tc>
          <w:tcPr>
            <w:tcW w:w="1805" w:type="dxa"/>
            <w:shd w:val="clear" w:color="auto" w:fill="auto"/>
            <w:tcMar>
              <w:top w:w="100" w:type="dxa"/>
              <w:left w:w="100" w:type="dxa"/>
              <w:bottom w:w="100" w:type="dxa"/>
              <w:right w:w="100" w:type="dxa"/>
            </w:tcMar>
          </w:tcPr>
          <w:p w14:paraId="06C5836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Contribution</w:t>
            </w:r>
          </w:p>
        </w:tc>
        <w:tc>
          <w:tcPr>
            <w:tcW w:w="1805" w:type="dxa"/>
            <w:shd w:val="clear" w:color="auto" w:fill="auto"/>
            <w:tcMar>
              <w:top w:w="100" w:type="dxa"/>
              <w:left w:w="100" w:type="dxa"/>
              <w:bottom w:w="100" w:type="dxa"/>
              <w:right w:w="100" w:type="dxa"/>
            </w:tcMar>
          </w:tcPr>
          <w:p w14:paraId="624F8EE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1,700,000</w:t>
            </w:r>
          </w:p>
        </w:tc>
        <w:tc>
          <w:tcPr>
            <w:tcW w:w="1805" w:type="dxa"/>
            <w:shd w:val="clear" w:color="auto" w:fill="auto"/>
            <w:tcMar>
              <w:top w:w="100" w:type="dxa"/>
              <w:left w:w="100" w:type="dxa"/>
              <w:bottom w:w="100" w:type="dxa"/>
              <w:right w:w="100" w:type="dxa"/>
            </w:tcMar>
          </w:tcPr>
          <w:p w14:paraId="212A8831"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1,360,000</w:t>
            </w:r>
          </w:p>
        </w:tc>
        <w:tc>
          <w:tcPr>
            <w:tcW w:w="1805" w:type="dxa"/>
            <w:shd w:val="clear" w:color="auto" w:fill="auto"/>
            <w:tcMar>
              <w:top w:w="100" w:type="dxa"/>
              <w:left w:w="100" w:type="dxa"/>
              <w:bottom w:w="100" w:type="dxa"/>
              <w:right w:w="100" w:type="dxa"/>
            </w:tcMar>
          </w:tcPr>
          <w:p w14:paraId="77B789D4"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340,000</w:t>
            </w:r>
          </w:p>
        </w:tc>
        <w:tc>
          <w:tcPr>
            <w:tcW w:w="1805" w:type="dxa"/>
            <w:shd w:val="clear" w:color="auto" w:fill="auto"/>
            <w:tcMar>
              <w:top w:w="100" w:type="dxa"/>
              <w:left w:w="100" w:type="dxa"/>
              <w:bottom w:w="100" w:type="dxa"/>
              <w:right w:w="100" w:type="dxa"/>
            </w:tcMar>
          </w:tcPr>
          <w:p w14:paraId="572F7589"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Unfavourable</w:t>
            </w:r>
          </w:p>
        </w:tc>
      </w:tr>
      <w:tr w:rsidR="006374E9" w14:paraId="4EAEFD3F" w14:textId="77777777">
        <w:trPr>
          <w:jc w:val="center"/>
        </w:trPr>
        <w:tc>
          <w:tcPr>
            <w:tcW w:w="1805" w:type="dxa"/>
            <w:shd w:val="clear" w:color="auto" w:fill="auto"/>
            <w:tcMar>
              <w:top w:w="100" w:type="dxa"/>
              <w:left w:w="100" w:type="dxa"/>
              <w:bottom w:w="100" w:type="dxa"/>
              <w:right w:w="100" w:type="dxa"/>
            </w:tcMar>
          </w:tcPr>
          <w:p w14:paraId="371420E4"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Fixed Overheads</w:t>
            </w:r>
          </w:p>
        </w:tc>
        <w:tc>
          <w:tcPr>
            <w:tcW w:w="1805" w:type="dxa"/>
            <w:shd w:val="clear" w:color="auto" w:fill="auto"/>
            <w:tcMar>
              <w:top w:w="100" w:type="dxa"/>
              <w:left w:w="100" w:type="dxa"/>
              <w:bottom w:w="100" w:type="dxa"/>
              <w:right w:w="100" w:type="dxa"/>
            </w:tcMar>
          </w:tcPr>
          <w:p w14:paraId="1A3EA0A0"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p>
        </w:tc>
        <w:tc>
          <w:tcPr>
            <w:tcW w:w="1805" w:type="dxa"/>
            <w:shd w:val="clear" w:color="auto" w:fill="auto"/>
            <w:tcMar>
              <w:top w:w="100" w:type="dxa"/>
              <w:left w:w="100" w:type="dxa"/>
              <w:bottom w:w="100" w:type="dxa"/>
              <w:right w:w="100" w:type="dxa"/>
            </w:tcMar>
          </w:tcPr>
          <w:p w14:paraId="6FA4CCC6"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p>
        </w:tc>
        <w:tc>
          <w:tcPr>
            <w:tcW w:w="1805" w:type="dxa"/>
            <w:shd w:val="clear" w:color="auto" w:fill="auto"/>
            <w:tcMar>
              <w:top w:w="100" w:type="dxa"/>
              <w:left w:w="100" w:type="dxa"/>
              <w:bottom w:w="100" w:type="dxa"/>
              <w:right w:w="100" w:type="dxa"/>
            </w:tcMar>
          </w:tcPr>
          <w:p w14:paraId="2050C00B"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p>
        </w:tc>
        <w:tc>
          <w:tcPr>
            <w:tcW w:w="1805" w:type="dxa"/>
            <w:shd w:val="clear" w:color="auto" w:fill="auto"/>
            <w:tcMar>
              <w:top w:w="100" w:type="dxa"/>
              <w:left w:w="100" w:type="dxa"/>
              <w:bottom w:w="100" w:type="dxa"/>
              <w:right w:w="100" w:type="dxa"/>
            </w:tcMar>
          </w:tcPr>
          <w:p w14:paraId="54E42011" w14:textId="77777777" w:rsidR="006374E9" w:rsidRDefault="006374E9">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p>
        </w:tc>
      </w:tr>
      <w:tr w:rsidR="006374E9" w14:paraId="0DAC7675" w14:textId="77777777">
        <w:trPr>
          <w:jc w:val="center"/>
        </w:trPr>
        <w:tc>
          <w:tcPr>
            <w:tcW w:w="1805" w:type="dxa"/>
            <w:shd w:val="clear" w:color="auto" w:fill="auto"/>
            <w:tcMar>
              <w:top w:w="100" w:type="dxa"/>
              <w:left w:w="100" w:type="dxa"/>
              <w:bottom w:w="100" w:type="dxa"/>
              <w:right w:w="100" w:type="dxa"/>
            </w:tcMar>
          </w:tcPr>
          <w:p w14:paraId="2A364842" w14:textId="77777777" w:rsidR="006374E9" w:rsidRDefault="00A8742E">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Rent(warehouse)</w:t>
            </w:r>
          </w:p>
        </w:tc>
        <w:tc>
          <w:tcPr>
            <w:tcW w:w="1805" w:type="dxa"/>
            <w:shd w:val="clear" w:color="auto" w:fill="auto"/>
            <w:tcMar>
              <w:top w:w="100" w:type="dxa"/>
              <w:left w:w="100" w:type="dxa"/>
              <w:bottom w:w="100" w:type="dxa"/>
              <w:right w:w="100" w:type="dxa"/>
            </w:tcMar>
          </w:tcPr>
          <w:p w14:paraId="7F7ED4CE"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805" w:type="dxa"/>
            <w:shd w:val="clear" w:color="auto" w:fill="auto"/>
            <w:tcMar>
              <w:top w:w="100" w:type="dxa"/>
              <w:left w:w="100" w:type="dxa"/>
              <w:bottom w:w="100" w:type="dxa"/>
              <w:right w:w="100" w:type="dxa"/>
            </w:tcMar>
          </w:tcPr>
          <w:p w14:paraId="3FB6D1F4"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1805" w:type="dxa"/>
            <w:shd w:val="clear" w:color="auto" w:fill="auto"/>
            <w:tcMar>
              <w:top w:w="100" w:type="dxa"/>
              <w:left w:w="100" w:type="dxa"/>
              <w:bottom w:w="100" w:type="dxa"/>
              <w:right w:w="100" w:type="dxa"/>
            </w:tcMar>
          </w:tcPr>
          <w:p w14:paraId="63A165DD"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Nil</w:t>
            </w:r>
          </w:p>
        </w:tc>
        <w:tc>
          <w:tcPr>
            <w:tcW w:w="1805" w:type="dxa"/>
            <w:shd w:val="clear" w:color="auto" w:fill="auto"/>
            <w:tcMar>
              <w:top w:w="100" w:type="dxa"/>
              <w:left w:w="100" w:type="dxa"/>
              <w:bottom w:w="100" w:type="dxa"/>
              <w:right w:w="100" w:type="dxa"/>
            </w:tcMar>
          </w:tcPr>
          <w:p w14:paraId="41CDC286"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6374E9" w14:paraId="4CC1E9F6" w14:textId="77777777">
        <w:trPr>
          <w:jc w:val="center"/>
        </w:trPr>
        <w:tc>
          <w:tcPr>
            <w:tcW w:w="1805" w:type="dxa"/>
            <w:shd w:val="clear" w:color="auto" w:fill="auto"/>
            <w:tcMar>
              <w:top w:w="100" w:type="dxa"/>
              <w:left w:w="100" w:type="dxa"/>
              <w:bottom w:w="100" w:type="dxa"/>
              <w:right w:w="100" w:type="dxa"/>
            </w:tcMar>
          </w:tcPr>
          <w:p w14:paraId="2C492FEF" w14:textId="77777777" w:rsidR="006374E9" w:rsidRDefault="00A8742E">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Insurance</w:t>
            </w:r>
          </w:p>
        </w:tc>
        <w:tc>
          <w:tcPr>
            <w:tcW w:w="1805" w:type="dxa"/>
            <w:shd w:val="clear" w:color="auto" w:fill="auto"/>
            <w:tcMar>
              <w:top w:w="100" w:type="dxa"/>
              <w:left w:w="100" w:type="dxa"/>
              <w:bottom w:w="100" w:type="dxa"/>
              <w:right w:w="100" w:type="dxa"/>
            </w:tcMar>
          </w:tcPr>
          <w:p w14:paraId="0EC0BDF7"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805" w:type="dxa"/>
            <w:shd w:val="clear" w:color="auto" w:fill="auto"/>
            <w:tcMar>
              <w:top w:w="100" w:type="dxa"/>
              <w:left w:w="100" w:type="dxa"/>
              <w:bottom w:w="100" w:type="dxa"/>
              <w:right w:w="100" w:type="dxa"/>
            </w:tcMar>
          </w:tcPr>
          <w:p w14:paraId="134473E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1805" w:type="dxa"/>
            <w:shd w:val="clear" w:color="auto" w:fill="auto"/>
            <w:tcMar>
              <w:top w:w="100" w:type="dxa"/>
              <w:left w:w="100" w:type="dxa"/>
              <w:bottom w:w="100" w:type="dxa"/>
              <w:right w:w="100" w:type="dxa"/>
            </w:tcMar>
          </w:tcPr>
          <w:p w14:paraId="441FA0EA"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Nil</w:t>
            </w:r>
          </w:p>
        </w:tc>
        <w:tc>
          <w:tcPr>
            <w:tcW w:w="1805" w:type="dxa"/>
            <w:shd w:val="clear" w:color="auto" w:fill="auto"/>
            <w:tcMar>
              <w:top w:w="100" w:type="dxa"/>
              <w:left w:w="100" w:type="dxa"/>
              <w:bottom w:w="100" w:type="dxa"/>
              <w:right w:w="100" w:type="dxa"/>
            </w:tcMar>
          </w:tcPr>
          <w:p w14:paraId="0C6D00BC"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6374E9" w14:paraId="1D76D797" w14:textId="77777777">
        <w:trPr>
          <w:jc w:val="center"/>
        </w:trPr>
        <w:tc>
          <w:tcPr>
            <w:tcW w:w="1805" w:type="dxa"/>
            <w:shd w:val="clear" w:color="auto" w:fill="auto"/>
            <w:tcMar>
              <w:top w:w="100" w:type="dxa"/>
              <w:left w:w="100" w:type="dxa"/>
              <w:bottom w:w="100" w:type="dxa"/>
              <w:right w:w="100" w:type="dxa"/>
            </w:tcMar>
          </w:tcPr>
          <w:p w14:paraId="46396F03" w14:textId="77777777" w:rsidR="006374E9" w:rsidRDefault="00A8742E">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Salary ( full time warehouse supervisor)</w:t>
            </w:r>
          </w:p>
        </w:tc>
        <w:tc>
          <w:tcPr>
            <w:tcW w:w="1805" w:type="dxa"/>
            <w:shd w:val="clear" w:color="auto" w:fill="auto"/>
            <w:tcMar>
              <w:top w:w="100" w:type="dxa"/>
              <w:left w:w="100" w:type="dxa"/>
              <w:bottom w:w="100" w:type="dxa"/>
              <w:right w:w="100" w:type="dxa"/>
            </w:tcMar>
          </w:tcPr>
          <w:p w14:paraId="2464AE7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805" w:type="dxa"/>
            <w:shd w:val="clear" w:color="auto" w:fill="auto"/>
            <w:tcMar>
              <w:top w:w="100" w:type="dxa"/>
              <w:left w:w="100" w:type="dxa"/>
              <w:bottom w:w="100" w:type="dxa"/>
              <w:right w:w="100" w:type="dxa"/>
            </w:tcMar>
          </w:tcPr>
          <w:p w14:paraId="4585E60B"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1805" w:type="dxa"/>
            <w:shd w:val="clear" w:color="auto" w:fill="auto"/>
            <w:tcMar>
              <w:top w:w="100" w:type="dxa"/>
              <w:left w:w="100" w:type="dxa"/>
              <w:bottom w:w="100" w:type="dxa"/>
              <w:right w:w="100" w:type="dxa"/>
            </w:tcMar>
          </w:tcPr>
          <w:p w14:paraId="3CD71388"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Nil</w:t>
            </w:r>
          </w:p>
        </w:tc>
        <w:tc>
          <w:tcPr>
            <w:tcW w:w="1805" w:type="dxa"/>
            <w:shd w:val="clear" w:color="auto" w:fill="auto"/>
            <w:tcMar>
              <w:top w:w="100" w:type="dxa"/>
              <w:left w:w="100" w:type="dxa"/>
              <w:bottom w:w="100" w:type="dxa"/>
              <w:right w:w="100" w:type="dxa"/>
            </w:tcMar>
          </w:tcPr>
          <w:p w14:paraId="22151296"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p>
        </w:tc>
      </w:tr>
      <w:tr w:rsidR="006374E9" w14:paraId="0B83FABE" w14:textId="77777777">
        <w:trPr>
          <w:jc w:val="center"/>
        </w:trPr>
        <w:tc>
          <w:tcPr>
            <w:tcW w:w="1805" w:type="dxa"/>
            <w:shd w:val="clear" w:color="auto" w:fill="auto"/>
            <w:tcMar>
              <w:top w:w="100" w:type="dxa"/>
              <w:left w:w="100" w:type="dxa"/>
              <w:bottom w:w="100" w:type="dxa"/>
              <w:right w:w="100" w:type="dxa"/>
            </w:tcMar>
          </w:tcPr>
          <w:p w14:paraId="73398030" w14:textId="77777777" w:rsidR="006374E9" w:rsidRDefault="00A8742E">
            <w:pPr>
              <w:widowControl w:val="0"/>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w:t>
            </w:r>
          </w:p>
        </w:tc>
        <w:tc>
          <w:tcPr>
            <w:tcW w:w="1805" w:type="dxa"/>
            <w:shd w:val="clear" w:color="auto" w:fill="auto"/>
            <w:tcMar>
              <w:top w:w="100" w:type="dxa"/>
              <w:left w:w="100" w:type="dxa"/>
              <w:bottom w:w="100" w:type="dxa"/>
              <w:right w:w="100" w:type="dxa"/>
            </w:tcMar>
          </w:tcPr>
          <w:p w14:paraId="7FF7A473"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1,350,000</w:t>
            </w:r>
          </w:p>
        </w:tc>
        <w:tc>
          <w:tcPr>
            <w:tcW w:w="1805" w:type="dxa"/>
            <w:shd w:val="clear" w:color="auto" w:fill="auto"/>
            <w:tcMar>
              <w:top w:w="100" w:type="dxa"/>
              <w:left w:w="100" w:type="dxa"/>
              <w:bottom w:w="100" w:type="dxa"/>
              <w:right w:w="100" w:type="dxa"/>
            </w:tcMar>
          </w:tcPr>
          <w:p w14:paraId="5A6CC916"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1,010,000</w:t>
            </w:r>
          </w:p>
        </w:tc>
        <w:tc>
          <w:tcPr>
            <w:tcW w:w="1805" w:type="dxa"/>
            <w:shd w:val="clear" w:color="auto" w:fill="auto"/>
            <w:tcMar>
              <w:top w:w="100" w:type="dxa"/>
              <w:left w:w="100" w:type="dxa"/>
              <w:bottom w:w="100" w:type="dxa"/>
              <w:right w:w="100" w:type="dxa"/>
            </w:tcMar>
          </w:tcPr>
          <w:p w14:paraId="1A6B2DD5"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340,000</w:t>
            </w:r>
          </w:p>
        </w:tc>
        <w:tc>
          <w:tcPr>
            <w:tcW w:w="1805" w:type="dxa"/>
            <w:shd w:val="clear" w:color="auto" w:fill="auto"/>
            <w:tcMar>
              <w:top w:w="100" w:type="dxa"/>
              <w:left w:w="100" w:type="dxa"/>
              <w:bottom w:w="100" w:type="dxa"/>
              <w:right w:w="100" w:type="dxa"/>
            </w:tcMar>
          </w:tcPr>
          <w:p w14:paraId="1CC9F9E1" w14:textId="77777777" w:rsidR="006374E9" w:rsidRDefault="00A8742E">
            <w:pPr>
              <w:widowControl w:val="0"/>
              <w:pBdr>
                <w:top w:val="nil"/>
                <w:left w:val="nil"/>
                <w:bottom w:val="nil"/>
                <w:right w:val="nil"/>
                <w:between w:val="nil"/>
              </w:pBd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Unfavourable</w:t>
            </w:r>
          </w:p>
        </w:tc>
      </w:tr>
    </w:tbl>
    <w:p w14:paraId="613701DF" w14:textId="77777777" w:rsidR="006374E9" w:rsidRDefault="006374E9">
      <w:pPr>
        <w:spacing w:line="480" w:lineRule="auto"/>
        <w:rPr>
          <w:rFonts w:ascii="Times New Roman" w:eastAsia="Times New Roman" w:hAnsi="Times New Roman" w:cs="Times New Roman"/>
          <w:sz w:val="24"/>
          <w:szCs w:val="24"/>
        </w:rPr>
      </w:pPr>
    </w:p>
    <w:p w14:paraId="164FA05B" w14:textId="77777777" w:rsidR="006374E9" w:rsidRDefault="006374E9">
      <w:pPr>
        <w:spacing w:line="480" w:lineRule="auto"/>
        <w:rPr>
          <w:rFonts w:ascii="Times New Roman" w:eastAsia="Times New Roman" w:hAnsi="Times New Roman" w:cs="Times New Roman"/>
          <w:sz w:val="24"/>
          <w:szCs w:val="24"/>
        </w:rPr>
      </w:pPr>
    </w:p>
    <w:p w14:paraId="07C77C75" w14:textId="59DC87EC" w:rsidR="006374E9" w:rsidRDefault="00A8742E">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22510D">
        <w:rPr>
          <w:rFonts w:ascii="Times New Roman" w:eastAsia="Times New Roman" w:hAnsi="Times New Roman" w:cs="Times New Roman"/>
          <w:b/>
          <w:sz w:val="24"/>
          <w:szCs w:val="24"/>
        </w:rPr>
        <w:t>II</w:t>
      </w:r>
      <w:r>
        <w:rPr>
          <w:rFonts w:ascii="Times New Roman" w:eastAsia="Times New Roman" w:hAnsi="Times New Roman" w:cs="Times New Roman"/>
          <w:b/>
          <w:sz w:val="24"/>
          <w:szCs w:val="24"/>
        </w:rPr>
        <w:t>) Report on Performance</w:t>
      </w:r>
    </w:p>
    <w:p w14:paraId="0AFE4D3A" w14:textId="4EE69A30"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is experiencing a challenging year. The Covid-19 pandemic has resulted in constraints on movement as well as travel, resulting in a drop in sales. Amana Ltd. anticipates total sales of £2,500,000 but realises an actual revenue of £1,600,000. Even with a 20% decrease in selling prices from £25 to £20 per unit, they even now face significant unit increased costs attributable to material (£250,000 to £280,000) as well as labour costs (£400,000 to £440,000). The cost of doing business rises by 10%. This results in a total loss </w:t>
      </w:r>
      <w:r>
        <w:rPr>
          <w:rFonts w:ascii="Times New Roman" w:eastAsia="Times New Roman" w:hAnsi="Times New Roman" w:cs="Times New Roman"/>
          <w:sz w:val="24"/>
          <w:szCs w:val="24"/>
        </w:rPr>
        <w:lastRenderedPageBreak/>
        <w:t xml:space="preserve">of £760 (budgeted vs. actual). The firm's monthly warehouse increases </w:t>
      </w:r>
      <w:r w:rsidR="00841610">
        <w:rPr>
          <w:rFonts w:ascii="Times New Roman" w:eastAsia="Times New Roman" w:hAnsi="Times New Roman" w:cs="Times New Roman"/>
          <w:sz w:val="24"/>
          <w:szCs w:val="24"/>
        </w:rPr>
        <w:t>from £</w:t>
      </w:r>
      <w:r>
        <w:rPr>
          <w:rFonts w:ascii="Times New Roman" w:eastAsia="Times New Roman" w:hAnsi="Times New Roman" w:cs="Times New Roman"/>
          <w:sz w:val="24"/>
          <w:szCs w:val="24"/>
        </w:rPr>
        <w:t xml:space="preserve">170,000 </w:t>
      </w:r>
      <w:r w:rsidR="00841610">
        <w:rPr>
          <w:rFonts w:ascii="Times New Roman" w:eastAsia="Times New Roman" w:hAnsi="Times New Roman" w:cs="Times New Roman"/>
          <w:sz w:val="24"/>
          <w:szCs w:val="24"/>
        </w:rPr>
        <w:t>to £</w:t>
      </w:r>
      <w:r>
        <w:rPr>
          <w:rFonts w:ascii="Times New Roman" w:eastAsia="Times New Roman" w:hAnsi="Times New Roman" w:cs="Times New Roman"/>
          <w:sz w:val="24"/>
          <w:szCs w:val="24"/>
        </w:rPr>
        <w:t>200,000, leaving insurance costs the only fixed overhead that has remained constant at £100,000. The warehouse supervisor's salary is also reduced by 20 percent, from £50,000 to £35,000 per year. Because of their aptness to sell souvenirs at a cheaper price while preserving similar figures in terms of items sold, the business' flexed budget was much more precise than its original budget (Macchia, 2019). The accurate analysis shows that Amana performed poorly. The selling price per unit has been raised, but expenditures are still out of control. The fixed costs have been minimised and hence placed under control. Overall profitability has been underwhelming.</w:t>
      </w:r>
    </w:p>
    <w:p w14:paraId="58E570CD" w14:textId="72E62C6B"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not quite as lucrative as it was in previous years, which will cause them to </w:t>
      </w:r>
      <w:r w:rsidR="00F509CF">
        <w:rPr>
          <w:rFonts w:ascii="Times New Roman" w:eastAsia="Times New Roman" w:hAnsi="Times New Roman" w:cs="Times New Roman"/>
          <w:sz w:val="24"/>
          <w:szCs w:val="24"/>
        </w:rPr>
        <w:t>re-evaluate</w:t>
      </w:r>
      <w:r>
        <w:rPr>
          <w:rFonts w:ascii="Times New Roman" w:eastAsia="Times New Roman" w:hAnsi="Times New Roman" w:cs="Times New Roman"/>
          <w:sz w:val="24"/>
          <w:szCs w:val="24"/>
        </w:rPr>
        <w:t xml:space="preserve"> its costs and revenues framework in the future. Amana Ltd. should place more emphasis on sales volume rather than industry positioning, such as tourism. The company can minimise unit costs and look for alternative sources of ingredients and supplies. If Amana Ltd. wants customers to keep buying their souvenirs, it might be necessary for them to lower their prices cutting across their product line. The company sells souvenirs for £20 for every unit, but it is expected to sell for £25 for every unit. As a result, a significant decline of £900,000 is incurred (budgeted vs. actual). The primary causes of these losses were increases in labour and material costs and an upsurge in overhead costs. Amana Ltd. should concentrate on product demand rather than industry positioning, such as tourism, to mitigate these shortfalls. They should start reducing unit costs and look for alternative sources of materials and other ingredients, for example, source materials locally. If Amana Ltd. wants customers to keep buying their souvenirs, they may need to reduce their prices across the board. They should also probably expand into various markets to generate different kinds of revenue (Bento et al., 2018).</w:t>
      </w:r>
    </w:p>
    <w:p w14:paraId="53BD854A" w14:textId="77777777" w:rsidR="00EF5491" w:rsidRDefault="00EF5491">
      <w:pPr>
        <w:spacing w:line="480" w:lineRule="auto"/>
        <w:ind w:firstLine="720"/>
        <w:rPr>
          <w:rFonts w:ascii="Times New Roman" w:eastAsia="Times New Roman" w:hAnsi="Times New Roman" w:cs="Times New Roman"/>
          <w:sz w:val="24"/>
          <w:szCs w:val="24"/>
        </w:rPr>
      </w:pPr>
    </w:p>
    <w:p w14:paraId="6534567E" w14:textId="77777777" w:rsidR="00EF5491" w:rsidRDefault="00EF5491">
      <w:pPr>
        <w:spacing w:line="480" w:lineRule="auto"/>
        <w:ind w:firstLine="720"/>
        <w:rPr>
          <w:rFonts w:ascii="Times New Roman" w:eastAsia="Times New Roman" w:hAnsi="Times New Roman" w:cs="Times New Roman"/>
          <w:sz w:val="24"/>
          <w:szCs w:val="24"/>
        </w:rPr>
      </w:pPr>
    </w:p>
    <w:p w14:paraId="7525544B" w14:textId="6938577F" w:rsidR="006374E9" w:rsidRDefault="00A8742E">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w:t>
      </w:r>
      <w:r w:rsidR="00EF5491">
        <w:rPr>
          <w:rFonts w:ascii="Times New Roman" w:eastAsia="Times New Roman" w:hAnsi="Times New Roman" w:cs="Times New Roman"/>
          <w:b/>
          <w:sz w:val="24"/>
          <w:szCs w:val="24"/>
        </w:rPr>
        <w:t>III</w:t>
      </w:r>
      <w:r>
        <w:rPr>
          <w:rFonts w:ascii="Times New Roman" w:eastAsia="Times New Roman" w:hAnsi="Times New Roman" w:cs="Times New Roman"/>
          <w:b/>
          <w:sz w:val="24"/>
          <w:szCs w:val="24"/>
        </w:rPr>
        <w:t>) Recommendations</w:t>
      </w:r>
    </w:p>
    <w:p w14:paraId="341FA9B2" w14:textId="4C8FB608"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is facing a challenging period, and the Company's Chief Executive </w:t>
      </w:r>
      <w:r w:rsidR="00F509CF">
        <w:rPr>
          <w:rFonts w:ascii="Times New Roman" w:eastAsia="Times New Roman" w:hAnsi="Times New Roman" w:cs="Times New Roman"/>
          <w:sz w:val="24"/>
          <w:szCs w:val="24"/>
        </w:rPr>
        <w:t>Officer (</w:t>
      </w:r>
      <w:r>
        <w:rPr>
          <w:rFonts w:ascii="Times New Roman" w:eastAsia="Times New Roman" w:hAnsi="Times New Roman" w:cs="Times New Roman"/>
          <w:sz w:val="24"/>
          <w:szCs w:val="24"/>
        </w:rPr>
        <w:t xml:space="preserve">CEO) requires some meaningful measures to assist her business get back on the right track. In this </w:t>
      </w:r>
      <w:r w:rsidR="00F509CF">
        <w:rPr>
          <w:rFonts w:ascii="Times New Roman" w:eastAsia="Times New Roman" w:hAnsi="Times New Roman" w:cs="Times New Roman"/>
          <w:sz w:val="24"/>
          <w:szCs w:val="24"/>
        </w:rPr>
        <w:t>instance</w:t>
      </w:r>
      <w:r>
        <w:rPr>
          <w:rFonts w:ascii="Times New Roman" w:eastAsia="Times New Roman" w:hAnsi="Times New Roman" w:cs="Times New Roman"/>
          <w:sz w:val="24"/>
          <w:szCs w:val="24"/>
        </w:rPr>
        <w:t>, the emphasis must be on boosting revenue by trying to sell more units at a slightly higher price while significantly lowering variable costs.</w:t>
      </w:r>
    </w:p>
    <w:p w14:paraId="3DBDF399" w14:textId="77777777"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Amana can significantly raise their revenue in a variety of ways:</w:t>
      </w:r>
    </w:p>
    <w:p w14:paraId="3B36F792" w14:textId="77777777" w:rsidR="006374E9" w:rsidRDefault="00A8742E">
      <w:pPr>
        <w:numPr>
          <w:ilvl w:val="0"/>
          <w:numId w:val="2"/>
        </w:numPr>
        <w:spacing w:line="480" w:lineRule="auto"/>
        <w:rPr>
          <w:color w:val="0E101A"/>
        </w:rPr>
      </w:pPr>
      <w:r>
        <w:rPr>
          <w:rFonts w:ascii="Times New Roman" w:eastAsia="Times New Roman" w:hAnsi="Times New Roman" w:cs="Times New Roman"/>
          <w:color w:val="0E101A"/>
          <w:sz w:val="24"/>
          <w:szCs w:val="24"/>
        </w:rPr>
        <w:t>Increasing the selling price of every unit, say £25 to approximately £30, without adjusting the results of the variable costs in a significant sale less variable costs(contribution) of approximately £2 per unit, resulting in a total sales growth of £40,000. Nevertheless, this alternative may not be favourable because it may reduce sales volume, holding Amana with a relatively small stock of things to sell (Modell, 2017). This is not a good option.</w:t>
      </w:r>
    </w:p>
    <w:p w14:paraId="46C45E5A" w14:textId="77777777" w:rsidR="006374E9" w:rsidRDefault="00A8742E">
      <w:pPr>
        <w:numPr>
          <w:ilvl w:val="0"/>
          <w:numId w:val="2"/>
        </w:numPr>
        <w:spacing w:line="480" w:lineRule="auto"/>
        <w:rPr>
          <w:color w:val="0E101A"/>
        </w:rPr>
      </w:pPr>
      <w:r>
        <w:rPr>
          <w:rFonts w:ascii="Times New Roman" w:eastAsia="Times New Roman" w:hAnsi="Times New Roman" w:cs="Times New Roman"/>
          <w:color w:val="0E101A"/>
          <w:sz w:val="24"/>
          <w:szCs w:val="24"/>
        </w:rPr>
        <w:t>Raising the selling price to approximately £30 from the prevailing £25 while lowering variable costs from £20 per unit to approximately £13 results in an elevated contribution of about £7 per unit, resulting in a cumulative sales growth of £80,000. This alternative will undoubtedly assist in minimising the losses while also contributing more to Amana's fixed overheads. This is the preferred option.</w:t>
      </w:r>
    </w:p>
    <w:p w14:paraId="76647304" w14:textId="77777777" w:rsidR="006374E9" w:rsidRDefault="00A8742E">
      <w:pPr>
        <w:numPr>
          <w:ilvl w:val="0"/>
          <w:numId w:val="2"/>
        </w:numPr>
        <w:spacing w:line="480" w:lineRule="auto"/>
        <w:rPr>
          <w:color w:val="0E101A"/>
        </w:rPr>
      </w:pPr>
      <w:r>
        <w:rPr>
          <w:rFonts w:ascii="Times New Roman" w:eastAsia="Times New Roman" w:hAnsi="Times New Roman" w:cs="Times New Roman"/>
          <w:color w:val="0E101A"/>
          <w:sz w:val="24"/>
          <w:szCs w:val="24"/>
        </w:rPr>
        <w:t xml:space="preserve"> Selling at a reduced price of, say, 20 sterling pounds for a limited time could also be a reasonable approach that may increase sales volume and perhaps even entice some potential subscribers who were previously unable to make purchases due to increasing prices. Nevertheless, this option may lead to a considerable inventory of unpurchased souvenirs at the end of the cycle, depleting the firm's working capital. As a result, this alternative is not strongly suggested.</w:t>
      </w:r>
    </w:p>
    <w:p w14:paraId="069D55DF" w14:textId="77777777" w:rsidR="006374E9" w:rsidRDefault="00A8742E">
      <w:pPr>
        <w:numPr>
          <w:ilvl w:val="0"/>
          <w:numId w:val="2"/>
        </w:numPr>
        <w:spacing w:line="480" w:lineRule="auto"/>
        <w:rPr>
          <w:color w:val="0E101A"/>
        </w:rPr>
      </w:pPr>
      <w:r>
        <w:rPr>
          <w:rFonts w:ascii="Times New Roman" w:eastAsia="Times New Roman" w:hAnsi="Times New Roman" w:cs="Times New Roman"/>
          <w:color w:val="0E101A"/>
          <w:sz w:val="24"/>
          <w:szCs w:val="24"/>
        </w:rPr>
        <w:lastRenderedPageBreak/>
        <w:t>Selling souvenirs on the internet to clients who were unable to visit retail stores due to the lockdown will assist Amana boost revenue by £150,000 while decreasing fixed overheads. As a result, this alternative is strongly advised.</w:t>
      </w:r>
    </w:p>
    <w:p w14:paraId="5CF3F166" w14:textId="77777777" w:rsidR="006374E9" w:rsidRDefault="00A8742E">
      <w:pPr>
        <w:spacing w:line="480" w:lineRule="auto"/>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Variable expenses can be minimised in a variety of ways, such as:</w:t>
      </w:r>
    </w:p>
    <w:p w14:paraId="1580C866" w14:textId="77777777" w:rsidR="006374E9" w:rsidRDefault="00A8742E">
      <w:pPr>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Material variable expenses are reduced from £2.50 for every unit to £2.0 for every unit, whereas other variables remain constant. The change will improve a contribution margin of approximately £0.5 for every unit, culminating to an overall sales boost of £20,000. Even so, this might culminate in low-quality goods that could negatively impact client satisfaction. This may not be a good option.</w:t>
      </w:r>
    </w:p>
    <w:p w14:paraId="0894AB94" w14:textId="40473323" w:rsidR="006374E9" w:rsidRDefault="00A8742E">
      <w:pPr>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Cutting down the number of permanent warehouse employees from four to two while keeping all other components constant will result in a £120,000 annual savings in variable costs. This alternative is recommended to reduce shortfalls and add more to Amana's fixed overheads.</w:t>
      </w:r>
    </w:p>
    <w:p w14:paraId="4A86FAEC" w14:textId="36937398" w:rsidR="006374E9" w:rsidRDefault="00A8742E">
      <w:pPr>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Lowering overhead expenses from £1.50 for every unit to £1 for every unit </w:t>
      </w:r>
      <w:r w:rsidR="00F509CF">
        <w:rPr>
          <w:rFonts w:ascii="Times New Roman" w:eastAsia="Times New Roman" w:hAnsi="Times New Roman" w:cs="Times New Roman"/>
          <w:color w:val="0E101A"/>
          <w:sz w:val="24"/>
          <w:szCs w:val="24"/>
        </w:rPr>
        <w:t>result</w:t>
      </w:r>
      <w:r>
        <w:rPr>
          <w:rFonts w:ascii="Times New Roman" w:eastAsia="Times New Roman" w:hAnsi="Times New Roman" w:cs="Times New Roman"/>
          <w:color w:val="0E101A"/>
          <w:sz w:val="24"/>
          <w:szCs w:val="24"/>
        </w:rPr>
        <w:t xml:space="preserve"> in a £30,000 annual savings in variable costs. This choice, nevertheless, may not be viable because some of the overhead costs are required for the company to operate effectively, for example, insurance (Nishimura, 2019). This is not a great alternative.</w:t>
      </w:r>
    </w:p>
    <w:p w14:paraId="37550561" w14:textId="425F46F6" w:rsidR="006374E9" w:rsidRDefault="00F509CF">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Amana’s</w:t>
      </w:r>
      <w:r w:rsidR="00A8742E">
        <w:rPr>
          <w:rFonts w:ascii="Times New Roman" w:eastAsia="Times New Roman" w:hAnsi="Times New Roman" w:cs="Times New Roman"/>
          <w:sz w:val="24"/>
          <w:szCs w:val="24"/>
        </w:rPr>
        <w:t xml:space="preserve"> CEO must prioritise business growth and profitability while decreasing variable costs. The alternatives noted above can assist in achieving these goals and improving Amana's financial performance.</w:t>
      </w:r>
    </w:p>
    <w:p w14:paraId="53BC2551" w14:textId="77777777" w:rsidR="006374E9" w:rsidRDefault="00A8742E">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b/>
          <w:sz w:val="24"/>
          <w:szCs w:val="24"/>
        </w:rPr>
        <w:t>PART B</w:t>
      </w:r>
    </w:p>
    <w:p w14:paraId="73F06E69" w14:textId="0CE957E8"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Mr. Amana's choice of </w:t>
      </w:r>
      <w:r w:rsidR="00F509CF">
        <w:rPr>
          <w:rFonts w:ascii="Times New Roman" w:eastAsia="Times New Roman" w:hAnsi="Times New Roman" w:cs="Times New Roman"/>
          <w:sz w:val="24"/>
          <w:szCs w:val="24"/>
        </w:rPr>
        <w:t>shifting 50</w:t>
      </w:r>
      <w:r>
        <w:rPr>
          <w:rFonts w:ascii="Times New Roman" w:eastAsia="Times New Roman" w:hAnsi="Times New Roman" w:cs="Times New Roman"/>
          <w:sz w:val="24"/>
          <w:szCs w:val="24"/>
        </w:rPr>
        <w:t xml:space="preserve"> percent of their income from physical to online is sound. His firm's branches in Brighton, Birmingham city centre, and Manchester city centre could only serve a small portion of the customer segmentation. While the presence of these store outlets may significantly boost Amana Souvenirs' base of loyal customers, the </w:t>
      </w:r>
      <w:r>
        <w:rPr>
          <w:rFonts w:ascii="Times New Roman" w:eastAsia="Times New Roman" w:hAnsi="Times New Roman" w:cs="Times New Roman"/>
          <w:sz w:val="24"/>
          <w:szCs w:val="24"/>
        </w:rPr>
        <w:lastRenderedPageBreak/>
        <w:t xml:space="preserve">opportunities to reach out to newer client bases are constrained, and the expenses of store outlets are substantial. The company's Souvenirs has the prospects to dramatically expand its customer and market base by channelling half of its sales projections through an online framework that specifically targets the United Kingdom, Europe, and the United States. Around the exact moment, it can plan to revamp its residual physical stores to serve its domestic client base and unionists better. Mr. Amana, the company owner, must choose between selling online through Amazon and opening his own online store. The company should consider the relevant costs of each route before </w:t>
      </w:r>
      <w:r w:rsidR="00F509CF">
        <w:rPr>
          <w:rFonts w:ascii="Times New Roman" w:eastAsia="Times New Roman" w:hAnsi="Times New Roman" w:cs="Times New Roman"/>
          <w:sz w:val="24"/>
          <w:szCs w:val="24"/>
        </w:rPr>
        <w:t>deciding</w:t>
      </w:r>
      <w:r>
        <w:rPr>
          <w:rFonts w:ascii="Times New Roman" w:eastAsia="Times New Roman" w:hAnsi="Times New Roman" w:cs="Times New Roman"/>
          <w:sz w:val="24"/>
          <w:szCs w:val="24"/>
        </w:rPr>
        <w:t xml:space="preserve"> on which one to take (Scott, 2019).</w:t>
      </w:r>
    </w:p>
    <w:p w14:paraId="69C8B81D" w14:textId="77777777" w:rsidR="006374E9" w:rsidRDefault="006374E9">
      <w:pPr>
        <w:spacing w:line="480" w:lineRule="auto"/>
        <w:ind w:firstLine="720"/>
        <w:rPr>
          <w:rFonts w:ascii="Times New Roman" w:eastAsia="Times New Roman" w:hAnsi="Times New Roman" w:cs="Times New Roman"/>
          <w:sz w:val="24"/>
          <w:szCs w:val="24"/>
        </w:rPr>
      </w:pPr>
    </w:p>
    <w:p w14:paraId="544C280B" w14:textId="77777777" w:rsidR="006374E9" w:rsidRDefault="006374E9">
      <w:pPr>
        <w:spacing w:line="480" w:lineRule="auto"/>
        <w:ind w:firstLine="720"/>
        <w:rPr>
          <w:rFonts w:ascii="Times New Roman" w:eastAsia="Times New Roman" w:hAnsi="Times New Roman" w:cs="Times New Roman"/>
          <w:sz w:val="24"/>
          <w:szCs w:val="24"/>
        </w:rPr>
      </w:pPr>
    </w:p>
    <w:p w14:paraId="08A92356" w14:textId="2B1059DC"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aspects of establishing their own online store, Amana has estimated that a preliminary £10,000 would be needed for start-up expenses, with an additional £100/month necessary to keep it operational. In addition, the business's shareholders were thinking of hiring a permanent programmer at a remuneration of £35,000 annually. This will only put additional pressure on the company because this person would require continuous guidance and direction. In addition, there is the cost of the delivery services to consider. According to the approximated values, about £150,000 will be required to establish a framework of delivery for clients in the United Kingdom, Europe, and the United States. With </w:t>
      </w:r>
      <w:r w:rsidR="00F509CF">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these expenses </w:t>
      </w:r>
      <w:r w:rsidR="003C0CA9">
        <w:rPr>
          <w:rFonts w:ascii="Times New Roman" w:eastAsia="Times New Roman" w:hAnsi="Times New Roman" w:cs="Times New Roman"/>
          <w:sz w:val="24"/>
          <w:szCs w:val="24"/>
        </w:rPr>
        <w:t>considered</w:t>
      </w:r>
      <w:r>
        <w:rPr>
          <w:rFonts w:ascii="Times New Roman" w:eastAsia="Times New Roman" w:hAnsi="Times New Roman" w:cs="Times New Roman"/>
          <w:sz w:val="24"/>
          <w:szCs w:val="24"/>
        </w:rPr>
        <w:t xml:space="preserve">, one can see that Amana requires £295,000 in order to have its own online marketplace – which might foreseeably result in a rise in revenues. Likewise, if they were to sell on Amazon, Amana would have to pay fifty thousand sterling pounds in Amazon fulfilment fees (Tănase, 2021). Furthermore, due to intense competition among Amazon sellers, Amana is expected only to accomplish assured sales of £65,000 units here on the </w:t>
      </w:r>
      <w:r>
        <w:rPr>
          <w:rFonts w:ascii="Times New Roman" w:eastAsia="Times New Roman" w:hAnsi="Times New Roman" w:cs="Times New Roman"/>
          <w:sz w:val="24"/>
          <w:szCs w:val="24"/>
        </w:rPr>
        <w:lastRenderedPageBreak/>
        <w:t>platform. This figure, however, is presumably relevant to the rise because it is heavily dependent on market demand.</w:t>
      </w:r>
    </w:p>
    <w:p w14:paraId="5BBD5EF3" w14:textId="47D17500"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costs, Amana will require a splurge of £50,000 for their merchandise purchased on Amazon. If the company decides to sell via this online store behemoth, the total cost will be £100,000. </w:t>
      </w:r>
      <w:r w:rsidR="00F509CF">
        <w:rPr>
          <w:rFonts w:ascii="Times New Roman" w:eastAsia="Times New Roman" w:hAnsi="Times New Roman" w:cs="Times New Roman"/>
          <w:sz w:val="24"/>
          <w:szCs w:val="24"/>
        </w:rPr>
        <w:t>One</w:t>
      </w:r>
      <w:r>
        <w:rPr>
          <w:rFonts w:ascii="Times New Roman" w:eastAsia="Times New Roman" w:hAnsi="Times New Roman" w:cs="Times New Roman"/>
          <w:sz w:val="24"/>
          <w:szCs w:val="24"/>
        </w:rPr>
        <w:t xml:space="preserve"> can see that if the company chooses to sell on Amazon, it will incur lower start-up costs. Nevertheless, their yields and earnings are likely smaller than if they established their online store. In comparison, if the company decides to set up an online store, it could see a sales increase and increased profits. They will exercise total control over what they offer, the amount they charge for it, and their return guidelines. Before deciding where to sell his goods, Mr. Amana should carefully consider all variables. By quantifying the benefits and drawbacks of selling on Amazon versus opening an online store for his business, he can make a rational decision ideal for his business.</w:t>
      </w:r>
    </w:p>
    <w:p w14:paraId="0AF07FC6" w14:textId="0D0EA8D8"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Keeping </w:t>
      </w:r>
      <w:r w:rsidR="00F509CF">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 factors mentioned earlier in mind, Mr. Amana should consider selling through Amazon at the onset for a minimum of one to three years. While it is more likely that his business will encounter stiff competition in this seller online space, it will provide Mr. Amana with genuine feedback about the perception and attitude of the consumers towards his company's products in the market segments. He will start an advertising campaign correspondingly to enhance consumer awareness of the brand and earn customer loyalty in the long run (Weetman, 2019). Mr. Amana can </w:t>
      </w:r>
      <w:r w:rsidR="00F509CF">
        <w:rPr>
          <w:rFonts w:ascii="Times New Roman" w:eastAsia="Times New Roman" w:hAnsi="Times New Roman" w:cs="Times New Roman"/>
          <w:sz w:val="24"/>
          <w:szCs w:val="24"/>
        </w:rPr>
        <w:t>consider</w:t>
      </w:r>
      <w:r>
        <w:rPr>
          <w:rFonts w:ascii="Times New Roman" w:eastAsia="Times New Roman" w:hAnsi="Times New Roman" w:cs="Times New Roman"/>
          <w:sz w:val="24"/>
          <w:szCs w:val="24"/>
        </w:rPr>
        <w:t xml:space="preserve"> shifting to a devoted online store for the company's Souvenirs after ideally increasing the product's brand awareness in the market segment over the initial one to three years.</w:t>
      </w:r>
    </w:p>
    <w:p w14:paraId="47628D32" w14:textId="77777777" w:rsidR="006374E9" w:rsidRDefault="00A8742E" w:rsidP="00EF5491">
      <w:pPr>
        <w:spacing w:line="480" w:lineRule="auto"/>
        <w:ind w:firstLine="72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Conclusion</w:t>
      </w:r>
    </w:p>
    <w:p w14:paraId="2ACF8ED5" w14:textId="77777777" w:rsidR="006374E9" w:rsidRDefault="00A8742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this assignment work, management accounting is a significant component of any business. It assists businesses in tracking their financial performance and productivity to focus on making better decisions and continue improving their bottom line. </w:t>
      </w:r>
      <w:r>
        <w:rPr>
          <w:rFonts w:ascii="Times New Roman" w:eastAsia="Times New Roman" w:hAnsi="Times New Roman" w:cs="Times New Roman"/>
          <w:sz w:val="24"/>
          <w:szCs w:val="24"/>
        </w:rPr>
        <w:lastRenderedPageBreak/>
        <w:t>Management accountants gather and analyse financial data using different tools and techniques, which they then utilise to continue providing additional insight and suggestions to business shareholders and management staff.</w:t>
      </w:r>
    </w:p>
    <w:p w14:paraId="77A748C8" w14:textId="77777777" w:rsidR="006374E9" w:rsidRDefault="006374E9">
      <w:pPr>
        <w:spacing w:line="480" w:lineRule="auto"/>
        <w:ind w:firstLine="720"/>
        <w:jc w:val="center"/>
        <w:rPr>
          <w:rFonts w:ascii="Times New Roman" w:eastAsia="Times New Roman" w:hAnsi="Times New Roman" w:cs="Times New Roman"/>
          <w:b/>
          <w:sz w:val="24"/>
          <w:szCs w:val="24"/>
        </w:rPr>
      </w:pPr>
    </w:p>
    <w:p w14:paraId="67A024D4" w14:textId="77777777" w:rsidR="006374E9" w:rsidRDefault="006374E9">
      <w:pPr>
        <w:spacing w:line="480" w:lineRule="auto"/>
        <w:ind w:firstLine="720"/>
        <w:jc w:val="center"/>
        <w:rPr>
          <w:rFonts w:ascii="Times New Roman" w:eastAsia="Times New Roman" w:hAnsi="Times New Roman" w:cs="Times New Roman"/>
          <w:b/>
          <w:sz w:val="24"/>
          <w:szCs w:val="24"/>
        </w:rPr>
      </w:pPr>
    </w:p>
    <w:p w14:paraId="05B1C2BE" w14:textId="77777777" w:rsidR="006374E9" w:rsidRDefault="006374E9">
      <w:pPr>
        <w:spacing w:line="480" w:lineRule="auto"/>
        <w:jc w:val="center"/>
        <w:rPr>
          <w:rFonts w:ascii="Times New Roman" w:eastAsia="Times New Roman" w:hAnsi="Times New Roman" w:cs="Times New Roman"/>
          <w:b/>
          <w:sz w:val="24"/>
          <w:szCs w:val="24"/>
        </w:rPr>
      </w:pPr>
    </w:p>
    <w:p w14:paraId="0F88B1D1" w14:textId="77777777" w:rsidR="006374E9" w:rsidRDefault="006374E9">
      <w:pPr>
        <w:spacing w:line="480" w:lineRule="auto"/>
        <w:rPr>
          <w:rFonts w:ascii="Times New Roman" w:eastAsia="Times New Roman" w:hAnsi="Times New Roman" w:cs="Times New Roman"/>
          <w:b/>
          <w:sz w:val="24"/>
          <w:szCs w:val="24"/>
        </w:rPr>
      </w:pPr>
    </w:p>
    <w:p w14:paraId="0A1A5AA6" w14:textId="77777777" w:rsidR="006374E9" w:rsidRDefault="006374E9">
      <w:pPr>
        <w:spacing w:line="480" w:lineRule="auto"/>
        <w:rPr>
          <w:rFonts w:ascii="Times New Roman" w:eastAsia="Times New Roman" w:hAnsi="Times New Roman" w:cs="Times New Roman"/>
          <w:b/>
          <w:sz w:val="24"/>
          <w:szCs w:val="24"/>
        </w:rPr>
      </w:pPr>
    </w:p>
    <w:p w14:paraId="30143CDE" w14:textId="77777777" w:rsidR="006374E9" w:rsidRDefault="006374E9">
      <w:pPr>
        <w:spacing w:line="480" w:lineRule="auto"/>
        <w:rPr>
          <w:rFonts w:ascii="Times New Roman" w:eastAsia="Times New Roman" w:hAnsi="Times New Roman" w:cs="Times New Roman"/>
          <w:b/>
          <w:sz w:val="24"/>
          <w:szCs w:val="24"/>
        </w:rPr>
      </w:pPr>
    </w:p>
    <w:p w14:paraId="136FCAB9" w14:textId="77777777" w:rsidR="006374E9" w:rsidRDefault="00A8742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42C0C5EB"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Bento, R. F., Mertins, L., &amp; White, L. F. (2018). Risk management and internal control: A study of management accounting practice. In </w:t>
      </w:r>
      <w:r>
        <w:rPr>
          <w:rFonts w:ascii="Times New Roman" w:eastAsia="Times New Roman" w:hAnsi="Times New Roman" w:cs="Times New Roman"/>
          <w:i/>
          <w:color w:val="222222"/>
          <w:sz w:val="24"/>
          <w:szCs w:val="24"/>
          <w:highlight w:val="white"/>
        </w:rPr>
        <w:t>Advances in management accounting</w:t>
      </w:r>
      <w:r>
        <w:rPr>
          <w:rFonts w:ascii="Times New Roman" w:eastAsia="Times New Roman" w:hAnsi="Times New Roman" w:cs="Times New Roman"/>
          <w:color w:val="222222"/>
          <w:sz w:val="24"/>
          <w:szCs w:val="24"/>
          <w:highlight w:val="white"/>
        </w:rPr>
        <w:t>. Emerald Publishing Limited.</w:t>
      </w:r>
      <w:hyperlink r:id="rId7">
        <w:r>
          <w:rPr>
            <w:rFonts w:ascii="Times New Roman" w:eastAsia="Times New Roman" w:hAnsi="Times New Roman" w:cs="Times New Roman"/>
            <w:color w:val="1155CC"/>
            <w:sz w:val="24"/>
            <w:szCs w:val="24"/>
            <w:highlight w:val="white"/>
            <w:u w:val="single"/>
          </w:rPr>
          <w:t>https://mdsoar.org/bitstream/handle/11603/18475/9781787564404-TYPE23-NR2.pdf?sequence=1</w:t>
        </w:r>
      </w:hyperlink>
    </w:p>
    <w:p w14:paraId="78759060"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Davidyuk, T. V. (2017). Management accounting organization: basic steps towards increasing the company efficiency. </w:t>
      </w:r>
      <w:r>
        <w:rPr>
          <w:rFonts w:ascii="Times New Roman" w:eastAsia="Times New Roman" w:hAnsi="Times New Roman" w:cs="Times New Roman"/>
          <w:i/>
          <w:color w:val="222222"/>
          <w:sz w:val="24"/>
          <w:szCs w:val="24"/>
          <w:highlight w:val="white"/>
        </w:rPr>
        <w:t>Экономика: реалии времени</w:t>
      </w:r>
      <w:r>
        <w:rPr>
          <w:rFonts w:ascii="Times New Roman" w:eastAsia="Times New Roman" w:hAnsi="Times New Roman" w:cs="Times New Roman"/>
          <w:color w:val="222222"/>
          <w:sz w:val="24"/>
          <w:szCs w:val="24"/>
          <w:highlight w:val="white"/>
        </w:rPr>
        <w:t>, (1 (29)), 41-47.</w:t>
      </w:r>
      <w:hyperlink r:id="rId8">
        <w:r>
          <w:rPr>
            <w:rFonts w:ascii="Times New Roman" w:eastAsia="Times New Roman" w:hAnsi="Times New Roman" w:cs="Times New Roman"/>
            <w:color w:val="1155CC"/>
            <w:sz w:val="24"/>
            <w:szCs w:val="24"/>
            <w:highlight w:val="white"/>
            <w:u w:val="single"/>
          </w:rPr>
          <w:t>https://cyberleninka.ru/article/n/management-accounting-organization-basic-steps-towards-increasing-the-company-efficiency</w:t>
        </w:r>
      </w:hyperlink>
    </w:p>
    <w:p w14:paraId="5130A211"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Kholkin, A. (2020). Criteria for choosing the cost allocation base for industrial enterprises. In </w:t>
      </w:r>
      <w:r>
        <w:rPr>
          <w:rFonts w:ascii="Times New Roman" w:eastAsia="Times New Roman" w:hAnsi="Times New Roman" w:cs="Times New Roman"/>
          <w:i/>
          <w:color w:val="222222"/>
          <w:sz w:val="24"/>
          <w:szCs w:val="24"/>
          <w:highlight w:val="white"/>
        </w:rPr>
        <w:t>E3S Web of Conferences</w:t>
      </w:r>
      <w:r>
        <w:rPr>
          <w:rFonts w:ascii="Times New Roman" w:eastAsia="Times New Roman" w:hAnsi="Times New Roman" w:cs="Times New Roman"/>
          <w:color w:val="222222"/>
          <w:sz w:val="24"/>
          <w:szCs w:val="24"/>
          <w:highlight w:val="white"/>
        </w:rPr>
        <w:t xml:space="preserve"> (Vol. 164, p. 09035). EDP Sciences.</w:t>
      </w:r>
      <w:hyperlink r:id="rId9">
        <w:r>
          <w:rPr>
            <w:rFonts w:ascii="Times New Roman" w:eastAsia="Times New Roman" w:hAnsi="Times New Roman" w:cs="Times New Roman"/>
            <w:color w:val="1155CC"/>
            <w:sz w:val="24"/>
            <w:szCs w:val="24"/>
            <w:highlight w:val="white"/>
            <w:u w:val="single"/>
          </w:rPr>
          <w:t>https://www.e3s-conferences.org/articles/e3sconf/pdf/2020/24/e3sconf_tpacee2020_09035.pdf</w:t>
        </w:r>
      </w:hyperlink>
    </w:p>
    <w:p w14:paraId="51C6554B"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 W. S. (2018). Strategic Value Analysis: Value Search. In </w:t>
      </w:r>
      <w:r>
        <w:rPr>
          <w:rFonts w:ascii="Times New Roman" w:eastAsia="Times New Roman" w:hAnsi="Times New Roman" w:cs="Times New Roman"/>
          <w:i/>
          <w:color w:val="222222"/>
          <w:sz w:val="24"/>
          <w:szCs w:val="24"/>
          <w:highlight w:val="white"/>
        </w:rPr>
        <w:t>Strategic Management Accounting</w:t>
      </w:r>
      <w:r>
        <w:rPr>
          <w:rFonts w:ascii="Times New Roman" w:eastAsia="Times New Roman" w:hAnsi="Times New Roman" w:cs="Times New Roman"/>
          <w:color w:val="222222"/>
          <w:sz w:val="24"/>
          <w:szCs w:val="24"/>
          <w:highlight w:val="white"/>
        </w:rPr>
        <w:t xml:space="preserve"> (pp. 159-170). Springer, Singapore.</w:t>
      </w:r>
      <w:hyperlink r:id="rId10">
        <w:r>
          <w:rPr>
            <w:rFonts w:ascii="Times New Roman" w:eastAsia="Times New Roman" w:hAnsi="Times New Roman" w:cs="Times New Roman"/>
            <w:color w:val="1155CC"/>
            <w:sz w:val="24"/>
            <w:szCs w:val="24"/>
            <w:highlight w:val="white"/>
            <w:u w:val="single"/>
          </w:rPr>
          <w:t>http://perpus.univpancasila.ac.id/repository/EBUPT190024.pdf</w:t>
        </w:r>
      </w:hyperlink>
    </w:p>
    <w:p w14:paraId="40C30666"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Macchia, S. (2019). A review on Management Accounting Change. What’s next?. </w:t>
      </w:r>
      <w:r>
        <w:rPr>
          <w:rFonts w:ascii="Times New Roman" w:eastAsia="Times New Roman" w:hAnsi="Times New Roman" w:cs="Times New Roman"/>
          <w:i/>
          <w:color w:val="222222"/>
          <w:sz w:val="24"/>
          <w:szCs w:val="24"/>
          <w:highlight w:val="white"/>
        </w:rPr>
        <w:t>Economia Aziendale Online-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107-134.</w:t>
      </w:r>
      <w:hyperlink r:id="rId11">
        <w:r>
          <w:rPr>
            <w:rFonts w:ascii="Times New Roman" w:eastAsia="Times New Roman" w:hAnsi="Times New Roman" w:cs="Times New Roman"/>
            <w:color w:val="1155CC"/>
            <w:sz w:val="24"/>
            <w:szCs w:val="24"/>
            <w:highlight w:val="white"/>
            <w:u w:val="single"/>
          </w:rPr>
          <w:t>http://riviste.paviauniversitypress.it/index.php/ea/article/viewFile/1955/2086</w:t>
        </w:r>
      </w:hyperlink>
    </w:p>
    <w:p w14:paraId="14D93CF7"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Modell, S. (2017). The societal relevance of management accounting: An introduction. In </w:t>
      </w:r>
      <w:r>
        <w:rPr>
          <w:rFonts w:ascii="Times New Roman" w:eastAsia="Times New Roman" w:hAnsi="Times New Roman" w:cs="Times New Roman"/>
          <w:i/>
          <w:color w:val="222222"/>
          <w:sz w:val="24"/>
          <w:szCs w:val="24"/>
          <w:highlight w:val="white"/>
        </w:rPr>
        <w:t>The Societal Relevance of Management Accounting</w:t>
      </w:r>
      <w:r>
        <w:rPr>
          <w:rFonts w:ascii="Times New Roman" w:eastAsia="Times New Roman" w:hAnsi="Times New Roman" w:cs="Times New Roman"/>
          <w:color w:val="222222"/>
          <w:sz w:val="24"/>
          <w:szCs w:val="24"/>
          <w:highlight w:val="white"/>
        </w:rPr>
        <w:t xml:space="preserve"> (pp. 11-31). Routledge.</w:t>
      </w:r>
      <w:hyperlink r:id="rId12">
        <w:r>
          <w:rPr>
            <w:rFonts w:ascii="Times New Roman" w:eastAsia="Times New Roman" w:hAnsi="Times New Roman" w:cs="Times New Roman"/>
            <w:color w:val="1155CC"/>
            <w:sz w:val="24"/>
            <w:szCs w:val="24"/>
            <w:highlight w:val="white"/>
            <w:u w:val="single"/>
          </w:rPr>
          <w:t>https://www.taylorfrancis.com/chapters/edit/10.4324/9781315680774-7/societal-relevance-management-accounting-introduction-sven-modell</w:t>
        </w:r>
      </w:hyperlink>
    </w:p>
    <w:p w14:paraId="6D049543"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Nishimura, A. (2019). Profit Opportunity, Strategic Innovation, and Management Accounting. In </w:t>
      </w:r>
      <w:r>
        <w:rPr>
          <w:rFonts w:ascii="Times New Roman" w:eastAsia="Times New Roman" w:hAnsi="Times New Roman" w:cs="Times New Roman"/>
          <w:i/>
          <w:color w:val="222222"/>
          <w:sz w:val="24"/>
          <w:szCs w:val="24"/>
          <w:highlight w:val="white"/>
        </w:rPr>
        <w:t>Management, Uncertainty, and Accounting</w:t>
      </w:r>
      <w:r>
        <w:rPr>
          <w:rFonts w:ascii="Times New Roman" w:eastAsia="Times New Roman" w:hAnsi="Times New Roman" w:cs="Times New Roman"/>
          <w:color w:val="222222"/>
          <w:sz w:val="24"/>
          <w:szCs w:val="24"/>
          <w:highlight w:val="white"/>
        </w:rPr>
        <w:t xml:space="preserve"> (pp. 97-127). Palgrave Macmillan, Singapore.</w:t>
      </w:r>
      <w:hyperlink r:id="rId13">
        <w:r>
          <w:rPr>
            <w:rFonts w:ascii="Times New Roman" w:eastAsia="Times New Roman" w:hAnsi="Times New Roman" w:cs="Times New Roman"/>
            <w:color w:val="1155CC"/>
            <w:sz w:val="24"/>
            <w:szCs w:val="24"/>
            <w:highlight w:val="white"/>
            <w:u w:val="single"/>
          </w:rPr>
          <w:t>https://link.springer.com/chapter/10.1007/978-981-10-8989-3_5</w:t>
        </w:r>
      </w:hyperlink>
    </w:p>
    <w:p w14:paraId="63DF1AC2"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Scott, P. (2019). </w:t>
      </w:r>
      <w:r>
        <w:rPr>
          <w:rFonts w:ascii="Times New Roman" w:eastAsia="Times New Roman" w:hAnsi="Times New Roman" w:cs="Times New Roman"/>
          <w:i/>
          <w:color w:val="222222"/>
          <w:sz w:val="24"/>
          <w:szCs w:val="24"/>
          <w:highlight w:val="white"/>
        </w:rPr>
        <w:t>Accounting for business</w:t>
      </w:r>
      <w:r>
        <w:rPr>
          <w:rFonts w:ascii="Times New Roman" w:eastAsia="Times New Roman" w:hAnsi="Times New Roman" w:cs="Times New Roman"/>
          <w:color w:val="222222"/>
          <w:sz w:val="24"/>
          <w:szCs w:val="24"/>
          <w:highlight w:val="white"/>
        </w:rPr>
        <w:t>. Oxford University Press, USA.</w:t>
      </w:r>
      <w:hyperlink r:id="rId14">
        <w:r>
          <w:rPr>
            <w:rFonts w:ascii="Times New Roman" w:eastAsia="Times New Roman" w:hAnsi="Times New Roman" w:cs="Times New Roman"/>
            <w:color w:val="1155CC"/>
            <w:sz w:val="24"/>
            <w:szCs w:val="24"/>
            <w:highlight w:val="white"/>
            <w:u w:val="single"/>
          </w:rPr>
          <w:t>https://repository.uwc.ac.za/bitstream/handle/10566/1039/Scott_Constraints-to-implementation_2011_.pdf?sequence=3&amp;isAllowed=y</w:t>
        </w:r>
      </w:hyperlink>
    </w:p>
    <w:p w14:paraId="01126237"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Tănase, A. E. (2021). The Budget: The Basic Element of Management Accounting. In </w:t>
      </w:r>
      <w:r>
        <w:rPr>
          <w:rFonts w:ascii="Times New Roman" w:eastAsia="Times New Roman" w:hAnsi="Times New Roman" w:cs="Times New Roman"/>
          <w:i/>
          <w:color w:val="222222"/>
          <w:sz w:val="24"/>
          <w:szCs w:val="24"/>
          <w:highlight w:val="white"/>
        </w:rPr>
        <w:t>CSR and Management Accounting Challenges in a Time of Global Crises</w:t>
      </w:r>
      <w:r>
        <w:rPr>
          <w:rFonts w:ascii="Times New Roman" w:eastAsia="Times New Roman" w:hAnsi="Times New Roman" w:cs="Times New Roman"/>
          <w:color w:val="222222"/>
          <w:sz w:val="24"/>
          <w:szCs w:val="24"/>
          <w:highlight w:val="white"/>
        </w:rPr>
        <w:t xml:space="preserve"> (pp. 219-232). IGI Global.</w:t>
      </w:r>
      <w:hyperlink r:id="rId15">
        <w:r>
          <w:rPr>
            <w:rFonts w:ascii="Times New Roman" w:eastAsia="Times New Roman" w:hAnsi="Times New Roman" w:cs="Times New Roman"/>
            <w:color w:val="1155CC"/>
            <w:sz w:val="24"/>
            <w:szCs w:val="24"/>
            <w:highlight w:val="white"/>
            <w:u w:val="single"/>
          </w:rPr>
          <w:t>https://www.igi-global.com/chapter/the-budget/285334</w:t>
        </w:r>
      </w:hyperlink>
    </w:p>
    <w:p w14:paraId="394E9460" w14:textId="77777777" w:rsidR="006374E9" w:rsidRDefault="00A8742E">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Weetman, P. (2019). </w:t>
      </w:r>
      <w:r>
        <w:rPr>
          <w:rFonts w:ascii="Times New Roman" w:eastAsia="Times New Roman" w:hAnsi="Times New Roman" w:cs="Times New Roman"/>
          <w:i/>
          <w:color w:val="222222"/>
          <w:sz w:val="24"/>
          <w:szCs w:val="24"/>
          <w:highlight w:val="white"/>
        </w:rPr>
        <w:t>Financial and management accounting</w:t>
      </w:r>
      <w:r>
        <w:rPr>
          <w:rFonts w:ascii="Times New Roman" w:eastAsia="Times New Roman" w:hAnsi="Times New Roman" w:cs="Times New Roman"/>
          <w:color w:val="222222"/>
          <w:sz w:val="24"/>
          <w:szCs w:val="24"/>
          <w:highlight w:val="white"/>
        </w:rPr>
        <w:t>. Pearson UK.</w:t>
      </w:r>
      <w:hyperlink r:id="rId16">
        <w:r>
          <w:rPr>
            <w:rFonts w:ascii="Times New Roman" w:eastAsia="Times New Roman" w:hAnsi="Times New Roman" w:cs="Times New Roman"/>
            <w:color w:val="1155CC"/>
            <w:sz w:val="24"/>
            <w:szCs w:val="24"/>
            <w:highlight w:val="white"/>
            <w:u w:val="single"/>
          </w:rPr>
          <w:t>http://elibrary.gci.edu.np/bitstream/123456789/413/1/846.%5B5th%20Edition%5D%20Pauline%20Weetman%20-%20Financial%20and%20management%20accounting%20_%20an%20introduction%20%282011%2C%20Pearson_Financial%20Times_Prentice%20Hall%29.pdf</w:t>
        </w:r>
      </w:hyperlink>
    </w:p>
    <w:p w14:paraId="169EE9CA"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697BB130"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4949713A"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2189A267"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38280536"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725CC081"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6B521789"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475DDA94"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76974AAF" w14:textId="77777777" w:rsidR="006374E9" w:rsidRDefault="006374E9">
      <w:pPr>
        <w:spacing w:line="480" w:lineRule="auto"/>
        <w:ind w:left="720" w:hanging="720"/>
        <w:rPr>
          <w:rFonts w:ascii="Times New Roman" w:eastAsia="Times New Roman" w:hAnsi="Times New Roman" w:cs="Times New Roman"/>
          <w:color w:val="222222"/>
          <w:sz w:val="24"/>
          <w:szCs w:val="24"/>
          <w:highlight w:val="white"/>
        </w:rPr>
      </w:pPr>
    </w:p>
    <w:p w14:paraId="2519237F" w14:textId="77777777" w:rsidR="006374E9" w:rsidRDefault="006374E9">
      <w:pPr>
        <w:spacing w:line="480" w:lineRule="auto"/>
        <w:ind w:left="720" w:hanging="720"/>
        <w:rPr>
          <w:rFonts w:ascii="Times New Roman" w:eastAsia="Times New Roman" w:hAnsi="Times New Roman" w:cs="Times New Roman"/>
          <w:sz w:val="24"/>
          <w:szCs w:val="24"/>
        </w:rPr>
      </w:pPr>
    </w:p>
    <w:sectPr w:rsidR="006374E9">
      <w:head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092367" w14:textId="77777777" w:rsidR="00A8742E" w:rsidRDefault="00A8742E">
      <w:pPr>
        <w:spacing w:line="240" w:lineRule="auto"/>
      </w:pPr>
      <w:r>
        <w:separator/>
      </w:r>
    </w:p>
  </w:endnote>
  <w:endnote w:type="continuationSeparator" w:id="0">
    <w:p w14:paraId="4A570244" w14:textId="77777777" w:rsidR="00A8742E" w:rsidRDefault="00A874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68032" w14:textId="77777777" w:rsidR="00A8742E" w:rsidRDefault="00A8742E">
      <w:pPr>
        <w:spacing w:line="240" w:lineRule="auto"/>
      </w:pPr>
      <w:r>
        <w:separator/>
      </w:r>
    </w:p>
  </w:footnote>
  <w:footnote w:type="continuationSeparator" w:id="0">
    <w:p w14:paraId="6F48AB1E" w14:textId="77777777" w:rsidR="00A8742E" w:rsidRDefault="00A874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B604F" w14:textId="77777777" w:rsidR="006374E9" w:rsidRDefault="00A8742E">
    <w:pPr>
      <w:jc w:val="right"/>
      <w:rPr>
        <w:rFonts w:ascii="Times New Roman" w:eastAsia="Times New Roman" w:hAnsi="Times New Roman" w:cs="Times New Roman"/>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F509CF">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13321"/>
    <w:multiLevelType w:val="multilevel"/>
    <w:tmpl w:val="8668CB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7E7466F"/>
    <w:multiLevelType w:val="multilevel"/>
    <w:tmpl w:val="9F863F3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120495439">
    <w:abstractNumId w:val="1"/>
  </w:num>
  <w:num w:numId="2" w16cid:durableId="1423448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4E9"/>
    <w:rsid w:val="001724AC"/>
    <w:rsid w:val="00185B00"/>
    <w:rsid w:val="00223E4D"/>
    <w:rsid w:val="0022510D"/>
    <w:rsid w:val="003C0CA9"/>
    <w:rsid w:val="004F3E16"/>
    <w:rsid w:val="006374E9"/>
    <w:rsid w:val="00841610"/>
    <w:rsid w:val="00A741EB"/>
    <w:rsid w:val="00A8742E"/>
    <w:rsid w:val="00BF3F0F"/>
    <w:rsid w:val="00D41194"/>
    <w:rsid w:val="00EF5491"/>
    <w:rsid w:val="00F509CF"/>
    <w:rsid w:val="00F9369F"/>
    <w:rsid w:val="00FF1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D0109"/>
  <w15:docId w15:val="{7C19B958-76F3-A043-B86F-F3E4259CD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yberleninka.ru/article/n/management-accounting-organization-basic-steps-towards-increasing-the-company-efficiency" TargetMode="External"/><Relationship Id="rId13" Type="http://schemas.openxmlformats.org/officeDocument/2006/relationships/hyperlink" Target="https://link.springer.com/chapter/10.1007/978-981-10-8989-3_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dsoar.org/bitstream/handle/11603/18475/9781787564404-TYPE23-NR2.pdf?sequence=1" TargetMode="External"/><Relationship Id="rId12" Type="http://schemas.openxmlformats.org/officeDocument/2006/relationships/hyperlink" Target="https://www.taylorfrancis.com/chapters/edit/10.4324/9781315680774-7/societal-relevance-management-accounting-introduction-sven-model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elibrary.gci.edu.np/bitstream/123456789/413/1/846.%5B5th%20Edition%5D%20Pauline%20Weetman%20-%20Financial%20and%20management%20accounting%20_%20an%20introduction%20%282011%2C%20Pearson_Financial%20Times_Prentice%20Hall%2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riviste.paviauniversitypress.it/index.php/ea/article/viewFile/1955/2086" TargetMode="External"/><Relationship Id="rId5" Type="http://schemas.openxmlformats.org/officeDocument/2006/relationships/footnotes" Target="footnotes.xml"/><Relationship Id="rId15" Type="http://schemas.openxmlformats.org/officeDocument/2006/relationships/hyperlink" Target="https://www.igi-global.com/chapter/the-budget/285334" TargetMode="External"/><Relationship Id="rId10" Type="http://schemas.openxmlformats.org/officeDocument/2006/relationships/hyperlink" Target="http://perpus.univpancasila.ac.id/repository/EBUPT190024.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3s-conferences.org/articles/e3sconf/pdf/2020/24/e3sconf_tpacee2020_09035.pdf" TargetMode="External"/><Relationship Id="rId14" Type="http://schemas.openxmlformats.org/officeDocument/2006/relationships/hyperlink" Target="https://repository.uwc.ac.za/bitstream/handle/10566/1039/Scott_Constraints-to-implementation_2011_.pdf?sequence=3&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14</Pages>
  <Words>2911</Words>
  <Characters>16594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Alina Munteanu</cp:lastModifiedBy>
  <cp:revision>14</cp:revision>
  <dcterms:created xsi:type="dcterms:W3CDTF">2022-05-02T08:24:00Z</dcterms:created>
  <dcterms:modified xsi:type="dcterms:W3CDTF">2022-05-03T13:12:00Z</dcterms:modified>
  <cp:category/>
</cp:coreProperties>
</file>