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8BF" w:rsidRPr="008818BF" w:rsidRDefault="008818BF" w:rsidP="008818BF">
      <w:pPr>
        <w:spacing w:after="240"/>
        <w:rPr>
          <w:b/>
        </w:rPr>
      </w:pPr>
      <w:r w:rsidRPr="008818BF">
        <w:rPr>
          <w:rFonts w:hint="eastAsia"/>
          <w:b/>
        </w:rPr>
        <w:t>HPPH</w:t>
      </w:r>
      <w:r w:rsidRPr="008818BF">
        <w:rPr>
          <w:b/>
        </w:rPr>
        <w:t>7010 Knowledge, Reason, and Reality</w:t>
      </w:r>
    </w:p>
    <w:p w:rsidR="008818BF" w:rsidRPr="008818BF" w:rsidRDefault="008818BF" w:rsidP="008818BF">
      <w:pPr>
        <w:spacing w:after="240"/>
        <w:rPr>
          <w:b/>
        </w:rPr>
      </w:pPr>
      <w:r w:rsidRPr="008818BF">
        <w:rPr>
          <w:rFonts w:hint="eastAsia"/>
          <w:b/>
        </w:rPr>
        <w:t>Assignment 1</w:t>
      </w:r>
    </w:p>
    <w:p w:rsidR="008818BF" w:rsidRPr="008818BF" w:rsidRDefault="008818BF" w:rsidP="008818BF">
      <w:pPr>
        <w:spacing w:after="240"/>
        <w:rPr>
          <w:b/>
        </w:rPr>
      </w:pPr>
      <w:r w:rsidRPr="008818BF">
        <w:rPr>
          <w:rFonts w:hint="eastAsia"/>
          <w:b/>
        </w:rPr>
        <w:t xml:space="preserve">Andrew </w:t>
      </w:r>
      <w:proofErr w:type="spellStart"/>
      <w:r w:rsidRPr="008818BF">
        <w:rPr>
          <w:rFonts w:hint="eastAsia"/>
          <w:b/>
        </w:rPr>
        <w:t>Nesseler</w:t>
      </w:r>
      <w:proofErr w:type="spellEnd"/>
      <w:r w:rsidRPr="008818BF">
        <w:rPr>
          <w:rFonts w:hint="eastAsia"/>
          <w:b/>
        </w:rPr>
        <w:t xml:space="preserve"> </w:t>
      </w:r>
      <w:r w:rsidRPr="008818BF">
        <w:rPr>
          <w:b/>
        </w:rPr>
        <w:t xml:space="preserve">– </w:t>
      </w:r>
      <w:r w:rsidRPr="008818BF">
        <w:rPr>
          <w:rFonts w:hint="eastAsia"/>
          <w:b/>
        </w:rPr>
        <w:t>Student</w:t>
      </w:r>
      <w:r w:rsidRPr="008818BF">
        <w:rPr>
          <w:b/>
        </w:rPr>
        <w:t xml:space="preserve"> No. </w:t>
      </w:r>
      <w:r w:rsidR="003A15B1">
        <w:rPr>
          <w:b/>
        </w:rPr>
        <w:t>2236167</w:t>
      </w:r>
    </w:p>
    <w:p w:rsidR="008818BF" w:rsidRDefault="008818BF" w:rsidP="008818BF">
      <w:pPr>
        <w:spacing w:after="240"/>
        <w:rPr>
          <w:b/>
        </w:rPr>
      </w:pPr>
      <w:r w:rsidRPr="008818BF">
        <w:rPr>
          <w:b/>
        </w:rPr>
        <w:t>Annotated Bibliography</w:t>
      </w:r>
    </w:p>
    <w:p w:rsidR="008818BF" w:rsidRPr="006169D5" w:rsidRDefault="008818BF" w:rsidP="008818BF">
      <w:pPr>
        <w:spacing w:after="240"/>
        <w:rPr>
          <w:b/>
        </w:rPr>
      </w:pPr>
      <w:r w:rsidRPr="006169D5">
        <w:rPr>
          <w:b/>
        </w:rPr>
        <w:t xml:space="preserve">1. </w:t>
      </w:r>
      <w:r w:rsidR="00773603" w:rsidRPr="006169D5">
        <w:rPr>
          <w:b/>
        </w:rPr>
        <w:t>Asher Moore, ‘Rationalism, Empiricism and the A Priori’, in Philosophical Quarterly, Vol.9, No.36 (</w:t>
      </w:r>
      <w:proofErr w:type="gramStart"/>
      <w:r w:rsidR="00773603" w:rsidRPr="006169D5">
        <w:rPr>
          <w:b/>
        </w:rPr>
        <w:t>Jul.,</w:t>
      </w:r>
      <w:proofErr w:type="gramEnd"/>
      <w:r w:rsidR="00773603" w:rsidRPr="006169D5">
        <w:rPr>
          <w:b/>
        </w:rPr>
        <w:t xml:space="preserve"> 1959), pp.250-58.</w:t>
      </w:r>
    </w:p>
    <w:p w:rsidR="00773603" w:rsidRDefault="00773603" w:rsidP="008818BF">
      <w:pPr>
        <w:spacing w:after="240"/>
      </w:pPr>
    </w:p>
    <w:p w:rsidR="008818BF" w:rsidRDefault="008818BF" w:rsidP="008818BF">
      <w:pPr>
        <w:spacing w:after="240"/>
      </w:pPr>
      <w:r>
        <w:t>Word count:</w:t>
      </w:r>
    </w:p>
    <w:p w:rsidR="00CF212D" w:rsidRPr="00CF212D" w:rsidRDefault="00CF212D" w:rsidP="008818BF">
      <w:pPr>
        <w:spacing w:after="240"/>
        <w:rPr>
          <w:b/>
        </w:rPr>
      </w:pPr>
      <w:r w:rsidRPr="00CF212D">
        <w:rPr>
          <w:b/>
        </w:rPr>
        <w:t>References</w:t>
      </w:r>
    </w:p>
    <w:p w:rsidR="00CF212D" w:rsidRDefault="00CF212D" w:rsidP="008818BF">
      <w:pPr>
        <w:spacing w:after="240"/>
      </w:pPr>
    </w:p>
    <w:p w:rsidR="008818BF" w:rsidRPr="006169D5" w:rsidRDefault="008818BF" w:rsidP="008818BF">
      <w:pPr>
        <w:spacing w:after="240"/>
        <w:rPr>
          <w:b/>
        </w:rPr>
      </w:pPr>
      <w:r w:rsidRPr="006169D5">
        <w:rPr>
          <w:b/>
        </w:rPr>
        <w:t>2.</w:t>
      </w:r>
      <w:r w:rsidR="00310832" w:rsidRPr="006169D5">
        <w:rPr>
          <w:b/>
        </w:rPr>
        <w:t xml:space="preserve"> E. </w:t>
      </w:r>
      <w:proofErr w:type="spellStart"/>
      <w:r w:rsidR="00310832" w:rsidRPr="006169D5">
        <w:rPr>
          <w:b/>
        </w:rPr>
        <w:t>Gettier</w:t>
      </w:r>
      <w:proofErr w:type="spellEnd"/>
      <w:r w:rsidR="00310832" w:rsidRPr="006169D5">
        <w:rPr>
          <w:b/>
        </w:rPr>
        <w:t>, ‘Is Justified True Belief Knowledge’, Analysis, Vol.23, 1963, pp.121-23.</w:t>
      </w:r>
    </w:p>
    <w:p w:rsidR="00073A87" w:rsidRDefault="00CF212D" w:rsidP="008818BF">
      <w:pPr>
        <w:spacing w:after="240"/>
      </w:pPr>
      <w:proofErr w:type="spellStart"/>
      <w:r>
        <w:rPr>
          <w:rFonts w:hint="eastAsia"/>
        </w:rPr>
        <w:t>Gettier</w:t>
      </w:r>
      <w:r>
        <w:t>’s</w:t>
      </w:r>
      <w:proofErr w:type="spellEnd"/>
      <w:r>
        <w:t xml:space="preserve"> paper </w:t>
      </w:r>
      <w:r w:rsidR="0060529D">
        <w:t>raises concerns against</w:t>
      </w:r>
      <w:r>
        <w:t xml:space="preserve"> the well-entrenched view of knowledge as justified true belief (JTB)</w:t>
      </w:r>
      <w:r w:rsidR="0060529D">
        <w:t xml:space="preserve"> and, although brief, became famous for spawning a lot of literature in epistemology that </w:t>
      </w:r>
      <w:r w:rsidR="00E30D16">
        <w:t xml:space="preserve">addresses </w:t>
      </w:r>
      <w:r w:rsidR="0060529D">
        <w:t>the</w:t>
      </w:r>
      <w:r w:rsidR="006B729C">
        <w:t xml:space="preserve"> later dubbed </w:t>
      </w:r>
      <w:r w:rsidR="0060529D">
        <w:t>“</w:t>
      </w:r>
      <w:proofErr w:type="spellStart"/>
      <w:r w:rsidR="0060529D">
        <w:t>Gettier</w:t>
      </w:r>
      <w:proofErr w:type="spellEnd"/>
      <w:r w:rsidR="0060529D">
        <w:t xml:space="preserve"> problem.” </w:t>
      </w:r>
      <w:r w:rsidR="00446095">
        <w:t xml:space="preserve">The problem </w:t>
      </w:r>
      <w:proofErr w:type="gramStart"/>
      <w:r w:rsidR="00446095">
        <w:t>is displayed</w:t>
      </w:r>
      <w:proofErr w:type="gramEnd"/>
      <w:r w:rsidR="00446095">
        <w:t xml:space="preserve"> in two cases given by </w:t>
      </w:r>
      <w:proofErr w:type="spellStart"/>
      <w:r w:rsidR="00446095">
        <w:t>Gettier</w:t>
      </w:r>
      <w:proofErr w:type="spellEnd"/>
      <w:r w:rsidR="00446095">
        <w:t xml:space="preserve">. For brevity, I will only focus on the first. </w:t>
      </w:r>
      <w:r w:rsidR="00D362CD">
        <w:t xml:space="preserve">Here, </w:t>
      </w:r>
      <w:r w:rsidR="000D239A">
        <w:t xml:space="preserve">we imagine two people, Smith and Jones, who are applying for the same job. </w:t>
      </w:r>
      <w:r w:rsidR="00726BBD">
        <w:t>Smith has good reason to believe Jones will get the job. Additionally, Smith knows Jones has ten coins in his pockets. From this, Smith has knowledge of</w:t>
      </w:r>
      <w:r w:rsidR="00BD4D46">
        <w:t xml:space="preserve"> </w:t>
      </w:r>
      <w:r w:rsidR="00726BBD">
        <w:t>proposition</w:t>
      </w:r>
      <w:r w:rsidR="00BD4D46">
        <w:t xml:space="preserve"> </w:t>
      </w:r>
      <w:r w:rsidR="00BD4D46">
        <w:rPr>
          <w:i/>
        </w:rPr>
        <w:t>e</w:t>
      </w:r>
      <w:r w:rsidR="00BD4D46">
        <w:t>, which states,</w:t>
      </w:r>
      <w:r w:rsidR="00726BBD">
        <w:t xml:space="preserve"> “</w:t>
      </w:r>
      <w:r w:rsidR="00726BBD">
        <w:t xml:space="preserve">The man who will get the </w:t>
      </w:r>
      <w:r w:rsidR="00726BBD">
        <w:t>job has ten coins in his pocket” (</w:t>
      </w:r>
      <w:proofErr w:type="spellStart"/>
      <w:r w:rsidR="00726BBD">
        <w:t>Gettier</w:t>
      </w:r>
      <w:proofErr w:type="spellEnd"/>
      <w:r w:rsidR="00726BBD">
        <w:t xml:space="preserve"> 1963, p. 122). </w:t>
      </w:r>
      <w:r w:rsidR="00BF1E45">
        <w:t>However, it turns out that Smith gets the job, and he, too, previously unbeknownst to himself, has ten coins in his pockets.</w:t>
      </w:r>
      <w:r w:rsidR="00BD4D46">
        <w:t xml:space="preserve"> Therefore, while Smith was wrong about Jones getting the job and was unaware that the true person who would be hired (himself) would have the ten coins, the JTB account, it seems, must grant that Smith knew </w:t>
      </w:r>
      <w:r w:rsidR="00BD4D46">
        <w:rPr>
          <w:i/>
        </w:rPr>
        <w:t>e</w:t>
      </w:r>
      <w:r w:rsidR="00BD4D46" w:rsidRPr="00BD4D46">
        <w:t>.</w:t>
      </w:r>
    </w:p>
    <w:p w:rsidR="00BF1E45" w:rsidRDefault="00516C2C" w:rsidP="008818BF">
      <w:pPr>
        <w:spacing w:after="240"/>
        <w:rPr>
          <w:rFonts w:hint="eastAsia"/>
        </w:rPr>
      </w:pPr>
      <w:proofErr w:type="spellStart"/>
      <w:r>
        <w:rPr>
          <w:rFonts w:hint="eastAsia"/>
        </w:rPr>
        <w:t>Gettier</w:t>
      </w:r>
      <w:proofErr w:type="spellEnd"/>
      <w:r>
        <w:rPr>
          <w:rFonts w:hint="eastAsia"/>
        </w:rPr>
        <w:t xml:space="preserve">, however, </w:t>
      </w:r>
      <w:bookmarkStart w:id="0" w:name="_GoBack"/>
      <w:bookmarkEnd w:id="0"/>
    </w:p>
    <w:p w:rsidR="008818BF" w:rsidRDefault="008818BF" w:rsidP="008818BF">
      <w:pPr>
        <w:spacing w:after="240"/>
      </w:pPr>
      <w:r>
        <w:t>Word count:</w:t>
      </w:r>
    </w:p>
    <w:p w:rsidR="00CF212D" w:rsidRPr="00CF212D" w:rsidRDefault="00CF212D" w:rsidP="008818BF">
      <w:pPr>
        <w:spacing w:after="240"/>
        <w:rPr>
          <w:b/>
        </w:rPr>
      </w:pPr>
      <w:r w:rsidRPr="00CF212D">
        <w:rPr>
          <w:b/>
        </w:rPr>
        <w:t>References</w:t>
      </w:r>
    </w:p>
    <w:p w:rsidR="00CF212D" w:rsidRDefault="00CF212D" w:rsidP="008818BF">
      <w:pPr>
        <w:spacing w:after="240"/>
      </w:pPr>
    </w:p>
    <w:p w:rsidR="008818BF" w:rsidRPr="006169D5" w:rsidRDefault="008818BF" w:rsidP="008818BF">
      <w:pPr>
        <w:spacing w:after="240"/>
        <w:rPr>
          <w:b/>
        </w:rPr>
      </w:pPr>
      <w:r w:rsidRPr="006169D5">
        <w:rPr>
          <w:b/>
        </w:rPr>
        <w:t>3.</w:t>
      </w:r>
      <w:r w:rsidR="001B0645" w:rsidRPr="006169D5">
        <w:rPr>
          <w:b/>
        </w:rPr>
        <w:t xml:space="preserve"> G. E. Moore, ‘Certainty’, in Willis </w:t>
      </w:r>
      <w:proofErr w:type="spellStart"/>
      <w:r w:rsidR="001B0645" w:rsidRPr="006169D5">
        <w:rPr>
          <w:b/>
        </w:rPr>
        <w:t>Doney</w:t>
      </w:r>
      <w:proofErr w:type="spellEnd"/>
      <w:r w:rsidR="001B0645" w:rsidRPr="006169D5">
        <w:rPr>
          <w:b/>
        </w:rPr>
        <w:t xml:space="preserve"> (ed.), Descartes: a collection of critical essays (London and Melbourne: Macmillan, 1968).</w:t>
      </w:r>
    </w:p>
    <w:p w:rsidR="001B0645" w:rsidRDefault="006169D5" w:rsidP="008818BF">
      <w:pPr>
        <w:spacing w:after="240"/>
      </w:pPr>
      <w:r>
        <w:rPr>
          <w:rFonts w:hint="eastAsia"/>
        </w:rPr>
        <w:lastRenderedPageBreak/>
        <w:t>In this paper</w:t>
      </w:r>
      <w:r w:rsidR="0011708F">
        <w:t xml:space="preserve">, G.E. Moore expounds realism in the shape of common sense and, in turn, argues against skepticism or an idealism about the external world or one’s own existence. </w:t>
      </w:r>
      <w:r w:rsidR="00FB6F16">
        <w:t xml:space="preserve">To do this, Moore (1968, p. 27) begins by making a few “assertions quite positively.” </w:t>
      </w:r>
      <w:r w:rsidR="00EF58EE">
        <w:t xml:space="preserve">Namely, he makes claims about the existence of his body and the room he occupies, such as that he has clothes on and that there are people, windows, and doors sharing the room with him. </w:t>
      </w:r>
      <w:r w:rsidR="00274819">
        <w:t>Importantly</w:t>
      </w:r>
      <w:r w:rsidR="007419CA">
        <w:t>,</w:t>
      </w:r>
      <w:r w:rsidR="00274819">
        <w:t xml:space="preserve"> too,</w:t>
      </w:r>
      <w:r w:rsidR="007419CA">
        <w:t xml:space="preserve"> is that Moore notes tha</w:t>
      </w:r>
      <w:r w:rsidR="000D1EE0">
        <w:t>t one could not be reasonably</w:t>
      </w:r>
      <w:r w:rsidR="007419CA">
        <w:t xml:space="preserve"> accused of dogmatism for claiming to know that, say, one is wearing clothes or the present room has doors and windows. </w:t>
      </w:r>
      <w:r w:rsidR="004C3593">
        <w:t xml:space="preserve">In fact, Moore (1968, p. 28) goes on to state that it would be absurd for one to say that they merely </w:t>
      </w:r>
      <w:r w:rsidR="004C3593" w:rsidRPr="004C3593">
        <w:rPr>
          <w:i/>
        </w:rPr>
        <w:t>think</w:t>
      </w:r>
      <w:r w:rsidR="004C3593">
        <w:t xml:space="preserve"> such thing</w:t>
      </w:r>
      <w:r w:rsidR="00BC3CA3">
        <w:t>s</w:t>
      </w:r>
      <w:r w:rsidR="004C3593">
        <w:t xml:space="preserve"> as opposed to </w:t>
      </w:r>
      <w:r w:rsidR="004C3593" w:rsidRPr="00BC3CA3">
        <w:rPr>
          <w:i/>
        </w:rPr>
        <w:t>knowing</w:t>
      </w:r>
      <w:r w:rsidR="004C3593">
        <w:t xml:space="preserve"> them. </w:t>
      </w:r>
      <w:r w:rsidR="007419CA">
        <w:t>This appears to support Moore’s notion of common sense realism, where there exists an external world and one has knowledge of it.</w:t>
      </w:r>
    </w:p>
    <w:p w:rsidR="00920BF9" w:rsidRDefault="00274819" w:rsidP="008818BF">
      <w:pPr>
        <w:spacing w:after="240"/>
      </w:pPr>
      <w:r>
        <w:t xml:space="preserve">Shortly after, </w:t>
      </w:r>
      <w:r>
        <w:rPr>
          <w:rFonts w:hint="eastAsia"/>
        </w:rPr>
        <w:t xml:space="preserve">Moore </w:t>
      </w:r>
      <w:r>
        <w:t xml:space="preserve">turns his attention to certainty itself. Explicitly, he argues that, simply because a proposition is contingent (such as that he is standing) it does not follow that it </w:t>
      </w:r>
      <w:proofErr w:type="gramStart"/>
      <w:r>
        <w:t>cannot be known</w:t>
      </w:r>
      <w:proofErr w:type="gramEnd"/>
      <w:r>
        <w:t>.</w:t>
      </w:r>
      <w:r w:rsidR="000D1EE0">
        <w:t xml:space="preserve"> Moore’s worry is that we equivocate on the use of “logical possibility” to suggest a proposition could be wrong and not </w:t>
      </w:r>
      <w:proofErr w:type="gramStart"/>
      <w:r w:rsidR="000D1EE0">
        <w:t>really known</w:t>
      </w:r>
      <w:proofErr w:type="gramEnd"/>
      <w:r w:rsidR="000D1EE0">
        <w:t>.</w:t>
      </w:r>
      <w:r w:rsidR="00BC3CA3">
        <w:t xml:space="preserve"> He grants that such contingent propositions may be false, but it does not follow, from this fact alone, that one cannot know them. As Moore (1968, p. 32) states, “some other argument must be brought forward for this contention, over and above the mere fact that this proposition is contingent . . .</w:t>
      </w:r>
      <w:r w:rsidR="00D40453">
        <w:t xml:space="preserve"> .</w:t>
      </w:r>
      <w:r w:rsidR="00BC3CA3">
        <w:t>” This point in particular, I believe, is very pertinent to Moore’s later (and arguably disappointing) discussion of the Cartesian skeptic’</w:t>
      </w:r>
      <w:r w:rsidR="00D40453">
        <w:t>s worry that one may be dreaming while confidently asserting claims about one’s body and the occupied room.</w:t>
      </w:r>
    </w:p>
    <w:p w:rsidR="00BE2D78" w:rsidRDefault="009331BD" w:rsidP="008818BF">
      <w:pPr>
        <w:spacing w:after="240"/>
      </w:pPr>
      <w:r>
        <w:rPr>
          <w:rFonts w:hint="eastAsia"/>
        </w:rPr>
        <w:t xml:space="preserve">After this, Moore goes on to </w:t>
      </w:r>
      <w:r>
        <w:t>dissect the use and meaning of “certain” itself. As Moore argues, it seems that when one claims “x is certain,” then there is a cl</w:t>
      </w:r>
      <w:r w:rsidR="00D257DB">
        <w:t>aim to truth—“he is asserting . . .</w:t>
      </w:r>
      <w:r>
        <w:t xml:space="preserve"> that he himself knows that </w:t>
      </w:r>
      <w:r w:rsidRPr="009331BD">
        <w:rPr>
          <w:i/>
        </w:rPr>
        <w:t>p</w:t>
      </w:r>
      <w:r>
        <w:t xml:space="preserve"> is true” (Moore 1963, p. 42). However, the inverse does not appear to follow, as one can claim “it is not certain that x,” which fails to contradict the one who claims “x is certain,” as the latter is only going so far as to saying, “he personally does not know that p is true” (Moore 1963, p. 42). Through this analysis of certainty, Moore puts the skeptic</w:t>
      </w:r>
      <w:r w:rsidR="00CF092F">
        <w:t>, I believe,</w:t>
      </w:r>
      <w:r>
        <w:t xml:space="preserve"> on the back foot, as both the skeptic and the realist can fail to agree on the certainty of x, and yet the skeptic’s denial seemingly fails to rebuke the realist’s certainty</w:t>
      </w:r>
      <w:r w:rsidR="00D257DB">
        <w:t xml:space="preserve"> or claim to knowledge</w:t>
      </w:r>
      <w:r>
        <w:t>.</w:t>
      </w:r>
    </w:p>
    <w:p w:rsidR="007419CA" w:rsidRDefault="00825930" w:rsidP="008818BF">
      <w:pPr>
        <w:spacing w:after="240"/>
      </w:pPr>
      <w:r>
        <w:rPr>
          <w:rFonts w:hint="eastAsia"/>
        </w:rPr>
        <w:t xml:space="preserve">Now, most strangely of all, we get the final four paragraphs of </w:t>
      </w:r>
      <w:r>
        <w:t xml:space="preserve">“Certainty” that, as noted in the text, “Moore was particularly dissatisfied with” (Moore 1963, p. 53). The dissatisfaction may come from the perception that </w:t>
      </w:r>
      <w:r w:rsidR="00CF092F">
        <w:t>“</w:t>
      </w:r>
      <w:r w:rsidR="00CF092F" w:rsidRPr="00CF092F">
        <w:t>Moore acknowledges defeat: having agreed that if he does not know that he is not dreaming</w:t>
      </w:r>
      <w:r w:rsidR="00CF092F">
        <w:t>”</w:t>
      </w:r>
      <w:r w:rsidR="00914588">
        <w:t xml:space="preserve"> (Baldwin 2010</w:t>
      </w:r>
      <w:r w:rsidR="00CF092F">
        <w:t xml:space="preserve">) </w:t>
      </w:r>
      <w:r w:rsidR="00006B65">
        <w:t>then the</w:t>
      </w:r>
      <w:r w:rsidR="00CF092F">
        <w:t xml:space="preserve"> initial claims of Moore about his body and the room are undercut by the worries of the Cartesian skeptic.</w:t>
      </w:r>
      <w:r w:rsidR="00065E6B">
        <w:t xml:space="preserve"> </w:t>
      </w:r>
      <w:r w:rsidR="00D257DB">
        <w:t>That is, h</w:t>
      </w:r>
      <w:r w:rsidR="00006B65">
        <w:t>e cannot really know there is a room with windows and a door if he does not know that he is not dreaming.</w:t>
      </w:r>
    </w:p>
    <w:p w:rsidR="00B000E3" w:rsidRDefault="00870148" w:rsidP="008818BF">
      <w:pPr>
        <w:spacing w:after="240"/>
      </w:pPr>
      <w:r>
        <w:rPr>
          <w:rFonts w:hint="eastAsia"/>
        </w:rPr>
        <w:t xml:space="preserve">Personally, I find it difficult to reconcile </w:t>
      </w:r>
      <w:r>
        <w:t>Moore’s earlier arguments in the paper with his supposed admission of defeat at the end. To salvage Moore’s arguments, I think one is left having to do a bit of heavy lifting that is missing from the paper (</w:t>
      </w:r>
      <w:r w:rsidR="00D257DB">
        <w:t xml:space="preserve">again, </w:t>
      </w:r>
      <w:r>
        <w:t xml:space="preserve">largely due to the ending). One defense I have </w:t>
      </w:r>
      <w:r>
        <w:lastRenderedPageBreak/>
        <w:t>read of Moore is that the Cartesian skeptic’s worry of dreaming may undermine one’s ability to prove p, but it does not undermine one’s abilit</w:t>
      </w:r>
      <w:r w:rsidR="00B000E3">
        <w:t>y to know p (</w:t>
      </w:r>
      <w:proofErr w:type="spellStart"/>
      <w:r w:rsidR="00B000E3">
        <w:t>Anandasagar</w:t>
      </w:r>
      <w:proofErr w:type="spellEnd"/>
      <w:r w:rsidR="00B000E3">
        <w:t xml:space="preserve"> 2022).</w:t>
      </w:r>
    </w:p>
    <w:p w:rsidR="002707AA" w:rsidRPr="00A757DD" w:rsidRDefault="00D257DB" w:rsidP="008818BF">
      <w:pPr>
        <w:spacing w:after="240"/>
      </w:pPr>
      <w:r>
        <w:t xml:space="preserve">This, I think, is </w:t>
      </w:r>
      <w:proofErr w:type="gramStart"/>
      <w:r>
        <w:t>plausible,</w:t>
      </w:r>
      <w:proofErr w:type="gramEnd"/>
      <w:r>
        <w:t xml:space="preserve"> as Moore’s earlier contention with certainty was that the skeptic seems to merely claim a lack of knowledge of p or it having not yet been proved. Meanwhile, the realist who claims certainty has expressed the truth and knowledge of p, but perhaps its proof remains ambiguous or untouched.</w:t>
      </w:r>
      <w:r w:rsidR="00A757DD">
        <w:t xml:space="preserve"> Of course, one may then accuse Moore of dogmatism as holding to knowledge without explicit proof, but Moore addresses this at the beginning by stating the absurdity of accusing one of dogmatism on such claims.</w:t>
      </w:r>
      <w:r w:rsidR="00B000E3">
        <w:t xml:space="preserve"> Lastly, Moore’s earlier discussion (it also appears near the end as well) on logical possibility may be telling. Namely, perhaps </w:t>
      </w:r>
      <w:r w:rsidR="00DD64F9">
        <w:t>Moore’s invocation of logical possibility helps bolster the distinction betwee</w:t>
      </w:r>
      <w:r w:rsidR="00B0467B">
        <w:t>n knowing p and proving p, as knowing p is not undercut by the logical possibility of p being false. Yet, a formal proof may require inescapable steps or premises that prove p.</w:t>
      </w:r>
    </w:p>
    <w:p w:rsidR="008818BF" w:rsidRDefault="008818BF" w:rsidP="008818BF">
      <w:pPr>
        <w:spacing w:after="240"/>
      </w:pPr>
      <w:r>
        <w:t>Word count:</w:t>
      </w:r>
      <w:r w:rsidR="00B0467B">
        <w:t xml:space="preserve"> 800</w:t>
      </w:r>
    </w:p>
    <w:p w:rsidR="004D743B" w:rsidRPr="004D743B" w:rsidRDefault="004D743B" w:rsidP="008818BF">
      <w:pPr>
        <w:spacing w:after="240"/>
        <w:rPr>
          <w:b/>
        </w:rPr>
      </w:pPr>
      <w:r w:rsidRPr="004D743B">
        <w:rPr>
          <w:b/>
        </w:rPr>
        <w:t>References</w:t>
      </w:r>
    </w:p>
    <w:p w:rsidR="004D743B" w:rsidRDefault="004D743B" w:rsidP="004D743B">
      <w:pPr>
        <w:spacing w:after="240"/>
        <w:jc w:val="left"/>
      </w:pPr>
      <w:r w:rsidRPr="00914588">
        <w:t>Baldwin, Tom, "George Edward Moore", The Stanford Encyclopedia of Philosophy (</w:t>
      </w:r>
      <w:proofErr w:type="gramStart"/>
      <w:r w:rsidRPr="00914588">
        <w:t>Summer</w:t>
      </w:r>
      <w:proofErr w:type="gramEnd"/>
      <w:r w:rsidRPr="00914588">
        <w:t xml:space="preserve"> 2010 Edition), Edward N. </w:t>
      </w:r>
      <w:proofErr w:type="spellStart"/>
      <w:r w:rsidRPr="00914588">
        <w:t>Zalta</w:t>
      </w:r>
      <w:proofErr w:type="spellEnd"/>
      <w:r w:rsidRPr="00914588">
        <w:t xml:space="preserve"> (ed.), URL = &lt;https://plato.stanford.edu/archives/sum2010/entries/moore/&gt;.</w:t>
      </w:r>
    </w:p>
    <w:p w:rsidR="004D743B" w:rsidRPr="004D743B" w:rsidRDefault="004D743B" w:rsidP="004D743B">
      <w:pPr>
        <w:spacing w:after="240"/>
        <w:jc w:val="left"/>
        <w:rPr>
          <w:rFonts w:hint="eastAsia"/>
        </w:rPr>
      </w:pPr>
      <w:proofErr w:type="spellStart"/>
      <w:r w:rsidRPr="00D257DB">
        <w:t>Anandasagar</w:t>
      </w:r>
      <w:proofErr w:type="spellEnd"/>
      <w:r w:rsidRPr="00D257DB">
        <w:t>, B.</w:t>
      </w:r>
      <w:r>
        <w:rPr>
          <w:rFonts w:ascii="MS Mincho" w:eastAsia="MS Mincho" w:hAnsi="MS Mincho" w:cs="MS Mincho" w:hint="eastAsia"/>
        </w:rPr>
        <w:t xml:space="preserve"> </w:t>
      </w:r>
      <w:r w:rsidRPr="00D257DB">
        <w:rPr>
          <w:rFonts w:eastAsiaTheme="minorHAnsi" w:cs="MS Mincho"/>
        </w:rPr>
        <w:t xml:space="preserve">Moore on </w:t>
      </w:r>
      <w:proofErr w:type="spellStart"/>
      <w:r w:rsidRPr="00D257DB">
        <w:rPr>
          <w:rFonts w:eastAsiaTheme="minorHAnsi" w:cs="MS Mincho"/>
        </w:rPr>
        <w:t>Scepticism</w:t>
      </w:r>
      <w:proofErr w:type="spellEnd"/>
      <w:r w:rsidRPr="00D257DB">
        <w:rPr>
          <w:rFonts w:eastAsiaTheme="minorHAnsi" w:cs="MS Mincho"/>
        </w:rPr>
        <w:t xml:space="preserve"> and Certainty.</w:t>
      </w:r>
      <w:r>
        <w:rPr>
          <w:rFonts w:ascii="MS Mincho" w:eastAsia="MS Mincho" w:hAnsi="MS Mincho" w:cs="MS Mincho"/>
        </w:rPr>
        <w:t xml:space="preserve"> </w:t>
      </w:r>
      <w:proofErr w:type="spellStart"/>
      <w:r w:rsidRPr="00D257DB">
        <w:t>Tattva</w:t>
      </w:r>
      <w:proofErr w:type="spellEnd"/>
      <w:r w:rsidRPr="00D257DB">
        <w:t xml:space="preserve"> Journal of Philosop</w:t>
      </w:r>
      <w:r>
        <w:t xml:space="preserve">hy; Bengaluru Vol. 14, </w:t>
      </w:r>
      <w:proofErr w:type="spellStart"/>
      <w:r>
        <w:t>Iss</w:t>
      </w:r>
      <w:proofErr w:type="spellEnd"/>
      <w:r>
        <w:t xml:space="preserve">. 2, </w:t>
      </w:r>
      <w:r w:rsidRPr="00D257DB">
        <w:t>(2022).</w:t>
      </w:r>
    </w:p>
    <w:p w:rsidR="001718B3" w:rsidRPr="006169D5" w:rsidRDefault="008818BF" w:rsidP="008818BF">
      <w:pPr>
        <w:spacing w:after="240"/>
        <w:rPr>
          <w:b/>
        </w:rPr>
      </w:pPr>
      <w:r w:rsidRPr="006169D5">
        <w:rPr>
          <w:b/>
        </w:rPr>
        <w:t>4.</w:t>
      </w:r>
      <w:r w:rsidR="00137B41" w:rsidRPr="006169D5">
        <w:rPr>
          <w:b/>
        </w:rPr>
        <w:t xml:space="preserve"> Hume, ‘Of the Idea of Necessary </w:t>
      </w:r>
      <w:proofErr w:type="spellStart"/>
      <w:r w:rsidR="00137B41" w:rsidRPr="006169D5">
        <w:rPr>
          <w:b/>
        </w:rPr>
        <w:t>Connexion</w:t>
      </w:r>
      <w:proofErr w:type="spellEnd"/>
      <w:r w:rsidR="00137B41" w:rsidRPr="006169D5">
        <w:rPr>
          <w:b/>
        </w:rPr>
        <w:t>’, in Enquiry Concerning Human Understanding (1748), Part 1, Section 7.</w:t>
      </w:r>
    </w:p>
    <w:p w:rsidR="00575994" w:rsidRDefault="00F125C0" w:rsidP="008818BF">
      <w:pPr>
        <w:spacing w:after="240"/>
      </w:pPr>
      <w:r>
        <w:t>Famously, parts</w:t>
      </w:r>
      <w:r w:rsidR="003C6D82">
        <w:t xml:space="preserve"> of the “Enquiry” has</w:t>
      </w:r>
      <w:r w:rsidR="001718B3">
        <w:t xml:space="preserve"> Hume concern</w:t>
      </w:r>
      <w:r w:rsidR="002318AB">
        <w:t xml:space="preserve">ed with inductive reasoning. </w:t>
      </w:r>
      <w:r w:rsidR="0008634F">
        <w:t>More precisely</w:t>
      </w:r>
      <w:r w:rsidR="00300A4D">
        <w:t xml:space="preserve">, the problem that concerns Hume is </w:t>
      </w:r>
      <w:r w:rsidR="002318AB">
        <w:t xml:space="preserve">that </w:t>
      </w:r>
      <w:r w:rsidR="00EB377E">
        <w:t xml:space="preserve">there is an apparent lack of justification for it. </w:t>
      </w:r>
      <w:r w:rsidR="0008634F">
        <w:t>In Section 7, Hume addresses</w:t>
      </w:r>
      <w:r w:rsidR="00EB377E">
        <w:t xml:space="preserve"> the supposed necessity of cause and effect relations. In this way, the problem of induction </w:t>
      </w:r>
      <w:proofErr w:type="gramStart"/>
      <w:r w:rsidR="00EB377E">
        <w:t xml:space="preserve">is </w:t>
      </w:r>
      <w:r w:rsidR="00300A4D">
        <w:t>bolstered</w:t>
      </w:r>
      <w:proofErr w:type="gramEnd"/>
      <w:r w:rsidR="00EB377E">
        <w:t xml:space="preserve">, as Hume argues that what we witness </w:t>
      </w:r>
      <w:r w:rsidR="0008634F">
        <w:t>with cause and effect is a matter of experience or habit, as opposed to seeing a necessary</w:t>
      </w:r>
      <w:r w:rsidR="00300A4D">
        <w:t xml:space="preserve"> connection between two events.</w:t>
      </w:r>
      <w:r w:rsidR="00DD5355">
        <w:t xml:space="preserve"> Additionally, although I </w:t>
      </w:r>
      <w:proofErr w:type="gramStart"/>
      <w:r w:rsidR="00DD5355">
        <w:t>won’t</w:t>
      </w:r>
      <w:proofErr w:type="gramEnd"/>
      <w:r w:rsidR="00DD5355">
        <w:t xml:space="preserve"> discuss it much here, Hume touches on the connection between the body and the soul.</w:t>
      </w:r>
    </w:p>
    <w:p w:rsidR="00300A4D" w:rsidRDefault="00300A4D" w:rsidP="008818BF">
      <w:pPr>
        <w:spacing w:after="240"/>
      </w:pPr>
      <w:r>
        <w:t xml:space="preserve">Hume’s conclusion is, to say the least, </w:t>
      </w:r>
      <w:r w:rsidR="000C267F">
        <w:t>counterintuitive to many</w:t>
      </w:r>
      <w:r>
        <w:t xml:space="preserve">. It amounts to denying </w:t>
      </w:r>
      <w:r w:rsidR="00433DBA">
        <w:t xml:space="preserve">the necessary connection within </w:t>
      </w:r>
      <w:r>
        <w:t>cause and effect and instead substitutes it with facts about our psychology</w:t>
      </w:r>
      <w:r w:rsidR="00433DBA">
        <w:t xml:space="preserve"> and a plain statement that</w:t>
      </w:r>
      <w:r w:rsidR="009C47E7">
        <w:t xml:space="preserve"> when we observe a supposed instance of cause and effect that</w:t>
      </w:r>
      <w:r w:rsidR="00433DBA">
        <w:t xml:space="preserve">, “We only find, that the one does actually, in fact, follow the other” (Hume 1748, p. </w:t>
      </w:r>
      <w:r w:rsidR="009C47E7">
        <w:t xml:space="preserve">44). </w:t>
      </w:r>
      <w:r w:rsidR="008177D6">
        <w:t xml:space="preserve">In other words, while we may see B follow A, the cause and effect relationship remains unsubstantiated, and we can only, at </w:t>
      </w:r>
      <w:r w:rsidR="008177D6">
        <w:lastRenderedPageBreak/>
        <w:t xml:space="preserve">most, say B follows A, as opposed to saying </w:t>
      </w:r>
      <w:proofErr w:type="gramStart"/>
      <w:r w:rsidR="008177D6">
        <w:t>A</w:t>
      </w:r>
      <w:proofErr w:type="gramEnd"/>
      <w:r w:rsidR="008177D6">
        <w:t xml:space="preserve"> </w:t>
      </w:r>
      <w:r w:rsidR="008177D6" w:rsidRPr="008177D6">
        <w:rPr>
          <w:i/>
        </w:rPr>
        <w:t>causes</w:t>
      </w:r>
      <w:r w:rsidR="008177D6">
        <w:t xml:space="preserve"> B. </w:t>
      </w:r>
      <w:r w:rsidR="003731AB">
        <w:t xml:space="preserve">However, some philosophers have argued that Hume’s position on causation may be less radical, in that he either posits that the </w:t>
      </w:r>
      <w:r w:rsidR="00F14FC3">
        <w:t>problem of induction remains for rationalists and empiricists alike or, more ambitiously, that his “inductive skepticism is . . . consistent with various contemporary attempts to solve the problem of induction” (</w:t>
      </w:r>
      <w:proofErr w:type="spellStart"/>
      <w:r w:rsidR="00F14FC3">
        <w:t>Horgan</w:t>
      </w:r>
      <w:proofErr w:type="spellEnd"/>
      <w:r w:rsidR="00F14FC3">
        <w:t xml:space="preserve"> 1985, p. 278).</w:t>
      </w:r>
      <w:r w:rsidR="0005184A">
        <w:t xml:space="preserve"> For my interpretation of Hume, I see him as arguing for the radical conclusion that </w:t>
      </w:r>
      <w:r w:rsidR="000C267F">
        <w:t>denies causation as a necessary connection, and I believe this follows from his categorization of truth falling under either relations of ideas or matters of fact.</w:t>
      </w:r>
    </w:p>
    <w:p w:rsidR="00316497" w:rsidRDefault="005073EE" w:rsidP="008818BF">
      <w:pPr>
        <w:spacing w:after="240"/>
      </w:pPr>
      <w:r>
        <w:rPr>
          <w:rFonts w:hint="eastAsia"/>
        </w:rPr>
        <w:t>In contrast, we have Richard Price, a contemporary of Hume</w:t>
      </w:r>
      <w:r w:rsidR="00727748">
        <w:t>, offering a very direct account of causation</w:t>
      </w:r>
      <w:r>
        <w:rPr>
          <w:rFonts w:hint="eastAsia"/>
        </w:rPr>
        <w:t xml:space="preserve">. </w:t>
      </w:r>
      <w:r>
        <w:t>While many philosophers find the divvying up of Hume vs the rationalists as categories that are too crude or not entirely accurate (</w:t>
      </w:r>
      <w:proofErr w:type="spellStart"/>
      <w:r>
        <w:t>Kail</w:t>
      </w:r>
      <w:proofErr w:type="spellEnd"/>
      <w:r>
        <w:t xml:space="preserve"> 2008), Price represented what </w:t>
      </w:r>
      <w:proofErr w:type="gramStart"/>
      <w:r>
        <w:t>could be called</w:t>
      </w:r>
      <w:proofErr w:type="gramEnd"/>
      <w:r>
        <w:t xml:space="preserve"> the rationalist tradition. </w:t>
      </w:r>
      <w:r w:rsidR="00727748">
        <w:t xml:space="preserve">This can be seen when Price (1758, p. 11) </w:t>
      </w:r>
      <w:r w:rsidR="007A35F0">
        <w:t>states</w:t>
      </w:r>
      <w:r w:rsidR="00727748">
        <w:t xml:space="preserve"> that, “The necessity that everything that happens should have a cause is an essential principle, a primary perception of the understanding.”</w:t>
      </w:r>
      <w:r w:rsidR="000C267F">
        <w:t xml:space="preserve"> Yet, this alone would not refute Hume, as Hume argues that such primary perception lies not within the understanding (in other words, some sort of rationalist, intellectual insight) but is a matter of psychological projection. The debate similarly resembles the dispute had on morality between the “sentimentalists” (such as Hume and Adam Smith) and the rationalists (notably, Price again).</w:t>
      </w:r>
      <w:r w:rsidR="00147F8C">
        <w:t xml:space="preserve"> In fact, both Price and Hume (1748, p. 53) make explicit reference to limits of “the understanding” as a point of contention.</w:t>
      </w:r>
    </w:p>
    <w:p w:rsidR="000C267F" w:rsidRDefault="00AE450E" w:rsidP="008818BF">
      <w:pPr>
        <w:spacing w:after="240"/>
      </w:pPr>
      <w:r>
        <w:rPr>
          <w:rFonts w:hint="eastAsia"/>
        </w:rPr>
        <w:t>To further engage, Price</w:t>
      </w:r>
      <w:r w:rsidR="0001138C">
        <w:t xml:space="preserve"> (1758, p. 11)</w:t>
      </w:r>
      <w:r>
        <w:rPr>
          <w:rFonts w:hint="eastAsia"/>
        </w:rPr>
        <w:t xml:space="preserve"> argues that to deny cau</w:t>
      </w:r>
      <w:r w:rsidR="0001138C">
        <w:t xml:space="preserve">sation would be equal to </w:t>
      </w:r>
      <w:r w:rsidR="00DA2FF4">
        <w:t xml:space="preserve">asserting that </w:t>
      </w:r>
      <w:r w:rsidR="0001138C">
        <w:t>propositions such as “a change that has been derived from nothing” or “a body that has begun to move but hasn’</w:t>
      </w:r>
      <w:r w:rsidR="00DA2FF4">
        <w:t>t been moved</w:t>
      </w:r>
      <w:r w:rsidR="0001138C">
        <w:t>”</w:t>
      </w:r>
      <w:r w:rsidR="00DA2FF4">
        <w:t xml:space="preserve"> could be true. </w:t>
      </w:r>
      <w:r w:rsidR="00E536C1">
        <w:t xml:space="preserve">In this way, </w:t>
      </w:r>
      <w:r w:rsidR="000E59B1">
        <w:t xml:space="preserve">I believe a stalemate </w:t>
      </w:r>
      <w:r w:rsidR="00D04CFF">
        <w:t>occurs</w:t>
      </w:r>
      <w:r w:rsidR="000E59B1">
        <w:t xml:space="preserve"> between Hume and Price, and one would require a further exploration of the merits of the epistemology backing each one. That is, those leaning toward Hume’s skepticism would not grant that Price has pointed toward metaphysical truths that we can understand through </w:t>
      </w:r>
      <w:r w:rsidR="00D04CFF">
        <w:t>the understanding</w:t>
      </w:r>
      <w:r w:rsidR="000E59B1">
        <w:t xml:space="preserve"> alone, while those leaning toward Price’s rationalism would grant that the above </w:t>
      </w:r>
      <w:r w:rsidR="00A46F1C">
        <w:t>are serious con</w:t>
      </w:r>
      <w:r w:rsidR="00E9401B">
        <w:t>tenders for self-evident claims (and, so, vindicating causation).</w:t>
      </w:r>
    </w:p>
    <w:p w:rsidR="009B6966" w:rsidRPr="005F7C52" w:rsidRDefault="0015361D" w:rsidP="008818BF">
      <w:pPr>
        <w:spacing w:after="240"/>
      </w:pPr>
      <w:r>
        <w:rPr>
          <w:rFonts w:hint="eastAsia"/>
        </w:rPr>
        <w:t xml:space="preserve">In response, Hume, I believe, has a worthy counterargument. </w:t>
      </w:r>
      <w:r>
        <w:t xml:space="preserve">Specifically, </w:t>
      </w:r>
      <w:r w:rsidR="006D1365">
        <w:t xml:space="preserve">if causation were a matter of the understanding, then surely we should have an idea of how A will cause B prior to experiencing it. Yet, as Hume argues, it is only </w:t>
      </w:r>
      <w:r w:rsidR="00552E80">
        <w:t xml:space="preserve">through experience that we know how the supposed necessary </w:t>
      </w:r>
      <w:r w:rsidR="00681685">
        <w:t>connection will unfold.</w:t>
      </w:r>
      <w:r w:rsidR="005F7C52">
        <w:t xml:space="preserve"> The answer open to Price is that we may not have an idea, until after experience, what effect A will have on B, but we grasp the principle underlying it. It is analogous to W.D. Ross’ </w:t>
      </w:r>
      <w:r w:rsidR="002B4C87">
        <w:t xml:space="preserve">(1930) </w:t>
      </w:r>
      <w:r w:rsidR="005F7C52">
        <w:t xml:space="preserve">moral epistemology, in which we have an intuition of </w:t>
      </w:r>
      <w:r w:rsidR="005F7C52">
        <w:rPr>
          <w:i/>
        </w:rPr>
        <w:t xml:space="preserve">prima facie </w:t>
      </w:r>
      <w:r w:rsidR="005F7C52">
        <w:t xml:space="preserve">duties such as being benevolent, but our actual duties in concrete cases require an evaluation of </w:t>
      </w:r>
      <w:proofErr w:type="gramStart"/>
      <w:r w:rsidR="005F7C52">
        <w:t>all things considered</w:t>
      </w:r>
      <w:proofErr w:type="gramEnd"/>
      <w:r w:rsidR="005F7C52">
        <w:t>.</w:t>
      </w:r>
      <w:r w:rsidR="00D04CFF">
        <w:t xml:space="preserve"> Granted, Hume could reply that such an account for the actual duty may be reflected on and we may come to an answer similar to the initial </w:t>
      </w:r>
      <w:r w:rsidR="00D04CFF" w:rsidRPr="00D04CFF">
        <w:rPr>
          <w:i/>
        </w:rPr>
        <w:t>prima facie</w:t>
      </w:r>
      <w:r w:rsidR="00D04CFF">
        <w:t xml:space="preserve"> duties, while we could never reflect (and come to know) how previously unknown </w:t>
      </w:r>
      <w:r w:rsidR="00810923">
        <w:t>objects</w:t>
      </w:r>
      <w:r w:rsidR="00D04CFF">
        <w:t xml:space="preserve"> will interact.</w:t>
      </w:r>
    </w:p>
    <w:p w:rsidR="00681685" w:rsidRPr="0015361D" w:rsidRDefault="007454E3" w:rsidP="008818BF">
      <w:pPr>
        <w:spacing w:after="240"/>
      </w:pPr>
      <w:r>
        <w:rPr>
          <w:rFonts w:hint="eastAsia"/>
        </w:rPr>
        <w:lastRenderedPageBreak/>
        <w:t>Overall, I believe Hume</w:t>
      </w:r>
      <w:r w:rsidR="00620C3A">
        <w:t xml:space="preserve"> offers a very interesting problem that touches upon both epistemology and metaphysics. </w:t>
      </w:r>
      <w:r w:rsidR="00C73023">
        <w:t xml:space="preserve">In some ways, it is reminiscent of the skeptical worries raised by Descartes (1641) in “Meditations on First Philosophy,” but it is controversial whether Hume </w:t>
      </w:r>
      <w:r w:rsidR="004D743B">
        <w:t>accepts the skeptical position—</w:t>
      </w:r>
      <w:r w:rsidR="00D04CFF">
        <w:t>while</w:t>
      </w:r>
      <w:r w:rsidR="00C73023">
        <w:t xml:space="preserve"> Descartes</w:t>
      </w:r>
      <w:r w:rsidR="00D04CFF">
        <w:t xml:space="preserve"> hoped to overcome skepticism</w:t>
      </w:r>
      <w:r w:rsidR="004D743B">
        <w:t>—</w:t>
      </w:r>
      <w:r w:rsidR="00C73023">
        <w:t xml:space="preserve">or, as some contemporary accounts argue, merely raises an </w:t>
      </w:r>
      <w:r w:rsidR="00EB6750">
        <w:t>interesting puzzle for induction.</w:t>
      </w:r>
    </w:p>
    <w:p w:rsidR="008818BF" w:rsidRDefault="008818BF" w:rsidP="008818BF">
      <w:pPr>
        <w:spacing w:after="240"/>
      </w:pPr>
      <w:r>
        <w:t>Word count:</w:t>
      </w:r>
      <w:r w:rsidR="0073097B">
        <w:t xml:space="preserve"> 802</w:t>
      </w:r>
    </w:p>
    <w:p w:rsidR="004D743B" w:rsidRPr="004D743B" w:rsidRDefault="004D743B" w:rsidP="008818BF">
      <w:pPr>
        <w:spacing w:after="240"/>
        <w:rPr>
          <w:b/>
        </w:rPr>
      </w:pPr>
      <w:r w:rsidRPr="004D743B">
        <w:rPr>
          <w:b/>
        </w:rPr>
        <w:t>References</w:t>
      </w:r>
    </w:p>
    <w:p w:rsidR="004D743B" w:rsidRDefault="004D743B" w:rsidP="004D743B">
      <w:pPr>
        <w:spacing w:after="240"/>
        <w:jc w:val="left"/>
      </w:pPr>
      <w:r>
        <w:t>Reviewed Work: Hume and the Problem of Causation by Tom L. Beauchamp, Alexander Rosenberg</w:t>
      </w:r>
      <w:r>
        <w:rPr>
          <w:rFonts w:hint="eastAsia"/>
        </w:rPr>
        <w:t xml:space="preserve"> </w:t>
      </w:r>
      <w:r>
        <w:t xml:space="preserve">Review by: Terence </w:t>
      </w:r>
      <w:proofErr w:type="spellStart"/>
      <w:r>
        <w:t>Horgan</w:t>
      </w:r>
      <w:proofErr w:type="spellEnd"/>
      <w:r>
        <w:rPr>
          <w:rFonts w:hint="eastAsia"/>
        </w:rPr>
        <w:t xml:space="preserve"> </w:t>
      </w:r>
      <w:proofErr w:type="gramStart"/>
      <w:r>
        <w:t>The</w:t>
      </w:r>
      <w:proofErr w:type="gramEnd"/>
      <w:r>
        <w:t xml:space="preserve"> Philosophical Review</w:t>
      </w:r>
      <w:r>
        <w:rPr>
          <w:rFonts w:hint="eastAsia"/>
        </w:rPr>
        <w:t xml:space="preserve"> </w:t>
      </w:r>
      <w:r>
        <w:t>Vol. 94, No. 2 (Apr., 1985), pp. 278-281 (4 pages)</w:t>
      </w:r>
      <w:r>
        <w:rPr>
          <w:rFonts w:hint="eastAsia"/>
        </w:rPr>
        <w:t xml:space="preserve"> </w:t>
      </w:r>
      <w:r>
        <w:t>Published By: Duke University Press</w:t>
      </w:r>
    </w:p>
    <w:p w:rsidR="004D743B" w:rsidRDefault="004D743B" w:rsidP="004D743B">
      <w:pPr>
        <w:spacing w:after="240"/>
        <w:jc w:val="left"/>
      </w:pPr>
      <w:r>
        <w:t>Descartes Meditations on First Philosophy 1641</w:t>
      </w:r>
    </w:p>
    <w:p w:rsidR="004D743B" w:rsidRDefault="004D743B" w:rsidP="004D743B">
      <w:pPr>
        <w:spacing w:after="240"/>
        <w:jc w:val="left"/>
      </w:pPr>
      <w:r>
        <w:t xml:space="preserve">W.D. Ross </w:t>
      </w:r>
      <w:proofErr w:type="gramStart"/>
      <w:r>
        <w:t>The</w:t>
      </w:r>
      <w:proofErr w:type="gramEnd"/>
      <w:r>
        <w:t xml:space="preserve"> Right and the Good 1930</w:t>
      </w:r>
    </w:p>
    <w:p w:rsidR="004D743B" w:rsidRDefault="004D743B" w:rsidP="004D743B">
      <w:pPr>
        <w:spacing w:after="240"/>
        <w:jc w:val="left"/>
      </w:pPr>
      <w:r>
        <w:t xml:space="preserve">Richard Price </w:t>
      </w:r>
      <w:proofErr w:type="gramStart"/>
      <w:r>
        <w:t>A</w:t>
      </w:r>
      <w:proofErr w:type="gramEnd"/>
      <w:r>
        <w:t xml:space="preserve"> Review of the Principal Questions of Morals</w:t>
      </w:r>
    </w:p>
    <w:p w:rsidR="004D743B" w:rsidRDefault="004D743B" w:rsidP="004D743B">
      <w:pPr>
        <w:spacing w:after="240"/>
        <w:jc w:val="left"/>
      </w:pPr>
      <w:r>
        <w:t>Hume, Malebranche and ‘Rationalism’ P. J. E. KAIL</w:t>
      </w:r>
    </w:p>
    <w:p w:rsidR="008818BF" w:rsidRPr="006169D5" w:rsidRDefault="008818BF" w:rsidP="008818BF">
      <w:pPr>
        <w:spacing w:after="240"/>
        <w:rPr>
          <w:b/>
        </w:rPr>
      </w:pPr>
      <w:r w:rsidRPr="006169D5">
        <w:rPr>
          <w:b/>
        </w:rPr>
        <w:t>5.</w:t>
      </w:r>
      <w:r w:rsidR="001329C2" w:rsidRPr="006169D5">
        <w:rPr>
          <w:b/>
        </w:rPr>
        <w:t xml:space="preserve"> Peter Unger, ‘In Defense of Skepticism’, The Philosophical Review, Vo.80, No.2, 1971, pp.198-219.</w:t>
      </w:r>
    </w:p>
    <w:p w:rsidR="001329C2" w:rsidRDefault="00B23FC0" w:rsidP="008818BF">
      <w:pPr>
        <w:spacing w:after="240"/>
      </w:pPr>
      <w:r>
        <w:rPr>
          <w:rFonts w:hint="eastAsia"/>
        </w:rPr>
        <w:t xml:space="preserve">Here, Peter Unger </w:t>
      </w:r>
      <w:r>
        <w:t>(1971, p. 198) defends a</w:t>
      </w:r>
      <w:r w:rsidR="005852E9">
        <w:t>n ostensibly</w:t>
      </w:r>
      <w:r>
        <w:t xml:space="preserve"> moderate form of skepticism, with the thesis explicitly being “every human being knows, at best, hardly anything to be so.” </w:t>
      </w:r>
      <w:r w:rsidR="0077593F">
        <w:t xml:space="preserve">The </w:t>
      </w:r>
      <w:proofErr w:type="gramStart"/>
      <w:r w:rsidR="0077593F">
        <w:t>things which we do not know</w:t>
      </w:r>
      <w:proofErr w:type="gramEnd"/>
      <w:r w:rsidR="0077593F">
        <w:t xml:space="preserve"> include mathematical truths or even whether Unger’s skepticism itself is true. </w:t>
      </w:r>
      <w:r w:rsidR="00433B74">
        <w:t>The brunt of Unger’s case for this</w:t>
      </w:r>
      <w:r w:rsidR="00E26136">
        <w:t xml:space="preserve"> apparently</w:t>
      </w:r>
      <w:r w:rsidR="00433B74">
        <w:t xml:space="preserve"> less radical skepticism seems to rely on </w:t>
      </w:r>
      <w:r w:rsidR="00433B74" w:rsidRPr="00433B74">
        <w:rPr>
          <w:i/>
        </w:rPr>
        <w:t>1</w:t>
      </w:r>
      <w:r w:rsidR="00433B74">
        <w:t xml:space="preserve">) knowledge requiring certainty and </w:t>
      </w:r>
      <w:r w:rsidR="00433B74" w:rsidRPr="00433B74">
        <w:rPr>
          <w:i/>
        </w:rPr>
        <w:t>2</w:t>
      </w:r>
      <w:r w:rsidR="00433B74">
        <w:t>) the disconnect between language and the world as it is.</w:t>
      </w:r>
    </w:p>
    <w:p w:rsidR="00FE23D6" w:rsidRDefault="00E152A5" w:rsidP="008818BF">
      <w:pPr>
        <w:spacing w:after="240"/>
      </w:pPr>
      <w:r>
        <w:rPr>
          <w:rFonts w:hint="eastAsia"/>
        </w:rPr>
        <w:t>T</w:t>
      </w:r>
      <w:r>
        <w:t xml:space="preserve">o bolster the above two points, Unger discusses relative and absolute terms, such as bumpy for the former and flat for the latter. Additionally, there is the further distinction between absolute terms and basic absolute terms. What would make a term basic and absolute is that it “is not (naturally) defined in terms of some other absolute term” (Unger 1971, p. 203), with “straight” being given as an example, as it has no further absolute terms within it defining it. This is unlike the absolute term “cube,” which must rely on supplementary absolute terms (terms Unger deems basic and absolute) such as “straight.” </w:t>
      </w:r>
      <w:proofErr w:type="gramStart"/>
      <w:r w:rsidR="00A47570">
        <w:t>U</w:t>
      </w:r>
      <w:r w:rsidR="00A66A82">
        <w:t>nfortunately</w:t>
      </w:r>
      <w:proofErr w:type="gramEnd"/>
      <w:r w:rsidR="00A66A82">
        <w:t xml:space="preserve"> for</w:t>
      </w:r>
      <w:r w:rsidR="00A47570">
        <w:t xml:space="preserve"> </w:t>
      </w:r>
      <w:r w:rsidR="00A66A82">
        <w:t xml:space="preserve">absolute terms, Unger </w:t>
      </w:r>
      <w:r w:rsidR="00A47570">
        <w:t>claims</w:t>
      </w:r>
      <w:r w:rsidR="00A66A82">
        <w:t xml:space="preserve"> that they still admit to degrees, as in the case of relative terms. </w:t>
      </w:r>
      <w:proofErr w:type="gramStart"/>
      <w:r w:rsidR="00A47570">
        <w:t xml:space="preserve">Using the example of a table and its </w:t>
      </w:r>
      <w:r w:rsidR="00F05207">
        <w:t>characteristics</w:t>
      </w:r>
      <w:r w:rsidR="00A47570">
        <w:t>,</w:t>
      </w:r>
      <w:proofErr w:type="gramEnd"/>
      <w:r w:rsidR="00A47570">
        <w:t xml:space="preserve"> </w:t>
      </w:r>
      <w:proofErr w:type="gramStart"/>
      <w:r w:rsidR="00A47570">
        <w:t>it</w:t>
      </w:r>
      <w:proofErr w:type="gramEnd"/>
      <w:r w:rsidR="00A47570">
        <w:t xml:space="preserve"> appears, Unger argues, to resemble the relative quality of being bumpy. That is, when we speak of the bumpiness of a table, it implicitly assumes qualifiers such as “nearly” or “how close to being” (Unger 1971, p. 204). Yet, the same observation applies to the absolute term of “flatness,” as</w:t>
      </w:r>
      <w:r w:rsidR="00560FFD">
        <w:t xml:space="preserve"> we</w:t>
      </w:r>
      <w:r w:rsidR="00A47570">
        <w:t xml:space="preserve"> </w:t>
      </w:r>
      <w:r w:rsidR="00A47570">
        <w:lastRenderedPageBreak/>
        <w:t>begin to refine our use of the absolute term “flat” for the table as perhaps being “nearly flat.”</w:t>
      </w:r>
    </w:p>
    <w:p w:rsidR="004C12F1" w:rsidRDefault="00587CA8" w:rsidP="008818BF">
      <w:pPr>
        <w:spacing w:after="240"/>
      </w:pPr>
      <w:r>
        <w:rPr>
          <w:rFonts w:hint="eastAsia"/>
        </w:rPr>
        <w:t xml:space="preserve">In bringing us back to skepticism, Unger connects the above points to certainty itself. </w:t>
      </w:r>
      <w:r>
        <w:t xml:space="preserve">Namely, if something is truly flat, then there “never is any surface which is flatter than it” (Unger 1971, p. 211). </w:t>
      </w:r>
      <w:proofErr w:type="gramStart"/>
      <w:r>
        <w:t>Likewise, with certainty, if one truly has certainty, then there “never is anything of which he is more certain”</w:t>
      </w:r>
      <w:proofErr w:type="gramEnd"/>
      <w:r>
        <w:t xml:space="preserve"> (Unger 1971, p. 212). </w:t>
      </w:r>
      <w:r w:rsidR="005C49F2">
        <w:t>Yet, Unger asks us to consider a simple mathematical proposition, such as 45 and 56 amounts to 101.</w:t>
      </w:r>
      <w:r w:rsidR="00246F2B">
        <w:t xml:space="preserve"> Reflecting on this proposition, we cannot claim certainty as outlined above. However, if mathematical truth</w:t>
      </w:r>
      <w:r w:rsidR="00EF066C">
        <w:t xml:space="preserve">s lack such certainty, then we are </w:t>
      </w:r>
      <w:r w:rsidR="00F473BB">
        <w:t xml:space="preserve">seemingly </w:t>
      </w:r>
      <w:r w:rsidR="00EF066C">
        <w:t>less confident in claiming</w:t>
      </w:r>
      <w:r w:rsidR="00246F2B">
        <w:t xml:space="preserve"> with certainty that </w:t>
      </w:r>
      <w:r w:rsidR="007E0695">
        <w:t>people believe that</w:t>
      </w:r>
      <w:r w:rsidR="00246F2B">
        <w:t xml:space="preserve"> automobiles exist.</w:t>
      </w:r>
    </w:p>
    <w:p w:rsidR="00246F2B" w:rsidRDefault="005C4521" w:rsidP="008818BF">
      <w:pPr>
        <w:spacing w:after="240"/>
      </w:pPr>
      <w:r>
        <w:rPr>
          <w:rFonts w:hint="eastAsia"/>
        </w:rPr>
        <w:t>This brings me to Unger</w:t>
      </w:r>
      <w:r>
        <w:t xml:space="preserve">’s last substantial point, and </w:t>
      </w:r>
      <w:proofErr w:type="gramStart"/>
      <w:r>
        <w:t>it is one that I had in mind from the beginning of Unger’</w:t>
      </w:r>
      <w:r w:rsidR="0031799E">
        <w:t>s paper</w:t>
      </w:r>
      <w:proofErr w:type="gramEnd"/>
      <w:r w:rsidR="0031799E">
        <w:t xml:space="preserve">. </w:t>
      </w:r>
      <w:r>
        <w:t xml:space="preserve">In this section, </w:t>
      </w:r>
      <w:r w:rsidR="001A1E0F">
        <w:t xml:space="preserve">Unger considers the position of having knowledge without certainty. </w:t>
      </w:r>
      <w:r w:rsidR="000D283A">
        <w:t xml:space="preserve">The problem for Unger is that, if knowledge is possible without absolute certainty, then his skepticism is not maintainable. </w:t>
      </w:r>
      <w:r w:rsidR="0058359B">
        <w:t xml:space="preserve">For such a position, it sounds like a form of </w:t>
      </w:r>
      <w:proofErr w:type="spellStart"/>
      <w:r w:rsidR="0058359B">
        <w:t>fallibilism</w:t>
      </w:r>
      <w:proofErr w:type="spellEnd"/>
      <w:r w:rsidR="0058359B">
        <w:t xml:space="preserve">, where knowledge and </w:t>
      </w:r>
      <w:r w:rsidR="00292A9B">
        <w:t>fallibility</w:t>
      </w:r>
      <w:r w:rsidR="00920E4C">
        <w:t xml:space="preserve"> </w:t>
      </w:r>
      <w:proofErr w:type="gramStart"/>
      <w:r w:rsidR="00920E4C">
        <w:t xml:space="preserve">are </w:t>
      </w:r>
      <w:r w:rsidR="0058359B">
        <w:t>seen</w:t>
      </w:r>
      <w:proofErr w:type="gramEnd"/>
      <w:r w:rsidR="0058359B">
        <w:t xml:space="preserve"> as compatible. </w:t>
      </w:r>
      <w:r w:rsidR="004D4CD1">
        <w:t xml:space="preserve">In arguing against the disconnect between certainty and knowledge, Unger </w:t>
      </w:r>
      <w:r w:rsidR="00242B22">
        <w:t xml:space="preserve">(1971, p. 216) </w:t>
      </w:r>
      <w:r w:rsidR="004D4CD1">
        <w:t xml:space="preserve">brings attention to how we talk </w:t>
      </w:r>
      <w:r w:rsidR="00242B22">
        <w:t xml:space="preserve">about having knowledge—hoping to draw a contradiction in asserting one has knowledge while denying one has certainty. An example he gives is that of saying “He really </w:t>
      </w:r>
      <w:r w:rsidR="00242B22" w:rsidRPr="00242B22">
        <w:rPr>
          <w:i/>
        </w:rPr>
        <w:t>knows</w:t>
      </w:r>
      <w:r w:rsidR="00242B22">
        <w:t xml:space="preserve"> that it is raining, but he isn't actually </w:t>
      </w:r>
      <w:r w:rsidR="00242B22" w:rsidRPr="00242B22">
        <w:rPr>
          <w:i/>
        </w:rPr>
        <w:t>certain</w:t>
      </w:r>
      <w:r w:rsidR="00242B22">
        <w:rPr>
          <w:i/>
        </w:rPr>
        <w:t xml:space="preserve"> </w:t>
      </w:r>
      <w:r w:rsidR="00242B22">
        <w:t>of it.”</w:t>
      </w:r>
    </w:p>
    <w:p w:rsidR="006D25C9" w:rsidRPr="00242B22" w:rsidRDefault="00EA1DAE" w:rsidP="00A1135C">
      <w:pPr>
        <w:spacing w:before="240" w:after="240"/>
      </w:pPr>
      <w:r>
        <w:t xml:space="preserve">Therefore, </w:t>
      </w:r>
      <w:r w:rsidR="00EE7C58">
        <w:rPr>
          <w:rFonts w:hint="eastAsia"/>
        </w:rPr>
        <w:t>Unger</w:t>
      </w:r>
      <w:r w:rsidR="00EE7C58">
        <w:t>’s case for skepticism rests on the</w:t>
      </w:r>
      <w:r>
        <w:t xml:space="preserve"> failings of the</w:t>
      </w:r>
      <w:r w:rsidR="00EE7C58">
        <w:t xml:space="preserve"> “traditional view.” </w:t>
      </w:r>
      <w:r w:rsidR="006D25C9">
        <w:rPr>
          <w:rFonts w:hint="eastAsia"/>
        </w:rPr>
        <w:t xml:space="preserve">Interestingly enough, </w:t>
      </w:r>
      <w:r w:rsidR="004D743B">
        <w:t xml:space="preserve">if one were to deviate from the traditional view and opt for a form of </w:t>
      </w:r>
      <w:proofErr w:type="spellStart"/>
      <w:r w:rsidR="004D743B">
        <w:t>fallibilism</w:t>
      </w:r>
      <w:proofErr w:type="spellEnd"/>
      <w:r w:rsidR="004D743B">
        <w:t xml:space="preserve">, then </w:t>
      </w:r>
      <w:r w:rsidR="006D25C9">
        <w:rPr>
          <w:rFonts w:hint="eastAsia"/>
        </w:rPr>
        <w:t>thi</w:t>
      </w:r>
      <w:r w:rsidR="006D6442">
        <w:t xml:space="preserve">s can be connected to the earlier discussed </w:t>
      </w:r>
      <w:proofErr w:type="spellStart"/>
      <w:r w:rsidR="006D6442">
        <w:t>Gettier</w:t>
      </w:r>
      <w:proofErr w:type="spellEnd"/>
      <w:r w:rsidR="006D6442">
        <w:t xml:space="preserve"> problem, in that “it has been argued that the </w:t>
      </w:r>
      <w:proofErr w:type="spellStart"/>
      <w:r w:rsidR="006D6442">
        <w:t>Gettier</w:t>
      </w:r>
      <w:proofErr w:type="spellEnd"/>
      <w:r w:rsidR="006D6442">
        <w:t xml:space="preserve"> problem cannot be solved and that </w:t>
      </w:r>
      <w:proofErr w:type="spellStart"/>
      <w:r w:rsidR="006D6442">
        <w:t>fallibilism</w:t>
      </w:r>
      <w:proofErr w:type="spellEnd"/>
      <w:r w:rsidR="006D6442">
        <w:t xml:space="preserve"> will always bring with it a problematic kind of accidental success” (Reed 2012, p. 588). </w:t>
      </w:r>
      <w:r w:rsidR="002D3CA9">
        <w:t>In other words,</w:t>
      </w:r>
      <w:r w:rsidR="0045721B">
        <w:t xml:space="preserve"> there is a </w:t>
      </w:r>
      <w:r w:rsidR="00A1135C">
        <w:t>concern</w:t>
      </w:r>
      <w:r w:rsidR="0045721B">
        <w:t xml:space="preserve"> that an acceptance of </w:t>
      </w:r>
      <w:proofErr w:type="spellStart"/>
      <w:r w:rsidR="0045721B">
        <w:t>fallibilism</w:t>
      </w:r>
      <w:proofErr w:type="spellEnd"/>
      <w:r w:rsidR="0045721B">
        <w:t xml:space="preserve"> would admit to allowing chance to </w:t>
      </w:r>
      <w:r w:rsidR="00A1135C">
        <w:t>constitute</w:t>
      </w:r>
      <w:r w:rsidR="0045721B">
        <w:t xml:space="preserve"> a part in knowledge (Pritchard </w:t>
      </w:r>
      <w:r w:rsidR="00A1135C">
        <w:t>2005).</w:t>
      </w:r>
      <w:r w:rsidR="00C929BD">
        <w:t xml:space="preserve"> </w:t>
      </w:r>
      <w:proofErr w:type="gramStart"/>
      <w:r w:rsidR="00C929BD">
        <w:t xml:space="preserve">The problem of epistemic luck in knowledge is </w:t>
      </w:r>
      <w:r w:rsidR="00B83DA5">
        <w:t>discussed by Unger (1968) elsewhere</w:t>
      </w:r>
      <w:proofErr w:type="gramEnd"/>
      <w:r w:rsidR="00B83DA5">
        <w:t xml:space="preserve">. That said, the luck Unger seemingly addresses is that </w:t>
      </w:r>
      <w:r w:rsidR="00BD2762">
        <w:t>of luck of a “benign epistemic luck” (Pritchard 2005, p. 137) that has no bearing on whether one has knowledge, but, rather, whether one is luckily enough to be in a position of acquiring knowledge.</w:t>
      </w:r>
      <w:r w:rsidR="0045721B">
        <w:t xml:space="preserve"> </w:t>
      </w:r>
      <w:r w:rsidR="00B83DA5">
        <w:t>Regardless</w:t>
      </w:r>
      <w:r w:rsidR="002D3CA9">
        <w:t xml:space="preserve">, a form of </w:t>
      </w:r>
      <w:proofErr w:type="spellStart"/>
      <w:r w:rsidR="002D3CA9">
        <w:t>fallibilism</w:t>
      </w:r>
      <w:proofErr w:type="spellEnd"/>
      <w:r w:rsidR="002D3CA9">
        <w:t xml:space="preserve"> may necessarily undercut Unger’</w:t>
      </w:r>
      <w:r w:rsidR="00C44147">
        <w:t>s skepticism, but it could be at the cost of not giving a satisfactory account of knowledge.</w:t>
      </w:r>
    </w:p>
    <w:p w:rsidR="0058359B" w:rsidRPr="007E0695" w:rsidRDefault="00A17165" w:rsidP="008818BF">
      <w:pPr>
        <w:spacing w:after="240"/>
      </w:pPr>
      <w:r>
        <w:t xml:space="preserve">In closing, </w:t>
      </w:r>
      <w:r w:rsidR="0058359B">
        <w:t xml:space="preserve">Unger gives an interesting argument for skepticism that seemingly gives a direct response to philosophers like Moore. </w:t>
      </w:r>
      <w:r w:rsidR="008C7C15">
        <w:t xml:space="preserve">However, </w:t>
      </w:r>
      <w:r w:rsidR="00292A9B">
        <w:t xml:space="preserve">I believe Unger’s (1971, p. 214) </w:t>
      </w:r>
      <w:r w:rsidR="00F526E1">
        <w:t>case for skepticism should go</w:t>
      </w:r>
      <w:r w:rsidR="00292A9B">
        <w:t xml:space="preserve"> beyond analyzing the “loosely, charitably, and casually” way we normally talk, as Unger seems to diagnose the confusion (and postulation) of non-skepticism on the misuse of language.</w:t>
      </w:r>
      <w:r w:rsidR="00F526E1">
        <w:t xml:space="preserve"> Most notably, I believe a sustained criticism of </w:t>
      </w:r>
      <w:proofErr w:type="spellStart"/>
      <w:r w:rsidR="00F526E1">
        <w:t>fallibilism</w:t>
      </w:r>
      <w:proofErr w:type="spellEnd"/>
      <w:r w:rsidR="00F526E1">
        <w:t xml:space="preserve"> </w:t>
      </w:r>
      <w:proofErr w:type="gramStart"/>
      <w:r w:rsidR="00F526E1">
        <w:t>is need</w:t>
      </w:r>
      <w:r w:rsidR="008C492F">
        <w:t>ed</w:t>
      </w:r>
      <w:proofErr w:type="gramEnd"/>
      <w:r w:rsidR="008C492F">
        <w:t xml:space="preserve"> to bolster Unger’s position.</w:t>
      </w:r>
      <w:r w:rsidR="002D3CA9">
        <w:t xml:space="preserve"> Without such critique, there remains a concern for the skeptic that, while the traditional view of knowledge is flawed, this, in itself, does not vindicate skepticism.</w:t>
      </w:r>
    </w:p>
    <w:p w:rsidR="008818BF" w:rsidRDefault="008818BF" w:rsidP="008818BF">
      <w:pPr>
        <w:spacing w:after="240"/>
      </w:pPr>
      <w:r>
        <w:lastRenderedPageBreak/>
        <w:t>Word count:</w:t>
      </w:r>
      <w:r w:rsidR="00BD2762">
        <w:t xml:space="preserve"> 800</w:t>
      </w:r>
    </w:p>
    <w:p w:rsidR="00E90D0F" w:rsidRPr="00E90D0F" w:rsidRDefault="00E90D0F" w:rsidP="008818BF">
      <w:pPr>
        <w:spacing w:after="240"/>
        <w:rPr>
          <w:b/>
        </w:rPr>
      </w:pPr>
      <w:r w:rsidRPr="00E90D0F">
        <w:rPr>
          <w:b/>
        </w:rPr>
        <w:t>References</w:t>
      </w:r>
    </w:p>
    <w:p w:rsidR="00E90D0F" w:rsidRDefault="00E90D0F" w:rsidP="00E90D0F">
      <w:pPr>
        <w:spacing w:after="240"/>
        <w:jc w:val="left"/>
      </w:pPr>
      <w:r>
        <w:t xml:space="preserve">Baron Reed 2012 </w:t>
      </w:r>
      <w:proofErr w:type="spellStart"/>
      <w:r>
        <w:t>Falliblism</w:t>
      </w:r>
      <w:proofErr w:type="spellEnd"/>
      <w:r>
        <w:t xml:space="preserve"> Philosophy Compass</w:t>
      </w:r>
    </w:p>
    <w:p w:rsidR="00E90D0F" w:rsidRDefault="00E90D0F" w:rsidP="00E90D0F">
      <w:pPr>
        <w:spacing w:after="240"/>
        <w:jc w:val="left"/>
      </w:pPr>
      <w:proofErr w:type="spellStart"/>
      <w:r>
        <w:t>Gettier</w:t>
      </w:r>
      <w:proofErr w:type="spellEnd"/>
    </w:p>
    <w:p w:rsidR="00A1135C" w:rsidRDefault="00A1135C" w:rsidP="00E90D0F">
      <w:pPr>
        <w:spacing w:after="240"/>
        <w:jc w:val="left"/>
      </w:pPr>
      <w:r>
        <w:t>Duncan Pritchard Epistemic Luck 2005</w:t>
      </w:r>
    </w:p>
    <w:p w:rsidR="00614B24" w:rsidRPr="00E90D0F" w:rsidRDefault="00614B24" w:rsidP="00E90D0F">
      <w:pPr>
        <w:spacing w:after="240"/>
        <w:jc w:val="left"/>
        <w:rPr>
          <w:rFonts w:hint="eastAsia"/>
        </w:rPr>
      </w:pPr>
      <w:r>
        <w:t xml:space="preserve">Peter Unger 1968 </w:t>
      </w:r>
      <w:proofErr w:type="gramStart"/>
      <w:r>
        <w:t>An</w:t>
      </w:r>
      <w:proofErr w:type="gramEnd"/>
      <w:r>
        <w:t xml:space="preserve"> </w:t>
      </w:r>
      <w:proofErr w:type="spellStart"/>
      <w:r>
        <w:t>Anaylsis</w:t>
      </w:r>
      <w:proofErr w:type="spellEnd"/>
      <w:r>
        <w:t xml:space="preserve"> of Factual Knowledge</w:t>
      </w:r>
    </w:p>
    <w:p w:rsidR="00773603" w:rsidRDefault="008818BF" w:rsidP="00AD7A0C">
      <w:pPr>
        <w:pBdr>
          <w:top w:val="single" w:sz="4" w:space="1" w:color="auto"/>
        </w:pBdr>
        <w:spacing w:after="240"/>
        <w:jc w:val="left"/>
      </w:pPr>
      <w:r>
        <w:t>Word count (excluding references and titles):</w:t>
      </w:r>
    </w:p>
    <w:p w:rsidR="008818BF" w:rsidRDefault="008818BF" w:rsidP="008818BF">
      <w:pPr>
        <w:spacing w:after="240"/>
        <w:jc w:val="left"/>
      </w:pPr>
      <w:r>
        <w:t xml:space="preserve">Andrew </w:t>
      </w:r>
      <w:proofErr w:type="spellStart"/>
      <w:r>
        <w:t>Nesseler</w:t>
      </w:r>
      <w:proofErr w:type="spellEnd"/>
      <w:r w:rsidR="003A15B1">
        <w:t xml:space="preserve"> </w:t>
      </w:r>
      <w:r w:rsidR="003A15B1" w:rsidRPr="003A15B1">
        <w:t>– Student No. 2236167</w:t>
      </w:r>
    </w:p>
    <w:p w:rsidR="008818BF" w:rsidRPr="008818BF" w:rsidRDefault="008C492F" w:rsidP="008818BF">
      <w:pPr>
        <w:spacing w:after="240"/>
        <w:jc w:val="left"/>
      </w:pPr>
      <w:r>
        <w:t>Nov</w:t>
      </w:r>
      <w:r w:rsidR="003A15B1">
        <w:t xml:space="preserve">. </w:t>
      </w:r>
      <w:r w:rsidR="00AD7A0C">
        <w:t>10</w:t>
      </w:r>
      <w:r w:rsidR="00AD7A0C" w:rsidRPr="00AD7A0C">
        <w:rPr>
          <w:vertAlign w:val="superscript"/>
        </w:rPr>
        <w:t>th</w:t>
      </w:r>
      <w:r w:rsidR="00371659">
        <w:t>,</w:t>
      </w:r>
      <w:r w:rsidR="00AD7A0C">
        <w:t xml:space="preserve"> </w:t>
      </w:r>
      <w:r w:rsidR="008818BF">
        <w:rPr>
          <w:rFonts w:hint="eastAsia"/>
        </w:rPr>
        <w:t>2023</w:t>
      </w:r>
    </w:p>
    <w:sectPr w:rsidR="008818BF" w:rsidRPr="008818BF">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87F"/>
    <w:rsid w:val="00006B65"/>
    <w:rsid w:val="0001138C"/>
    <w:rsid w:val="0002412E"/>
    <w:rsid w:val="0005184A"/>
    <w:rsid w:val="00064D11"/>
    <w:rsid w:val="00065E6B"/>
    <w:rsid w:val="00073A87"/>
    <w:rsid w:val="0008634F"/>
    <w:rsid w:val="000C267F"/>
    <w:rsid w:val="000D1EE0"/>
    <w:rsid w:val="000D239A"/>
    <w:rsid w:val="000D283A"/>
    <w:rsid w:val="000E59B1"/>
    <w:rsid w:val="000E5F2C"/>
    <w:rsid w:val="000F5AAF"/>
    <w:rsid w:val="000F7195"/>
    <w:rsid w:val="00105FC5"/>
    <w:rsid w:val="0011002C"/>
    <w:rsid w:val="0011708F"/>
    <w:rsid w:val="001329C2"/>
    <w:rsid w:val="00137B41"/>
    <w:rsid w:val="00147F8C"/>
    <w:rsid w:val="0015361D"/>
    <w:rsid w:val="001718B3"/>
    <w:rsid w:val="0018414C"/>
    <w:rsid w:val="001A1E0F"/>
    <w:rsid w:val="001B0645"/>
    <w:rsid w:val="002318AB"/>
    <w:rsid w:val="00241B03"/>
    <w:rsid w:val="00242B22"/>
    <w:rsid w:val="00244736"/>
    <w:rsid w:val="00246F2B"/>
    <w:rsid w:val="002524D2"/>
    <w:rsid w:val="002707AA"/>
    <w:rsid w:val="00274819"/>
    <w:rsid w:val="00292A9B"/>
    <w:rsid w:val="002B4C87"/>
    <w:rsid w:val="002D3CA9"/>
    <w:rsid w:val="00300A4D"/>
    <w:rsid w:val="00310832"/>
    <w:rsid w:val="00316497"/>
    <w:rsid w:val="0031799E"/>
    <w:rsid w:val="00335BE0"/>
    <w:rsid w:val="00371659"/>
    <w:rsid w:val="003731AB"/>
    <w:rsid w:val="003749F6"/>
    <w:rsid w:val="003A15B1"/>
    <w:rsid w:val="003C00CF"/>
    <w:rsid w:val="003C6D82"/>
    <w:rsid w:val="003E1D1A"/>
    <w:rsid w:val="004002EA"/>
    <w:rsid w:val="00412D15"/>
    <w:rsid w:val="0042787F"/>
    <w:rsid w:val="00431973"/>
    <w:rsid w:val="00433B74"/>
    <w:rsid w:val="00433DBA"/>
    <w:rsid w:val="0043646B"/>
    <w:rsid w:val="00446095"/>
    <w:rsid w:val="0045721B"/>
    <w:rsid w:val="004C12F1"/>
    <w:rsid w:val="004C3593"/>
    <w:rsid w:val="004D4CD1"/>
    <w:rsid w:val="004D743B"/>
    <w:rsid w:val="004E575E"/>
    <w:rsid w:val="005073EE"/>
    <w:rsid w:val="00516C2C"/>
    <w:rsid w:val="00552E80"/>
    <w:rsid w:val="00560FFD"/>
    <w:rsid w:val="00565BB3"/>
    <w:rsid w:val="005663CC"/>
    <w:rsid w:val="00575994"/>
    <w:rsid w:val="00580CD5"/>
    <w:rsid w:val="0058359B"/>
    <w:rsid w:val="005852E9"/>
    <w:rsid w:val="00587CA8"/>
    <w:rsid w:val="005C4521"/>
    <w:rsid w:val="005C49F2"/>
    <w:rsid w:val="005C7A8F"/>
    <w:rsid w:val="005F7C52"/>
    <w:rsid w:val="0060529D"/>
    <w:rsid w:val="00614B24"/>
    <w:rsid w:val="006169D5"/>
    <w:rsid w:val="00620C3A"/>
    <w:rsid w:val="00681685"/>
    <w:rsid w:val="006A7A85"/>
    <w:rsid w:val="006B729C"/>
    <w:rsid w:val="006D1365"/>
    <w:rsid w:val="006D25C9"/>
    <w:rsid w:val="006D6442"/>
    <w:rsid w:val="006E0808"/>
    <w:rsid w:val="00726BBD"/>
    <w:rsid w:val="00727748"/>
    <w:rsid w:val="0073097B"/>
    <w:rsid w:val="007419CA"/>
    <w:rsid w:val="007454E3"/>
    <w:rsid w:val="0076670F"/>
    <w:rsid w:val="00772552"/>
    <w:rsid w:val="00773603"/>
    <w:rsid w:val="0077593F"/>
    <w:rsid w:val="007A35F0"/>
    <w:rsid w:val="007C2A2B"/>
    <w:rsid w:val="007D6ED3"/>
    <w:rsid w:val="007E0695"/>
    <w:rsid w:val="00804224"/>
    <w:rsid w:val="00810923"/>
    <w:rsid w:val="008177D6"/>
    <w:rsid w:val="00825930"/>
    <w:rsid w:val="00870148"/>
    <w:rsid w:val="008818BF"/>
    <w:rsid w:val="008C492F"/>
    <w:rsid w:val="008C7C15"/>
    <w:rsid w:val="00914588"/>
    <w:rsid w:val="00920BF9"/>
    <w:rsid w:val="00920E4C"/>
    <w:rsid w:val="00932C07"/>
    <w:rsid w:val="009331BD"/>
    <w:rsid w:val="0099136D"/>
    <w:rsid w:val="009B0F6F"/>
    <w:rsid w:val="009B5FA9"/>
    <w:rsid w:val="009B6966"/>
    <w:rsid w:val="009C184F"/>
    <w:rsid w:val="009C47E7"/>
    <w:rsid w:val="009C7574"/>
    <w:rsid w:val="009D0D3D"/>
    <w:rsid w:val="00A1135C"/>
    <w:rsid w:val="00A17165"/>
    <w:rsid w:val="00A46F1C"/>
    <w:rsid w:val="00A47570"/>
    <w:rsid w:val="00A66A82"/>
    <w:rsid w:val="00A757DD"/>
    <w:rsid w:val="00AD7A0C"/>
    <w:rsid w:val="00AE21AF"/>
    <w:rsid w:val="00AE450E"/>
    <w:rsid w:val="00AF7BD0"/>
    <w:rsid w:val="00B000E3"/>
    <w:rsid w:val="00B0467B"/>
    <w:rsid w:val="00B12D8A"/>
    <w:rsid w:val="00B23FC0"/>
    <w:rsid w:val="00B40086"/>
    <w:rsid w:val="00B43B36"/>
    <w:rsid w:val="00B56CC2"/>
    <w:rsid w:val="00B83DA5"/>
    <w:rsid w:val="00BC3CA3"/>
    <w:rsid w:val="00BD2762"/>
    <w:rsid w:val="00BD4D46"/>
    <w:rsid w:val="00BE2D78"/>
    <w:rsid w:val="00BF0837"/>
    <w:rsid w:val="00BF1E45"/>
    <w:rsid w:val="00C153F6"/>
    <w:rsid w:val="00C44147"/>
    <w:rsid w:val="00C73023"/>
    <w:rsid w:val="00C929BD"/>
    <w:rsid w:val="00C9609B"/>
    <w:rsid w:val="00CB67BF"/>
    <w:rsid w:val="00CF092F"/>
    <w:rsid w:val="00CF212D"/>
    <w:rsid w:val="00D04CFF"/>
    <w:rsid w:val="00D257DB"/>
    <w:rsid w:val="00D362CD"/>
    <w:rsid w:val="00D40453"/>
    <w:rsid w:val="00D76FC8"/>
    <w:rsid w:val="00DA2FF4"/>
    <w:rsid w:val="00DC22A3"/>
    <w:rsid w:val="00DD5355"/>
    <w:rsid w:val="00DD5607"/>
    <w:rsid w:val="00DD64F9"/>
    <w:rsid w:val="00E152A5"/>
    <w:rsid w:val="00E26136"/>
    <w:rsid w:val="00E30D16"/>
    <w:rsid w:val="00E4228E"/>
    <w:rsid w:val="00E536C1"/>
    <w:rsid w:val="00E65C3D"/>
    <w:rsid w:val="00E90D0F"/>
    <w:rsid w:val="00E9401B"/>
    <w:rsid w:val="00EA1DAE"/>
    <w:rsid w:val="00EA5678"/>
    <w:rsid w:val="00EB377E"/>
    <w:rsid w:val="00EB6750"/>
    <w:rsid w:val="00EE7C58"/>
    <w:rsid w:val="00EF066C"/>
    <w:rsid w:val="00EF58EE"/>
    <w:rsid w:val="00F022E7"/>
    <w:rsid w:val="00F04DC5"/>
    <w:rsid w:val="00F05207"/>
    <w:rsid w:val="00F11A81"/>
    <w:rsid w:val="00F125C0"/>
    <w:rsid w:val="00F14FC3"/>
    <w:rsid w:val="00F309FE"/>
    <w:rsid w:val="00F473BB"/>
    <w:rsid w:val="00F526E1"/>
    <w:rsid w:val="00FB6F16"/>
    <w:rsid w:val="00FE23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A43016"/>
  <w15:chartTrackingRefBased/>
  <w15:docId w15:val="{860CF840-37A7-44C8-A475-D4A5A8078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721341">
      <w:bodyDiv w:val="1"/>
      <w:marLeft w:val="0"/>
      <w:marRight w:val="0"/>
      <w:marTop w:val="0"/>
      <w:marBottom w:val="0"/>
      <w:divBdr>
        <w:top w:val="none" w:sz="0" w:space="0" w:color="auto"/>
        <w:left w:val="none" w:sz="0" w:space="0" w:color="auto"/>
        <w:bottom w:val="none" w:sz="0" w:space="0" w:color="auto"/>
        <w:right w:val="none" w:sz="0" w:space="0" w:color="auto"/>
      </w:divBdr>
      <w:divsChild>
        <w:div w:id="1452631304">
          <w:marLeft w:val="0"/>
          <w:marRight w:val="0"/>
          <w:marTop w:val="0"/>
          <w:marBottom w:val="0"/>
          <w:divBdr>
            <w:top w:val="none" w:sz="0" w:space="0" w:color="auto"/>
            <w:left w:val="none" w:sz="0" w:space="0" w:color="auto"/>
            <w:bottom w:val="none" w:sz="0" w:space="0" w:color="auto"/>
            <w:right w:val="none" w:sz="0" w:space="0" w:color="auto"/>
          </w:divBdr>
        </w:div>
        <w:div w:id="422146771">
          <w:marLeft w:val="0"/>
          <w:marRight w:val="0"/>
          <w:marTop w:val="0"/>
          <w:marBottom w:val="0"/>
          <w:divBdr>
            <w:top w:val="none" w:sz="0" w:space="0" w:color="auto"/>
            <w:left w:val="none" w:sz="0" w:space="0" w:color="auto"/>
            <w:bottom w:val="none" w:sz="0" w:space="0" w:color="auto"/>
            <w:right w:val="none" w:sz="0" w:space="0" w:color="auto"/>
          </w:divBdr>
        </w:div>
      </w:divsChild>
    </w:div>
    <w:div w:id="1676759787">
      <w:bodyDiv w:val="1"/>
      <w:marLeft w:val="0"/>
      <w:marRight w:val="0"/>
      <w:marTop w:val="0"/>
      <w:marBottom w:val="0"/>
      <w:divBdr>
        <w:top w:val="none" w:sz="0" w:space="0" w:color="auto"/>
        <w:left w:val="none" w:sz="0" w:space="0" w:color="auto"/>
        <w:bottom w:val="none" w:sz="0" w:space="0" w:color="auto"/>
        <w:right w:val="none" w:sz="0" w:space="0" w:color="auto"/>
      </w:divBdr>
      <w:divsChild>
        <w:div w:id="8609517">
          <w:marLeft w:val="0"/>
          <w:marRight w:val="0"/>
          <w:marTop w:val="0"/>
          <w:marBottom w:val="0"/>
          <w:divBdr>
            <w:top w:val="none" w:sz="0" w:space="0" w:color="auto"/>
            <w:left w:val="none" w:sz="0" w:space="0" w:color="auto"/>
            <w:bottom w:val="none" w:sz="0" w:space="0" w:color="auto"/>
            <w:right w:val="none" w:sz="0" w:space="0" w:color="auto"/>
          </w:divBdr>
          <w:divsChild>
            <w:div w:id="1736508364">
              <w:marLeft w:val="0"/>
              <w:marRight w:val="0"/>
              <w:marTop w:val="0"/>
              <w:marBottom w:val="0"/>
              <w:divBdr>
                <w:top w:val="none" w:sz="0" w:space="0" w:color="auto"/>
                <w:left w:val="none" w:sz="0" w:space="0" w:color="auto"/>
                <w:bottom w:val="none" w:sz="0" w:space="0" w:color="auto"/>
                <w:right w:val="none" w:sz="0" w:space="0" w:color="auto"/>
              </w:divBdr>
            </w:div>
            <w:div w:id="804279655">
              <w:marLeft w:val="0"/>
              <w:marRight w:val="0"/>
              <w:marTop w:val="0"/>
              <w:marBottom w:val="0"/>
              <w:divBdr>
                <w:top w:val="none" w:sz="0" w:space="0" w:color="auto"/>
                <w:left w:val="none" w:sz="0" w:space="0" w:color="auto"/>
                <w:bottom w:val="none" w:sz="0" w:space="0" w:color="auto"/>
                <w:right w:val="none" w:sz="0" w:space="0" w:color="auto"/>
              </w:divBdr>
            </w:div>
          </w:divsChild>
        </w:div>
        <w:div w:id="1710954947">
          <w:marLeft w:val="0"/>
          <w:marRight w:val="0"/>
          <w:marTop w:val="0"/>
          <w:marBottom w:val="0"/>
          <w:divBdr>
            <w:top w:val="none" w:sz="0" w:space="0" w:color="auto"/>
            <w:left w:val="none" w:sz="0" w:space="0" w:color="auto"/>
            <w:bottom w:val="none" w:sz="0" w:space="0" w:color="auto"/>
            <w:right w:val="none" w:sz="0" w:space="0" w:color="auto"/>
          </w:divBdr>
          <w:divsChild>
            <w:div w:id="903948257">
              <w:marLeft w:val="0"/>
              <w:marRight w:val="0"/>
              <w:marTop w:val="0"/>
              <w:marBottom w:val="0"/>
              <w:divBdr>
                <w:top w:val="none" w:sz="0" w:space="0" w:color="auto"/>
                <w:left w:val="none" w:sz="0" w:space="0" w:color="auto"/>
                <w:bottom w:val="none" w:sz="0" w:space="0" w:color="auto"/>
                <w:right w:val="none" w:sz="0" w:space="0" w:color="auto"/>
              </w:divBdr>
              <w:divsChild>
                <w:div w:id="1487357637">
                  <w:marLeft w:val="0"/>
                  <w:marRight w:val="0"/>
                  <w:marTop w:val="0"/>
                  <w:marBottom w:val="0"/>
                  <w:divBdr>
                    <w:top w:val="none" w:sz="0" w:space="0" w:color="auto"/>
                    <w:left w:val="none" w:sz="0" w:space="0" w:color="auto"/>
                    <w:bottom w:val="none" w:sz="0" w:space="0" w:color="auto"/>
                    <w:right w:val="none" w:sz="0" w:space="0" w:color="auto"/>
                  </w:divBdr>
                </w:div>
                <w:div w:id="155918366">
                  <w:marLeft w:val="0"/>
                  <w:marRight w:val="0"/>
                  <w:marTop w:val="0"/>
                  <w:marBottom w:val="0"/>
                  <w:divBdr>
                    <w:top w:val="none" w:sz="0" w:space="0" w:color="auto"/>
                    <w:left w:val="none" w:sz="0" w:space="0" w:color="auto"/>
                    <w:bottom w:val="none" w:sz="0" w:space="0" w:color="auto"/>
                    <w:right w:val="none" w:sz="0" w:space="0" w:color="auto"/>
                  </w:divBdr>
                </w:div>
                <w:div w:id="50089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1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3681</TotalTime>
  <Pages>7</Pages>
  <Words>2558</Words>
  <Characters>14586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185</cp:revision>
  <dcterms:created xsi:type="dcterms:W3CDTF">2023-09-20T02:44:00Z</dcterms:created>
  <dcterms:modified xsi:type="dcterms:W3CDTF">2023-11-06T07:51:00Z</dcterms:modified>
</cp:coreProperties>
</file>