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1302083"/>
        <w:docPartObj>
          <w:docPartGallery w:val="Cover Pages"/>
          <w:docPartUnique/>
        </w:docPartObj>
      </w:sdtPr>
      <w:sdtEndPr>
        <w:rPr>
          <w:rFonts w:ascii="Arial" w:hAnsi="Arial" w:cs="Arial"/>
        </w:rPr>
      </w:sdtEndPr>
      <w:sdtContent>
        <w:p w14:paraId="269C87A7" w14:textId="2A91FD9B" w:rsidR="005B7444" w:rsidRDefault="005B7444"/>
        <w:p w14:paraId="31D62ECA" w14:textId="4C9DAE0C" w:rsidR="005B7444" w:rsidRDefault="005B7444">
          <w:pPr>
            <w:rPr>
              <w:rFonts w:ascii="Arial" w:hAnsi="Arial" w:cs="Arial"/>
            </w:rPr>
          </w:pPr>
          <w:r>
            <w:rPr>
              <w:noProof/>
            </w:rPr>
            <mc:AlternateContent>
              <mc:Choice Requires="wps">
                <w:drawing>
                  <wp:anchor distT="0" distB="0" distL="114300" distR="114300" simplePos="0" relativeHeight="251662336" behindDoc="0" locked="0" layoutInCell="1" allowOverlap="1" wp14:anchorId="2BAEC5B5" wp14:editId="6AE38AD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6FC807ED" w14:textId="174605FC" w:rsidR="005B7444" w:rsidRPr="005B7444" w:rsidRDefault="005B7444">
                                    <w:pPr>
                                      <w:pStyle w:val="NoSpacing"/>
                                      <w:jc w:val="right"/>
                                      <w:rPr>
                                        <w:rFonts w:ascii="Arial Black" w:hAnsi="Arial Black"/>
                                        <w:caps/>
                                        <w:color w:val="0A1D30" w:themeColor="text2" w:themeShade="BF"/>
                                        <w:sz w:val="40"/>
                                        <w:szCs w:val="40"/>
                                      </w:rPr>
                                    </w:pPr>
                                    <w:r w:rsidRPr="005B7444">
                                      <w:rPr>
                                        <w:rFonts w:ascii="Arial Black" w:hAnsi="Arial Black"/>
                                        <w:caps/>
                                        <w:color w:val="0A1D30" w:themeColor="text2" w:themeShade="BF"/>
                                        <w:sz w:val="40"/>
                                        <w:szCs w:val="40"/>
                                      </w:rPr>
                                      <w:t>December 5,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BAEC5B5"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6FC807ED" w14:textId="174605FC" w:rsidR="005B7444" w:rsidRPr="005B7444" w:rsidRDefault="005B7444">
                              <w:pPr>
                                <w:pStyle w:val="NoSpacing"/>
                                <w:jc w:val="right"/>
                                <w:rPr>
                                  <w:rFonts w:ascii="Arial Black" w:hAnsi="Arial Black"/>
                                  <w:caps/>
                                  <w:color w:val="0A1D30" w:themeColor="text2" w:themeShade="BF"/>
                                  <w:sz w:val="40"/>
                                  <w:szCs w:val="40"/>
                                </w:rPr>
                              </w:pPr>
                              <w:r w:rsidRPr="005B7444">
                                <w:rPr>
                                  <w:rFonts w:ascii="Arial Black" w:hAnsi="Arial Black"/>
                                  <w:caps/>
                                  <w:color w:val="0A1D30" w:themeColor="text2" w:themeShade="BF"/>
                                  <w:sz w:val="40"/>
                                  <w:szCs w:val="40"/>
                                </w:rPr>
                                <w:t>December 5,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615810D" wp14:editId="4164CBD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B955B" w14:textId="5F07E007" w:rsidR="005B7444" w:rsidRPr="005B7444" w:rsidRDefault="005B7444" w:rsidP="005B7444">
                                <w:pPr>
                                  <w:pStyle w:val="NoSpacing"/>
                                  <w:jc w:val="right"/>
                                  <w:rPr>
                                    <w:rFonts w:ascii="Arial Black" w:hAnsi="Arial Black"/>
                                    <w:caps/>
                                    <w:color w:val="0A1D30" w:themeColor="text2" w:themeShade="BF"/>
                                    <w:sz w:val="52"/>
                                    <w:szCs w:val="52"/>
                                    <w:u w:val="double"/>
                                  </w:rPr>
                                </w:pPr>
                                <w:sdt>
                                  <w:sdtPr>
                                    <w:rPr>
                                      <w:rFonts w:ascii="Arial Black" w:hAnsi="Arial Black"/>
                                      <w:caps/>
                                      <w:color w:val="0A1D30" w:themeColor="text2" w:themeShade="BF"/>
                                      <w:sz w:val="52"/>
                                      <w:szCs w:val="52"/>
                                      <w:u w:val="doub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B7444">
                                      <w:rPr>
                                        <w:rFonts w:ascii="Arial Black" w:hAnsi="Arial Black"/>
                                        <w:caps/>
                                        <w:color w:val="0A1D30" w:themeColor="text2" w:themeShade="BF"/>
                                        <w:sz w:val="52"/>
                                        <w:szCs w:val="52"/>
                                        <w:u w:val="double"/>
                                      </w:rPr>
                                      <w:t>Assignment 1</w:t>
                                    </w:r>
                                    <w:r w:rsidRPr="005B7444">
                                      <w:rPr>
                                        <w:rFonts w:ascii="Arial Black" w:hAnsi="Arial Black"/>
                                        <w:caps/>
                                        <w:color w:val="0A1D30" w:themeColor="text2" w:themeShade="BF"/>
                                        <w:sz w:val="52"/>
                                        <w:szCs w:val="52"/>
                                        <w:u w:val="double"/>
                                      </w:rPr>
                                      <w:br/>
                                    </w:r>
                                    <w:r w:rsidRPr="005B7444">
                                      <w:rPr>
                                        <w:rFonts w:ascii="Arial Black" w:hAnsi="Arial Black"/>
                                        <w:caps/>
                                        <w:color w:val="0A1D30" w:themeColor="text2" w:themeShade="BF"/>
                                        <w:sz w:val="52"/>
                                        <w:szCs w:val="52"/>
                                        <w:u w:val="double"/>
                                      </w:rPr>
                                      <w:t>Essay; StitchCo</w:t>
                                    </w:r>
                                  </w:sdtContent>
                                </w:sdt>
                              </w:p>
                              <w:sdt>
                                <w:sdtPr>
                                  <w:rPr>
                                    <w:rFonts w:ascii="Arial Black" w:hAnsi="Arial Black"/>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15DA131" w14:textId="32767622" w:rsidR="005B7444" w:rsidRPr="005B7444" w:rsidRDefault="005B7444" w:rsidP="005B7444">
                                    <w:pPr>
                                      <w:pStyle w:val="NoSpacing"/>
                                      <w:jc w:val="center"/>
                                      <w:rPr>
                                        <w:rFonts w:ascii="Arial Black" w:hAnsi="Arial Black"/>
                                        <w:smallCaps/>
                                        <w:color w:val="0E2841" w:themeColor="text2"/>
                                        <w:sz w:val="36"/>
                                        <w:szCs w:val="36"/>
                                      </w:rPr>
                                    </w:pPr>
                                    <w:r w:rsidRPr="005B7444">
                                      <w:rPr>
                                        <w:rFonts w:ascii="Arial Black" w:hAnsi="Arial Black"/>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615810D"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32BB955B" w14:textId="5F07E007" w:rsidR="005B7444" w:rsidRPr="005B7444" w:rsidRDefault="005B7444" w:rsidP="005B7444">
                          <w:pPr>
                            <w:pStyle w:val="NoSpacing"/>
                            <w:jc w:val="right"/>
                            <w:rPr>
                              <w:rFonts w:ascii="Arial Black" w:hAnsi="Arial Black"/>
                              <w:caps/>
                              <w:color w:val="0A1D30" w:themeColor="text2" w:themeShade="BF"/>
                              <w:sz w:val="52"/>
                              <w:szCs w:val="52"/>
                              <w:u w:val="double"/>
                            </w:rPr>
                          </w:pPr>
                          <w:sdt>
                            <w:sdtPr>
                              <w:rPr>
                                <w:rFonts w:ascii="Arial Black" w:hAnsi="Arial Black"/>
                                <w:caps/>
                                <w:color w:val="0A1D30" w:themeColor="text2" w:themeShade="BF"/>
                                <w:sz w:val="52"/>
                                <w:szCs w:val="52"/>
                                <w:u w:val="doub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B7444">
                                <w:rPr>
                                  <w:rFonts w:ascii="Arial Black" w:hAnsi="Arial Black"/>
                                  <w:caps/>
                                  <w:color w:val="0A1D30" w:themeColor="text2" w:themeShade="BF"/>
                                  <w:sz w:val="52"/>
                                  <w:szCs w:val="52"/>
                                  <w:u w:val="double"/>
                                </w:rPr>
                                <w:t>Assignment 1</w:t>
                              </w:r>
                              <w:r w:rsidRPr="005B7444">
                                <w:rPr>
                                  <w:rFonts w:ascii="Arial Black" w:hAnsi="Arial Black"/>
                                  <w:caps/>
                                  <w:color w:val="0A1D30" w:themeColor="text2" w:themeShade="BF"/>
                                  <w:sz w:val="52"/>
                                  <w:szCs w:val="52"/>
                                  <w:u w:val="double"/>
                                </w:rPr>
                                <w:br/>
                              </w:r>
                              <w:r w:rsidRPr="005B7444">
                                <w:rPr>
                                  <w:rFonts w:ascii="Arial Black" w:hAnsi="Arial Black"/>
                                  <w:caps/>
                                  <w:color w:val="0A1D30" w:themeColor="text2" w:themeShade="BF"/>
                                  <w:sz w:val="52"/>
                                  <w:szCs w:val="52"/>
                                  <w:u w:val="double"/>
                                </w:rPr>
                                <w:t>Essay; StitchCo</w:t>
                              </w:r>
                            </w:sdtContent>
                          </w:sdt>
                        </w:p>
                        <w:sdt>
                          <w:sdtPr>
                            <w:rPr>
                              <w:rFonts w:ascii="Arial Black" w:hAnsi="Arial Black"/>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15DA131" w14:textId="32767622" w:rsidR="005B7444" w:rsidRPr="005B7444" w:rsidRDefault="005B7444" w:rsidP="005B7444">
                              <w:pPr>
                                <w:pStyle w:val="NoSpacing"/>
                                <w:jc w:val="center"/>
                                <w:rPr>
                                  <w:rFonts w:ascii="Arial Black" w:hAnsi="Arial Black"/>
                                  <w:smallCaps/>
                                  <w:color w:val="0E2841" w:themeColor="text2"/>
                                  <w:sz w:val="36"/>
                                  <w:szCs w:val="36"/>
                                </w:rPr>
                              </w:pPr>
                              <w:r w:rsidRPr="005B7444">
                                <w:rPr>
                                  <w:rFonts w:ascii="Arial Black" w:hAnsi="Arial Black"/>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399FCA6" wp14:editId="157E28E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5CD66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Arial" w:hAnsi="Arial" w:cs="Arial"/>
              <w:noProof/>
            </w:rPr>
            <w:drawing>
              <wp:inline distT="0" distB="0" distL="0" distR="0" wp14:anchorId="42216B6F" wp14:editId="3083D561">
                <wp:extent cx="1810385" cy="597535"/>
                <wp:effectExtent l="0" t="0" r="0" b="0"/>
                <wp:docPr id="61336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r>
            <w:rPr>
              <w:rFonts w:ascii="Arial" w:hAnsi="Arial" w:cs="Arial"/>
            </w:rPr>
            <w:br w:type="page"/>
          </w:r>
        </w:p>
      </w:sdtContent>
    </w:sdt>
    <w:p w14:paraId="2F5B496A" w14:textId="578C062F" w:rsidR="004854BA" w:rsidRDefault="006F55AD" w:rsidP="006F55AD">
      <w:pPr>
        <w:spacing w:line="480" w:lineRule="auto"/>
        <w:rPr>
          <w:rFonts w:ascii="Arial" w:hAnsi="Arial" w:cs="Arial"/>
        </w:rPr>
      </w:pPr>
      <w:r w:rsidRPr="006F55AD">
        <w:rPr>
          <w:rFonts w:ascii="Arial" w:hAnsi="Arial" w:cs="Arial"/>
        </w:rPr>
        <w:lastRenderedPageBreak/>
        <w:t xml:space="preserve">StitchCo's move from traditional processes of garment making to </w:t>
      </w:r>
      <w:r w:rsidR="004854BA">
        <w:rPr>
          <w:rFonts w:ascii="Arial" w:hAnsi="Arial" w:cs="Arial"/>
        </w:rPr>
        <w:t>t</w:t>
      </w:r>
      <w:r w:rsidR="004854BA" w:rsidRPr="006F55AD">
        <w:rPr>
          <w:rFonts w:ascii="Arial" w:hAnsi="Arial" w:cs="Arial"/>
        </w:rPr>
        <w:t>echnology-based</w:t>
      </w:r>
      <w:r w:rsidRPr="006F55AD">
        <w:rPr>
          <w:rFonts w:ascii="Arial" w:hAnsi="Arial" w:cs="Arial"/>
        </w:rPr>
        <w:t xml:space="preserve"> manufacturing revealed substantial weaknesses within their organisation</w:t>
      </w:r>
      <w:r w:rsidR="004854BA">
        <w:rPr>
          <w:rFonts w:ascii="Arial" w:hAnsi="Arial" w:cs="Arial"/>
        </w:rPr>
        <w:t xml:space="preserve">. </w:t>
      </w:r>
      <w:r w:rsidRPr="006F55AD">
        <w:rPr>
          <w:rFonts w:ascii="Arial" w:hAnsi="Arial" w:cs="Arial"/>
        </w:rPr>
        <w:t xml:space="preserve">Using a critical case diagnosis as a framework, we can see that identifying failures within the structural, behavioural, cultural, leadership and systemic areas led to StitchCo's challenges. Connecting these failures allows us to see how shutting down an organisation's focus on its technological aspirations misaligned with the company's level of organisational readiness. By looking at the core reasons for discontentment and decreased performance, this </w:t>
      </w:r>
      <w:r w:rsidR="004854BA">
        <w:rPr>
          <w:rFonts w:ascii="Arial" w:hAnsi="Arial" w:cs="Arial"/>
        </w:rPr>
        <w:t>essay</w:t>
      </w:r>
      <w:r w:rsidRPr="006F55AD">
        <w:rPr>
          <w:rFonts w:ascii="Arial" w:hAnsi="Arial" w:cs="Arial"/>
        </w:rPr>
        <w:t xml:space="preserve"> provides the basis for enhancing StitchCo's future readiness for change by improving how they communicate, lead, create culture and develop their employees.</w:t>
      </w:r>
    </w:p>
    <w:p w14:paraId="3B113A20" w14:textId="77777777" w:rsidR="004854BA" w:rsidRDefault="006F55AD" w:rsidP="006F55AD">
      <w:pPr>
        <w:spacing w:line="480" w:lineRule="auto"/>
        <w:rPr>
          <w:rFonts w:ascii="Arial" w:hAnsi="Arial" w:cs="Arial"/>
        </w:rPr>
      </w:pPr>
      <w:r w:rsidRPr="006F55AD">
        <w:rPr>
          <w:rFonts w:ascii="Arial" w:hAnsi="Arial" w:cs="Arial"/>
        </w:rPr>
        <w:t>StitchCo's major structural failure was its abrupt use of automation without properly considering the human aspect of adaptation. A well-structured organisation helps regulate workflow, sets clear expectations and assigns accountability; yet StitchCo introduced highly advanced technological equipment into their environment while still using the same job descriptions that rely on manual task performance. Essentially, the company was asking its employees</w:t>
      </w:r>
      <w:r w:rsidR="004854BA">
        <w:rPr>
          <w:rFonts w:ascii="Arial" w:hAnsi="Arial" w:cs="Arial"/>
        </w:rPr>
        <w:t xml:space="preserve">, </w:t>
      </w:r>
      <w:r w:rsidRPr="006F55AD">
        <w:rPr>
          <w:rFonts w:ascii="Arial" w:hAnsi="Arial" w:cs="Arial"/>
        </w:rPr>
        <w:t>who were being trained to do nothing but repetitive piecework to now operate complex systems and follow new processes and rules. Consequently, the misalignment led to confusion between the two roles, having an impact on performance and output. Research indicates that if an organisation is undergoing a structural shift, the job must also be re-designed and properly identified to provide employees with clarity and alignment, as well as performing effectively during the transformation process.</w:t>
      </w:r>
    </w:p>
    <w:p w14:paraId="594B05ED" w14:textId="61DB7480" w:rsidR="006F55AD" w:rsidRPr="006F55AD" w:rsidRDefault="006F55AD" w:rsidP="006F55AD">
      <w:pPr>
        <w:spacing w:line="480" w:lineRule="auto"/>
        <w:rPr>
          <w:rFonts w:ascii="Arial" w:hAnsi="Arial" w:cs="Arial"/>
        </w:rPr>
      </w:pPr>
      <w:r w:rsidRPr="006F55AD">
        <w:rPr>
          <w:rFonts w:ascii="Arial" w:hAnsi="Arial" w:cs="Arial"/>
        </w:rPr>
        <w:t xml:space="preserve">The behavioural aspects of the organisation also presented barriers to the transition process at StitchCo. Staff have historically developed behaviours around speed and independent repetitive skill sets; therefore, automating processes will require </w:t>
      </w:r>
      <w:r w:rsidRPr="006F55AD">
        <w:rPr>
          <w:rFonts w:ascii="Arial" w:hAnsi="Arial" w:cs="Arial"/>
        </w:rPr>
        <w:lastRenderedPageBreak/>
        <w:t>behavioural orientation changes toward collaboration, problem-solving and adaptability. Unfortunately, to support these changes, there were no established behavioural development or orientation programmes available to the staff.</w:t>
      </w:r>
    </w:p>
    <w:p w14:paraId="6C73FC55" w14:textId="77777777" w:rsidR="004854BA" w:rsidRDefault="006F55AD" w:rsidP="006F55AD">
      <w:pPr>
        <w:spacing w:line="480" w:lineRule="auto"/>
        <w:rPr>
          <w:rFonts w:ascii="Arial" w:hAnsi="Arial" w:cs="Arial"/>
        </w:rPr>
      </w:pPr>
      <w:r w:rsidRPr="006F55AD">
        <w:rPr>
          <w:rFonts w:ascii="Arial" w:hAnsi="Arial" w:cs="Arial"/>
        </w:rPr>
        <w:t xml:space="preserve">Because workers relied on familiar routines which were not compatible with the technological systems, they experienced behavioural inertia. Research indicates that individuals must be behaviourally primed for change through role modelling, positive reinforcements, and specific training (Babu &amp; Kushwaha, 2024). The absence of </w:t>
      </w:r>
      <w:r w:rsidR="004854BA" w:rsidRPr="006F55AD">
        <w:rPr>
          <w:rFonts w:ascii="Arial" w:hAnsi="Arial" w:cs="Arial"/>
        </w:rPr>
        <w:t>behaviourally focused</w:t>
      </w:r>
      <w:r w:rsidRPr="006F55AD">
        <w:rPr>
          <w:rFonts w:ascii="Arial" w:hAnsi="Arial" w:cs="Arial"/>
        </w:rPr>
        <w:t xml:space="preserve"> efforts at StitchCo left employees inadequately equipped to transition into digital workplaces and contributed to continuous resistance to change.</w:t>
      </w:r>
    </w:p>
    <w:p w14:paraId="375A1753" w14:textId="77777777" w:rsidR="000B0903" w:rsidRDefault="006F55AD" w:rsidP="006F55AD">
      <w:pPr>
        <w:spacing w:line="480" w:lineRule="auto"/>
        <w:rPr>
          <w:rFonts w:ascii="Arial" w:hAnsi="Arial" w:cs="Arial"/>
        </w:rPr>
      </w:pPr>
      <w:r w:rsidRPr="006F55AD">
        <w:rPr>
          <w:rFonts w:ascii="Arial" w:hAnsi="Arial" w:cs="Arial"/>
        </w:rPr>
        <w:t xml:space="preserve">Cultural Failure: Cultural factors had a significant impact on employee resistance to change. The culture of StitchCo was predominantly hierarchical, individualistic, and primarily production-based due to piece-rate incentives over the span of several decades. The values associated with culture contrasted starkly with those of the collaborative, learning-oriented approach which are necessary for the utilisation of automated systems. When cultural norms are contradictory to the processes of new systems, employees will revert to familiar cultural values, making it difficult to continually support the change to a new system. The research indicates that as a cultural dichotomous organisation, an organisation must cultivate an evolving culture to promote digital transformation, (Costa &amp; Opare, 2025). Failure to cultivate values of teamwork, experimentation, and flexibility will result in a lack of cultural alignment among employees </w:t>
      </w:r>
      <w:r w:rsidR="000B0903" w:rsidRPr="006F55AD">
        <w:rPr>
          <w:rFonts w:ascii="Arial" w:hAnsi="Arial" w:cs="Arial"/>
        </w:rPr>
        <w:t>about</w:t>
      </w:r>
      <w:r w:rsidRPr="006F55AD">
        <w:rPr>
          <w:rFonts w:ascii="Arial" w:hAnsi="Arial" w:cs="Arial"/>
        </w:rPr>
        <w:t xml:space="preserve"> the requirements needed for automation.</w:t>
      </w:r>
    </w:p>
    <w:p w14:paraId="572F4843" w14:textId="77777777" w:rsidR="000B0903" w:rsidRDefault="006F55AD" w:rsidP="006F55AD">
      <w:pPr>
        <w:spacing w:line="480" w:lineRule="auto"/>
        <w:rPr>
          <w:rFonts w:ascii="Arial" w:hAnsi="Arial" w:cs="Arial"/>
        </w:rPr>
      </w:pPr>
      <w:r w:rsidRPr="006F55AD">
        <w:rPr>
          <w:rFonts w:ascii="Arial" w:hAnsi="Arial" w:cs="Arial"/>
        </w:rPr>
        <w:t xml:space="preserve">Leadership Failure: Leadership failure was another key contributor to the barriers of technology adoption. While the company has claimed they were implementing a distributed leadership model, managers have increasingly removed themselves from </w:t>
      </w:r>
      <w:r w:rsidRPr="006F55AD">
        <w:rPr>
          <w:rFonts w:ascii="Arial" w:hAnsi="Arial" w:cs="Arial"/>
        </w:rPr>
        <w:lastRenderedPageBreak/>
        <w:t>the day-to-day operations and did not provide sufficient guidance or emotional support. For a distributed leadership model to function, there must be active participation, coaching, and involvement in the decision-making processes, none of which were provided to employees. Employees reported feeling abandoned due to the lack of intervention for the resolution of disputes and technical issues. The research supports that during organisational change, effective and appropriate leadership is critical; it must be visible, emotionally intelligent, and responsive to employee needs (</w:t>
      </w:r>
      <w:proofErr w:type="spellStart"/>
      <w:r w:rsidRPr="006F55AD">
        <w:rPr>
          <w:rFonts w:ascii="Arial" w:hAnsi="Arial" w:cs="Arial"/>
        </w:rPr>
        <w:t>Gistituati</w:t>
      </w:r>
      <w:proofErr w:type="spellEnd"/>
      <w:r w:rsidRPr="006F55AD">
        <w:rPr>
          <w:rFonts w:ascii="Arial" w:hAnsi="Arial" w:cs="Arial"/>
        </w:rPr>
        <w:t>, 2025). The lack of visible leadership decreased Psychological Safety and led employees to perceive that the change initiative was chaotic, thereby negatively impacting their trust in management and their sense of belongingness to the organisation.</w:t>
      </w:r>
    </w:p>
    <w:p w14:paraId="000602CF" w14:textId="5EC89FC9" w:rsidR="006F55AD" w:rsidRPr="006F55AD" w:rsidRDefault="006F55AD" w:rsidP="006F55AD">
      <w:pPr>
        <w:spacing w:line="480" w:lineRule="auto"/>
        <w:rPr>
          <w:rFonts w:ascii="Arial" w:hAnsi="Arial" w:cs="Arial"/>
        </w:rPr>
      </w:pPr>
      <w:r w:rsidRPr="006F55AD">
        <w:rPr>
          <w:rFonts w:ascii="Arial" w:hAnsi="Arial" w:cs="Arial"/>
        </w:rPr>
        <w:t xml:space="preserve">System Failures: Organisational systems that define the construct of employee behaviour are a significant contributor to the failure of StitchCo's transition to a digital enterprise. These include policies, rewards, performance metrics, and communication </w:t>
      </w:r>
      <w:r w:rsidR="000B0903" w:rsidRPr="006F55AD">
        <w:rPr>
          <w:rFonts w:ascii="Arial" w:hAnsi="Arial" w:cs="Arial"/>
        </w:rPr>
        <w:t>systems. StitchCo’s</w:t>
      </w:r>
      <w:r w:rsidRPr="006F55AD">
        <w:rPr>
          <w:rFonts w:ascii="Arial" w:hAnsi="Arial" w:cs="Arial"/>
        </w:rPr>
        <w:t xml:space="preserve"> implementation of performance metrics that were tied to pay motivated competition over cooperation among colleagues. The company maximised discontentment and reduced knowledge sharing because it emphasised competition in an environment where collaboration was critical to resolve performance issues with new equipment. As supported by existing research literature, reward systems that do not align with desired behaviours create dysfunctional behaviour during a period of change (</w:t>
      </w:r>
      <w:proofErr w:type="spellStart"/>
      <w:r w:rsidRPr="006F55AD">
        <w:rPr>
          <w:rFonts w:ascii="Arial" w:hAnsi="Arial" w:cs="Arial"/>
        </w:rPr>
        <w:t>Pancasetia</w:t>
      </w:r>
      <w:proofErr w:type="spellEnd"/>
      <w:r w:rsidRPr="006F55AD">
        <w:rPr>
          <w:rFonts w:ascii="Arial" w:hAnsi="Arial" w:cs="Arial"/>
        </w:rPr>
        <w:t xml:space="preserve"> &amp; Rifai, 2025). The emphasis on individual performance reduced team cohesiveness and decreased the opportunity for collective effort that is necessary for an automation effort to be successful.</w:t>
      </w:r>
    </w:p>
    <w:p w14:paraId="01A67860" w14:textId="77777777" w:rsidR="006F55AD" w:rsidRPr="006F55AD" w:rsidRDefault="006F55AD" w:rsidP="006F55AD">
      <w:pPr>
        <w:spacing w:line="480" w:lineRule="auto"/>
        <w:rPr>
          <w:rFonts w:ascii="Arial" w:hAnsi="Arial" w:cs="Arial"/>
        </w:rPr>
      </w:pPr>
    </w:p>
    <w:p w14:paraId="78E5E38F" w14:textId="77777777" w:rsidR="000B0903" w:rsidRDefault="006F55AD" w:rsidP="006F55AD">
      <w:pPr>
        <w:spacing w:line="480" w:lineRule="auto"/>
        <w:rPr>
          <w:rFonts w:ascii="Arial" w:hAnsi="Arial" w:cs="Arial"/>
        </w:rPr>
      </w:pPr>
      <w:r w:rsidRPr="006F55AD">
        <w:rPr>
          <w:rFonts w:ascii="Arial" w:hAnsi="Arial" w:cs="Arial"/>
        </w:rPr>
        <w:lastRenderedPageBreak/>
        <w:t>A primary diagnostic finding relates to the fact that the company did not have an employee development system available within the organisation. The company only provided minimal training believing that employees would have a natural ability to understand and use automated machines once they became familiarised with them. This did not account for the fact that automated machinery is complex from technical and cognitive perspectives. Employees who were not trained in the equipment felt inadequate, fearful and unable to perform their job effectively. Research indicates that providing ongoing and realistic training reduces the barriers to accepting new technology, enables employees to perform at a higher level of competence and improves organisational effectiveness during technology change (Trisnasari et al., 2026). Not investing the necessary resources into comprehensive employee training has had a direct effect on StitchCo's elevated operational error rate and declining output.</w:t>
      </w:r>
    </w:p>
    <w:p w14:paraId="054F4557" w14:textId="2657DA70" w:rsidR="006F55AD" w:rsidRPr="006F55AD" w:rsidRDefault="006F55AD" w:rsidP="006F55AD">
      <w:pPr>
        <w:spacing w:line="480" w:lineRule="auto"/>
        <w:rPr>
          <w:rFonts w:ascii="Arial" w:hAnsi="Arial" w:cs="Arial"/>
        </w:rPr>
      </w:pPr>
      <w:r w:rsidRPr="006F55AD">
        <w:rPr>
          <w:rFonts w:ascii="Arial" w:hAnsi="Arial" w:cs="Arial"/>
        </w:rPr>
        <w:t>Lack of effective communication led to greater organisational weaknesses and increased resistance among employees. Employees were provided with limited, inconsistent communications that did not allow for clarity regarding the rationale for automation, the positive impacts anticipated from automation, or clarification of how automation will change the employees' roles and responsibilities. Due to the lack of communication, an environment was created that resulted in the growth of rumours and fears. High-quality communication is necessary to successfully implement a change and is both an important determinant of successful execution and is the principal factor in influencing employee perception of the change process (</w:t>
      </w:r>
      <w:proofErr w:type="spellStart"/>
      <w:r w:rsidRPr="006F55AD">
        <w:rPr>
          <w:rFonts w:ascii="Arial" w:hAnsi="Arial" w:cs="Arial"/>
        </w:rPr>
        <w:t>Mpuangnan</w:t>
      </w:r>
      <w:proofErr w:type="spellEnd"/>
      <w:r w:rsidRPr="006F55AD">
        <w:rPr>
          <w:rFonts w:ascii="Arial" w:hAnsi="Arial" w:cs="Arial"/>
        </w:rPr>
        <w:t xml:space="preserve"> et al., 2024).</w:t>
      </w:r>
      <w:r w:rsidR="000B0903">
        <w:rPr>
          <w:rFonts w:ascii="Arial" w:hAnsi="Arial" w:cs="Arial"/>
        </w:rPr>
        <w:t xml:space="preserve"> </w:t>
      </w:r>
      <w:r w:rsidRPr="006F55AD">
        <w:rPr>
          <w:rFonts w:ascii="Arial" w:hAnsi="Arial" w:cs="Arial"/>
        </w:rPr>
        <w:t>StitchCo's lack of communication led their employees to feel disassociated, undervalued and emotionally disconnected from the company, ultimately driving more employees to become disengaged from the company itself.</w:t>
      </w:r>
    </w:p>
    <w:p w14:paraId="1C6F605E" w14:textId="77777777" w:rsidR="000B0903" w:rsidRDefault="006F55AD" w:rsidP="006F55AD">
      <w:pPr>
        <w:spacing w:line="480" w:lineRule="auto"/>
        <w:rPr>
          <w:rFonts w:ascii="Arial" w:hAnsi="Arial" w:cs="Arial"/>
        </w:rPr>
      </w:pPr>
      <w:r w:rsidRPr="006F55AD">
        <w:rPr>
          <w:rFonts w:ascii="Arial" w:hAnsi="Arial" w:cs="Arial"/>
        </w:rPr>
        <w:lastRenderedPageBreak/>
        <w:t>Another finding within the diagnostic framework showed that StitchCo lacked emotional support. Due to the disruptive nature of technology on identity, confidence and job security, emotional support and reassurance were missing to ease an employee's fears related to technology. Companies who do not provide for such emotional well-being experience significantly higher employee turnover, burnout and resistance. In reviewing research conducted by the authors on to the importance of a supportive work environment in reducing an employee's emotional strain during periods of disruption (Ramlall et al., 2025); StitchCo's employees were anxious and withdrawn when they needed to feel supported and reassured.</w:t>
      </w:r>
    </w:p>
    <w:p w14:paraId="4126833B" w14:textId="06E7BACF" w:rsidR="006F55AD" w:rsidRPr="006F55AD" w:rsidRDefault="006F55AD" w:rsidP="006F55AD">
      <w:pPr>
        <w:spacing w:line="480" w:lineRule="auto"/>
        <w:rPr>
          <w:rFonts w:ascii="Arial" w:hAnsi="Arial" w:cs="Arial"/>
        </w:rPr>
      </w:pPr>
      <w:r w:rsidRPr="006F55AD">
        <w:rPr>
          <w:rFonts w:ascii="Arial" w:hAnsi="Arial" w:cs="Arial"/>
        </w:rPr>
        <w:t xml:space="preserve">Communication failures on behalf of leaders towards employees has compounded the emotional gulf that existed between the two. Leaders expressed themselves through instruction to employees without engaging in discussions about the directives provided. This has served to reinforce the perception held by employees that they are disconnected and not valued by leaders. Leadership </w:t>
      </w:r>
      <w:r w:rsidR="000B0903" w:rsidRPr="006F55AD">
        <w:rPr>
          <w:rFonts w:ascii="Arial" w:hAnsi="Arial" w:cs="Arial"/>
        </w:rPr>
        <w:t>must</w:t>
      </w:r>
      <w:r w:rsidRPr="006F55AD">
        <w:rPr>
          <w:rFonts w:ascii="Arial" w:hAnsi="Arial" w:cs="Arial"/>
        </w:rPr>
        <w:t xml:space="preserve"> practice relational engagement, which means listening to and empathising with employees' care and developing trust via communication during disruptive change. Research has shown that relational leadership creates psychological resilience, collaborative behaviours and the willingness to learn (</w:t>
      </w:r>
      <w:proofErr w:type="spellStart"/>
      <w:r w:rsidRPr="006F55AD">
        <w:rPr>
          <w:rFonts w:ascii="Arial" w:hAnsi="Arial" w:cs="Arial"/>
        </w:rPr>
        <w:t>Usadolo</w:t>
      </w:r>
      <w:proofErr w:type="spellEnd"/>
      <w:r w:rsidRPr="006F55AD">
        <w:rPr>
          <w:rFonts w:ascii="Arial" w:hAnsi="Arial" w:cs="Arial"/>
        </w:rPr>
        <w:t xml:space="preserve"> and Usadolo, 2025). The performance success of StitchCo was weakened </w:t>
      </w:r>
      <w:r w:rsidR="000B0903" w:rsidRPr="006F55AD">
        <w:rPr>
          <w:rFonts w:ascii="Arial" w:hAnsi="Arial" w:cs="Arial"/>
        </w:rPr>
        <w:t>because of</w:t>
      </w:r>
      <w:r w:rsidRPr="006F55AD">
        <w:rPr>
          <w:rFonts w:ascii="Arial" w:hAnsi="Arial" w:cs="Arial"/>
        </w:rPr>
        <w:t xml:space="preserve"> leaders not engaging with employees on a relational level and the absence of that capacity during the transition to automation.</w:t>
      </w:r>
    </w:p>
    <w:p w14:paraId="5FA8BA0D" w14:textId="77777777" w:rsidR="000B0903" w:rsidRDefault="006F55AD" w:rsidP="006F55AD">
      <w:pPr>
        <w:spacing w:line="480" w:lineRule="auto"/>
        <w:rPr>
          <w:rFonts w:ascii="Arial" w:hAnsi="Arial" w:cs="Arial"/>
        </w:rPr>
      </w:pPr>
      <w:r w:rsidRPr="006F55AD">
        <w:rPr>
          <w:rFonts w:ascii="Arial" w:hAnsi="Arial" w:cs="Arial"/>
        </w:rPr>
        <w:t xml:space="preserve">Another finding was that employees were not included in the decision-making process. Employees were not afforded the opportunity to take part in the planning or evaluation of automation. The advantage of having employees involved in how change is implemented increases their feelings of ownership and reduces </w:t>
      </w:r>
      <w:r w:rsidRPr="006F55AD">
        <w:rPr>
          <w:rFonts w:ascii="Arial" w:hAnsi="Arial" w:cs="Arial"/>
        </w:rPr>
        <w:lastRenderedPageBreak/>
        <w:t xml:space="preserve">resistance. Employees who are included in how change is carried out develop increased feelings of trust, motivation and performance that are necessary for the organisation's success (Rojak, et al., n.d.). The </w:t>
      </w:r>
      <w:r w:rsidR="000B0903" w:rsidRPr="006F55AD">
        <w:rPr>
          <w:rFonts w:ascii="Arial" w:hAnsi="Arial" w:cs="Arial"/>
        </w:rPr>
        <w:t>way</w:t>
      </w:r>
      <w:r w:rsidRPr="006F55AD">
        <w:rPr>
          <w:rFonts w:ascii="Arial" w:hAnsi="Arial" w:cs="Arial"/>
        </w:rPr>
        <w:t xml:space="preserve"> changes were introduced into StitchCo was done from the top down only, which disengaged employees and lowered their moral.</w:t>
      </w:r>
    </w:p>
    <w:p w14:paraId="24015A08" w14:textId="77777777" w:rsidR="000B0903" w:rsidRDefault="006F55AD" w:rsidP="006F55AD">
      <w:pPr>
        <w:spacing w:line="480" w:lineRule="auto"/>
        <w:rPr>
          <w:rFonts w:ascii="Arial" w:hAnsi="Arial" w:cs="Arial"/>
        </w:rPr>
      </w:pPr>
      <w:r w:rsidRPr="006F55AD">
        <w:rPr>
          <w:rFonts w:ascii="Arial" w:hAnsi="Arial" w:cs="Arial"/>
        </w:rPr>
        <w:t>Another area of weakness in StitchCo was the way that the organisation has approached learning. Automated manufacturing systems require organisational experimentation and improvement; however, StitchCo viewed mistakes as failures and not as learning opportunities. Research strongly indicates that the organisation's ability to adapt to a changing digital world relies heavily on how the organisation promotes learning (McGlade and McGlade, 2025). The organisation's practices meant that employees were not encouraged to innovate via automated systems nor develop confidence in using automated systems.</w:t>
      </w:r>
    </w:p>
    <w:p w14:paraId="42D5E4D5" w14:textId="238AEF0C" w:rsidR="006F55AD" w:rsidRPr="006F55AD" w:rsidRDefault="006F55AD" w:rsidP="006F55AD">
      <w:pPr>
        <w:spacing w:line="480" w:lineRule="auto"/>
        <w:rPr>
          <w:rFonts w:ascii="Arial" w:hAnsi="Arial" w:cs="Arial"/>
        </w:rPr>
      </w:pPr>
      <w:r w:rsidRPr="006F55AD">
        <w:rPr>
          <w:rFonts w:ascii="Arial" w:hAnsi="Arial" w:cs="Arial"/>
        </w:rPr>
        <w:t>Another significant issue that was revealed was a problem with conflict management. When various teams began to have conflicts with each other due to problems with unclear expectations and machine issues, there was no intervention by leaders. Conflict that is not addressed at the earliest possible moment escalates, hampers collaboration and creates a negative impact on employee engagement. Research shows that conflict is best resolved by way of mediation and discussion at the earliest opportunity (</w:t>
      </w:r>
      <w:proofErr w:type="spellStart"/>
      <w:r w:rsidRPr="006F55AD">
        <w:rPr>
          <w:rFonts w:ascii="Arial" w:hAnsi="Arial" w:cs="Arial"/>
        </w:rPr>
        <w:t>Opatha</w:t>
      </w:r>
      <w:proofErr w:type="spellEnd"/>
      <w:r w:rsidRPr="006F55AD">
        <w:rPr>
          <w:rFonts w:ascii="Arial" w:hAnsi="Arial" w:cs="Arial"/>
        </w:rPr>
        <w:t>, 2024). Simply put, because StitchCo leadership took a passive approach, many of the initial problems and disagreements that were taking place escalated into serious dysfunctions.</w:t>
      </w:r>
    </w:p>
    <w:p w14:paraId="22B89A92" w14:textId="77777777" w:rsidR="006F55AD" w:rsidRPr="006F55AD" w:rsidRDefault="006F55AD" w:rsidP="006F55AD">
      <w:pPr>
        <w:spacing w:line="480" w:lineRule="auto"/>
        <w:rPr>
          <w:rFonts w:ascii="Arial" w:hAnsi="Arial" w:cs="Arial"/>
        </w:rPr>
      </w:pPr>
    </w:p>
    <w:p w14:paraId="7821E07A" w14:textId="5A50ADE5" w:rsidR="006F55AD" w:rsidRDefault="006F55AD" w:rsidP="006F55AD">
      <w:pPr>
        <w:spacing w:line="480" w:lineRule="auto"/>
        <w:rPr>
          <w:rFonts w:ascii="Arial" w:hAnsi="Arial" w:cs="Arial"/>
        </w:rPr>
      </w:pPr>
      <w:r w:rsidRPr="006F55AD">
        <w:rPr>
          <w:rFonts w:ascii="Arial" w:hAnsi="Arial" w:cs="Arial"/>
        </w:rPr>
        <w:lastRenderedPageBreak/>
        <w:t xml:space="preserve">In conclusion, an analysis of the key findings demonstrated that StitchCo's problems were not the result of a problem with technology; rather, there were systemic and process-related issues, e.g., organisational structure mismatch with employee behaviours during periods of disruption, employee resistance to change, rigid and antiquated company culture, poor and ineffective leadership, lack of sufficient communication and support systems. </w:t>
      </w:r>
      <w:r w:rsidR="000B0903" w:rsidRPr="006F55AD">
        <w:rPr>
          <w:rFonts w:ascii="Arial" w:hAnsi="Arial" w:cs="Arial"/>
        </w:rPr>
        <w:t>To</w:t>
      </w:r>
      <w:r w:rsidRPr="006F55AD">
        <w:rPr>
          <w:rFonts w:ascii="Arial" w:hAnsi="Arial" w:cs="Arial"/>
        </w:rPr>
        <w:t xml:space="preserve"> adequately prepare employees for future technological advances, companies like StitchCo must implement a strategic approach that embraces organisational cultural renaissance, relational leadership, open communication, participatory organisational design and ample training opportunities. The adjustments outlined above will enable organisations like StitchCo to produce a highly qualified, motivated and skilled work force that can continue to flourish and grow in a digitalised manufacturing environment.</w:t>
      </w:r>
    </w:p>
    <w:p w14:paraId="071C5EA9" w14:textId="77777777" w:rsidR="000B0903" w:rsidRDefault="000B0903" w:rsidP="006F55AD">
      <w:pPr>
        <w:spacing w:line="480" w:lineRule="auto"/>
        <w:rPr>
          <w:rFonts w:ascii="Arial" w:hAnsi="Arial" w:cs="Arial"/>
        </w:rPr>
      </w:pPr>
    </w:p>
    <w:p w14:paraId="45C4D63A" w14:textId="77777777" w:rsidR="000B0903" w:rsidRDefault="000B0903" w:rsidP="006F55AD">
      <w:pPr>
        <w:spacing w:line="480" w:lineRule="auto"/>
        <w:rPr>
          <w:rFonts w:ascii="Arial" w:hAnsi="Arial" w:cs="Arial"/>
        </w:rPr>
      </w:pPr>
    </w:p>
    <w:p w14:paraId="67BB47CE" w14:textId="77777777" w:rsidR="000B0903" w:rsidRDefault="000B0903" w:rsidP="006F55AD">
      <w:pPr>
        <w:spacing w:line="480" w:lineRule="auto"/>
        <w:rPr>
          <w:rFonts w:ascii="Arial" w:hAnsi="Arial" w:cs="Arial"/>
        </w:rPr>
      </w:pPr>
    </w:p>
    <w:p w14:paraId="2AEA3AAE" w14:textId="77777777" w:rsidR="000B0903" w:rsidRDefault="000B0903" w:rsidP="006F55AD">
      <w:pPr>
        <w:spacing w:line="480" w:lineRule="auto"/>
        <w:rPr>
          <w:rFonts w:ascii="Arial" w:hAnsi="Arial" w:cs="Arial"/>
        </w:rPr>
      </w:pPr>
    </w:p>
    <w:p w14:paraId="1EFE823D" w14:textId="77777777" w:rsidR="000B0903" w:rsidRDefault="000B0903" w:rsidP="006F55AD">
      <w:pPr>
        <w:spacing w:line="480" w:lineRule="auto"/>
        <w:rPr>
          <w:rFonts w:ascii="Arial" w:hAnsi="Arial" w:cs="Arial"/>
        </w:rPr>
      </w:pPr>
    </w:p>
    <w:p w14:paraId="6EC8B277" w14:textId="77777777" w:rsidR="000B0903" w:rsidRDefault="000B0903" w:rsidP="006F55AD">
      <w:pPr>
        <w:spacing w:line="480" w:lineRule="auto"/>
        <w:rPr>
          <w:rFonts w:ascii="Arial" w:hAnsi="Arial" w:cs="Arial"/>
        </w:rPr>
      </w:pPr>
    </w:p>
    <w:p w14:paraId="79DC05E2" w14:textId="77777777" w:rsidR="000B0903" w:rsidRDefault="000B0903" w:rsidP="006F55AD">
      <w:pPr>
        <w:spacing w:line="480" w:lineRule="auto"/>
        <w:rPr>
          <w:rFonts w:ascii="Arial" w:hAnsi="Arial" w:cs="Arial"/>
        </w:rPr>
      </w:pPr>
    </w:p>
    <w:p w14:paraId="48D77142" w14:textId="77777777" w:rsidR="000B0903" w:rsidRDefault="000B0903" w:rsidP="006F55AD">
      <w:pPr>
        <w:spacing w:line="480" w:lineRule="auto"/>
        <w:rPr>
          <w:rFonts w:ascii="Arial" w:hAnsi="Arial" w:cs="Arial"/>
        </w:rPr>
      </w:pPr>
    </w:p>
    <w:p w14:paraId="6056AE01" w14:textId="77777777" w:rsidR="000B0903" w:rsidRDefault="000B0903" w:rsidP="006F55AD">
      <w:pPr>
        <w:spacing w:line="480" w:lineRule="auto"/>
        <w:rPr>
          <w:rFonts w:ascii="Arial" w:hAnsi="Arial" w:cs="Arial"/>
        </w:rPr>
      </w:pPr>
    </w:p>
    <w:p w14:paraId="51271C80" w14:textId="77777777" w:rsidR="000B0903" w:rsidRDefault="000B0903" w:rsidP="006F55AD">
      <w:pPr>
        <w:spacing w:line="480" w:lineRule="auto"/>
        <w:rPr>
          <w:rFonts w:ascii="Arial" w:hAnsi="Arial" w:cs="Arial"/>
        </w:rPr>
      </w:pPr>
    </w:p>
    <w:p w14:paraId="35C31772" w14:textId="500D1030" w:rsidR="000B0903" w:rsidRPr="00F342C6" w:rsidRDefault="000B0903" w:rsidP="006F55AD">
      <w:pPr>
        <w:spacing w:line="480" w:lineRule="auto"/>
        <w:rPr>
          <w:rFonts w:ascii="Arial" w:hAnsi="Arial" w:cs="Arial"/>
          <w:b/>
          <w:bCs/>
        </w:rPr>
      </w:pPr>
      <w:r w:rsidRPr="00F342C6">
        <w:rPr>
          <w:rFonts w:ascii="Arial" w:hAnsi="Arial" w:cs="Arial"/>
          <w:b/>
          <w:bCs/>
        </w:rPr>
        <w:lastRenderedPageBreak/>
        <w:t xml:space="preserve">References </w:t>
      </w:r>
    </w:p>
    <w:p w14:paraId="1BAF75A9" w14:textId="5732B623" w:rsidR="00114A13" w:rsidRDefault="00114A13" w:rsidP="00F342C6">
      <w:pPr>
        <w:spacing w:line="480" w:lineRule="auto"/>
        <w:rPr>
          <w:rFonts w:ascii="Arial" w:hAnsi="Arial" w:cs="Arial"/>
        </w:rPr>
      </w:pPr>
      <w:r w:rsidRPr="00114A13">
        <w:rPr>
          <w:rFonts w:ascii="Arial" w:hAnsi="Arial" w:cs="Arial"/>
        </w:rPr>
        <w:t xml:space="preserve">Alam, S., Zhang, J., Shehzad, M.U., Boamah, F.A. and Wang, B., 2024. The inclusive analysis of green technology implementation impacts on employees age, job experience, and size in manufacturing firms: empirical assessment. </w:t>
      </w:r>
      <w:r w:rsidRPr="00114A13">
        <w:rPr>
          <w:rFonts w:ascii="Arial" w:hAnsi="Arial" w:cs="Arial"/>
          <w:i/>
          <w:iCs/>
        </w:rPr>
        <w:t>Environment, Development and Sustainability,</w:t>
      </w:r>
      <w:r w:rsidRPr="00114A13">
        <w:rPr>
          <w:rFonts w:ascii="Arial" w:hAnsi="Arial" w:cs="Arial"/>
        </w:rPr>
        <w:t xml:space="preserve"> 26(2), pp.4467-4486.</w:t>
      </w:r>
    </w:p>
    <w:p w14:paraId="00A52B06" w14:textId="7468AAFC" w:rsidR="00114A13" w:rsidRDefault="00114A13" w:rsidP="00F342C6">
      <w:pPr>
        <w:spacing w:line="480" w:lineRule="auto"/>
        <w:rPr>
          <w:rFonts w:ascii="Arial" w:hAnsi="Arial" w:cs="Arial"/>
        </w:rPr>
      </w:pPr>
      <w:proofErr w:type="spellStart"/>
      <w:r w:rsidRPr="00114A13">
        <w:rPr>
          <w:rFonts w:ascii="Arial" w:hAnsi="Arial" w:cs="Arial"/>
        </w:rPr>
        <w:t>Ausat</w:t>
      </w:r>
      <w:proofErr w:type="spellEnd"/>
      <w:r w:rsidRPr="00114A13">
        <w:rPr>
          <w:rFonts w:ascii="Arial" w:hAnsi="Arial" w:cs="Arial"/>
        </w:rPr>
        <w:t xml:space="preserve">, A.M.A., Shafiq, M.A., </w:t>
      </w:r>
      <w:proofErr w:type="spellStart"/>
      <w:r w:rsidRPr="00114A13">
        <w:rPr>
          <w:rFonts w:ascii="Arial" w:hAnsi="Arial" w:cs="Arial"/>
        </w:rPr>
        <w:t>Wafik</w:t>
      </w:r>
      <w:proofErr w:type="spellEnd"/>
      <w:r w:rsidRPr="00114A13">
        <w:rPr>
          <w:rFonts w:ascii="Arial" w:hAnsi="Arial" w:cs="Arial"/>
        </w:rPr>
        <w:t xml:space="preserve">, D. and López, N.A.S., 2024. The role of transformational leadership in improving employee psychological wellbeing: a review. </w:t>
      </w:r>
      <w:r w:rsidRPr="00114A13">
        <w:rPr>
          <w:rFonts w:ascii="Arial" w:hAnsi="Arial" w:cs="Arial"/>
          <w:i/>
          <w:iCs/>
        </w:rPr>
        <w:t>Apollo: Journal of Tourism and Business</w:t>
      </w:r>
      <w:r w:rsidRPr="00114A13">
        <w:rPr>
          <w:rFonts w:ascii="Arial" w:hAnsi="Arial" w:cs="Arial"/>
        </w:rPr>
        <w:t xml:space="preserve">, 2(1), pp.148-157. </w:t>
      </w:r>
      <w:hyperlink r:id="rId8" w:history="1">
        <w:r w:rsidRPr="00F90BF4">
          <w:rPr>
            <w:rStyle w:val="Hyperlink"/>
            <w:rFonts w:ascii="Arial" w:hAnsi="Arial" w:cs="Arial"/>
          </w:rPr>
          <w:t>https://doi.org/10.58905/apollo.v2i1.239</w:t>
        </w:r>
      </w:hyperlink>
      <w:r>
        <w:rPr>
          <w:rFonts w:ascii="Arial" w:hAnsi="Arial" w:cs="Arial"/>
        </w:rPr>
        <w:t xml:space="preserve"> </w:t>
      </w:r>
    </w:p>
    <w:p w14:paraId="20371473" w14:textId="75C8EDF8" w:rsidR="005B7444" w:rsidRPr="005B7444" w:rsidRDefault="005B7444" w:rsidP="005B7444">
      <w:pPr>
        <w:spacing w:line="480" w:lineRule="auto"/>
        <w:rPr>
          <w:rFonts w:ascii="Arial" w:hAnsi="Arial" w:cs="Arial"/>
        </w:rPr>
      </w:pPr>
      <w:r w:rsidRPr="005B7444">
        <w:rPr>
          <w:rFonts w:ascii="Arial" w:hAnsi="Arial" w:cs="Arial"/>
        </w:rPr>
        <w:t xml:space="preserve">Arnold, K. A. (2017). Transformational leadership and employee psychological well-being: A review and directions for future research. </w:t>
      </w:r>
      <w:r w:rsidRPr="005B7444">
        <w:rPr>
          <w:rFonts w:ascii="Arial" w:hAnsi="Arial" w:cs="Arial"/>
          <w:i/>
          <w:iCs/>
        </w:rPr>
        <w:t>Journal of Occupational Health Psychology,</w:t>
      </w:r>
      <w:r w:rsidRPr="005B7444">
        <w:rPr>
          <w:rFonts w:ascii="Arial" w:hAnsi="Arial" w:cs="Arial"/>
        </w:rPr>
        <w:t xml:space="preserve"> 22(3), 381–393. </w:t>
      </w:r>
      <w:hyperlink r:id="rId9" w:history="1">
        <w:r w:rsidRPr="00F90BF4">
          <w:rPr>
            <w:rStyle w:val="Hyperlink"/>
            <w:rFonts w:ascii="Arial" w:hAnsi="Arial" w:cs="Arial"/>
          </w:rPr>
          <w:t>https://doi.org/10.1037/ocp0000062</w:t>
        </w:r>
      </w:hyperlink>
      <w:r>
        <w:rPr>
          <w:rFonts w:ascii="Arial" w:hAnsi="Arial" w:cs="Arial"/>
        </w:rPr>
        <w:t xml:space="preserve">  </w:t>
      </w:r>
      <w:r w:rsidRPr="005B7444">
        <w:rPr>
          <w:rFonts w:ascii="Arial" w:hAnsi="Arial" w:cs="Arial"/>
        </w:rPr>
        <w:t xml:space="preserve"> </w:t>
      </w:r>
    </w:p>
    <w:p w14:paraId="3D9D0C0F" w14:textId="26C15392" w:rsidR="005B7444" w:rsidRDefault="005B7444" w:rsidP="005B7444">
      <w:pPr>
        <w:spacing w:line="480" w:lineRule="auto"/>
        <w:rPr>
          <w:rFonts w:ascii="Arial" w:hAnsi="Arial" w:cs="Arial"/>
        </w:rPr>
      </w:pPr>
      <w:proofErr w:type="spellStart"/>
      <w:r w:rsidRPr="005B7444">
        <w:rPr>
          <w:rFonts w:ascii="Arial" w:hAnsi="Arial" w:cs="Arial"/>
        </w:rPr>
        <w:t>Ayoko</w:t>
      </w:r>
      <w:proofErr w:type="spellEnd"/>
      <w:r w:rsidRPr="005B7444">
        <w:rPr>
          <w:rFonts w:ascii="Arial" w:hAnsi="Arial" w:cs="Arial"/>
        </w:rPr>
        <w:t xml:space="preserve">, O. B., &amp; Callan, V. J. (2010). Teams’ reactions to conflict and teams’ task and social outcomes: The moderating role of transformational and emotional leadership. </w:t>
      </w:r>
      <w:r w:rsidRPr="005B7444">
        <w:rPr>
          <w:rFonts w:ascii="Arial" w:hAnsi="Arial" w:cs="Arial"/>
          <w:i/>
          <w:iCs/>
        </w:rPr>
        <w:t>European Management Journal</w:t>
      </w:r>
      <w:r w:rsidRPr="005B7444">
        <w:rPr>
          <w:rFonts w:ascii="Arial" w:hAnsi="Arial" w:cs="Arial"/>
        </w:rPr>
        <w:t xml:space="preserve">, 28(3), 220–235. </w:t>
      </w:r>
      <w:hyperlink r:id="rId10" w:history="1">
        <w:r w:rsidRPr="00F90BF4">
          <w:rPr>
            <w:rStyle w:val="Hyperlink"/>
            <w:rFonts w:ascii="Arial" w:hAnsi="Arial" w:cs="Arial"/>
          </w:rPr>
          <w:t>https://doi.org/10.1016/j.emj.2009.07.001</w:t>
        </w:r>
      </w:hyperlink>
      <w:r>
        <w:rPr>
          <w:rFonts w:ascii="Arial" w:hAnsi="Arial" w:cs="Arial"/>
        </w:rPr>
        <w:t xml:space="preserve"> </w:t>
      </w:r>
    </w:p>
    <w:p w14:paraId="1BF4C10B" w14:textId="2AAF21C6" w:rsidR="00F342C6" w:rsidRPr="00F342C6" w:rsidRDefault="00F342C6" w:rsidP="00F342C6">
      <w:pPr>
        <w:spacing w:line="480" w:lineRule="auto"/>
        <w:rPr>
          <w:rFonts w:ascii="Arial" w:hAnsi="Arial" w:cs="Arial"/>
        </w:rPr>
      </w:pPr>
      <w:r w:rsidRPr="00F342C6">
        <w:rPr>
          <w:rFonts w:ascii="Arial" w:hAnsi="Arial" w:cs="Arial"/>
        </w:rPr>
        <w:t xml:space="preserve">Basu, D.R., 2024. The importance of HR policies on employee performance, employee engagement and employee motivation in various organisations. </w:t>
      </w:r>
      <w:r w:rsidRPr="00F342C6">
        <w:rPr>
          <w:rFonts w:ascii="Arial" w:hAnsi="Arial" w:cs="Arial"/>
          <w:i/>
          <w:iCs/>
        </w:rPr>
        <w:t>Educational Administration: Theory and Practice</w:t>
      </w:r>
      <w:r w:rsidRPr="00F342C6">
        <w:rPr>
          <w:rFonts w:ascii="Arial" w:hAnsi="Arial" w:cs="Arial"/>
        </w:rPr>
        <w:t>, 30(5), pp.4272–4279.</w:t>
      </w:r>
    </w:p>
    <w:p w14:paraId="39DF9BD4" w14:textId="77777777" w:rsidR="00F342C6" w:rsidRPr="00F342C6" w:rsidRDefault="00F342C6" w:rsidP="00F342C6">
      <w:pPr>
        <w:spacing w:line="480" w:lineRule="auto"/>
        <w:rPr>
          <w:rFonts w:ascii="Arial" w:hAnsi="Arial" w:cs="Arial"/>
        </w:rPr>
      </w:pPr>
      <w:r w:rsidRPr="00F342C6">
        <w:rPr>
          <w:rFonts w:ascii="Arial" w:hAnsi="Arial" w:cs="Arial"/>
        </w:rPr>
        <w:t xml:space="preserve">Babu, D. and Kushwaha, B.P., 2024. Does transformational leadership influence employees’ innovativeness and mediate the role of organisational culture? </w:t>
      </w:r>
      <w:r w:rsidRPr="00F342C6">
        <w:rPr>
          <w:rFonts w:ascii="Arial" w:hAnsi="Arial" w:cs="Arial"/>
          <w:i/>
          <w:iCs/>
        </w:rPr>
        <w:t>International Research Journal of Multidisciplinary Scope</w:t>
      </w:r>
      <w:r w:rsidRPr="00F342C6">
        <w:rPr>
          <w:rFonts w:ascii="Arial" w:hAnsi="Arial" w:cs="Arial"/>
        </w:rPr>
        <w:t>, 5(1), pp.428–440.</w:t>
      </w:r>
    </w:p>
    <w:p w14:paraId="46916850" w14:textId="77777777" w:rsidR="00F342C6" w:rsidRPr="00F342C6" w:rsidRDefault="00F342C6" w:rsidP="00F342C6">
      <w:pPr>
        <w:spacing w:line="480" w:lineRule="auto"/>
        <w:rPr>
          <w:rFonts w:ascii="Arial" w:hAnsi="Arial" w:cs="Arial"/>
        </w:rPr>
      </w:pPr>
      <w:r w:rsidRPr="00F342C6">
        <w:rPr>
          <w:rFonts w:ascii="Arial" w:hAnsi="Arial" w:cs="Arial"/>
        </w:rPr>
        <w:lastRenderedPageBreak/>
        <w:t xml:space="preserve">Costa, M.D. and Opare, S., 2025. Impact of corporate culture on environmental performance. </w:t>
      </w:r>
      <w:r w:rsidRPr="00F342C6">
        <w:rPr>
          <w:rFonts w:ascii="Arial" w:hAnsi="Arial" w:cs="Arial"/>
          <w:i/>
          <w:iCs/>
        </w:rPr>
        <w:t>Journal of Business Ethics</w:t>
      </w:r>
      <w:r w:rsidRPr="00F342C6">
        <w:rPr>
          <w:rFonts w:ascii="Arial" w:hAnsi="Arial" w:cs="Arial"/>
        </w:rPr>
        <w:t>, 196(1), pp.61–92.</w:t>
      </w:r>
    </w:p>
    <w:p w14:paraId="7F7B381A" w14:textId="77777777" w:rsidR="00F342C6" w:rsidRPr="00F342C6" w:rsidRDefault="00F342C6" w:rsidP="00F342C6">
      <w:pPr>
        <w:spacing w:line="480" w:lineRule="auto"/>
        <w:rPr>
          <w:rFonts w:ascii="Arial" w:hAnsi="Arial" w:cs="Arial"/>
        </w:rPr>
      </w:pPr>
      <w:r w:rsidRPr="00F342C6">
        <w:rPr>
          <w:rFonts w:ascii="Arial" w:hAnsi="Arial" w:cs="Arial"/>
        </w:rPr>
        <w:t xml:space="preserve">Ernawati, E., </w:t>
      </w:r>
      <w:proofErr w:type="spellStart"/>
      <w:r w:rsidRPr="00F342C6">
        <w:rPr>
          <w:rFonts w:ascii="Arial" w:hAnsi="Arial" w:cs="Arial"/>
        </w:rPr>
        <w:t>Bernadianto</w:t>
      </w:r>
      <w:proofErr w:type="spellEnd"/>
      <w:r w:rsidRPr="00F342C6">
        <w:rPr>
          <w:rFonts w:ascii="Arial" w:hAnsi="Arial" w:cs="Arial"/>
        </w:rPr>
        <w:t xml:space="preserve">, R.B. and </w:t>
      </w:r>
      <w:proofErr w:type="spellStart"/>
      <w:r w:rsidRPr="00F342C6">
        <w:rPr>
          <w:rFonts w:ascii="Arial" w:hAnsi="Arial" w:cs="Arial"/>
        </w:rPr>
        <w:t>Rulinawaty</w:t>
      </w:r>
      <w:proofErr w:type="spellEnd"/>
      <w:r w:rsidRPr="00F342C6">
        <w:rPr>
          <w:rFonts w:ascii="Arial" w:hAnsi="Arial" w:cs="Arial"/>
        </w:rPr>
        <w:t xml:space="preserve">, R., 2025. The influence of motivation and job satisfaction on employee performance. </w:t>
      </w:r>
      <w:r w:rsidRPr="00F342C6">
        <w:rPr>
          <w:rFonts w:ascii="Arial" w:hAnsi="Arial" w:cs="Arial"/>
          <w:i/>
          <w:iCs/>
        </w:rPr>
        <w:t>International Journal of Economics and Management Research</w:t>
      </w:r>
      <w:r w:rsidRPr="00F342C6">
        <w:rPr>
          <w:rFonts w:ascii="Arial" w:hAnsi="Arial" w:cs="Arial"/>
        </w:rPr>
        <w:t>, 4(1), pp.577–582.</w:t>
      </w:r>
    </w:p>
    <w:p w14:paraId="47783C6B" w14:textId="77777777" w:rsidR="00F342C6" w:rsidRDefault="00F342C6" w:rsidP="00F342C6">
      <w:pPr>
        <w:spacing w:line="480" w:lineRule="auto"/>
        <w:rPr>
          <w:rFonts w:ascii="Arial" w:hAnsi="Arial" w:cs="Arial"/>
        </w:rPr>
      </w:pPr>
      <w:proofErr w:type="spellStart"/>
      <w:r w:rsidRPr="00F342C6">
        <w:rPr>
          <w:rFonts w:ascii="Arial" w:hAnsi="Arial" w:cs="Arial"/>
        </w:rPr>
        <w:t>Gistituati</w:t>
      </w:r>
      <w:proofErr w:type="spellEnd"/>
      <w:r w:rsidRPr="00F342C6">
        <w:rPr>
          <w:rFonts w:ascii="Arial" w:hAnsi="Arial" w:cs="Arial"/>
        </w:rPr>
        <w:t xml:space="preserve">, N., 2025. The relevance of transformational leadership values in modern organisations. </w:t>
      </w:r>
      <w:r w:rsidRPr="00F342C6">
        <w:rPr>
          <w:rFonts w:ascii="Arial" w:hAnsi="Arial" w:cs="Arial"/>
          <w:i/>
          <w:iCs/>
        </w:rPr>
        <w:t xml:space="preserve">Mudir: </w:t>
      </w:r>
      <w:proofErr w:type="spellStart"/>
      <w:r w:rsidRPr="00F342C6">
        <w:rPr>
          <w:rFonts w:ascii="Arial" w:hAnsi="Arial" w:cs="Arial"/>
          <w:i/>
          <w:iCs/>
        </w:rPr>
        <w:t>Jurnal</w:t>
      </w:r>
      <w:proofErr w:type="spellEnd"/>
      <w:r w:rsidRPr="00F342C6">
        <w:rPr>
          <w:rFonts w:ascii="Arial" w:hAnsi="Arial" w:cs="Arial"/>
          <w:i/>
          <w:iCs/>
        </w:rPr>
        <w:t xml:space="preserve"> </w:t>
      </w:r>
      <w:proofErr w:type="spellStart"/>
      <w:r w:rsidRPr="00F342C6">
        <w:rPr>
          <w:rFonts w:ascii="Arial" w:hAnsi="Arial" w:cs="Arial"/>
          <w:i/>
          <w:iCs/>
        </w:rPr>
        <w:t>Manajemen</w:t>
      </w:r>
      <w:proofErr w:type="spellEnd"/>
      <w:r w:rsidRPr="00F342C6">
        <w:rPr>
          <w:rFonts w:ascii="Arial" w:hAnsi="Arial" w:cs="Arial"/>
          <w:i/>
          <w:iCs/>
        </w:rPr>
        <w:t xml:space="preserve"> Pendidikan</w:t>
      </w:r>
      <w:r w:rsidRPr="00F342C6">
        <w:rPr>
          <w:rFonts w:ascii="Arial" w:hAnsi="Arial" w:cs="Arial"/>
        </w:rPr>
        <w:t>, 7(2), pp.333–338.</w:t>
      </w:r>
    </w:p>
    <w:p w14:paraId="276F890B" w14:textId="77777777" w:rsidR="00F342C6" w:rsidRPr="00F342C6" w:rsidRDefault="00F342C6" w:rsidP="00F342C6">
      <w:pPr>
        <w:spacing w:line="480" w:lineRule="auto"/>
        <w:rPr>
          <w:rFonts w:ascii="Arial" w:hAnsi="Arial" w:cs="Arial"/>
        </w:rPr>
      </w:pPr>
      <w:r w:rsidRPr="00F342C6">
        <w:rPr>
          <w:rFonts w:ascii="Arial" w:hAnsi="Arial" w:cs="Arial"/>
        </w:rPr>
        <w:t>Lubis, I.A. and Rahayu, S., 2025, October. Leadership and Motivation in Public Service: Understanding Civil Servant Performance through Workplace Realities in Medan Johor Sub-District Office. In Proceedings of International Conference on Islamic Community Studies (pp. 1259-1267).</w:t>
      </w:r>
    </w:p>
    <w:p w14:paraId="633BB56B" w14:textId="77777777" w:rsidR="00F342C6" w:rsidRDefault="00F342C6" w:rsidP="00F342C6">
      <w:pPr>
        <w:spacing w:line="480" w:lineRule="auto"/>
        <w:rPr>
          <w:rFonts w:ascii="Arial" w:hAnsi="Arial" w:cs="Arial"/>
        </w:rPr>
      </w:pPr>
      <w:proofErr w:type="spellStart"/>
      <w:r w:rsidRPr="00F342C6">
        <w:rPr>
          <w:rFonts w:ascii="Arial" w:hAnsi="Arial" w:cs="Arial"/>
        </w:rPr>
        <w:t>Mpuangnan</w:t>
      </w:r>
      <w:proofErr w:type="spellEnd"/>
      <w:r w:rsidRPr="00F342C6">
        <w:rPr>
          <w:rFonts w:ascii="Arial" w:hAnsi="Arial" w:cs="Arial"/>
        </w:rPr>
        <w:t xml:space="preserve">, K.N., Govender, S., Mhlongo, H.R. and Osei, F.S., 2024. Impact of motivation and participative leadership style on employee performance. International </w:t>
      </w:r>
      <w:r w:rsidRPr="00F342C6">
        <w:rPr>
          <w:rFonts w:ascii="Arial" w:hAnsi="Arial" w:cs="Arial"/>
          <w:i/>
          <w:iCs/>
        </w:rPr>
        <w:t>Journal of Innovative Research and Scientific Studies</w:t>
      </w:r>
      <w:r w:rsidRPr="00F342C6">
        <w:rPr>
          <w:rFonts w:ascii="Arial" w:hAnsi="Arial" w:cs="Arial"/>
        </w:rPr>
        <w:t>, 7(3), pp.1088–1098.</w:t>
      </w:r>
    </w:p>
    <w:p w14:paraId="13104921" w14:textId="076DBBA6" w:rsidR="00F342C6" w:rsidRDefault="00F342C6" w:rsidP="00F342C6">
      <w:pPr>
        <w:spacing w:line="480" w:lineRule="auto"/>
        <w:rPr>
          <w:rFonts w:ascii="Arial" w:hAnsi="Arial" w:cs="Arial"/>
        </w:rPr>
      </w:pPr>
      <w:r w:rsidRPr="00F342C6">
        <w:rPr>
          <w:rFonts w:ascii="Arial" w:hAnsi="Arial" w:cs="Arial"/>
        </w:rPr>
        <w:t xml:space="preserve">Nugroho, A., Rahayu, S. and </w:t>
      </w:r>
      <w:proofErr w:type="spellStart"/>
      <w:r w:rsidRPr="00F342C6">
        <w:rPr>
          <w:rFonts w:ascii="Arial" w:hAnsi="Arial" w:cs="Arial"/>
        </w:rPr>
        <w:t>Fitrianty</w:t>
      </w:r>
      <w:proofErr w:type="spellEnd"/>
      <w:r w:rsidRPr="00F342C6">
        <w:rPr>
          <w:rFonts w:ascii="Arial" w:hAnsi="Arial" w:cs="Arial"/>
        </w:rPr>
        <w:t>, R., 2025. The Role of Charismatic Leadership, Work Environment and Organi</w:t>
      </w:r>
      <w:r w:rsidR="00114A13">
        <w:rPr>
          <w:rFonts w:ascii="Arial" w:hAnsi="Arial" w:cs="Arial"/>
        </w:rPr>
        <w:t>s</w:t>
      </w:r>
      <w:r w:rsidRPr="00F342C6">
        <w:rPr>
          <w:rFonts w:ascii="Arial" w:hAnsi="Arial" w:cs="Arial"/>
        </w:rPr>
        <w:t xml:space="preserve">ational Culture on Improving Employee Performance at the </w:t>
      </w:r>
      <w:proofErr w:type="spellStart"/>
      <w:r w:rsidRPr="00F342C6">
        <w:rPr>
          <w:rFonts w:ascii="Arial" w:hAnsi="Arial" w:cs="Arial"/>
        </w:rPr>
        <w:t>Bangkalan</w:t>
      </w:r>
      <w:proofErr w:type="spellEnd"/>
      <w:r w:rsidRPr="00F342C6">
        <w:rPr>
          <w:rFonts w:ascii="Arial" w:hAnsi="Arial" w:cs="Arial"/>
        </w:rPr>
        <w:t xml:space="preserve"> Pratama Tax Service Office. </w:t>
      </w:r>
      <w:r w:rsidRPr="00114A13">
        <w:rPr>
          <w:rFonts w:ascii="Arial" w:hAnsi="Arial" w:cs="Arial"/>
          <w:i/>
          <w:iCs/>
        </w:rPr>
        <w:t>Lead Journal of Economy and Administration,</w:t>
      </w:r>
      <w:r w:rsidRPr="00F342C6">
        <w:rPr>
          <w:rFonts w:ascii="Arial" w:hAnsi="Arial" w:cs="Arial"/>
        </w:rPr>
        <w:t xml:space="preserve"> 3(3), pp.135-144.</w:t>
      </w:r>
    </w:p>
    <w:p w14:paraId="0F824B8F" w14:textId="77777777" w:rsidR="00114A13" w:rsidRPr="00114A13" w:rsidRDefault="00114A13" w:rsidP="00114A13">
      <w:pPr>
        <w:spacing w:line="480" w:lineRule="auto"/>
        <w:rPr>
          <w:rFonts w:ascii="Arial" w:hAnsi="Arial" w:cs="Arial"/>
        </w:rPr>
      </w:pPr>
      <w:r w:rsidRPr="00114A13">
        <w:rPr>
          <w:rFonts w:ascii="Arial" w:hAnsi="Arial" w:cs="Arial"/>
        </w:rPr>
        <w:t xml:space="preserve">Opolot, J.S., Lagat, C., Kipsang, S.K. and </w:t>
      </w:r>
      <w:proofErr w:type="spellStart"/>
      <w:r w:rsidRPr="00114A13">
        <w:rPr>
          <w:rFonts w:ascii="Arial" w:hAnsi="Arial" w:cs="Arial"/>
        </w:rPr>
        <w:t>Muganzi</w:t>
      </w:r>
      <w:proofErr w:type="spellEnd"/>
      <w:r w:rsidRPr="00114A13">
        <w:rPr>
          <w:rFonts w:ascii="Arial" w:hAnsi="Arial" w:cs="Arial"/>
        </w:rPr>
        <w:t xml:space="preserve">, Y.K., 2024. Organisational culture and organisational commitment: the moderating effect of self-efficacy. </w:t>
      </w:r>
      <w:r w:rsidRPr="00114A13">
        <w:rPr>
          <w:rFonts w:ascii="Arial" w:hAnsi="Arial" w:cs="Arial"/>
          <w:i/>
          <w:iCs/>
        </w:rPr>
        <w:t>Journal of Humanities and Applied Social Sciences,</w:t>
      </w:r>
      <w:r w:rsidRPr="00114A13">
        <w:rPr>
          <w:rFonts w:ascii="Arial" w:hAnsi="Arial" w:cs="Arial"/>
        </w:rPr>
        <w:t xml:space="preserve"> 6(3), pp.280-296.</w:t>
      </w:r>
    </w:p>
    <w:p w14:paraId="2D83E345" w14:textId="1499684C" w:rsidR="00114A13" w:rsidRDefault="00114A13" w:rsidP="00114A13">
      <w:pPr>
        <w:spacing w:line="480" w:lineRule="auto"/>
        <w:rPr>
          <w:rFonts w:ascii="Arial" w:hAnsi="Arial" w:cs="Arial"/>
        </w:rPr>
      </w:pPr>
      <w:r w:rsidRPr="00114A13">
        <w:rPr>
          <w:rFonts w:ascii="Arial" w:hAnsi="Arial" w:cs="Arial"/>
        </w:rPr>
        <w:lastRenderedPageBreak/>
        <w:t xml:space="preserve">Paudel, R., 2024. The impact of automation and artificial intelligence on leadership and the workforce. </w:t>
      </w:r>
      <w:r w:rsidRPr="00114A13">
        <w:rPr>
          <w:rFonts w:ascii="Arial" w:hAnsi="Arial" w:cs="Arial"/>
          <w:i/>
          <w:iCs/>
        </w:rPr>
        <w:t>Indonesian Journal of Banking and Financial Technology</w:t>
      </w:r>
      <w:r w:rsidRPr="00114A13">
        <w:rPr>
          <w:rFonts w:ascii="Arial" w:hAnsi="Arial" w:cs="Arial"/>
        </w:rPr>
        <w:t xml:space="preserve"> (FINTECH), 2(2), pp.109-124.</w:t>
      </w:r>
    </w:p>
    <w:p w14:paraId="4DD254C4" w14:textId="41A48176" w:rsidR="00114A13" w:rsidRPr="00F342C6" w:rsidRDefault="00114A13" w:rsidP="00F342C6">
      <w:pPr>
        <w:spacing w:line="480" w:lineRule="auto"/>
        <w:rPr>
          <w:rFonts w:ascii="Arial" w:hAnsi="Arial" w:cs="Arial"/>
        </w:rPr>
      </w:pPr>
      <w:proofErr w:type="spellStart"/>
      <w:r w:rsidRPr="00114A13">
        <w:rPr>
          <w:rFonts w:ascii="Arial" w:hAnsi="Arial" w:cs="Arial"/>
        </w:rPr>
        <w:t>Sulaksono</w:t>
      </w:r>
      <w:proofErr w:type="spellEnd"/>
      <w:r w:rsidRPr="00114A13">
        <w:rPr>
          <w:rFonts w:ascii="Arial" w:hAnsi="Arial" w:cs="Arial"/>
        </w:rPr>
        <w:t xml:space="preserve">, H. and Astuti, D.D., 2025, September. The Effect of Leadership in Improving Employee Performance Through Employee Commitment as an Intervening Variable. In </w:t>
      </w:r>
      <w:r w:rsidRPr="00114A13">
        <w:rPr>
          <w:rFonts w:ascii="Arial" w:hAnsi="Arial" w:cs="Arial"/>
          <w:i/>
          <w:iCs/>
        </w:rPr>
        <w:t>Proceeding International Conference on Economics, Business and Information Technology</w:t>
      </w:r>
      <w:r w:rsidRPr="00114A13">
        <w:rPr>
          <w:rFonts w:ascii="Arial" w:hAnsi="Arial" w:cs="Arial"/>
        </w:rPr>
        <w:t xml:space="preserve"> (Vol. 6, No. 1, pp. 289-299). </w:t>
      </w:r>
      <w:hyperlink r:id="rId11" w:history="1">
        <w:r w:rsidRPr="00F90BF4">
          <w:rPr>
            <w:rStyle w:val="Hyperlink"/>
            <w:rFonts w:ascii="Arial" w:hAnsi="Arial" w:cs="Arial"/>
          </w:rPr>
          <w:t>https://doi.org/10.31967/icebit.v6i1.1621</w:t>
        </w:r>
      </w:hyperlink>
      <w:r>
        <w:rPr>
          <w:rFonts w:ascii="Arial" w:hAnsi="Arial" w:cs="Arial"/>
        </w:rPr>
        <w:t xml:space="preserve"> </w:t>
      </w:r>
    </w:p>
    <w:p w14:paraId="5D2980E6" w14:textId="49945931" w:rsidR="000B0903" w:rsidRPr="006F55AD" w:rsidRDefault="00F342C6" w:rsidP="00F342C6">
      <w:pPr>
        <w:spacing w:line="480" w:lineRule="auto"/>
        <w:rPr>
          <w:rFonts w:ascii="Arial" w:hAnsi="Arial" w:cs="Arial"/>
        </w:rPr>
      </w:pPr>
      <w:r w:rsidRPr="00F342C6">
        <w:rPr>
          <w:rFonts w:ascii="Arial" w:hAnsi="Arial" w:cs="Arial"/>
        </w:rPr>
        <w:t>Trisnasari, J.D., Razak, M.M. and Hatta, M., 2026. The impact of motivation and work culture on employee performance</w:t>
      </w:r>
      <w:r w:rsidRPr="00F342C6">
        <w:rPr>
          <w:rFonts w:ascii="Arial" w:hAnsi="Arial" w:cs="Arial"/>
          <w:i/>
          <w:iCs/>
        </w:rPr>
        <w:t>. RIGGS: Journal of Artificial Intelligence and Digital Business</w:t>
      </w:r>
      <w:r w:rsidRPr="00F342C6">
        <w:rPr>
          <w:rFonts w:ascii="Arial" w:hAnsi="Arial" w:cs="Arial"/>
        </w:rPr>
        <w:t>, 4(4), pp.724–730.</w:t>
      </w:r>
    </w:p>
    <w:sectPr w:rsidR="000B0903" w:rsidRPr="006F55AD" w:rsidSect="005B7444">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645AA" w14:textId="77777777" w:rsidR="00D97E6E" w:rsidRDefault="00D97E6E" w:rsidP="005B7444">
      <w:pPr>
        <w:spacing w:after="0" w:line="240" w:lineRule="auto"/>
      </w:pPr>
      <w:r>
        <w:separator/>
      </w:r>
    </w:p>
  </w:endnote>
  <w:endnote w:type="continuationSeparator" w:id="0">
    <w:p w14:paraId="6AB65ED6" w14:textId="77777777" w:rsidR="00D97E6E" w:rsidRDefault="00D97E6E" w:rsidP="005B7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E4F4B" w14:textId="77777777" w:rsidR="00D97E6E" w:rsidRDefault="00D97E6E" w:rsidP="005B7444">
      <w:pPr>
        <w:spacing w:after="0" w:line="240" w:lineRule="auto"/>
      </w:pPr>
      <w:r>
        <w:separator/>
      </w:r>
    </w:p>
  </w:footnote>
  <w:footnote w:type="continuationSeparator" w:id="0">
    <w:p w14:paraId="79AE0C7B" w14:textId="77777777" w:rsidR="00D97E6E" w:rsidRDefault="00D97E6E" w:rsidP="005B74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2E630" w14:textId="14F4B8D3" w:rsidR="005B7444" w:rsidRDefault="005B7444">
    <w:pPr>
      <w:spacing w:line="264" w:lineRule="auto"/>
    </w:pPr>
    <w:r>
      <w:rPr>
        <w:noProof/>
        <w:color w:val="000000"/>
      </w:rPr>
      <mc:AlternateContent>
        <mc:Choice Requires="wps">
          <w:drawing>
            <wp:anchor distT="0" distB="0" distL="114300" distR="114300" simplePos="0" relativeHeight="251659264" behindDoc="0" locked="0" layoutInCell="1" allowOverlap="1" wp14:anchorId="32159622" wp14:editId="012D66E7">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BDACCE"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615E1AE8" w14:textId="77777777" w:rsidR="005B7444" w:rsidRDefault="005B74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AD"/>
    <w:rsid w:val="000B0903"/>
    <w:rsid w:val="00114A13"/>
    <w:rsid w:val="004854BA"/>
    <w:rsid w:val="005B7444"/>
    <w:rsid w:val="006F55AD"/>
    <w:rsid w:val="00D97E6E"/>
    <w:rsid w:val="00F342C6"/>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055D5"/>
  <w15:chartTrackingRefBased/>
  <w15:docId w15:val="{CA257E03-1825-4C54-9C48-6160CAE3A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5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5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5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5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5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5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5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5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5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5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55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55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5AD"/>
    <w:rPr>
      <w:rFonts w:eastAsiaTheme="majorEastAsia" w:cstheme="majorBidi"/>
      <w:color w:val="272727" w:themeColor="text1" w:themeTint="D8"/>
    </w:rPr>
  </w:style>
  <w:style w:type="paragraph" w:styleId="Title">
    <w:name w:val="Title"/>
    <w:basedOn w:val="Normal"/>
    <w:next w:val="Normal"/>
    <w:link w:val="TitleChar"/>
    <w:uiPriority w:val="10"/>
    <w:qFormat/>
    <w:rsid w:val="006F55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5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5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5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5AD"/>
    <w:pPr>
      <w:spacing w:before="160"/>
      <w:jc w:val="center"/>
    </w:pPr>
    <w:rPr>
      <w:i/>
      <w:iCs/>
      <w:color w:val="404040" w:themeColor="text1" w:themeTint="BF"/>
    </w:rPr>
  </w:style>
  <w:style w:type="character" w:customStyle="1" w:styleId="QuoteChar">
    <w:name w:val="Quote Char"/>
    <w:basedOn w:val="DefaultParagraphFont"/>
    <w:link w:val="Quote"/>
    <w:uiPriority w:val="29"/>
    <w:rsid w:val="006F55AD"/>
    <w:rPr>
      <w:i/>
      <w:iCs/>
      <w:color w:val="404040" w:themeColor="text1" w:themeTint="BF"/>
    </w:rPr>
  </w:style>
  <w:style w:type="paragraph" w:styleId="ListParagraph">
    <w:name w:val="List Paragraph"/>
    <w:basedOn w:val="Normal"/>
    <w:uiPriority w:val="34"/>
    <w:qFormat/>
    <w:rsid w:val="006F55AD"/>
    <w:pPr>
      <w:ind w:left="720"/>
      <w:contextualSpacing/>
    </w:pPr>
  </w:style>
  <w:style w:type="character" w:styleId="IntenseEmphasis">
    <w:name w:val="Intense Emphasis"/>
    <w:basedOn w:val="DefaultParagraphFont"/>
    <w:uiPriority w:val="21"/>
    <w:qFormat/>
    <w:rsid w:val="006F55AD"/>
    <w:rPr>
      <w:i/>
      <w:iCs/>
      <w:color w:val="0F4761" w:themeColor="accent1" w:themeShade="BF"/>
    </w:rPr>
  </w:style>
  <w:style w:type="paragraph" w:styleId="IntenseQuote">
    <w:name w:val="Intense Quote"/>
    <w:basedOn w:val="Normal"/>
    <w:next w:val="Normal"/>
    <w:link w:val="IntenseQuoteChar"/>
    <w:uiPriority w:val="30"/>
    <w:qFormat/>
    <w:rsid w:val="006F5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5AD"/>
    <w:rPr>
      <w:i/>
      <w:iCs/>
      <w:color w:val="0F4761" w:themeColor="accent1" w:themeShade="BF"/>
    </w:rPr>
  </w:style>
  <w:style w:type="character" w:styleId="IntenseReference">
    <w:name w:val="Intense Reference"/>
    <w:basedOn w:val="DefaultParagraphFont"/>
    <w:uiPriority w:val="32"/>
    <w:qFormat/>
    <w:rsid w:val="006F55AD"/>
    <w:rPr>
      <w:b/>
      <w:bCs/>
      <w:smallCaps/>
      <w:color w:val="0F4761" w:themeColor="accent1" w:themeShade="BF"/>
      <w:spacing w:val="5"/>
    </w:rPr>
  </w:style>
  <w:style w:type="character" w:styleId="Hyperlink">
    <w:name w:val="Hyperlink"/>
    <w:basedOn w:val="DefaultParagraphFont"/>
    <w:uiPriority w:val="99"/>
    <w:unhideWhenUsed/>
    <w:rsid w:val="00114A13"/>
    <w:rPr>
      <w:color w:val="467886" w:themeColor="hyperlink"/>
      <w:u w:val="single"/>
    </w:rPr>
  </w:style>
  <w:style w:type="character" w:styleId="UnresolvedMention">
    <w:name w:val="Unresolved Mention"/>
    <w:basedOn w:val="DefaultParagraphFont"/>
    <w:uiPriority w:val="99"/>
    <w:semiHidden/>
    <w:unhideWhenUsed/>
    <w:rsid w:val="00114A13"/>
    <w:rPr>
      <w:color w:val="605E5C"/>
      <w:shd w:val="clear" w:color="auto" w:fill="E1DFDD"/>
    </w:rPr>
  </w:style>
  <w:style w:type="paragraph" w:styleId="Header">
    <w:name w:val="header"/>
    <w:basedOn w:val="Normal"/>
    <w:link w:val="HeaderChar"/>
    <w:uiPriority w:val="99"/>
    <w:unhideWhenUsed/>
    <w:rsid w:val="005B7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444"/>
  </w:style>
  <w:style w:type="paragraph" w:styleId="Footer">
    <w:name w:val="footer"/>
    <w:basedOn w:val="Normal"/>
    <w:link w:val="FooterChar"/>
    <w:uiPriority w:val="99"/>
    <w:unhideWhenUsed/>
    <w:rsid w:val="005B7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444"/>
  </w:style>
  <w:style w:type="paragraph" w:styleId="NoSpacing">
    <w:name w:val="No Spacing"/>
    <w:link w:val="NoSpacingChar"/>
    <w:uiPriority w:val="1"/>
    <w:qFormat/>
    <w:rsid w:val="005B744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744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905/apollo.v2i1.23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1967/icebit.v6i1.1621" TargetMode="External"/><Relationship Id="rId5" Type="http://schemas.openxmlformats.org/officeDocument/2006/relationships/footnotes" Target="footnotes.xml"/><Relationship Id="rId10" Type="http://schemas.openxmlformats.org/officeDocument/2006/relationships/hyperlink" Target="https://doi.org/10.1016/j.emj.2009.07.001" TargetMode="External"/><Relationship Id="rId4" Type="http://schemas.openxmlformats.org/officeDocument/2006/relationships/webSettings" Target="webSettings.xml"/><Relationship Id="rId9" Type="http://schemas.openxmlformats.org/officeDocument/2006/relationships/hyperlink" Target="https://doi.org/10.1037/ocp00000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2408</Words>
  <Characters>13732</Characters>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2025-12-05T23:20:00Z</dcterms:created>
  <dcterms:modified xsi:type="dcterms:W3CDTF">2025-12-06T00:36:00Z</dcterms:modified>
</cp:coreProperties>
</file>