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773FF" w14:textId="77777777" w:rsidR="00F621F2" w:rsidRDefault="00000000">
      <w:pPr>
        <w:pStyle w:val="Heading1"/>
        <w:jc w:val="both"/>
      </w:pPr>
      <w:bookmarkStart w:id="0" w:name="_o7onedavjd9n" w:colFirst="0" w:colLast="0"/>
      <w:bookmarkEnd w:id="0"/>
      <w:r>
        <w:t>Defamation in British Law</w:t>
      </w:r>
    </w:p>
    <w:p w14:paraId="1E29CD83" w14:textId="77777777" w:rsidR="00F621F2" w:rsidRDefault="00000000">
      <w:pPr>
        <w:pStyle w:val="Heading2"/>
        <w:jc w:val="both"/>
      </w:pPr>
      <w:bookmarkStart w:id="1" w:name="_qy9m2wyip023" w:colFirst="0" w:colLast="0"/>
      <w:bookmarkEnd w:id="1"/>
      <w:r>
        <w:t>Definition of Defamation</w:t>
      </w:r>
    </w:p>
    <w:p w14:paraId="44BDE631" w14:textId="77777777" w:rsidR="00F621F2" w:rsidRDefault="00000000">
      <w:pPr>
        <w:jc w:val="both"/>
      </w:pPr>
      <w:r>
        <w:t xml:space="preserve">In British law, defamation is a false statement that damages a person's reputation and results in avoidance, ostracised, or ridiculed treatment. It could be of people or companies and </w:t>
      </w:r>
      <w:proofErr w:type="gramStart"/>
      <w:r>
        <w:t>has to</w:t>
      </w:r>
      <w:proofErr w:type="gramEnd"/>
      <w:r>
        <w:t xml:space="preserve"> be disclosed to another party. The Defamation Act 2013 divides defamation mostly into two forms: libel and slander.</w:t>
      </w:r>
    </w:p>
    <w:p w14:paraId="4434CA34" w14:textId="77777777" w:rsidR="00F621F2" w:rsidRDefault="00000000">
      <w:pPr>
        <w:pStyle w:val="Heading2"/>
        <w:jc w:val="both"/>
      </w:pPr>
      <w:bookmarkStart w:id="2" w:name="_zd41u8v07i6q" w:colFirst="0" w:colLast="0"/>
      <w:bookmarkEnd w:id="2"/>
      <w:r>
        <w:t>Libel: Permanent Defamation</w:t>
      </w:r>
    </w:p>
    <w:p w14:paraId="383E1604" w14:textId="77777777" w:rsidR="00F621F2" w:rsidRDefault="00000000">
      <w:pPr>
        <w:jc w:val="both"/>
      </w:pPr>
      <w:r>
        <w:t>Libel is defamation which is made in a permanent form, for instance in a newspaper or a magazine article, a book, or in any other published writing. For instance, libel may be committed in a review where a business is falsely accused of selling counterfeit items that affect its reputation. British law generally considers libel as more serious as writing is permanent (Defamation Act 2013).</w:t>
      </w:r>
    </w:p>
    <w:p w14:paraId="40DF6B39" w14:textId="77777777" w:rsidR="00F621F2" w:rsidRDefault="00000000">
      <w:pPr>
        <w:pStyle w:val="Heading2"/>
        <w:jc w:val="both"/>
      </w:pPr>
      <w:bookmarkStart w:id="3" w:name="_b9t69tkua2ka" w:colFirst="0" w:colLast="0"/>
      <w:bookmarkEnd w:id="3"/>
      <w:r>
        <w:t>Slander: Temporary Defamation</w:t>
      </w:r>
    </w:p>
    <w:p w14:paraId="56214664" w14:textId="77777777" w:rsidR="00F621F2" w:rsidRDefault="00000000">
      <w:pPr>
        <w:jc w:val="both"/>
      </w:pPr>
      <w:r>
        <w:t xml:space="preserve">Slander is false statements in the form of words or in any non-tangible medium. For instance, uttering words to a friend in a cocktail that a neighbour is a thief is slander if it prejudicial to the neighbour’s reputation. Tenders </w:t>
      </w:r>
      <w:proofErr w:type="gramStart"/>
      <w:r>
        <w:t>have to</w:t>
      </w:r>
      <w:proofErr w:type="gramEnd"/>
      <w:r>
        <w:t xml:space="preserve"> be pleaded with actual loss unless the claim relates to areas such as crime or professional negligence (Defamation Act 2013).</w:t>
      </w:r>
    </w:p>
    <w:p w14:paraId="55965E9E" w14:textId="77777777" w:rsidR="00F621F2" w:rsidRDefault="00000000">
      <w:pPr>
        <w:pStyle w:val="Heading2"/>
        <w:jc w:val="both"/>
      </w:pPr>
      <w:bookmarkStart w:id="4" w:name="_j1qikoe0zzzt" w:colFirst="0" w:colLast="0"/>
      <w:bookmarkEnd w:id="4"/>
      <w:r>
        <w:t>Key Differences</w:t>
      </w:r>
    </w:p>
    <w:p w14:paraId="04B8A9A5" w14:textId="77777777" w:rsidR="00F621F2" w:rsidRDefault="00000000">
      <w:pPr>
        <w:jc w:val="both"/>
      </w:pPr>
      <w:r>
        <w:t xml:space="preserve">The main difference is in the form of the assertion: slander is also temporary while libel is permanent. </w:t>
      </w:r>
      <w:proofErr w:type="gramStart"/>
      <w:r>
        <w:t>Due to the fact that</w:t>
      </w:r>
      <w:proofErr w:type="gramEnd"/>
      <w:r>
        <w:t xml:space="preserve"> libel has greater and more persistent impact, its consequences traditionally are far more dire.</w:t>
      </w:r>
    </w:p>
    <w:p w14:paraId="3B50D50A" w14:textId="77777777" w:rsidR="00F621F2" w:rsidRDefault="00000000">
      <w:pPr>
        <w:pStyle w:val="Heading1"/>
        <w:jc w:val="both"/>
      </w:pPr>
      <w:bookmarkStart w:id="5" w:name="_w2fgv61pf2wg" w:colFirst="0" w:colLast="0"/>
      <w:bookmarkEnd w:id="5"/>
      <w:r>
        <w:t>The Defamation Act 1996: Purpose and Overview</w:t>
      </w:r>
    </w:p>
    <w:p w14:paraId="2709C005" w14:textId="77777777" w:rsidR="00F621F2" w:rsidRDefault="00000000">
      <w:pPr>
        <w:jc w:val="both"/>
      </w:pPr>
      <w:r>
        <w:t>To put an end to confusion which had characterised defamation law in Britain the Defamation Act 1996 was enacted with a view to providing protection to reputations while at the same time safeguarding freedom of speech. They corrected perceived flaws in previous laws related to arbitration and supply more specific guidelines for the elimination of disputes.</w:t>
      </w:r>
    </w:p>
    <w:p w14:paraId="3C183C0F" w14:textId="77777777" w:rsidR="00F621F2" w:rsidRDefault="00000000">
      <w:pPr>
        <w:pStyle w:val="Heading2"/>
        <w:jc w:val="both"/>
      </w:pPr>
      <w:bookmarkStart w:id="6" w:name="_a5ql737m06f9" w:colFirst="0" w:colLast="0"/>
      <w:bookmarkEnd w:id="6"/>
      <w:r>
        <w:t>Purpose of the Act</w:t>
      </w:r>
    </w:p>
    <w:p w14:paraId="08C4E6CA" w14:textId="77777777" w:rsidR="00F621F2" w:rsidRDefault="00000000">
      <w:pPr>
        <w:jc w:val="both"/>
      </w:pPr>
      <w:r>
        <w:t>The Act was designed to clarify the law of defamation, try to remove court intervention where appropriate, and promote the early settlement of cases. It also attempted to explain defences which may be open to someone who is accused of defamation.</w:t>
      </w:r>
    </w:p>
    <w:p w14:paraId="04D696F9" w14:textId="77777777" w:rsidR="00F621F2" w:rsidRDefault="00000000">
      <w:pPr>
        <w:pStyle w:val="Heading2"/>
        <w:jc w:val="both"/>
      </w:pPr>
      <w:bookmarkStart w:id="7" w:name="_d3xjv56esnvc" w:colFirst="0" w:colLast="0"/>
      <w:bookmarkEnd w:id="7"/>
      <w:r>
        <w:lastRenderedPageBreak/>
        <w:t>Key Provisions</w:t>
      </w:r>
    </w:p>
    <w:p w14:paraId="376A7BCA" w14:textId="77777777" w:rsidR="00F621F2" w:rsidRDefault="00000000">
      <w:pPr>
        <w:pStyle w:val="Heading3"/>
        <w:jc w:val="both"/>
      </w:pPr>
      <w:bookmarkStart w:id="8" w:name="_vd1895w5vnkd" w:colFirst="0" w:colLast="0"/>
      <w:bookmarkEnd w:id="8"/>
      <w:r>
        <w:t>Offer of Amends</w:t>
      </w:r>
    </w:p>
    <w:p w14:paraId="0B1BCA1B" w14:textId="77777777" w:rsidR="00F621F2" w:rsidRDefault="00000000">
      <w:pPr>
        <w:jc w:val="both"/>
      </w:pPr>
      <w:r>
        <w:t>Section 2 exposes the opportunity for a defendant to provide an “offer of amends” which includes the publication of an apology by the defendant and paying the claimant. Assuming this is agreed to, it leaves the conflict without prosecution and therefore ending up in court. For instance, in Milne v Express Newspapers [2005], the court envisaged that this mechanism really helped to reduce liability.</w:t>
      </w:r>
    </w:p>
    <w:p w14:paraId="4425197E" w14:textId="77777777" w:rsidR="00F621F2" w:rsidRDefault="00000000">
      <w:pPr>
        <w:pStyle w:val="Heading3"/>
        <w:jc w:val="both"/>
      </w:pPr>
      <w:bookmarkStart w:id="9" w:name="_x6b12trpkfs6" w:colFirst="0" w:colLast="0"/>
      <w:bookmarkEnd w:id="9"/>
      <w:r>
        <w:t>Innocent Dissemination</w:t>
      </w:r>
    </w:p>
    <w:p w14:paraId="5E4FCCA4" w14:textId="77777777" w:rsidR="00F621F2" w:rsidRDefault="00000000">
      <w:pPr>
        <w:jc w:val="both"/>
      </w:pPr>
      <w:r>
        <w:t xml:space="preserve">Section 1 shields secondary publishers who could be printers or Internet service providers from possible legal action against them in the event that they did not have any knowledge that </w:t>
      </w:r>
      <w:proofErr w:type="gramStart"/>
      <w:r>
        <w:t>the(</w:t>
      </w:r>
      <w:proofErr w:type="gramEnd"/>
      <w:r>
        <w:t>content in question was defamatory. This provision is useful especially in the online platform-related cases.</w:t>
      </w:r>
    </w:p>
    <w:p w14:paraId="366A8F90" w14:textId="77777777" w:rsidR="00F621F2" w:rsidRDefault="00000000">
      <w:pPr>
        <w:pStyle w:val="Heading3"/>
        <w:jc w:val="both"/>
      </w:pPr>
      <w:bookmarkStart w:id="10" w:name="_jnes1tbope5q" w:colFirst="0" w:colLast="0"/>
      <w:bookmarkEnd w:id="10"/>
      <w:r>
        <w:t>Summary Disposal</w:t>
      </w:r>
    </w:p>
    <w:p w14:paraId="311254F0" w14:textId="77777777" w:rsidR="00F621F2" w:rsidRDefault="00000000">
      <w:pPr>
        <w:jc w:val="both"/>
      </w:pPr>
      <w:r>
        <w:t>Section 8–10 allows courts to bring such cases to a conclusion quickly if the claimant’s case is undeserving thus avoiding wastage of costs.</w:t>
      </w:r>
    </w:p>
    <w:p w14:paraId="27515BEC" w14:textId="77777777" w:rsidR="00F621F2" w:rsidRDefault="00000000">
      <w:pPr>
        <w:pStyle w:val="Heading2"/>
        <w:jc w:val="both"/>
      </w:pPr>
      <w:bookmarkStart w:id="11" w:name="_1l0yaiv8rpzs" w:colFirst="0" w:colLast="0"/>
      <w:bookmarkEnd w:id="11"/>
      <w:r>
        <w:t>Application in British Cases</w:t>
      </w:r>
    </w:p>
    <w:p w14:paraId="77403350" w14:textId="77777777" w:rsidR="00F621F2" w:rsidRDefault="00000000">
      <w:pPr>
        <w:jc w:val="both"/>
      </w:pPr>
      <w:r>
        <w:t>The Act has been employed for accelerating the courts and endorsing agreements. Godfrey v. Demon Internet Ltd [1999] for instance limits the doctrine of “innocent dissemination” when the internet service provider fails to remove the material complained about.</w:t>
      </w:r>
    </w:p>
    <w:p w14:paraId="74FD884F" w14:textId="77777777" w:rsidR="00F621F2" w:rsidRDefault="00000000">
      <w:pPr>
        <w:pStyle w:val="Heading1"/>
        <w:jc w:val="both"/>
      </w:pPr>
      <w:bookmarkStart w:id="12" w:name="_f4karm7gkk3y" w:colFirst="0" w:colLast="0"/>
      <w:bookmarkEnd w:id="12"/>
      <w:r>
        <w:t>Key Issues and Limitations of the Defamation Act 1996</w:t>
      </w:r>
    </w:p>
    <w:p w14:paraId="3D632F77" w14:textId="77777777" w:rsidR="00F621F2" w:rsidRDefault="00000000">
      <w:pPr>
        <w:jc w:val="both"/>
      </w:pPr>
      <w:r>
        <w:t xml:space="preserve">While the Defamation Act 1996 is imperfect it did bring changes to defamation law in Britain. Some of the problems that have been thrust upon it which according to critics make it even harder for both the claimants and the defendants </w:t>
      </w:r>
      <w:proofErr w:type="gramStart"/>
      <w:r>
        <w:t>are;</w:t>
      </w:r>
      <w:proofErr w:type="gramEnd"/>
    </w:p>
    <w:p w14:paraId="2120D04F" w14:textId="77777777" w:rsidR="00F621F2" w:rsidRDefault="00000000">
      <w:pPr>
        <w:pStyle w:val="Heading2"/>
        <w:jc w:val="both"/>
      </w:pPr>
      <w:bookmarkStart w:id="13" w:name="_ltyt5ymuklve" w:colFirst="0" w:colLast="0"/>
      <w:bookmarkEnd w:id="13"/>
      <w:r>
        <w:t>Limited Scope of "Innocent Dissemination"</w:t>
      </w:r>
    </w:p>
    <w:p w14:paraId="02E425A5" w14:textId="77777777" w:rsidR="00F621F2" w:rsidRDefault="00000000">
      <w:pPr>
        <w:jc w:val="both"/>
      </w:pPr>
      <w:r>
        <w:t xml:space="preserve">Section 1 guards against liability for secondary publishers—including internet service providers (ISPs)—should they be ignorant of defamatory content. ISPs lose this protection, the court said in Godfrey v. Demon Internet Ltd [1999], nonetheless, if they neglect to delete offensive material upon notification. This case shows how limited the Act is in handling the complexity of online defamation because ISPs </w:t>
      </w:r>
      <w:proofErr w:type="gramStart"/>
      <w:r>
        <w:t>have to</w:t>
      </w:r>
      <w:proofErr w:type="gramEnd"/>
      <w:r>
        <w:t xml:space="preserve"> keep close eye on a lot of material.</w:t>
      </w:r>
    </w:p>
    <w:p w14:paraId="0584CE3D" w14:textId="77777777" w:rsidR="00F621F2" w:rsidRDefault="00000000">
      <w:pPr>
        <w:pStyle w:val="Heading2"/>
        <w:jc w:val="both"/>
      </w:pPr>
      <w:bookmarkStart w:id="14" w:name="_spyt2ngd1o3t" w:colFirst="0" w:colLast="0"/>
      <w:bookmarkEnd w:id="14"/>
      <w:r>
        <w:lastRenderedPageBreak/>
        <w:t>High Costs and Accessibility Issues</w:t>
      </w:r>
    </w:p>
    <w:p w14:paraId="52E89C7B" w14:textId="77777777" w:rsidR="00F621F2" w:rsidRDefault="00000000">
      <w:pPr>
        <w:jc w:val="both"/>
      </w:pPr>
      <w:r>
        <w:t>Although the Act included tools like "offer of amends" to lower litigation, many still find defamation cases expensive and unreachable. Claimants with low means might find it difficult to seek justice; defendants, especially smaller businesses, could be under pressure to pay even baseless claims because of legal costs (Steel &amp; Morris v. UK [2005]).</w:t>
      </w:r>
    </w:p>
    <w:p w14:paraId="40C7EC7F" w14:textId="77777777" w:rsidR="00F621F2" w:rsidRDefault="00000000">
      <w:pPr>
        <w:pStyle w:val="Heading2"/>
        <w:jc w:val="both"/>
      </w:pPr>
      <w:bookmarkStart w:id="15" w:name="_ounhzxo5zoqa" w:colFirst="0" w:colLast="0"/>
      <w:bookmarkEnd w:id="15"/>
      <w:r>
        <w:t>Outdated for Digital Communication</w:t>
      </w:r>
    </w:p>
    <w:p w14:paraId="50C89C2D" w14:textId="77777777" w:rsidR="00F621F2" w:rsidRDefault="00000000">
      <w:pPr>
        <w:jc w:val="both"/>
      </w:pPr>
      <w:r>
        <w:t>The Act dated back before social media became so widely used, when damaging remarks may travel quickly. Modern cases may depend on the Defamation Act 2013 for revised clauses, therefore revealing the shortcomings of the 1996 Act in properly addressing the issues of online defamation.</w:t>
      </w:r>
    </w:p>
    <w:p w14:paraId="3B1C5499" w14:textId="77777777" w:rsidR="00F621F2" w:rsidRDefault="00000000">
      <w:pPr>
        <w:pStyle w:val="Heading1"/>
        <w:jc w:val="both"/>
      </w:pPr>
      <w:bookmarkStart w:id="16" w:name="_t6kzhqlmrv5m" w:colFirst="0" w:colLast="0"/>
      <w:bookmarkEnd w:id="16"/>
      <w:r>
        <w:t>Changes Introduced by the Defamation Act 2013</w:t>
      </w:r>
    </w:p>
    <w:p w14:paraId="48E63AC9" w14:textId="77777777" w:rsidR="00F621F2" w:rsidRDefault="00000000">
      <w:pPr>
        <w:jc w:val="both"/>
      </w:pPr>
      <w:r>
        <w:t>Particularly for the digital era, the Defamation Act 2013 was proposed to update the legal structure and solve flaws in previous defamation rules. It underlined preserving reputations and preservation of freedom of speech.</w:t>
      </w:r>
    </w:p>
    <w:p w14:paraId="436A1C9E" w14:textId="77777777" w:rsidR="00F621F2" w:rsidRDefault="00000000">
      <w:pPr>
        <w:pStyle w:val="Heading2"/>
        <w:jc w:val="both"/>
      </w:pPr>
      <w:bookmarkStart w:id="17" w:name="_bc1etcdfuylq" w:colFirst="0" w:colLast="0"/>
      <w:bookmarkEnd w:id="17"/>
      <w:r>
        <w:t>Serious Harm Threshold</w:t>
      </w:r>
    </w:p>
    <w:p w14:paraId="58D8ACF1" w14:textId="77777777" w:rsidR="00F621F2" w:rsidRDefault="00000000">
      <w:pPr>
        <w:jc w:val="both"/>
      </w:pPr>
      <w:r>
        <w:t xml:space="preserve">Section 1 requires on applicants to show that their reputation suffered "serious harm" from the defamatory comment. Financial loss </w:t>
      </w:r>
      <w:proofErr w:type="gramStart"/>
      <w:r>
        <w:t>has to</w:t>
      </w:r>
      <w:proofErr w:type="gramEnd"/>
      <w:r>
        <w:t xml:space="preserve"> be shown for companies. This clause discourages minor claims, as the Supreme Court stated in </w:t>
      </w:r>
      <w:proofErr w:type="spellStart"/>
      <w:r>
        <w:t>Lachaux</w:t>
      </w:r>
      <w:proofErr w:type="spellEnd"/>
      <w:r>
        <w:t xml:space="preserve"> v Independent Print Ltd [2019] stressing that real proof, not just the substance of the statement, must be used to evaluate significant damage.</w:t>
      </w:r>
    </w:p>
    <w:p w14:paraId="0B6F87B3" w14:textId="77777777" w:rsidR="00F621F2" w:rsidRDefault="00000000">
      <w:pPr>
        <w:pStyle w:val="Heading2"/>
        <w:jc w:val="both"/>
      </w:pPr>
      <w:bookmarkStart w:id="18" w:name="_jurf516mbcf4" w:colFirst="0" w:colLast="0"/>
      <w:bookmarkEnd w:id="18"/>
      <w:r>
        <w:t>Defence of Truth</w:t>
      </w:r>
    </w:p>
    <w:p w14:paraId="50B591F4" w14:textId="77777777" w:rsidR="00F621F2" w:rsidRDefault="00000000">
      <w:pPr>
        <w:jc w:val="both"/>
      </w:pPr>
      <w:r>
        <w:t>Section 2 replaced "truth" for the common law defence of justification. By establishing the statement was essentially truthful, defendants may escape culpability and streamline the defence procedure and match it with contemporary legal rules.</w:t>
      </w:r>
    </w:p>
    <w:p w14:paraId="60AD12C2" w14:textId="77777777" w:rsidR="00F621F2" w:rsidRDefault="00000000">
      <w:pPr>
        <w:pStyle w:val="Heading2"/>
        <w:jc w:val="both"/>
      </w:pPr>
      <w:bookmarkStart w:id="19" w:name="_hv80ui62qyyj" w:colFirst="0" w:colLast="0"/>
      <w:bookmarkEnd w:id="19"/>
      <w:r>
        <w:t>Public Interest Defence</w:t>
      </w:r>
    </w:p>
    <w:p w14:paraId="6AB58380" w14:textId="77777777" w:rsidR="00F621F2" w:rsidRDefault="00000000">
      <w:pPr>
        <w:jc w:val="both"/>
      </w:pPr>
      <w:r>
        <w:t>Section 4 added a defence for remarks on public interest issues, based on publisher reasonable belief that publication will benefit the public. In Economou v. de Freitas [2018], where the court underlined the need of ethical journalism, this argument was crucial.</w:t>
      </w:r>
    </w:p>
    <w:p w14:paraId="5082BC56" w14:textId="77777777" w:rsidR="00F621F2" w:rsidRDefault="00000000">
      <w:pPr>
        <w:pStyle w:val="Heading2"/>
        <w:jc w:val="both"/>
      </w:pPr>
      <w:bookmarkStart w:id="20" w:name="_5c8aa115qui9" w:colFirst="0" w:colLast="0"/>
      <w:bookmarkEnd w:id="20"/>
      <w:r>
        <w:t>Protection for Secondary Publishers</w:t>
      </w:r>
    </w:p>
    <w:p w14:paraId="42800C3A" w14:textId="77777777" w:rsidR="00F621F2" w:rsidRDefault="00000000">
      <w:pPr>
        <w:jc w:val="both"/>
      </w:pPr>
      <w:r>
        <w:t>Section 10 requires claimants to seek the original author whenever feasible, therefore restricting claims against secondary publishers such as ISPs.</w:t>
      </w:r>
    </w:p>
    <w:p w14:paraId="4561F6DE" w14:textId="77777777" w:rsidR="00F621F2" w:rsidRDefault="00000000">
      <w:pPr>
        <w:pStyle w:val="Heading1"/>
        <w:jc w:val="both"/>
      </w:pPr>
      <w:bookmarkStart w:id="21" w:name="_mchp1zk3xjtj" w:colFirst="0" w:colLast="0"/>
      <w:bookmarkEnd w:id="21"/>
      <w:r>
        <w:lastRenderedPageBreak/>
        <w:t>Advantages and Disadvantages of the Defamation Act 2013 Compared to the 1996 Act</w:t>
      </w:r>
    </w:p>
    <w:p w14:paraId="5A488EC5" w14:textId="77777777" w:rsidR="00F621F2" w:rsidRDefault="00000000">
      <w:pPr>
        <w:jc w:val="both"/>
      </w:pPr>
      <w:r>
        <w:t>Building on the concepts of the 1996 Act, the Defamation Act 2013 brought important changes to British defamation law. It brought new difficulties even as it corrected certain flaws.</w:t>
      </w:r>
    </w:p>
    <w:p w14:paraId="2C99F987" w14:textId="77777777" w:rsidR="00F621F2" w:rsidRDefault="00000000">
      <w:pPr>
        <w:pStyle w:val="Heading2"/>
        <w:jc w:val="both"/>
      </w:pPr>
      <w:bookmarkStart w:id="22" w:name="_wzx7fjqoaowa" w:colFirst="0" w:colLast="0"/>
      <w:bookmarkEnd w:id="22"/>
      <w:r>
        <w:t>Advantages of the 2013 Act</w:t>
      </w:r>
    </w:p>
    <w:p w14:paraId="2A068158" w14:textId="77777777" w:rsidR="00F621F2" w:rsidRDefault="00000000">
      <w:pPr>
        <w:pStyle w:val="Heading3"/>
        <w:jc w:val="both"/>
      </w:pPr>
      <w:bookmarkStart w:id="23" w:name="_ojg4m4fpgsqn" w:colFirst="0" w:colLast="0"/>
      <w:bookmarkEnd w:id="23"/>
      <w:r>
        <w:t>Higher Threshold for Claim</w:t>
      </w:r>
    </w:p>
    <w:p w14:paraId="569CC384" w14:textId="77777777" w:rsidR="00F621F2" w:rsidRDefault="00000000">
      <w:pPr>
        <w:jc w:val="both"/>
      </w:pPr>
      <w:r>
        <w:t xml:space="preserve">The "serious harm" test's insertion in Section 1 cut out small claims. For instance, the court underlined in </w:t>
      </w:r>
      <w:proofErr w:type="spellStart"/>
      <w:r>
        <w:t>Lachaux</w:t>
      </w:r>
      <w:proofErr w:type="spellEnd"/>
      <w:r>
        <w:t xml:space="preserve"> v Independent Print Ltd [2019] the need of proving actual reputational harm and prohibiting weak claims.</w:t>
      </w:r>
    </w:p>
    <w:p w14:paraId="570581C8" w14:textId="77777777" w:rsidR="00F621F2" w:rsidRDefault="00000000">
      <w:pPr>
        <w:pStyle w:val="Heading3"/>
        <w:jc w:val="both"/>
      </w:pPr>
      <w:bookmarkStart w:id="24" w:name="_2xfiz1d552k" w:colFirst="0" w:colLast="0"/>
      <w:bookmarkEnd w:id="24"/>
      <w:r>
        <w:t>Stronger Protection for Free Speech</w:t>
      </w:r>
    </w:p>
    <w:p w14:paraId="0950C5E7" w14:textId="77777777" w:rsidR="00F621F2" w:rsidRDefault="00000000">
      <w:pPr>
        <w:jc w:val="both"/>
      </w:pPr>
      <w:r>
        <w:t>Under Section 4, the "public interest" argument encourages responsible journalism—as in Economou v. de Freitas [2018]. The 1996 Act, which drew on common law protections, lacked this.</w:t>
      </w:r>
    </w:p>
    <w:p w14:paraId="7AC4E623" w14:textId="77777777" w:rsidR="00F621F2" w:rsidRDefault="00000000">
      <w:pPr>
        <w:pStyle w:val="Heading3"/>
        <w:jc w:val="both"/>
      </w:pPr>
      <w:bookmarkStart w:id="25" w:name="_mqv76utze033" w:colFirst="0" w:colLast="0"/>
      <w:bookmarkEnd w:id="25"/>
      <w:r>
        <w:t>Adaptation to the Digital Era</w:t>
      </w:r>
    </w:p>
    <w:p w14:paraId="6EBDC7E5" w14:textId="77777777" w:rsidR="00F621F2" w:rsidRDefault="00000000">
      <w:pPr>
        <w:jc w:val="both"/>
      </w:pPr>
      <w:r>
        <w:t>Section 10 provides clarification for online platforms, an area undeveloped in the 1996 Act, and restricts responsibility for secondary publishers such as ISPs (Godfrey v. Demon Internet Ltd [1999]).</w:t>
      </w:r>
    </w:p>
    <w:p w14:paraId="01AA8DB6" w14:textId="77777777" w:rsidR="00F621F2" w:rsidRDefault="00000000">
      <w:pPr>
        <w:pStyle w:val="Heading2"/>
        <w:jc w:val="both"/>
      </w:pPr>
      <w:bookmarkStart w:id="26" w:name="_wovqg8nmf4h9" w:colFirst="0" w:colLast="0"/>
      <w:bookmarkEnd w:id="26"/>
      <w:r>
        <w:t>Disadvantages of the 2013 Act</w:t>
      </w:r>
    </w:p>
    <w:p w14:paraId="070B39CA" w14:textId="77777777" w:rsidR="00F621F2" w:rsidRDefault="00000000">
      <w:pPr>
        <w:pStyle w:val="Heading3"/>
        <w:jc w:val="both"/>
      </w:pPr>
      <w:bookmarkStart w:id="27" w:name="_86qp77hve74j" w:colFirst="0" w:colLast="0"/>
      <w:bookmarkEnd w:id="27"/>
      <w:r>
        <w:t>Subjectivity in Serious Harm</w:t>
      </w:r>
    </w:p>
    <w:p w14:paraId="54B4B67A" w14:textId="77777777" w:rsidR="00F621F2" w:rsidRDefault="00000000">
      <w:pPr>
        <w:jc w:val="both"/>
      </w:pPr>
      <w:r>
        <w:t>Critics contend that because damage is personal and case-dependent, the "serious harm" criteria might lead to doubt.</w:t>
      </w:r>
    </w:p>
    <w:p w14:paraId="33C94AB7" w14:textId="77777777" w:rsidR="00F621F2" w:rsidRDefault="00000000">
      <w:pPr>
        <w:pStyle w:val="Heading3"/>
        <w:jc w:val="both"/>
      </w:pPr>
      <w:bookmarkStart w:id="28" w:name="_ayeno4d0j72o" w:colFirst="0" w:colLast="0"/>
      <w:bookmarkEnd w:id="28"/>
      <w:r>
        <w:t>Complexity for Claimants</w:t>
      </w:r>
    </w:p>
    <w:p w14:paraId="4C442852" w14:textId="77777777" w:rsidR="00F621F2" w:rsidRDefault="00000000">
      <w:pPr>
        <w:jc w:val="both"/>
      </w:pPr>
      <w:r>
        <w:t>Particularly for those with less means, the weight of establishing damage or public interest might discourage legitimate claims (Steel &amp; Morris v UK [2005]).</w:t>
      </w:r>
    </w:p>
    <w:p w14:paraId="6DCBA375" w14:textId="77777777" w:rsidR="00F621F2" w:rsidRDefault="00000000">
      <w:pPr>
        <w:pStyle w:val="Heading1"/>
        <w:jc w:val="both"/>
      </w:pPr>
      <w:bookmarkStart w:id="29" w:name="_6ipn9n4nm" w:colFirst="0" w:colLast="0"/>
      <w:bookmarkEnd w:id="29"/>
      <w:r>
        <w:t>Areas for Reform in British Defamation Law</w:t>
      </w:r>
    </w:p>
    <w:p w14:paraId="384ABF42" w14:textId="77777777" w:rsidR="00F621F2" w:rsidRDefault="00000000">
      <w:pPr>
        <w:jc w:val="both"/>
      </w:pPr>
      <w:r>
        <w:t>Although British defamation law has changed dramatically, further changes are required to solve issues especially in the digital era.</w:t>
      </w:r>
    </w:p>
    <w:p w14:paraId="26981547" w14:textId="77777777" w:rsidR="00F621F2" w:rsidRDefault="00000000">
      <w:pPr>
        <w:pStyle w:val="Heading2"/>
        <w:jc w:val="both"/>
      </w:pPr>
      <w:bookmarkStart w:id="30" w:name="_g89eam5v2t0l" w:colFirst="0" w:colLast="0"/>
      <w:bookmarkEnd w:id="30"/>
      <w:r>
        <w:lastRenderedPageBreak/>
        <w:t>Addressing Online Defamation</w:t>
      </w:r>
    </w:p>
    <w:p w14:paraId="33751784" w14:textId="77777777" w:rsidR="00F621F2" w:rsidRDefault="00000000">
      <w:pPr>
        <w:jc w:val="both"/>
      </w:pPr>
      <w:r>
        <w:t>Social media is one of the significant causes of defamation; however, regulative measures do not efficiently fight anonymous messages. Some modern cases such as Godfrey v Demon Internet Ltd [1999] brought to light the difficulties of tortious liability in intermediaries. Subsequent changes may include increasing the speed of takedown processes for defamation and the setting of more rigid processes for those who use anonymity.</w:t>
      </w:r>
    </w:p>
    <w:p w14:paraId="2E13EAD0" w14:textId="77777777" w:rsidR="00F621F2" w:rsidRDefault="00000000">
      <w:pPr>
        <w:pStyle w:val="Heading2"/>
        <w:jc w:val="both"/>
      </w:pPr>
      <w:bookmarkStart w:id="31" w:name="_qdffgzjl8633" w:colFirst="0" w:colLast="0"/>
      <w:bookmarkEnd w:id="31"/>
      <w:r>
        <w:t>Enhancing Accessibility</w:t>
      </w:r>
    </w:p>
    <w:p w14:paraId="4D23E875" w14:textId="77777777" w:rsidR="00F621F2" w:rsidRDefault="00000000">
      <w:pPr>
        <w:jc w:val="both"/>
      </w:pPr>
      <w:r>
        <w:t xml:space="preserve">The defamation claims are still costly hence less people can afford to seek justice. The Defamation Act 1996 sought to reduce costs through such features as ‘offer of amends,’ but these are not feted adequately. More changes could help foster cheap Types of </w:t>
      </w:r>
      <w:proofErr w:type="gramStart"/>
      <w:r>
        <w:t>Dispute</w:t>
      </w:r>
      <w:proofErr w:type="gramEnd"/>
      <w:r>
        <w:t xml:space="preserve"> Solving like mediation or small claims procedure recommended to by Steel &amp; Morris v UK [2005].</w:t>
      </w:r>
    </w:p>
    <w:p w14:paraId="7599A180" w14:textId="77777777" w:rsidR="00F621F2" w:rsidRDefault="00000000">
      <w:pPr>
        <w:pStyle w:val="Heading2"/>
        <w:jc w:val="both"/>
      </w:pPr>
      <w:bookmarkStart w:id="32" w:name="_yaw6rss85rg8" w:colFirst="0" w:colLast="0"/>
      <w:bookmarkEnd w:id="32"/>
      <w:r>
        <w:t>Strengthening Protections for Public Interest</w:t>
      </w:r>
    </w:p>
    <w:p w14:paraId="21D592E7" w14:textId="77777777" w:rsidR="00F621F2" w:rsidRDefault="00000000">
      <w:pPr>
        <w:jc w:val="both"/>
      </w:pPr>
      <w:r>
        <w:t>Although the 2013 Act strengthened the protection of public interest, there is a need for clear definitions, issues about journalism are ambiguous in Economou v de Freitas [2018].</w:t>
      </w:r>
    </w:p>
    <w:p w14:paraId="197174DF" w14:textId="77777777" w:rsidR="00F621F2" w:rsidRDefault="00000000">
      <w:pPr>
        <w:pStyle w:val="Heading1"/>
        <w:jc w:val="both"/>
      </w:pPr>
      <w:bookmarkStart w:id="33" w:name="_otmnbbh3utfg" w:colFirst="0" w:colLast="0"/>
      <w:bookmarkEnd w:id="33"/>
      <w:r>
        <w:t>Balancing Freedom of Speech and Right to Reputation in British Defamation Law</w:t>
      </w:r>
    </w:p>
    <w:p w14:paraId="309D5765" w14:textId="77777777" w:rsidR="00F621F2" w:rsidRDefault="00000000">
      <w:pPr>
        <w:jc w:val="both"/>
      </w:pPr>
      <w:r>
        <w:t>Two basic values—the right to freedom of expression and the right to defend one's reputation—are sought to be balanced in British defamation law.</w:t>
      </w:r>
    </w:p>
    <w:p w14:paraId="1F2E8301" w14:textId="77777777" w:rsidR="00F621F2" w:rsidRDefault="00000000">
      <w:pPr>
        <w:pStyle w:val="Heading2"/>
        <w:jc w:val="both"/>
      </w:pPr>
      <w:bookmarkStart w:id="34" w:name="_19bebndxou68" w:colFirst="0" w:colLast="0"/>
      <w:bookmarkEnd w:id="34"/>
      <w:r>
        <w:t>Freedom of Speech</w:t>
      </w:r>
    </w:p>
    <w:p w14:paraId="56647183" w14:textId="77777777" w:rsidR="00F621F2" w:rsidRDefault="00000000">
      <w:pPr>
        <w:jc w:val="both"/>
      </w:pPr>
      <w:r>
        <w:t>The Defamation Act 2013 enhanced protections of freedom of speech. Section 4 established the "public interest" defence, which let reporters and others print remarks of public significance. Reflecting the importance of free expression in democratic society, the court maintained this argument for responsible reporting in Economou v de Freitas [2018].</w:t>
      </w:r>
    </w:p>
    <w:p w14:paraId="6663989D" w14:textId="77777777" w:rsidR="00F621F2" w:rsidRDefault="00000000">
      <w:pPr>
        <w:pStyle w:val="Heading2"/>
        <w:jc w:val="both"/>
      </w:pPr>
      <w:bookmarkStart w:id="35" w:name="_3a6w7h8b4mpb" w:colFirst="0" w:colLast="0"/>
      <w:bookmarkEnd w:id="35"/>
      <w:r>
        <w:t>Protection of Reputation</w:t>
      </w:r>
    </w:p>
    <w:p w14:paraId="15E299B4" w14:textId="77777777" w:rsidR="00F621F2" w:rsidRDefault="00000000">
      <w:pPr>
        <w:jc w:val="both"/>
      </w:pPr>
      <w:r>
        <w:t xml:space="preserve">On the other hand, the "serious harm" threshold included in Section 1 of the 2013 Act guarantees protection of reputations against unjustified damage. The Supreme Court reaffirmed in </w:t>
      </w:r>
      <w:proofErr w:type="spellStart"/>
      <w:r>
        <w:t>Lachaux</w:t>
      </w:r>
      <w:proofErr w:type="spellEnd"/>
      <w:r>
        <w:t xml:space="preserve"> v Independent Print Ltd [2019] the requirement of proving genuine damage, therefore countering the use of defamation lawsuits to suppress critics.</w:t>
      </w:r>
    </w:p>
    <w:p w14:paraId="312F39A0" w14:textId="77777777" w:rsidR="00F621F2" w:rsidRDefault="00000000">
      <w:pPr>
        <w:pStyle w:val="Heading2"/>
        <w:jc w:val="both"/>
      </w:pPr>
      <w:bookmarkStart w:id="36" w:name="_cfk264jbhbqg" w:colFirst="0" w:colLast="0"/>
      <w:bookmarkEnd w:id="36"/>
      <w:r>
        <w:t>Ethical Balance</w:t>
      </w:r>
    </w:p>
    <w:p w14:paraId="7BC2818B" w14:textId="77777777" w:rsidR="00F621F2" w:rsidRDefault="00000000">
      <w:pPr>
        <w:jc w:val="both"/>
      </w:pPr>
      <w:r>
        <w:t>Though issues remain in the digital age, the law balances ethical and constitutional ideals by restricting minor claims and safeguarding responsible communication.</w:t>
      </w:r>
    </w:p>
    <w:p w14:paraId="6FF0AA34" w14:textId="77777777" w:rsidR="00F621F2" w:rsidRDefault="00000000">
      <w:pPr>
        <w:jc w:val="both"/>
      </w:pPr>
      <w:r>
        <w:br w:type="page"/>
      </w:r>
    </w:p>
    <w:p w14:paraId="7EBE7EB4" w14:textId="77777777" w:rsidR="00F621F2" w:rsidRDefault="00000000">
      <w:pPr>
        <w:pStyle w:val="Heading1"/>
        <w:jc w:val="both"/>
      </w:pPr>
      <w:bookmarkStart w:id="37" w:name="_zd3fk9y5q9zd" w:colFirst="0" w:colLast="0"/>
      <w:bookmarkEnd w:id="37"/>
      <w:r>
        <w:lastRenderedPageBreak/>
        <w:t>References</w:t>
      </w:r>
    </w:p>
    <w:p w14:paraId="6D0FBC4B" w14:textId="77777777" w:rsidR="00F621F2" w:rsidRDefault="00000000">
      <w:r>
        <w:t>Defamation Act 1996. Available at: legislation.gov.uk (Accessed: 19 December 2024).</w:t>
      </w:r>
    </w:p>
    <w:p w14:paraId="0FB781A9" w14:textId="77777777" w:rsidR="00F621F2" w:rsidRDefault="00000000">
      <w:r>
        <w:t>Defamation Act 2013. Available at: legislation.gov.uk (Accessed: 19 December 2024).</w:t>
      </w:r>
    </w:p>
    <w:p w14:paraId="0DF5DFFA" w14:textId="77777777" w:rsidR="00F621F2" w:rsidRDefault="00000000">
      <w:r>
        <w:t xml:space="preserve">Economou v de Freitas [2018] EWCA </w:t>
      </w:r>
      <w:proofErr w:type="spellStart"/>
      <w:r>
        <w:t>Civ</w:t>
      </w:r>
      <w:proofErr w:type="spellEnd"/>
      <w:r>
        <w:t xml:space="preserve"> 2591.</w:t>
      </w:r>
    </w:p>
    <w:p w14:paraId="2C9E3A69" w14:textId="77777777" w:rsidR="00F621F2" w:rsidRDefault="00000000">
      <w:r>
        <w:t>Godfrey v Demon Internet Ltd [1999] 4 All ER 342.</w:t>
      </w:r>
    </w:p>
    <w:p w14:paraId="4D3397A6" w14:textId="77777777" w:rsidR="00F621F2" w:rsidRDefault="00000000">
      <w:proofErr w:type="spellStart"/>
      <w:r>
        <w:t>Lachaux</w:t>
      </w:r>
      <w:proofErr w:type="spellEnd"/>
      <w:r>
        <w:t xml:space="preserve"> v Independent Print Ltd [2019] UKSC 27.</w:t>
      </w:r>
    </w:p>
    <w:p w14:paraId="4F4D9C69" w14:textId="77777777" w:rsidR="00F621F2" w:rsidRDefault="00000000">
      <w:r>
        <w:t xml:space="preserve">Milne v Express Newspapers [2005] EWCA </w:t>
      </w:r>
      <w:proofErr w:type="spellStart"/>
      <w:r>
        <w:t>Civ</w:t>
      </w:r>
      <w:proofErr w:type="spellEnd"/>
      <w:r>
        <w:t xml:space="preserve"> 1009.</w:t>
      </w:r>
    </w:p>
    <w:p w14:paraId="6F765191" w14:textId="77777777" w:rsidR="00F621F2" w:rsidRDefault="00000000">
      <w:r>
        <w:t>Steel &amp; Morris v UK (2005) 41 EHRR 22.</w:t>
      </w:r>
    </w:p>
    <w:sectPr w:rsidR="00F621F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1F2"/>
    <w:rsid w:val="000F47C8"/>
    <w:rsid w:val="007F2A8F"/>
    <w:rsid w:val="00835E08"/>
    <w:rsid w:val="00F62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44F70"/>
  <w15:docId w15:val="{1484009F-A125-4552-9997-97CBD26B3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1542</Words>
  <Characters>8791</Characters>
  <Application>Microsoft Office Word</Application>
  <DocSecurity>0</DocSecurity>
  <Lines>73</Lines>
  <Paragraphs>20</Paragraphs>
  <ScaleCrop>false</ScaleCrop>
  <Company/>
  <LinksUpToDate>false</LinksUpToDate>
  <CharactersWithSpaces>10313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2025-01-05T12:42:00Z</dcterms:created>
  <dcterms:modified xsi:type="dcterms:W3CDTF">2025-01-05T12:42:00Z</dcterms:modified>
</cp:coreProperties>
</file>