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heme="majorBidi" w:hAnsiTheme="majorBidi" w:cstheme="majorBidi"/>
        </w:rPr>
        <w:id w:val="1870026428"/>
        <w:docPartObj>
          <w:docPartGallery w:val="autotext"/>
        </w:docPartObj>
      </w:sdtPr>
      <w:sdtEndPr>
        <w:rPr>
          <w:rFonts w:asciiTheme="majorBidi" w:hAnsiTheme="majorBidi" w:cstheme="majorBidi"/>
          <w:szCs w:val="24"/>
        </w:rPr>
      </w:sdtEndPr>
      <w:sdtContent>
        <w:p>
          <w:pPr>
            <w:spacing w:line="240" w:lineRule="auto"/>
            <w:jc w:val="center"/>
            <w:rPr>
              <w:rFonts w:asciiTheme="majorBidi" w:hAnsiTheme="majorBidi" w:cstheme="majorBidi"/>
            </w:rPr>
          </w:pPr>
          <w:r>
            <w:rPr>
              <w:rFonts w:asciiTheme="majorBidi" w:hAnsiTheme="majorBidi" w:cstheme="majorBidi"/>
            </w:rPr>
            <w:drawing>
              <wp:inline distT="0" distB="0" distL="0" distR="0">
                <wp:extent cx="2157095" cy="862965"/>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pPr>
            <w:spacing w:line="240" w:lineRule="auto"/>
            <w:jc w:val="center"/>
            <w:rPr>
              <w:rFonts w:asciiTheme="majorBidi" w:hAnsiTheme="majorBidi" w:cstheme="majorBidi"/>
            </w:rPr>
          </w:pPr>
        </w:p>
        <w:p>
          <w:pPr>
            <w:spacing w:line="240" w:lineRule="auto"/>
            <w:jc w:val="center"/>
            <w:rPr>
              <w:rFonts w:asciiTheme="majorBidi" w:hAnsiTheme="majorBidi" w:cstheme="majorBidi"/>
              <w:szCs w:val="24"/>
            </w:rPr>
          </w:pPr>
        </w:p>
        <w:p>
          <w:pPr>
            <w:tabs>
              <w:tab w:val="left" w:pos="2768"/>
            </w:tabs>
            <w:spacing w:line="240" w:lineRule="auto"/>
            <w:jc w:val="center"/>
            <w:rPr>
              <w:rFonts w:asciiTheme="majorBidi" w:hAnsiTheme="majorBidi" w:cstheme="majorBidi"/>
              <w:sz w:val="32"/>
              <w:szCs w:val="32"/>
            </w:rPr>
          </w:pPr>
          <w:r>
            <w:rPr>
              <w:rFonts w:asciiTheme="majorBidi" w:hAnsiTheme="majorBidi" w:cstheme="majorBidi"/>
              <w:sz w:val="40"/>
              <w:szCs w:val="40"/>
            </w:rPr>
            <w:t>International Business LCMB7014</w:t>
          </w: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 w:val="40"/>
              <w:szCs w:val="40"/>
            </w:rPr>
          </w:pPr>
          <w:r>
            <w:rPr>
              <w:rFonts w:asciiTheme="majorBidi" w:hAnsiTheme="majorBidi" w:cstheme="majorBidi"/>
              <w:color w:val="FF0000"/>
              <w:sz w:val="40"/>
              <w:szCs w:val="40"/>
            </w:rPr>
            <w:t>Toyota</w:t>
          </w:r>
          <w:r>
            <w:rPr>
              <w:rFonts w:asciiTheme="majorBidi" w:hAnsiTheme="majorBidi" w:cstheme="majorBidi"/>
              <w:sz w:val="40"/>
              <w:szCs w:val="40"/>
            </w:rPr>
            <w:t xml:space="preserve"> International Business in </w:t>
          </w:r>
          <w:r>
            <w:rPr>
              <w:rFonts w:asciiTheme="majorBidi" w:hAnsiTheme="majorBidi" w:cstheme="majorBidi"/>
              <w:color w:val="FF0000"/>
              <w:sz w:val="40"/>
              <w:szCs w:val="40"/>
            </w:rPr>
            <w:t>China</w:t>
          </w:r>
        </w:p>
        <w:p>
          <w:pPr>
            <w:spacing w:line="240" w:lineRule="auto"/>
            <w:jc w:val="center"/>
            <w:rPr>
              <w:rFonts w:asciiTheme="majorBidi" w:hAnsiTheme="majorBidi" w:cstheme="majorBidi"/>
              <w:sz w:val="40"/>
              <w:szCs w:val="40"/>
            </w:rPr>
          </w:pPr>
          <w:r>
            <w:rPr>
              <w:rFonts w:asciiTheme="majorBidi" w:hAnsiTheme="majorBidi" w:cstheme="majorBidi"/>
              <w:color w:val="FF0000"/>
              <w:lang w:eastAsia="en-GB"/>
            </w:rPr>
            <w:t>Words- 5</w:t>
          </w:r>
          <w:r>
            <w:rPr>
              <w:rFonts w:hint="default" w:asciiTheme="majorBidi" w:hAnsiTheme="majorBidi" w:cstheme="majorBidi"/>
              <w:color w:val="FF0000"/>
              <w:lang w:val="en-IN" w:eastAsia="en-GB"/>
            </w:rPr>
            <w:t>3</w:t>
          </w:r>
          <w:r>
            <w:rPr>
              <w:rFonts w:asciiTheme="majorBidi" w:hAnsiTheme="majorBidi" w:cstheme="majorBidi"/>
              <w:color w:val="FF0000"/>
              <w:lang w:eastAsia="en-GB"/>
            </w:rPr>
            <w:t>00</w:t>
          </w:r>
          <w:bookmarkStart w:id="109" w:name="_GoBack"/>
          <w:bookmarkEnd w:id="109"/>
        </w:p>
        <w:p>
          <w:pPr>
            <w:spacing w:line="240" w:lineRule="auto"/>
            <w:jc w:val="center"/>
            <w:rPr>
              <w:rFonts w:asciiTheme="majorBidi" w:hAnsiTheme="majorBidi" w:cstheme="majorBidi"/>
              <w:sz w:val="40"/>
              <w:szCs w:val="40"/>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center"/>
            <w:rPr>
              <w:rFonts w:asciiTheme="majorBidi" w:hAnsiTheme="majorBidi" w:cstheme="majorBidi"/>
              <w:szCs w:val="24"/>
            </w:rPr>
          </w:pPr>
        </w:p>
        <w:p>
          <w:pPr>
            <w:spacing w:line="240" w:lineRule="auto"/>
            <w:jc w:val="left"/>
            <w:rPr>
              <w:rFonts w:hint="default" w:asciiTheme="majorBidi" w:hAnsiTheme="majorBidi" w:cstheme="majorBidi"/>
              <w:sz w:val="28"/>
              <w:szCs w:val="28"/>
              <w:lang w:val="en-IN"/>
            </w:rPr>
          </w:pPr>
          <w:r>
            <w:rPr>
              <w:rFonts w:asciiTheme="majorBidi" w:hAnsiTheme="majorBidi" w:cstheme="majorBidi"/>
              <w:sz w:val="28"/>
              <w:szCs w:val="28"/>
            </w:rPr>
            <w:t>Student name:</w:t>
          </w:r>
          <w:r>
            <w:rPr>
              <w:rFonts w:hint="default" w:asciiTheme="majorBidi" w:hAnsiTheme="majorBidi" w:cstheme="majorBidi"/>
              <w:sz w:val="28"/>
              <w:szCs w:val="28"/>
              <w:lang w:val="en-IN"/>
            </w:rPr>
            <w:t xml:space="preserve"> Zeel Surti</w:t>
          </w:r>
        </w:p>
        <w:p>
          <w:pPr>
            <w:spacing w:line="240" w:lineRule="auto"/>
            <w:jc w:val="left"/>
            <w:rPr>
              <w:rFonts w:hint="default" w:asciiTheme="majorBidi" w:hAnsiTheme="majorBidi" w:cstheme="majorBidi"/>
              <w:sz w:val="28"/>
              <w:szCs w:val="28"/>
              <w:lang w:val="en-IN"/>
            </w:rPr>
          </w:pPr>
          <w:r>
            <w:rPr>
              <w:rFonts w:asciiTheme="majorBidi" w:hAnsiTheme="majorBidi" w:cstheme="majorBidi"/>
              <w:sz w:val="28"/>
              <w:szCs w:val="28"/>
            </w:rPr>
            <w:t>Student Number:</w:t>
          </w:r>
          <w:r>
            <w:rPr>
              <w:rFonts w:hint="default" w:asciiTheme="majorBidi" w:hAnsiTheme="majorBidi" w:cstheme="majorBidi"/>
              <w:sz w:val="28"/>
              <w:szCs w:val="28"/>
              <w:lang w:val="en-IN"/>
            </w:rPr>
            <w:t xml:space="preserve"> 2212226</w:t>
          </w:r>
        </w:p>
        <w:p>
          <w:pPr>
            <w:spacing w:line="240" w:lineRule="auto"/>
            <w:jc w:val="left"/>
            <w:rPr>
              <w:rFonts w:asciiTheme="majorBidi" w:hAnsiTheme="majorBidi" w:cstheme="majorBidi"/>
              <w:sz w:val="28"/>
              <w:szCs w:val="28"/>
            </w:rPr>
          </w:pPr>
          <w:r>
            <w:rPr>
              <w:rFonts w:asciiTheme="majorBidi" w:hAnsiTheme="majorBidi" w:cstheme="majorBidi"/>
              <w:sz w:val="28"/>
              <w:szCs w:val="28"/>
            </w:rPr>
            <w:t>Lecturer: Dr Hossein Shokri</w:t>
          </w:r>
        </w:p>
        <w:p>
          <w:pPr>
            <w:spacing w:line="240" w:lineRule="auto"/>
            <w:jc w:val="left"/>
            <w:rPr>
              <w:rFonts w:hint="default" w:asciiTheme="majorBidi" w:hAnsiTheme="majorBidi" w:cstheme="majorBidi"/>
              <w:sz w:val="28"/>
              <w:szCs w:val="28"/>
              <w:lang w:val="en-IN"/>
            </w:rPr>
          </w:pPr>
          <w:r>
            <w:rPr>
              <w:rFonts w:asciiTheme="majorBidi" w:hAnsiTheme="majorBidi" w:cstheme="majorBidi"/>
              <w:sz w:val="28"/>
              <w:szCs w:val="28"/>
            </w:rPr>
            <w:t>Submission Date:</w:t>
          </w:r>
          <w:r>
            <w:rPr>
              <w:rFonts w:hint="default" w:asciiTheme="majorBidi" w:hAnsiTheme="majorBidi" w:cstheme="majorBidi"/>
              <w:sz w:val="28"/>
              <w:szCs w:val="28"/>
              <w:lang w:val="en-IN"/>
            </w:rPr>
            <w:t>02-05-2023</w:t>
          </w:r>
        </w:p>
        <w:p>
          <w:pPr>
            <w:spacing w:line="240" w:lineRule="auto"/>
            <w:jc w:val="center"/>
            <w:rPr>
              <w:rFonts w:asciiTheme="majorBidi" w:hAnsiTheme="majorBidi" w:cstheme="majorBidi"/>
              <w:sz w:val="28"/>
              <w:szCs w:val="28"/>
            </w:rPr>
          </w:pPr>
        </w:p>
        <w:p>
          <w:pPr>
            <w:spacing w:line="240" w:lineRule="auto"/>
            <w:jc w:val="center"/>
            <w:rPr>
              <w:rFonts w:asciiTheme="majorBidi" w:hAnsiTheme="majorBidi" w:cstheme="majorBidi"/>
              <w:sz w:val="28"/>
              <w:szCs w:val="28"/>
            </w:rPr>
          </w:pPr>
        </w:p>
        <w:sdt>
          <w:sdtPr>
            <w:rPr>
              <w:rFonts w:asciiTheme="majorBidi" w:hAnsiTheme="majorBidi" w:eastAsiaTheme="minorHAnsi" w:cstheme="majorBidi"/>
              <w:color w:val="auto"/>
              <w:sz w:val="22"/>
              <w:szCs w:val="22"/>
            </w:rPr>
            <w:id w:val="-1516920417"/>
            <w:docPartObj>
              <w:docPartGallery w:val="Table of Contents"/>
              <w:docPartUnique/>
            </w:docPartObj>
          </w:sdtPr>
          <w:sdtEndPr>
            <w:rPr>
              <w:rFonts w:asciiTheme="majorBidi" w:hAnsiTheme="majorBidi" w:eastAsiaTheme="minorHAnsi" w:cstheme="majorBidi"/>
              <w:b/>
              <w:bCs/>
              <w:color w:val="auto"/>
              <w:sz w:val="24"/>
              <w:szCs w:val="22"/>
            </w:rPr>
          </w:sdtEndPr>
          <w:sdtContent>
            <w:p>
              <w:pPr>
                <w:pStyle w:val="40"/>
                <w:spacing w:line="360" w:lineRule="auto"/>
                <w:rPr>
                  <w:rStyle w:val="34"/>
                  <w:rFonts w:asciiTheme="majorBidi" w:hAnsiTheme="majorBidi" w:cstheme="majorBidi"/>
                  <w:b/>
                  <w:bCs/>
                </w:rPr>
              </w:pPr>
              <w:r>
                <w:rPr>
                  <w:rStyle w:val="34"/>
                  <w:rFonts w:asciiTheme="majorBidi" w:hAnsiTheme="majorBidi" w:cstheme="majorBidi"/>
                  <w:b/>
                  <w:bCs/>
                </w:rPr>
                <w:t>Table of Contents</w:t>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TOC \o "1-4" \h \z \u </w:instrText>
              </w:r>
              <w:r>
                <w:rPr>
                  <w:rFonts w:asciiTheme="majorBidi" w:hAnsiTheme="majorBidi" w:cstheme="majorBidi"/>
                </w:rPr>
                <w:fldChar w:fldCharType="separate"/>
              </w:r>
              <w:r>
                <w:rPr>
                  <w:rFonts w:asciiTheme="majorBidi" w:hAnsiTheme="majorBidi" w:cstheme="majorBidi"/>
                </w:rPr>
                <w:fldChar w:fldCharType="begin"/>
              </w:r>
              <w:r>
                <w:rPr>
                  <w:rFonts w:asciiTheme="majorBidi" w:hAnsiTheme="majorBidi" w:cstheme="majorBidi"/>
                </w:rPr>
                <w:instrText xml:space="preserve"> HYPERLINK \l _Toc19207 </w:instrText>
              </w:r>
              <w:r>
                <w:rPr>
                  <w:rFonts w:asciiTheme="majorBidi" w:hAnsiTheme="majorBidi" w:cstheme="majorBidi"/>
                </w:rPr>
                <w:fldChar w:fldCharType="separate"/>
              </w:r>
              <w:r>
                <w:t>List of figures:</w:t>
              </w:r>
              <w:r>
                <w:tab/>
              </w:r>
              <w:r>
                <w:fldChar w:fldCharType="begin"/>
              </w:r>
              <w:r>
                <w:instrText xml:space="preserve"> PAGEREF _Toc19207 \h </w:instrText>
              </w:r>
              <w:r>
                <w:fldChar w:fldCharType="separate"/>
              </w:r>
              <w:r>
                <w:t>4</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_Toc25750 </w:instrText>
              </w:r>
              <w:r>
                <w:rPr>
                  <w:rFonts w:asciiTheme="majorBidi" w:hAnsiTheme="majorBidi" w:cstheme="majorBidi"/>
                </w:rPr>
                <w:fldChar w:fldCharType="separate"/>
              </w:r>
              <w:r>
                <w:t>List of tables:</w:t>
              </w:r>
              <w:r>
                <w:tab/>
              </w:r>
              <w:r>
                <w:fldChar w:fldCharType="begin"/>
              </w:r>
              <w:r>
                <w:instrText xml:space="preserve"> PAGEREF _Toc25750 \h </w:instrText>
              </w:r>
              <w:r>
                <w:fldChar w:fldCharType="separate"/>
              </w:r>
              <w:r>
                <w:t>4</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_Toc25781 </w:instrText>
              </w:r>
              <w:r>
                <w:rPr>
                  <w:rFonts w:asciiTheme="majorBidi" w:hAnsiTheme="majorBidi" w:cstheme="majorBidi"/>
                </w:rPr>
                <w:fldChar w:fldCharType="separate"/>
              </w:r>
              <w:r>
                <w:t>Introduction</w:t>
              </w:r>
              <w:r>
                <w:tab/>
              </w:r>
              <w:r>
                <w:fldChar w:fldCharType="begin"/>
              </w:r>
              <w:r>
                <w:instrText xml:space="preserve"> PAGEREF _Toc25781 \h </w:instrText>
              </w:r>
              <w:r>
                <w:fldChar w:fldCharType="separate"/>
              </w:r>
              <w:r>
                <w:t>5</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_Toc5733 </w:instrText>
              </w:r>
              <w:r>
                <w:rPr>
                  <w:rFonts w:asciiTheme="majorBidi" w:hAnsiTheme="majorBidi" w:cstheme="majorBidi"/>
                </w:rPr>
                <w:fldChar w:fldCharType="separate"/>
              </w:r>
              <w:r>
                <w:t>Company Background</w:t>
              </w:r>
              <w:r>
                <w:tab/>
              </w:r>
              <w:r>
                <w:fldChar w:fldCharType="begin"/>
              </w:r>
              <w:r>
                <w:instrText xml:space="preserve"> PAGEREF _Toc5733 \h </w:instrText>
              </w:r>
              <w:r>
                <w:fldChar w:fldCharType="separate"/>
              </w:r>
              <w:r>
                <w:t>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_Toc25052 </w:instrText>
              </w:r>
              <w:r>
                <w:rPr>
                  <w:rFonts w:asciiTheme="majorBidi" w:hAnsiTheme="majorBidi" w:cstheme="majorBidi"/>
                </w:rPr>
                <w:fldChar w:fldCharType="separate"/>
              </w:r>
              <w:r>
                <w:t>Company’s Objectives and Strategies</w:t>
              </w:r>
              <w:r>
                <w:tab/>
              </w:r>
              <w:r>
                <w:fldChar w:fldCharType="begin"/>
              </w:r>
              <w:r>
                <w:instrText xml:space="preserve"> PAGEREF _Toc25052 \h </w:instrText>
              </w:r>
              <w:r>
                <w:fldChar w:fldCharType="separate"/>
              </w:r>
              <w:r>
                <w:t>6</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_Toc14803 </w:instrText>
              </w:r>
              <w:r>
                <w:rPr>
                  <w:rFonts w:asciiTheme="majorBidi" w:hAnsiTheme="majorBidi" w:cstheme="majorBidi"/>
                </w:rPr>
                <w:fldChar w:fldCharType="separate"/>
              </w:r>
              <w:r>
                <w:t>Objectives</w:t>
              </w:r>
              <w:r>
                <w:tab/>
              </w:r>
              <w:r>
                <w:fldChar w:fldCharType="begin"/>
              </w:r>
              <w:r>
                <w:instrText xml:space="preserve"> PAGEREF _Toc14803 \h </w:instrText>
              </w:r>
              <w:r>
                <w:fldChar w:fldCharType="separate"/>
              </w:r>
              <w:r>
                <w:t>6</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_Toc12039 </w:instrText>
              </w:r>
              <w:r>
                <w:rPr>
                  <w:rFonts w:asciiTheme="majorBidi" w:hAnsiTheme="majorBidi" w:cstheme="majorBidi"/>
                </w:rPr>
                <w:fldChar w:fldCharType="separate"/>
              </w:r>
              <w:r>
                <w:rPr>
                  <w:highlight w:val="none"/>
                </w:rPr>
                <w:t>Expansion Strategies</w:t>
              </w:r>
              <w:r>
                <w:tab/>
              </w:r>
              <w:r>
                <w:fldChar w:fldCharType="begin"/>
              </w:r>
              <w:r>
                <w:instrText xml:space="preserve"> PAGEREF _Toc12039 \h </w:instrText>
              </w:r>
              <w:r>
                <w:fldChar w:fldCharType="separate"/>
              </w:r>
              <w:r>
                <w:t>7</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_Toc5011 </w:instrText>
              </w:r>
              <w:r>
                <w:rPr>
                  <w:rFonts w:asciiTheme="majorBidi" w:hAnsiTheme="majorBidi" w:cstheme="majorBidi"/>
                </w:rPr>
                <w:fldChar w:fldCharType="separate"/>
              </w:r>
              <w:r>
                <w:rPr>
                  <w:highlight w:val="none"/>
                </w:rPr>
                <w:t>Product Development:</w:t>
              </w:r>
              <w:r>
                <w:tab/>
              </w:r>
              <w:r>
                <w:fldChar w:fldCharType="begin"/>
              </w:r>
              <w:r>
                <w:instrText xml:space="preserve"> PAGEREF _Toc5011 \h </w:instrText>
              </w:r>
              <w:r>
                <w:fldChar w:fldCharType="separate"/>
              </w:r>
              <w:r>
                <w:t>7</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_Toc10022 </w:instrText>
              </w:r>
              <w:r>
                <w:rPr>
                  <w:rFonts w:asciiTheme="majorBidi" w:hAnsiTheme="majorBidi" w:cstheme="majorBidi"/>
                </w:rPr>
                <w:fldChar w:fldCharType="separate"/>
              </w:r>
              <w:r>
                <w:rPr>
                  <w:highlight w:val="none"/>
                </w:rPr>
                <w:t>Market Expansion:</w:t>
              </w:r>
              <w:r>
                <w:tab/>
              </w:r>
              <w:r>
                <w:fldChar w:fldCharType="begin"/>
              </w:r>
              <w:r>
                <w:instrText xml:space="preserve"> PAGEREF _Toc10022 \h </w:instrText>
              </w:r>
              <w:r>
                <w:fldChar w:fldCharType="separate"/>
              </w:r>
              <w:r>
                <w:t>7</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_Toc16306 </w:instrText>
              </w:r>
              <w:r>
                <w:rPr>
                  <w:rFonts w:asciiTheme="majorBidi" w:hAnsiTheme="majorBidi" w:cstheme="majorBidi"/>
                </w:rPr>
                <w:fldChar w:fldCharType="separate"/>
              </w:r>
              <w:r>
                <w:rPr>
                  <w:highlight w:val="none"/>
                </w:rPr>
                <w:t>Strategic Partnerships:</w:t>
              </w:r>
              <w:r>
                <w:tab/>
              </w:r>
              <w:r>
                <w:fldChar w:fldCharType="begin"/>
              </w:r>
              <w:r>
                <w:instrText xml:space="preserve"> PAGEREF _Toc16306 \h </w:instrText>
              </w:r>
              <w:r>
                <w:fldChar w:fldCharType="separate"/>
              </w:r>
              <w:r>
                <w:t>8</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_Toc30576 </w:instrText>
              </w:r>
              <w:r>
                <w:rPr>
                  <w:rFonts w:asciiTheme="majorBidi" w:hAnsiTheme="majorBidi" w:cstheme="majorBidi"/>
                </w:rPr>
                <w:fldChar w:fldCharType="separate"/>
              </w:r>
              <w:r>
                <w:t>Countries’ Specifications</w:t>
              </w:r>
              <w:r>
                <w:tab/>
              </w:r>
              <w:r>
                <w:fldChar w:fldCharType="begin"/>
              </w:r>
              <w:r>
                <w:instrText xml:space="preserve"> PAGEREF _Toc30576 \h </w:instrText>
              </w:r>
              <w:r>
                <w:fldChar w:fldCharType="separate"/>
              </w:r>
              <w:r>
                <w:t>9</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_Toc6789 </w:instrText>
              </w:r>
              <w:r>
                <w:rPr>
                  <w:rFonts w:asciiTheme="majorBidi" w:hAnsiTheme="majorBidi" w:cstheme="majorBidi"/>
                </w:rPr>
                <w:fldChar w:fldCharType="separate"/>
              </w:r>
              <w:r>
                <w:t>Home Country</w:t>
              </w:r>
              <w:r>
                <w:tab/>
              </w:r>
              <w:r>
                <w:fldChar w:fldCharType="begin"/>
              </w:r>
              <w:r>
                <w:instrText xml:space="preserve"> PAGEREF _Toc6789 \h </w:instrText>
              </w:r>
              <w:r>
                <w:fldChar w:fldCharType="separate"/>
              </w:r>
              <w:r>
                <w:t>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_Toc9998 </w:instrText>
              </w:r>
              <w:r>
                <w:rPr>
                  <w:rFonts w:asciiTheme="majorBidi" w:hAnsiTheme="majorBidi" w:cstheme="majorBidi"/>
                </w:rPr>
                <w:fldChar w:fldCharType="separate"/>
              </w:r>
              <w:r>
                <w:t>Country-specific factors: Japan</w:t>
              </w:r>
              <w:r>
                <w:tab/>
              </w:r>
              <w:r>
                <w:fldChar w:fldCharType="begin"/>
              </w:r>
              <w:r>
                <w:instrText xml:space="preserve"> PAGEREF _Toc9998 \h </w:instrText>
              </w:r>
              <w:r>
                <w:fldChar w:fldCharType="separate"/>
              </w:r>
              <w:r>
                <w:t>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_Toc25100 </w:instrText>
              </w:r>
              <w:r>
                <w:rPr>
                  <w:rFonts w:asciiTheme="majorBidi" w:hAnsiTheme="majorBidi" w:cstheme="majorBidi"/>
                </w:rPr>
                <w:fldChar w:fldCharType="separate"/>
              </w:r>
              <w:r>
                <w:t>Industry-specific factors: Automotive Industry</w:t>
              </w:r>
              <w:r>
                <w:tab/>
              </w:r>
              <w:r>
                <w:fldChar w:fldCharType="begin"/>
              </w:r>
              <w:r>
                <w:instrText xml:space="preserve"> PAGEREF _Toc25100 \h </w:instrText>
              </w:r>
              <w:r>
                <w:fldChar w:fldCharType="separate"/>
              </w:r>
              <w:r>
                <w:t>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_Toc2423 </w:instrText>
              </w:r>
              <w:r>
                <w:rPr>
                  <w:rFonts w:asciiTheme="majorBidi" w:hAnsiTheme="majorBidi" w:cstheme="majorBidi"/>
                </w:rPr>
                <w:fldChar w:fldCharType="separate"/>
              </w:r>
              <w:r>
                <w:t>Management-specific factors: Toyota Production System</w:t>
              </w:r>
              <w:r>
                <w:tab/>
              </w:r>
              <w:r>
                <w:fldChar w:fldCharType="begin"/>
              </w:r>
              <w:r>
                <w:instrText xml:space="preserve"> PAGEREF _Toc2423 \h </w:instrText>
              </w:r>
              <w:r>
                <w:fldChar w:fldCharType="separate"/>
              </w:r>
              <w:r>
                <w:t>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_Toc23413 </w:instrText>
              </w:r>
              <w:r>
                <w:rPr>
                  <w:rFonts w:asciiTheme="majorBidi" w:hAnsiTheme="majorBidi" w:cstheme="majorBidi"/>
                </w:rPr>
                <w:fldChar w:fldCharType="separate"/>
              </w:r>
              <w:r>
                <w:t>Marketing</w:t>
              </w:r>
              <w:r>
                <w:tab/>
              </w:r>
              <w:r>
                <w:fldChar w:fldCharType="begin"/>
              </w:r>
              <w:r>
                <w:instrText xml:space="preserve"> PAGEREF _Toc23413 \h </w:instrText>
              </w:r>
              <w:r>
                <w:fldChar w:fldCharType="separate"/>
              </w:r>
              <w:r>
                <w:t>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_Toc22636 </w:instrText>
              </w:r>
              <w:r>
                <w:rPr>
                  <w:rFonts w:asciiTheme="majorBidi" w:hAnsiTheme="majorBidi" w:cstheme="majorBidi"/>
                </w:rPr>
                <w:fldChar w:fldCharType="separate"/>
              </w:r>
              <w:r>
                <w:t>Operations</w:t>
              </w:r>
              <w:r>
                <w:tab/>
              </w:r>
              <w:r>
                <w:fldChar w:fldCharType="begin"/>
              </w:r>
              <w:r>
                <w:instrText xml:space="preserve"> PAGEREF _Toc22636 \h </w:instrText>
              </w:r>
              <w:r>
                <w:fldChar w:fldCharType="separate"/>
              </w:r>
              <w:r>
                <w:t>10</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_Toc26018 </w:instrText>
              </w:r>
              <w:r>
                <w:rPr>
                  <w:rFonts w:asciiTheme="majorBidi" w:hAnsiTheme="majorBidi" w:cstheme="majorBidi"/>
                </w:rPr>
                <w:fldChar w:fldCharType="separate"/>
              </w:r>
              <w:r>
                <w:t>Human Resource Management</w:t>
              </w:r>
              <w:r>
                <w:tab/>
              </w:r>
              <w:r>
                <w:fldChar w:fldCharType="begin"/>
              </w:r>
              <w:r>
                <w:instrText xml:space="preserve"> PAGEREF _Toc26018 \h </w:instrText>
              </w:r>
              <w:r>
                <w:fldChar w:fldCharType="separate"/>
              </w:r>
              <w:r>
                <w:t>10</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_Toc23270 </w:instrText>
              </w:r>
              <w:r>
                <w:rPr>
                  <w:rFonts w:asciiTheme="majorBidi" w:hAnsiTheme="majorBidi" w:cstheme="majorBidi"/>
                </w:rPr>
                <w:fldChar w:fldCharType="separate"/>
              </w:r>
              <w:r>
                <w:t>Host Country</w:t>
              </w:r>
              <w:r>
                <w:tab/>
              </w:r>
              <w:r>
                <w:fldChar w:fldCharType="begin"/>
              </w:r>
              <w:r>
                <w:instrText xml:space="preserve"> PAGEREF _Toc23270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_Toc26837 </w:instrText>
              </w:r>
              <w:r>
                <w:rPr>
                  <w:rFonts w:asciiTheme="majorBidi" w:hAnsiTheme="majorBidi" w:cstheme="majorBidi"/>
                </w:rPr>
                <w:fldChar w:fldCharType="separate"/>
              </w:r>
              <w:r>
                <w:t>Country-specific factors: China</w:t>
              </w:r>
              <w:r>
                <w:tab/>
              </w:r>
              <w:r>
                <w:fldChar w:fldCharType="begin"/>
              </w:r>
              <w:r>
                <w:instrText xml:space="preserve"> PAGEREF _Toc26837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_Toc26753 </w:instrText>
              </w:r>
              <w:r>
                <w:rPr>
                  <w:rFonts w:asciiTheme="majorBidi" w:hAnsiTheme="majorBidi" w:cstheme="majorBidi"/>
                </w:rPr>
                <w:fldChar w:fldCharType="separate"/>
              </w:r>
              <w:r>
                <w:t>Industry-specific factors: Automotive Industry in China</w:t>
              </w:r>
              <w:r>
                <w:tab/>
              </w:r>
              <w:r>
                <w:fldChar w:fldCharType="begin"/>
              </w:r>
              <w:r>
                <w:instrText xml:space="preserve"> PAGEREF _Toc26753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_Toc21762 </w:instrText>
              </w:r>
              <w:r>
                <w:rPr>
                  <w:rFonts w:asciiTheme="majorBidi" w:hAnsiTheme="majorBidi" w:cstheme="majorBidi"/>
                </w:rPr>
                <w:fldChar w:fldCharType="separate"/>
              </w:r>
              <w:r>
                <w:t>Marketing in China</w:t>
              </w:r>
              <w:r>
                <w:tab/>
              </w:r>
              <w:r>
                <w:fldChar w:fldCharType="begin"/>
              </w:r>
              <w:r>
                <w:instrText xml:space="preserve"> PAGEREF _Toc21762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_Toc21793 </w:instrText>
              </w:r>
              <w:r>
                <w:rPr>
                  <w:rFonts w:asciiTheme="majorBidi" w:hAnsiTheme="majorBidi" w:cstheme="majorBidi"/>
                </w:rPr>
                <w:fldChar w:fldCharType="separate"/>
              </w:r>
              <w:r>
                <w:t>Operations in China</w:t>
              </w:r>
              <w:r>
                <w:tab/>
              </w:r>
              <w:r>
                <w:fldChar w:fldCharType="begin"/>
              </w:r>
              <w:r>
                <w:instrText xml:space="preserve"> PAGEREF _Toc21793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_Toc11084 </w:instrText>
              </w:r>
              <w:r>
                <w:rPr>
                  <w:rFonts w:asciiTheme="majorBidi" w:hAnsiTheme="majorBidi" w:cstheme="majorBidi"/>
                </w:rPr>
                <w:fldChar w:fldCharType="separate"/>
              </w:r>
              <w:r>
                <w:t>Human Resource Management in China</w:t>
              </w:r>
              <w:r>
                <w:tab/>
              </w:r>
              <w:r>
                <w:fldChar w:fldCharType="begin"/>
              </w:r>
              <w:r>
                <w:instrText xml:space="preserve"> PAGEREF _Toc11084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_Toc28392 </w:instrText>
              </w:r>
              <w:r>
                <w:rPr>
                  <w:rFonts w:asciiTheme="majorBidi" w:hAnsiTheme="majorBidi" w:cstheme="majorBidi"/>
                </w:rPr>
                <w:fldChar w:fldCharType="separate"/>
              </w:r>
              <w:r>
                <w:t>International Context: Adapting and Integrating Resources and Capabilities</w:t>
              </w:r>
              <w:r>
                <w:tab/>
              </w:r>
              <w:r>
                <w:fldChar w:fldCharType="begin"/>
              </w:r>
              <w:r>
                <w:instrText xml:space="preserve"> PAGEREF _Toc28392 \h </w:instrText>
              </w:r>
              <w:r>
                <w:fldChar w:fldCharType="separate"/>
              </w:r>
              <w:r>
                <w:t>11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_Toc13487 </w:instrText>
              </w:r>
              <w:r>
                <w:rPr>
                  <w:rFonts w:asciiTheme="majorBidi" w:hAnsiTheme="majorBidi" w:cstheme="majorBidi"/>
                </w:rPr>
                <w:fldChar w:fldCharType="separate"/>
              </w:r>
              <w:r>
                <w:t>Global Marketing Strategy</w:t>
              </w:r>
              <w:r>
                <w:tab/>
              </w:r>
              <w:r>
                <w:fldChar w:fldCharType="begin"/>
              </w:r>
              <w:r>
                <w:instrText xml:space="preserve"> PAGEREF _Toc13487 \h </w:instrText>
              </w:r>
              <w:r>
                <w:fldChar w:fldCharType="separate"/>
              </w:r>
              <w:r>
                <w:t>12</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_Toc18615 </w:instrText>
              </w:r>
              <w:r>
                <w:rPr>
                  <w:rFonts w:asciiTheme="majorBidi" w:hAnsiTheme="majorBidi" w:cstheme="majorBidi"/>
                </w:rPr>
                <w:fldChar w:fldCharType="separate"/>
              </w:r>
              <w:r>
                <w:t>Global Operations Strategy</w:t>
              </w:r>
              <w:r>
                <w:tab/>
              </w:r>
              <w:r>
                <w:fldChar w:fldCharType="begin"/>
              </w:r>
              <w:r>
                <w:instrText xml:space="preserve"> PAGEREF _Toc18615 \h </w:instrText>
              </w:r>
              <w:r>
                <w:fldChar w:fldCharType="separate"/>
              </w:r>
              <w:r>
                <w:t>12</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_Toc22267 </w:instrText>
              </w:r>
              <w:r>
                <w:rPr>
                  <w:rFonts w:asciiTheme="majorBidi" w:hAnsiTheme="majorBidi" w:cstheme="majorBidi"/>
                </w:rPr>
                <w:fldChar w:fldCharType="separate"/>
              </w:r>
              <w:r>
                <w:t>Global HRM Strategy</w:t>
              </w:r>
              <w:r>
                <w:tab/>
              </w:r>
              <w:r>
                <w:fldChar w:fldCharType="begin"/>
              </w:r>
              <w:r>
                <w:instrText xml:space="preserve"> PAGEREF _Toc22267 \h </w:instrText>
              </w:r>
              <w:r>
                <w:fldChar w:fldCharType="separate"/>
              </w:r>
              <w:r>
                <w:t>12</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_Toc7626 </w:instrText>
              </w:r>
              <w:r>
                <w:rPr>
                  <w:rFonts w:asciiTheme="majorBidi" w:hAnsiTheme="majorBidi" w:cstheme="majorBidi"/>
                </w:rPr>
                <w:fldChar w:fldCharType="separate"/>
              </w:r>
              <w:r>
                <w:t>External Analysis</w:t>
              </w:r>
              <w:r>
                <w:tab/>
              </w:r>
              <w:r>
                <w:fldChar w:fldCharType="begin"/>
              </w:r>
              <w:r>
                <w:instrText xml:space="preserve"> PAGEREF _Toc7626 \h </w:instrText>
              </w:r>
              <w:r>
                <w:fldChar w:fldCharType="separate"/>
              </w:r>
              <w:r>
                <w:t>13</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_Toc17020 </w:instrText>
              </w:r>
              <w:r>
                <w:rPr>
                  <w:rFonts w:asciiTheme="majorBidi" w:hAnsiTheme="majorBidi" w:cstheme="majorBidi"/>
                </w:rPr>
                <w:fldChar w:fldCharType="separate"/>
              </w:r>
              <w:r>
                <w:t>A Comparative PESTEL Analysis</w:t>
              </w:r>
              <w:r>
                <w:tab/>
              </w:r>
              <w:r>
                <w:fldChar w:fldCharType="begin"/>
              </w:r>
              <w:r>
                <w:instrText xml:space="preserve"> PAGEREF _Toc17020 \h </w:instrText>
              </w:r>
              <w:r>
                <w:fldChar w:fldCharType="separate"/>
              </w:r>
              <w:r>
                <w:t>13</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_Toc16183 </w:instrText>
              </w:r>
              <w:r>
                <w:rPr>
                  <w:rFonts w:asciiTheme="majorBidi" w:hAnsiTheme="majorBidi" w:cstheme="majorBidi"/>
                </w:rPr>
                <w:fldChar w:fldCharType="separate"/>
              </w:r>
              <w:r>
                <w:t>Industry Five Forces</w:t>
              </w:r>
              <w:r>
                <w:tab/>
              </w:r>
              <w:r>
                <w:fldChar w:fldCharType="begin"/>
              </w:r>
              <w:r>
                <w:instrText xml:space="preserve"> PAGEREF _Toc16183 \h </w:instrText>
              </w:r>
              <w:r>
                <w:fldChar w:fldCharType="separate"/>
              </w:r>
              <w:r>
                <w:t>15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_Toc17924 </w:instrText>
              </w:r>
              <w:r>
                <w:rPr>
                  <w:rFonts w:asciiTheme="majorBidi" w:hAnsiTheme="majorBidi" w:cstheme="majorBidi"/>
                </w:rPr>
                <w:fldChar w:fldCharType="separate"/>
              </w:r>
              <w:r>
                <w:t>Market Analysis</w:t>
              </w:r>
              <w:r>
                <w:tab/>
              </w:r>
              <w:r>
                <w:fldChar w:fldCharType="begin"/>
              </w:r>
              <w:r>
                <w:instrText xml:space="preserve"> PAGEREF _Toc17924 \h </w:instrText>
              </w:r>
              <w:r>
                <w:fldChar w:fldCharType="separate"/>
              </w:r>
              <w:r>
                <w:t>17</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_Toc16978 </w:instrText>
              </w:r>
              <w:r>
                <w:rPr>
                  <w:rFonts w:asciiTheme="majorBidi" w:hAnsiTheme="majorBidi" w:cstheme="majorBidi"/>
                </w:rPr>
                <w:fldChar w:fldCharType="separate"/>
              </w:r>
              <w:r>
                <w:t>Host Country Analysis</w:t>
              </w:r>
              <w:r>
                <w:tab/>
              </w:r>
              <w:r>
                <w:fldChar w:fldCharType="begin"/>
              </w:r>
              <w:r>
                <w:instrText xml:space="preserve"> PAGEREF _Toc16978 \h </w:instrText>
              </w:r>
              <w:r>
                <w:fldChar w:fldCharType="separate"/>
              </w:r>
              <w:r>
                <w:t>18</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_Toc17465 </w:instrText>
              </w:r>
              <w:r>
                <w:rPr>
                  <w:rFonts w:asciiTheme="majorBidi" w:hAnsiTheme="majorBidi" w:cstheme="majorBidi"/>
                </w:rPr>
                <w:fldChar w:fldCharType="separate"/>
              </w:r>
              <w:r>
                <w:t>Country’s National Diamond</w:t>
              </w:r>
              <w:r>
                <w:tab/>
              </w:r>
              <w:r>
                <w:fldChar w:fldCharType="begin"/>
              </w:r>
              <w:r>
                <w:instrText xml:space="preserve"> PAGEREF _Toc17465 \h </w:instrText>
              </w:r>
              <w:r>
                <w:fldChar w:fldCharType="separate"/>
              </w:r>
              <w:r>
                <w:t>18</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_Toc8005 </w:instrText>
              </w:r>
              <w:r>
                <w:rPr>
                  <w:rFonts w:asciiTheme="majorBidi" w:hAnsiTheme="majorBidi" w:cstheme="majorBidi"/>
                </w:rPr>
                <w:fldChar w:fldCharType="separate"/>
              </w:r>
              <w:r>
                <w:t>Factor Conditions:</w:t>
              </w:r>
              <w:r>
                <w:tab/>
              </w:r>
              <w:r>
                <w:fldChar w:fldCharType="begin"/>
              </w:r>
              <w:r>
                <w:instrText xml:space="preserve"> PAGEREF _Toc8005 \h </w:instrText>
              </w:r>
              <w:r>
                <w:fldChar w:fldCharType="separate"/>
              </w:r>
              <w:r>
                <w:t>18</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_Toc23629 </w:instrText>
              </w:r>
              <w:r>
                <w:rPr>
                  <w:rFonts w:asciiTheme="majorBidi" w:hAnsiTheme="majorBidi" w:cstheme="majorBidi"/>
                </w:rPr>
                <w:fldChar w:fldCharType="separate"/>
              </w:r>
              <w:r>
                <w:t>Labour:</w:t>
              </w:r>
              <w:r>
                <w:tab/>
              </w:r>
              <w:r>
                <w:fldChar w:fldCharType="begin"/>
              </w:r>
              <w:r>
                <w:instrText xml:space="preserve"> PAGEREF _Toc23629 \h </w:instrText>
              </w:r>
              <w:r>
                <w:fldChar w:fldCharType="separate"/>
              </w:r>
              <w:r>
                <w:t>18</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_Toc10592 </w:instrText>
              </w:r>
              <w:r>
                <w:rPr>
                  <w:rFonts w:asciiTheme="majorBidi" w:hAnsiTheme="majorBidi" w:cstheme="majorBidi"/>
                </w:rPr>
                <w:fldChar w:fldCharType="separate"/>
              </w:r>
              <w:r>
                <w:t>Technology:</w:t>
              </w:r>
              <w:r>
                <w:tab/>
              </w:r>
              <w:r>
                <w:fldChar w:fldCharType="begin"/>
              </w:r>
              <w:r>
                <w:instrText xml:space="preserve"> PAGEREF _Toc10592 \h </w:instrText>
              </w:r>
              <w:r>
                <w:fldChar w:fldCharType="separate"/>
              </w:r>
              <w:r>
                <w:t>18</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_Toc10641 </w:instrText>
              </w:r>
              <w:r>
                <w:rPr>
                  <w:rFonts w:asciiTheme="majorBidi" w:hAnsiTheme="majorBidi" w:cstheme="majorBidi"/>
                </w:rPr>
                <w:fldChar w:fldCharType="separate"/>
              </w:r>
              <w:r>
                <w:t>Demand Conditions:</w:t>
              </w:r>
              <w:r>
                <w:tab/>
              </w:r>
              <w:r>
                <w:fldChar w:fldCharType="begin"/>
              </w:r>
              <w:r>
                <w:instrText xml:space="preserve"> PAGEREF _Toc10641 \h </w:instrText>
              </w:r>
              <w:r>
                <w:fldChar w:fldCharType="separate"/>
              </w:r>
              <w:r>
                <w:t>18</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_Toc22252 </w:instrText>
              </w:r>
              <w:r>
                <w:rPr>
                  <w:rFonts w:asciiTheme="majorBidi" w:hAnsiTheme="majorBidi" w:cstheme="majorBidi"/>
                </w:rPr>
                <w:fldChar w:fldCharType="separate"/>
              </w:r>
              <w:r>
                <w:t>Market Size:</w:t>
              </w:r>
              <w:r>
                <w:tab/>
              </w:r>
              <w:r>
                <w:fldChar w:fldCharType="begin"/>
              </w:r>
              <w:r>
                <w:instrText xml:space="preserve"> PAGEREF _Toc22252 \h </w:instrText>
              </w:r>
              <w:r>
                <w:fldChar w:fldCharType="separate"/>
              </w:r>
              <w:r>
                <w:t>18</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_Toc22657 </w:instrText>
              </w:r>
              <w:r>
                <w:rPr>
                  <w:rFonts w:asciiTheme="majorBidi" w:hAnsiTheme="majorBidi" w:cstheme="majorBidi"/>
                </w:rPr>
                <w:fldChar w:fldCharType="separate"/>
              </w:r>
              <w:r>
                <w:t>Consumer Preferences:</w:t>
              </w:r>
              <w:r>
                <w:tab/>
              </w:r>
              <w:r>
                <w:fldChar w:fldCharType="begin"/>
              </w:r>
              <w:r>
                <w:instrText xml:space="preserve"> PAGEREF _Toc22657 \h </w:instrText>
              </w:r>
              <w:r>
                <w:fldChar w:fldCharType="separate"/>
              </w:r>
              <w:r>
                <w:t>18</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_Toc15490 </w:instrText>
              </w:r>
              <w:r>
                <w:rPr>
                  <w:rFonts w:asciiTheme="majorBidi" w:hAnsiTheme="majorBidi" w:cstheme="majorBidi"/>
                </w:rPr>
                <w:fldChar w:fldCharType="separate"/>
              </w:r>
              <w:r>
                <w:t>Related and Supporting Industries:</w:t>
              </w:r>
              <w:r>
                <w:tab/>
              </w:r>
              <w:r>
                <w:fldChar w:fldCharType="begin"/>
              </w:r>
              <w:r>
                <w:instrText xml:space="preserve"> PAGEREF _Toc15490 \h </w:instrText>
              </w:r>
              <w:r>
                <w:fldChar w:fldCharType="separate"/>
              </w:r>
              <w:r>
                <w:t>18</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_Toc1331 </w:instrText>
              </w:r>
              <w:r>
                <w:rPr>
                  <w:rFonts w:asciiTheme="majorBidi" w:hAnsiTheme="majorBidi" w:cstheme="majorBidi"/>
                </w:rPr>
                <w:fldChar w:fldCharType="separate"/>
              </w:r>
              <w:r>
                <w:t>Auto Components:</w:t>
              </w:r>
              <w:r>
                <w:tab/>
              </w:r>
              <w:r>
                <w:fldChar w:fldCharType="begin"/>
              </w:r>
              <w:r>
                <w:instrText xml:space="preserve"> PAGEREF _Toc1331 \h </w:instrText>
              </w:r>
              <w:r>
                <w:fldChar w:fldCharType="separate"/>
              </w:r>
              <w:r>
                <w:t>18</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_Toc54 </w:instrText>
              </w:r>
              <w:r>
                <w:rPr>
                  <w:rFonts w:asciiTheme="majorBidi" w:hAnsiTheme="majorBidi" w:cstheme="majorBidi"/>
                </w:rPr>
                <w:fldChar w:fldCharType="separate"/>
              </w:r>
              <w:r>
                <w:t>Firm Strategy, Structure, and Rivalry:</w:t>
              </w:r>
              <w:r>
                <w:tab/>
              </w:r>
              <w:r>
                <w:fldChar w:fldCharType="begin"/>
              </w:r>
              <w:r>
                <w:instrText xml:space="preserve"> PAGEREF _Toc54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_Toc13912 </w:instrText>
              </w:r>
              <w:r>
                <w:rPr>
                  <w:rFonts w:asciiTheme="majorBidi" w:hAnsiTheme="majorBidi" w:cstheme="majorBidi"/>
                </w:rPr>
                <w:fldChar w:fldCharType="separate"/>
              </w:r>
              <w:r>
                <w:t>Competition:</w:t>
              </w:r>
              <w:r>
                <w:tab/>
              </w:r>
              <w:r>
                <w:fldChar w:fldCharType="begin"/>
              </w:r>
              <w:r>
                <w:instrText xml:space="preserve"> PAGEREF _Toc13912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_Toc27424 </w:instrText>
              </w:r>
              <w:r>
                <w:rPr>
                  <w:rFonts w:asciiTheme="majorBidi" w:hAnsiTheme="majorBidi" w:cstheme="majorBidi"/>
                </w:rPr>
                <w:fldChar w:fldCharType="separate"/>
              </w:r>
              <w:r>
                <w:t>Government Policies:</w:t>
              </w:r>
              <w:r>
                <w:tab/>
              </w:r>
              <w:r>
                <w:fldChar w:fldCharType="begin"/>
              </w:r>
              <w:r>
                <w:instrText xml:space="preserve"> PAGEREF _Toc27424 \h </w:instrText>
              </w:r>
              <w:r>
                <w:fldChar w:fldCharType="separate"/>
              </w:r>
              <w:r>
                <w:t>19</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_Toc8496 </w:instrText>
              </w:r>
              <w:r>
                <w:rPr>
                  <w:rFonts w:asciiTheme="majorBidi" w:hAnsiTheme="majorBidi" w:cstheme="majorBidi"/>
                </w:rPr>
                <w:fldChar w:fldCharType="separate"/>
              </w:r>
              <w:r>
                <w:t>Country Business Risks</w:t>
              </w:r>
              <w:r>
                <w:tab/>
              </w:r>
              <w:r>
                <w:fldChar w:fldCharType="begin"/>
              </w:r>
              <w:r>
                <w:instrText xml:space="preserve"> PAGEREF _Toc8496 \h </w:instrText>
              </w:r>
              <w:r>
                <w:fldChar w:fldCharType="separate"/>
              </w:r>
              <w:r>
                <w:t>19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_Toc13306 </w:instrText>
              </w:r>
              <w:r>
                <w:rPr>
                  <w:rFonts w:asciiTheme="majorBidi" w:hAnsiTheme="majorBidi" w:cstheme="majorBidi"/>
                </w:rPr>
                <w:fldChar w:fldCharType="separate"/>
              </w:r>
              <w:r>
                <w:t>Economic Risks:</w:t>
              </w:r>
              <w:r>
                <w:tab/>
              </w:r>
              <w:r>
                <w:fldChar w:fldCharType="begin"/>
              </w:r>
              <w:r>
                <w:instrText xml:space="preserve"> PAGEREF _Toc13306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_Toc1561 </w:instrText>
              </w:r>
              <w:r>
                <w:rPr>
                  <w:rFonts w:asciiTheme="majorBidi" w:hAnsiTheme="majorBidi" w:cstheme="majorBidi"/>
                </w:rPr>
                <w:fldChar w:fldCharType="separate"/>
              </w:r>
              <w:r>
                <w:t>Economic Growth:</w:t>
              </w:r>
              <w:r>
                <w:tab/>
              </w:r>
              <w:r>
                <w:fldChar w:fldCharType="begin"/>
              </w:r>
              <w:r>
                <w:instrText xml:space="preserve"> PAGEREF _Toc1561 \h </w:instrText>
              </w:r>
              <w:r>
                <w:fldChar w:fldCharType="separate"/>
              </w:r>
              <w:r>
                <w:t>19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_Toc13302 </w:instrText>
              </w:r>
              <w:r>
                <w:rPr>
                  <w:rFonts w:asciiTheme="majorBidi" w:hAnsiTheme="majorBidi" w:cstheme="majorBidi"/>
                </w:rPr>
                <w:fldChar w:fldCharType="separate"/>
              </w:r>
              <w:r>
                <w:t>Political Risks:</w:t>
              </w:r>
              <w:r>
                <w:tab/>
              </w:r>
              <w:r>
                <w:fldChar w:fldCharType="begin"/>
              </w:r>
              <w:r>
                <w:instrText xml:space="preserve"> PAGEREF _Toc13302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_Toc12964 </w:instrText>
              </w:r>
              <w:r>
                <w:rPr>
                  <w:rFonts w:asciiTheme="majorBidi" w:hAnsiTheme="majorBidi" w:cstheme="majorBidi"/>
                </w:rPr>
                <w:fldChar w:fldCharType="separate"/>
              </w:r>
              <w:r>
                <w:t>Regulatory Changes:</w:t>
              </w:r>
              <w:r>
                <w:tab/>
              </w:r>
              <w:r>
                <w:fldChar w:fldCharType="begin"/>
              </w:r>
              <w:r>
                <w:instrText xml:space="preserve"> PAGEREF _Toc12964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_Toc32502 </w:instrText>
              </w:r>
              <w:r>
                <w:rPr>
                  <w:rFonts w:asciiTheme="majorBidi" w:hAnsiTheme="majorBidi" w:cstheme="majorBidi"/>
                </w:rPr>
                <w:fldChar w:fldCharType="separate"/>
              </w:r>
              <w:r>
                <w:t>Intellectual Property Rights</w:t>
              </w:r>
              <w:r>
                <w:tab/>
              </w:r>
              <w:r>
                <w:fldChar w:fldCharType="begin"/>
              </w:r>
              <w:r>
                <w:instrText xml:space="preserve"> PAGEREF _Toc32502 \h </w:instrText>
              </w:r>
              <w:r>
                <w:fldChar w:fldCharType="separate"/>
              </w:r>
              <w:r>
                <w:t>19</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_Toc23901 </w:instrText>
              </w:r>
              <w:r>
                <w:rPr>
                  <w:rFonts w:asciiTheme="majorBidi" w:hAnsiTheme="majorBidi" w:cstheme="majorBidi"/>
                </w:rPr>
                <w:fldChar w:fldCharType="separate"/>
              </w:r>
              <w:r>
                <w:t>Legal Risks:</w:t>
              </w:r>
              <w:r>
                <w:tab/>
              </w:r>
              <w:r>
                <w:fldChar w:fldCharType="begin"/>
              </w:r>
              <w:r>
                <w:instrText xml:space="preserve"> PAGEREF _Toc23901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_Toc25287 </w:instrText>
              </w:r>
              <w:r>
                <w:rPr>
                  <w:rFonts w:asciiTheme="majorBidi" w:hAnsiTheme="majorBidi" w:cstheme="majorBidi"/>
                </w:rPr>
                <w:fldChar w:fldCharType="separate"/>
              </w:r>
              <w:r>
                <w:t>Joint Venture Requirements:</w:t>
              </w:r>
              <w:r>
                <w:tab/>
              </w:r>
              <w:r>
                <w:fldChar w:fldCharType="begin"/>
              </w:r>
              <w:r>
                <w:instrText xml:space="preserve"> PAGEREF _Toc25287 \h </w:instrText>
              </w:r>
              <w:r>
                <w:fldChar w:fldCharType="separate"/>
              </w:r>
              <w:r>
                <w:t>19</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_Toc28825 </w:instrText>
              </w:r>
              <w:r>
                <w:rPr>
                  <w:rFonts w:asciiTheme="majorBidi" w:hAnsiTheme="majorBidi" w:cstheme="majorBidi"/>
                </w:rPr>
                <w:fldChar w:fldCharType="separate"/>
              </w:r>
              <w:r>
                <w:t>Compliance with Local Laws and Regulations:</w:t>
              </w:r>
              <w:r>
                <w:tab/>
              </w:r>
              <w:r>
                <w:fldChar w:fldCharType="begin"/>
              </w:r>
              <w:r>
                <w:instrText xml:space="preserve"> PAGEREF _Toc28825 \h </w:instrText>
              </w:r>
              <w:r>
                <w:fldChar w:fldCharType="separate"/>
              </w:r>
              <w:r>
                <w:t>20</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_Toc11549 </w:instrText>
              </w:r>
              <w:r>
                <w:rPr>
                  <w:rFonts w:asciiTheme="majorBidi" w:hAnsiTheme="majorBidi" w:cstheme="majorBidi"/>
                </w:rPr>
                <w:fldChar w:fldCharType="separate"/>
              </w:r>
              <w:r>
                <w:t>Cultural Risks:</w:t>
              </w:r>
              <w:r>
                <w:tab/>
              </w:r>
              <w:r>
                <w:fldChar w:fldCharType="begin"/>
              </w:r>
              <w:r>
                <w:instrText xml:space="preserve"> PAGEREF _Toc11549 \h </w:instrText>
              </w:r>
              <w:r>
                <w:fldChar w:fldCharType="separate"/>
              </w:r>
              <w:r>
                <w:t>20</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_Toc17685 </w:instrText>
              </w:r>
              <w:r>
                <w:rPr>
                  <w:rFonts w:asciiTheme="majorBidi" w:hAnsiTheme="majorBidi" w:cstheme="majorBidi"/>
                </w:rPr>
                <w:fldChar w:fldCharType="separate"/>
              </w:r>
              <w:r>
                <w:t>Cross-Cultural Management:</w:t>
              </w:r>
              <w:r>
                <w:tab/>
              </w:r>
              <w:r>
                <w:fldChar w:fldCharType="begin"/>
              </w:r>
              <w:r>
                <w:instrText xml:space="preserve"> PAGEREF _Toc17685 \h </w:instrText>
              </w:r>
              <w:r>
                <w:fldChar w:fldCharType="separate"/>
              </w:r>
              <w:r>
                <w:t>20</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_Toc22096 </w:instrText>
              </w:r>
              <w:r>
                <w:rPr>
                  <w:rFonts w:asciiTheme="majorBidi" w:hAnsiTheme="majorBidi" w:cstheme="majorBidi"/>
                </w:rPr>
                <w:fldChar w:fldCharType="separate"/>
              </w:r>
              <w:r>
                <w:t>Competitive Risks:</w:t>
              </w:r>
              <w:r>
                <w:tab/>
              </w:r>
              <w:r>
                <w:fldChar w:fldCharType="begin"/>
              </w:r>
              <w:r>
                <w:instrText xml:space="preserve"> PAGEREF _Toc22096 \h </w:instrText>
              </w:r>
              <w:r>
                <w:fldChar w:fldCharType="separate"/>
              </w:r>
              <w:r>
                <w:t>20</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_Toc4648 </w:instrText>
              </w:r>
              <w:r>
                <w:rPr>
                  <w:rFonts w:asciiTheme="majorBidi" w:hAnsiTheme="majorBidi" w:cstheme="majorBidi"/>
                </w:rPr>
                <w:fldChar w:fldCharType="separate"/>
              </w:r>
              <w:r>
                <w:t xml:space="preserve">Intense Competition: </w:t>
              </w:r>
              <w:r>
                <w:tab/>
              </w:r>
              <w:r>
                <w:fldChar w:fldCharType="begin"/>
              </w:r>
              <w:r>
                <w:instrText xml:space="preserve"> PAGEREF _Toc4648 \h </w:instrText>
              </w:r>
              <w:r>
                <w:fldChar w:fldCharType="separate"/>
              </w:r>
              <w:r>
                <w:t>20</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_Toc24370 </w:instrText>
              </w:r>
              <w:r>
                <w:rPr>
                  <w:rFonts w:asciiTheme="majorBidi" w:hAnsiTheme="majorBidi" w:cstheme="majorBidi"/>
                </w:rPr>
                <w:fldChar w:fldCharType="separate"/>
              </w:r>
              <w:r>
                <w:t>Rapid Technological Advancements:</w:t>
              </w:r>
              <w:r>
                <w:tab/>
              </w:r>
              <w:r>
                <w:fldChar w:fldCharType="begin"/>
              </w:r>
              <w:r>
                <w:instrText xml:space="preserve"> PAGEREF _Toc24370 \h </w:instrText>
              </w:r>
              <w:r>
                <w:fldChar w:fldCharType="separate"/>
              </w:r>
              <w:r>
                <w:t>20</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_Toc18638 </w:instrText>
              </w:r>
              <w:r>
                <w:rPr>
                  <w:rFonts w:asciiTheme="majorBidi" w:hAnsiTheme="majorBidi" w:cstheme="majorBidi"/>
                </w:rPr>
                <w:fldChar w:fldCharType="separate"/>
              </w:r>
              <w:r>
                <w:t>Supply Chain Risks:</w:t>
              </w:r>
              <w:r>
                <w:tab/>
              </w:r>
              <w:r>
                <w:fldChar w:fldCharType="begin"/>
              </w:r>
              <w:r>
                <w:instrText xml:space="preserve"> PAGEREF _Toc18638 \h </w:instrText>
              </w:r>
              <w:r>
                <w:fldChar w:fldCharType="separate"/>
              </w:r>
              <w:r>
                <w:t>20</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_Toc25212 </w:instrText>
              </w:r>
              <w:r>
                <w:rPr>
                  <w:rFonts w:asciiTheme="majorBidi" w:hAnsiTheme="majorBidi" w:cstheme="majorBidi"/>
                </w:rPr>
                <w:fldChar w:fldCharType="separate"/>
              </w:r>
              <w:r>
                <w:t>Geopolitical Tensions:</w:t>
              </w:r>
              <w:r>
                <w:tab/>
              </w:r>
              <w:r>
                <w:fldChar w:fldCharType="begin"/>
              </w:r>
              <w:r>
                <w:instrText xml:space="preserve"> PAGEREF _Toc25212 \h </w:instrText>
              </w:r>
              <w:r>
                <w:fldChar w:fldCharType="separate"/>
              </w:r>
              <w:r>
                <w:t>20</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_Toc30689 </w:instrText>
              </w:r>
              <w:r>
                <w:rPr>
                  <w:rFonts w:asciiTheme="majorBidi" w:hAnsiTheme="majorBidi" w:cstheme="majorBidi"/>
                </w:rPr>
                <w:fldChar w:fldCharType="separate"/>
              </w:r>
              <w:r>
                <w:t>Internal Analysis</w:t>
              </w:r>
              <w:r>
                <w:tab/>
              </w:r>
              <w:r>
                <w:fldChar w:fldCharType="begin"/>
              </w:r>
              <w:r>
                <w:instrText xml:space="preserve"> PAGEREF _Toc30689 \h </w:instrText>
              </w:r>
              <w:r>
                <w:fldChar w:fldCharType="separate"/>
              </w:r>
              <w:r>
                <w:t>21</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_Toc7830 </w:instrText>
              </w:r>
              <w:r>
                <w:rPr>
                  <w:rFonts w:asciiTheme="majorBidi" w:hAnsiTheme="majorBidi" w:cstheme="majorBidi"/>
                </w:rPr>
                <w:fldChar w:fldCharType="separate"/>
              </w:r>
              <w:r>
                <w:t>Global value chain</w:t>
              </w:r>
              <w:r>
                <w:tab/>
              </w:r>
              <w:r>
                <w:fldChar w:fldCharType="begin"/>
              </w:r>
              <w:r>
                <w:instrText xml:space="preserve"> PAGEREF _Toc7830 \h </w:instrText>
              </w:r>
              <w:r>
                <w:fldChar w:fldCharType="separate"/>
              </w:r>
              <w:r>
                <w:t>21</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_Toc2868 </w:instrText>
              </w:r>
              <w:r>
                <w:rPr>
                  <w:rFonts w:asciiTheme="majorBidi" w:hAnsiTheme="majorBidi" w:cstheme="majorBidi"/>
                </w:rPr>
                <w:fldChar w:fldCharType="separate"/>
              </w:r>
              <w:r>
                <w:t>Global Production</w:t>
              </w:r>
              <w:r>
                <w:tab/>
              </w:r>
              <w:r>
                <w:fldChar w:fldCharType="begin"/>
              </w:r>
              <w:r>
                <w:instrText xml:space="preserve"> PAGEREF _Toc2868 \h </w:instrText>
              </w:r>
              <w:r>
                <w:fldChar w:fldCharType="separate"/>
              </w:r>
              <w:r>
                <w:t>22</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_Toc8918 </w:instrText>
              </w:r>
              <w:r>
                <w:rPr>
                  <w:rFonts w:asciiTheme="majorBidi" w:hAnsiTheme="majorBidi" w:cstheme="majorBidi"/>
                </w:rPr>
                <w:fldChar w:fldCharType="separate"/>
              </w:r>
              <w:r>
                <w:t>Global Marketing</w:t>
              </w:r>
              <w:r>
                <w:tab/>
              </w:r>
              <w:r>
                <w:fldChar w:fldCharType="begin"/>
              </w:r>
              <w:r>
                <w:instrText xml:space="preserve"> PAGEREF _Toc8918 \h </w:instrText>
              </w:r>
              <w:r>
                <w:fldChar w:fldCharType="separate"/>
              </w:r>
              <w:r>
                <w:t>22</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_Toc1134 </w:instrText>
              </w:r>
              <w:r>
                <w:rPr>
                  <w:rFonts w:asciiTheme="majorBidi" w:hAnsiTheme="majorBidi" w:cstheme="majorBidi"/>
                </w:rPr>
                <w:fldChar w:fldCharType="separate"/>
              </w:r>
              <w:r>
                <w:t>Global Human Resource Management</w:t>
              </w:r>
              <w:r>
                <w:tab/>
              </w:r>
              <w:r>
                <w:fldChar w:fldCharType="begin"/>
              </w:r>
              <w:r>
                <w:instrText xml:space="preserve"> PAGEREF _Toc1134 \h </w:instrText>
              </w:r>
              <w:r>
                <w:fldChar w:fldCharType="separate"/>
              </w:r>
              <w:r>
                <w:t>22</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_Toc25439 </w:instrText>
              </w:r>
              <w:r>
                <w:rPr>
                  <w:rFonts w:asciiTheme="majorBidi" w:hAnsiTheme="majorBidi" w:cstheme="majorBidi"/>
                </w:rPr>
                <w:fldChar w:fldCharType="separate"/>
              </w:r>
              <w:r>
                <w:t>SWOT analysis</w:t>
              </w:r>
              <w:r>
                <w:tab/>
              </w:r>
              <w:r>
                <w:fldChar w:fldCharType="begin"/>
              </w:r>
              <w:r>
                <w:instrText xml:space="preserve"> PAGEREF _Toc25439 \h </w:instrText>
              </w:r>
              <w:r>
                <w:fldChar w:fldCharType="separate"/>
              </w:r>
              <w:r>
                <w:t>23</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_Toc981 </w:instrText>
              </w:r>
              <w:r>
                <w:rPr>
                  <w:rFonts w:asciiTheme="majorBidi" w:hAnsiTheme="majorBidi" w:cstheme="majorBidi"/>
                </w:rPr>
                <w:fldChar w:fldCharType="separate"/>
              </w:r>
              <w:r>
                <w:t>Strengths:</w:t>
              </w:r>
              <w:r>
                <w:tab/>
              </w:r>
              <w:r>
                <w:fldChar w:fldCharType="begin"/>
              </w:r>
              <w:r>
                <w:instrText xml:space="preserve"> PAGEREF _Toc981 \h </w:instrText>
              </w:r>
              <w:r>
                <w:fldChar w:fldCharType="separate"/>
              </w:r>
              <w:r>
                <w:t>23</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_Toc20803 </w:instrText>
              </w:r>
              <w:r>
                <w:rPr>
                  <w:rFonts w:asciiTheme="majorBidi" w:hAnsiTheme="majorBidi" w:cstheme="majorBidi"/>
                </w:rPr>
                <w:fldChar w:fldCharType="separate"/>
              </w:r>
              <w:r>
                <w:t>Strong Global Presence:</w:t>
              </w:r>
              <w:r>
                <w:tab/>
              </w:r>
              <w:r>
                <w:fldChar w:fldCharType="begin"/>
              </w:r>
              <w:r>
                <w:instrText xml:space="preserve"> PAGEREF _Toc20803 \h </w:instrText>
              </w:r>
              <w:r>
                <w:fldChar w:fldCharType="separate"/>
              </w:r>
              <w:r>
                <w:t>23</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_Toc26738 </w:instrText>
              </w:r>
              <w:r>
                <w:rPr>
                  <w:rFonts w:asciiTheme="majorBidi" w:hAnsiTheme="majorBidi" w:cstheme="majorBidi"/>
                </w:rPr>
                <w:fldChar w:fldCharType="separate"/>
              </w:r>
              <w:r>
                <w:t>Strong R&amp;D Capabilities:</w:t>
              </w:r>
              <w:r>
                <w:tab/>
              </w:r>
              <w:r>
                <w:fldChar w:fldCharType="begin"/>
              </w:r>
              <w:r>
                <w:instrText xml:space="preserve"> PAGEREF _Toc26738 \h </w:instrText>
              </w:r>
              <w:r>
                <w:fldChar w:fldCharType="separate"/>
              </w:r>
              <w:r>
                <w:t>23</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_Toc16553 </w:instrText>
              </w:r>
              <w:r>
                <w:rPr>
                  <w:rFonts w:asciiTheme="majorBidi" w:hAnsiTheme="majorBidi" w:cstheme="majorBidi"/>
                </w:rPr>
                <w:fldChar w:fldCharType="separate"/>
              </w:r>
              <w:r>
                <w:t>Weaknesses:</w:t>
              </w:r>
              <w:r>
                <w:tab/>
              </w:r>
              <w:r>
                <w:fldChar w:fldCharType="begin"/>
              </w:r>
              <w:r>
                <w:instrText xml:space="preserve"> PAGEREF _Toc16553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_Toc18984 </w:instrText>
              </w:r>
              <w:r>
                <w:rPr>
                  <w:rFonts w:asciiTheme="majorBidi" w:hAnsiTheme="majorBidi" w:cstheme="majorBidi"/>
                </w:rPr>
                <w:fldChar w:fldCharType="separate"/>
              </w:r>
              <w:r>
                <w:t>Dependence on Japanese Market:</w:t>
              </w:r>
              <w:r>
                <w:tab/>
              </w:r>
              <w:r>
                <w:fldChar w:fldCharType="begin"/>
              </w:r>
              <w:r>
                <w:instrText xml:space="preserve"> PAGEREF _Toc18984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_Toc29937 </w:instrText>
              </w:r>
              <w:r>
                <w:rPr>
                  <w:rFonts w:asciiTheme="majorBidi" w:hAnsiTheme="majorBidi" w:cstheme="majorBidi"/>
                </w:rPr>
                <w:fldChar w:fldCharType="separate"/>
              </w:r>
              <w:r>
                <w:t>Product Recalls:</w:t>
              </w:r>
              <w:r>
                <w:tab/>
              </w:r>
              <w:r>
                <w:fldChar w:fldCharType="begin"/>
              </w:r>
              <w:r>
                <w:instrText xml:space="preserve"> PAGEREF _Toc29937 \h </w:instrText>
              </w:r>
              <w:r>
                <w:fldChar w:fldCharType="separate"/>
              </w:r>
              <w:r>
                <w:t>24</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_Toc26039 </w:instrText>
              </w:r>
              <w:r>
                <w:rPr>
                  <w:rFonts w:asciiTheme="majorBidi" w:hAnsiTheme="majorBidi" w:cstheme="majorBidi"/>
                </w:rPr>
                <w:fldChar w:fldCharType="separate"/>
              </w:r>
              <w:r>
                <w:t>Opportunities:</w:t>
              </w:r>
              <w:r>
                <w:tab/>
              </w:r>
              <w:r>
                <w:fldChar w:fldCharType="begin"/>
              </w:r>
              <w:r>
                <w:instrText xml:space="preserve"> PAGEREF _Toc26039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_Toc11057 </w:instrText>
              </w:r>
              <w:r>
                <w:rPr>
                  <w:rFonts w:asciiTheme="majorBidi" w:hAnsiTheme="majorBidi" w:cstheme="majorBidi"/>
                </w:rPr>
                <w:fldChar w:fldCharType="separate"/>
              </w:r>
              <w:r>
                <w:t>Growth in Emerging Markets:</w:t>
              </w:r>
              <w:r>
                <w:tab/>
              </w:r>
              <w:r>
                <w:fldChar w:fldCharType="begin"/>
              </w:r>
              <w:r>
                <w:instrText xml:space="preserve"> PAGEREF _Toc11057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_Toc4558 </w:instrText>
              </w:r>
              <w:r>
                <w:rPr>
                  <w:rFonts w:asciiTheme="majorBidi" w:hAnsiTheme="majorBidi" w:cstheme="majorBidi"/>
                </w:rPr>
                <w:fldChar w:fldCharType="separate"/>
              </w:r>
              <w:r>
                <w:t>Electric and Autonomous Vehicles:</w:t>
              </w:r>
              <w:r>
                <w:tab/>
              </w:r>
              <w:r>
                <w:fldChar w:fldCharType="begin"/>
              </w:r>
              <w:r>
                <w:instrText xml:space="preserve"> PAGEREF _Toc4558 \h </w:instrText>
              </w:r>
              <w:r>
                <w:fldChar w:fldCharType="separate"/>
              </w:r>
              <w:r>
                <w:t>24</w:t>
              </w:r>
              <w:r>
                <w:fldChar w:fldCharType="end"/>
              </w:r>
              <w:r>
                <w:rPr>
                  <w:rFonts w:asciiTheme="majorBidi" w:hAnsiTheme="majorBidi" w:cstheme="majorBidi"/>
                </w:rPr>
                <w:fldChar w:fldCharType="end"/>
              </w:r>
            </w:p>
            <w:p>
              <w:pPr>
                <w:pStyle w:val="22"/>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_Toc32139 </w:instrText>
              </w:r>
              <w:r>
                <w:rPr>
                  <w:rFonts w:asciiTheme="majorBidi" w:hAnsiTheme="majorBidi" w:cstheme="majorBidi"/>
                </w:rPr>
                <w:fldChar w:fldCharType="separate"/>
              </w:r>
              <w:r>
                <w:t>Threats:</w:t>
              </w:r>
              <w:r>
                <w:tab/>
              </w:r>
              <w:r>
                <w:fldChar w:fldCharType="begin"/>
              </w:r>
              <w:r>
                <w:instrText xml:space="preserve"> PAGEREF _Toc32139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_Toc19849 </w:instrText>
              </w:r>
              <w:r>
                <w:rPr>
                  <w:rFonts w:asciiTheme="majorBidi" w:hAnsiTheme="majorBidi" w:cstheme="majorBidi"/>
                </w:rPr>
                <w:fldChar w:fldCharType="separate"/>
              </w:r>
              <w:r>
                <w:t>Intense Competition:</w:t>
              </w:r>
              <w:r>
                <w:tab/>
              </w:r>
              <w:r>
                <w:fldChar w:fldCharType="begin"/>
              </w:r>
              <w:r>
                <w:instrText xml:space="preserve"> PAGEREF _Toc19849 \h </w:instrText>
              </w:r>
              <w:r>
                <w:fldChar w:fldCharType="separate"/>
              </w:r>
              <w:r>
                <w:t>24</w:t>
              </w:r>
              <w:r>
                <w:fldChar w:fldCharType="end"/>
              </w:r>
              <w:r>
                <w:rPr>
                  <w:rFonts w:asciiTheme="majorBidi" w:hAnsiTheme="majorBidi" w:cstheme="majorBidi"/>
                </w:rPr>
                <w:fldChar w:fldCharType="end"/>
              </w:r>
            </w:p>
            <w:p>
              <w:pPr>
                <w:pStyle w:val="23"/>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_Toc3616 </w:instrText>
              </w:r>
              <w:r>
                <w:rPr>
                  <w:rFonts w:asciiTheme="majorBidi" w:hAnsiTheme="majorBidi" w:cstheme="majorBidi"/>
                </w:rPr>
                <w:fldChar w:fldCharType="separate"/>
              </w:r>
              <w:r>
                <w:t>Economic and Political Risks:</w:t>
              </w:r>
              <w:r>
                <w:tab/>
              </w:r>
              <w:r>
                <w:fldChar w:fldCharType="begin"/>
              </w:r>
              <w:r>
                <w:instrText xml:space="preserve"> PAGEREF _Toc3616 \h </w:instrText>
              </w:r>
              <w:r>
                <w:fldChar w:fldCharType="separate"/>
              </w:r>
              <w:r>
                <w:t>24</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_Toc15383 </w:instrText>
              </w:r>
              <w:r>
                <w:rPr>
                  <w:rFonts w:asciiTheme="majorBidi" w:hAnsiTheme="majorBidi" w:cstheme="majorBidi"/>
                </w:rPr>
                <w:fldChar w:fldCharType="separate"/>
              </w:r>
              <w:r>
                <w:t>International Strategies</w:t>
              </w:r>
              <w:r>
                <w:tab/>
              </w:r>
              <w:r>
                <w:fldChar w:fldCharType="begin"/>
              </w:r>
              <w:r>
                <w:instrText xml:space="preserve"> PAGEREF _Toc15383 \h </w:instrText>
              </w:r>
              <w:r>
                <w:fldChar w:fldCharType="separate"/>
              </w:r>
              <w:r>
                <w:t>25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_Toc7855 </w:instrText>
              </w:r>
              <w:r>
                <w:rPr>
                  <w:rFonts w:asciiTheme="majorBidi" w:hAnsiTheme="majorBidi" w:cstheme="majorBidi"/>
                </w:rPr>
                <w:fldChar w:fldCharType="separate"/>
              </w:r>
              <w:r>
                <w:t>Global Value Chain:</w:t>
              </w:r>
              <w:r>
                <w:tab/>
              </w:r>
              <w:r>
                <w:fldChar w:fldCharType="begin"/>
              </w:r>
              <w:r>
                <w:instrText xml:space="preserve"> PAGEREF _Toc7855 \h </w:instrText>
              </w:r>
              <w:r>
                <w:fldChar w:fldCharType="separate"/>
              </w:r>
              <w:r>
                <w:t>25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_Toc15965 </w:instrText>
              </w:r>
              <w:r>
                <w:rPr>
                  <w:rFonts w:asciiTheme="majorBidi" w:hAnsiTheme="majorBidi" w:cstheme="majorBidi"/>
                </w:rPr>
                <w:fldChar w:fldCharType="separate"/>
              </w:r>
              <w:r>
                <w:t>Global Production:</w:t>
              </w:r>
              <w:r>
                <w:tab/>
              </w:r>
              <w:r>
                <w:fldChar w:fldCharType="begin"/>
              </w:r>
              <w:r>
                <w:instrText xml:space="preserve"> PAGEREF _Toc15965 \h </w:instrText>
              </w:r>
              <w:r>
                <w:fldChar w:fldCharType="separate"/>
              </w:r>
              <w:r>
                <w:t>25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_Toc8740 </w:instrText>
              </w:r>
              <w:r>
                <w:rPr>
                  <w:rFonts w:asciiTheme="majorBidi" w:hAnsiTheme="majorBidi" w:cstheme="majorBidi"/>
                </w:rPr>
                <w:fldChar w:fldCharType="separate"/>
              </w:r>
              <w:r>
                <w:t>Global Marketing:</w:t>
              </w:r>
              <w:r>
                <w:tab/>
              </w:r>
              <w:r>
                <w:fldChar w:fldCharType="begin"/>
              </w:r>
              <w:r>
                <w:instrText xml:space="preserve"> PAGEREF _Toc8740 \h </w:instrText>
              </w:r>
              <w:r>
                <w:fldChar w:fldCharType="separate"/>
              </w:r>
              <w:r>
                <w:t>25</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_Toc8904 </w:instrText>
              </w:r>
              <w:r>
                <w:rPr>
                  <w:rFonts w:asciiTheme="majorBidi" w:hAnsiTheme="majorBidi" w:cstheme="majorBidi"/>
                </w:rPr>
                <w:fldChar w:fldCharType="separate"/>
              </w:r>
              <w:r>
                <w:t>Global HRM:</w:t>
              </w:r>
              <w:r>
                <w:tab/>
              </w:r>
              <w:r>
                <w:fldChar w:fldCharType="begin"/>
              </w:r>
              <w:r>
                <w:instrText xml:space="preserve"> PAGEREF _Toc8904 \h </w:instrText>
              </w:r>
              <w:r>
                <w:fldChar w:fldCharType="separate"/>
              </w:r>
              <w:r>
                <w:t>25</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_Toc32673 </w:instrText>
              </w:r>
              <w:r>
                <w:rPr>
                  <w:rFonts w:asciiTheme="majorBidi" w:hAnsiTheme="majorBidi" w:cstheme="majorBidi"/>
                </w:rPr>
                <w:fldChar w:fldCharType="separate"/>
              </w:r>
              <w:r>
                <w:t>Entry Modes</w:t>
              </w:r>
              <w:r>
                <w:tab/>
              </w:r>
              <w:r>
                <w:fldChar w:fldCharType="begin"/>
              </w:r>
              <w:r>
                <w:instrText xml:space="preserve"> PAGEREF _Toc32673 \h </w:instrText>
              </w:r>
              <w:r>
                <w:fldChar w:fldCharType="separate"/>
              </w:r>
              <w:r>
                <w:t>26</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_Toc25783 </w:instrText>
              </w:r>
              <w:r>
                <w:rPr>
                  <w:rFonts w:asciiTheme="majorBidi" w:hAnsiTheme="majorBidi" w:cstheme="majorBidi"/>
                </w:rPr>
                <w:fldChar w:fldCharType="separate"/>
              </w:r>
              <w:r>
                <w:t>Joint Ventures:</w:t>
              </w:r>
              <w:r>
                <w:tab/>
              </w:r>
              <w:r>
                <w:fldChar w:fldCharType="begin"/>
              </w:r>
              <w:r>
                <w:instrText xml:space="preserve"> PAGEREF _Toc25783 \h </w:instrText>
              </w:r>
              <w:r>
                <w:fldChar w:fldCharType="separate"/>
              </w:r>
              <w:r>
                <w:t>26</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_Toc15045 </w:instrText>
              </w:r>
              <w:r>
                <w:rPr>
                  <w:rFonts w:asciiTheme="majorBidi" w:hAnsiTheme="majorBidi" w:cstheme="majorBidi"/>
                </w:rPr>
                <w:fldChar w:fldCharType="separate"/>
              </w:r>
              <w:r>
                <w:t>Wholly-Owned Subsidiaries:</w:t>
              </w:r>
              <w:r>
                <w:tab/>
              </w:r>
              <w:r>
                <w:fldChar w:fldCharType="begin"/>
              </w:r>
              <w:r>
                <w:instrText xml:space="preserve"> PAGEREF _Toc15045 \h </w:instrText>
              </w:r>
              <w:r>
                <w:fldChar w:fldCharType="separate"/>
              </w:r>
              <w:r>
                <w:t>26</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_Toc28 </w:instrText>
              </w:r>
              <w:r>
                <w:rPr>
                  <w:rFonts w:asciiTheme="majorBidi" w:hAnsiTheme="majorBidi" w:cstheme="majorBidi"/>
                </w:rPr>
                <w:fldChar w:fldCharType="separate"/>
              </w:r>
              <w:r>
                <w:t>Licensing Agreements:</w:t>
              </w:r>
              <w:r>
                <w:tab/>
              </w:r>
              <w:r>
                <w:fldChar w:fldCharType="begin"/>
              </w:r>
              <w:r>
                <w:instrText xml:space="preserve"> PAGEREF _Toc28 \h </w:instrText>
              </w:r>
              <w:r>
                <w:fldChar w:fldCharType="separate"/>
              </w:r>
              <w:r>
                <w:t>26</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_Toc4929 </w:instrText>
              </w:r>
              <w:r>
                <w:rPr>
                  <w:rFonts w:asciiTheme="majorBidi" w:hAnsiTheme="majorBidi" w:cstheme="majorBidi"/>
                </w:rPr>
                <w:fldChar w:fldCharType="separate"/>
              </w:r>
              <w:r>
                <w:t>Corporate Social Responsibility</w:t>
              </w:r>
              <w:r>
                <w:tab/>
              </w:r>
              <w:r>
                <w:fldChar w:fldCharType="begin"/>
              </w:r>
              <w:r>
                <w:instrText xml:space="preserve"> PAGEREF _Toc4929 \h </w:instrText>
              </w:r>
              <w:r>
                <w:fldChar w:fldCharType="separate"/>
              </w:r>
              <w:r>
                <w:t>27</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_Toc17226 </w:instrText>
              </w:r>
              <w:r>
                <w:rPr>
                  <w:rFonts w:asciiTheme="majorBidi" w:hAnsiTheme="majorBidi" w:cstheme="majorBidi"/>
                </w:rPr>
                <w:fldChar w:fldCharType="separate"/>
              </w:r>
              <w:r>
                <w:t>Environmental Initiatives:</w:t>
              </w:r>
              <w:r>
                <w:tab/>
              </w:r>
              <w:r>
                <w:fldChar w:fldCharType="begin"/>
              </w:r>
              <w:r>
                <w:instrText xml:space="preserve"> PAGEREF _Toc17226 \h </w:instrText>
              </w:r>
              <w:r>
                <w:fldChar w:fldCharType="separate"/>
              </w:r>
              <w:r>
                <w:t>27</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_Toc32247 </w:instrText>
              </w:r>
              <w:r>
                <w:rPr>
                  <w:rFonts w:asciiTheme="majorBidi" w:hAnsiTheme="majorBidi" w:cstheme="majorBidi"/>
                </w:rPr>
                <w:fldChar w:fldCharType="separate"/>
              </w:r>
              <w:r>
                <w:t>Community Involvement:</w:t>
              </w:r>
              <w:r>
                <w:tab/>
              </w:r>
              <w:r>
                <w:fldChar w:fldCharType="begin"/>
              </w:r>
              <w:r>
                <w:instrText xml:space="preserve"> PAGEREF _Toc32247 \h </w:instrText>
              </w:r>
              <w:r>
                <w:fldChar w:fldCharType="separate"/>
              </w:r>
              <w:r>
                <w:t>27</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_Toc6152 </w:instrText>
              </w:r>
              <w:r>
                <w:rPr>
                  <w:rFonts w:asciiTheme="majorBidi" w:hAnsiTheme="majorBidi" w:cstheme="majorBidi"/>
                </w:rPr>
                <w:fldChar w:fldCharType="separate"/>
              </w:r>
              <w:r>
                <w:t>Ethical Business Practices:</w:t>
              </w:r>
              <w:r>
                <w:tab/>
              </w:r>
              <w:r>
                <w:fldChar w:fldCharType="begin"/>
              </w:r>
              <w:r>
                <w:instrText xml:space="preserve"> PAGEREF _Toc6152 \h </w:instrText>
              </w:r>
              <w:r>
                <w:fldChar w:fldCharType="separate"/>
              </w:r>
              <w:r>
                <w:t>27</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_Toc11322 </w:instrText>
              </w:r>
              <w:r>
                <w:rPr>
                  <w:rFonts w:asciiTheme="majorBidi" w:hAnsiTheme="majorBidi" w:cstheme="majorBidi"/>
                </w:rPr>
                <w:fldChar w:fldCharType="separate"/>
              </w:r>
              <w:r>
                <w:t>Conclusion</w:t>
              </w:r>
              <w:r>
                <w:tab/>
              </w:r>
              <w:r>
                <w:fldChar w:fldCharType="begin"/>
              </w:r>
              <w:r>
                <w:instrText xml:space="preserve"> PAGEREF _Toc11322 \h </w:instrText>
              </w:r>
              <w:r>
                <w:fldChar w:fldCharType="separate"/>
              </w:r>
              <w:r>
                <w:t>27</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_Toc18016 </w:instrText>
              </w:r>
              <w:r>
                <w:rPr>
                  <w:rFonts w:asciiTheme="majorBidi" w:hAnsiTheme="majorBidi" w:cstheme="majorBidi"/>
                </w:rPr>
                <w:fldChar w:fldCharType="separate"/>
              </w:r>
              <w:r>
                <w:rPr>
                  <w:rFonts w:asciiTheme="majorBidi" w:hAnsiTheme="majorBidi" w:cstheme="majorBidi"/>
                </w:rPr>
                <w:t>References</w:t>
              </w:r>
              <w:r>
                <w:tab/>
              </w:r>
              <w:r>
                <w:fldChar w:fldCharType="begin"/>
              </w:r>
              <w:r>
                <w:instrText xml:space="preserve"> PAGEREF _Toc18016 \h </w:instrText>
              </w:r>
              <w:r>
                <w:fldChar w:fldCharType="separate"/>
              </w:r>
              <w:r>
                <w:t>29</w:t>
              </w:r>
              <w:r>
                <w:fldChar w:fldCharType="end"/>
              </w:r>
              <w:r>
                <w:rPr>
                  <w:rFonts w:asciiTheme="majorBidi" w:hAnsiTheme="majorBidi" w:cstheme="majorBidi"/>
                </w:rPr>
                <w:fldChar w:fldCharType="end"/>
              </w:r>
            </w:p>
            <w:p>
              <w:pPr>
                <w:pStyle w:val="20"/>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_Toc14827 </w:instrText>
              </w:r>
              <w:r>
                <w:rPr>
                  <w:rFonts w:asciiTheme="majorBidi" w:hAnsiTheme="majorBidi" w:cstheme="majorBidi"/>
                </w:rPr>
                <w:fldChar w:fldCharType="separate"/>
              </w:r>
              <w:r>
                <w:rPr>
                  <w:rFonts w:asciiTheme="majorBidi" w:hAnsiTheme="majorBidi" w:cstheme="majorBidi"/>
                </w:rPr>
                <w:t>Appendices</w:t>
              </w:r>
              <w:r>
                <w:tab/>
              </w:r>
              <w:r>
                <w:fldChar w:fldCharType="begin"/>
              </w:r>
              <w:r>
                <w:instrText xml:space="preserve"> PAGEREF _Toc14827 \h </w:instrText>
              </w:r>
              <w:r>
                <w:fldChar w:fldCharType="separate"/>
              </w:r>
              <w:r>
                <w:t>37</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_Toc1731 </w:instrText>
              </w:r>
              <w:r>
                <w:rPr>
                  <w:rFonts w:asciiTheme="majorBidi" w:hAnsiTheme="majorBidi" w:cstheme="majorBidi"/>
                </w:rPr>
                <w:fldChar w:fldCharType="separate"/>
              </w:r>
              <w:r>
                <w:rPr>
                  <w:rFonts w:asciiTheme="majorBidi" w:hAnsiTheme="majorBidi"/>
                </w:rPr>
                <w:t>Appendix 1: industry five forces</w:t>
              </w:r>
              <w:r>
                <w:tab/>
              </w:r>
              <w:r>
                <w:fldChar w:fldCharType="begin"/>
              </w:r>
              <w:r>
                <w:instrText xml:space="preserve"> PAGEREF _Toc1731 \h </w:instrText>
              </w:r>
              <w:r>
                <w:fldChar w:fldCharType="separate"/>
              </w:r>
              <w:r>
                <w:t>37</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_Toc8573 </w:instrText>
              </w:r>
              <w:r>
                <w:rPr>
                  <w:rFonts w:asciiTheme="majorBidi" w:hAnsiTheme="majorBidi" w:cstheme="majorBidi"/>
                </w:rPr>
                <w:fldChar w:fldCharType="separate"/>
              </w:r>
              <w:r>
                <w:rPr>
                  <w:rFonts w:asciiTheme="majorBidi" w:hAnsiTheme="majorBidi"/>
                </w:rPr>
                <w:t>Appendix 2: Market analysis</w:t>
              </w:r>
              <w:r>
                <w:tab/>
              </w:r>
              <w:r>
                <w:fldChar w:fldCharType="begin"/>
              </w:r>
              <w:r>
                <w:instrText xml:space="preserve"> PAGEREF _Toc8573 \h </w:instrText>
              </w:r>
              <w:r>
                <w:fldChar w:fldCharType="separate"/>
              </w:r>
              <w:r>
                <w:t>39</w:t>
              </w:r>
              <w:r>
                <w:fldChar w:fldCharType="end"/>
              </w:r>
              <w:r>
                <w:rPr>
                  <w:rFonts w:asciiTheme="majorBidi" w:hAnsiTheme="majorBidi" w:cstheme="majorBidi"/>
                </w:rPr>
                <w:fldChar w:fldCharType="end"/>
              </w:r>
            </w:p>
            <w:p>
              <w:pPr>
                <w:pStyle w:val="21"/>
                <w:tabs>
                  <w:tab w:val="right" w:leader="dot" w:pos="9026"/>
                </w:tabs>
              </w:pPr>
              <w:r>
                <w:rPr>
                  <w:rFonts w:asciiTheme="majorBidi" w:hAnsiTheme="majorBidi" w:cstheme="majorBidi"/>
                </w:rPr>
                <w:fldChar w:fldCharType="begin"/>
              </w:r>
              <w:r>
                <w:rPr>
                  <w:rFonts w:asciiTheme="majorBidi" w:hAnsiTheme="majorBidi" w:cstheme="majorBidi"/>
                </w:rPr>
                <w:instrText xml:space="preserve"> HYPERLINK \l _Toc9852 </w:instrText>
              </w:r>
              <w:r>
                <w:rPr>
                  <w:rFonts w:asciiTheme="majorBidi" w:hAnsiTheme="majorBidi" w:cstheme="majorBidi"/>
                </w:rPr>
                <w:fldChar w:fldCharType="separate"/>
              </w:r>
              <w:r>
                <w:rPr>
                  <w:rFonts w:asciiTheme="majorBidi" w:hAnsiTheme="majorBidi"/>
                </w:rPr>
                <w:t>Appendix 3: Units sold by Toyota</w:t>
              </w:r>
              <w:r>
                <w:tab/>
              </w:r>
              <w:r>
                <w:fldChar w:fldCharType="begin"/>
              </w:r>
              <w:r>
                <w:instrText xml:space="preserve"> PAGEREF _Toc9852 \h </w:instrText>
              </w:r>
              <w:r>
                <w:fldChar w:fldCharType="separate"/>
              </w:r>
              <w:r>
                <w:t>40</w:t>
              </w:r>
              <w:r>
                <w:fldChar w:fldCharType="end"/>
              </w:r>
              <w:r>
                <w:rPr>
                  <w:rFonts w:asciiTheme="majorBidi" w:hAnsiTheme="majorBidi" w:cstheme="majorBidi"/>
                </w:rPr>
                <w:fldChar w:fldCharType="end"/>
              </w:r>
            </w:p>
            <w:p>
              <w:pPr>
                <w:spacing w:line="360" w:lineRule="auto"/>
                <w:jc w:val="both"/>
                <w:rPr>
                  <w:rFonts w:asciiTheme="majorBidi" w:hAnsiTheme="majorBidi" w:cstheme="majorBidi"/>
                </w:rPr>
              </w:pPr>
              <w:r>
                <w:rPr>
                  <w:rFonts w:asciiTheme="majorBidi" w:hAnsiTheme="majorBidi" w:cstheme="majorBidi"/>
                </w:rPr>
                <w:fldChar w:fldCharType="end"/>
              </w:r>
            </w:p>
          </w:sdtContent>
        </w:sdt>
        <w:p/>
        <w:p>
          <w:pPr>
            <w:pStyle w:val="2"/>
            <w:spacing w:line="360" w:lineRule="auto"/>
          </w:pPr>
          <w:bookmarkStart w:id="0" w:name="_Toc19207"/>
          <w:r>
            <w:t>List of figures:</w:t>
          </w:r>
          <w:bookmarkEnd w:id="0"/>
        </w:p>
        <w:p>
          <w:pPr>
            <w:pStyle w:val="19"/>
            <w:tabs>
              <w:tab w:val="right" w:leader="dot" w:pos="9016"/>
            </w:tabs>
            <w:rPr>
              <w:highlight w:val="none"/>
            </w:rPr>
          </w:pPr>
          <w:r>
            <w:rPr>
              <w:lang w:eastAsia="ja-JP"/>
            </w:rPr>
            <w:fldChar w:fldCharType="begin"/>
          </w:r>
          <w:r>
            <w:rPr>
              <w:lang w:eastAsia="ja-JP"/>
            </w:rPr>
            <w:instrText xml:space="preserve"> TOC \h \z \c "Figure" </w:instrText>
          </w:r>
          <w:r>
            <w:rPr>
              <w:lang w:eastAsia="ja-JP"/>
            </w:rPr>
            <w:fldChar w:fldCharType="separate"/>
          </w:r>
          <w:r>
            <w:rPr>
              <w:highlight w:val="none"/>
            </w:rPr>
            <w:fldChar w:fldCharType="begin"/>
          </w:r>
          <w:r>
            <w:rPr>
              <w:highlight w:val="none"/>
            </w:rPr>
            <w:instrText xml:space="preserve"> HYPERLINK \l "_Toc133381159" </w:instrText>
          </w:r>
          <w:r>
            <w:rPr>
              <w:highlight w:val="none"/>
            </w:rPr>
            <w:fldChar w:fldCharType="separate"/>
          </w:r>
          <w:r>
            <w:rPr>
              <w:rStyle w:val="16"/>
              <w:highlight w:val="none"/>
            </w:rPr>
            <w:t>Figure 1</w:t>
          </w:r>
          <w:r>
            <w:rPr>
              <w:rStyle w:val="16"/>
              <w:highlight w:val="none"/>
              <w:lang w:val="en-US"/>
            </w:rPr>
            <w:t>: Ansoff growth matrix</w:t>
          </w:r>
          <w:r>
            <w:rPr>
              <w:highlight w:val="none"/>
            </w:rPr>
            <w:tab/>
          </w:r>
          <w:r>
            <w:rPr>
              <w:highlight w:val="none"/>
            </w:rPr>
            <w:fldChar w:fldCharType="begin"/>
          </w:r>
          <w:r>
            <w:rPr>
              <w:highlight w:val="none"/>
            </w:rPr>
            <w:instrText xml:space="preserve"> PAGEREF _Toc133381159 \h </w:instrText>
          </w:r>
          <w:r>
            <w:rPr>
              <w:highlight w:val="none"/>
            </w:rPr>
            <w:fldChar w:fldCharType="separate"/>
          </w:r>
          <w:r>
            <w:rPr>
              <w:highlight w:val="none"/>
            </w:rPr>
            <w:t>6</w:t>
          </w:r>
          <w:r>
            <w:rPr>
              <w:highlight w:val="none"/>
            </w:rPr>
            <w:fldChar w:fldCharType="end"/>
          </w:r>
          <w:r>
            <w:rPr>
              <w:highlight w:val="none"/>
            </w:rPr>
            <w:fldChar w:fldCharType="end"/>
          </w:r>
        </w:p>
        <w:p>
          <w:pPr>
            <w:pStyle w:val="19"/>
            <w:tabs>
              <w:tab w:val="right" w:leader="dot" w:pos="9016"/>
            </w:tabs>
          </w:pPr>
          <w:r>
            <w:rPr>
              <w:highlight w:val="none"/>
            </w:rPr>
            <w:fldChar w:fldCharType="begin"/>
          </w:r>
          <w:r>
            <w:rPr>
              <w:highlight w:val="none"/>
            </w:rPr>
            <w:instrText xml:space="preserve"> HYPERLINK \l "_Toc133381160" </w:instrText>
          </w:r>
          <w:r>
            <w:rPr>
              <w:highlight w:val="none"/>
            </w:rPr>
            <w:fldChar w:fldCharType="separate"/>
          </w:r>
          <w:r>
            <w:rPr>
              <w:rStyle w:val="16"/>
              <w:highlight w:val="none"/>
            </w:rPr>
            <w:t>Figure 2</w:t>
          </w:r>
          <w:r>
            <w:rPr>
              <w:rStyle w:val="16"/>
              <w:highlight w:val="none"/>
              <w:lang w:val="en-US"/>
            </w:rPr>
            <w:t xml:space="preserve">: Resource based view theory, Source: </w:t>
          </w:r>
          <w:r>
            <w:rPr>
              <w:rStyle w:val="16"/>
              <w:highlight w:val="none"/>
            </w:rPr>
            <w:t>(Kostopoulos et al., 2003)</w:t>
          </w:r>
          <w:r>
            <w:rPr>
              <w:highlight w:val="none"/>
            </w:rPr>
            <w:tab/>
          </w:r>
          <w:r>
            <w:rPr>
              <w:highlight w:val="none"/>
            </w:rPr>
            <w:fldChar w:fldCharType="begin"/>
          </w:r>
          <w:r>
            <w:rPr>
              <w:highlight w:val="none"/>
            </w:rPr>
            <w:instrText xml:space="preserve"> PAGEREF _Toc133381160 \h </w:instrText>
          </w:r>
          <w:r>
            <w:rPr>
              <w:highlight w:val="none"/>
            </w:rPr>
            <w:fldChar w:fldCharType="separate"/>
          </w:r>
          <w:r>
            <w:rPr>
              <w:highlight w:val="none"/>
            </w:rPr>
            <w:t>7</w:t>
          </w:r>
          <w:r>
            <w:rPr>
              <w:highlight w:val="none"/>
            </w:rPr>
            <w:fldChar w:fldCharType="end"/>
          </w:r>
          <w:r>
            <w:rPr>
              <w:highlight w:val="none"/>
            </w:rPr>
            <w:fldChar w:fldCharType="end"/>
          </w:r>
        </w:p>
        <w:p>
          <w:pPr>
            <w:pStyle w:val="19"/>
            <w:tabs>
              <w:tab w:val="right" w:leader="dot" w:pos="9016"/>
            </w:tabs>
          </w:pPr>
          <w:r>
            <w:fldChar w:fldCharType="begin"/>
          </w:r>
          <w:r>
            <w:instrText xml:space="preserve"> HYPERLINK \l "_Toc133381161" </w:instrText>
          </w:r>
          <w:r>
            <w:fldChar w:fldCharType="separate"/>
          </w:r>
          <w:r>
            <w:rPr>
              <w:rStyle w:val="16"/>
            </w:rPr>
            <w:t>Figure 3</w:t>
          </w:r>
          <w:r>
            <w:rPr>
              <w:rStyle w:val="16"/>
              <w:lang w:val="en-US"/>
            </w:rPr>
            <w:t>: Industry five forces</w:t>
          </w:r>
          <w:r>
            <w:tab/>
          </w:r>
          <w:r>
            <w:fldChar w:fldCharType="begin"/>
          </w:r>
          <w:r>
            <w:instrText xml:space="preserve"> PAGEREF _Toc133381161 \h </w:instrText>
          </w:r>
          <w:r>
            <w:fldChar w:fldCharType="separate"/>
          </w:r>
          <w:r>
            <w:t>14</w:t>
          </w:r>
          <w:r>
            <w:fldChar w:fldCharType="end"/>
          </w:r>
          <w:r>
            <w:fldChar w:fldCharType="end"/>
          </w:r>
        </w:p>
        <w:p>
          <w:pPr>
            <w:pStyle w:val="19"/>
            <w:tabs>
              <w:tab w:val="right" w:leader="dot" w:pos="9016"/>
            </w:tabs>
          </w:pPr>
          <w:r>
            <w:fldChar w:fldCharType="begin"/>
          </w:r>
          <w:r>
            <w:instrText xml:space="preserve"> HYPERLINK \l "_Toc133381162" </w:instrText>
          </w:r>
          <w:r>
            <w:fldChar w:fldCharType="separate"/>
          </w:r>
          <w:r>
            <w:rPr>
              <w:rStyle w:val="16"/>
            </w:rPr>
            <w:t>Figure 4</w:t>
          </w:r>
          <w:r>
            <w:rPr>
              <w:rStyle w:val="16"/>
              <w:lang w:val="en-US"/>
            </w:rPr>
            <w:t>: Global value chain framework, Source: (Gereffi, G., &amp; Korzeniewicz, 1994)</w:t>
          </w:r>
          <w:r>
            <w:tab/>
          </w:r>
          <w:r>
            <w:fldChar w:fldCharType="begin"/>
          </w:r>
          <w:r>
            <w:instrText xml:space="preserve"> PAGEREF _Toc133381162 \h </w:instrText>
          </w:r>
          <w:r>
            <w:fldChar w:fldCharType="separate"/>
          </w:r>
          <w:r>
            <w:t>19</w:t>
          </w:r>
          <w:r>
            <w:fldChar w:fldCharType="end"/>
          </w:r>
          <w:r>
            <w:fldChar w:fldCharType="end"/>
          </w:r>
        </w:p>
        <w:p>
          <w:pPr>
            <w:rPr>
              <w:lang w:eastAsia="ja-JP"/>
            </w:rPr>
          </w:pPr>
          <w:r>
            <w:rPr>
              <w:lang w:eastAsia="ja-JP"/>
            </w:rPr>
            <w:fldChar w:fldCharType="end"/>
          </w:r>
        </w:p>
        <w:p>
          <w:pPr>
            <w:pStyle w:val="2"/>
          </w:pPr>
          <w:bookmarkStart w:id="1" w:name="_Toc25750"/>
          <w:r>
            <w:t>List of tables:</w:t>
          </w:r>
          <w:bookmarkEnd w:id="1"/>
        </w:p>
        <w:p>
          <w:pPr>
            <w:pStyle w:val="19"/>
            <w:tabs>
              <w:tab w:val="right" w:leader="dot" w:pos="9016"/>
            </w:tabs>
            <w:rPr>
              <w:rFonts w:asciiTheme="minorHAnsi" w:hAnsiTheme="minorHAnsi" w:eastAsiaTheme="minorEastAsia"/>
              <w:sz w:val="22"/>
              <w:lang w:val="en-US"/>
            </w:rPr>
          </w:pPr>
          <w:r>
            <w:rPr>
              <w:lang w:eastAsia="ja-JP"/>
            </w:rPr>
            <w:fldChar w:fldCharType="begin"/>
          </w:r>
          <w:r>
            <w:rPr>
              <w:lang w:eastAsia="ja-JP"/>
            </w:rPr>
            <w:instrText xml:space="preserve"> TOC \h \z \c "Table" </w:instrText>
          </w:r>
          <w:r>
            <w:rPr>
              <w:lang w:eastAsia="ja-JP"/>
            </w:rPr>
            <w:fldChar w:fldCharType="separate"/>
          </w:r>
          <w:r>
            <w:fldChar w:fldCharType="begin"/>
          </w:r>
          <w:r>
            <w:instrText xml:space="preserve"> HYPERLINK \l "_Toc133381251" </w:instrText>
          </w:r>
          <w:r>
            <w:fldChar w:fldCharType="separate"/>
          </w:r>
          <w:r>
            <w:rPr>
              <w:rStyle w:val="16"/>
            </w:rPr>
            <w:t>Table 1</w:t>
          </w:r>
          <w:r>
            <w:rPr>
              <w:rStyle w:val="16"/>
              <w:lang w:val="en-US"/>
            </w:rPr>
            <w:t>: PESTEL analysis</w:t>
          </w:r>
          <w:r>
            <w:tab/>
          </w:r>
          <w:r>
            <w:fldChar w:fldCharType="begin"/>
          </w:r>
          <w:r>
            <w:instrText xml:space="preserve"> PAGEREF _Toc133381251 \h </w:instrText>
          </w:r>
          <w:r>
            <w:fldChar w:fldCharType="separate"/>
          </w:r>
          <w:r>
            <w:t>12</w:t>
          </w:r>
          <w:r>
            <w:fldChar w:fldCharType="end"/>
          </w:r>
          <w:r>
            <w:fldChar w:fldCharType="end"/>
          </w:r>
        </w:p>
        <w:p>
          <w:pPr>
            <w:pStyle w:val="19"/>
            <w:tabs>
              <w:tab w:val="right" w:leader="dot" w:pos="9016"/>
            </w:tabs>
            <w:rPr>
              <w:rFonts w:asciiTheme="minorHAnsi" w:hAnsiTheme="minorHAnsi" w:eastAsiaTheme="minorEastAsia"/>
              <w:sz w:val="22"/>
              <w:lang w:val="en-US"/>
            </w:rPr>
          </w:pPr>
          <w:r>
            <w:fldChar w:fldCharType="begin"/>
          </w:r>
          <w:r>
            <w:instrText xml:space="preserve"> HYPERLINK \l "_Toc133381252" </w:instrText>
          </w:r>
          <w:r>
            <w:fldChar w:fldCharType="separate"/>
          </w:r>
          <w:r>
            <w:rPr>
              <w:rStyle w:val="16"/>
            </w:rPr>
            <w:t>Table 2</w:t>
          </w:r>
          <w:r>
            <w:rPr>
              <w:rStyle w:val="16"/>
              <w:lang w:val="en-US"/>
            </w:rPr>
            <w:t>: Industry five forces analysis</w:t>
          </w:r>
          <w:r>
            <w:tab/>
          </w:r>
          <w:r>
            <w:fldChar w:fldCharType="begin"/>
          </w:r>
          <w:r>
            <w:instrText xml:space="preserve"> PAGEREF _Toc133381252 \h </w:instrText>
          </w:r>
          <w:r>
            <w:fldChar w:fldCharType="separate"/>
          </w:r>
          <w:r>
            <w:t>14</w:t>
          </w:r>
          <w:r>
            <w:fldChar w:fldCharType="end"/>
          </w:r>
          <w:r>
            <w:fldChar w:fldCharType="end"/>
          </w:r>
        </w:p>
        <w:p>
          <w:pPr>
            <w:pStyle w:val="19"/>
            <w:tabs>
              <w:tab w:val="right" w:leader="dot" w:pos="9016"/>
            </w:tabs>
            <w:rPr>
              <w:rFonts w:asciiTheme="minorHAnsi" w:hAnsiTheme="minorHAnsi" w:eastAsiaTheme="minorEastAsia"/>
              <w:sz w:val="22"/>
              <w:lang w:val="en-US"/>
            </w:rPr>
          </w:pPr>
          <w:r>
            <w:fldChar w:fldCharType="begin"/>
          </w:r>
          <w:r>
            <w:instrText xml:space="preserve"> HYPERLINK \l "_Toc133381253" </w:instrText>
          </w:r>
          <w:r>
            <w:fldChar w:fldCharType="separate"/>
          </w:r>
          <w:r>
            <w:rPr>
              <w:rStyle w:val="16"/>
            </w:rPr>
            <w:t>Table 3</w:t>
          </w:r>
          <w:r>
            <w:rPr>
              <w:rStyle w:val="16"/>
              <w:lang w:val="en-US"/>
            </w:rPr>
            <w:t>: Market Analysis</w:t>
          </w:r>
          <w:r>
            <w:tab/>
          </w:r>
          <w:r>
            <w:fldChar w:fldCharType="begin"/>
          </w:r>
          <w:r>
            <w:instrText xml:space="preserve"> PAGEREF _Toc133381253 \h </w:instrText>
          </w:r>
          <w:r>
            <w:fldChar w:fldCharType="separate"/>
          </w:r>
          <w:r>
            <w:t>15</w:t>
          </w:r>
          <w:r>
            <w:fldChar w:fldCharType="end"/>
          </w:r>
          <w:r>
            <w:fldChar w:fldCharType="end"/>
          </w:r>
        </w:p>
        <w:p>
          <w:pPr>
            <w:rPr>
              <w:lang w:eastAsia="ja-JP"/>
            </w:rPr>
          </w:pPr>
          <w:r>
            <w:rPr>
              <w:lang w:eastAsia="ja-JP"/>
            </w:rPr>
            <w:fldChar w:fldCharType="end"/>
          </w: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rPr>
              <w:lang w:eastAsia="ja-JP"/>
            </w:rPr>
          </w:pPr>
        </w:p>
        <w:p>
          <w:pPr>
            <w:pStyle w:val="2"/>
            <w:spacing w:line="360" w:lineRule="auto"/>
          </w:pPr>
          <w:bookmarkStart w:id="2" w:name="_Toc25781"/>
          <w:bookmarkStart w:id="3" w:name="_Hlk133381362"/>
          <w:r>
            <w:t>Introduction</w:t>
          </w:r>
          <w:bookmarkEnd w:id="2"/>
        </w:p>
        <w:p>
          <w:pPr>
            <w:spacing w:line="360" w:lineRule="auto"/>
            <w:jc w:val="both"/>
            <w:rPr>
              <w:szCs w:val="24"/>
            </w:rPr>
          </w:pPr>
          <w:r>
            <w:rPr>
              <w:szCs w:val="24"/>
            </w:rPr>
            <w:t>This report provides a detailed analysis of Toyota Company in both its home country Japan and host country China. The report starts with an overview of Toyota's history and its position in the global automotive industry. It then goes on to conduct external and internal analyses of the company using analytical frameworks such as PESTEL analysis, Five Forces analysis, Market analysis, Country analysis, and SWOT analysis. The report also analyzes Toyota's entry modes, international strategies, and corporate social responsibility practices in the international context.</w:t>
          </w:r>
        </w:p>
        <w:p>
          <w:pPr>
            <w:pStyle w:val="2"/>
            <w:spacing w:line="360" w:lineRule="auto"/>
          </w:pPr>
          <w:bookmarkStart w:id="4" w:name="_Toc5733"/>
          <w:bookmarkStart w:id="5" w:name="_Hlk129629362"/>
          <w:r>
            <w:t>Company Background</w:t>
          </w:r>
          <w:bookmarkEnd w:id="4"/>
        </w:p>
        <w:bookmarkEnd w:id="5"/>
        <w:p>
          <w:pPr>
            <w:tabs>
              <w:tab w:val="left" w:pos="6390"/>
            </w:tabs>
            <w:spacing w:line="360" w:lineRule="auto"/>
            <w:jc w:val="both"/>
            <w:rPr>
              <w:rFonts w:asciiTheme="majorBidi" w:hAnsiTheme="majorBidi" w:cstheme="majorBidi"/>
              <w:szCs w:val="24"/>
            </w:rPr>
          </w:pPr>
          <w:r>
            <w:rPr>
              <w:rFonts w:asciiTheme="majorBidi" w:hAnsiTheme="majorBidi" w:cstheme="majorBidi"/>
              <w:szCs w:val="24"/>
            </w:rPr>
            <w:t xml:space="preserve">Kiichiro Toyoda founded Toyota Motor Corporation in 1937, a multinational automaker originating in Japan, producing various automobiles such as cars, trucks, buses, and SUVs (Kaneko et al., 2021). Toyota's success stems from its focus on quality, reliability, innovative manufacturing methods, and environmental responsibility (Statista, 2022). The "Toyota Production System" highlights continuous improvement and waste reduction, contributing to Toyota consistently ranking among the world's top automakers by production volume (Cusumano et al., 2021). </w:t>
          </w:r>
        </w:p>
        <w:p>
          <w:pPr>
            <w:spacing w:line="360" w:lineRule="auto"/>
            <w:jc w:val="both"/>
            <w:rPr>
              <w:rFonts w:asciiTheme="majorBidi" w:hAnsiTheme="majorBidi" w:cstheme="majorBidi"/>
              <w:szCs w:val="24"/>
            </w:rPr>
          </w:pPr>
          <w:r>
            <w:rPr>
              <w:rFonts w:asciiTheme="majorBidi" w:hAnsiTheme="majorBidi" w:cstheme="majorBidi"/>
              <w:szCs w:val="24"/>
            </w:rPr>
            <w:drawing>
              <wp:inline distT="0" distB="0" distL="0" distR="0">
                <wp:extent cx="5421630" cy="333565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428889" cy="3339976"/>
                        </a:xfrm>
                        <a:prstGeom prst="rect">
                          <a:avLst/>
                        </a:prstGeom>
                      </pic:spPr>
                    </pic:pic>
                  </a:graphicData>
                </a:graphic>
              </wp:inline>
            </w:drawing>
          </w:r>
        </w:p>
        <w:p>
          <w:pPr>
            <w:pStyle w:val="9"/>
            <w:spacing w:line="360" w:lineRule="auto"/>
            <w:jc w:val="both"/>
            <w:rPr>
              <w:rFonts w:asciiTheme="majorBidi" w:hAnsiTheme="majorBidi" w:cstheme="majorBidi"/>
              <w:sz w:val="24"/>
              <w:szCs w:val="24"/>
            </w:rPr>
          </w:pPr>
          <w:r>
            <w:rPr>
              <w:rFonts w:asciiTheme="majorBidi" w:hAnsiTheme="majorBidi" w:cstheme="majorBidi"/>
              <w:sz w:val="24"/>
              <w:szCs w:val="24"/>
            </w:rPr>
            <w:t>Figure 1</w:t>
          </w:r>
          <w:r>
            <w:rPr>
              <w:rFonts w:asciiTheme="majorBidi" w:hAnsiTheme="majorBidi" w:cstheme="majorBidi"/>
              <w:sz w:val="24"/>
              <w:szCs w:val="24"/>
              <w:lang w:val="en-US"/>
            </w:rPr>
            <w:t>: Toyota's net revenue, Source: (Toyota, 2022).</w:t>
          </w:r>
        </w:p>
        <w:p>
          <w:pPr>
            <w:spacing w:line="360" w:lineRule="auto"/>
            <w:jc w:val="both"/>
            <w:rPr>
              <w:rFonts w:asciiTheme="majorBidi" w:hAnsiTheme="majorBidi" w:cstheme="majorBidi"/>
              <w:szCs w:val="24"/>
            </w:rPr>
          </w:pPr>
          <w:r>
            <w:rPr>
              <w:rFonts w:asciiTheme="majorBidi" w:hAnsiTheme="majorBidi" w:cstheme="majorBidi"/>
              <w:szCs w:val="24"/>
            </w:rPr>
            <w:t>Data shows that Toyota's revenue grew from around 18.58 trillion yen in 2012 to nearly 31 trillion yen in 2022 (Toyota, 2022). With a market cap of over $189.22 billion in March 2023 (CompaniesMarketCap.com, 2023), it ranks as one of the most valuable automakers (Reuters, 2018). Toyota's commitment to sustainability includes leadership in hybrid and electric vehicle technology, such as the Toyota Prius (Toyota, 2013) and Mirai fuel cell vehicle (Luo et al., 2021). The company aims for 0% net carbon emissions by 2050 (Toyota, 2018) and addresses environmental challenges through initiatives like the Toyota Environmental Challenge 2050 and Toyota Global Vision 2030 (United Nations, 2022). (United Nations, 2022).</w:t>
          </w:r>
        </w:p>
        <w:p>
          <w:pPr>
            <w:pStyle w:val="3"/>
          </w:pPr>
          <w:bookmarkStart w:id="6" w:name="_Toc25052"/>
          <w:r>
            <w:t>Company’s Objectives and Strategies</w:t>
          </w:r>
          <w:bookmarkEnd w:id="6"/>
        </w:p>
        <w:p>
          <w:pPr>
            <w:pStyle w:val="4"/>
            <w:spacing w:line="360" w:lineRule="auto"/>
          </w:pPr>
          <w:bookmarkStart w:id="7" w:name="_Toc14803"/>
          <w:bookmarkStart w:id="8" w:name="_Hlk130287293"/>
          <w:r>
            <w:t>Objectives</w:t>
          </w:r>
          <w:bookmarkEnd w:id="7"/>
        </w:p>
        <w:p>
          <w:pPr>
            <w:spacing w:line="360" w:lineRule="auto"/>
            <w:jc w:val="both"/>
            <w:rPr>
              <w:rFonts w:asciiTheme="majorBidi" w:hAnsiTheme="majorBidi" w:cstheme="majorBidi"/>
              <w:szCs w:val="24"/>
            </w:rPr>
          </w:pPr>
          <w:r>
            <w:t>Toyota's primary objective is to create long-term value for its customers, shareholders, and other stakeholders. This objective is achieved by providing high-quality, innovative, and sustainable products and services (</w:t>
          </w:r>
          <w:r>
            <w:rPr>
              <w:rFonts w:ascii="Arial" w:hAnsi="Arial" w:cs="Arial"/>
              <w:color w:val="222222"/>
              <w:sz w:val="20"/>
              <w:szCs w:val="20"/>
              <w:shd w:val="clear" w:color="auto" w:fill="FFFFFF"/>
            </w:rPr>
            <w:t>Mpehle et al., 2021)</w:t>
          </w:r>
          <w:r>
            <w:t>. The business has committed to reducing the carbon dioxide emissions from its new cars by 90% from 2010 levels by 2050. (Clifford, 2021; BBC, 2015). To this end, Toyota is investing in renewable energy, enhancing the energy efficiency of its facilities, and promoting the use of hybrid and electric vehicles. (Frangoul, 2022)</w:t>
          </w:r>
          <w:r>
            <w:rPr>
              <w:rFonts w:asciiTheme="majorBidi" w:hAnsiTheme="majorBidi" w:cstheme="majorBidi"/>
              <w:szCs w:val="24"/>
            </w:rPr>
            <w:t>.</w:t>
          </w:r>
        </w:p>
        <w:p>
          <w:pPr>
            <w:spacing w:line="360" w:lineRule="auto"/>
            <w:jc w:val="both"/>
            <w:rPr>
              <w:rFonts w:asciiTheme="majorBidi" w:hAnsiTheme="majorBidi" w:cstheme="majorBidi"/>
              <w:szCs w:val="24"/>
            </w:rPr>
          </w:pPr>
        </w:p>
        <w:p>
          <w:pPr>
            <w:spacing w:line="360" w:lineRule="auto"/>
            <w:jc w:val="both"/>
            <w:rPr>
              <w:rFonts w:asciiTheme="majorBidi" w:hAnsiTheme="majorBidi" w:cstheme="majorBidi"/>
              <w:szCs w:val="24"/>
            </w:rPr>
          </w:pPr>
        </w:p>
        <w:p>
          <w:pPr>
            <w:spacing w:line="360" w:lineRule="auto"/>
            <w:jc w:val="both"/>
            <w:rPr>
              <w:rFonts w:asciiTheme="majorBidi" w:hAnsiTheme="majorBidi" w:cstheme="majorBidi"/>
              <w:szCs w:val="24"/>
            </w:rPr>
          </w:pPr>
        </w:p>
        <w:p>
          <w:pPr>
            <w:spacing w:line="360" w:lineRule="auto"/>
            <w:jc w:val="both"/>
            <w:rPr>
              <w:rFonts w:asciiTheme="majorBidi" w:hAnsiTheme="majorBidi" w:cstheme="majorBidi"/>
              <w:szCs w:val="24"/>
            </w:rPr>
          </w:pPr>
        </w:p>
        <w:p>
          <w:pPr>
            <w:spacing w:line="360" w:lineRule="auto"/>
            <w:jc w:val="both"/>
            <w:rPr>
              <w:rFonts w:asciiTheme="majorBidi" w:hAnsiTheme="majorBidi" w:cstheme="majorBidi"/>
              <w:szCs w:val="24"/>
            </w:rPr>
          </w:pPr>
        </w:p>
        <w:p>
          <w:pPr>
            <w:spacing w:line="360" w:lineRule="auto"/>
            <w:jc w:val="both"/>
            <w:rPr>
              <w:rFonts w:asciiTheme="majorBidi" w:hAnsiTheme="majorBidi" w:cstheme="majorBidi"/>
              <w:szCs w:val="24"/>
            </w:rPr>
          </w:pPr>
        </w:p>
        <w:p>
          <w:pPr>
            <w:spacing w:line="360" w:lineRule="auto"/>
            <w:jc w:val="both"/>
          </w:pPr>
        </w:p>
        <w:p>
          <w:pPr>
            <w:pStyle w:val="4"/>
            <w:spacing w:line="360" w:lineRule="auto"/>
            <w:rPr>
              <w:highlight w:val="none"/>
            </w:rPr>
          </w:pPr>
          <w:bookmarkStart w:id="9" w:name="_Toc12039"/>
          <w:r>
            <w:rPr>
              <w:highlight w:val="none"/>
            </w:rPr>
            <w:t>Expansion Strategies</w:t>
          </w:r>
          <w:bookmarkEnd w:id="9"/>
        </w:p>
        <w:p>
          <w:pPr>
            <w:pStyle w:val="5"/>
            <w:spacing w:line="360" w:lineRule="auto"/>
            <w:jc w:val="both"/>
            <w:rPr>
              <w:highlight w:val="none"/>
            </w:rPr>
          </w:pPr>
          <w:bookmarkStart w:id="10" w:name="_Toc5011"/>
          <w:r>
            <w:rPr>
              <w:highlight w:val="none"/>
            </w:rPr>
            <w:t>Product Development:</w:t>
          </w:r>
          <w:bookmarkEnd w:id="10"/>
          <w:r>
            <w:rPr>
              <w:highlight w:val="none"/>
            </w:rPr>
            <w:t xml:space="preserve"> </w:t>
          </w:r>
        </w:p>
        <w:p>
          <w:pPr>
            <w:spacing w:line="360" w:lineRule="auto"/>
            <w:jc w:val="both"/>
            <w:rPr>
              <w:highlight w:val="none"/>
            </w:rPr>
          </w:pPr>
          <w:r>
            <w:rPr>
              <w:highlight w:val="none"/>
            </w:rPr>
            <w:t xml:space="preserve">Ansoff's Growth Matrix is a strategic management tool that helps companies decide their product and market growth strategy (Ansoff, 1965). The matrix consists of four strategies: Market Penetration, Market Development, Product Development, and Diversification. </w:t>
          </w:r>
        </w:p>
        <w:p>
          <w:pPr>
            <w:spacing w:line="360" w:lineRule="auto"/>
            <w:jc w:val="center"/>
            <w:rPr>
              <w:highlight w:val="yellow"/>
            </w:rPr>
          </w:pPr>
          <w:r>
            <w:rPr>
              <w:highlight w:val="yellow"/>
            </w:rPr>
            <w:drawing>
              <wp:inline distT="0" distB="0" distL="0" distR="0">
                <wp:extent cx="4057650" cy="2771775"/>
                <wp:effectExtent l="0" t="0" r="0" b="0"/>
                <wp:docPr id="153731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318165"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061879" cy="2774602"/>
                        </a:xfrm>
                        <a:prstGeom prst="rect">
                          <a:avLst/>
                        </a:prstGeom>
                        <a:noFill/>
                        <a:ln>
                          <a:noFill/>
                        </a:ln>
                      </pic:spPr>
                    </pic:pic>
                  </a:graphicData>
                </a:graphic>
              </wp:inline>
            </w:drawing>
          </w:r>
        </w:p>
        <w:p>
          <w:pPr>
            <w:pStyle w:val="9"/>
            <w:rPr>
              <w:highlight w:val="none"/>
            </w:rPr>
          </w:pPr>
          <w:bookmarkStart w:id="11" w:name="_Toc133381159"/>
          <w:r>
            <w:rPr>
              <w:highlight w:val="none"/>
            </w:rPr>
            <w:t xml:space="preserve">Figure </w:t>
          </w:r>
          <w:r>
            <w:rPr>
              <w:highlight w:val="none"/>
            </w:rPr>
            <w:fldChar w:fldCharType="begin"/>
          </w:r>
          <w:r>
            <w:rPr>
              <w:highlight w:val="none"/>
            </w:rPr>
            <w:instrText xml:space="preserve"> SEQ Figure \* ARABIC </w:instrText>
          </w:r>
          <w:r>
            <w:rPr>
              <w:highlight w:val="none"/>
            </w:rPr>
            <w:fldChar w:fldCharType="separate"/>
          </w:r>
          <w:r>
            <w:rPr>
              <w:highlight w:val="none"/>
            </w:rPr>
            <w:t>1</w:t>
          </w:r>
          <w:r>
            <w:rPr>
              <w:highlight w:val="none"/>
            </w:rPr>
            <w:fldChar w:fldCharType="end"/>
          </w:r>
          <w:r>
            <w:rPr>
              <w:highlight w:val="none"/>
              <w:lang w:val="en-US"/>
            </w:rPr>
            <w:t>: Ansoff growth matrix</w:t>
          </w:r>
          <w:bookmarkEnd w:id="11"/>
        </w:p>
        <w:p>
          <w:pPr>
            <w:spacing w:line="360" w:lineRule="auto"/>
            <w:jc w:val="both"/>
            <w:rPr>
              <w:highlight w:val="none"/>
            </w:rPr>
          </w:pPr>
          <w:r>
            <w:rPr>
              <w:highlight w:val="none"/>
            </w:rPr>
            <w:t>Toyota's focus on product development and innovation has led to financial success and a devoted customer base (Shih, 2022). Investments in research and development have resulted in new and improved products, such as the first mass-produced hybrid car, Prius (1997), and other hybrid models like Camry Hybrid, RAV4 Hybrid, and Highlander Hybrid (Clifford, 2015). Toyota also invests in sustainable mobility through hydrogen fuel cell vehicles, like the Mirai (Toyota Europe, 2021). In the case of Toyota, the company's focus on product development and innovation can be linked to the Product Development strategy within Ansoff's Growth Matrix. According to this strategy, a company seeks to grow by developing new products or improving existing ones for its current market segments.</w:t>
          </w:r>
        </w:p>
        <w:p>
          <w:pPr>
            <w:pStyle w:val="5"/>
            <w:spacing w:line="360" w:lineRule="auto"/>
            <w:jc w:val="both"/>
            <w:rPr>
              <w:highlight w:val="none"/>
            </w:rPr>
          </w:pPr>
          <w:bookmarkStart w:id="12" w:name="_Toc10022"/>
          <w:r>
            <w:rPr>
              <w:highlight w:val="none"/>
            </w:rPr>
            <w:t>Market Expansion:</w:t>
          </w:r>
          <w:bookmarkEnd w:id="12"/>
          <w:r>
            <w:rPr>
              <w:highlight w:val="none"/>
            </w:rPr>
            <w:t xml:space="preserve"> </w:t>
          </w:r>
        </w:p>
        <w:p>
          <w:pPr>
            <w:spacing w:line="360" w:lineRule="auto"/>
            <w:jc w:val="both"/>
            <w:rPr>
              <w:highlight w:val="none"/>
            </w:rPr>
          </w:pPr>
          <w:r>
            <w:rPr>
              <w:highlight w:val="none"/>
            </w:rPr>
            <w:t>In accordance witht the Ansoff matrix, The Market Development strategy involves a company expanding its operations into new geographic markets or targeting new customer segments while offering its existing products or services (Ansoff, 1995). Toyota has a global presence and operates in over 170 countries and regions worldwide. The company has expanded its operations to emerging markets, such as India, Brazil, and China, to tap into the growing demand for automobiles in these regions (Toyota, 2022). Toyota has introduced the Innova and Fortuner in India, which are specifically designed to meet the needs of Indian consumers (Shah, 2015).</w:t>
          </w:r>
        </w:p>
        <w:p>
          <w:pPr>
            <w:pStyle w:val="5"/>
            <w:spacing w:line="360" w:lineRule="auto"/>
            <w:jc w:val="both"/>
            <w:rPr>
              <w:highlight w:val="none"/>
            </w:rPr>
          </w:pPr>
          <w:bookmarkStart w:id="13" w:name="_Toc16306"/>
          <w:r>
            <w:rPr>
              <w:highlight w:val="none"/>
            </w:rPr>
            <w:t>Strategic Partnerships:</w:t>
          </w:r>
          <w:bookmarkEnd w:id="13"/>
          <w:r>
            <w:rPr>
              <w:highlight w:val="none"/>
            </w:rPr>
            <w:t xml:space="preserve"> </w:t>
          </w:r>
        </w:p>
        <w:p>
          <w:pPr>
            <w:spacing w:line="360" w:lineRule="auto"/>
            <w:jc w:val="both"/>
            <w:rPr>
              <w:rFonts w:asciiTheme="majorBidi" w:hAnsiTheme="majorBidi" w:cstheme="majorBidi"/>
              <w:szCs w:val="24"/>
              <w:highlight w:val="none"/>
            </w:rPr>
          </w:pPr>
          <w:r>
            <w:rPr>
              <w:rFonts w:asciiTheme="majorBidi" w:hAnsiTheme="majorBidi" w:cstheme="majorBidi"/>
              <w:szCs w:val="24"/>
              <w:highlight w:val="none"/>
            </w:rPr>
            <w:t>Toyota's strategic partnerships can be linked to the Resource-Based View (RBV) theory, as presented in Jay Barney's book, "Firm Resources and Sustained Competitive Advantage" (1991).</w:t>
          </w:r>
        </w:p>
        <w:p>
          <w:pPr>
            <w:spacing w:line="360" w:lineRule="auto"/>
            <w:jc w:val="center"/>
            <w:rPr>
              <w:rFonts w:asciiTheme="majorBidi" w:hAnsiTheme="majorBidi" w:cstheme="majorBidi"/>
              <w:szCs w:val="24"/>
              <w:highlight w:val="none"/>
            </w:rPr>
          </w:pPr>
          <w:r>
            <w:rPr>
              <w:rFonts w:asciiTheme="majorBidi" w:hAnsiTheme="majorBidi" w:cstheme="majorBidi"/>
              <w:szCs w:val="24"/>
              <w:highlight w:val="none"/>
            </w:rPr>
            <w:drawing>
              <wp:inline distT="0" distB="0" distL="0" distR="0">
                <wp:extent cx="3924935" cy="2546350"/>
                <wp:effectExtent l="0" t="0" r="0" b="6350"/>
                <wp:docPr id="2083279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79533" name="Picture 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930900" cy="2549902"/>
                        </a:xfrm>
                        <a:prstGeom prst="rect">
                          <a:avLst/>
                        </a:prstGeom>
                      </pic:spPr>
                    </pic:pic>
                  </a:graphicData>
                </a:graphic>
              </wp:inline>
            </w:drawing>
          </w:r>
        </w:p>
        <w:p>
          <w:pPr>
            <w:pStyle w:val="9"/>
            <w:rPr>
              <w:rFonts w:asciiTheme="majorBidi" w:hAnsiTheme="majorBidi" w:cstheme="majorBidi"/>
              <w:szCs w:val="24"/>
              <w:highlight w:val="none"/>
            </w:rPr>
          </w:pPr>
          <w:bookmarkStart w:id="14" w:name="_Toc133381160"/>
          <w:r>
            <w:rPr>
              <w:highlight w:val="none"/>
            </w:rPr>
            <w:t xml:space="preserve">Figure </w:t>
          </w:r>
          <w:r>
            <w:rPr>
              <w:highlight w:val="none"/>
            </w:rPr>
            <w:fldChar w:fldCharType="begin"/>
          </w:r>
          <w:r>
            <w:rPr>
              <w:highlight w:val="none"/>
            </w:rPr>
            <w:instrText xml:space="preserve"> SEQ Figure \* ARABIC </w:instrText>
          </w:r>
          <w:r>
            <w:rPr>
              <w:highlight w:val="none"/>
            </w:rPr>
            <w:fldChar w:fldCharType="separate"/>
          </w:r>
          <w:r>
            <w:rPr>
              <w:highlight w:val="none"/>
            </w:rPr>
            <w:t>2</w:t>
          </w:r>
          <w:r>
            <w:rPr>
              <w:highlight w:val="none"/>
            </w:rPr>
            <w:fldChar w:fldCharType="end"/>
          </w:r>
          <w:r>
            <w:rPr>
              <w:highlight w:val="none"/>
              <w:lang w:val="en-US"/>
            </w:rPr>
            <w:t xml:space="preserve">: Resource based view theory, Source: </w:t>
          </w:r>
          <w:r>
            <w:rPr>
              <w:rStyle w:val="49"/>
              <w:highlight w:val="none"/>
            </w:rPr>
            <w:t>(Kostopoulos et al., 2003)</w:t>
          </w:r>
          <w:bookmarkEnd w:id="14"/>
        </w:p>
        <w:p>
          <w:pPr>
            <w:spacing w:line="360" w:lineRule="auto"/>
            <w:jc w:val="both"/>
            <w:rPr>
              <w:rFonts w:asciiTheme="majorBidi" w:hAnsiTheme="majorBidi" w:cstheme="majorBidi"/>
              <w:color w:val="222222"/>
              <w:szCs w:val="24"/>
              <w:shd w:val="clear" w:color="auto" w:fill="FFFFFF"/>
            </w:rPr>
          </w:pPr>
          <w:r>
            <w:rPr>
              <w:rFonts w:asciiTheme="majorBidi" w:hAnsiTheme="majorBidi" w:cstheme="majorBidi"/>
              <w:szCs w:val="24"/>
            </w:rPr>
            <w:t>To broaden its influence and skills, Toyota has established strategic alliances with other organizations. For the purpose of creating electric cars and automated driving technology, Toyota, has teamed up with Subaru (Reuters, 2019). Toyota has also partnered with Mazda and Denso to establish a joint venture to develop electric vehicle technology (CNBC, 2017). In addition, Toyota has formed a partnership with Uber to develop self-driving cars (Marshall, 2018). With its strong reputation for quality, reliability, and innovation, Toyota is well-positioned to continue to lead the way in the automotive industry (</w:t>
          </w:r>
          <w:r>
            <w:rPr>
              <w:rFonts w:asciiTheme="majorBidi" w:hAnsiTheme="majorBidi" w:cstheme="majorBidi"/>
              <w:color w:val="222222"/>
              <w:szCs w:val="24"/>
              <w:shd w:val="clear" w:color="auto" w:fill="FFFFFF"/>
            </w:rPr>
            <w:t>Jotov, 2021).</w:t>
          </w:r>
          <w:bookmarkEnd w:id="8"/>
        </w:p>
        <w:p>
          <w:pPr>
            <w:spacing w:line="360" w:lineRule="auto"/>
            <w:jc w:val="both"/>
            <w:rPr>
              <w:rFonts w:asciiTheme="majorBidi" w:hAnsiTheme="majorBidi" w:cstheme="majorBidi"/>
              <w:color w:val="222222"/>
              <w:szCs w:val="24"/>
              <w:shd w:val="clear" w:color="auto" w:fill="FFFFFF"/>
            </w:rPr>
          </w:pPr>
        </w:p>
        <w:p>
          <w:pPr>
            <w:spacing w:line="360" w:lineRule="auto"/>
            <w:jc w:val="both"/>
            <w:rPr>
              <w:rFonts w:asciiTheme="majorBidi" w:hAnsiTheme="majorBidi" w:cstheme="majorBidi"/>
              <w:color w:val="222222"/>
              <w:szCs w:val="24"/>
              <w:shd w:val="clear" w:color="auto" w:fill="FFFFFF"/>
            </w:rPr>
          </w:pPr>
        </w:p>
        <w:p>
          <w:pPr>
            <w:spacing w:line="360" w:lineRule="auto"/>
            <w:jc w:val="both"/>
            <w:rPr>
              <w:rFonts w:asciiTheme="majorBidi" w:hAnsiTheme="majorBidi" w:cstheme="majorBidi"/>
              <w:szCs w:val="24"/>
            </w:rPr>
          </w:pPr>
        </w:p>
        <w:p>
          <w:pPr>
            <w:pStyle w:val="2"/>
            <w:spacing w:line="360" w:lineRule="auto"/>
          </w:pPr>
          <w:bookmarkStart w:id="15" w:name="_Toc30576"/>
          <w:r>
            <w:t>Countries’ Specifications</w:t>
          </w:r>
          <w:bookmarkEnd w:id="15"/>
          <w:r>
            <w:t xml:space="preserve"> </w:t>
          </w:r>
        </w:p>
        <w:p>
          <w:pPr>
            <w:spacing w:line="360" w:lineRule="auto"/>
            <w:jc w:val="both"/>
            <w:rPr>
              <w:rFonts w:cs="Times New Roman"/>
              <w:szCs w:val="24"/>
            </w:rPr>
          </w:pPr>
          <w:bookmarkStart w:id="16" w:name="_Toc6789"/>
          <w:r>
            <w:rPr>
              <w:rStyle w:val="39"/>
            </w:rPr>
            <w:t>Home Country</w:t>
          </w:r>
          <w:bookmarkEnd w:id="16"/>
          <w:r>
            <w:rPr>
              <w:rFonts w:cs="Times New Roman"/>
              <w:szCs w:val="24"/>
            </w:rPr>
            <w:t xml:space="preserve"> </w:t>
          </w:r>
          <w:r>
            <w:rPr>
              <w:rFonts w:cs="Times New Roman"/>
              <w:color w:val="FF0000"/>
              <w:szCs w:val="24"/>
            </w:rPr>
            <w:t>(Japan)</w:t>
          </w:r>
        </w:p>
        <w:p>
          <w:pPr>
            <w:pStyle w:val="4"/>
            <w:spacing w:line="360" w:lineRule="auto"/>
          </w:pPr>
          <w:bookmarkStart w:id="17" w:name="_Toc9998"/>
          <w:r>
            <w:t>Country-specific factors: Japan</w:t>
          </w:r>
          <w:bookmarkEnd w:id="17"/>
        </w:p>
        <w:p>
          <w:pPr>
            <w:spacing w:line="360" w:lineRule="auto"/>
            <w:jc w:val="both"/>
            <w:rPr>
              <w:rFonts w:cs="Times New Roman"/>
              <w:szCs w:val="24"/>
            </w:rPr>
          </w:pPr>
          <w:r>
            <w:rPr>
              <w:rFonts w:cs="Times New Roman"/>
              <w:szCs w:val="24"/>
            </w:rPr>
            <w:t>Japan is the third-largest economy in the world, with a nominal GDP of approximately $5.4 trillion in 2020 (World Bank, 2021). Its highly skilled workforce, well-developed infrastructure, and strategic location in East Asia have been crucial to Toyota's success. Japan has a long-standing tradition of kaizen, a management philosophy centered on continuous improvement, which has been a key component of Toyota's approach to production and quality management (Imai, 1986). Additionally, the keiretsu system, a network of interlocking business relationships among Japanese companies, has played a significant role in Toyota's supply chain management (Lincoln &amp; Gerlach, 2004).</w:t>
          </w:r>
        </w:p>
        <w:p>
          <w:pPr>
            <w:pStyle w:val="4"/>
            <w:spacing w:line="360" w:lineRule="auto"/>
          </w:pPr>
          <w:bookmarkStart w:id="18" w:name="_Toc25100"/>
          <w:r>
            <w:t>Industry-specific factors: Automotive Industry</w:t>
          </w:r>
          <w:bookmarkEnd w:id="18"/>
        </w:p>
        <w:p>
          <w:pPr>
            <w:spacing w:line="360" w:lineRule="auto"/>
            <w:jc w:val="both"/>
            <w:rPr>
              <w:rFonts w:cs="Times New Roman"/>
              <w:szCs w:val="24"/>
            </w:rPr>
          </w:pPr>
          <w:r>
            <w:rPr>
              <w:rFonts w:cs="Times New Roman"/>
              <w:szCs w:val="24"/>
            </w:rPr>
            <w:t>The global automotive industry is highly competitive, with several major players vying for market share. In 2020, Toyota was the world's largest automaker by sales, with a global market share of approximately 10.2% (Statista, 2021). Its main competitors include Volkswagen, General Motors, and Hyundai-Kia. Toyota has been at the forefront of these changes, investing $4.1 billion in research and development (R&amp;D) in 2020 (Toyota, 2021).</w:t>
          </w:r>
        </w:p>
        <w:p>
          <w:pPr>
            <w:pStyle w:val="4"/>
            <w:spacing w:line="360" w:lineRule="auto"/>
          </w:pPr>
          <w:bookmarkStart w:id="19" w:name="_Toc2423"/>
          <w:r>
            <w:t>Management-specific factors: Toyota Production System</w:t>
          </w:r>
          <w:bookmarkEnd w:id="19"/>
        </w:p>
        <w:p>
          <w:pPr>
            <w:spacing w:line="360" w:lineRule="auto"/>
            <w:jc w:val="both"/>
            <w:rPr>
              <w:rFonts w:cs="Times New Roman"/>
              <w:szCs w:val="24"/>
            </w:rPr>
          </w:pPr>
          <w:r>
            <w:rPr>
              <w:rFonts w:cs="Times New Roman"/>
              <w:szCs w:val="24"/>
            </w:rPr>
            <w:t>Toyota's management philosophy is rooted in the Toyota Production System (TPS), a lean manufacturing approach that focuses on eliminating waste, reducing costs, and improving quality (Jeffery, 2008). TPS comprises two main pillars: Just-in-Time (JIT) production and Jidoka, or built-in quality control. JIT production involves producing only what is needed when it is needed, while Jidoka emphasizes identifying and solving problems as they arise (Monden, 2012).</w:t>
          </w:r>
        </w:p>
        <w:p>
          <w:pPr>
            <w:pStyle w:val="4"/>
            <w:spacing w:line="360" w:lineRule="auto"/>
          </w:pPr>
          <w:bookmarkStart w:id="20" w:name="_Toc23413"/>
          <w:r>
            <w:t>Marketing</w:t>
          </w:r>
          <w:bookmarkEnd w:id="20"/>
        </w:p>
        <w:p>
          <w:pPr>
            <w:spacing w:line="360" w:lineRule="auto"/>
            <w:jc w:val="both"/>
            <w:rPr>
              <w:rFonts w:cs="Times New Roman"/>
              <w:szCs w:val="24"/>
            </w:rPr>
          </w:pPr>
          <w:r>
            <w:rPr>
              <w:rFonts w:cs="Times New Roman"/>
              <w:szCs w:val="24"/>
            </w:rPr>
            <w:t>The company has used a combination of segmentation, targeting, and positioning strategies to appeal to different customer segments. For instance, Toyota targets environmentally conscious consumers with its Prius hybrid vehicle line, which had cumulative global sales of over 15 million units as of January 2020 (Toyota, 2020). In Japan, Toyota has relied on a strong dealer network to distribute and service its vehicles. Toyota holds a 50.7 % share of the Japanese auto market recently (Marklines, 2021).</w:t>
          </w:r>
        </w:p>
        <w:p>
          <w:pPr>
            <w:pStyle w:val="4"/>
            <w:spacing w:line="360" w:lineRule="auto"/>
          </w:pPr>
          <w:bookmarkStart w:id="21" w:name="_Toc22636"/>
          <w:r>
            <w:t>Operations</w:t>
          </w:r>
          <w:bookmarkEnd w:id="21"/>
        </w:p>
        <w:p>
          <w:pPr>
            <w:spacing w:line="360" w:lineRule="auto"/>
            <w:jc w:val="both"/>
            <w:rPr>
              <w:rFonts w:cs="Times New Roman"/>
              <w:szCs w:val="24"/>
            </w:rPr>
          </w:pPr>
          <w:r>
            <w:rPr>
              <w:rFonts w:cs="Times New Roman"/>
              <w:szCs w:val="24"/>
            </w:rPr>
            <w:t>Toyota's operations are characterized by its commitment to efficiency, quality, and continuous improvement. In 2020, Toyota produced approximately 6.5 million vehicles globally, with 2.9 million of those produced in Japan (Toyota, 2021).</w:t>
          </w:r>
        </w:p>
        <w:p>
          <w:pPr>
            <w:spacing w:line="360" w:lineRule="auto"/>
            <w:jc w:val="both"/>
            <w:rPr>
              <w:rFonts w:cs="Times New Roman"/>
              <w:szCs w:val="24"/>
            </w:rPr>
          </w:pPr>
          <w:r>
            <w:rPr>
              <w:rFonts w:cs="Times New Roman"/>
              <w:szCs w:val="24"/>
            </w:rPr>
            <w:t>Additionally, Toyota has adopted a global manufacturing strategy, allowing it to achieve economies of scale and optimize its supply chain (Fujimoto, 2007). In Japan, Toyota operates 12 manufacturing plants, which are strategically located to minimize transportation costs and maximize efficiency (Toyota, 2021).</w:t>
          </w:r>
        </w:p>
        <w:p>
          <w:pPr>
            <w:pStyle w:val="4"/>
            <w:spacing w:line="360" w:lineRule="auto"/>
          </w:pPr>
          <w:bookmarkStart w:id="22" w:name="_Toc26018"/>
          <w:r>
            <w:t>Human Resource Management</w:t>
          </w:r>
          <w:bookmarkEnd w:id="22"/>
        </w:p>
        <w:p>
          <w:pPr>
            <w:spacing w:line="360" w:lineRule="auto"/>
            <w:jc w:val="both"/>
            <w:rPr>
              <w:rFonts w:cs="Times New Roman"/>
              <w:szCs w:val="24"/>
            </w:rPr>
          </w:pPr>
          <w:r>
            <w:rPr>
              <w:rFonts w:cs="Times New Roman"/>
              <w:szCs w:val="24"/>
            </w:rPr>
            <w:t>Toyota's HRM practices emphasize employee empowerment, training, and development. Toyota's approach to HRM has been credited with fostering a strong sense of teamwork and commitment among its workforce, contributing to its competitive advantage (Liker &amp; Hoseus, 2008).</w:t>
          </w:r>
        </w:p>
        <w:p>
          <w:pPr>
            <w:spacing w:line="360" w:lineRule="auto"/>
            <w:jc w:val="both"/>
            <w:rPr>
              <w:rFonts w:cs="Times New Roman"/>
              <w:szCs w:val="24"/>
            </w:rPr>
          </w:pPr>
          <w:r>
            <w:rPr>
              <w:rFonts w:cs="Times New Roman"/>
              <w:szCs w:val="24"/>
            </w:rPr>
            <w:t>The company places a strong emphasis on long-term employment, providing job security and opportunities for growth. As of March 2020, Toyota employed approximately 360,000 people worldwide, with around 220,000 of those employees based in Japan (Toyota, 2021).</w:t>
          </w:r>
        </w:p>
        <w:p>
          <w:pPr>
            <w:spacing w:line="360" w:lineRule="auto"/>
            <w:jc w:val="both"/>
            <w:rPr>
              <w:rFonts w:cs="Times New Roman"/>
              <w:szCs w:val="24"/>
            </w:rPr>
          </w:pPr>
          <w:r>
            <w:rPr>
              <w:rFonts w:cs="Times New Roman"/>
              <w:szCs w:val="24"/>
            </w:rPr>
            <w:t>Numerous academic studies have been conducted on Toyota's management practices, operations, and strategies, contributing to a rich body of literature on the company. For instance, (Jeffery, 2008) has extensively studied the Toyota Production System and its impact on the company's performance, while Fujimoto (1999) has examined Toyota's global manufacturing strategy. Moreover, research by Kitazawa (2020) has explored Toyota's investment in electric vehicle technology and its implications for the company's future competitiveness.</w:t>
          </w:r>
        </w:p>
        <w:p>
          <w:pPr>
            <w:spacing w:line="360" w:lineRule="auto"/>
            <w:jc w:val="both"/>
            <w:rPr>
              <w:rFonts w:cs="Times New Roman"/>
              <w:szCs w:val="24"/>
            </w:rPr>
          </w:pPr>
        </w:p>
        <w:p>
          <w:pPr>
            <w:spacing w:line="360" w:lineRule="auto"/>
            <w:jc w:val="both"/>
            <w:rPr>
              <w:rFonts w:cs="Times New Roman"/>
              <w:szCs w:val="24"/>
            </w:rPr>
          </w:pPr>
        </w:p>
        <w:p>
          <w:pPr>
            <w:spacing w:line="360" w:lineRule="auto"/>
            <w:jc w:val="both"/>
            <w:rPr>
              <w:rFonts w:cs="Times New Roman"/>
              <w:szCs w:val="24"/>
            </w:rPr>
          </w:pPr>
          <w:bookmarkStart w:id="23" w:name="_Toc23270"/>
          <w:r>
            <w:rPr>
              <w:rStyle w:val="39"/>
            </w:rPr>
            <w:t>Host Country</w:t>
          </w:r>
          <w:bookmarkEnd w:id="23"/>
          <w:r>
            <w:rPr>
              <w:rFonts w:cs="Times New Roman"/>
              <w:szCs w:val="24"/>
            </w:rPr>
            <w:t xml:space="preserve"> </w:t>
          </w:r>
          <w:r>
            <w:rPr>
              <w:rFonts w:cs="Times New Roman"/>
              <w:color w:val="FF0000"/>
              <w:szCs w:val="24"/>
            </w:rPr>
            <w:t>(China)</w:t>
          </w:r>
        </w:p>
        <w:p>
          <w:pPr>
            <w:pStyle w:val="4"/>
            <w:spacing w:line="360" w:lineRule="auto"/>
          </w:pPr>
          <w:bookmarkStart w:id="24" w:name="_Toc26837"/>
          <w:r>
            <w:t>Country-specific factors: China</w:t>
          </w:r>
          <w:bookmarkEnd w:id="24"/>
        </w:p>
        <w:p>
          <w:pPr>
            <w:spacing w:line="360" w:lineRule="auto"/>
            <w:jc w:val="both"/>
            <w:rPr>
              <w:rFonts w:cs="Times New Roman"/>
              <w:szCs w:val="24"/>
            </w:rPr>
          </w:pPr>
          <w:r>
            <w:rPr>
              <w:rFonts w:cs="Times New Roman"/>
              <w:szCs w:val="24"/>
            </w:rPr>
            <w:t>China is the world's second-largest economy, with a nominal GDP of approximately $14.7 trillion in 2020 (World Bank, 2021). Its rapid economic growth, large population, and expanding middle class have made it an attractive market for foreign automakers like Toyota.</w:t>
          </w:r>
        </w:p>
        <w:p>
          <w:pPr>
            <w:pStyle w:val="4"/>
            <w:spacing w:line="360" w:lineRule="auto"/>
          </w:pPr>
          <w:bookmarkStart w:id="25" w:name="_Toc26753"/>
          <w:r>
            <w:t>Industry-specific factors: Automotive Industry in China</w:t>
          </w:r>
          <w:bookmarkEnd w:id="25"/>
        </w:p>
        <w:p>
          <w:pPr>
            <w:spacing w:line="360" w:lineRule="auto"/>
            <w:jc w:val="both"/>
            <w:rPr>
              <w:rFonts w:cs="Times New Roman"/>
              <w:szCs w:val="24"/>
            </w:rPr>
          </w:pPr>
          <w:r>
            <w:rPr>
              <w:rFonts w:cs="Times New Roman"/>
              <w:szCs w:val="24"/>
            </w:rPr>
            <w:t>The automotive industry in China is the largest in the world, with total vehicle sales reaching 25.3 million units in 2020 (Reuters, 2021). The Chinese government has implemented policies to promote the development of electric vehicles (EVs) and alternative energy vehicles, creating new opportunities for automakers like Toyota.</w:t>
          </w:r>
        </w:p>
        <w:p>
          <w:pPr>
            <w:pStyle w:val="4"/>
            <w:spacing w:line="360" w:lineRule="auto"/>
          </w:pPr>
          <w:bookmarkStart w:id="26" w:name="_Toc21762"/>
          <w:r>
            <w:t>Marketing in China</w:t>
          </w:r>
          <w:bookmarkEnd w:id="26"/>
        </w:p>
        <w:p>
          <w:pPr>
            <w:spacing w:line="360" w:lineRule="auto"/>
            <w:jc w:val="both"/>
            <w:rPr>
              <w:rFonts w:cs="Times New Roman"/>
              <w:szCs w:val="24"/>
            </w:rPr>
          </w:pPr>
          <w:r>
            <w:rPr>
              <w:rFonts w:cs="Times New Roman"/>
              <w:szCs w:val="24"/>
            </w:rPr>
            <w:t>Toyota has employed various marketing strategies to appeal to Chinese consumers, including segmentation, targeting, and positioning. In 2020, Toyota held a 6.1% share of the Chinese auto market, with sales of approximately 1.5 million units (Marklines, 2021).</w:t>
          </w:r>
        </w:p>
        <w:p>
          <w:pPr>
            <w:pStyle w:val="4"/>
            <w:spacing w:line="360" w:lineRule="auto"/>
          </w:pPr>
          <w:bookmarkStart w:id="27" w:name="_Toc21793"/>
          <w:r>
            <w:t>Operations in China</w:t>
          </w:r>
          <w:bookmarkEnd w:id="27"/>
        </w:p>
        <w:p>
          <w:pPr>
            <w:spacing w:line="360" w:lineRule="auto"/>
            <w:jc w:val="both"/>
            <w:rPr>
              <w:rFonts w:cs="Times New Roman"/>
              <w:szCs w:val="24"/>
            </w:rPr>
          </w:pPr>
          <w:r>
            <w:rPr>
              <w:rFonts w:cs="Times New Roman"/>
              <w:szCs w:val="24"/>
            </w:rPr>
            <w:t>The company operates through joint ventures with Chinese partners, such as Guangzhou Automobile Group (GAC) and FAW Group, to comply with Chinese regulations and gain access to local resources and expertise. In 2020, Toyota produced over 1 million vehicles in China (Reuters, 2021).</w:t>
          </w:r>
        </w:p>
        <w:p>
          <w:pPr>
            <w:pStyle w:val="4"/>
            <w:spacing w:line="360" w:lineRule="auto"/>
          </w:pPr>
          <w:bookmarkStart w:id="28" w:name="_Toc11084"/>
          <w:r>
            <w:t>Human Resource Management in China</w:t>
          </w:r>
          <w:bookmarkEnd w:id="28"/>
        </w:p>
        <w:p>
          <w:pPr>
            <w:spacing w:line="360" w:lineRule="auto"/>
            <w:jc w:val="both"/>
            <w:rPr>
              <w:rFonts w:cs="Times New Roman"/>
              <w:szCs w:val="24"/>
            </w:rPr>
          </w:pPr>
          <w:r>
            <w:rPr>
              <w:rFonts w:cs="Times New Roman"/>
              <w:szCs w:val="24"/>
            </w:rPr>
            <w:t>Toyota has implemented HRM practices in China that reflect its global values while also taking into account local cultural nuances (</w:t>
          </w:r>
          <w:r>
            <w:rPr>
              <w:rFonts w:ascii="Arial" w:hAnsi="Arial" w:cs="Arial"/>
              <w:color w:val="222222"/>
              <w:sz w:val="20"/>
              <w:szCs w:val="20"/>
              <w:shd w:val="clear" w:color="auto" w:fill="FFFFFF"/>
            </w:rPr>
            <w:t>Horwitz &amp; Mellahi, 2018)</w:t>
          </w:r>
          <w:r>
            <w:rPr>
              <w:rFonts w:cs="Times New Roman"/>
              <w:szCs w:val="24"/>
            </w:rPr>
            <w:t>. The company has focused on recruiting and developing local talent, offering competitive compensation packages, and providing extensive training and development opportunities.</w:t>
          </w:r>
        </w:p>
        <w:p>
          <w:pPr>
            <w:pStyle w:val="4"/>
            <w:spacing w:line="360" w:lineRule="auto"/>
          </w:pPr>
          <w:bookmarkStart w:id="29" w:name="_Toc28392"/>
          <w:r>
            <w:t>International Context: Adapting and Integrating Resources and Capabilities</w:t>
          </w:r>
          <w:bookmarkEnd w:id="29"/>
        </w:p>
        <w:p>
          <w:pPr>
            <w:spacing w:line="360" w:lineRule="auto"/>
            <w:jc w:val="both"/>
            <w:rPr>
              <w:rFonts w:cs="Times New Roman"/>
              <w:szCs w:val="24"/>
            </w:rPr>
          </w:pPr>
          <w:r>
            <w:rPr>
              <w:rFonts w:cs="Times New Roman"/>
              <w:szCs w:val="24"/>
            </w:rPr>
            <w:t>Toyota's success in the global market, including China, can be attributed to its ability to adapt and integrate its resources and capabilities across different countries (</w:t>
          </w:r>
          <w:r>
            <w:rPr>
              <w:rFonts w:ascii="Arial" w:hAnsi="Arial" w:cs="Arial"/>
              <w:color w:val="222222"/>
              <w:sz w:val="20"/>
              <w:szCs w:val="20"/>
              <w:shd w:val="clear" w:color="auto" w:fill="FFFFFF"/>
            </w:rPr>
            <w:t xml:space="preserve">Liao et al., 2011). </w:t>
          </w:r>
          <w:r>
            <w:rPr>
              <w:rFonts w:cs="Times New Roman"/>
              <w:szCs w:val="24"/>
            </w:rPr>
            <w:t>The company has effectively balanced standardization and localization, ensuring that its core values and management practices are maintained while also being responsive to local market conditions and preferences.</w:t>
          </w:r>
        </w:p>
        <w:p>
          <w:pPr>
            <w:pStyle w:val="4"/>
            <w:spacing w:line="360" w:lineRule="auto"/>
          </w:pPr>
          <w:bookmarkStart w:id="30" w:name="_Toc13487"/>
          <w:r>
            <w:t>Global Marketing Strategy</w:t>
          </w:r>
          <w:bookmarkEnd w:id="30"/>
        </w:p>
        <w:p>
          <w:pPr>
            <w:spacing w:line="360" w:lineRule="auto"/>
            <w:jc w:val="both"/>
            <w:rPr>
              <w:rFonts w:cs="Times New Roman"/>
              <w:szCs w:val="24"/>
            </w:rPr>
          </w:pPr>
          <w:r>
            <w:rPr>
              <w:rFonts w:cs="Times New Roman"/>
              <w:szCs w:val="24"/>
            </w:rPr>
            <w:t>Toyota's global marketing strategy has involved creating a unified brand image while also allowing for regional variations in product offerings and marketing messages (</w:t>
          </w:r>
          <w:r>
            <w:rPr>
              <w:rFonts w:ascii="Arial" w:hAnsi="Arial" w:cs="Arial"/>
              <w:color w:val="222222"/>
              <w:szCs w:val="24"/>
              <w:shd w:val="clear" w:color="auto" w:fill="FFFFFF"/>
            </w:rPr>
            <w:t>Paul, 2018)</w:t>
          </w:r>
          <w:r>
            <w:rPr>
              <w:rFonts w:cs="Times New Roman"/>
              <w:szCs w:val="24"/>
            </w:rPr>
            <w:t>. The company has developed a portfolio of brands, such as Lexus for luxury vehicles and Daihatsu for compact cars, to cater to different customer segments worldwide (</w:t>
          </w:r>
          <w:r>
            <w:rPr>
              <w:rFonts w:ascii="Arial" w:hAnsi="Arial" w:cs="Arial"/>
              <w:color w:val="222222"/>
              <w:szCs w:val="24"/>
              <w:shd w:val="clear" w:color="auto" w:fill="FFFFFF"/>
            </w:rPr>
            <w:t>HARIKRISHNAN, 2021)</w:t>
          </w:r>
          <w:r>
            <w:rPr>
              <w:rFonts w:cs="Times New Roman"/>
              <w:szCs w:val="24"/>
            </w:rPr>
            <w:t>.</w:t>
          </w:r>
        </w:p>
        <w:p>
          <w:pPr>
            <w:pStyle w:val="4"/>
            <w:spacing w:line="360" w:lineRule="auto"/>
          </w:pPr>
          <w:bookmarkStart w:id="31" w:name="_Toc18615"/>
          <w:r>
            <w:t>Global Operations Strategy</w:t>
          </w:r>
          <w:bookmarkEnd w:id="31"/>
        </w:p>
        <w:p>
          <w:pPr>
            <w:spacing w:line="360" w:lineRule="auto"/>
            <w:jc w:val="both"/>
            <w:rPr>
              <w:rFonts w:cs="Times New Roman"/>
              <w:szCs w:val="24"/>
              <w:highlight w:val="none"/>
            </w:rPr>
          </w:pPr>
          <w:r>
            <w:rPr>
              <w:rFonts w:cs="Times New Roman"/>
              <w:szCs w:val="24"/>
              <w:highlight w:val="none"/>
            </w:rPr>
            <w:t xml:space="preserve">Toyota's global operations strategy has been characterized by its commitment to efficiency, quality, and continuous improvement. The company has pursued a global manufacturing strategy, establishing production facilities in strategic locations around the world to optimize its supply chain and achieve economies of scale (Fujimoto, 2007). Toyota's global operations strategy, exemplified by its unwavering dedication to efficiency, quality, and continuous improvement, has facilitated the company's successful expansion from Japan to China. This approach aligns with principles outlined in study of (Daniels, 2021). By leveraging its strategic expertise, Toyota continues to enhance its international presence, meeting consumer demands and maintaining a strong foothold in the global automotive industry (Daniels, (2021). </w:t>
          </w:r>
        </w:p>
        <w:p>
          <w:pPr>
            <w:pStyle w:val="4"/>
            <w:spacing w:line="360" w:lineRule="auto"/>
          </w:pPr>
          <w:bookmarkStart w:id="32" w:name="_Toc22267"/>
          <w:r>
            <w:t>Global HRM Strategy</w:t>
          </w:r>
          <w:bookmarkEnd w:id="32"/>
        </w:p>
        <w:p>
          <w:pPr>
            <w:spacing w:line="360" w:lineRule="auto"/>
            <w:jc w:val="both"/>
            <w:rPr>
              <w:rFonts w:cs="Times New Roman"/>
              <w:szCs w:val="24"/>
            </w:rPr>
          </w:pPr>
          <w:r>
            <w:rPr>
              <w:rFonts w:cs="Times New Roman"/>
              <w:szCs w:val="24"/>
            </w:rPr>
            <w:t>Toyota's global HRM strategy has involved the development of a strong corporate culture, centred on teamwork, continuous learning, and employee empowerment. Research by (</w:t>
          </w:r>
          <w:r>
            <w:rPr>
              <w:rFonts w:ascii="Arial" w:hAnsi="Arial" w:cs="Arial"/>
              <w:color w:val="222222"/>
              <w:sz w:val="20"/>
              <w:szCs w:val="20"/>
              <w:shd w:val="clear" w:color="auto" w:fill="FFFFFF"/>
            </w:rPr>
            <w:t>Shih, 2014</w:t>
          </w:r>
          <w:r>
            <w:rPr>
              <w:rFonts w:cs="Times New Roman"/>
              <w:szCs w:val="24"/>
            </w:rPr>
            <w:t>) has explored Toyota's localization strategy in the Chinese market and its influence on consumer perceptions and preferences, the company has focused on recruiting, training, and retaining a highly skilled and dedicated workforce to support its global expansion,</w:t>
          </w:r>
        </w:p>
        <w:p>
          <w:pPr>
            <w:spacing w:line="360" w:lineRule="auto"/>
            <w:jc w:val="both"/>
            <w:rPr>
              <w:rFonts w:cs="Times New Roman"/>
              <w:szCs w:val="24"/>
              <w:highlight w:val="none"/>
            </w:rPr>
          </w:pPr>
          <w:r>
            <w:rPr>
              <w:rFonts w:cs="Times New Roman"/>
              <w:szCs w:val="24"/>
              <w:highlight w:val="none"/>
            </w:rPr>
            <w:t xml:space="preserve">Toyota's expansion from Japan to China demonstrates the importance of adapting and integrating resources and capabilities in international business, (Wild &amp; Wild, 2021). Toyota's global operations strategy, including its focus on efficiency and quality, has been crucial in navigating the Chinese market. By leveraging its resources and capabilities, Toyota has effectively overcome the challenges of globalization. </w:t>
          </w:r>
        </w:p>
        <w:p>
          <w:pPr>
            <w:pStyle w:val="3"/>
          </w:pPr>
          <w:bookmarkStart w:id="33" w:name="_Toc7626"/>
          <w:r>
            <w:t>External Analysis</w:t>
          </w:r>
          <w:bookmarkEnd w:id="33"/>
        </w:p>
        <w:p>
          <w:pPr>
            <w:pStyle w:val="3"/>
          </w:pPr>
          <w:bookmarkStart w:id="34" w:name="_Toc17020"/>
          <w:r>
            <w:t>A Comparative PESTEL Analysis</w:t>
          </w:r>
          <w:bookmarkEnd w:id="34"/>
        </w:p>
        <w:p>
          <w:pPr>
            <w:spacing w:line="360" w:lineRule="auto"/>
            <w:jc w:val="both"/>
            <w:rPr>
              <w:highlight w:val="none"/>
              <w:lang w:eastAsia="ja-JP"/>
            </w:rPr>
          </w:pPr>
          <w:r>
            <w:rPr>
              <w:highlight w:val="none"/>
              <w:lang w:eastAsia="ja-JP"/>
            </w:rPr>
            <w:t>PESTEL analysis is a framework that examines external factors affecting a company's operations, including Political, Economic, Sociocultural, Technological, Environmental, and Legal aspects. When comparing Toyota's expansion from Japan to China, one must consider differences in government regulations, economic growth, and consumer preferences. This analysis aligns with Michael E. Porter's "Competitive Strategy: Techniques for Analyzing Industries and Competitors" (1980), which emphasizes the importance of understanding the external environment to create a competitive advantage.</w:t>
          </w:r>
        </w:p>
        <w:p>
          <w:pPr>
            <w:pStyle w:val="9"/>
            <w:rPr>
              <w:lang w:eastAsia="ja-JP"/>
            </w:rPr>
          </w:pPr>
          <w:bookmarkStart w:id="35" w:name="_Toc133381251"/>
          <w:r>
            <w:t xml:space="preserve">Table </w:t>
          </w:r>
          <w:r>
            <w:fldChar w:fldCharType="begin"/>
          </w:r>
          <w:r>
            <w:instrText xml:space="preserve"> SEQ Table \* ARABIC </w:instrText>
          </w:r>
          <w:r>
            <w:fldChar w:fldCharType="separate"/>
          </w:r>
          <w:r>
            <w:t>1</w:t>
          </w:r>
          <w:r>
            <w:fldChar w:fldCharType="end"/>
          </w:r>
          <w:r>
            <w:rPr>
              <w:lang w:val="en-US"/>
            </w:rPr>
            <w:t>: PESTEL analysis</w:t>
          </w:r>
          <w:bookmarkEnd w:id="35"/>
        </w:p>
        <w:tbl>
          <w:tblPr>
            <w:tblStyle w:val="48"/>
            <w:tblW w:w="10890" w:type="dxa"/>
            <w:tblInd w:w="-995" w:type="dxa"/>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1890"/>
            <w:gridCol w:w="3291"/>
            <w:gridCol w:w="5709"/>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bottom w:val="nil"/>
                  <w:right w:val="nil"/>
                </w:tcBorders>
                <w:shd w:val="clear" w:color="auto" w:fill="000000" w:themeFill="text1"/>
              </w:tcPr>
              <w:p>
                <w:pPr>
                  <w:spacing w:before="480" w:after="480" w:line="24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Factors</w:t>
                </w:r>
              </w:p>
            </w:tc>
            <w:tc>
              <w:tcPr>
                <w:tcW w:w="3291" w:type="dxa"/>
                <w:shd w:val="clear" w:color="auto" w:fill="000000" w:themeFill="text1"/>
              </w:tcPr>
              <w:p>
                <w:pPr>
                  <w:spacing w:before="480" w:after="480" w:line="24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China</w:t>
                </w:r>
              </w:p>
            </w:tc>
            <w:tc>
              <w:tcPr>
                <w:tcW w:w="5709" w:type="dxa"/>
                <w:shd w:val="clear" w:color="auto" w:fill="000000" w:themeFill="text1"/>
              </w:tcPr>
              <w:p>
                <w:pPr>
                  <w:spacing w:before="480" w:after="480" w:line="24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Japan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P</w:t>
                </w:r>
                <w:r>
                  <w:rPr>
                    <w:rFonts w:ascii="Söhne" w:hAnsi="Söhne" w:eastAsia="Times New Roman" w:cs="Times New Roman"/>
                    <w:b/>
                    <w:bCs/>
                    <w:sz w:val="21"/>
                    <w:szCs w:val="21"/>
                    <w:lang w:val="en-US"/>
                  </w:rPr>
                  <w:t>olitical</w:t>
                </w:r>
              </w:p>
            </w:tc>
            <w:tc>
              <w:tcPr>
                <w:tcW w:w="3291"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Chinese government requires foreign automakers to form joint ventures with local partners (Yuan et al., 2013) </w:t>
                </w:r>
              </w:p>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Policies promoting the development of electric vehicles and alternative energy vehicles (Mengnan, 2023   )</w:t>
                </w:r>
              </w:p>
            </w:tc>
            <w:tc>
              <w:tcPr>
                <w:tcW w:w="5709"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Stable political environment with strong government support for the automotive industry (</w:t>
                </w:r>
                <w:r>
                  <w:rPr>
                    <w:rFonts w:ascii="Arial" w:hAnsi="Arial" w:cs="Arial"/>
                    <w:color w:val="222222"/>
                    <w:sz w:val="20"/>
                    <w:szCs w:val="20"/>
                    <w:shd w:val="clear" w:color="auto" w:fill="FFFFFF"/>
                  </w:rPr>
                  <w:t>Somlev and Hoshino, 2005</w:t>
                </w:r>
                <w:r>
                  <w:rPr>
                    <w:rFonts w:ascii="Söhne" w:hAnsi="Söhne" w:eastAsia="Times New Roman" w:cs="Times New Roman"/>
                    <w:sz w:val="21"/>
                    <w:szCs w:val="21"/>
                    <w:lang w:val="en-US"/>
                  </w:rPr>
                  <w:t xml:space="preserve">) </w:t>
                </w:r>
              </w:p>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Japan's commitment to the Paris Agreement encourages the development of environmentally friendly vehicles (KAJIMOTO, 2020)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right w:val="nil"/>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E</w:t>
                </w:r>
                <w:r>
                  <w:rPr>
                    <w:rFonts w:ascii="Söhne" w:hAnsi="Söhne" w:eastAsia="Times New Roman" w:cs="Times New Roman"/>
                    <w:b/>
                    <w:bCs/>
                    <w:sz w:val="21"/>
                    <w:szCs w:val="21"/>
                    <w:lang w:val="en-US"/>
                  </w:rPr>
                  <w:t>conomic</w:t>
                </w:r>
              </w:p>
            </w:tc>
            <w:tc>
              <w:tcPr>
                <w:tcW w:w="3291"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Rapid economic growth, large population, and expanding middle class (World Bank, 2021)     - Fluctuations in the Chinese economy and exchange rate risks between the Japanese yen and the Chinese yuan</w:t>
                </w:r>
              </w:p>
            </w:tc>
            <w:tc>
              <w:tcPr>
                <w:tcW w:w="5709"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Mature automotive market with slow growth (Statista, 2021)     - Strong domestic market, with high demand for fuel-efficient and eco-friendly vehicles (Deloitte, 2017)</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S</w:t>
                </w:r>
                <w:r>
                  <w:rPr>
                    <w:rFonts w:ascii="Söhne" w:hAnsi="Söhne" w:eastAsia="Times New Roman" w:cs="Times New Roman"/>
                    <w:b/>
                    <w:bCs/>
                    <w:sz w:val="21"/>
                    <w:szCs w:val="21"/>
                    <w:lang w:val="en-US"/>
                  </w:rPr>
                  <w:t>ocio-cultural</w:t>
                </w:r>
              </w:p>
            </w:tc>
            <w:tc>
              <w:tcPr>
                <w:tcW w:w="3291"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Preference for fuel efficiency, affordability, and quality in vehicles (Deloitte, 2017)     - Growing environmental awareness, increasing demand for eco-friendly vehicles (Toyota, 2020)</w:t>
                </w:r>
              </w:p>
            </w:tc>
            <w:tc>
              <w:tcPr>
                <w:tcW w:w="5709"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Preference for compact cars, with a focus on fuel efficiency, safety, and reliability - Aging population and urbanization trends influencing vehicle preferences (CIA, 2021)</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right w:val="nil"/>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T</w:t>
                </w:r>
                <w:r>
                  <w:rPr>
                    <w:rFonts w:ascii="Söhne" w:hAnsi="Söhne" w:eastAsia="Times New Roman" w:cs="Times New Roman"/>
                    <w:b/>
                    <w:bCs/>
                    <w:sz w:val="21"/>
                    <w:szCs w:val="21"/>
                    <w:lang w:val="en-US"/>
                  </w:rPr>
                  <w:t>echnological</w:t>
                </w:r>
              </w:p>
            </w:tc>
            <w:tc>
              <w:tcPr>
                <w:tcW w:w="3291"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Growing electric vehicle (EV) market, driven by government policies and incentives (Mengnan, 2023)     - Popularity of connected and autonomous vehicles, requiring investment in advanced technologies (</w:t>
                </w:r>
                <w:r>
                  <w:t>Shirouzu, 2018</w:t>
                </w:r>
                <w:r>
                  <w:rPr>
                    <w:rFonts w:ascii="Söhne" w:hAnsi="Söhne" w:eastAsia="Times New Roman" w:cs="Times New Roman"/>
                    <w:sz w:val="21"/>
                    <w:szCs w:val="21"/>
                    <w:lang w:val="en-US"/>
                  </w:rPr>
                  <w:t>)</w:t>
                </w:r>
              </w:p>
            </w:tc>
            <w:tc>
              <w:tcPr>
                <w:tcW w:w="5709"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World-renowned automotive R&amp;D and innovation, particularly in EV and fuel cell technology (Fujimoto, 2007)     - Strong emphasis on robotics, AI, and IoT in the automotive industry (KAJIMOTO, 2020)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E</w:t>
                </w:r>
                <w:r>
                  <w:rPr>
                    <w:rFonts w:ascii="Söhne" w:hAnsi="Söhne" w:eastAsia="Times New Roman" w:cs="Times New Roman"/>
                    <w:b/>
                    <w:bCs/>
                    <w:sz w:val="21"/>
                    <w:szCs w:val="21"/>
                    <w:lang w:val="en-US"/>
                  </w:rPr>
                  <w:t>nvironmental</w:t>
                </w:r>
              </w:p>
            </w:tc>
            <w:tc>
              <w:tcPr>
                <w:tcW w:w="3291"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Stringent vehicle emissions and fuel efficiency regulations - Increased demand for EVs and alternative energy vehicles due to growing pollution concerns (Mengnan, 2023   )</w:t>
                </w:r>
              </w:p>
            </w:tc>
            <w:tc>
              <w:tcPr>
                <w:tcW w:w="5709"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Strict environmental regulations and targets, encouraging the development of eco-friendly vehicles (KAJIMOTO, 2020)     - Natural disasters, such as earthquakes and tsunamis, impacting the automotive supply chain (</w:t>
                </w:r>
                <w:r>
                  <w:rPr>
                    <w:rFonts w:ascii="Arial" w:hAnsi="Arial" w:cs="Arial"/>
                    <w:color w:val="222222"/>
                    <w:sz w:val="20"/>
                    <w:szCs w:val="20"/>
                    <w:shd w:val="clear" w:color="auto" w:fill="FFFFFF"/>
                  </w:rPr>
                  <w:t>Somlev, 2005</w:t>
                </w:r>
                <w:r>
                  <w:rPr>
                    <w:rFonts w:ascii="Söhne" w:hAnsi="Söhne" w:eastAsia="Times New Roman" w:cs="Times New Roman"/>
                    <w:sz w:val="21"/>
                    <w:szCs w:val="21"/>
                    <w:lang w:val="en-US"/>
                  </w:rPr>
                  <w: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890" w:type="dxa"/>
                <w:tcBorders>
                  <w:right w:val="nil"/>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val="0"/>
                    <w:bCs w:val="0"/>
                    <w:sz w:val="21"/>
                    <w:szCs w:val="21"/>
                    <w:bdr w:val="single" w:color="D9D9E3" w:sz="2" w:space="0"/>
                    <w:lang w:val="en-US"/>
                  </w:rPr>
                  <w:t>L</w:t>
                </w:r>
                <w:r>
                  <w:rPr>
                    <w:rFonts w:ascii="Söhne" w:hAnsi="Söhne" w:eastAsia="Times New Roman" w:cs="Times New Roman"/>
                    <w:b/>
                    <w:bCs/>
                    <w:sz w:val="21"/>
                    <w:szCs w:val="21"/>
                    <w:lang w:val="en-US"/>
                  </w:rPr>
                  <w:t>egal</w:t>
                </w:r>
              </w:p>
            </w:tc>
            <w:tc>
              <w:tcPr>
                <w:tcW w:w="3291"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Intellectual property rights and technology transfer concerns in joint ventures (US-China Business Council, 2018)     - Regulations promoting fair competition in the automotive industry</w:t>
                </w:r>
              </w:p>
            </w:tc>
            <w:tc>
              <w:tcPr>
                <w:tcW w:w="5709"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Strong legal framework protecting intellectual property rights (WIPO, 2021)     - Laws and regulations supporting the development of environmentally friendly vehicles (KAJIMOTO, 2020)</w:t>
                </w:r>
              </w:p>
            </w:tc>
          </w:tr>
        </w:tbl>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pStyle w:val="3"/>
          </w:pPr>
          <w:bookmarkStart w:id="36" w:name="_Toc16183"/>
          <w:r>
            <w:t>Industry Five Forces</w:t>
          </w:r>
          <w:bookmarkEnd w:id="36"/>
          <w:r>
            <w:t xml:space="preserve"> </w:t>
          </w:r>
        </w:p>
        <w:p>
          <w:pPr>
            <w:spacing w:line="360" w:lineRule="auto"/>
            <w:jc w:val="both"/>
            <w:rPr>
              <w:highlight w:val="none"/>
              <w:lang w:val="en-US"/>
            </w:rPr>
          </w:pPr>
          <w:r>
            <w:rPr>
              <w:highlight w:val="none"/>
              <w:lang w:val="en-US"/>
            </w:rPr>
            <w:t>Industry Five Forces Analysis of Toyota's expansion from Japan to China includes assessing competitive rivalry, bargaining power of suppliers and buyers, and the threat of substitutes and new entrants. This analysis is based on Michael E. Porter's "Competitive Strategy: Techniques for Analyzing Industries and Competitors" (1980), which underscores the significance of understanding industry structure to create a competitive advantage.</w:t>
          </w:r>
        </w:p>
        <w:p>
          <w:pPr>
            <w:spacing w:line="360" w:lineRule="auto"/>
            <w:jc w:val="both"/>
            <w:rPr>
              <w:lang w:val="en-US"/>
            </w:rPr>
          </w:pPr>
        </w:p>
        <w:p>
          <w:pPr>
            <w:spacing w:line="360" w:lineRule="auto"/>
            <w:jc w:val="center"/>
          </w:pPr>
          <w:r>
            <w:drawing>
              <wp:inline distT="0" distB="0" distL="0" distR="0">
                <wp:extent cx="3874135" cy="3381375"/>
                <wp:effectExtent l="0" t="0" r="0" b="9525"/>
                <wp:docPr id="10805922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92263"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3874135" cy="3381375"/>
                        </a:xfrm>
                        <a:prstGeom prst="rect">
                          <a:avLst/>
                        </a:prstGeom>
                        <a:noFill/>
                        <a:ln>
                          <a:noFill/>
                        </a:ln>
                      </pic:spPr>
                    </pic:pic>
                  </a:graphicData>
                </a:graphic>
              </wp:inline>
            </w:drawing>
          </w:r>
        </w:p>
        <w:p>
          <w:pPr>
            <w:pStyle w:val="9"/>
            <w:jc w:val="center"/>
            <w:rPr>
              <w:lang w:val="en-US"/>
            </w:rPr>
          </w:pPr>
          <w:bookmarkStart w:id="37" w:name="_Toc133381161"/>
          <w:r>
            <w:t xml:space="preserve">Figure </w:t>
          </w:r>
          <w:r>
            <w:fldChar w:fldCharType="begin"/>
          </w:r>
          <w:r>
            <w:instrText xml:space="preserve"> SEQ Figure \* ARABIC </w:instrText>
          </w:r>
          <w:r>
            <w:fldChar w:fldCharType="separate"/>
          </w:r>
          <w:r>
            <w:t>3</w:t>
          </w:r>
          <w:r>
            <w:fldChar w:fldCharType="end"/>
          </w:r>
          <w:r>
            <w:rPr>
              <w:lang w:val="en-US"/>
            </w:rPr>
            <w:t>: Industry five forces</w:t>
          </w:r>
          <w:bookmarkEnd w:id="37"/>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rPr>
              <w:lang w:val="en-US"/>
            </w:rPr>
          </w:pPr>
        </w:p>
        <w:p>
          <w:pPr>
            <w:pStyle w:val="9"/>
            <w:rPr>
              <w:lang w:val="en-US"/>
            </w:rPr>
          </w:pPr>
          <w:bookmarkStart w:id="38" w:name="_Toc133381252"/>
          <w:r>
            <w:t xml:space="preserve">Table </w:t>
          </w:r>
          <w:r>
            <w:fldChar w:fldCharType="begin"/>
          </w:r>
          <w:r>
            <w:instrText xml:space="preserve"> SEQ Table \* ARABIC </w:instrText>
          </w:r>
          <w:r>
            <w:fldChar w:fldCharType="separate"/>
          </w:r>
          <w:r>
            <w:t>2</w:t>
          </w:r>
          <w:r>
            <w:fldChar w:fldCharType="end"/>
          </w:r>
          <w:r>
            <w:rPr>
              <w:lang w:val="en-US"/>
            </w:rPr>
            <w:t>: Industry five forces analysis</w:t>
          </w:r>
          <w:bookmarkEnd w:id="38"/>
        </w:p>
        <w:tbl>
          <w:tblPr>
            <w:tblStyle w:val="48"/>
            <w:tblW w:w="10913" w:type="dxa"/>
            <w:tblInd w:w="-995" w:type="dxa"/>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1980"/>
            <w:gridCol w:w="8933"/>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bottom w:val="nil"/>
                  <w:right w:val="nil"/>
                </w:tcBorders>
                <w:shd w:val="clear" w:color="auto" w:fill="000000" w:themeFill="text1"/>
              </w:tcPr>
              <w:p>
                <w:pPr>
                  <w:spacing w:before="480" w:after="480" w:line="24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Forces</w:t>
                </w:r>
              </w:p>
            </w:tc>
            <w:tc>
              <w:tcPr>
                <w:tcW w:w="8933" w:type="dxa"/>
                <w:shd w:val="clear" w:color="auto" w:fill="000000" w:themeFill="text1"/>
              </w:tcPr>
              <w:p>
                <w:pPr>
                  <w:spacing w:before="480" w:after="480" w:line="24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China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Competitive Rivalry</w:t>
                </w:r>
              </w:p>
            </w:tc>
            <w:tc>
              <w:tcPr>
                <w:tcW w:w="8933"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Highly competitive market with both international and domestic automakers, including Volkswagen, General Motors, Honda, Nissan, Geely, Great Wall Motors, and BYD (Statista, 2021)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right w:val="nil"/>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Bargaining Power of Suppliers</w:t>
                </w:r>
              </w:p>
            </w:tc>
            <w:tc>
              <w:tcPr>
                <w:tcW w:w="8933"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Localization of supply chain by sourcing parts and components from Chinese suppliers (Yuan et al., 2013)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Bargaining Power of Buyers</w:t>
                </w:r>
              </w:p>
            </w:tc>
            <w:tc>
              <w:tcPr>
                <w:tcW w:w="8933"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Wide range of choices for consumers, increasing their bargaining power (Deloitte, 2017)     - Toyota must offer high-quality, fuel-efficient, and affordable vehicles to attract and retain customers in the price-sensitive market</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right w:val="nil"/>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Threat of Substitutes</w:t>
                </w:r>
              </w:p>
            </w:tc>
            <w:tc>
              <w:tcPr>
                <w:tcW w:w="8933" w:type="dxa"/>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Alternative modes of transportation, such as public transit, ride-hailing services, and car-sharing platforms, pose a potential threat to Toyota's sales (China Daily, 2018)     -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24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Threat of New Entrants</w:t>
                </w:r>
              </w:p>
            </w:tc>
            <w:tc>
              <w:tcPr>
                <w:tcW w:w="8933" w:type="dxa"/>
                <w:tcBorders>
                  <w:top w:val="single" w:color="000000" w:themeColor="text1" w:sz="4" w:space="0"/>
                  <w:bottom w:val="single" w:color="000000" w:themeColor="text1" w:sz="4" w:space="0"/>
                  <w:insideH w:val="single" w:sz="4" w:space="0"/>
                </w:tcBorders>
              </w:tcPr>
              <w:p>
                <w:pPr>
                  <w:spacing w:before="480" w:after="480" w:line="24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High barriers to entry due to capital-intensive nature of the industry and strict government regulations (Yuan et al., 2013)     - </w:t>
                </w:r>
              </w:p>
            </w:tc>
          </w:tr>
        </w:tbl>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pPr>
        </w:p>
        <w:p>
          <w:pPr>
            <w:spacing w:line="360" w:lineRule="auto"/>
            <w:jc w:val="both"/>
            <w:rPr>
              <w:rStyle w:val="39"/>
            </w:rPr>
          </w:pPr>
          <w:bookmarkStart w:id="39" w:name="_Toc17924"/>
          <w:r>
            <w:rPr>
              <w:rStyle w:val="39"/>
            </w:rPr>
            <w:t>Market Analysis</w:t>
          </w:r>
        </w:p>
        <w:bookmarkEnd w:id="39"/>
        <w:p>
          <w:pPr>
            <w:pStyle w:val="9"/>
          </w:pPr>
          <w:bookmarkStart w:id="40" w:name="_Toc133381253"/>
          <w:r>
            <w:t xml:space="preserve">Table </w:t>
          </w:r>
          <w:r>
            <w:fldChar w:fldCharType="begin"/>
          </w:r>
          <w:r>
            <w:instrText xml:space="preserve"> SEQ Table \* ARABIC </w:instrText>
          </w:r>
          <w:r>
            <w:fldChar w:fldCharType="separate"/>
          </w:r>
          <w:r>
            <w:t>3</w:t>
          </w:r>
          <w:r>
            <w:fldChar w:fldCharType="end"/>
          </w:r>
          <w:r>
            <w:rPr>
              <w:lang w:val="en-US"/>
            </w:rPr>
            <w:t>: Market Analysis</w:t>
          </w:r>
          <w:bookmarkEnd w:id="40"/>
        </w:p>
        <w:tbl>
          <w:tblPr>
            <w:tblStyle w:val="48"/>
            <w:tblW w:w="11003" w:type="dxa"/>
            <w:tblInd w:w="-995" w:type="dxa"/>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2556"/>
            <w:gridCol w:w="8447"/>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bottom w:val="nil"/>
                  <w:right w:val="nil"/>
                </w:tcBorders>
                <w:shd w:val="clear" w:color="auto" w:fill="000000" w:themeFill="text1"/>
              </w:tcPr>
              <w:p>
                <w:pPr>
                  <w:spacing w:before="480" w:after="480" w:line="36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Market Factors</w:t>
                </w:r>
              </w:p>
            </w:tc>
            <w:tc>
              <w:tcPr>
                <w:tcW w:w="8447" w:type="dxa"/>
                <w:shd w:val="clear" w:color="auto" w:fill="000000" w:themeFill="text1"/>
              </w:tcPr>
              <w:p>
                <w:pPr>
                  <w:spacing w:before="480" w:after="480" w:line="360" w:lineRule="auto"/>
                  <w:jc w:val="both"/>
                  <w:rPr>
                    <w:rFonts w:ascii="Söhne" w:hAnsi="Söhne" w:eastAsia="Times New Roman" w:cs="Times New Roman"/>
                    <w:b w:val="0"/>
                    <w:bCs w:val="0"/>
                    <w:color w:val="FFFFFF" w:themeColor="background1"/>
                    <w:sz w:val="21"/>
                    <w:szCs w:val="21"/>
                    <w:lang w:val="en-US"/>
                    <w14:textFill>
                      <w14:solidFill>
                        <w14:schemeClr w14:val="bg1"/>
                      </w14:solidFill>
                    </w14:textFill>
                  </w:rPr>
                </w:pPr>
                <w:r>
                  <w:rPr>
                    <w:rFonts w:ascii="Söhne" w:hAnsi="Söhne" w:eastAsia="Times New Roman" w:cs="Times New Roman"/>
                    <w:b w:val="0"/>
                    <w:bCs w:val="0"/>
                    <w:color w:val="FFFFFF" w:themeColor="background1"/>
                    <w:sz w:val="21"/>
                    <w:szCs w:val="21"/>
                    <w:lang w:val="en-US"/>
                    <w14:textFill>
                      <w14:solidFill>
                        <w14:schemeClr w14:val="bg1"/>
                      </w14:solidFill>
                    </w14:textFill>
                  </w:rPr>
                  <w:t>China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Market Size</w:t>
                </w:r>
              </w:p>
            </w:tc>
            <w:tc>
              <w:tcPr>
                <w:tcW w:w="8447"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World's largest automotive market, with 25.3 million vehicles sold in 2020 (Statista, 2021)     - Huge potential for growth due to the large population and urbanization trends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right w:val="nil"/>
                  <w:insideV w:val="nil"/>
                </w:tcBorders>
                <w:shd w:val="clear" w:color="auto" w:fill="FFFFFF" w:themeFill="background1"/>
              </w:tcPr>
              <w:p>
                <w:pPr>
                  <w:spacing w:before="480" w:after="480" w:line="36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Market Share</w:t>
                </w:r>
              </w:p>
            </w:tc>
            <w:tc>
              <w:tcPr>
                <w:tcW w:w="8447" w:type="dxa"/>
              </w:tcPr>
              <w:p>
                <w:pPr>
                  <w:spacing w:before="480" w:after="480" w:line="36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Toyota's market share in China was 6.1% in 2020, ranking 5th among automakers (Statista, 2021)     - Joint ventures with local partners, such as FAW and GAC, help increase market penetration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Market Segments</w:t>
                </w:r>
              </w:p>
            </w:tc>
            <w:tc>
              <w:tcPr>
                <w:tcW w:w="8447"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Rapidly growing demand for electric vehicles (EVs), hybrids, and fuel cell vehicles (FCVs) due to government policies and incentives (Mengnan, 2023   )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right w:val="nil"/>
                  <w:insideV w:val="nil"/>
                </w:tcBorders>
                <w:shd w:val="clear" w:color="auto" w:fill="FFFFFF" w:themeFill="background1"/>
              </w:tcPr>
              <w:p>
                <w:pPr>
                  <w:spacing w:before="480" w:after="480" w:line="36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Consumer Preferences</w:t>
                </w:r>
              </w:p>
            </w:tc>
            <w:tc>
              <w:tcPr>
                <w:tcW w:w="8447" w:type="dxa"/>
              </w:tcPr>
              <w:p>
                <w:pPr>
                  <w:spacing w:before="480" w:after="480" w:line="36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xml:space="preserve">- Price-sensitive consumers looking for affordable, fuel-efficient, and technologically advanced vehicles (Deloitte, 2017)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ascii="Söhne" w:hAnsi="Söhne" w:eastAsia="Times New Roman" w:cs="Times New Roman"/>
                    <w:b/>
                    <w:bCs/>
                    <w:sz w:val="21"/>
                    <w:szCs w:val="21"/>
                    <w:lang w:val="en-US"/>
                  </w:rPr>
                </w:pPr>
                <w:r>
                  <w:rPr>
                    <w:rFonts w:ascii="Söhne" w:hAnsi="Söhne" w:eastAsia="Times New Roman" w:cs="Times New Roman"/>
                    <w:b/>
                    <w:bCs/>
                    <w:sz w:val="21"/>
                    <w:szCs w:val="21"/>
                    <w:lang w:val="en-US"/>
                  </w:rPr>
                  <w:t>Regulatory Environment</w:t>
                </w:r>
              </w:p>
            </w:tc>
            <w:tc>
              <w:tcPr>
                <w:tcW w:w="8447"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ascii="Söhne" w:hAnsi="Söhne" w:eastAsia="Times New Roman" w:cs="Times New Roman"/>
                    <w:sz w:val="21"/>
                    <w:szCs w:val="21"/>
                    <w:lang w:val="en-US"/>
                  </w:rPr>
                </w:pPr>
                <w:r>
                  <w:rPr>
                    <w:rFonts w:ascii="Söhne" w:hAnsi="Söhne" w:eastAsia="Times New Roman" w:cs="Times New Roman"/>
                    <w:sz w:val="21"/>
                    <w:szCs w:val="21"/>
                    <w:lang w:val="en-US"/>
                  </w:rPr>
                  <w:t>- Strict regulations on emissions and fuel efficiency standards (Mengnan, 2023   )     - Government support for EVs and alternative energy vehicles, such as tax incentives and subsidies</w:t>
                </w:r>
              </w:p>
            </w:tc>
          </w:tr>
        </w:tbl>
        <w:p>
          <w:pPr>
            <w:spacing w:line="360" w:lineRule="auto"/>
            <w:jc w:val="both"/>
          </w:pPr>
        </w:p>
        <w:p>
          <w:pPr>
            <w:spacing w:line="360" w:lineRule="auto"/>
            <w:jc w:val="both"/>
          </w:pPr>
        </w:p>
        <w:p>
          <w:pPr>
            <w:pStyle w:val="2"/>
            <w:spacing w:line="360" w:lineRule="auto"/>
          </w:pPr>
          <w:bookmarkStart w:id="41" w:name="_Toc16978"/>
          <w:r>
            <w:t>Host Country Analysis</w:t>
          </w:r>
          <w:bookmarkEnd w:id="41"/>
        </w:p>
        <w:p>
          <w:pPr>
            <w:spacing w:after="160" w:line="360" w:lineRule="auto"/>
            <w:jc w:val="both"/>
          </w:pPr>
          <w:bookmarkStart w:id="42" w:name="_Toc17465"/>
          <w:r>
            <w:rPr>
              <w:rStyle w:val="39"/>
            </w:rPr>
            <w:t>Country’s National Diamond</w:t>
          </w:r>
          <w:bookmarkEnd w:id="42"/>
          <w:r>
            <w:t xml:space="preserve"> (host country)</w:t>
          </w:r>
        </w:p>
        <w:p>
          <w:pPr>
            <w:pStyle w:val="4"/>
            <w:spacing w:line="360" w:lineRule="auto"/>
          </w:pPr>
          <w:bookmarkStart w:id="43" w:name="_Toc8005"/>
          <w:r>
            <w:t>Factor Conditions:</w:t>
          </w:r>
          <w:bookmarkEnd w:id="43"/>
        </w:p>
        <w:p>
          <w:pPr>
            <w:spacing w:line="360" w:lineRule="auto"/>
            <w:jc w:val="both"/>
          </w:pPr>
          <w:bookmarkStart w:id="44" w:name="_Toc23629"/>
          <w:r>
            <w:rPr>
              <w:rStyle w:val="45"/>
            </w:rPr>
            <w:t>Labour:</w:t>
          </w:r>
          <w:bookmarkEnd w:id="44"/>
          <w:r>
            <w:t xml:space="preserve"> China is known for its abundant and cost-effective labor force. However, in recent years, wages have been increasing steadily (Zhang, 2018), prompting companies to focus on automation and higher value-added activities.</w:t>
          </w:r>
        </w:p>
        <w:p>
          <w:pPr>
            <w:spacing w:line="360" w:lineRule="auto"/>
            <w:jc w:val="both"/>
          </w:pPr>
          <w:bookmarkStart w:id="45" w:name="_Toc10592"/>
          <w:r>
            <w:rPr>
              <w:rStyle w:val="45"/>
            </w:rPr>
            <w:t>Technology:</w:t>
          </w:r>
          <w:bookmarkEnd w:id="45"/>
          <w:r>
            <w:t xml:space="preserve"> China has rapidly emerged as a global leader in technology, particularly in areas like electric vehicles (EVs) and artificial intelligence (</w:t>
          </w:r>
          <w:r>
            <w:rPr>
              <w:rFonts w:ascii="Arial" w:hAnsi="Arial" w:cs="Arial"/>
              <w:color w:val="222222"/>
              <w:sz w:val="20"/>
              <w:szCs w:val="20"/>
              <w:shd w:val="clear" w:color="auto" w:fill="FFFFFF"/>
            </w:rPr>
            <w:t>Defraigne, 2014</w:t>
          </w:r>
          <w:r>
            <w:t>). This presents opportunities for Toyota to tap into the local technological advancements and collaborate with Chinese tech companies to enhance its product offerings.</w:t>
          </w:r>
        </w:p>
        <w:p>
          <w:pPr>
            <w:pStyle w:val="4"/>
            <w:spacing w:line="360" w:lineRule="auto"/>
          </w:pPr>
          <w:bookmarkStart w:id="46" w:name="_Toc10641"/>
          <w:r>
            <w:t>Demand Conditions:</w:t>
          </w:r>
          <w:bookmarkEnd w:id="46"/>
        </w:p>
        <w:p>
          <w:pPr>
            <w:spacing w:line="360" w:lineRule="auto"/>
            <w:jc w:val="both"/>
          </w:pPr>
          <w:bookmarkStart w:id="47" w:name="_Toc22252"/>
          <w:r>
            <w:rPr>
              <w:rStyle w:val="45"/>
            </w:rPr>
            <w:t>Market Size:</w:t>
          </w:r>
          <w:bookmarkEnd w:id="47"/>
          <w:r>
            <w:t xml:space="preserve"> China is the world's largest automotive market, with 25.3 million vehicles sold in 2020 (Statista, 2021). The large population and rapid urbanization create a significant market opportunity for Toyota.</w:t>
          </w:r>
        </w:p>
        <w:p>
          <w:pPr>
            <w:spacing w:line="360" w:lineRule="auto"/>
            <w:jc w:val="both"/>
          </w:pPr>
          <w:bookmarkStart w:id="48" w:name="_Toc22657"/>
          <w:r>
            <w:rPr>
              <w:rStyle w:val="45"/>
            </w:rPr>
            <w:t>Consumer Preferences:</w:t>
          </w:r>
          <w:bookmarkEnd w:id="48"/>
          <w:r>
            <w:t xml:space="preserve"> Chinese consumers are increasingly demanding affordable, fuel-efficient, and technologically advanced vehicles (Deloitte, 2017). </w:t>
          </w:r>
        </w:p>
        <w:p>
          <w:pPr>
            <w:pStyle w:val="4"/>
            <w:spacing w:line="360" w:lineRule="auto"/>
          </w:pPr>
          <w:bookmarkStart w:id="49" w:name="_Toc15490"/>
          <w:r>
            <w:t>Related and Supporting Industries:</w:t>
          </w:r>
          <w:bookmarkEnd w:id="49"/>
        </w:p>
        <w:p>
          <w:pPr>
            <w:spacing w:line="360" w:lineRule="auto"/>
            <w:jc w:val="both"/>
          </w:pPr>
          <w:bookmarkStart w:id="50" w:name="_Toc1331"/>
          <w:r>
            <w:rPr>
              <w:rStyle w:val="45"/>
            </w:rPr>
            <w:t>Auto Components:</w:t>
          </w:r>
          <w:bookmarkEnd w:id="50"/>
          <w:r>
            <w:t xml:space="preserve"> China has a well-developed auto components industry, offering a wide range of cost-effective and high-quality parts. Toyota's joint ventures with Chinese partners, such as FAW and GAC, can further localize its supply chain and improve operational efficiency (Yuan et al., 2013).</w:t>
          </w:r>
        </w:p>
        <w:p>
          <w:pPr>
            <w:pStyle w:val="4"/>
            <w:spacing w:line="360" w:lineRule="auto"/>
          </w:pPr>
          <w:bookmarkStart w:id="51" w:name="_Toc54"/>
          <w:r>
            <w:t>Firm Strategy, Structure, and Rivalry:</w:t>
          </w:r>
          <w:bookmarkEnd w:id="51"/>
        </w:p>
        <w:p>
          <w:pPr>
            <w:spacing w:line="360" w:lineRule="auto"/>
            <w:jc w:val="both"/>
          </w:pPr>
          <w:bookmarkStart w:id="52" w:name="_Toc13912"/>
          <w:r>
            <w:rPr>
              <w:rStyle w:val="45"/>
            </w:rPr>
            <w:t>Competition:</w:t>
          </w:r>
          <w:bookmarkEnd w:id="52"/>
          <w:r>
            <w:t xml:space="preserve"> Toyota faces strong competition in the Chinese market from both international and domestic automakers (Jian, 2022). This intense rivalry encourages innovation, cost reduction, and differentiation strategies.</w:t>
          </w:r>
        </w:p>
        <w:p>
          <w:pPr>
            <w:spacing w:line="360" w:lineRule="auto"/>
            <w:jc w:val="both"/>
          </w:pPr>
          <w:bookmarkStart w:id="53" w:name="_Toc27424"/>
          <w:r>
            <w:rPr>
              <w:rStyle w:val="45"/>
            </w:rPr>
            <w:t>Government Policies:</w:t>
          </w:r>
          <w:bookmarkEnd w:id="53"/>
          <w:r>
            <w:t xml:space="preserve"> The Chinese government has implemented various policies to support the automotive industry, including tax incentives and subsidies for EVs and alternative fuel vehicles (Mengnan, 2023   ). </w:t>
          </w:r>
        </w:p>
        <w:p>
          <w:pPr>
            <w:spacing w:after="160" w:line="360" w:lineRule="auto"/>
            <w:jc w:val="both"/>
          </w:pPr>
          <w:bookmarkStart w:id="54" w:name="_Toc8496"/>
          <w:r>
            <w:rPr>
              <w:rStyle w:val="39"/>
            </w:rPr>
            <w:t>Country Business Risks</w:t>
          </w:r>
          <w:bookmarkEnd w:id="54"/>
          <w:r>
            <w:t xml:space="preserve"> (host country)</w:t>
          </w:r>
        </w:p>
        <w:p>
          <w:pPr>
            <w:pStyle w:val="4"/>
            <w:spacing w:line="360" w:lineRule="auto"/>
          </w:pPr>
          <w:bookmarkStart w:id="55" w:name="_Toc13306"/>
          <w:r>
            <w:t>Economic Risks:</w:t>
          </w:r>
          <w:bookmarkEnd w:id="55"/>
        </w:p>
        <w:p>
          <w:pPr>
            <w:spacing w:line="360" w:lineRule="auto"/>
            <w:jc w:val="both"/>
          </w:pPr>
          <w:bookmarkStart w:id="56" w:name="_Toc1561"/>
          <w:r>
            <w:rPr>
              <w:rStyle w:val="45"/>
            </w:rPr>
            <w:t>Economic Growth:</w:t>
          </w:r>
          <w:bookmarkEnd w:id="56"/>
          <w:r>
            <w:t xml:space="preserve"> While China has experienced rapid economic growth over the past few decades, there are concerns about the sustainability of this growth (IMF, 2021). A slowdown in China's economy could impact consumer spending and, in turn, affect Toyota's sales and profitability.</w:t>
          </w:r>
        </w:p>
        <w:p>
          <w:pPr>
            <w:pStyle w:val="4"/>
            <w:spacing w:line="360" w:lineRule="auto"/>
          </w:pPr>
          <w:bookmarkStart w:id="57" w:name="_Toc13302"/>
          <w:r>
            <w:t>Political Risks:</w:t>
          </w:r>
          <w:bookmarkEnd w:id="57"/>
        </w:p>
        <w:p>
          <w:pPr>
            <w:spacing w:line="360" w:lineRule="auto"/>
            <w:jc w:val="both"/>
          </w:pPr>
          <w:bookmarkStart w:id="58" w:name="_Toc12964"/>
          <w:r>
            <w:rPr>
              <w:rStyle w:val="45"/>
            </w:rPr>
            <w:t>Regulatory Changes:</w:t>
          </w:r>
          <w:bookmarkEnd w:id="58"/>
          <w:r>
            <w:t xml:space="preserve"> The Chinese government frequently updates its regulations and policies in the automotive sector, which could impact Toyota's operations. For example, changes in emission standards, electric vehicle subsidies, or import tariffs could affect the company's market position and financial performance (Mengnan, 2023   ).</w:t>
          </w:r>
        </w:p>
        <w:p>
          <w:pPr>
            <w:spacing w:line="360" w:lineRule="auto"/>
            <w:jc w:val="both"/>
          </w:pPr>
          <w:bookmarkStart w:id="59" w:name="_Toc32502"/>
          <w:r>
            <w:rPr>
              <w:rStyle w:val="45"/>
            </w:rPr>
            <w:t>Intellectual Property Rights</w:t>
          </w:r>
          <w:bookmarkEnd w:id="59"/>
          <w:r>
            <w:t>: Protecting intellectual property (IP) rights in China has been a challenge for foreign companies. Toyota needs to ensure that its technology is adequately protected and consider partnering with trusted local companies to minimize the risk of IP theft or infringement (Zhang, 2018).</w:t>
          </w:r>
        </w:p>
        <w:p>
          <w:pPr>
            <w:pStyle w:val="4"/>
            <w:spacing w:line="360" w:lineRule="auto"/>
          </w:pPr>
          <w:bookmarkStart w:id="60" w:name="_Toc23901"/>
          <w:r>
            <w:t>Legal Risks:</w:t>
          </w:r>
          <w:bookmarkEnd w:id="60"/>
        </w:p>
        <w:p>
          <w:pPr>
            <w:spacing w:line="360" w:lineRule="auto"/>
            <w:jc w:val="both"/>
          </w:pPr>
          <w:bookmarkStart w:id="61" w:name="_Toc25287"/>
          <w:r>
            <w:rPr>
              <w:rStyle w:val="45"/>
            </w:rPr>
            <w:t>Joint Venture Requirements:</w:t>
          </w:r>
          <w:bookmarkEnd w:id="61"/>
          <w:r>
            <w:t xml:space="preserve"> Foreign automakers, including Toyota, are required to form joint ventures with local partners in order to operate in China (Zhang, 2018). This can lead to risks related to technology transfer, loss of control over operations, and potential conflicts with local partners.</w:t>
          </w:r>
        </w:p>
        <w:p>
          <w:pPr>
            <w:spacing w:line="360" w:lineRule="auto"/>
            <w:jc w:val="both"/>
          </w:pPr>
          <w:bookmarkStart w:id="62" w:name="_Toc28825"/>
          <w:r>
            <w:rPr>
              <w:rStyle w:val="45"/>
            </w:rPr>
            <w:t>Compliance with Local Laws and Regulations:</w:t>
          </w:r>
          <w:bookmarkEnd w:id="62"/>
          <w:r>
            <w:t xml:space="preserve"> Toyota must comply with various Chinese laws and regulations, such as labor laws, environmental regulations, and anti-corruption laws. Non-compliance can result in fines, penalties, and reputational damage.</w:t>
          </w:r>
        </w:p>
        <w:p>
          <w:pPr>
            <w:pStyle w:val="4"/>
            <w:spacing w:line="360" w:lineRule="auto"/>
          </w:pPr>
          <w:bookmarkStart w:id="63" w:name="_Toc11549"/>
          <w:r>
            <w:t>Cultural Risks:</w:t>
          </w:r>
          <w:bookmarkEnd w:id="63"/>
        </w:p>
        <w:p>
          <w:pPr>
            <w:spacing w:line="360" w:lineRule="auto"/>
            <w:jc w:val="both"/>
          </w:pPr>
          <w:bookmarkStart w:id="64" w:name="_Toc17685"/>
          <w:r>
            <w:rPr>
              <w:rStyle w:val="45"/>
            </w:rPr>
            <w:t>Cross-Cultural Management:</w:t>
          </w:r>
          <w:bookmarkEnd w:id="64"/>
          <w:r>
            <w:t xml:space="preserve"> Toyota must manage the cultural differences between its Japanese management and Chinese employees, suppliers, and partners. Misunderstandings and conflicts can arise due to differences in communication styles, decision-making processes, and attitudes towards hierarchy (Fang, 2006).</w:t>
          </w:r>
        </w:p>
        <w:p>
          <w:pPr>
            <w:pStyle w:val="4"/>
            <w:spacing w:line="360" w:lineRule="auto"/>
          </w:pPr>
          <w:bookmarkStart w:id="65" w:name="_Toc22096"/>
          <w:r>
            <w:t>Competitive Risks:</w:t>
          </w:r>
          <w:bookmarkEnd w:id="65"/>
        </w:p>
        <w:p>
          <w:pPr>
            <w:spacing w:line="360" w:lineRule="auto"/>
            <w:jc w:val="both"/>
          </w:pPr>
          <w:bookmarkStart w:id="66" w:name="_Toc4648"/>
          <w:r>
            <w:rPr>
              <w:rStyle w:val="45"/>
            </w:rPr>
            <w:t xml:space="preserve">Intense Competition: </w:t>
          </w:r>
          <w:bookmarkEnd w:id="66"/>
          <w:r>
            <w:t>The Chinese automotive market is highly competitive, with both global and domestic players. Toyota faces strong competition from brands like Volkswagen, General Motors, and local automakers like Geely and BYD. This intense competition can lead to price wars, eroding margins, and the need for continuous innovation to maintain market share (Yuan et al., 2013).</w:t>
          </w:r>
        </w:p>
        <w:p>
          <w:pPr>
            <w:spacing w:line="360" w:lineRule="auto"/>
            <w:jc w:val="both"/>
          </w:pPr>
          <w:bookmarkStart w:id="67" w:name="_Toc24370"/>
          <w:r>
            <w:rPr>
              <w:rStyle w:val="45"/>
            </w:rPr>
            <w:t>Rapid Technological Advancements:</w:t>
          </w:r>
          <w:bookmarkEnd w:id="67"/>
          <w:r>
            <w:t xml:space="preserve"> China is at the forefront of technological advancements in electric vehicles, battery technology, and autonomous driving systems. Toyota must invest in research and </w:t>
          </w:r>
          <w:r>
            <w:rPr>
              <w:szCs w:val="24"/>
            </w:rPr>
            <w:t>development and collaborate with local technology companies to stay competitive in the market (</w:t>
          </w:r>
          <w:r>
            <w:rPr>
              <w:rFonts w:ascii="Arial" w:hAnsi="Arial" w:cs="Arial"/>
              <w:color w:val="222222"/>
              <w:szCs w:val="24"/>
              <w:shd w:val="clear" w:color="auto" w:fill="FFFFFF"/>
            </w:rPr>
            <w:t>Defraigne, 2014</w:t>
          </w:r>
          <w:r>
            <w:rPr>
              <w:szCs w:val="24"/>
            </w:rPr>
            <w:t>).</w:t>
          </w:r>
        </w:p>
        <w:p>
          <w:pPr>
            <w:pStyle w:val="4"/>
            <w:spacing w:line="360" w:lineRule="auto"/>
          </w:pPr>
          <w:bookmarkStart w:id="68" w:name="_Toc18638"/>
          <w:r>
            <w:t>Supply Chain Risks:</w:t>
          </w:r>
          <w:bookmarkEnd w:id="68"/>
        </w:p>
        <w:p>
          <w:pPr>
            <w:spacing w:line="360" w:lineRule="auto"/>
            <w:jc w:val="both"/>
          </w:pPr>
          <w:bookmarkStart w:id="69" w:name="_Toc25212"/>
          <w:r>
            <w:rPr>
              <w:rStyle w:val="45"/>
            </w:rPr>
            <w:t>Geopolitical Tensions:</w:t>
          </w:r>
          <w:bookmarkEnd w:id="69"/>
          <w:r>
            <w:t xml:space="preserve"> Geopolitical tensions between China and other countries, such as the US and Japan, can lead to trade disputes and disruptions in supply chains. Toyota must carefully manage its supply chain to minimize potential disruptions and ensure business continuity (Zhang, 2018).</w:t>
          </w:r>
        </w:p>
        <w:p>
          <w:pPr>
            <w:spacing w:line="360" w:lineRule="auto"/>
            <w:jc w:val="both"/>
          </w:pPr>
        </w:p>
        <w:p>
          <w:pPr>
            <w:spacing w:line="360" w:lineRule="auto"/>
            <w:jc w:val="both"/>
          </w:pPr>
        </w:p>
        <w:p>
          <w:pPr>
            <w:spacing w:line="360" w:lineRule="auto"/>
            <w:jc w:val="both"/>
          </w:pPr>
        </w:p>
        <w:p>
          <w:pPr>
            <w:pStyle w:val="2"/>
            <w:spacing w:line="360" w:lineRule="auto"/>
          </w:pPr>
          <w:bookmarkStart w:id="70" w:name="_Toc30689"/>
          <w:r>
            <w:t>Internal Analysis</w:t>
          </w:r>
          <w:bookmarkEnd w:id="70"/>
        </w:p>
        <w:p>
          <w:pPr>
            <w:pStyle w:val="3"/>
          </w:pPr>
          <w:bookmarkStart w:id="71" w:name="_Toc7830"/>
          <w:r>
            <w:t>Global value chain</w:t>
          </w:r>
          <w:bookmarkEnd w:id="71"/>
        </w:p>
        <w:p>
          <w:pPr>
            <w:spacing w:after="160" w:line="360" w:lineRule="auto"/>
            <w:jc w:val="both"/>
            <w:rPr>
              <w:highlight w:val="none"/>
            </w:rPr>
          </w:pPr>
          <w:r>
            <w:rPr>
              <w:highlight w:val="none"/>
            </w:rPr>
            <w:t xml:space="preserve">The internal analysis of Toyota's global value chain in the context of global expansion can be linked to the Global Value Chain (GVC) framework presented by Gary Gereffi and Miguel Korzeniewicz in their book "Commodity Chains and Global Capitalism" (1994). </w:t>
          </w:r>
        </w:p>
        <w:p>
          <w:pPr>
            <w:spacing w:after="160" w:line="360" w:lineRule="auto"/>
            <w:jc w:val="both"/>
            <w:rPr>
              <w:highlight w:val="yellow"/>
            </w:rPr>
          </w:pPr>
          <w:r>
            <w:drawing>
              <wp:inline distT="0" distB="0" distL="0" distR="0">
                <wp:extent cx="5731510" cy="3762375"/>
                <wp:effectExtent l="0" t="0" r="2540" b="9525"/>
                <wp:docPr id="1239140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40057"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731510" cy="3762375"/>
                        </a:xfrm>
                        <a:prstGeom prst="rect">
                          <a:avLst/>
                        </a:prstGeom>
                        <a:noFill/>
                        <a:ln>
                          <a:noFill/>
                        </a:ln>
                      </pic:spPr>
                    </pic:pic>
                  </a:graphicData>
                </a:graphic>
              </wp:inline>
            </w:drawing>
          </w:r>
        </w:p>
        <w:p>
          <w:pPr>
            <w:pStyle w:val="9"/>
            <w:rPr>
              <w:highlight w:val="yellow"/>
            </w:rPr>
          </w:pPr>
          <w:bookmarkStart w:id="72" w:name="_Toc133381162"/>
          <w:r>
            <w:t xml:space="preserve">Figure </w:t>
          </w:r>
          <w:r>
            <w:fldChar w:fldCharType="begin"/>
          </w:r>
          <w:r>
            <w:instrText xml:space="preserve"> SEQ Figure \* ARABIC </w:instrText>
          </w:r>
          <w:r>
            <w:fldChar w:fldCharType="separate"/>
          </w:r>
          <w:r>
            <w:t>4</w:t>
          </w:r>
          <w:r>
            <w:fldChar w:fldCharType="end"/>
          </w:r>
          <w:r>
            <w:rPr>
              <w:lang w:val="en-US"/>
            </w:rPr>
            <w:t>: Global value chain framework, Source: (Gereffi, G., &amp; Korzeniewicz, 1994)</w:t>
          </w:r>
          <w:bookmarkEnd w:id="72"/>
        </w:p>
        <w:p>
          <w:pPr>
            <w:spacing w:after="160" w:line="360" w:lineRule="auto"/>
            <w:jc w:val="both"/>
            <w:rPr>
              <w:highlight w:val="none"/>
            </w:rPr>
          </w:pPr>
          <w:r>
            <w:rPr>
              <w:highlight w:val="none"/>
            </w:rPr>
            <w:t xml:space="preserve">The GVC framework focuses on understanding how firms organize and coordinate their production, distribution, and innovation activities across international borders, highlighting the importance of global value chain management for achieving competitive advantage. Toyota Motor Corporation operates a global value chain, with production facilities and suppliers located around the world. The company's global value chain enables it to access different markets, leverage economies of scale, and reduce costs </w:t>
          </w:r>
          <w:r>
            <w:rPr>
              <w:szCs w:val="24"/>
              <w:highlight w:val="none"/>
            </w:rPr>
            <w:t>through specialized production and sourcing (</w:t>
          </w:r>
          <w:r>
            <w:rPr>
              <w:rFonts w:ascii="Arial" w:hAnsi="Arial" w:cs="Arial"/>
              <w:color w:val="222222"/>
              <w:szCs w:val="24"/>
              <w:highlight w:val="none"/>
              <w:shd w:val="clear" w:color="auto" w:fill="FFFFFF"/>
            </w:rPr>
            <w:t>Chopra et al., 2021)</w:t>
          </w:r>
          <w:r>
            <w:rPr>
              <w:szCs w:val="24"/>
              <w:highlight w:val="none"/>
            </w:rPr>
            <w:t>.</w:t>
          </w:r>
          <w:r>
            <w:rPr>
              <w:highlight w:val="none"/>
            </w:rPr>
            <w:t xml:space="preserve"> </w:t>
          </w:r>
        </w:p>
        <w:p>
          <w:pPr>
            <w:pStyle w:val="4"/>
            <w:spacing w:line="360" w:lineRule="auto"/>
          </w:pPr>
          <w:bookmarkStart w:id="73" w:name="_Toc2868"/>
          <w:r>
            <w:t>Global Production</w:t>
          </w:r>
          <w:bookmarkEnd w:id="73"/>
        </w:p>
        <w:p>
          <w:pPr>
            <w:spacing w:after="160" w:line="360" w:lineRule="auto"/>
            <w:jc w:val="both"/>
          </w:pPr>
          <w:r>
            <w:t xml:space="preserve">Toyota's global production network consists of 67 production facilities in 28 countries, as of 2020 (Toyota Global, 2021). The company has adopted a regional production system, which allows it to tailor its production to regional markets' needs and preferences. </w:t>
          </w:r>
        </w:p>
        <w:p>
          <w:pPr>
            <w:spacing w:after="160" w:line="360" w:lineRule="auto"/>
            <w:jc w:val="both"/>
          </w:pPr>
          <w:r>
            <w:t>Toyota's global production system is based on the Toyota Production System (TPS), which emphasizes the elimination of waste, continuous improvement, and lean manufacturing (Monden, 2011).</w:t>
          </w:r>
        </w:p>
        <w:p>
          <w:pPr>
            <w:pStyle w:val="4"/>
            <w:spacing w:line="360" w:lineRule="auto"/>
          </w:pPr>
          <w:bookmarkStart w:id="74" w:name="_Toc8918"/>
          <w:r>
            <w:t>Global Marketing</w:t>
          </w:r>
          <w:bookmarkEnd w:id="74"/>
        </w:p>
        <w:p>
          <w:pPr>
            <w:spacing w:after="160" w:line="360" w:lineRule="auto"/>
            <w:jc w:val="both"/>
            <w:rPr>
              <w:szCs w:val="24"/>
            </w:rPr>
          </w:pPr>
          <w:r>
            <w:t xml:space="preserve">Toyota's global marketing strategy focuses on building a strong brand, developing customer-centric products, and leveraging digital </w:t>
          </w:r>
          <w:r>
            <w:rPr>
              <w:szCs w:val="24"/>
            </w:rPr>
            <w:t>channels to reach consumers. The company's brand is known for its reliability, quality, and innovation. Toyota markets its products globally through various channels, including television, print, online, and social media (</w:t>
          </w:r>
          <w:r>
            <w:rPr>
              <w:rFonts w:ascii="Arial" w:hAnsi="Arial" w:cs="Arial"/>
              <w:color w:val="222222"/>
              <w:szCs w:val="24"/>
              <w:shd w:val="clear" w:color="auto" w:fill="FFFFFF"/>
            </w:rPr>
            <w:t>Güven, 2022)</w:t>
          </w:r>
          <w:r>
            <w:rPr>
              <w:szCs w:val="24"/>
            </w:rPr>
            <w:t>.</w:t>
          </w:r>
        </w:p>
        <w:p>
          <w:pPr>
            <w:spacing w:after="160" w:line="360" w:lineRule="auto"/>
            <w:jc w:val="both"/>
            <w:rPr>
              <w:szCs w:val="24"/>
            </w:rPr>
          </w:pPr>
          <w:r>
            <w:rPr>
              <w:szCs w:val="24"/>
            </w:rPr>
            <w:t>Toyota's global marketing strategy is based on regional marketing and product development (</w:t>
          </w:r>
          <w:r>
            <w:rPr>
              <w:rFonts w:ascii="Arial" w:hAnsi="Arial" w:cs="Arial"/>
              <w:color w:val="222222"/>
              <w:szCs w:val="24"/>
              <w:shd w:val="clear" w:color="auto" w:fill="FFFFFF"/>
            </w:rPr>
            <w:t>Paul, 2018)</w:t>
          </w:r>
          <w:r>
            <w:rPr>
              <w:szCs w:val="24"/>
            </w:rPr>
            <w:t>. The company develops and markets products that meet the needs and preferences of regional markets. Toyota has invested heavily in digital marketing, including social media and e-commerce, to reach younger consumers and enhance its customer experience (</w:t>
          </w:r>
          <w:r>
            <w:rPr>
              <w:rFonts w:ascii="Arial" w:hAnsi="Arial" w:cs="Arial"/>
              <w:color w:val="222222"/>
              <w:szCs w:val="24"/>
              <w:shd w:val="clear" w:color="auto" w:fill="FFFFFF"/>
            </w:rPr>
            <w:t>Taher, 2021)</w:t>
          </w:r>
          <w:r>
            <w:rPr>
              <w:szCs w:val="24"/>
            </w:rPr>
            <w:t>.</w:t>
          </w:r>
        </w:p>
        <w:p>
          <w:pPr>
            <w:pStyle w:val="4"/>
            <w:spacing w:line="360" w:lineRule="auto"/>
          </w:pPr>
          <w:bookmarkStart w:id="75" w:name="_Toc1134"/>
          <w:r>
            <w:t>Global Human Resource Management</w:t>
          </w:r>
          <w:bookmarkEnd w:id="75"/>
        </w:p>
        <w:p>
          <w:pPr>
            <w:spacing w:after="160" w:line="360" w:lineRule="auto"/>
            <w:jc w:val="both"/>
          </w:pPr>
          <w:r>
            <w:t>Toyota's global human resource management (HRM) strategy focuses on developing a diverse and skilled workforce, fostering a culture of continuous improvement and innovation, and promoting employee engagement and satisfaction. The company's HRM practices are based on the Toyota Way, which emphasizes respect for people, teamwork, and Kaizen, or continuous improvement (Liker &amp; Hoseus, 2020).</w:t>
          </w:r>
        </w:p>
        <w:p>
          <w:pPr>
            <w:spacing w:after="160" w:line="360" w:lineRule="auto"/>
            <w:jc w:val="both"/>
            <w:rPr>
              <w:highlight w:val="none"/>
            </w:rPr>
          </w:pPr>
          <w:r>
            <w:rPr>
              <w:highlight w:val="none"/>
            </w:rPr>
            <w:t xml:space="preserve">Toyota's expansion from Japan to China highlights the significance of a well-executed global HRM strategy, as emphasized in (Rugman &amp; Collinson, 2021). As Toyota navigated the Chinese market, it successfully managed diverse workforces, incorporating cultural understanding and local talent development. The company's ability to align global HRM policies with local needs has contributed to its success in China, reflecting the principles outlined by Rugman and Collinson. Toyota's experience underscores the importance of adaptable HRM strategies in international business. </w:t>
          </w:r>
        </w:p>
        <w:p>
          <w:pPr>
            <w:spacing w:after="160" w:line="360" w:lineRule="auto"/>
            <w:jc w:val="both"/>
          </w:pPr>
          <w:r>
            <w:t>In 2020, Toyota invested $400 million in a joint venture with Chinese electric vehicle manufacturer BYD to develop electric vehicles in China (Toyota Global, 2021). Toyota's global marketing campaign for the launch of the 2020 Toyota Supra included a partnership with the video game "Gran Turismo Sport" and the production of a short film featuring the Supra (Toyota USA Newsroom, 2020). This campaign targeted younger consumers and leveraged digital channels to promote the Supra's performance and design. Toyota's HRM practices were recognized by Fortune as one of the "World's Most Admired Companies" in 2020 (Toyota Newsroom, 2020).</w:t>
          </w:r>
        </w:p>
        <w:p>
          <w:pPr>
            <w:pStyle w:val="3"/>
          </w:pPr>
          <w:bookmarkStart w:id="76" w:name="_Toc25439"/>
          <w:r>
            <w:t>SWOT analysis</w:t>
          </w:r>
          <w:bookmarkEnd w:id="76"/>
        </w:p>
        <w:p>
          <w:pPr>
            <w:spacing w:line="360" w:lineRule="auto"/>
            <w:jc w:val="both"/>
            <w:rPr>
              <w:lang w:eastAsia="ja-JP"/>
            </w:rPr>
          </w:pPr>
          <w:r>
            <w:rPr>
              <w:lang w:eastAsia="ja-JP"/>
            </w:rPr>
            <w:t>A SWOT analysis of Toyota in a global context involves evaluating the company's Strengths (e.g., strong brand reputation, product innovation), Weaknesses (e.g., product recalls, supply chain vulnerabilities), Opportunities (e.g., electric vehicle market, emerging economies), and Threats (e.g., competition, changing regulations). The SWOT framework is closely related to the concept of the "Business Model Canvas" introduced by Alexander Osterwalder and Yves Pigneur in their book "Business Model Generation" (2010), which emphasizes understanding a company's internal and external factors to enhance its value proposition and competitive advantage.</w:t>
          </w:r>
        </w:p>
        <w:p>
          <w:pPr>
            <w:pStyle w:val="4"/>
            <w:spacing w:line="360" w:lineRule="auto"/>
          </w:pPr>
          <w:bookmarkStart w:id="77" w:name="_Toc981"/>
          <w:r>
            <w:t>Strengths:</w:t>
          </w:r>
          <w:bookmarkEnd w:id="77"/>
        </w:p>
        <w:p>
          <w:pPr>
            <w:spacing w:line="360" w:lineRule="auto"/>
            <w:jc w:val="both"/>
          </w:pPr>
          <w:bookmarkStart w:id="78" w:name="_Toc20803"/>
          <w:r>
            <w:rPr>
              <w:rStyle w:val="45"/>
            </w:rPr>
            <w:t>Strong Global Presence:</w:t>
          </w:r>
          <w:bookmarkEnd w:id="78"/>
          <w:r>
            <w:t xml:space="preserve"> Toyota has a strong global presence, with production facilities, sales networks, and suppliers located in different regions around the world. This global footprint enables Toyota to access different markets, leverage economies of scale, and reduce costs through specialized production and sourcing (Toyota Global, 2021).</w:t>
          </w:r>
        </w:p>
        <w:p>
          <w:pPr>
            <w:spacing w:line="360" w:lineRule="auto"/>
            <w:jc w:val="both"/>
          </w:pPr>
          <w:bookmarkStart w:id="79" w:name="_Toc26738"/>
          <w:r>
            <w:rPr>
              <w:rStyle w:val="45"/>
            </w:rPr>
            <w:t>Strong R&amp;D Capabilities:</w:t>
          </w:r>
          <w:bookmarkEnd w:id="79"/>
          <w:r>
            <w:t xml:space="preserve"> Toyota has a strong research and development (R&amp;D) capability, with a focus on innovation and sustainability. The company has invested heavily in electric and hybrid vehicles, autonomous driving technology, and fuel cell technology, positioning itself as a leader in the rapidly evolving automotive industry (Toyota Global, 2021).</w:t>
          </w:r>
        </w:p>
        <w:p>
          <w:pPr>
            <w:pStyle w:val="4"/>
            <w:spacing w:line="360" w:lineRule="auto"/>
          </w:pPr>
          <w:bookmarkStart w:id="80" w:name="_Toc16553"/>
          <w:r>
            <w:t>Weaknesses:</w:t>
          </w:r>
          <w:bookmarkEnd w:id="80"/>
        </w:p>
        <w:p>
          <w:pPr>
            <w:spacing w:line="360" w:lineRule="auto"/>
            <w:jc w:val="both"/>
          </w:pPr>
          <w:bookmarkStart w:id="81" w:name="_Toc18984"/>
          <w:r>
            <w:rPr>
              <w:rStyle w:val="45"/>
            </w:rPr>
            <w:t>Dependence on Japanese Market:</w:t>
          </w:r>
          <w:bookmarkEnd w:id="81"/>
          <w:r>
            <w:t xml:space="preserve"> Toyota's dependence on the Japanese market is a weakness, as the Japanese market is relatively small and mature compared to other regions. This dependence limits Toyota's growth potential and exposes the company to economic and political risks in Japan (Statista, 2021).</w:t>
          </w:r>
        </w:p>
        <w:p>
          <w:pPr>
            <w:spacing w:line="360" w:lineRule="auto"/>
            <w:jc w:val="both"/>
          </w:pPr>
          <w:bookmarkStart w:id="82" w:name="_Toc29937"/>
          <w:r>
            <w:rPr>
              <w:rStyle w:val="45"/>
            </w:rPr>
            <w:t>Product Recalls:</w:t>
          </w:r>
          <w:bookmarkEnd w:id="82"/>
          <w:r>
            <w:t xml:space="preserve"> Toyota has faced several product recalls in recent years, which have damaged the company's reputation and eroded consumer trust. These recalls have also resulted in significant financial costs and legal liabilities for the company (Cohen, 2019).</w:t>
          </w:r>
        </w:p>
        <w:p>
          <w:pPr>
            <w:pStyle w:val="4"/>
            <w:spacing w:line="360" w:lineRule="auto"/>
          </w:pPr>
          <w:bookmarkStart w:id="83" w:name="_Toc26039"/>
          <w:r>
            <w:t>Opportunities:</w:t>
          </w:r>
          <w:bookmarkEnd w:id="83"/>
        </w:p>
        <w:p>
          <w:pPr>
            <w:spacing w:line="360" w:lineRule="auto"/>
            <w:jc w:val="both"/>
          </w:pPr>
          <w:bookmarkStart w:id="84" w:name="_Toc11057"/>
          <w:r>
            <w:rPr>
              <w:rStyle w:val="45"/>
            </w:rPr>
            <w:t>Growth in Emerging Markets:</w:t>
          </w:r>
          <w:bookmarkEnd w:id="84"/>
          <w:r>
            <w:t xml:space="preserve"> Toyota has an opportunity to expand its presence in emerging markets, such as China, India, and Southeast Asia. These markets offer significant growth potential, as rising incomes and urbanization drive demand for automotive products (Statista, 2021).</w:t>
          </w:r>
        </w:p>
        <w:p>
          <w:pPr>
            <w:spacing w:line="360" w:lineRule="auto"/>
            <w:jc w:val="both"/>
          </w:pPr>
          <w:bookmarkStart w:id="85" w:name="_Toc4558"/>
          <w:r>
            <w:rPr>
              <w:rStyle w:val="45"/>
            </w:rPr>
            <w:t>Electric and Autonomous Vehicles:</w:t>
          </w:r>
          <w:bookmarkEnd w:id="85"/>
          <w:r>
            <w:t xml:space="preserve"> Toyota has an opportunity to capitalize on the growing demand for electric and autonomous vehicles. The company has invested heavily in these technologies and has launched several electric and hybrid models in different regions (Toyota Global, 2021).</w:t>
          </w:r>
        </w:p>
        <w:p>
          <w:pPr>
            <w:pStyle w:val="4"/>
            <w:spacing w:line="360" w:lineRule="auto"/>
          </w:pPr>
          <w:bookmarkStart w:id="86" w:name="_Toc32139"/>
          <w:r>
            <w:t>Threats:</w:t>
          </w:r>
          <w:bookmarkEnd w:id="86"/>
        </w:p>
        <w:p>
          <w:pPr>
            <w:spacing w:line="360" w:lineRule="auto"/>
            <w:jc w:val="both"/>
          </w:pPr>
          <w:bookmarkStart w:id="87" w:name="_Toc19849"/>
          <w:r>
            <w:rPr>
              <w:rStyle w:val="45"/>
            </w:rPr>
            <w:t>Intense Competition:</w:t>
          </w:r>
          <w:bookmarkEnd w:id="87"/>
          <w:r>
            <w:t xml:space="preserve"> Toyota faces intense competition in the global automotive industry, from established players such as General Motors and Volkswagen, as well as new entrants such as Tesla and Chinese electric vehicle manufacturers. This competition puts pressure on Toyota to continuously innovate and maintain a competitive edge (Statista, 2021).</w:t>
          </w:r>
        </w:p>
        <w:p>
          <w:pPr>
            <w:spacing w:line="360" w:lineRule="auto"/>
            <w:jc w:val="both"/>
          </w:pPr>
          <w:bookmarkStart w:id="88" w:name="_Toc3616"/>
          <w:r>
            <w:rPr>
              <w:rStyle w:val="45"/>
            </w:rPr>
            <w:t>Economic and Political Risks:</w:t>
          </w:r>
          <w:bookmarkEnd w:id="88"/>
          <w:r>
            <w:t xml:space="preserve"> Toyota is exposed to economic and political risks in different regions around the world. Economic downturns, trade disputes, and regulatory changes can impact the company's operations and profitability (Toyota Global, 2021).</w:t>
          </w:r>
        </w:p>
        <w:p>
          <w:pPr>
            <w:spacing w:line="360" w:lineRule="auto"/>
            <w:jc w:val="both"/>
          </w:pPr>
          <w:r>
            <w:t>In 2019, Toyota faced a recall of 2.9 million vehicles in the US due to a defect in the airbag control unit. This recall was a significant setback for Toyota's reputation and financial performance, as the company had to pay significant compensation and legal costs (Cohen, 2019).</w:t>
          </w:r>
        </w:p>
        <w:p>
          <w:pPr>
            <w:pStyle w:val="2"/>
            <w:spacing w:line="360" w:lineRule="auto"/>
          </w:pPr>
          <w:bookmarkStart w:id="89" w:name="_Toc15383"/>
          <w:r>
            <w:t>International Strategies</w:t>
          </w:r>
          <w:bookmarkEnd w:id="89"/>
          <w:r>
            <w:t xml:space="preserve"> </w:t>
          </w:r>
        </w:p>
        <w:p>
          <w:pPr>
            <w:pStyle w:val="3"/>
          </w:pPr>
          <w:bookmarkStart w:id="90" w:name="_Toc7855"/>
          <w:r>
            <w:t>Global Value Chain:</w:t>
          </w:r>
          <w:bookmarkEnd w:id="90"/>
        </w:p>
        <w:p>
          <w:pPr>
            <w:spacing w:line="360" w:lineRule="auto"/>
            <w:jc w:val="both"/>
          </w:pPr>
          <w:r>
            <w:t>Toyota's global value chain strategy focuses on integrating its production, logistics, and supply chain operations across different regions to achieve greater efficiency and flexibility. The company's regional production system allows it to tailor its production to regional markets' needs and preferences while maintaining consistent quality and efficiency. Toyota's global supply chain network comprises more than 4,000 suppliers located in different regions, enabling the company to access high-quality components and reduce costs through global sourcing (Toyota Global, 2021).</w:t>
          </w:r>
        </w:p>
        <w:p>
          <w:pPr>
            <w:pStyle w:val="3"/>
          </w:pPr>
          <w:bookmarkStart w:id="91" w:name="_Toc15965"/>
          <w:r>
            <w:t>Global Production:</w:t>
          </w:r>
          <w:bookmarkEnd w:id="91"/>
        </w:p>
        <w:p>
          <w:pPr>
            <w:spacing w:line="360" w:lineRule="auto"/>
            <w:jc w:val="both"/>
          </w:pPr>
          <w:r>
            <w:t>Toyota's global production strategy is based on the principle of "localization," which involves producing vehicles close to the markets where they are sold. The company has production facilities in different regions around the world, including North America, Europe, Asia, and Latin America (</w:t>
          </w:r>
          <w:r>
            <w:rPr>
              <w:rFonts w:ascii="Arial" w:hAnsi="Arial" w:cs="Arial"/>
              <w:color w:val="222222"/>
              <w:sz w:val="20"/>
              <w:szCs w:val="20"/>
              <w:shd w:val="clear" w:color="auto" w:fill="FFFFFF"/>
            </w:rPr>
            <w:t>Cassetta, 2015)</w:t>
          </w:r>
          <w:r>
            <w:t>. Toyota's regional production system enables it to leverage economies of scale, reduce costs, and respond quickly to changing market demands. For example, Toyota's production facility in Tianjin, China, produces different models tailored to the Chinese market's needs and preferences, such as the Corolla and Levin (Toyota Global, 2021).</w:t>
          </w:r>
        </w:p>
        <w:p>
          <w:pPr>
            <w:pStyle w:val="3"/>
          </w:pPr>
          <w:bookmarkStart w:id="92" w:name="_Toc8740"/>
          <w:r>
            <w:t>Global Marketing:</w:t>
          </w:r>
          <w:bookmarkEnd w:id="92"/>
        </w:p>
        <w:p>
          <w:pPr>
            <w:spacing w:line="360" w:lineRule="auto"/>
            <w:jc w:val="both"/>
          </w:pPr>
          <w:r>
            <w:t>Toyota's global marketing strategy focuses on building a strong brand, developing customer-centric products, and leveraging digital channels to reach consumers. The company's marketing campaigns emphasize Toyota's quality, reliability, and innovation, highlighting its commitment to sustainability and safety. Toyota also invests heavily in R&amp;D and innovation, developing new technologies and products to meet changing customer needs and preferences. For example, Toyota launched the Prius Prime, an electric vehicle with a range of 25 miles on battery power and a total range of 640 miles, in the US in 2016 (Toyota USA Newsroom, 2016).</w:t>
          </w:r>
        </w:p>
        <w:p>
          <w:pPr>
            <w:pStyle w:val="3"/>
          </w:pPr>
          <w:bookmarkStart w:id="93" w:name="_Toc8904"/>
          <w:r>
            <w:t>Global HRM:</w:t>
          </w:r>
          <w:bookmarkEnd w:id="93"/>
        </w:p>
        <w:p>
          <w:pPr>
            <w:spacing w:line="360" w:lineRule="auto"/>
            <w:jc w:val="both"/>
          </w:pPr>
          <w:r>
            <w:t>Toyota's global HRM strategy is based on the Toyota Way, which emphasizes respect for people, teamwork, and continuous improvement. The company's HRM practices are designed to develop and retain talented employees, foster a culture of innovation and learning, and promote diversity and inclusion. Toyota also invests in training and development programs to enhance employees' skills and knowledge, enabling them to contribute to the company's success in different regions around the world (</w:t>
          </w:r>
          <w:r>
            <w:rPr>
              <w:rFonts w:ascii="Arial" w:hAnsi="Arial" w:cs="Arial"/>
              <w:color w:val="222222"/>
              <w:sz w:val="20"/>
              <w:szCs w:val="20"/>
              <w:shd w:val="clear" w:color="auto" w:fill="FFFFFF"/>
            </w:rPr>
            <w:t>Matsuo, 2015)</w:t>
          </w:r>
          <w:r>
            <w:t xml:space="preserve">. </w:t>
          </w:r>
        </w:p>
        <w:p>
          <w:pPr>
            <w:spacing w:line="360" w:lineRule="auto"/>
            <w:jc w:val="both"/>
          </w:pPr>
          <w:r>
            <w:t xml:space="preserve">In 2020, Toyota announced that it would invest $2 billion to develop electric vehicles in Indonesia over the next five years (Potkin, 2019). This investment is part of Toyota's strategy to expand its presence in Southeast Asia and capitalize on the region's growth potential (Toyota Global, 2021). In 2019, Toyota announced a joint venture with Chinese electric vehicle manufacturer BYD to develop electric vehicles and related components. This collaboration enables Toyota to leverage BYD's expertise in electric vehicles and gain access to the Chinese market, which is the world's largest market for electric vehicles (Toyota Global, 2021). </w:t>
          </w:r>
        </w:p>
        <w:p>
          <w:pPr>
            <w:pStyle w:val="2"/>
            <w:spacing w:line="360" w:lineRule="auto"/>
          </w:pPr>
          <w:bookmarkStart w:id="94" w:name="_Toc32673"/>
          <w:r>
            <w:t>Entry Modes</w:t>
          </w:r>
          <w:bookmarkEnd w:id="94"/>
        </w:p>
        <w:p>
          <w:pPr>
            <w:pStyle w:val="3"/>
          </w:pPr>
          <w:bookmarkStart w:id="95" w:name="_Toc25783"/>
          <w:r>
            <w:t>Joint Ventures:</w:t>
          </w:r>
          <w:bookmarkEnd w:id="95"/>
        </w:p>
        <w:p>
          <w:pPr>
            <w:spacing w:line="360" w:lineRule="auto"/>
            <w:jc w:val="both"/>
            <w:rPr>
              <w:lang w:eastAsia="ja-JP"/>
            </w:rPr>
          </w:pPr>
          <w:r>
            <w:rPr>
              <w:lang w:eastAsia="ja-JP"/>
            </w:rPr>
            <w:t xml:space="preserve">Joint ventures help companies like Toyota enter challenging markets such as China and India (Henisz et al., 2013). Toyota's joint venture with Guangzhou Automobile Group (GAC) allows it to produce and sell vehicles in China, accessing local expertise, gaining market knowledge, and reducing risks (Toyota Global, 2021). </w:t>
          </w:r>
        </w:p>
        <w:p>
          <w:pPr>
            <w:pStyle w:val="3"/>
          </w:pPr>
          <w:bookmarkStart w:id="96" w:name="_Toc15045"/>
          <w:r>
            <w:t>Wholly-Owned Subsidiaries:</w:t>
          </w:r>
          <w:bookmarkEnd w:id="96"/>
        </w:p>
        <w:p>
          <w:pPr>
            <w:spacing w:line="360" w:lineRule="auto"/>
            <w:jc w:val="both"/>
            <w:rPr>
              <w:lang w:eastAsia="ja-JP"/>
            </w:rPr>
          </w:pPr>
          <w:r>
            <w:rPr>
              <w:lang w:eastAsia="ja-JP"/>
            </w:rPr>
            <w:t>Wholly-owned subsidiaries involve establishing a new company in a foreign market that is wholly-owned and controlled by the parent company. Toyota has used wholly-owned subsidiaries to enter new markets where it has significant market potential and wants to have full control over operations. For example, Toyota established a wholly-owned subsidiary in Indonesia in 1971, which has become one of the company's largest production bases in the region (Toyota Global, 2021).</w:t>
          </w:r>
        </w:p>
        <w:p>
          <w:pPr>
            <w:pStyle w:val="3"/>
          </w:pPr>
          <w:bookmarkStart w:id="97" w:name="_Toc28"/>
          <w:r>
            <w:t>Licensing Agreements:</w:t>
          </w:r>
          <w:bookmarkEnd w:id="97"/>
        </w:p>
        <w:p>
          <w:pPr>
            <w:spacing w:line="360" w:lineRule="auto"/>
            <w:jc w:val="both"/>
            <w:rPr>
              <w:lang w:eastAsia="ja-JP"/>
            </w:rPr>
          </w:pPr>
          <w:r>
            <w:rPr>
              <w:lang w:eastAsia="ja-JP"/>
            </w:rPr>
            <w:t>Toyota grants rights to use its technology through licensing agreements, such as its hybrid technology to Nissan and Mazda, promoting hybrid vehicle adoption and reducing emissions (Toyota Global, 2021). In 2019, Toyota invested $500 million in Uber to develop self-driving cars, showcasing its strategy to collaborate with other companies for innovation (Toyota Global, 2021).</w:t>
          </w:r>
        </w:p>
        <w:p>
          <w:pPr>
            <w:pStyle w:val="2"/>
            <w:spacing w:line="360" w:lineRule="auto"/>
          </w:pPr>
          <w:bookmarkStart w:id="98" w:name="_Toc4929"/>
          <w:r>
            <w:t>Corporate Social Responsibility</w:t>
          </w:r>
          <w:bookmarkEnd w:id="98"/>
          <w:r>
            <w:t xml:space="preserve"> </w:t>
          </w:r>
        </w:p>
        <w:p>
          <w:pPr>
            <w:pStyle w:val="3"/>
          </w:pPr>
          <w:bookmarkStart w:id="99" w:name="_Toc17226"/>
          <w:r>
            <w:t>Environmental Initiatives:</w:t>
          </w:r>
          <w:bookmarkEnd w:id="99"/>
        </w:p>
        <w:p>
          <w:pPr>
            <w:spacing w:line="360" w:lineRule="auto"/>
            <w:jc w:val="both"/>
          </w:pPr>
          <w:r>
            <w:t>Toyota has a long-standing commitment to environmental sustainability and has implemented various programs and initiatives to reduce its carbon footprint and promote sustainable practices. For example, the company has invested heavily in hybrid and electric vehicle technology, which has helped to reduce greenhouse gas emissions and promote the adoption of cleaner transportation (Toyota Global, 2021). Additionally, Toyota has implemented a range of sustainable manufacturing practices, such as reducing waste and water usage, and increasing energy efficiency in its factories and production processes (Toyota Global, 2021).</w:t>
          </w:r>
        </w:p>
        <w:p>
          <w:pPr>
            <w:pStyle w:val="3"/>
          </w:pPr>
          <w:bookmarkStart w:id="100" w:name="_Toc32247"/>
          <w:r>
            <w:t>Community Involvement:</w:t>
          </w:r>
          <w:bookmarkEnd w:id="100"/>
        </w:p>
        <w:p>
          <w:pPr>
            <w:spacing w:line="360" w:lineRule="auto"/>
            <w:jc w:val="both"/>
          </w:pPr>
          <w:r>
            <w:t>Toyota has also demonstrated a strong commitment to community involvement and social responsibility, both locally and globally. For example, the company has established the Toyota Global Vision, which outlines its commitment to social and environmental sustainability and aims to create a more prosperous society through its business operations (Toyota Global, 2021). Additionally, Toyota has implemented various community outreach and philanthropic programs, such as the Toyota Foundation, which supports social and cultural initiatives in different regions around the world (Toyota Global, 2021).</w:t>
          </w:r>
        </w:p>
        <w:p>
          <w:pPr>
            <w:pStyle w:val="3"/>
          </w:pPr>
          <w:bookmarkStart w:id="101" w:name="_Toc6152"/>
          <w:r>
            <w:t>Ethical Business Practices:</w:t>
          </w:r>
          <w:bookmarkEnd w:id="101"/>
        </w:p>
        <w:p>
          <w:pPr>
            <w:spacing w:line="360" w:lineRule="auto"/>
            <w:jc w:val="both"/>
          </w:pPr>
          <w:r>
            <w:t>Toyota implements ethical business practices and compliance programs, including a Code of Conduct (Toyota Global, 2021). In 2019, they partnered with the Wildlife Conservation Society to promote sustainable forestry and protect wildlife habitats in the Asia-Pacific region (Toyota Global, 2021). Toyota also pursues environmental initiatives globally, such as installing solar panels at factories to reduce energy consumption (Toyota Global, 2021).</w:t>
          </w:r>
        </w:p>
        <w:p>
          <w:pPr>
            <w:pStyle w:val="2"/>
            <w:spacing w:line="360" w:lineRule="auto"/>
          </w:pPr>
          <w:bookmarkStart w:id="102" w:name="_Toc11322"/>
          <w:r>
            <w:t>Conclusion</w:t>
          </w:r>
          <w:bookmarkEnd w:id="102"/>
        </w:p>
        <w:p>
          <w:pPr>
            <w:spacing w:line="360" w:lineRule="auto"/>
            <w:jc w:val="both"/>
          </w:pPr>
          <w:r>
            <w:t>In conclusion, this report has provided a comprehensive analysis of Toyota Company in both its home country Japan and host country China, covering a wide range of analytical frameworks and perspectives. Through this analysis, it is evident that Toyota has been successful in leveraging its core competencies, resources, and capabilities to become one of the leading players in the global automotive industry, analysis helped to identify Toyota's strengths, weaknesses, opportunities, and threats in the global market. Furthermore, the report analyzed Toyota's entry modes, international strategies, and corporate social responsibility practices in the international context. This analysis provided insight into how Toyota has successfully expanded its business globally, while maintaining its core values and commitment to sustainability and social responsibility.</w:t>
          </w:r>
        </w:p>
        <w:bookmarkEnd w:id="3"/>
        <w:p>
          <w:pPr>
            <w:spacing w:line="360" w:lineRule="auto"/>
            <w:jc w:val="both"/>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spacing w:line="360" w:lineRule="auto"/>
            <w:jc w:val="both"/>
            <w:rPr>
              <w:rFonts w:asciiTheme="majorBidi" w:hAnsiTheme="majorBidi" w:cstheme="majorBidi"/>
            </w:rPr>
          </w:pPr>
        </w:p>
        <w:p>
          <w:pPr>
            <w:pStyle w:val="2"/>
            <w:spacing w:line="360" w:lineRule="auto"/>
            <w:rPr>
              <w:rFonts w:asciiTheme="majorBidi" w:hAnsiTheme="majorBidi" w:cstheme="majorBidi"/>
            </w:rPr>
          </w:pPr>
          <w:bookmarkStart w:id="103" w:name="_Toc18016"/>
          <w:r>
            <w:rPr>
              <w:rFonts w:asciiTheme="majorBidi" w:hAnsiTheme="majorBidi" w:cstheme="majorBidi"/>
            </w:rPr>
            <w:t>References</w:t>
          </w:r>
          <w:bookmarkEnd w:id="103"/>
          <w:r>
            <w:rPr>
              <w:rFonts w:asciiTheme="majorBidi" w:hAnsiTheme="majorBidi" w:cstheme="majorBidi"/>
            </w:rPr>
            <w:t xml:space="preserve"> </w:t>
          </w:r>
          <w:bookmarkStart w:id="104" w:name="_Hlk131646161"/>
        </w:p>
        <w:bookmarkEnd w:id="104"/>
        <w:p>
          <w:pPr>
            <w:pStyle w:val="17"/>
            <w:ind w:left="567" w:hanging="567"/>
            <w:rPr>
              <w:rFonts w:asciiTheme="majorBidi" w:hAnsiTheme="majorBidi" w:cstheme="majorBidi"/>
              <w:highlight w:val="none"/>
            </w:rPr>
          </w:pPr>
          <w:r>
            <w:rPr>
              <w:rFonts w:asciiTheme="majorBidi" w:hAnsiTheme="majorBidi" w:cstheme="majorBidi"/>
              <w:highlight w:val="none"/>
            </w:rPr>
            <w:t>Ansoff, I. 1965. Corporate Strategy. New York: McGraw-Hill</w:t>
          </w:r>
        </w:p>
        <w:p>
          <w:pPr>
            <w:pStyle w:val="17"/>
            <w:ind w:left="567" w:hanging="567"/>
            <w:rPr>
              <w:rFonts w:asciiTheme="majorBidi" w:hAnsiTheme="majorBidi" w:cstheme="majorBidi"/>
            </w:rPr>
          </w:pPr>
          <w:r>
            <w:rPr>
              <w:rFonts w:asciiTheme="majorBidi" w:hAnsiTheme="majorBidi" w:cstheme="majorBidi"/>
            </w:rPr>
            <w:t xml:space="preserve">BBC (2015) </w:t>
          </w:r>
          <w:r>
            <w:rPr>
              <w:rFonts w:asciiTheme="majorBidi" w:hAnsiTheme="majorBidi" w:cstheme="majorBidi"/>
              <w:i/>
              <w:iCs/>
            </w:rPr>
            <w:t>Toyota plans to all but stop making carbon emitting cars by 2050</w:t>
          </w:r>
          <w:r>
            <w:rPr>
              <w:rFonts w:asciiTheme="majorBidi" w:hAnsiTheme="majorBidi" w:cstheme="majorBidi"/>
            </w:rPr>
            <w:t xml:space="preserve">, </w:t>
          </w:r>
          <w:r>
            <w:rPr>
              <w:rFonts w:asciiTheme="majorBidi" w:hAnsiTheme="majorBidi" w:cstheme="majorBidi"/>
              <w:i/>
              <w:iCs/>
            </w:rPr>
            <w:t>BBC News</w:t>
          </w:r>
          <w:r>
            <w:rPr>
              <w:rFonts w:asciiTheme="majorBidi" w:hAnsiTheme="majorBidi" w:cstheme="majorBidi"/>
            </w:rPr>
            <w:t xml:space="preserve">. BBC. Available at: https://www.bbc.com/news/business-34527431 (Accessed: March 21, 2023). </w:t>
          </w:r>
        </w:p>
        <w:p>
          <w:pPr>
            <w:pStyle w:val="17"/>
            <w:ind w:left="567" w:hanging="567"/>
            <w:rPr>
              <w:rFonts w:asciiTheme="majorBidi" w:hAnsiTheme="majorBidi" w:cstheme="majorBidi"/>
              <w:highlight w:val="none"/>
            </w:rPr>
          </w:pPr>
          <w:r>
            <w:rPr>
              <w:rFonts w:asciiTheme="majorBidi" w:hAnsiTheme="majorBidi" w:cstheme="majorBidi"/>
              <w:highlight w:val="none"/>
            </w:rPr>
            <w:t>Barney, J. (1991). Firm Resources and Sustained Competitive Advantage. Journal of Management, 17(1), 99-120.</w:t>
          </w:r>
        </w:p>
        <w:p>
          <w:pPr>
            <w:pStyle w:val="17"/>
            <w:ind w:left="567" w:hanging="567"/>
            <w:rPr>
              <w:rFonts w:asciiTheme="majorBidi" w:hAnsiTheme="majorBidi" w:cstheme="majorBidi"/>
            </w:rPr>
          </w:pPr>
          <w:r>
            <w:rPr>
              <w:rFonts w:asciiTheme="majorBidi" w:hAnsiTheme="majorBidi" w:cstheme="majorBidi"/>
            </w:rPr>
            <w:t xml:space="preserve">Carlier, M. (2022) </w:t>
          </w:r>
          <w:r>
            <w:rPr>
              <w:rFonts w:asciiTheme="majorBidi" w:hAnsiTheme="majorBidi" w:cstheme="majorBidi"/>
              <w:i/>
              <w:iCs/>
            </w:rPr>
            <w:t>Leading car companies based on Worldwide Vehicle Sales</w:t>
          </w:r>
          <w:r>
            <w:rPr>
              <w:rFonts w:asciiTheme="majorBidi" w:hAnsiTheme="majorBidi" w:cstheme="majorBidi"/>
            </w:rPr>
            <w:t xml:space="preserve">, </w:t>
          </w:r>
          <w:r>
            <w:rPr>
              <w:rFonts w:asciiTheme="majorBidi" w:hAnsiTheme="majorBidi" w:cstheme="majorBidi"/>
              <w:i/>
              <w:iCs/>
            </w:rPr>
            <w:t>Statista</w:t>
          </w:r>
          <w:r>
            <w:rPr>
              <w:rFonts w:asciiTheme="majorBidi" w:hAnsiTheme="majorBidi" w:cstheme="majorBidi"/>
            </w:rPr>
            <w:t xml:space="preserve">. Available at: https://www.statista.com/statistics/268977/global-leading-car-companies-based-on-worldwide-vehicle (Accessed: April 6, 2023). </w:t>
          </w:r>
        </w:p>
        <w:p>
          <w:pPr>
            <w:pStyle w:val="17"/>
            <w:ind w:left="567" w:hanging="567"/>
            <w:rPr>
              <w:rFonts w:asciiTheme="majorBidi" w:hAnsiTheme="majorBidi" w:cstheme="majorBidi"/>
            </w:rPr>
          </w:pPr>
          <w:r>
            <w:rPr>
              <w:rFonts w:asciiTheme="majorBidi" w:hAnsiTheme="majorBidi" w:cstheme="majorBidi"/>
            </w:rPr>
            <w:t xml:space="preserve">Carlier, M. (2022) </w:t>
          </w:r>
          <w:r>
            <w:rPr>
              <w:rFonts w:asciiTheme="majorBidi" w:hAnsiTheme="majorBidi" w:cstheme="majorBidi"/>
              <w:i/>
              <w:iCs/>
            </w:rPr>
            <w:t>Toyota Motor Corporation</w:t>
          </w:r>
          <w:r>
            <w:rPr>
              <w:rFonts w:asciiTheme="majorBidi" w:hAnsiTheme="majorBidi" w:cstheme="majorBidi"/>
            </w:rPr>
            <w:t xml:space="preserve">, </w:t>
          </w:r>
          <w:r>
            <w:rPr>
              <w:rFonts w:asciiTheme="majorBidi" w:hAnsiTheme="majorBidi" w:cstheme="majorBidi"/>
              <w:i/>
              <w:iCs/>
            </w:rPr>
            <w:t>Statista</w:t>
          </w:r>
          <w:r>
            <w:rPr>
              <w:rFonts w:asciiTheme="majorBidi" w:hAnsiTheme="majorBidi" w:cstheme="majorBidi"/>
            </w:rPr>
            <w:t xml:space="preserve">. Available at: https://www.statista.com/topics/1893/toyota/ (Accessed: March 13, 2023). </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Cassetta, M.A., 2015. Toyota Motor Corporation: A Global Expansion.</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Central Intelligence Agency (CIA). (2021). The World Factbook: Japan. Retrieved from </w:t>
          </w:r>
          <w:r>
            <w:fldChar w:fldCharType="begin"/>
          </w:r>
          <w:r>
            <w:instrText xml:space="preserve"> HYPERLINK "https://www.cia.gov/the-world-factbook/countries/japan/" </w:instrText>
          </w:r>
          <w:r>
            <w:fldChar w:fldCharType="separate"/>
          </w:r>
          <w:r>
            <w:rPr>
              <w:rStyle w:val="16"/>
              <w:rFonts w:asciiTheme="majorBidi" w:hAnsiTheme="majorBidi" w:cstheme="majorBidi"/>
              <w:szCs w:val="24"/>
            </w:rPr>
            <w:t>https://www.cia.gov/the-world-factbook/countries/japan/</w:t>
          </w:r>
          <w:r>
            <w:rPr>
              <w:rStyle w:val="16"/>
              <w:rFonts w:asciiTheme="majorBidi" w:hAnsiTheme="majorBidi" w:cstheme="majorBidi"/>
              <w:szCs w:val="24"/>
            </w:rPr>
            <w:fldChar w:fldCharType="end"/>
          </w:r>
          <w:r>
            <w:rPr>
              <w:rFonts w:asciiTheme="majorBidi" w:hAnsiTheme="majorBidi" w:cstheme="majorBidi"/>
              <w:szCs w:val="24"/>
            </w:rPr>
            <w:t xml:space="preserve"> </w:t>
          </w:r>
        </w:p>
        <w:p>
          <w:pPr>
            <w:spacing w:line="240" w:lineRule="auto"/>
            <w:ind w:left="720" w:hanging="720"/>
            <w:rPr>
              <w:rFonts w:asciiTheme="majorBidi" w:hAnsiTheme="majorBidi" w:cstheme="majorBidi"/>
              <w:szCs w:val="24"/>
            </w:rPr>
          </w:pPr>
          <w:r>
            <w:rPr>
              <w:rFonts w:asciiTheme="majorBidi" w:hAnsiTheme="majorBidi" w:cstheme="majorBidi"/>
              <w:szCs w:val="24"/>
            </w:rPr>
            <w:t>China Daily. (2018). China's car-sharing market expands fast. Retrieved from http://www.chinadaily.com.cn/a/201801/10/WS5a55a558a3102c394518f2a6.html</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Chopra, S., Sodhi, M. and Lücker, F., 2021. Achieving supply chain efficiency and resilience by using multi‐level commons. </w:t>
          </w:r>
          <w:r>
            <w:rPr>
              <w:rFonts w:asciiTheme="majorBidi" w:hAnsiTheme="majorBidi" w:cstheme="majorBidi"/>
              <w:i/>
              <w:iCs/>
              <w:color w:val="222222"/>
              <w:shd w:val="clear" w:color="auto" w:fill="FFFFFF"/>
            </w:rPr>
            <w:t>Decision Sciences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52</w:t>
          </w:r>
          <w:r>
            <w:rPr>
              <w:rFonts w:asciiTheme="majorBidi" w:hAnsiTheme="majorBidi" w:cstheme="majorBidi"/>
              <w:color w:val="222222"/>
              <w:shd w:val="clear" w:color="auto" w:fill="FFFFFF"/>
            </w:rPr>
            <w:t>(4), pp.817-832.</w:t>
          </w:r>
        </w:p>
        <w:p>
          <w:pPr>
            <w:pStyle w:val="17"/>
            <w:ind w:left="567" w:hanging="567"/>
            <w:rPr>
              <w:rFonts w:asciiTheme="majorBidi" w:hAnsiTheme="majorBidi" w:cstheme="majorBidi"/>
            </w:rPr>
          </w:pPr>
          <w:r>
            <w:rPr>
              <w:rFonts w:asciiTheme="majorBidi" w:hAnsiTheme="majorBidi" w:cstheme="majorBidi"/>
            </w:rPr>
            <w:t xml:space="preserve">Clifford, J. (2015) </w:t>
          </w:r>
          <w:r>
            <w:rPr>
              <w:rFonts w:asciiTheme="majorBidi" w:hAnsiTheme="majorBidi" w:cstheme="majorBidi"/>
              <w:i/>
              <w:iCs/>
            </w:rPr>
            <w:t>History of the Toyota Prius</w:t>
          </w:r>
          <w:r>
            <w:rPr>
              <w:rFonts w:asciiTheme="majorBidi" w:hAnsiTheme="majorBidi" w:cstheme="majorBidi"/>
            </w:rPr>
            <w:t xml:space="preserve">, </w:t>
          </w:r>
          <w:r>
            <w:rPr>
              <w:rFonts w:asciiTheme="majorBidi" w:hAnsiTheme="majorBidi" w:cstheme="majorBidi"/>
              <w:i/>
              <w:iCs/>
            </w:rPr>
            <w:t>Toyota UK Magazine</w:t>
          </w:r>
          <w:r>
            <w:rPr>
              <w:rFonts w:asciiTheme="majorBidi" w:hAnsiTheme="majorBidi" w:cstheme="majorBidi"/>
            </w:rPr>
            <w:t xml:space="preserve">. Available at: https://mag.toyota.co.uk/history-toyota-prius/ (Accessed: March 21, 2023). </w:t>
          </w:r>
        </w:p>
        <w:p>
          <w:pPr>
            <w:pStyle w:val="17"/>
            <w:ind w:left="567" w:hanging="567"/>
            <w:rPr>
              <w:rFonts w:asciiTheme="majorBidi" w:hAnsiTheme="majorBidi" w:cstheme="majorBidi"/>
            </w:rPr>
          </w:pPr>
          <w:r>
            <w:rPr>
              <w:rFonts w:asciiTheme="majorBidi" w:hAnsiTheme="majorBidi" w:cstheme="majorBidi"/>
            </w:rPr>
            <w:t xml:space="preserve">Clifford, J. (2021) </w:t>
          </w:r>
          <w:r>
            <w:rPr>
              <w:rFonts w:asciiTheme="majorBidi" w:hAnsiTheme="majorBidi" w:cstheme="majorBidi"/>
              <w:i/>
              <w:iCs/>
            </w:rPr>
            <w:t>What is the Toyota Environmental Challenge 2050?</w:t>
          </w:r>
          <w:r>
            <w:rPr>
              <w:rFonts w:asciiTheme="majorBidi" w:hAnsiTheme="majorBidi" w:cstheme="majorBidi"/>
            </w:rPr>
            <w:t xml:space="preserve">, </w:t>
          </w:r>
          <w:r>
            <w:rPr>
              <w:rFonts w:asciiTheme="majorBidi" w:hAnsiTheme="majorBidi" w:cstheme="majorBidi"/>
              <w:i/>
              <w:iCs/>
            </w:rPr>
            <w:t>Toyota UK Magazine</w:t>
          </w:r>
          <w:r>
            <w:rPr>
              <w:rFonts w:asciiTheme="majorBidi" w:hAnsiTheme="majorBidi" w:cstheme="majorBidi"/>
            </w:rPr>
            <w:t xml:space="preserve">. Available at: https://mag.toyota.co.uk/toyota-environmental-challenge-2050/ (Accessed: March 21, 2023). </w:t>
          </w:r>
        </w:p>
        <w:p>
          <w:pPr>
            <w:pStyle w:val="17"/>
            <w:ind w:left="567" w:hanging="567"/>
            <w:rPr>
              <w:rFonts w:asciiTheme="majorBidi" w:hAnsiTheme="majorBidi" w:cstheme="majorBidi"/>
            </w:rPr>
          </w:pPr>
          <w:r>
            <w:rPr>
              <w:rFonts w:asciiTheme="majorBidi" w:hAnsiTheme="majorBidi" w:cstheme="majorBidi"/>
            </w:rPr>
            <w:t xml:space="preserve">CNBC (2017) </w:t>
          </w:r>
          <w:r>
            <w:rPr>
              <w:rFonts w:asciiTheme="majorBidi" w:hAnsiTheme="majorBidi" w:cstheme="majorBidi"/>
              <w:i/>
              <w:iCs/>
            </w:rPr>
            <w:t>Japan's Toyota, Mazda and Denso to tie up to develop electric vehicles</w:t>
          </w:r>
          <w:r>
            <w:rPr>
              <w:rFonts w:asciiTheme="majorBidi" w:hAnsiTheme="majorBidi" w:cstheme="majorBidi"/>
            </w:rPr>
            <w:t xml:space="preserve">, </w:t>
          </w:r>
          <w:r>
            <w:rPr>
              <w:rFonts w:asciiTheme="majorBidi" w:hAnsiTheme="majorBidi" w:cstheme="majorBidi"/>
              <w:i/>
              <w:iCs/>
            </w:rPr>
            <w:t>CNBC</w:t>
          </w:r>
          <w:r>
            <w:rPr>
              <w:rFonts w:asciiTheme="majorBidi" w:hAnsiTheme="majorBidi" w:cstheme="majorBidi"/>
            </w:rPr>
            <w:t xml:space="preserve">. CNBC. Available at: https://www.cnbc.com/2017/09/27/toyota-mazda-denso-to-form-joint-venture-to-develop-electric-vehicles.html (Accessed: March 21, 2023). </w:t>
          </w:r>
        </w:p>
        <w:p>
          <w:pPr>
            <w:spacing w:line="240" w:lineRule="auto"/>
            <w:ind w:left="720" w:hanging="720"/>
            <w:rPr>
              <w:rFonts w:asciiTheme="majorBidi" w:hAnsiTheme="majorBidi" w:cstheme="majorBidi"/>
              <w:szCs w:val="24"/>
            </w:rPr>
          </w:pPr>
          <w:r>
            <w:rPr>
              <w:rFonts w:asciiTheme="majorBidi" w:hAnsiTheme="majorBidi" w:cstheme="majorBidi"/>
              <w:szCs w:val="24"/>
            </w:rPr>
            <w:t>Cohen, J. (2019). Toyota recalls 2.9 million vehicles over airbag defect. Retrieved from https://www.cnn.com/2019/01/30/business/toyota-airbag-recall/index.html</w:t>
          </w:r>
        </w:p>
        <w:p>
          <w:pPr>
            <w:pStyle w:val="17"/>
            <w:ind w:left="567" w:hanging="567"/>
            <w:rPr>
              <w:rFonts w:asciiTheme="majorBidi" w:hAnsiTheme="majorBidi" w:cstheme="majorBidi"/>
            </w:rPr>
          </w:pPr>
          <w:r>
            <w:rPr>
              <w:rFonts w:asciiTheme="majorBidi" w:hAnsiTheme="majorBidi" w:cstheme="majorBidi"/>
            </w:rPr>
            <w:t xml:space="preserve">CompaniesMarketCap.com (2023) </w:t>
          </w:r>
          <w:r>
            <w:rPr>
              <w:rFonts w:asciiTheme="majorBidi" w:hAnsiTheme="majorBidi" w:cstheme="majorBidi"/>
              <w:i/>
              <w:iCs/>
            </w:rPr>
            <w:t>Toyota (TM) - market capitalization</w:t>
          </w:r>
          <w:r>
            <w:rPr>
              <w:rFonts w:asciiTheme="majorBidi" w:hAnsiTheme="majorBidi" w:cstheme="majorBidi"/>
            </w:rPr>
            <w:t xml:space="preserve">, </w:t>
          </w:r>
          <w:r>
            <w:rPr>
              <w:rFonts w:asciiTheme="majorBidi" w:hAnsiTheme="majorBidi" w:cstheme="majorBidi"/>
              <w:i/>
              <w:iCs/>
            </w:rPr>
            <w:t>CompaniesMarketCap.com - companies ranked by market capitalization</w:t>
          </w:r>
          <w:r>
            <w:rPr>
              <w:rFonts w:asciiTheme="majorBidi" w:hAnsiTheme="majorBidi" w:cstheme="majorBidi"/>
            </w:rPr>
            <w:t xml:space="preserve">. Available at: https://companiesmarketcap.com/toyota/marketcap/. (Accessed: March 13, 2023). </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Cusumano, M.A., Holweg, M., Howell, J., Netland, T., Shah, R., Shook, J., Ward, P. and Womack, J., 2021. Commentaries on “The Lenses of Lean”. </w:t>
          </w:r>
          <w:r>
            <w:rPr>
              <w:rFonts w:asciiTheme="majorBidi" w:hAnsiTheme="majorBidi" w:cstheme="majorBidi"/>
              <w:i/>
              <w:iCs/>
              <w:color w:val="222222"/>
              <w:shd w:val="clear" w:color="auto" w:fill="FFFFFF"/>
            </w:rPr>
            <w:t>Journal of Operations Management</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67</w:t>
          </w:r>
          <w:r>
            <w:rPr>
              <w:rFonts w:asciiTheme="majorBidi" w:hAnsiTheme="majorBidi" w:cstheme="majorBidi"/>
              <w:color w:val="222222"/>
              <w:shd w:val="clear" w:color="auto" w:fill="FFFFFF"/>
            </w:rPr>
            <w:t>(5), pp.627-639.</w:t>
          </w:r>
        </w:p>
        <w:p>
          <w:pPr>
            <w:pStyle w:val="17"/>
            <w:ind w:left="567" w:hanging="567"/>
            <w:rPr>
              <w:rFonts w:asciiTheme="majorBidi" w:hAnsiTheme="majorBidi" w:cstheme="majorBidi"/>
              <w:color w:val="222222"/>
              <w:highlight w:val="none"/>
              <w:shd w:val="clear" w:color="auto" w:fill="FFFFFF"/>
            </w:rPr>
          </w:pPr>
          <w:r>
            <w:rPr>
              <w:rFonts w:asciiTheme="majorBidi" w:hAnsiTheme="majorBidi" w:cstheme="majorBidi"/>
              <w:color w:val="222222"/>
              <w:highlight w:val="none"/>
              <w:shd w:val="clear" w:color="auto" w:fill="FFFFFF"/>
            </w:rPr>
            <w:t>Daniels, J. D., Radebaugh, L. H., &amp; Sullivan, D. P. (2018). International Business: Environments and Operations. Pearson.</w:t>
          </w:r>
        </w:p>
        <w:p>
          <w:pPr>
            <w:spacing w:line="240" w:lineRule="auto"/>
            <w:ind w:left="720" w:hanging="720"/>
            <w:rPr>
              <w:rFonts w:asciiTheme="majorBidi" w:hAnsiTheme="majorBidi" w:cstheme="majorBidi"/>
              <w:szCs w:val="24"/>
            </w:rPr>
          </w:pPr>
          <w:r>
            <w:rPr>
              <w:rFonts w:asciiTheme="majorBidi" w:hAnsiTheme="majorBidi" w:cstheme="majorBidi"/>
              <w:color w:val="222222"/>
              <w:szCs w:val="24"/>
              <w:shd w:val="clear" w:color="auto" w:fill="FFFFFF"/>
            </w:rPr>
            <w:t>Defraigne, J.C., 2014. China’s industrial policy. </w:t>
          </w:r>
          <w:r>
            <w:rPr>
              <w:rFonts w:asciiTheme="majorBidi" w:hAnsiTheme="majorBidi" w:cstheme="majorBidi"/>
              <w:i/>
              <w:iCs/>
              <w:color w:val="222222"/>
              <w:szCs w:val="24"/>
              <w:shd w:val="clear" w:color="auto" w:fill="FFFFFF"/>
            </w:rPr>
            <w:t>ECRAN Short Term Policy Brief</w:t>
          </w:r>
          <w:r>
            <w:rPr>
              <w:rFonts w:asciiTheme="majorBidi" w:hAnsiTheme="majorBidi" w:cstheme="majorBidi"/>
              <w:color w:val="222222"/>
              <w:szCs w:val="24"/>
              <w:shd w:val="clear" w:color="auto" w:fill="FFFFFF"/>
            </w:rPr>
            <w:t>, </w:t>
          </w:r>
          <w:r>
            <w:rPr>
              <w:rFonts w:asciiTheme="majorBidi" w:hAnsiTheme="majorBidi" w:cstheme="majorBidi"/>
              <w:i/>
              <w:iCs/>
              <w:color w:val="222222"/>
              <w:szCs w:val="24"/>
              <w:shd w:val="clear" w:color="auto" w:fill="FFFFFF"/>
            </w:rPr>
            <w:t>81</w:t>
          </w:r>
          <w:r>
            <w:rPr>
              <w:rFonts w:asciiTheme="majorBidi" w:hAnsiTheme="majorBidi" w:cstheme="majorBidi"/>
              <w:color w:val="222222"/>
              <w:szCs w:val="24"/>
              <w:shd w:val="clear" w:color="auto" w:fill="FFFFFF"/>
            </w:rPr>
            <w:t>, pp.17-32.</w:t>
          </w:r>
          <w:r>
            <w:rPr>
              <w:rFonts w:asciiTheme="majorBidi" w:hAnsiTheme="majorBidi" w:cstheme="majorBidi"/>
              <w:szCs w:val="24"/>
            </w:rPr>
            <w:t>.</w:t>
          </w:r>
        </w:p>
        <w:p>
          <w:pPr>
            <w:spacing w:line="240" w:lineRule="auto"/>
            <w:ind w:left="720" w:hanging="720"/>
            <w:rPr>
              <w:rFonts w:asciiTheme="majorBidi" w:hAnsiTheme="majorBidi" w:cstheme="majorBidi"/>
              <w:szCs w:val="24"/>
            </w:rPr>
          </w:pPr>
          <w:r>
            <w:rPr>
              <w:rFonts w:asciiTheme="majorBidi" w:hAnsiTheme="majorBidi" w:cstheme="majorBidi"/>
              <w:szCs w:val="24"/>
            </w:rPr>
            <w:t>Deloitte. (2017). 2017 China Auto Consumer Report. Retrieved from https://www2.deloitte.com/cn/en/pages/consumer-business/articles/china-auto-consumer-report-2017.html</w:t>
          </w:r>
        </w:p>
        <w:p>
          <w:pPr>
            <w:spacing w:line="240" w:lineRule="auto"/>
            <w:ind w:left="720" w:hanging="720"/>
            <w:rPr>
              <w:rFonts w:asciiTheme="majorBidi" w:hAnsiTheme="majorBidi" w:cstheme="majorBidi"/>
              <w:szCs w:val="24"/>
            </w:rPr>
          </w:pPr>
          <w:r>
            <w:rPr>
              <w:rFonts w:asciiTheme="majorBidi" w:hAnsiTheme="majorBidi" w:cstheme="majorBidi"/>
              <w:szCs w:val="24"/>
            </w:rPr>
            <w:t>Fang, T. (2006). Negotiation: The Chinese style. Journal of Business &amp; Industrial Marketing, 21(1), 50-60.</w:t>
          </w:r>
        </w:p>
        <w:p>
          <w:pPr>
            <w:pStyle w:val="17"/>
            <w:ind w:left="567" w:hanging="567"/>
            <w:rPr>
              <w:rFonts w:asciiTheme="majorBidi" w:hAnsiTheme="majorBidi" w:cstheme="majorBidi"/>
            </w:rPr>
          </w:pPr>
          <w:r>
            <w:rPr>
              <w:rFonts w:asciiTheme="majorBidi" w:hAnsiTheme="majorBidi" w:cstheme="majorBidi"/>
            </w:rPr>
            <w:t xml:space="preserve">Frangoul, A. (2022) </w:t>
          </w:r>
          <w:r>
            <w:rPr>
              <w:rFonts w:asciiTheme="majorBidi" w:hAnsiTheme="majorBidi" w:cstheme="majorBidi"/>
              <w:i/>
              <w:iCs/>
            </w:rPr>
            <w:t>Toyota secures funding to develop hydrogen fuel cell version of its Hilux pickup in the UK</w:t>
          </w:r>
          <w:r>
            <w:rPr>
              <w:rFonts w:asciiTheme="majorBidi" w:hAnsiTheme="majorBidi" w:cstheme="majorBidi"/>
            </w:rPr>
            <w:t xml:space="preserve">, </w:t>
          </w:r>
          <w:r>
            <w:rPr>
              <w:rFonts w:asciiTheme="majorBidi" w:hAnsiTheme="majorBidi" w:cstheme="majorBidi"/>
              <w:i/>
              <w:iCs/>
            </w:rPr>
            <w:t>CNBC</w:t>
          </w:r>
          <w:r>
            <w:rPr>
              <w:rFonts w:asciiTheme="majorBidi" w:hAnsiTheme="majorBidi" w:cstheme="majorBidi"/>
            </w:rPr>
            <w:t xml:space="preserve">. CNBC. Available at: https://www.cnbc.com/2022/12/02/toyota-secures-funding-to-develop-hydrogen-fuel-cell-version-of-hilux.html (Accessed: March 21, 2023). </w:t>
          </w:r>
        </w:p>
        <w:p>
          <w:pPr>
            <w:spacing w:line="240" w:lineRule="auto"/>
            <w:ind w:left="720" w:hanging="720"/>
            <w:rPr>
              <w:rFonts w:asciiTheme="majorBidi" w:hAnsiTheme="majorBidi" w:cstheme="majorBidi"/>
              <w:szCs w:val="24"/>
              <w:highlight w:val="none"/>
            </w:rPr>
          </w:pPr>
          <w:r>
            <w:rPr>
              <w:rFonts w:asciiTheme="majorBidi" w:hAnsiTheme="majorBidi" w:cstheme="majorBidi"/>
              <w:szCs w:val="24"/>
              <w:highlight w:val="none"/>
            </w:rPr>
            <w:t>Fujimoto, T. (1999). The evolution of a manufacturing system at Toyota. Oxford University Press.</w:t>
          </w:r>
        </w:p>
        <w:p>
          <w:pPr>
            <w:spacing w:line="240" w:lineRule="auto"/>
            <w:ind w:left="720" w:hanging="720"/>
            <w:rPr>
              <w:rFonts w:asciiTheme="majorBidi" w:hAnsiTheme="majorBidi" w:cstheme="majorBidi"/>
              <w:szCs w:val="24"/>
              <w:highlight w:val="none"/>
            </w:rPr>
          </w:pPr>
          <w:r>
            <w:rPr>
              <w:rFonts w:asciiTheme="majorBidi" w:hAnsiTheme="majorBidi" w:cstheme="majorBidi"/>
              <w:szCs w:val="24"/>
              <w:highlight w:val="none"/>
            </w:rPr>
            <w:t>Fujimoto, T. (2007). Competing to be really, really good: The behind-the-scenes drama of capability-building competition in the automobile industry. Tokyo: Iwanami Shoten.</w:t>
          </w:r>
        </w:p>
        <w:p>
          <w:pPr>
            <w:spacing w:line="240" w:lineRule="auto"/>
            <w:ind w:left="720" w:hanging="720"/>
            <w:rPr>
              <w:rFonts w:asciiTheme="majorBidi" w:hAnsiTheme="majorBidi" w:cstheme="majorBidi"/>
              <w:szCs w:val="24"/>
              <w:highlight w:val="none"/>
            </w:rPr>
          </w:pPr>
          <w:r>
            <w:rPr>
              <w:rFonts w:asciiTheme="majorBidi" w:hAnsiTheme="majorBidi" w:cstheme="majorBidi"/>
              <w:szCs w:val="24"/>
              <w:highlight w:val="none"/>
            </w:rPr>
            <w:t>Gereffi, G., &amp; Korzeniewicz, M. (Eds.). (1994). Commodity Chains and Global Capitalism. Westport, CT: Praeger.</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Güven, E., 2022. Digital Evolution in Brand Communication. In </w:t>
          </w:r>
          <w:r>
            <w:rPr>
              <w:rFonts w:asciiTheme="majorBidi" w:hAnsiTheme="majorBidi" w:cstheme="majorBidi"/>
              <w:i/>
              <w:iCs/>
              <w:color w:val="222222"/>
              <w:shd w:val="clear" w:color="auto" w:fill="FFFFFF"/>
            </w:rPr>
            <w:t>Impact of Digital Transformation on the Development of New Business Models and Consumer Experience</w:t>
          </w:r>
          <w:r>
            <w:rPr>
              <w:rFonts w:asciiTheme="majorBidi" w:hAnsiTheme="majorBidi" w:cstheme="majorBidi"/>
              <w:color w:val="222222"/>
              <w:shd w:val="clear" w:color="auto" w:fill="FFFFFF"/>
            </w:rPr>
            <w:t> (pp. 231-252). IGI Global.</w:t>
          </w:r>
        </w:p>
        <w:p>
          <w:pPr>
            <w:spacing w:line="240" w:lineRule="auto"/>
            <w:ind w:left="720" w:hanging="720"/>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HARIKRISHNAN, R., 2021. </w:t>
          </w:r>
          <w:r>
            <w:rPr>
              <w:rFonts w:asciiTheme="majorBidi" w:hAnsiTheme="majorBidi" w:cstheme="majorBidi"/>
              <w:i/>
              <w:iCs/>
              <w:color w:val="222222"/>
              <w:szCs w:val="24"/>
              <w:shd w:val="clear" w:color="auto" w:fill="FFFFFF"/>
            </w:rPr>
            <w:t>A STUDY ON JUST IN TIME PRATICE AT TOYOTA</w:t>
          </w:r>
          <w:r>
            <w:rPr>
              <w:rFonts w:asciiTheme="majorBidi" w:hAnsiTheme="majorBidi" w:cstheme="majorBidi"/>
              <w:color w:val="222222"/>
              <w:szCs w:val="24"/>
              <w:shd w:val="clear" w:color="auto" w:fill="FFFFFF"/>
            </w:rPr>
            <w:t> (Doctoral dissertation, Mahatma Gandhi University).</w:t>
          </w:r>
        </w:p>
        <w:p>
          <w:pPr>
            <w:spacing w:line="240" w:lineRule="auto"/>
            <w:ind w:left="720" w:hanging="720"/>
            <w:rPr>
              <w:rFonts w:asciiTheme="majorBidi" w:hAnsiTheme="majorBidi" w:cstheme="majorBidi"/>
              <w:szCs w:val="24"/>
            </w:rPr>
          </w:pPr>
          <w:r>
            <w:rPr>
              <w:rFonts w:asciiTheme="majorBidi" w:hAnsiTheme="majorBidi" w:cstheme="majorBidi"/>
              <w:szCs w:val="24"/>
            </w:rPr>
            <w:t>Henisz, W. J., Dorobantu, S., &amp; Nartey, L. J. (2013). Spinning gold: The financial returns to stakeholder engagement. Strategic Management Journal, 34(3), 297-316.</w:t>
          </w:r>
        </w:p>
        <w:p>
          <w:pPr>
            <w:spacing w:line="240" w:lineRule="auto"/>
            <w:ind w:left="720" w:hanging="720"/>
            <w:rPr>
              <w:rFonts w:asciiTheme="majorBidi" w:hAnsiTheme="majorBidi" w:cstheme="majorBidi"/>
              <w:szCs w:val="24"/>
            </w:rPr>
          </w:pPr>
          <w:r>
            <w:rPr>
              <w:rFonts w:ascii="Arial" w:hAnsi="Arial" w:cs="Arial"/>
              <w:color w:val="222222"/>
              <w:sz w:val="20"/>
              <w:szCs w:val="20"/>
              <w:shd w:val="clear" w:color="auto" w:fill="FFFFFF"/>
            </w:rPr>
            <w:t>Horwitz, F. M., &amp; Mellahi, K. (2018). Human resource management in emerging markets. </w:t>
          </w:r>
          <w:r>
            <w:rPr>
              <w:rFonts w:ascii="Arial" w:hAnsi="Arial" w:cs="Arial"/>
              <w:i/>
              <w:iCs/>
              <w:color w:val="222222"/>
              <w:sz w:val="20"/>
              <w:szCs w:val="20"/>
              <w:shd w:val="clear" w:color="auto" w:fill="FFFFFF"/>
            </w:rPr>
            <w:t>Human Resource Management</w:t>
          </w:r>
          <w:r>
            <w:rPr>
              <w:rFonts w:ascii="Arial" w:hAnsi="Arial" w:cs="Arial"/>
              <w:color w:val="222222"/>
              <w:sz w:val="20"/>
              <w:szCs w:val="20"/>
              <w:shd w:val="clear" w:color="auto" w:fill="FFFFFF"/>
            </w:rPr>
            <w:t>, 337-357.</w:t>
          </w:r>
        </w:p>
        <w:p>
          <w:pPr>
            <w:spacing w:line="240" w:lineRule="auto"/>
            <w:ind w:left="720" w:hanging="720"/>
            <w:rPr>
              <w:rFonts w:asciiTheme="majorBidi" w:hAnsiTheme="majorBidi" w:cstheme="majorBidi"/>
              <w:szCs w:val="24"/>
            </w:rPr>
          </w:pPr>
          <w:r>
            <w:rPr>
              <w:rFonts w:asciiTheme="majorBidi" w:hAnsiTheme="majorBidi" w:cstheme="majorBidi"/>
              <w:szCs w:val="24"/>
            </w:rPr>
            <w:t>Imai, M. (1986). Kaizen: The key to Japan's competitive success. Random House Business Division.</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IMF. (2021). World Economic Outlook Database, April 2021. Retrieved from </w:t>
          </w:r>
          <w:r>
            <w:fldChar w:fldCharType="begin"/>
          </w:r>
          <w:r>
            <w:instrText xml:space="preserve"> HYPERLINK "https://www.imf.org/en/Publications/WEO/weo-database/2021/April" </w:instrText>
          </w:r>
          <w:r>
            <w:fldChar w:fldCharType="separate"/>
          </w:r>
          <w:r>
            <w:rPr>
              <w:rStyle w:val="16"/>
              <w:rFonts w:asciiTheme="majorBidi" w:hAnsiTheme="majorBidi" w:cstheme="majorBidi"/>
              <w:szCs w:val="24"/>
            </w:rPr>
            <w:t>https://www.imf.org/en/Publications/WEO/weo-database/2021/April</w:t>
          </w:r>
          <w:r>
            <w:rPr>
              <w:rStyle w:val="16"/>
              <w:rFonts w:asciiTheme="majorBidi" w:hAnsiTheme="majorBidi" w:cstheme="majorBidi"/>
              <w:szCs w:val="24"/>
            </w:rPr>
            <w:fldChar w:fldCharType="end"/>
          </w:r>
          <w:r>
            <w:rPr>
              <w:rFonts w:asciiTheme="majorBidi" w:hAnsiTheme="majorBidi" w:cstheme="majorBidi"/>
              <w:szCs w:val="24"/>
            </w:rPr>
            <w:t xml:space="preserve"> </w:t>
          </w:r>
        </w:p>
        <w:p>
          <w:pPr>
            <w:spacing w:line="240" w:lineRule="auto"/>
            <w:ind w:left="720" w:hanging="720"/>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Jeffrey K.. Liker and Michael, H., 2008. </w:t>
          </w:r>
          <w:r>
            <w:rPr>
              <w:rFonts w:asciiTheme="majorBidi" w:hAnsiTheme="majorBidi" w:cstheme="majorBidi"/>
              <w:i/>
              <w:iCs/>
              <w:color w:val="222222"/>
              <w:szCs w:val="24"/>
              <w:shd w:val="clear" w:color="auto" w:fill="FFFFFF"/>
            </w:rPr>
            <w:t>Toyota culture: the heart and soul of the Toyota way</w:t>
          </w:r>
          <w:r>
            <w:rPr>
              <w:rFonts w:asciiTheme="majorBidi" w:hAnsiTheme="majorBidi" w:cstheme="majorBidi"/>
              <w:color w:val="222222"/>
              <w:szCs w:val="24"/>
              <w:shd w:val="clear" w:color="auto" w:fill="FFFFFF"/>
            </w:rPr>
            <w:t>. Mc Graw-Hill.</w:t>
          </w:r>
        </w:p>
        <w:p>
          <w:pPr>
            <w:pStyle w:val="17"/>
            <w:ind w:left="567" w:hanging="567"/>
            <w:rPr>
              <w:rFonts w:asciiTheme="majorBidi" w:hAnsiTheme="majorBidi" w:cstheme="majorBidi"/>
            </w:rPr>
          </w:pPr>
          <w:r>
            <w:rPr>
              <w:rFonts w:asciiTheme="majorBidi" w:hAnsiTheme="majorBidi" w:cstheme="majorBidi"/>
            </w:rPr>
            <w:t xml:space="preserve">Jian, Y. (2022) </w:t>
          </w:r>
          <w:r>
            <w:rPr>
              <w:rFonts w:asciiTheme="majorBidi" w:hAnsiTheme="majorBidi" w:cstheme="majorBidi"/>
              <w:i/>
              <w:iCs/>
            </w:rPr>
            <w:t>Toyota shines in a tough year</w:t>
          </w:r>
          <w:r>
            <w:rPr>
              <w:rFonts w:asciiTheme="majorBidi" w:hAnsiTheme="majorBidi" w:cstheme="majorBidi"/>
            </w:rPr>
            <w:t xml:space="preserve">, </w:t>
          </w:r>
          <w:r>
            <w:rPr>
              <w:rFonts w:asciiTheme="majorBidi" w:hAnsiTheme="majorBidi" w:cstheme="majorBidi"/>
              <w:i/>
              <w:iCs/>
            </w:rPr>
            <w:t>Automotive News</w:t>
          </w:r>
          <w:r>
            <w:rPr>
              <w:rFonts w:asciiTheme="majorBidi" w:hAnsiTheme="majorBidi" w:cstheme="majorBidi"/>
            </w:rPr>
            <w:t xml:space="preserve">. Available at: https://www.autonews.com/china-commentary/toyota-shines-tough-china-market (Accessed: April 6, 2023). </w:t>
          </w:r>
        </w:p>
        <w:p>
          <w:pPr>
            <w:spacing w:line="240" w:lineRule="auto"/>
            <w:ind w:left="567" w:hanging="567"/>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Jotov, M.D., 2021. Multinational corporate relations in Japanese company Toyota with overlook on cooperation with Philippines. </w:t>
          </w:r>
          <w:r>
            <w:rPr>
              <w:rFonts w:asciiTheme="majorBidi" w:hAnsiTheme="majorBidi" w:cstheme="majorBidi"/>
              <w:i/>
              <w:iCs/>
              <w:color w:val="222222"/>
              <w:szCs w:val="24"/>
              <w:shd w:val="clear" w:color="auto" w:fill="FFFFFF"/>
            </w:rPr>
            <w:t>Baština</w:t>
          </w:r>
          <w:r>
            <w:rPr>
              <w:rFonts w:asciiTheme="majorBidi" w:hAnsiTheme="majorBidi" w:cstheme="majorBidi"/>
              <w:color w:val="222222"/>
              <w:szCs w:val="24"/>
              <w:shd w:val="clear" w:color="auto" w:fill="FFFFFF"/>
            </w:rPr>
            <w:t>, </w:t>
          </w:r>
          <w:r>
            <w:rPr>
              <w:rFonts w:asciiTheme="majorBidi" w:hAnsiTheme="majorBidi" w:cstheme="majorBidi"/>
              <w:i/>
              <w:iCs/>
              <w:color w:val="222222"/>
              <w:szCs w:val="24"/>
              <w:shd w:val="clear" w:color="auto" w:fill="FFFFFF"/>
            </w:rPr>
            <w:t>31</w:t>
          </w:r>
          <w:r>
            <w:rPr>
              <w:rFonts w:asciiTheme="majorBidi" w:hAnsiTheme="majorBidi" w:cstheme="majorBidi"/>
              <w:color w:val="222222"/>
              <w:szCs w:val="24"/>
              <w:shd w:val="clear" w:color="auto" w:fill="FFFFFF"/>
            </w:rPr>
            <w:t>(53).</w:t>
          </w:r>
        </w:p>
        <w:p>
          <w:pPr>
            <w:pStyle w:val="17"/>
            <w:ind w:left="567" w:hanging="567"/>
            <w:rPr>
              <w:rFonts w:asciiTheme="majorBidi" w:hAnsiTheme="majorBidi" w:cstheme="majorBidi"/>
            </w:rPr>
          </w:pPr>
          <w:r>
            <w:rPr>
              <w:rFonts w:asciiTheme="majorBidi" w:hAnsiTheme="majorBidi" w:cstheme="majorBidi"/>
            </w:rPr>
            <w:t xml:space="preserve">Kajimoto, T. (2020) </w:t>
          </w:r>
          <w:r>
            <w:rPr>
              <w:rFonts w:asciiTheme="majorBidi" w:hAnsiTheme="majorBidi" w:cstheme="majorBidi"/>
              <w:i/>
              <w:iCs/>
            </w:rPr>
            <w:t>Japan to extend tax breaks to green investment, low-emission cars</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https://www.reuters.com/article/us-japan-economy-tax-idUKKBN28J35S (Accessed: April 6, 2023). </w:t>
          </w:r>
        </w:p>
        <w:p>
          <w:pPr>
            <w:spacing w:line="240" w:lineRule="auto"/>
            <w:ind w:left="567" w:hanging="567"/>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Kaneko, H., Vlad, C., Takahashi, T., Ishida, H. and Sugiyama, K., 2021. TOYOTA MOTOR CORPORATION'S LEGACY OF TRANSFORMATION BEHIND THE GLOBAL BUSINESS GROWTH STRATEGY. </w:t>
          </w:r>
          <w:r>
            <w:rPr>
              <w:rFonts w:asciiTheme="majorBidi" w:hAnsiTheme="majorBidi" w:cstheme="majorBidi"/>
              <w:i/>
              <w:iCs/>
              <w:color w:val="222222"/>
              <w:szCs w:val="24"/>
              <w:shd w:val="clear" w:color="auto" w:fill="FFFFFF"/>
            </w:rPr>
            <w:t>Romanian Economic and Business Review</w:t>
          </w:r>
          <w:r>
            <w:rPr>
              <w:rFonts w:asciiTheme="majorBidi" w:hAnsiTheme="majorBidi" w:cstheme="majorBidi"/>
              <w:color w:val="222222"/>
              <w:szCs w:val="24"/>
              <w:shd w:val="clear" w:color="auto" w:fill="FFFFFF"/>
            </w:rPr>
            <w:t>, </w:t>
          </w:r>
          <w:r>
            <w:rPr>
              <w:rFonts w:asciiTheme="majorBidi" w:hAnsiTheme="majorBidi" w:cstheme="majorBidi"/>
              <w:i/>
              <w:iCs/>
              <w:color w:val="222222"/>
              <w:szCs w:val="24"/>
              <w:shd w:val="clear" w:color="auto" w:fill="FFFFFF"/>
            </w:rPr>
            <w:t>16</w:t>
          </w:r>
          <w:r>
            <w:rPr>
              <w:rFonts w:asciiTheme="majorBidi" w:hAnsiTheme="majorBidi" w:cstheme="majorBidi"/>
              <w:color w:val="222222"/>
              <w:szCs w:val="24"/>
              <w:shd w:val="clear" w:color="auto" w:fill="FFFFFF"/>
            </w:rPr>
            <w:t>(2), pp.66-78.</w:t>
          </w:r>
        </w:p>
        <w:p>
          <w:pPr>
            <w:spacing w:line="240" w:lineRule="auto"/>
            <w:ind w:left="567" w:hanging="567"/>
            <w:rPr>
              <w:rFonts w:asciiTheme="majorBidi" w:hAnsiTheme="majorBidi" w:cstheme="majorBidi"/>
              <w:color w:val="222222"/>
              <w:szCs w:val="24"/>
              <w:shd w:val="clear" w:color="auto" w:fill="FFFFFF"/>
            </w:rPr>
          </w:pPr>
          <w:r>
            <w:rPr>
              <w:rFonts w:ascii="Roboto" w:hAnsi="Roboto"/>
              <w:color w:val="2E414F"/>
              <w:sz w:val="21"/>
              <w:szCs w:val="21"/>
              <w:shd w:val="clear" w:color="auto" w:fill="FFFFFF"/>
            </w:rPr>
            <w:t>Kostopoulos, K., Spanos, Y.E., &amp; Prastacos, G.P. (2003). The Resource Based View of the Firm and Innovation: Identification of Critical Linkages.</w:t>
          </w:r>
        </w:p>
        <w:p>
          <w:pPr>
            <w:spacing w:line="240" w:lineRule="auto"/>
            <w:ind w:left="567" w:hanging="567"/>
            <w:rPr>
              <w:rFonts w:asciiTheme="majorBidi" w:hAnsiTheme="majorBidi" w:cstheme="majorBidi"/>
              <w:color w:val="222222"/>
              <w:szCs w:val="24"/>
              <w:shd w:val="clear" w:color="auto" w:fill="FFFFFF"/>
            </w:rPr>
          </w:pPr>
          <w:r>
            <w:rPr>
              <w:rFonts w:ascii="Arial" w:hAnsi="Arial" w:cs="Arial"/>
              <w:color w:val="222222"/>
              <w:sz w:val="20"/>
              <w:szCs w:val="20"/>
              <w:shd w:val="clear" w:color="auto" w:fill="FFFFFF"/>
            </w:rPr>
            <w:t>Liao, K., Marsillac, E., Johnson, E., &amp; Liao, Y. (2011). Global supply chain adaptations to improve financial performance: supply base establishment and logistics integration. </w:t>
          </w:r>
          <w:r>
            <w:rPr>
              <w:rFonts w:ascii="Arial" w:hAnsi="Arial" w:cs="Arial"/>
              <w:i/>
              <w:iCs/>
              <w:color w:val="222222"/>
              <w:sz w:val="20"/>
              <w:szCs w:val="20"/>
              <w:shd w:val="clear" w:color="auto" w:fill="FFFFFF"/>
            </w:rPr>
            <w:t>Journal of Manufacturing Technology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204-222.</w:t>
          </w:r>
        </w:p>
        <w:p>
          <w:pPr>
            <w:spacing w:line="240" w:lineRule="auto"/>
            <w:ind w:left="720" w:hanging="720"/>
            <w:rPr>
              <w:rFonts w:asciiTheme="majorBidi" w:hAnsiTheme="majorBidi" w:cstheme="majorBidi"/>
              <w:szCs w:val="24"/>
            </w:rPr>
          </w:pPr>
          <w:r>
            <w:rPr>
              <w:rFonts w:asciiTheme="majorBidi" w:hAnsiTheme="majorBidi" w:cstheme="majorBidi"/>
              <w:szCs w:val="24"/>
            </w:rPr>
            <w:t>Liker, J. K. (2004). The Toyota way: 14 management principles from the world's greatest manufacturer. McGraw-Hill.</w:t>
          </w:r>
        </w:p>
        <w:p>
          <w:pPr>
            <w:spacing w:line="240" w:lineRule="auto"/>
            <w:ind w:left="720" w:hanging="720"/>
            <w:rPr>
              <w:rFonts w:asciiTheme="majorBidi" w:hAnsiTheme="majorBidi" w:cstheme="majorBidi"/>
              <w:szCs w:val="24"/>
            </w:rPr>
          </w:pPr>
          <w:r>
            <w:rPr>
              <w:rFonts w:asciiTheme="majorBidi" w:hAnsiTheme="majorBidi" w:cstheme="majorBidi"/>
              <w:szCs w:val="24"/>
            </w:rPr>
            <w:t>Liker, J. K., &amp; Hoseus, M. (2020). Toyota Culture: The Heart and Soul of the Toyota Way. McGraw Hill Professional.</w:t>
          </w:r>
        </w:p>
        <w:p>
          <w:pPr>
            <w:spacing w:line="240" w:lineRule="auto"/>
            <w:ind w:left="720" w:hanging="720"/>
            <w:rPr>
              <w:rFonts w:asciiTheme="majorBidi" w:hAnsiTheme="majorBidi" w:cstheme="majorBidi"/>
              <w:szCs w:val="24"/>
            </w:rPr>
          </w:pPr>
          <w:r>
            <w:rPr>
              <w:rFonts w:asciiTheme="majorBidi" w:hAnsiTheme="majorBidi" w:cstheme="majorBidi"/>
              <w:szCs w:val="24"/>
            </w:rPr>
            <w:t>Lincoln, J. R., &amp; Gerlach, M. L. (2004). Japan's network economy: Structure, persistence, and change. Cambridge University Press.</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Luo, Y., Wu, Y., Li, B., Mo, T., Li, Y., Feng, S.P., Qu, J. and Chu, P.K., 2021. Development and application of fuel cells in the automobile industry. </w:t>
          </w:r>
          <w:r>
            <w:rPr>
              <w:rFonts w:asciiTheme="majorBidi" w:hAnsiTheme="majorBidi" w:cstheme="majorBidi"/>
              <w:i/>
              <w:iCs/>
              <w:color w:val="222222"/>
              <w:shd w:val="clear" w:color="auto" w:fill="FFFFFF"/>
            </w:rPr>
            <w:t>Journal of Energy Storage</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42</w:t>
          </w:r>
          <w:r>
            <w:rPr>
              <w:rFonts w:asciiTheme="majorBidi" w:hAnsiTheme="majorBidi" w:cstheme="majorBidi"/>
              <w:color w:val="222222"/>
              <w:shd w:val="clear" w:color="auto" w:fill="FFFFFF"/>
            </w:rPr>
            <w:t>, p.103124.</w:t>
          </w:r>
        </w:p>
        <w:p>
          <w:pPr>
            <w:pStyle w:val="17"/>
            <w:ind w:left="567" w:hanging="567"/>
            <w:rPr>
              <w:rFonts w:asciiTheme="majorBidi" w:hAnsiTheme="majorBidi" w:cstheme="majorBidi"/>
            </w:rPr>
          </w:pPr>
          <w:r>
            <w:rPr>
              <w:rFonts w:asciiTheme="majorBidi" w:hAnsiTheme="majorBidi" w:cstheme="majorBidi"/>
            </w:rPr>
            <w:t xml:space="preserve">Marklines (2021) </w:t>
          </w:r>
          <w:r>
            <w:rPr>
              <w:rFonts w:asciiTheme="majorBidi" w:hAnsiTheme="majorBidi" w:cstheme="majorBidi"/>
              <w:i/>
              <w:iCs/>
            </w:rPr>
            <w:t>China - Flash report, Automotive sales volume, 2021 - MarkLines Automotive Industry Portal</w:t>
          </w:r>
          <w:r>
            <w:rPr>
              <w:rFonts w:asciiTheme="majorBidi" w:hAnsiTheme="majorBidi" w:cstheme="majorBidi"/>
            </w:rPr>
            <w:t xml:space="preserve">, </w:t>
          </w:r>
          <w:r>
            <w:rPr>
              <w:rFonts w:asciiTheme="majorBidi" w:hAnsiTheme="majorBidi" w:cstheme="majorBidi"/>
              <w:i/>
              <w:iCs/>
            </w:rPr>
            <w:t>Marklines</w:t>
          </w:r>
          <w:r>
            <w:rPr>
              <w:rFonts w:asciiTheme="majorBidi" w:hAnsiTheme="majorBidi" w:cstheme="majorBidi"/>
            </w:rPr>
            <w:t xml:space="preserve">. Available at: https://www.marklines.com/en/statistics/flash_sales/automotive-sales-in-china-by-month-2021 (Accessed: April 6, 2023). </w:t>
          </w:r>
        </w:p>
        <w:p>
          <w:pPr>
            <w:pStyle w:val="17"/>
            <w:ind w:left="567" w:hanging="567"/>
            <w:rPr>
              <w:rFonts w:asciiTheme="majorBidi" w:hAnsiTheme="majorBidi" w:cstheme="majorBidi"/>
            </w:rPr>
          </w:pPr>
          <w:r>
            <w:rPr>
              <w:rFonts w:asciiTheme="majorBidi" w:hAnsiTheme="majorBidi" w:cstheme="majorBidi"/>
            </w:rPr>
            <w:t xml:space="preserve">Marklines (2023) </w:t>
          </w:r>
          <w:r>
            <w:rPr>
              <w:rFonts w:asciiTheme="majorBidi" w:hAnsiTheme="majorBidi" w:cstheme="majorBidi"/>
              <w:i/>
              <w:iCs/>
            </w:rPr>
            <w:t>Japan - Flash report, Automotive sales volume, 2023 - MarkLines Automotive Industry Portal</w:t>
          </w:r>
          <w:r>
            <w:rPr>
              <w:rFonts w:asciiTheme="majorBidi" w:hAnsiTheme="majorBidi" w:cstheme="majorBidi"/>
            </w:rPr>
            <w:t xml:space="preserve">, </w:t>
          </w:r>
          <w:r>
            <w:rPr>
              <w:rFonts w:asciiTheme="majorBidi" w:hAnsiTheme="majorBidi" w:cstheme="majorBidi"/>
              <w:i/>
              <w:iCs/>
            </w:rPr>
            <w:t>Marklines</w:t>
          </w:r>
          <w:r>
            <w:rPr>
              <w:rFonts w:asciiTheme="majorBidi" w:hAnsiTheme="majorBidi" w:cstheme="majorBidi"/>
            </w:rPr>
            <w:t xml:space="preserve">. Available at: https://www.marklines.com/en/statistics/flash_sales/automotive-sales-in-japan-by-month (Accessed: April 6, 2023). </w:t>
          </w:r>
        </w:p>
        <w:p>
          <w:pPr>
            <w:pStyle w:val="17"/>
            <w:ind w:left="567" w:hanging="567"/>
            <w:rPr>
              <w:rFonts w:asciiTheme="majorBidi" w:hAnsiTheme="majorBidi" w:cstheme="majorBidi"/>
            </w:rPr>
          </w:pPr>
          <w:r>
            <w:rPr>
              <w:rFonts w:asciiTheme="majorBidi" w:hAnsiTheme="majorBidi" w:cstheme="majorBidi"/>
            </w:rPr>
            <w:t xml:space="preserve">Marshall, A. (2018) </w:t>
          </w:r>
          <w:r>
            <w:rPr>
              <w:rFonts w:asciiTheme="majorBidi" w:hAnsiTheme="majorBidi" w:cstheme="majorBidi"/>
              <w:i/>
              <w:iCs/>
            </w:rPr>
            <w:t>Toyota joins Uber on its tortuous journey to Robocars</w:t>
          </w:r>
          <w:r>
            <w:rPr>
              <w:rFonts w:asciiTheme="majorBidi" w:hAnsiTheme="majorBidi" w:cstheme="majorBidi"/>
            </w:rPr>
            <w:t xml:space="preserve">, </w:t>
          </w:r>
          <w:r>
            <w:rPr>
              <w:rFonts w:asciiTheme="majorBidi" w:hAnsiTheme="majorBidi" w:cstheme="majorBidi"/>
              <w:i/>
              <w:iCs/>
            </w:rPr>
            <w:t>Wired</w:t>
          </w:r>
          <w:r>
            <w:rPr>
              <w:rFonts w:asciiTheme="majorBidi" w:hAnsiTheme="majorBidi" w:cstheme="majorBidi"/>
            </w:rPr>
            <w:t xml:space="preserve">. Conde Nast. Available at: https://www.wired.com/story/toyota-uber-tortuous-journey-self-driving-cars. (Accessed: March 21, 2023). </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Matsuo, M., 2015. Human resource development programs for knowledge transfer and creation: the case of the Toyota Technical Development Corporation. </w:t>
          </w:r>
          <w:r>
            <w:rPr>
              <w:rFonts w:asciiTheme="majorBidi" w:hAnsiTheme="majorBidi" w:cstheme="majorBidi"/>
              <w:i/>
              <w:iCs/>
              <w:color w:val="222222"/>
              <w:shd w:val="clear" w:color="auto" w:fill="FFFFFF"/>
            </w:rPr>
            <w:t>Journal of Knowledge Management</w:t>
          </w:r>
          <w:r>
            <w:rPr>
              <w:rFonts w:asciiTheme="majorBidi" w:hAnsiTheme="majorBidi" w:cstheme="majorBidi"/>
              <w:color w:val="222222"/>
              <w:shd w:val="clear" w:color="auto" w:fill="FFFFFF"/>
            </w:rPr>
            <w:t>.</w:t>
          </w:r>
        </w:p>
        <w:p>
          <w:pPr>
            <w:pStyle w:val="17"/>
            <w:ind w:left="567" w:hanging="567"/>
            <w:rPr>
              <w:rFonts w:asciiTheme="majorBidi" w:hAnsiTheme="majorBidi" w:cstheme="majorBidi"/>
            </w:rPr>
          </w:pPr>
          <w:r>
            <w:rPr>
              <w:rFonts w:asciiTheme="majorBidi" w:hAnsiTheme="majorBidi" w:cstheme="majorBidi"/>
            </w:rPr>
            <w:t xml:space="preserve">Mengnan, J. (2023) </w:t>
          </w:r>
          <w:r>
            <w:rPr>
              <w:rFonts w:asciiTheme="majorBidi" w:hAnsiTheme="majorBidi" w:cstheme="majorBidi"/>
              <w:i/>
              <w:iCs/>
            </w:rPr>
            <w:t>China ends electric vehicle subsidies</w:t>
          </w:r>
          <w:r>
            <w:rPr>
              <w:rFonts w:asciiTheme="majorBidi" w:hAnsiTheme="majorBidi" w:cstheme="majorBidi"/>
            </w:rPr>
            <w:t xml:space="preserve">, </w:t>
          </w:r>
          <w:r>
            <w:rPr>
              <w:rFonts w:asciiTheme="majorBidi" w:hAnsiTheme="majorBidi" w:cstheme="majorBidi"/>
              <w:i/>
              <w:iCs/>
            </w:rPr>
            <w:t>China Dialogue</w:t>
          </w:r>
          <w:r>
            <w:rPr>
              <w:rFonts w:asciiTheme="majorBidi" w:hAnsiTheme="majorBidi" w:cstheme="majorBidi"/>
            </w:rPr>
            <w:t xml:space="preserve">. Available at: https://chinadialogue.net/en/digest/china-ends-electric-vehicle-subsidies. (Accessed: April 6, 2023). </w:t>
          </w:r>
        </w:p>
        <w:p>
          <w:pPr>
            <w:spacing w:line="240" w:lineRule="auto"/>
            <w:ind w:left="720" w:hanging="720"/>
            <w:rPr>
              <w:rFonts w:asciiTheme="majorBidi" w:hAnsiTheme="majorBidi" w:cstheme="majorBidi"/>
              <w:szCs w:val="24"/>
            </w:rPr>
          </w:pPr>
          <w:r>
            <w:rPr>
              <w:rFonts w:asciiTheme="majorBidi" w:hAnsiTheme="majorBidi" w:cstheme="majorBidi"/>
              <w:szCs w:val="24"/>
            </w:rPr>
            <w:t>Monden, Y. (2012). Toyota production system: An integrated approach to just-in-time. CRC Press.</w:t>
          </w:r>
        </w:p>
        <w:p>
          <w:pPr>
            <w:pStyle w:val="17"/>
            <w:ind w:left="567" w:hanging="567"/>
            <w:rPr>
              <w:rFonts w:asciiTheme="majorBidi" w:hAnsiTheme="majorBidi" w:cstheme="majorBidi"/>
            </w:rPr>
          </w:pPr>
          <w:r>
            <w:rPr>
              <w:rFonts w:asciiTheme="majorBidi" w:hAnsiTheme="majorBidi" w:cstheme="majorBidi"/>
              <w:color w:val="222222"/>
              <w:shd w:val="clear" w:color="auto" w:fill="FFFFFF"/>
            </w:rPr>
            <w:t>Monden, Y., 2011. </w:t>
          </w:r>
          <w:r>
            <w:rPr>
              <w:rFonts w:asciiTheme="majorBidi" w:hAnsiTheme="majorBidi" w:cstheme="majorBidi"/>
              <w:i/>
              <w:iCs/>
              <w:color w:val="222222"/>
              <w:shd w:val="clear" w:color="auto" w:fill="FFFFFF"/>
            </w:rPr>
            <w:t>Toyota production system: an integrated approach to just-in-time</w:t>
          </w:r>
          <w:r>
            <w:rPr>
              <w:rFonts w:asciiTheme="majorBidi" w:hAnsiTheme="majorBidi" w:cstheme="majorBidi"/>
              <w:color w:val="222222"/>
              <w:shd w:val="clear" w:color="auto" w:fill="FFFFFF"/>
            </w:rPr>
            <w:t>. CRc Press.</w:t>
          </w:r>
          <w:r>
            <w:rPr>
              <w:rFonts w:asciiTheme="majorBidi" w:hAnsiTheme="majorBidi" w:cstheme="majorBidi"/>
            </w:rPr>
            <w:t>.</w:t>
          </w:r>
        </w:p>
        <w:p>
          <w:pPr>
            <w:spacing w:line="240" w:lineRule="auto"/>
            <w:ind w:left="567" w:hanging="567"/>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Mpehle, Z., Farhansyah, A., Haeruddin, M.I.W. and Haeruddin, M.I.M., 2021. One Way or Another. </w:t>
          </w:r>
          <w:r>
            <w:rPr>
              <w:rFonts w:asciiTheme="majorBidi" w:hAnsiTheme="majorBidi" w:cstheme="majorBidi"/>
              <w:i/>
              <w:iCs/>
              <w:color w:val="222222"/>
              <w:szCs w:val="24"/>
              <w:shd w:val="clear" w:color="auto" w:fill="FFFFFF"/>
            </w:rPr>
            <w:t>International Journal of Educational Administration, Management, and Leadership</w:t>
          </w:r>
          <w:r>
            <w:rPr>
              <w:rFonts w:asciiTheme="majorBidi" w:hAnsiTheme="majorBidi" w:cstheme="majorBidi"/>
              <w:color w:val="222222"/>
              <w:szCs w:val="24"/>
              <w:shd w:val="clear" w:color="auto" w:fill="FFFFFF"/>
            </w:rPr>
            <w:t>, pp.65-70.</w:t>
          </w:r>
        </w:p>
        <w:p>
          <w:pPr>
            <w:spacing w:line="240" w:lineRule="auto"/>
            <w:ind w:left="567" w:hanging="567"/>
            <w:rPr>
              <w:rFonts w:asciiTheme="majorBidi" w:hAnsiTheme="majorBidi" w:cstheme="majorBidi"/>
              <w:color w:val="222222"/>
              <w:szCs w:val="24"/>
              <w:highlight w:val="none"/>
              <w:shd w:val="clear" w:color="auto" w:fill="FFFFFF"/>
            </w:rPr>
          </w:pPr>
          <w:r>
            <w:rPr>
              <w:rFonts w:asciiTheme="majorBidi" w:hAnsiTheme="majorBidi" w:cstheme="majorBidi"/>
              <w:color w:val="222222"/>
              <w:szCs w:val="24"/>
              <w:highlight w:val="none"/>
              <w:shd w:val="clear" w:color="auto" w:fill="FFFFFF"/>
            </w:rPr>
            <w:t>Osterwalder, A., &amp; Pigneur, Y. (2010). Business Model Generation: A Handbook for Visionaries, Game Changers, and Challengers. Hoboken, NJ: John Wiley &amp; Sons</w:t>
          </w:r>
        </w:p>
        <w:p>
          <w:pPr>
            <w:spacing w:line="240" w:lineRule="auto"/>
            <w:ind w:left="720" w:hanging="720"/>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Paul, J., 2018. Toward a'masstige'theory and strategy for marketing. </w:t>
          </w:r>
          <w:r>
            <w:rPr>
              <w:rFonts w:asciiTheme="majorBidi" w:hAnsiTheme="majorBidi" w:cstheme="majorBidi"/>
              <w:i/>
              <w:iCs/>
              <w:color w:val="222222"/>
              <w:szCs w:val="24"/>
              <w:shd w:val="clear" w:color="auto" w:fill="FFFFFF"/>
            </w:rPr>
            <w:t>European Journal of International Management</w:t>
          </w:r>
          <w:r>
            <w:rPr>
              <w:rFonts w:asciiTheme="majorBidi" w:hAnsiTheme="majorBidi" w:cstheme="majorBidi"/>
              <w:color w:val="222222"/>
              <w:szCs w:val="24"/>
              <w:shd w:val="clear" w:color="auto" w:fill="FFFFFF"/>
            </w:rPr>
            <w:t>, </w:t>
          </w:r>
          <w:r>
            <w:rPr>
              <w:rFonts w:asciiTheme="majorBidi" w:hAnsiTheme="majorBidi" w:cstheme="majorBidi"/>
              <w:i/>
              <w:iCs/>
              <w:color w:val="222222"/>
              <w:szCs w:val="24"/>
              <w:shd w:val="clear" w:color="auto" w:fill="FFFFFF"/>
            </w:rPr>
            <w:t>12</w:t>
          </w:r>
          <w:r>
            <w:rPr>
              <w:rFonts w:asciiTheme="majorBidi" w:hAnsiTheme="majorBidi" w:cstheme="majorBidi"/>
              <w:color w:val="222222"/>
              <w:szCs w:val="24"/>
              <w:shd w:val="clear" w:color="auto" w:fill="FFFFFF"/>
            </w:rPr>
            <w:t>(5-6), pp.722-745.</w:t>
          </w:r>
        </w:p>
        <w:p>
          <w:pPr>
            <w:pStyle w:val="17"/>
            <w:ind w:left="567" w:hanging="567"/>
            <w:rPr>
              <w:rFonts w:asciiTheme="majorBidi" w:hAnsiTheme="majorBidi" w:cstheme="majorBidi"/>
            </w:rPr>
          </w:pPr>
          <w:r>
            <w:rPr>
              <w:rFonts w:asciiTheme="majorBidi" w:hAnsiTheme="majorBidi" w:cstheme="majorBidi"/>
            </w:rPr>
            <w:t xml:space="preserve">Potkin, F. (2019) </w:t>
          </w:r>
          <w:r>
            <w:rPr>
              <w:rFonts w:asciiTheme="majorBidi" w:hAnsiTheme="majorBidi" w:cstheme="majorBidi"/>
              <w:i/>
              <w:iCs/>
            </w:rPr>
            <w:t>Toyota to invest $2 billion in developing electric vehicles in Indonesia</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Thomson Reuters. Available at: https://www.reuters.com/article/us-toyota-indonesia-idUSKCN1TS1SL (Accessed: April 6, 2023).</w:t>
          </w:r>
        </w:p>
        <w:p>
          <w:pPr>
            <w:pStyle w:val="17"/>
            <w:ind w:left="567" w:hanging="567"/>
            <w:rPr>
              <w:rFonts w:asciiTheme="majorBidi" w:hAnsiTheme="majorBidi" w:cstheme="majorBidi"/>
              <w:highlight w:val="none"/>
            </w:rPr>
          </w:pPr>
          <w:r>
            <w:rPr>
              <w:rFonts w:asciiTheme="majorBidi" w:hAnsiTheme="majorBidi" w:cstheme="majorBidi"/>
              <w:highlight w:val="none"/>
            </w:rPr>
            <w:t>Porter, M. E. (1980). Competitive Strategy: Techniques for Analyzing Industries and Competitors. New York: Free Press</w:t>
          </w:r>
        </w:p>
        <w:p>
          <w:pPr>
            <w:pStyle w:val="17"/>
            <w:ind w:left="567" w:hanging="567"/>
            <w:rPr>
              <w:rFonts w:asciiTheme="majorBidi" w:hAnsiTheme="majorBidi" w:cstheme="majorBidi"/>
            </w:rPr>
          </w:pPr>
          <w:r>
            <w:rPr>
              <w:rFonts w:asciiTheme="majorBidi" w:hAnsiTheme="majorBidi" w:cstheme="majorBidi"/>
            </w:rPr>
            <w:t xml:space="preserve">Reuters (2018) </w:t>
          </w:r>
          <w:r>
            <w:rPr>
              <w:rFonts w:asciiTheme="majorBidi" w:hAnsiTheme="majorBidi" w:cstheme="majorBidi"/>
              <w:i/>
              <w:iCs/>
            </w:rPr>
            <w:t>Toyota expects record net profit as weaker yen offsets U.S. struggle</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https://www.reuters.com/article/us-toyota-results-idUKKBN1FQ0MM (Accessed: March 13, 2023). </w:t>
          </w:r>
        </w:p>
        <w:p>
          <w:pPr>
            <w:pStyle w:val="17"/>
            <w:ind w:left="567" w:hanging="567"/>
            <w:rPr>
              <w:rFonts w:asciiTheme="majorBidi" w:hAnsiTheme="majorBidi" w:cstheme="majorBidi"/>
            </w:rPr>
          </w:pPr>
          <w:r>
            <w:rPr>
              <w:rFonts w:asciiTheme="majorBidi" w:hAnsiTheme="majorBidi" w:cstheme="majorBidi"/>
            </w:rPr>
            <w:t xml:space="preserve">Reuters (2019) </w:t>
          </w:r>
          <w:r>
            <w:rPr>
              <w:rFonts w:asciiTheme="majorBidi" w:hAnsiTheme="majorBidi" w:cstheme="majorBidi"/>
              <w:i/>
              <w:iCs/>
            </w:rPr>
            <w:t>Toyota, Subaru team up to develop electric SUV in battle against costs</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https://www.reuters.com/article/us-toyota-subaru-idUSKCN1T70DG (Accessed: March 21, 2023). </w:t>
          </w:r>
        </w:p>
        <w:p>
          <w:pPr>
            <w:pStyle w:val="17"/>
            <w:ind w:left="567" w:hanging="567"/>
            <w:rPr>
              <w:rFonts w:asciiTheme="majorBidi" w:hAnsiTheme="majorBidi" w:cstheme="majorBidi"/>
            </w:rPr>
          </w:pPr>
          <w:r>
            <w:rPr>
              <w:rFonts w:asciiTheme="majorBidi" w:hAnsiTheme="majorBidi" w:cstheme="majorBidi"/>
            </w:rPr>
            <w:t xml:space="preserve">Reuters (2021) </w:t>
          </w:r>
          <w:r>
            <w:rPr>
              <w:rFonts w:asciiTheme="majorBidi" w:hAnsiTheme="majorBidi" w:cstheme="majorBidi"/>
              <w:i/>
              <w:iCs/>
            </w:rPr>
            <w:t>Chinese auto recovery on track as vehicle sales rise for Ninth Month</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https://www.reuters.com/world/china/china-auto-sales-head-rebound-this-year-2-fall-2020-2021-01-13/ (Accessed: April 6, 2023). </w:t>
          </w:r>
        </w:p>
        <w:p>
          <w:pPr>
            <w:pStyle w:val="17"/>
            <w:ind w:left="567" w:hanging="567"/>
            <w:rPr>
              <w:rFonts w:asciiTheme="majorBidi" w:hAnsiTheme="majorBidi" w:cstheme="majorBidi"/>
            </w:rPr>
          </w:pPr>
          <w:r>
            <w:rPr>
              <w:rFonts w:asciiTheme="majorBidi" w:hAnsiTheme="majorBidi" w:cstheme="majorBidi"/>
            </w:rPr>
            <w:t xml:space="preserve">Reuters (2021) </w:t>
          </w:r>
          <w:r>
            <w:rPr>
              <w:rFonts w:asciiTheme="majorBidi" w:hAnsiTheme="majorBidi" w:cstheme="majorBidi"/>
              <w:i/>
              <w:iCs/>
            </w:rPr>
            <w:t>Toyota's sales in China rise 11% in 2020 even as Pandemic hits market</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https://www.reuters.com/article/us-toyota-china-idUSKBN29C0OI (Accessed: April 6, 2023). </w:t>
          </w:r>
        </w:p>
        <w:p>
          <w:pPr>
            <w:pStyle w:val="17"/>
            <w:ind w:left="567" w:hanging="567"/>
            <w:rPr>
              <w:rFonts w:asciiTheme="majorBidi" w:hAnsiTheme="majorBidi" w:cstheme="majorBidi"/>
            </w:rPr>
          </w:pPr>
          <w:r>
            <w:rPr>
              <w:rFonts w:asciiTheme="majorBidi" w:hAnsiTheme="majorBidi" w:cstheme="majorBidi"/>
            </w:rPr>
            <w:t xml:space="preserve">Reuters (2022) </w:t>
          </w:r>
          <w:r>
            <w:rPr>
              <w:rFonts w:asciiTheme="majorBidi" w:hAnsiTheme="majorBidi" w:cstheme="majorBidi"/>
              <w:i/>
              <w:iCs/>
            </w:rPr>
            <w:t>Toyota global vehicle output rises 44.3% in Aug to record for Month</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https://www.reuters.com/business/autos-transportation/toyota-global-vehicle-production-up-443-aug-record-that-month-2022-09-29/ (Accessed: March 13, 2023). </w:t>
          </w:r>
        </w:p>
        <w:p>
          <w:pPr>
            <w:pStyle w:val="17"/>
            <w:ind w:left="567" w:hanging="567"/>
            <w:rPr>
              <w:rFonts w:asciiTheme="majorBidi" w:hAnsiTheme="majorBidi" w:cstheme="majorBidi"/>
              <w:highlight w:val="none"/>
            </w:rPr>
          </w:pPr>
          <w:r>
            <w:rPr>
              <w:rFonts w:asciiTheme="majorBidi" w:hAnsiTheme="majorBidi" w:cstheme="majorBidi"/>
              <w:highlight w:val="none"/>
            </w:rPr>
            <w:t>Rugman, A. M., &amp; Collinson, S. (2012). International business. Pearson.</w:t>
          </w:r>
        </w:p>
        <w:p>
          <w:pPr>
            <w:pStyle w:val="17"/>
            <w:ind w:left="567" w:hanging="567"/>
            <w:rPr>
              <w:rFonts w:asciiTheme="majorBidi" w:hAnsiTheme="majorBidi" w:cstheme="majorBidi"/>
            </w:rPr>
          </w:pPr>
          <w:r>
            <w:rPr>
              <w:rFonts w:asciiTheme="majorBidi" w:hAnsiTheme="majorBidi" w:cstheme="majorBidi"/>
            </w:rPr>
            <w:t xml:space="preserve">Shah, A. (2015) </w:t>
          </w:r>
          <w:r>
            <w:rPr>
              <w:rFonts w:asciiTheme="majorBidi" w:hAnsiTheme="majorBidi" w:cstheme="majorBidi"/>
              <w:i/>
              <w:iCs/>
            </w:rPr>
            <w:t>In India, where no-frills cars rule, Toyota aims upmarket</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https://www.reuters.com/article/autos-india-toyota-idINKCN0T72YA20151118 (Accessed: March 21, 2023). </w:t>
          </w:r>
        </w:p>
        <w:p>
          <w:pPr>
            <w:pStyle w:val="17"/>
            <w:ind w:left="567" w:hanging="567"/>
            <w:rPr>
              <w:rFonts w:asciiTheme="majorBidi" w:hAnsiTheme="majorBidi" w:cstheme="majorBidi"/>
            </w:rPr>
          </w:pPr>
          <w:r>
            <w:rPr>
              <w:rFonts w:asciiTheme="majorBidi" w:hAnsiTheme="majorBidi" w:cstheme="majorBidi"/>
            </w:rPr>
            <w:t xml:space="preserve">Shih, W. (2022) </w:t>
          </w:r>
          <w:r>
            <w:rPr>
              <w:rFonts w:asciiTheme="majorBidi" w:hAnsiTheme="majorBidi" w:cstheme="majorBidi"/>
              <w:i/>
              <w:iCs/>
            </w:rPr>
            <w:t>What really makes Toyota's Production System Resilient</w:t>
          </w:r>
          <w:r>
            <w:rPr>
              <w:rFonts w:asciiTheme="majorBidi" w:hAnsiTheme="majorBidi" w:cstheme="majorBidi"/>
            </w:rPr>
            <w:t xml:space="preserve">, </w:t>
          </w:r>
          <w:r>
            <w:rPr>
              <w:rFonts w:asciiTheme="majorBidi" w:hAnsiTheme="majorBidi" w:cstheme="majorBidi"/>
              <w:i/>
              <w:iCs/>
            </w:rPr>
            <w:t>Harvard Business Review</w:t>
          </w:r>
          <w:r>
            <w:rPr>
              <w:rFonts w:asciiTheme="majorBidi" w:hAnsiTheme="majorBidi" w:cstheme="majorBidi"/>
            </w:rPr>
            <w:t xml:space="preserve">. Available at: https://hbr.org/2022/11/what-really-makes-toyotas-production-system-resilient (Accessed: March 21, 2023). </w:t>
          </w:r>
        </w:p>
        <w:p>
          <w:pPr>
            <w:spacing w:line="240" w:lineRule="auto"/>
            <w:ind w:left="720" w:hanging="720"/>
            <w:rPr>
              <w:rFonts w:asciiTheme="majorBidi" w:hAnsiTheme="majorBidi" w:cstheme="majorBidi"/>
              <w:szCs w:val="24"/>
            </w:rPr>
          </w:pPr>
          <w:r>
            <w:rPr>
              <w:rFonts w:asciiTheme="majorBidi" w:hAnsiTheme="majorBidi" w:cstheme="majorBidi"/>
              <w:color w:val="222222"/>
              <w:szCs w:val="24"/>
              <w:shd w:val="clear" w:color="auto" w:fill="FFFFFF"/>
            </w:rPr>
            <w:t>Shih, W.C., 2014. What it takes to reshore manufacturing successfully. </w:t>
          </w:r>
          <w:r>
            <w:rPr>
              <w:rFonts w:asciiTheme="majorBidi" w:hAnsiTheme="majorBidi" w:cstheme="majorBidi"/>
              <w:i/>
              <w:iCs/>
              <w:color w:val="222222"/>
              <w:szCs w:val="24"/>
              <w:shd w:val="clear" w:color="auto" w:fill="FFFFFF"/>
            </w:rPr>
            <w:t>MIT sloan management review</w:t>
          </w:r>
          <w:r>
            <w:rPr>
              <w:rFonts w:asciiTheme="majorBidi" w:hAnsiTheme="majorBidi" w:cstheme="majorBidi"/>
              <w:color w:val="222222"/>
              <w:szCs w:val="24"/>
              <w:shd w:val="clear" w:color="auto" w:fill="FFFFFF"/>
            </w:rPr>
            <w:t>.</w:t>
          </w:r>
          <w:r>
            <w:rPr>
              <w:rFonts w:asciiTheme="majorBidi" w:hAnsiTheme="majorBidi" w:cstheme="majorBidi"/>
              <w:szCs w:val="24"/>
            </w:rPr>
            <w:t>.</w:t>
          </w:r>
        </w:p>
        <w:p>
          <w:pPr>
            <w:pStyle w:val="17"/>
            <w:ind w:left="567" w:hanging="567"/>
            <w:rPr>
              <w:rFonts w:asciiTheme="majorBidi" w:hAnsiTheme="majorBidi" w:cstheme="majorBidi"/>
            </w:rPr>
          </w:pPr>
          <w:r>
            <w:rPr>
              <w:rFonts w:asciiTheme="majorBidi" w:hAnsiTheme="majorBidi" w:cstheme="majorBidi"/>
            </w:rPr>
            <w:t xml:space="preserve">Shirouzu, N. (2018) </w:t>
          </w:r>
          <w:r>
            <w:rPr>
              <w:rFonts w:asciiTheme="majorBidi" w:hAnsiTheme="majorBidi" w:cstheme="majorBidi"/>
              <w:i/>
              <w:iCs/>
            </w:rPr>
            <w:t>Toyota to increase production capacity in China by 20 percent: Source</w:t>
          </w:r>
          <w:r>
            <w:rPr>
              <w:rFonts w:asciiTheme="majorBidi" w:hAnsiTheme="majorBidi" w:cstheme="majorBidi"/>
            </w:rPr>
            <w:t xml:space="preserve">, </w:t>
          </w:r>
          <w:r>
            <w:rPr>
              <w:rFonts w:asciiTheme="majorBidi" w:hAnsiTheme="majorBidi" w:cstheme="majorBidi"/>
              <w:i/>
              <w:iCs/>
            </w:rPr>
            <w:t>Reuters</w:t>
          </w:r>
          <w:r>
            <w:rPr>
              <w:rFonts w:asciiTheme="majorBidi" w:hAnsiTheme="majorBidi" w:cstheme="majorBidi"/>
            </w:rPr>
            <w:t xml:space="preserve">. Thomson Reuters. Available at: https://www.reuters.com/article/us-toyota-china-idUSKBN1L20MD (Accessed: April 6, 2023).  </w:t>
          </w:r>
        </w:p>
        <w:p>
          <w:pPr>
            <w:spacing w:line="240" w:lineRule="auto"/>
            <w:ind w:left="720" w:hanging="720"/>
            <w:rPr>
              <w:rFonts w:asciiTheme="majorBidi" w:hAnsiTheme="majorBidi" w:cstheme="majorBidi"/>
              <w:szCs w:val="24"/>
            </w:rPr>
          </w:pPr>
          <w:r>
            <w:rPr>
              <w:rFonts w:asciiTheme="majorBidi" w:hAnsiTheme="majorBidi" w:cstheme="majorBidi"/>
              <w:color w:val="222222"/>
              <w:szCs w:val="24"/>
              <w:shd w:val="clear" w:color="auto" w:fill="FFFFFF"/>
            </w:rPr>
            <w:t>Somlev, I.P. and Hoshino, Y., 2005. Influence of location factors on establishment and ownership of foreign investments: The case of the Japanese manufacturing firms in Europe. </w:t>
          </w:r>
          <w:r>
            <w:rPr>
              <w:rFonts w:asciiTheme="majorBidi" w:hAnsiTheme="majorBidi" w:cstheme="majorBidi"/>
              <w:i/>
              <w:iCs/>
              <w:color w:val="222222"/>
              <w:szCs w:val="24"/>
              <w:shd w:val="clear" w:color="auto" w:fill="FFFFFF"/>
            </w:rPr>
            <w:t>International Business Review</w:t>
          </w:r>
          <w:r>
            <w:rPr>
              <w:rFonts w:asciiTheme="majorBidi" w:hAnsiTheme="majorBidi" w:cstheme="majorBidi"/>
              <w:color w:val="222222"/>
              <w:szCs w:val="24"/>
              <w:shd w:val="clear" w:color="auto" w:fill="FFFFFF"/>
            </w:rPr>
            <w:t>, </w:t>
          </w:r>
          <w:r>
            <w:rPr>
              <w:rFonts w:asciiTheme="majorBidi" w:hAnsiTheme="majorBidi" w:cstheme="majorBidi"/>
              <w:i/>
              <w:iCs/>
              <w:color w:val="222222"/>
              <w:szCs w:val="24"/>
              <w:shd w:val="clear" w:color="auto" w:fill="FFFFFF"/>
            </w:rPr>
            <w:t>14</w:t>
          </w:r>
          <w:r>
            <w:rPr>
              <w:rFonts w:asciiTheme="majorBidi" w:hAnsiTheme="majorBidi" w:cstheme="majorBidi"/>
              <w:color w:val="222222"/>
              <w:szCs w:val="24"/>
              <w:shd w:val="clear" w:color="auto" w:fill="FFFFFF"/>
            </w:rPr>
            <w:t>(5), pp.577-598</w:t>
          </w:r>
          <w:r>
            <w:rPr>
              <w:rFonts w:asciiTheme="majorBidi" w:hAnsiTheme="majorBidi" w:cstheme="majorBidi"/>
              <w:szCs w:val="24"/>
            </w:rPr>
            <w:t>.</w:t>
          </w:r>
        </w:p>
        <w:p>
          <w:pPr>
            <w:pStyle w:val="17"/>
            <w:ind w:left="567" w:hanging="567"/>
            <w:rPr>
              <w:rFonts w:asciiTheme="majorBidi" w:hAnsiTheme="majorBidi" w:cstheme="majorBidi"/>
            </w:rPr>
          </w:pPr>
          <w:r>
            <w:rPr>
              <w:rFonts w:asciiTheme="majorBidi" w:hAnsiTheme="majorBidi" w:cstheme="majorBidi"/>
            </w:rPr>
            <w:t xml:space="preserve">Statista (2022) </w:t>
          </w:r>
          <w:r>
            <w:rPr>
              <w:rFonts w:asciiTheme="majorBidi" w:hAnsiTheme="majorBidi" w:cstheme="majorBidi"/>
              <w:i/>
              <w:iCs/>
            </w:rPr>
            <w:t>Topic: Automotive sales industry in China</w:t>
          </w:r>
          <w:r>
            <w:rPr>
              <w:rFonts w:asciiTheme="majorBidi" w:hAnsiTheme="majorBidi" w:cstheme="majorBidi"/>
            </w:rPr>
            <w:t xml:space="preserve">, </w:t>
          </w:r>
          <w:r>
            <w:rPr>
              <w:rFonts w:asciiTheme="majorBidi" w:hAnsiTheme="majorBidi" w:cstheme="majorBidi"/>
              <w:i/>
              <w:iCs/>
            </w:rPr>
            <w:t>Statista</w:t>
          </w:r>
          <w:r>
            <w:rPr>
              <w:rFonts w:asciiTheme="majorBidi" w:hAnsiTheme="majorBidi" w:cstheme="majorBidi"/>
            </w:rPr>
            <w:t xml:space="preserve">. Available at: https://www.statista.com/topics/1100/automobile-sales-in-china/ (Accessed: April 6, 2023). </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Statista. (2021). Annual automobile sales in China from 2009 to 2020. Retrieved from </w:t>
          </w:r>
          <w:r>
            <w:fldChar w:fldCharType="begin"/>
          </w:r>
          <w:r>
            <w:instrText xml:space="preserve"> HYPERLINK "https://www.statista.com/statistics/233743/vehicle-sales-in-china/" </w:instrText>
          </w:r>
          <w:r>
            <w:fldChar w:fldCharType="separate"/>
          </w:r>
          <w:r>
            <w:rPr>
              <w:rStyle w:val="16"/>
              <w:rFonts w:asciiTheme="majorBidi" w:hAnsiTheme="majorBidi" w:cstheme="majorBidi"/>
              <w:szCs w:val="24"/>
            </w:rPr>
            <w:t>https://www.statista.com/statistics/233743/vehicle-sales-in-china/</w:t>
          </w:r>
          <w:r>
            <w:rPr>
              <w:rStyle w:val="16"/>
              <w:rFonts w:asciiTheme="majorBidi" w:hAnsiTheme="majorBidi" w:cstheme="majorBidi"/>
              <w:szCs w:val="24"/>
            </w:rPr>
            <w:fldChar w:fldCharType="end"/>
          </w:r>
          <w:r>
            <w:rPr>
              <w:rFonts w:asciiTheme="majorBidi" w:hAnsiTheme="majorBidi" w:cstheme="majorBidi"/>
              <w:szCs w:val="24"/>
            </w:rPr>
            <w:t xml:space="preserve"> </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Statista. (2021). Market share of leading automobile manufacturers in China in 2020. Retrieved from </w:t>
          </w:r>
          <w:r>
            <w:fldChar w:fldCharType="begin"/>
          </w:r>
          <w:r>
            <w:instrText xml:space="preserve"> HYPERLINK "https://www.statista.com/statistics/277931/market-share-of-leading-automakers-in-china/" </w:instrText>
          </w:r>
          <w:r>
            <w:fldChar w:fldCharType="separate"/>
          </w:r>
          <w:r>
            <w:rPr>
              <w:rStyle w:val="16"/>
              <w:rFonts w:asciiTheme="majorBidi" w:hAnsiTheme="majorBidi" w:cstheme="majorBidi"/>
              <w:szCs w:val="24"/>
            </w:rPr>
            <w:t>https://www.statista.com/statistics/277931/market-share-of-leading-automakers-in-china/</w:t>
          </w:r>
          <w:r>
            <w:rPr>
              <w:rStyle w:val="16"/>
              <w:rFonts w:asciiTheme="majorBidi" w:hAnsiTheme="majorBidi" w:cstheme="majorBidi"/>
              <w:szCs w:val="24"/>
            </w:rPr>
            <w:fldChar w:fldCharType="end"/>
          </w:r>
          <w:r>
            <w:rPr>
              <w:rFonts w:asciiTheme="majorBidi" w:hAnsiTheme="majorBidi" w:cstheme="majorBidi"/>
              <w:szCs w:val="24"/>
            </w:rPr>
            <w:t xml:space="preserve"> </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Statista. (2021). Toyota - Statistics &amp; Facts. Retrieved from </w:t>
          </w:r>
          <w:r>
            <w:fldChar w:fldCharType="begin"/>
          </w:r>
          <w:r>
            <w:instrText xml:space="preserve"> HYPERLINK "https://www.statista.com/topics/1489/toyota/" </w:instrText>
          </w:r>
          <w:r>
            <w:fldChar w:fldCharType="separate"/>
          </w:r>
          <w:r>
            <w:rPr>
              <w:rStyle w:val="16"/>
              <w:rFonts w:asciiTheme="majorBidi" w:hAnsiTheme="majorBidi" w:cstheme="majorBidi"/>
              <w:szCs w:val="24"/>
            </w:rPr>
            <w:t>https://www.statista.com/topics/1489/toyota/</w:t>
          </w:r>
          <w:r>
            <w:rPr>
              <w:rStyle w:val="16"/>
              <w:rFonts w:asciiTheme="majorBidi" w:hAnsiTheme="majorBidi" w:cstheme="majorBidi"/>
              <w:szCs w:val="24"/>
            </w:rPr>
            <w:fldChar w:fldCharType="end"/>
          </w:r>
          <w:r>
            <w:rPr>
              <w:rFonts w:asciiTheme="majorBidi" w:hAnsiTheme="majorBidi" w:cstheme="majorBidi"/>
              <w:szCs w:val="24"/>
            </w:rPr>
            <w:t xml:space="preserve"> </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Statista. (2021a). Annual automobile sales in China from 2009 to 2020. Retrieved from </w:t>
          </w:r>
          <w:r>
            <w:fldChar w:fldCharType="begin"/>
          </w:r>
          <w:r>
            <w:instrText xml:space="preserve"> HYPERLINK "https://www.statista.com/statistics/233743/vehicle-sales-in-china/" </w:instrText>
          </w:r>
          <w:r>
            <w:fldChar w:fldCharType="separate"/>
          </w:r>
          <w:r>
            <w:rPr>
              <w:rStyle w:val="16"/>
              <w:rFonts w:asciiTheme="majorBidi" w:hAnsiTheme="majorBidi" w:cstheme="majorBidi"/>
              <w:szCs w:val="24"/>
            </w:rPr>
            <w:t>https://www.statista.com/statistics/233743/vehicle-sales-in-china/</w:t>
          </w:r>
          <w:r>
            <w:rPr>
              <w:rStyle w:val="16"/>
              <w:rFonts w:asciiTheme="majorBidi" w:hAnsiTheme="majorBidi" w:cstheme="majorBidi"/>
              <w:szCs w:val="24"/>
            </w:rPr>
            <w:fldChar w:fldCharType="end"/>
          </w:r>
          <w:r>
            <w:rPr>
              <w:rFonts w:asciiTheme="majorBidi" w:hAnsiTheme="majorBidi" w:cstheme="majorBidi"/>
              <w:szCs w:val="24"/>
            </w:rPr>
            <w:t xml:space="preserve"> </w:t>
          </w:r>
        </w:p>
        <w:p>
          <w:pPr>
            <w:pStyle w:val="17"/>
            <w:ind w:left="567" w:hanging="567"/>
            <w:rPr>
              <w:rFonts w:asciiTheme="majorBidi" w:hAnsiTheme="majorBidi" w:cstheme="majorBidi"/>
              <w:color w:val="222222"/>
              <w:shd w:val="clear" w:color="auto" w:fill="FFFFFF"/>
            </w:rPr>
          </w:pPr>
          <w:r>
            <w:rPr>
              <w:rFonts w:asciiTheme="majorBidi" w:hAnsiTheme="majorBidi" w:cstheme="majorBidi"/>
              <w:color w:val="222222"/>
              <w:shd w:val="clear" w:color="auto" w:fill="FFFFFF"/>
            </w:rPr>
            <w:t>Taher, G., 2021. E-commerce: advantages and limitations. </w:t>
          </w:r>
          <w:r>
            <w:rPr>
              <w:rFonts w:asciiTheme="majorBidi" w:hAnsiTheme="majorBidi" w:cstheme="majorBidi"/>
              <w:i/>
              <w:iCs/>
              <w:color w:val="222222"/>
              <w:shd w:val="clear" w:color="auto" w:fill="FFFFFF"/>
            </w:rPr>
            <w:t>International Journal of Academic Research in Accounting Finance and Management Sciences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11</w:t>
          </w:r>
          <w:r>
            <w:rPr>
              <w:rFonts w:asciiTheme="majorBidi" w:hAnsiTheme="majorBidi" w:cstheme="majorBidi"/>
              <w:color w:val="222222"/>
              <w:shd w:val="clear" w:color="auto" w:fill="FFFFFF"/>
            </w:rPr>
            <w:t>(1), pp.153-165.</w:t>
          </w:r>
        </w:p>
        <w:p>
          <w:pPr>
            <w:spacing w:line="240" w:lineRule="auto"/>
            <w:ind w:left="720" w:hanging="720"/>
            <w:rPr>
              <w:rFonts w:asciiTheme="majorBidi" w:hAnsiTheme="majorBidi" w:cstheme="majorBidi"/>
              <w:szCs w:val="24"/>
            </w:rPr>
          </w:pPr>
          <w:r>
            <w:rPr>
              <w:rFonts w:asciiTheme="majorBidi" w:hAnsiTheme="majorBidi" w:cstheme="majorBidi"/>
              <w:szCs w:val="24"/>
            </w:rPr>
            <w:t>Takeuchi, H., Osono, E., &amp; Shimizu, N. (2008). The contradictions that drive Toyota's success. Harvard Business Review, 86(6), 96-104.</w:t>
          </w:r>
        </w:p>
        <w:p>
          <w:pPr>
            <w:pStyle w:val="17"/>
            <w:ind w:left="567" w:hanging="567"/>
            <w:rPr>
              <w:rFonts w:asciiTheme="majorBidi" w:hAnsiTheme="majorBidi" w:cstheme="majorBidi"/>
            </w:rPr>
          </w:pPr>
          <w:r>
            <w:rPr>
              <w:rFonts w:asciiTheme="majorBidi" w:hAnsiTheme="majorBidi" w:cstheme="majorBidi"/>
            </w:rPr>
            <w:t xml:space="preserve">Toyota (2013) </w:t>
          </w:r>
          <w:r>
            <w:rPr>
              <w:rFonts w:asciiTheme="majorBidi" w:hAnsiTheme="majorBidi" w:cstheme="majorBidi"/>
              <w:i/>
              <w:iCs/>
            </w:rPr>
            <w:t>Toyota's hybrid success story</w:t>
          </w:r>
          <w:r>
            <w:rPr>
              <w:rFonts w:asciiTheme="majorBidi" w:hAnsiTheme="majorBidi" w:cstheme="majorBidi"/>
            </w:rPr>
            <w:t xml:space="preserve">, </w:t>
          </w:r>
          <w:r>
            <w:rPr>
              <w:rFonts w:asciiTheme="majorBidi" w:hAnsiTheme="majorBidi" w:cstheme="majorBidi"/>
              <w:i/>
              <w:iCs/>
            </w:rPr>
            <w:t>Toyota Media Site</w:t>
          </w:r>
          <w:r>
            <w:rPr>
              <w:rFonts w:asciiTheme="majorBidi" w:hAnsiTheme="majorBidi" w:cstheme="majorBidi"/>
            </w:rPr>
            <w:t xml:space="preserve">. Available at: https://media.toyota.co.uk/toyotas-hybrid-success-story/ (Accessed: March 13, 2023). </w:t>
          </w:r>
        </w:p>
        <w:p>
          <w:pPr>
            <w:pStyle w:val="17"/>
            <w:ind w:left="567" w:hanging="567"/>
            <w:rPr>
              <w:rFonts w:asciiTheme="majorBidi" w:hAnsiTheme="majorBidi" w:cstheme="majorBidi"/>
            </w:rPr>
          </w:pPr>
          <w:r>
            <w:rPr>
              <w:rFonts w:asciiTheme="majorBidi" w:hAnsiTheme="majorBidi" w:cstheme="majorBidi"/>
            </w:rPr>
            <w:t xml:space="preserve">Toyota (2018) </w:t>
          </w:r>
          <w:r>
            <w:rPr>
              <w:rFonts w:asciiTheme="majorBidi" w:hAnsiTheme="majorBidi" w:cstheme="majorBidi"/>
              <w:i/>
              <w:iCs/>
            </w:rPr>
            <w:t>Toyota Environmental Challenge 2050</w:t>
          </w:r>
          <w:r>
            <w:rPr>
              <w:rFonts w:asciiTheme="majorBidi" w:hAnsiTheme="majorBidi" w:cstheme="majorBidi"/>
            </w:rPr>
            <w:t xml:space="preserve">, </w:t>
          </w:r>
          <w:r>
            <w:rPr>
              <w:rFonts w:asciiTheme="majorBidi" w:hAnsiTheme="majorBidi" w:cstheme="majorBidi"/>
              <w:i/>
              <w:iCs/>
            </w:rPr>
            <w:t>Toyota</w:t>
          </w:r>
          <w:r>
            <w:rPr>
              <w:rFonts w:asciiTheme="majorBidi" w:hAnsiTheme="majorBidi" w:cstheme="majorBidi"/>
            </w:rPr>
            <w:t xml:space="preserve">. Available at: https://global.toyota/pages/global_toyota/sustainability/report/er/er18_07-13_en.pdf (Accessed: March 13, 2023). </w:t>
          </w:r>
        </w:p>
        <w:p>
          <w:pPr>
            <w:pStyle w:val="17"/>
            <w:ind w:left="567" w:hanging="567"/>
            <w:rPr>
              <w:rFonts w:asciiTheme="majorBidi" w:hAnsiTheme="majorBidi" w:cstheme="majorBidi"/>
            </w:rPr>
          </w:pPr>
          <w:r>
            <w:rPr>
              <w:rFonts w:asciiTheme="majorBidi" w:hAnsiTheme="majorBidi" w:cstheme="majorBidi"/>
            </w:rPr>
            <w:t xml:space="preserve">Toyota (2022) </w:t>
          </w:r>
          <w:r>
            <w:rPr>
              <w:rFonts w:asciiTheme="majorBidi" w:hAnsiTheme="majorBidi" w:cstheme="majorBidi"/>
              <w:i/>
              <w:iCs/>
            </w:rPr>
            <w:t>Toyota set new standards in 2021</w:t>
          </w:r>
          <w:r>
            <w:rPr>
              <w:rFonts w:asciiTheme="majorBidi" w:hAnsiTheme="majorBidi" w:cstheme="majorBidi"/>
            </w:rPr>
            <w:t xml:space="preserve">, </w:t>
          </w:r>
          <w:r>
            <w:rPr>
              <w:rFonts w:asciiTheme="majorBidi" w:hAnsiTheme="majorBidi" w:cstheme="majorBidi"/>
              <w:i/>
              <w:iCs/>
            </w:rPr>
            <w:t>Toyota USA Newsroom</w:t>
          </w:r>
          <w:r>
            <w:rPr>
              <w:rFonts w:asciiTheme="majorBidi" w:hAnsiTheme="majorBidi" w:cstheme="majorBidi"/>
            </w:rPr>
            <w:t xml:space="preserve">. Available at: https://pressroom.toyota.com/toyota-set-new-standards-in-2021/ (Accessed: March 21, 2023). </w:t>
          </w:r>
        </w:p>
        <w:p>
          <w:pPr>
            <w:pStyle w:val="17"/>
            <w:ind w:left="567" w:hanging="567"/>
            <w:rPr>
              <w:rFonts w:asciiTheme="majorBidi" w:hAnsiTheme="majorBidi" w:cstheme="majorBidi"/>
            </w:rPr>
          </w:pPr>
          <w:r>
            <w:rPr>
              <w:rFonts w:asciiTheme="majorBidi" w:hAnsiTheme="majorBidi" w:cstheme="majorBidi"/>
            </w:rPr>
            <w:t xml:space="preserve">Toyota (2022) </w:t>
          </w:r>
          <w:r>
            <w:rPr>
              <w:rFonts w:asciiTheme="majorBidi" w:hAnsiTheme="majorBidi" w:cstheme="majorBidi"/>
              <w:i/>
              <w:iCs/>
            </w:rPr>
            <w:t>Toyota</w:t>
          </w:r>
          <w:r>
            <w:rPr>
              <w:rFonts w:asciiTheme="majorBidi" w:hAnsiTheme="majorBidi" w:cstheme="majorBidi"/>
            </w:rPr>
            <w:t xml:space="preserve">, </w:t>
          </w:r>
          <w:r>
            <w:rPr>
              <w:rFonts w:asciiTheme="majorBidi" w:hAnsiTheme="majorBidi" w:cstheme="majorBidi"/>
              <w:i/>
              <w:iCs/>
            </w:rPr>
            <w:t>Toyota in the World</w:t>
          </w:r>
          <w:r>
            <w:rPr>
              <w:rFonts w:asciiTheme="majorBidi" w:hAnsiTheme="majorBidi" w:cstheme="majorBidi"/>
            </w:rPr>
            <w:t xml:space="preserve">. Available at: https://www.toyotauk.com/about-toyota/toyota-in-the-world (Accessed: March 21, 2023). </w:t>
          </w:r>
        </w:p>
        <w:p>
          <w:pPr>
            <w:pStyle w:val="17"/>
            <w:ind w:left="567" w:hanging="567"/>
            <w:rPr>
              <w:rFonts w:asciiTheme="majorBidi" w:hAnsiTheme="majorBidi" w:cstheme="majorBidi"/>
            </w:rPr>
          </w:pPr>
          <w:r>
            <w:rPr>
              <w:rFonts w:asciiTheme="majorBidi" w:hAnsiTheme="majorBidi" w:cstheme="majorBidi"/>
            </w:rPr>
            <w:t xml:space="preserve">Toyota (2023) </w:t>
          </w:r>
          <w:r>
            <w:rPr>
              <w:rFonts w:asciiTheme="majorBidi" w:hAnsiTheme="majorBidi" w:cstheme="majorBidi"/>
              <w:i/>
              <w:iCs/>
            </w:rPr>
            <w:t>Lexus, Toyota recognized in J.D. Power 2023 U.S. vehicle dependability study results</w:t>
          </w:r>
          <w:r>
            <w:rPr>
              <w:rFonts w:asciiTheme="majorBidi" w:hAnsiTheme="majorBidi" w:cstheme="majorBidi"/>
            </w:rPr>
            <w:t xml:space="preserve">, </w:t>
          </w:r>
          <w:r>
            <w:rPr>
              <w:rFonts w:asciiTheme="majorBidi" w:hAnsiTheme="majorBidi" w:cstheme="majorBidi"/>
              <w:i/>
              <w:iCs/>
            </w:rPr>
            <w:t>Toyota USA Newsroom</w:t>
          </w:r>
          <w:r>
            <w:rPr>
              <w:rFonts w:asciiTheme="majorBidi" w:hAnsiTheme="majorBidi" w:cstheme="majorBidi"/>
            </w:rPr>
            <w:t xml:space="preserve">. Available at: https://pressroom.toyota.com/lexus-toyota-recognized-in-j-d-power-2023-u-s-vehicle-dependability-study-results/ (Accessed: March 13, 2023). </w:t>
          </w:r>
        </w:p>
        <w:p>
          <w:pPr>
            <w:pStyle w:val="17"/>
            <w:ind w:left="567" w:hanging="567"/>
            <w:rPr>
              <w:rFonts w:asciiTheme="majorBidi" w:hAnsiTheme="majorBidi" w:cstheme="majorBidi"/>
            </w:rPr>
          </w:pPr>
          <w:r>
            <w:rPr>
              <w:rFonts w:asciiTheme="majorBidi" w:hAnsiTheme="majorBidi" w:cstheme="majorBidi"/>
            </w:rPr>
            <w:t xml:space="preserve">Toyota Europe (2021) </w:t>
          </w:r>
          <w:r>
            <w:rPr>
              <w:rFonts w:asciiTheme="majorBidi" w:hAnsiTheme="majorBidi" w:cstheme="majorBidi"/>
              <w:i/>
              <w:iCs/>
            </w:rPr>
            <w:t>The New Toyota Mirai</w:t>
          </w:r>
          <w:r>
            <w:rPr>
              <w:rFonts w:asciiTheme="majorBidi" w:hAnsiTheme="majorBidi" w:cstheme="majorBidi"/>
            </w:rPr>
            <w:t xml:space="preserve">, </w:t>
          </w:r>
          <w:r>
            <w:rPr>
              <w:rFonts w:asciiTheme="majorBidi" w:hAnsiTheme="majorBidi" w:cstheme="majorBidi"/>
              <w:i/>
              <w:iCs/>
            </w:rPr>
            <w:t>Toyota Newsroom</w:t>
          </w:r>
          <w:r>
            <w:rPr>
              <w:rFonts w:asciiTheme="majorBidi" w:hAnsiTheme="majorBidi" w:cstheme="majorBidi"/>
            </w:rPr>
            <w:t xml:space="preserve">. Toyota Europe. Available at: https://newsroom.toyota.eu/the-new-toyota-mirai/ (Accessed: March 21, 2023). </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Community and Culture. Retrieved from https://global.toyota/en/sustainability/community/</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Compliance. Retrieved from https://global.toyota/en/company/compliance/</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Corporate Social Responsibility. Retrieved from https://global.toyota/en/sustainability/csr/</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Environmental Activities. Retrieved from https://global.toyota/en/sustainability/environment/</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Manufacturing and Sales of Vehicles by Region. Retrieved from https://global.toyota/en/company/profile/production-sales-locations/</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and BYD to Establish Joint Company for Battery Electric Vehicle Research and Development in China. Retrieved from https://global.toyota/en/newsroom/toyota/</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and the Wildlife Conservation Society Collaborate on Forest Conservation in APAC. Retrieved from https://global.toyota/en/newsroom/toyota/</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Toyota Global. (2021). Toyota and Uber Agree to Explore Collaboration, Starting with Trials in Countries where Ridesharing is Expanding. Retrieved from </w:t>
          </w:r>
          <w:r>
            <w:fldChar w:fldCharType="begin"/>
          </w:r>
          <w:r>
            <w:instrText xml:space="preserve"> HYPERLINK "https://global.toyota/en/newsroom/toyota/18176838.html" </w:instrText>
          </w:r>
          <w:r>
            <w:fldChar w:fldCharType="separate"/>
          </w:r>
          <w:r>
            <w:rPr>
              <w:rStyle w:val="16"/>
              <w:rFonts w:asciiTheme="majorBidi" w:hAnsiTheme="majorBidi" w:cstheme="majorBidi"/>
              <w:szCs w:val="24"/>
            </w:rPr>
            <w:t>https://global.toyota/en/newsroom/toyota/18176838.html</w:t>
          </w:r>
          <w:r>
            <w:rPr>
              <w:rStyle w:val="16"/>
              <w:rFonts w:asciiTheme="majorBidi" w:hAnsiTheme="majorBidi" w:cstheme="majorBidi"/>
              <w:szCs w:val="24"/>
            </w:rPr>
            <w:fldChar w:fldCharType="end"/>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Toyota Global. (2021). Toyota at a Glance. Retrieved from </w:t>
          </w:r>
          <w:r>
            <w:fldChar w:fldCharType="begin"/>
          </w:r>
          <w:r>
            <w:instrText xml:space="preserve"> HYPERLINK "https://global.toyota/en/company/profile/" </w:instrText>
          </w:r>
          <w:r>
            <w:fldChar w:fldCharType="separate"/>
          </w:r>
          <w:r>
            <w:rPr>
              <w:rStyle w:val="16"/>
              <w:rFonts w:asciiTheme="majorBidi" w:hAnsiTheme="majorBidi" w:cstheme="majorBidi"/>
              <w:szCs w:val="24"/>
            </w:rPr>
            <w:t>https://global.toyota/en/company/profile/</w:t>
          </w:r>
          <w:r>
            <w:rPr>
              <w:rStyle w:val="16"/>
              <w:rFonts w:asciiTheme="majorBidi" w:hAnsiTheme="majorBidi" w:cstheme="majorBidi"/>
              <w:szCs w:val="24"/>
            </w:rPr>
            <w:fldChar w:fldCharType="end"/>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C-HR. Retrieved from https://global.toyota/en/showroom/c-hr/</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Launches Its First All-Electric Vehicle in China. Retrieved from https://global.toyota/en/newsroom/toyota/31372217.html</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Prius. Retrieved from https://global.toyota/en/showroom/prius/</w:t>
          </w:r>
        </w:p>
        <w:p>
          <w:pPr>
            <w:spacing w:line="240" w:lineRule="auto"/>
            <w:ind w:left="720" w:hanging="720"/>
            <w:rPr>
              <w:rFonts w:asciiTheme="majorBidi" w:hAnsiTheme="majorBidi" w:cstheme="majorBidi"/>
              <w:szCs w:val="24"/>
            </w:rPr>
          </w:pPr>
          <w:r>
            <w:rPr>
              <w:rFonts w:asciiTheme="majorBidi" w:hAnsiTheme="majorBidi" w:cstheme="majorBidi"/>
              <w:szCs w:val="24"/>
            </w:rPr>
            <w:t>Toyota Global. (2021). Toyota to Build New Plant in Myanmar. Retrieved from https://global.toyota/en/newsroom/toyota/23521140.html</w:t>
          </w:r>
        </w:p>
        <w:p>
          <w:pPr>
            <w:pStyle w:val="17"/>
            <w:ind w:left="567" w:hanging="567"/>
            <w:rPr>
              <w:rFonts w:asciiTheme="majorBidi" w:hAnsiTheme="majorBidi" w:cstheme="majorBidi"/>
            </w:rPr>
          </w:pPr>
          <w:r>
            <w:rPr>
              <w:rFonts w:asciiTheme="majorBidi" w:hAnsiTheme="majorBidi" w:cstheme="majorBidi"/>
            </w:rPr>
            <w:t xml:space="preserve">Toyota Newsroom (2020) </w:t>
          </w:r>
          <w:r>
            <w:rPr>
              <w:rFonts w:asciiTheme="majorBidi" w:hAnsiTheme="majorBidi" w:cstheme="majorBidi"/>
              <w:i/>
              <w:iCs/>
            </w:rPr>
            <w:t>Toyota named Number 1 Motor Vehicle Company on Fortune Magazine's 2020 "World's most admired" list</w:t>
          </w:r>
          <w:r>
            <w:rPr>
              <w:rFonts w:asciiTheme="majorBidi" w:hAnsiTheme="majorBidi" w:cstheme="majorBidi"/>
            </w:rPr>
            <w:t xml:space="preserve">, </w:t>
          </w:r>
          <w:r>
            <w:rPr>
              <w:rFonts w:asciiTheme="majorBidi" w:hAnsiTheme="majorBidi" w:cstheme="majorBidi"/>
              <w:i/>
              <w:iCs/>
            </w:rPr>
            <w:t>Toyota USA Newsroom</w:t>
          </w:r>
          <w:r>
            <w:rPr>
              <w:rFonts w:asciiTheme="majorBidi" w:hAnsiTheme="majorBidi" w:cstheme="majorBidi"/>
            </w:rPr>
            <w:t xml:space="preserve">. Available at: https://pressroom.toyota.com/toyota-named-number-1-motor-vehicle-company-on-fortune-magazines-2020-worlds-most-admired-list/ (Accessed: April 6, 2023). </w:t>
          </w:r>
        </w:p>
        <w:p>
          <w:pPr>
            <w:spacing w:line="240" w:lineRule="auto"/>
            <w:ind w:left="720" w:hanging="720"/>
            <w:rPr>
              <w:rFonts w:asciiTheme="majorBidi" w:hAnsiTheme="majorBidi" w:cstheme="majorBidi"/>
              <w:szCs w:val="24"/>
            </w:rPr>
          </w:pPr>
          <w:r>
            <w:rPr>
              <w:rFonts w:asciiTheme="majorBidi" w:hAnsiTheme="majorBidi" w:cstheme="majorBidi"/>
              <w:szCs w:val="24"/>
            </w:rPr>
            <w:t>Toyota USA Newsroom. (2016). 2017 Toyota Prius Prime: The Most Efficient Car in America. Retrieved from https://pressroom.toyota.com/2017-toyota-prius-prime-the-most-efficient-car-in-america/</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Toyota USA Newsroom. (2020). 2020 Toyota Supra Launches As New Halo Model. Retrieved from </w:t>
          </w:r>
          <w:r>
            <w:fldChar w:fldCharType="begin"/>
          </w:r>
          <w:r>
            <w:instrText xml:space="preserve"> HYPERLINK "https://pressroom.toyota.com/2020-toyota-supra-launches-as-new-halo-model/" </w:instrText>
          </w:r>
          <w:r>
            <w:fldChar w:fldCharType="separate"/>
          </w:r>
          <w:r>
            <w:rPr>
              <w:rStyle w:val="16"/>
              <w:rFonts w:asciiTheme="majorBidi" w:hAnsiTheme="majorBidi" w:cstheme="majorBidi"/>
              <w:szCs w:val="24"/>
            </w:rPr>
            <w:t>https://pressroom.toyota.com/2020-toyota-supra-launches-as-new-halo-model/</w:t>
          </w:r>
          <w:r>
            <w:rPr>
              <w:rStyle w:val="16"/>
              <w:rFonts w:asciiTheme="majorBidi" w:hAnsiTheme="majorBidi" w:cstheme="majorBidi"/>
              <w:szCs w:val="24"/>
            </w:rPr>
            <w:fldChar w:fldCharType="end"/>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Toyota USA Newsroom. (2021). Toyota Motor North America Reports December 2020, Year-End Sales. Retrieved from </w:t>
          </w:r>
          <w:r>
            <w:fldChar w:fldCharType="begin"/>
          </w:r>
          <w:r>
            <w:instrText xml:space="preserve"> HYPERLINK "https://pressroom.toyota.com/toyota-motor-north-america-reports-december-2020-year-end-sales/" </w:instrText>
          </w:r>
          <w:r>
            <w:fldChar w:fldCharType="separate"/>
          </w:r>
          <w:r>
            <w:rPr>
              <w:rStyle w:val="16"/>
              <w:rFonts w:asciiTheme="majorBidi" w:hAnsiTheme="majorBidi" w:cstheme="majorBidi"/>
              <w:szCs w:val="24"/>
            </w:rPr>
            <w:t>https://pressroom.toyota.com/toyota-motor-north-america-reports-december-2020-year-end-sales/</w:t>
          </w:r>
          <w:r>
            <w:rPr>
              <w:rStyle w:val="16"/>
              <w:rFonts w:asciiTheme="majorBidi" w:hAnsiTheme="majorBidi" w:cstheme="majorBidi"/>
              <w:szCs w:val="24"/>
            </w:rPr>
            <w:fldChar w:fldCharType="end"/>
          </w:r>
        </w:p>
        <w:p>
          <w:pPr>
            <w:spacing w:line="240" w:lineRule="auto"/>
            <w:ind w:left="720" w:hanging="720"/>
            <w:rPr>
              <w:rFonts w:asciiTheme="majorBidi" w:hAnsiTheme="majorBidi" w:cstheme="majorBidi"/>
              <w:szCs w:val="24"/>
            </w:rPr>
          </w:pPr>
          <w:r>
            <w:rPr>
              <w:rFonts w:asciiTheme="majorBidi" w:hAnsiTheme="majorBidi" w:cstheme="majorBidi"/>
              <w:szCs w:val="24"/>
            </w:rPr>
            <w:t>Toyota. (2017). Toyota Announces the Accident Reduction Effects of Intelligent Clearance Sonar, a Safety Support Technology for Parking. Retrieved from https://global.toyota/en/newsroom/corporate/20253397.html</w:t>
          </w:r>
        </w:p>
        <w:p>
          <w:pPr>
            <w:spacing w:line="240" w:lineRule="auto"/>
            <w:ind w:left="720" w:hanging="720"/>
            <w:rPr>
              <w:rFonts w:asciiTheme="majorBidi" w:hAnsiTheme="majorBidi" w:cstheme="majorBidi"/>
              <w:szCs w:val="24"/>
            </w:rPr>
          </w:pPr>
          <w:r>
            <w:rPr>
              <w:rFonts w:asciiTheme="majorBidi" w:hAnsiTheme="majorBidi" w:cstheme="majorBidi"/>
              <w:szCs w:val="24"/>
            </w:rPr>
            <w:t>Toyota. (2020). Toyota to Introduce 15 BEVs by 2025, Including Seven New BEV Models in the Next Five Years. Retrieved from https://global.toyota/en/newsroom/corporate/34911202.html</w:t>
          </w:r>
        </w:p>
        <w:p>
          <w:pPr>
            <w:spacing w:line="240" w:lineRule="auto"/>
            <w:ind w:left="720" w:hanging="720"/>
            <w:rPr>
              <w:rFonts w:asciiTheme="majorBidi" w:hAnsiTheme="majorBidi" w:cstheme="majorBidi"/>
              <w:szCs w:val="24"/>
            </w:rPr>
          </w:pPr>
          <w:r>
            <w:rPr>
              <w:rFonts w:asciiTheme="majorBidi" w:hAnsiTheme="majorBidi" w:cstheme="majorBidi"/>
              <w:szCs w:val="24"/>
            </w:rPr>
            <w:t>Toyota. (2020). Toyota's hybrid vehicle sales up to January 2020. Retrieved from https://global.toyota/en/newsroom/corporate/31761449.html</w:t>
          </w:r>
        </w:p>
        <w:p>
          <w:pPr>
            <w:spacing w:line="240" w:lineRule="auto"/>
            <w:ind w:left="720" w:hanging="720"/>
            <w:rPr>
              <w:rFonts w:asciiTheme="majorBidi" w:hAnsiTheme="majorBidi" w:cstheme="majorBidi"/>
              <w:szCs w:val="24"/>
            </w:rPr>
          </w:pPr>
          <w:r>
            <w:rPr>
              <w:rFonts w:asciiTheme="majorBidi" w:hAnsiTheme="majorBidi" w:cstheme="majorBidi"/>
              <w:szCs w:val="24"/>
            </w:rPr>
            <w:t>Toyota. (2021). Toyota Motor Corporation Annual Report 2021. Retrieved from https://global.toyota/en/ir/library/annual/</w:t>
          </w:r>
        </w:p>
        <w:p>
          <w:pPr>
            <w:spacing w:line="240" w:lineRule="auto"/>
            <w:ind w:left="567" w:hanging="567"/>
            <w:rPr>
              <w:rFonts w:asciiTheme="majorBidi" w:hAnsiTheme="majorBidi" w:cstheme="majorBidi"/>
              <w:szCs w:val="24"/>
            </w:rPr>
          </w:pPr>
          <w:r>
            <w:rPr>
              <w:rFonts w:asciiTheme="majorBidi" w:hAnsiTheme="majorBidi" w:cstheme="majorBidi"/>
              <w:szCs w:val="24"/>
            </w:rPr>
            <w:t>Toyota. (2022). </w:t>
          </w:r>
          <w:r>
            <w:rPr>
              <w:rFonts w:asciiTheme="majorBidi" w:hAnsiTheme="majorBidi" w:cstheme="majorBidi"/>
              <w:i/>
              <w:iCs/>
              <w:szCs w:val="24"/>
            </w:rPr>
            <w:t>Toyota's net revenue from FY 2012 to FY 2022 (in trillion Japanese yen)</w:t>
          </w:r>
          <w:r>
            <w:rPr>
              <w:rFonts w:asciiTheme="majorBidi" w:hAnsiTheme="majorBidi" w:cstheme="majorBidi"/>
              <w:szCs w:val="24"/>
            </w:rPr>
            <w:t>. </w:t>
          </w:r>
          <w:r>
            <w:rPr>
              <w:rFonts w:asciiTheme="majorBidi" w:hAnsiTheme="majorBidi" w:cstheme="majorBidi"/>
              <w:i/>
              <w:iCs/>
              <w:szCs w:val="24"/>
            </w:rPr>
            <w:t>Statista</w:t>
          </w:r>
          <w:r>
            <w:rPr>
              <w:rFonts w:asciiTheme="majorBidi" w:hAnsiTheme="majorBidi" w:cstheme="majorBidi"/>
              <w:szCs w:val="24"/>
            </w:rPr>
            <w:t>. Statista Inc.. Accessed: March 13, 2023. https://www.statista.com/statistics/262752/total-net-revenues-of-toyota/</w:t>
          </w:r>
        </w:p>
        <w:p>
          <w:pPr>
            <w:spacing w:line="240" w:lineRule="auto"/>
            <w:ind w:left="567" w:hanging="567"/>
            <w:rPr>
              <w:rFonts w:asciiTheme="majorBidi" w:hAnsiTheme="majorBidi" w:cstheme="majorBidi"/>
              <w:szCs w:val="24"/>
            </w:rPr>
          </w:pPr>
          <w:r>
            <w:rPr>
              <w:rFonts w:asciiTheme="majorBidi" w:hAnsiTheme="majorBidi" w:cstheme="majorBidi"/>
              <w:szCs w:val="24"/>
            </w:rPr>
            <w:t>Toyota. (2022). </w:t>
          </w:r>
          <w:r>
            <w:rPr>
              <w:rFonts w:asciiTheme="majorBidi" w:hAnsiTheme="majorBidi" w:cstheme="majorBidi"/>
              <w:i/>
              <w:iCs/>
              <w:szCs w:val="24"/>
            </w:rPr>
            <w:t>Worldwide number of vehicles produced by Toyota from FY 2007 to FY 2022 (in 1,000s)</w:t>
          </w:r>
          <w:r>
            <w:rPr>
              <w:rFonts w:asciiTheme="majorBidi" w:hAnsiTheme="majorBidi" w:cstheme="majorBidi"/>
              <w:szCs w:val="24"/>
            </w:rPr>
            <w:t>. </w:t>
          </w:r>
          <w:r>
            <w:rPr>
              <w:rFonts w:asciiTheme="majorBidi" w:hAnsiTheme="majorBidi" w:cstheme="majorBidi"/>
              <w:i/>
              <w:iCs/>
              <w:szCs w:val="24"/>
            </w:rPr>
            <w:t>Statista</w:t>
          </w:r>
          <w:r>
            <w:rPr>
              <w:rFonts w:asciiTheme="majorBidi" w:hAnsiTheme="majorBidi" w:cstheme="majorBidi"/>
              <w:szCs w:val="24"/>
            </w:rPr>
            <w:t>. Statista Inc.. Accessed: March 13, 2023. https://www.statista.com/statistics/267272/worldwide-vehicle-production-of-toyota/</w:t>
          </w:r>
        </w:p>
        <w:p>
          <w:pPr>
            <w:pStyle w:val="17"/>
            <w:ind w:left="567" w:hanging="567"/>
            <w:rPr>
              <w:rFonts w:asciiTheme="majorBidi" w:hAnsiTheme="majorBidi" w:cstheme="majorBidi"/>
            </w:rPr>
          </w:pPr>
          <w:r>
            <w:rPr>
              <w:rFonts w:asciiTheme="majorBidi" w:hAnsiTheme="majorBidi" w:cstheme="majorBidi"/>
            </w:rPr>
            <w:t xml:space="preserve">Toyota. 2022. </w:t>
          </w:r>
          <w:r>
            <w:rPr>
              <w:rFonts w:asciiTheme="majorBidi" w:hAnsiTheme="majorBidi" w:cstheme="majorBidi"/>
              <w:i/>
              <w:iCs/>
            </w:rPr>
            <w:t>Global website: 75 Years of Toyota: Section 4. expanding business in China through joint ventures: Item 1. production sites expanded</w:t>
          </w:r>
          <w:r>
            <w:rPr>
              <w:rFonts w:asciiTheme="majorBidi" w:hAnsiTheme="majorBidi" w:cstheme="majorBidi"/>
            </w:rPr>
            <w:t xml:space="preserve">, </w:t>
          </w:r>
          <w:r>
            <w:rPr>
              <w:rFonts w:asciiTheme="majorBidi" w:hAnsiTheme="majorBidi" w:cstheme="majorBidi"/>
              <w:i/>
              <w:iCs/>
            </w:rPr>
            <w:t>Toyota</w:t>
          </w:r>
          <w:r>
            <w:rPr>
              <w:rFonts w:asciiTheme="majorBidi" w:hAnsiTheme="majorBidi" w:cstheme="majorBidi"/>
            </w:rPr>
            <w:t xml:space="preserve">. Available at: https://www.toyota-global.com/company/history_of_toyota/75years/text/leaping_forward_as_a_global_corporation/chapter4/section4/item1.html (Accessed: April 6, 2023). </w:t>
          </w:r>
        </w:p>
        <w:p>
          <w:pPr>
            <w:pStyle w:val="17"/>
            <w:ind w:left="567" w:hanging="567"/>
            <w:rPr>
              <w:rFonts w:asciiTheme="majorBidi" w:hAnsiTheme="majorBidi" w:cstheme="majorBidi"/>
            </w:rPr>
          </w:pPr>
          <w:r>
            <w:rPr>
              <w:rFonts w:asciiTheme="majorBidi" w:hAnsiTheme="majorBidi" w:cstheme="majorBidi"/>
            </w:rPr>
            <w:t xml:space="preserve">United Nations (2022) </w:t>
          </w:r>
          <w:r>
            <w:rPr>
              <w:rFonts w:asciiTheme="majorBidi" w:hAnsiTheme="majorBidi" w:cstheme="majorBidi"/>
              <w:i/>
              <w:iCs/>
            </w:rPr>
            <w:t>The 2030 agenda for sustainable development</w:t>
          </w:r>
          <w:r>
            <w:rPr>
              <w:rFonts w:asciiTheme="majorBidi" w:hAnsiTheme="majorBidi" w:cstheme="majorBidi"/>
            </w:rPr>
            <w:t xml:space="preserve">, </w:t>
          </w:r>
          <w:r>
            <w:rPr>
              <w:rFonts w:asciiTheme="majorBidi" w:hAnsiTheme="majorBidi" w:cstheme="majorBidi"/>
              <w:i/>
              <w:iCs/>
            </w:rPr>
            <w:t>United Nations</w:t>
          </w:r>
          <w:r>
            <w:rPr>
              <w:rFonts w:asciiTheme="majorBidi" w:hAnsiTheme="majorBidi" w:cstheme="majorBidi"/>
            </w:rPr>
            <w:t xml:space="preserve">. United Nations. Available at: https://sdgs.un.org/sites/default/files/publications/ (Accessed: March 13, 2023). </w:t>
          </w:r>
        </w:p>
        <w:p>
          <w:pPr>
            <w:spacing w:line="240" w:lineRule="auto"/>
            <w:ind w:left="720" w:hanging="720"/>
            <w:rPr>
              <w:rFonts w:asciiTheme="majorBidi" w:hAnsiTheme="majorBidi" w:cstheme="majorBidi"/>
              <w:szCs w:val="24"/>
            </w:rPr>
          </w:pPr>
          <w:r>
            <w:rPr>
              <w:rFonts w:asciiTheme="majorBidi" w:hAnsiTheme="majorBidi" w:cstheme="majorBidi"/>
              <w:szCs w:val="24"/>
            </w:rPr>
            <w:t>US-China Business Council. (2018). Intellectual Property Rights in China. Retrieved from https://www.uschina.org/reports/intellectual-property-rights-china</w:t>
          </w:r>
        </w:p>
        <w:p>
          <w:pPr>
            <w:pStyle w:val="17"/>
            <w:ind w:left="567" w:hanging="567"/>
            <w:rPr>
              <w:rFonts w:asciiTheme="majorBidi" w:hAnsiTheme="majorBidi" w:cstheme="majorBidi"/>
              <w:highlight w:val="none"/>
            </w:rPr>
          </w:pPr>
          <w:r>
            <w:rPr>
              <w:rFonts w:asciiTheme="majorBidi" w:hAnsiTheme="majorBidi" w:cstheme="majorBidi"/>
              <w:highlight w:val="none"/>
            </w:rPr>
            <w:t>Wild, J. J., &amp; Wild, K. L. (2019). International Business: The Challenges of Globalization. Pearson.</w:t>
          </w:r>
        </w:p>
        <w:p>
          <w:pPr>
            <w:spacing w:line="240" w:lineRule="auto"/>
            <w:ind w:left="720" w:hanging="720"/>
            <w:rPr>
              <w:rFonts w:asciiTheme="majorBidi" w:hAnsiTheme="majorBidi" w:cstheme="majorBidi"/>
              <w:szCs w:val="24"/>
            </w:rPr>
          </w:pPr>
          <w:r>
            <w:rPr>
              <w:rFonts w:asciiTheme="majorBidi" w:hAnsiTheme="majorBidi" w:cstheme="majorBidi"/>
              <w:szCs w:val="24"/>
            </w:rPr>
            <w:t>WIPO (World Intellectual Property Organization). (2021). Global Innovation Index 2021. Retrieved from https://www.wipo.int/global_innovation_index/en/2021/index.html</w:t>
          </w:r>
        </w:p>
        <w:p>
          <w:pPr>
            <w:spacing w:line="240" w:lineRule="auto"/>
            <w:ind w:left="720" w:hanging="720"/>
            <w:rPr>
              <w:rFonts w:asciiTheme="majorBidi" w:hAnsiTheme="majorBidi" w:cstheme="majorBidi"/>
              <w:szCs w:val="24"/>
            </w:rPr>
          </w:pPr>
          <w:r>
            <w:rPr>
              <w:rFonts w:asciiTheme="majorBidi" w:hAnsiTheme="majorBidi" w:cstheme="majorBidi"/>
              <w:szCs w:val="24"/>
            </w:rPr>
            <w:t xml:space="preserve">World Bank. (2021). GDP (current US$) - Japan. Retrieved from </w:t>
          </w:r>
          <w:r>
            <w:fldChar w:fldCharType="begin"/>
          </w:r>
          <w:r>
            <w:instrText xml:space="preserve"> HYPERLINK "https://data.worldbank.org/indicator/NY.GDP.MKTP.CD?locations=JP" </w:instrText>
          </w:r>
          <w:r>
            <w:fldChar w:fldCharType="separate"/>
          </w:r>
          <w:r>
            <w:rPr>
              <w:rStyle w:val="16"/>
              <w:rFonts w:asciiTheme="majorBidi" w:hAnsiTheme="majorBidi" w:cstheme="majorBidi"/>
              <w:szCs w:val="24"/>
            </w:rPr>
            <w:t>https://data.worldbank.org/indicator/NY.GDP.MKTP.CD?locations=JP</w:t>
          </w:r>
          <w:r>
            <w:rPr>
              <w:rStyle w:val="16"/>
              <w:rFonts w:asciiTheme="majorBidi" w:hAnsiTheme="majorBidi" w:cstheme="majorBidi"/>
              <w:szCs w:val="24"/>
            </w:rPr>
            <w:fldChar w:fldCharType="end"/>
          </w:r>
          <w:r>
            <w:rPr>
              <w:rFonts w:asciiTheme="majorBidi" w:hAnsiTheme="majorBidi" w:cstheme="majorBidi"/>
              <w:szCs w:val="24"/>
            </w:rPr>
            <w:t xml:space="preserve"> </w:t>
          </w:r>
        </w:p>
        <w:p>
          <w:pPr>
            <w:pStyle w:val="17"/>
            <w:ind w:left="567" w:hanging="567"/>
            <w:rPr>
              <w:rFonts w:asciiTheme="majorBidi" w:hAnsiTheme="majorBidi" w:cstheme="majorBidi"/>
            </w:rPr>
          </w:pPr>
          <w:r>
            <w:rPr>
              <w:rFonts w:asciiTheme="majorBidi" w:hAnsiTheme="majorBidi" w:cstheme="majorBidi"/>
            </w:rPr>
            <w:t xml:space="preserve">Zhang, J.W. (2018) </w:t>
          </w:r>
          <w:r>
            <w:rPr>
              <w:rFonts w:asciiTheme="majorBidi" w:hAnsiTheme="majorBidi" w:cstheme="majorBidi"/>
              <w:i/>
              <w:iCs/>
            </w:rPr>
            <w:t>The Chinese Labor Market, 2000–2016</w:t>
          </w:r>
          <w:r>
            <w:rPr>
              <w:rFonts w:asciiTheme="majorBidi" w:hAnsiTheme="majorBidi" w:cstheme="majorBidi"/>
            </w:rPr>
            <w:t xml:space="preserve">, </w:t>
          </w:r>
          <w:r>
            <w:rPr>
              <w:rFonts w:asciiTheme="majorBidi" w:hAnsiTheme="majorBidi" w:cstheme="majorBidi"/>
              <w:i/>
              <w:iCs/>
            </w:rPr>
            <w:t>IZA World of Labor</w:t>
          </w:r>
          <w:r>
            <w:rPr>
              <w:rFonts w:asciiTheme="majorBidi" w:hAnsiTheme="majorBidi" w:cstheme="majorBidi"/>
            </w:rPr>
            <w:t xml:space="preserve">. Available at: https://wol.iza.org/articles/the-chinese-labor-market/long (Accessed: April 6, 2023). </w:t>
          </w:r>
        </w:p>
        <w:p>
          <w:pPr>
            <w:pStyle w:val="17"/>
            <w:spacing w:line="360" w:lineRule="auto"/>
            <w:ind w:left="567" w:hanging="567"/>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pStyle w:val="17"/>
            <w:spacing w:line="360" w:lineRule="auto"/>
            <w:jc w:val="both"/>
            <w:rPr>
              <w:rFonts w:asciiTheme="majorBidi" w:hAnsiTheme="majorBidi" w:cstheme="majorBidi"/>
            </w:rPr>
          </w:pPr>
        </w:p>
        <w:p>
          <w:pPr>
            <w:spacing w:line="360" w:lineRule="auto"/>
            <w:jc w:val="both"/>
            <w:rPr>
              <w:rFonts w:asciiTheme="majorBidi" w:hAnsiTheme="majorBidi" w:cstheme="majorBidi"/>
            </w:rPr>
          </w:pPr>
          <w:bookmarkStart w:id="105" w:name="_Toc14827"/>
          <w:r>
            <w:rPr>
              <w:rStyle w:val="34"/>
              <w:rFonts w:asciiTheme="majorBidi" w:hAnsiTheme="majorBidi" w:cstheme="majorBidi"/>
            </w:rPr>
            <w:t>Appendices</w:t>
          </w:r>
          <w:bookmarkEnd w:id="105"/>
        </w:p>
        <w:p>
          <w:pPr>
            <w:pStyle w:val="3"/>
            <w:rPr>
              <w:rFonts w:asciiTheme="majorBidi" w:hAnsiTheme="majorBidi"/>
            </w:rPr>
          </w:pPr>
          <w:bookmarkStart w:id="106" w:name="_Toc1731"/>
          <w:r>
            <w:rPr>
              <w:rFonts w:asciiTheme="majorBidi" w:hAnsiTheme="majorBidi"/>
            </w:rPr>
            <w:t>Appendix 1: industry five forces</w:t>
          </w:r>
          <w:bookmarkEnd w:id="106"/>
        </w:p>
        <w:tbl>
          <w:tblPr>
            <w:tblStyle w:val="48"/>
            <w:tblW w:w="10890" w:type="dxa"/>
            <w:tblInd w:w="-995" w:type="dxa"/>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1980"/>
            <w:gridCol w:w="3780"/>
            <w:gridCol w:w="513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bottom w:val="nil"/>
                  <w:right w:val="nil"/>
                </w:tcBorders>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Forces</w:t>
                </w:r>
              </w:p>
            </w:tc>
            <w:tc>
              <w:tcPr>
                <w:tcW w:w="3780" w:type="dxa"/>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China</w:t>
                </w:r>
              </w:p>
            </w:tc>
            <w:tc>
              <w:tcPr>
                <w:tcW w:w="5130" w:type="dxa"/>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Japan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Competitive Rivalry</w:t>
                </w:r>
              </w:p>
            </w:tc>
            <w:tc>
              <w:tcPr>
                <w:tcW w:w="37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xml:space="preserve">- Highly competitive market with both international and domestic automakers, including Volkswagen, General Motors, Honda, Nissan, Geely, Great Wall Motors, and BYD (Statista, 2021) </w:t>
                </w:r>
              </w:p>
            </w:tc>
            <w:tc>
              <w:tcPr>
                <w:tcW w:w="513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xml:space="preserve">- Competition mainly from other Japanese automakers, such as Honda, Nissan, and Mazda, as well as global players like Volkswagen and General Motors (Fujimoto, 2007)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right w:val="nil"/>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Bargaining Power of Suppliers</w:t>
                </w:r>
              </w:p>
            </w:tc>
            <w:tc>
              <w:tcPr>
                <w:tcW w:w="378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Localization of supply chain by sourcing parts and components from Chinese suppliers (Yuan et al., 2013) Reduced bargaining power of suppliers due to localized strategy, leading to cost savings and efficiency improvements</w:t>
                </w:r>
              </w:p>
            </w:tc>
            <w:tc>
              <w:tcPr>
                <w:tcW w:w="513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Long-term relationships with Japanese suppliers for mutual benefit and risk-sharing (Fujimoto, 2007) - Toyota's dominance in the Japanese market gives it substantial bargaining power over suppliers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Bargaining Power of Buyers</w:t>
                </w:r>
              </w:p>
            </w:tc>
            <w:tc>
              <w:tcPr>
                <w:tcW w:w="37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Wide range of choices for consumers, increasing their bargaining power (Deloitte, 2017)     - Toyota must offer high-quality, fuel-efficient, and affordable vehicles to attract and retain customers in the price-sensitive market</w:t>
                </w:r>
              </w:p>
            </w:tc>
            <w:tc>
              <w:tcPr>
                <w:tcW w:w="513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Buyers have high expectations for quality, reliability, and fuel efficiency (Oh &amp; Rugman, 2014)     - Strong brand loyalty among Japanese consumers helps mitigate the bargaining power of buyers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right w:val="nil"/>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Threat of Substitutes</w:t>
                </w:r>
              </w:p>
            </w:tc>
            <w:tc>
              <w:tcPr>
                <w:tcW w:w="378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Alternative modes of transportation, such as public transit, ride-hailing services, and car-sharing platforms, pose a potential threat to Toyota's sales (China Daily, 2018)     - Adapting to shifting consumer preferences and exploring new business models and mobility solutions is crucial</w:t>
                </w:r>
              </w:p>
            </w:tc>
            <w:tc>
              <w:tcPr>
                <w:tcW w:w="513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Public transportation and emerging ride-hailing services are potential substitutes for private car ownership (Fujimoto, 2007)     - Diversification into mobility services and other transportation solutions can help mitigate the threat of substitutes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1980"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Threat of New Entrants</w:t>
                </w:r>
              </w:p>
            </w:tc>
            <w:tc>
              <w:tcPr>
                <w:tcW w:w="37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High barriers to entry due to capital-intensive nature of the industry and strict government regulations (Yuan et al., 2013)     - Growing number of local and international startups focusing on electric and autonomous vehicles could pose a future threat to established players like Toyota</w:t>
                </w:r>
              </w:p>
            </w:tc>
            <w:tc>
              <w:tcPr>
                <w:tcW w:w="513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High barriers to entry due to capital-intensive nature of the industry, technology requirements, and economies of scale (Fujimoto, 2007)     - Established players dominate the market, making it difficult for new entrants to gain a foothold</w:t>
                </w:r>
              </w:p>
            </w:tc>
          </w:tr>
        </w:tbl>
        <w:p>
          <w:pPr>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tabs>
              <w:tab w:val="left" w:pos="214"/>
            </w:tabs>
            <w:spacing w:line="360" w:lineRule="auto"/>
            <w:jc w:val="both"/>
            <w:rPr>
              <w:rFonts w:asciiTheme="majorBidi" w:hAnsiTheme="majorBidi" w:cstheme="majorBidi"/>
              <w:lang w:eastAsia="ja-JP"/>
            </w:rPr>
          </w:pPr>
        </w:p>
        <w:p>
          <w:pPr>
            <w:pStyle w:val="3"/>
            <w:rPr>
              <w:rFonts w:asciiTheme="majorBidi" w:hAnsiTheme="majorBidi"/>
            </w:rPr>
          </w:pPr>
          <w:bookmarkStart w:id="107" w:name="_Toc8573"/>
          <w:r>
            <w:rPr>
              <w:rFonts w:asciiTheme="majorBidi" w:hAnsiTheme="majorBidi"/>
            </w:rPr>
            <w:t>Appendix 2: Market analysis</w:t>
          </w:r>
          <w:bookmarkEnd w:id="107"/>
        </w:p>
        <w:p>
          <w:pPr>
            <w:spacing w:line="360" w:lineRule="auto"/>
            <w:jc w:val="both"/>
            <w:rPr>
              <w:rFonts w:asciiTheme="majorBidi" w:hAnsiTheme="majorBidi" w:cstheme="majorBidi"/>
              <w:lang w:eastAsia="ja-JP"/>
            </w:rPr>
          </w:pPr>
        </w:p>
        <w:tbl>
          <w:tblPr>
            <w:tblStyle w:val="48"/>
            <w:tblW w:w="10890" w:type="dxa"/>
            <w:tblInd w:w="-995" w:type="dxa"/>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Layout w:type="autofit"/>
            <w:tblCellMar>
              <w:top w:w="0" w:type="dxa"/>
              <w:left w:w="108" w:type="dxa"/>
              <w:bottom w:w="0" w:type="dxa"/>
              <w:right w:w="108" w:type="dxa"/>
            </w:tblCellMar>
          </w:tblPr>
          <w:tblGrid>
            <w:gridCol w:w="2556"/>
            <w:gridCol w:w="3654"/>
            <w:gridCol w:w="468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bottom w:val="nil"/>
                  <w:right w:val="nil"/>
                </w:tcBorders>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Market Factors</w:t>
                </w:r>
              </w:p>
            </w:tc>
            <w:tc>
              <w:tcPr>
                <w:tcW w:w="3654" w:type="dxa"/>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China</w:t>
                </w:r>
              </w:p>
            </w:tc>
            <w:tc>
              <w:tcPr>
                <w:tcW w:w="4680" w:type="dxa"/>
                <w:shd w:val="clear" w:color="auto" w:fill="000000" w:themeFill="text1"/>
              </w:tcPr>
              <w:p>
                <w:pPr>
                  <w:spacing w:before="480" w:after="480" w:line="360" w:lineRule="auto"/>
                  <w:jc w:val="both"/>
                  <w:rPr>
                    <w:rFonts w:eastAsia="Times New Roman" w:asciiTheme="majorBidi" w:hAnsiTheme="majorBidi" w:cstheme="majorBidi"/>
                    <w:b w:val="0"/>
                    <w:bCs w:val="0"/>
                    <w:color w:val="FFFFFF" w:themeColor="background1"/>
                    <w:sz w:val="21"/>
                    <w:szCs w:val="21"/>
                    <w:lang w:val="en-US"/>
                    <w14:textFill>
                      <w14:solidFill>
                        <w14:schemeClr w14:val="bg1"/>
                      </w14:solidFill>
                    </w14:textFill>
                  </w:rPr>
                </w:pPr>
                <w:r>
                  <w:rPr>
                    <w:rFonts w:eastAsia="Times New Roman" w:asciiTheme="majorBidi" w:hAnsiTheme="majorBidi" w:cstheme="majorBidi"/>
                    <w:b w:val="0"/>
                    <w:bCs w:val="0"/>
                    <w:color w:val="FFFFFF" w:themeColor="background1"/>
                    <w:sz w:val="21"/>
                    <w:szCs w:val="21"/>
                    <w:lang w:val="en-US"/>
                    <w14:textFill>
                      <w14:solidFill>
                        <w14:schemeClr w14:val="bg1"/>
                      </w14:solidFill>
                    </w14:textFill>
                  </w:rPr>
                  <w:t>Japan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Market Size</w:t>
                </w:r>
              </w:p>
            </w:tc>
            <w:tc>
              <w:tcPr>
                <w:tcW w:w="3654"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World's largest automotive market, with 25.3 million vehicles sold in 2020 (Statista, 2021)     - Huge potential for growth due to the large population and urbanization trends</w:t>
                </w:r>
              </w:p>
            </w:tc>
            <w:tc>
              <w:tcPr>
                <w:tcW w:w="46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Third-largest automotive market, with 4.6 million vehicles sold in 2020 (Statista, 2021)     - Relatively mature market with slower growth compared to emerging markets like China</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right w:val="nil"/>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Market Share</w:t>
                </w:r>
              </w:p>
            </w:tc>
            <w:tc>
              <w:tcPr>
                <w:tcW w:w="3654"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Toyota's market share in China was 6.1% in 2020, ranking 5th among automakers (Statista, 2021)     - Joint ventures with local partners, such as FAW and GAC, help increase market penetration</w:t>
                </w:r>
              </w:p>
            </w:tc>
            <w:tc>
              <w:tcPr>
                <w:tcW w:w="468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Toyota's market share in Japan was around 30.9% in 2020, dominating the market (Statista, 2021)     - Strong brand loyalty among Japanese consumers supports market dominance</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Market Segments</w:t>
                </w:r>
              </w:p>
            </w:tc>
            <w:tc>
              <w:tcPr>
                <w:tcW w:w="3654"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Rapidly growing demand for electric vehicles (EVs), hybrids, and fuel cell vehicles (FCVs) due to government policies and incentives (Hale, 2018)     - Growth in the luxury car segment, driven by rising disposable incomes</w:t>
                </w:r>
              </w:p>
            </w:tc>
            <w:tc>
              <w:tcPr>
                <w:tcW w:w="46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Demand for compact, fuel-efficient, and eco-friendly vehicles (METI, 2016)     - Growing interest in EVs, hybrids, and FCVs, driven by government support and consumer preferences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right w:val="nil"/>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Consumer Preferences</w:t>
                </w:r>
              </w:p>
            </w:tc>
            <w:tc>
              <w:tcPr>
                <w:tcW w:w="3654"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Price-sensitive consumers looking for affordable, fuel-efficient, and technologically advanced vehicles (Deloitte, 2017)     - Increasing demand for connected and autonomous vehicles</w:t>
                </w:r>
              </w:p>
            </w:tc>
            <w:tc>
              <w:tcPr>
                <w:tcW w:w="4680" w:type="dxa"/>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Quality-conscious consumers with high expectations for reliability, fuel efficiency, and safety (Oh &amp; Rugman, 2014)     - Growing interest in connected, autonomous, and shared mobility solutions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none" w:color="auto" w:sz="0" w:space="0"/>
                <w:insideV w:val="none" w:color="auto" w:sz="0" w:space="0"/>
              </w:tblBorders>
              <w:tblCellMar>
                <w:top w:w="0" w:type="dxa"/>
                <w:left w:w="108" w:type="dxa"/>
                <w:bottom w:w="0" w:type="dxa"/>
                <w:right w:w="108" w:type="dxa"/>
              </w:tblCellMar>
            </w:tblPrEx>
            <w:tc>
              <w:tcPr>
                <w:tcW w:w="2556" w:type="dxa"/>
                <w:tcBorders>
                  <w:top w:val="single" w:color="000000" w:themeColor="text1" w:sz="4" w:space="0"/>
                  <w:bottom w:val="single" w:color="000000" w:themeColor="text1" w:sz="4" w:space="0"/>
                  <w:right w:val="nil"/>
                  <w:insideH w:val="single" w:sz="4" w:space="0"/>
                  <w:insideV w:val="nil"/>
                </w:tcBorders>
                <w:shd w:val="clear" w:color="auto" w:fill="FFFFFF" w:themeFill="background1"/>
              </w:tcPr>
              <w:p>
                <w:pPr>
                  <w:spacing w:before="480" w:after="480" w:line="360" w:lineRule="auto"/>
                  <w:jc w:val="both"/>
                  <w:rPr>
                    <w:rFonts w:eastAsia="Times New Roman" w:asciiTheme="majorBidi" w:hAnsiTheme="majorBidi" w:cstheme="majorBidi"/>
                    <w:b/>
                    <w:bCs/>
                    <w:sz w:val="21"/>
                    <w:szCs w:val="21"/>
                    <w:lang w:val="en-US"/>
                  </w:rPr>
                </w:pPr>
                <w:r>
                  <w:rPr>
                    <w:rFonts w:eastAsia="Times New Roman" w:asciiTheme="majorBidi" w:hAnsiTheme="majorBidi" w:cstheme="majorBidi"/>
                    <w:b/>
                    <w:bCs/>
                    <w:sz w:val="21"/>
                    <w:szCs w:val="21"/>
                    <w:lang w:val="en-US"/>
                  </w:rPr>
                  <w:t>Regulatory Environment</w:t>
                </w:r>
              </w:p>
            </w:tc>
            <w:tc>
              <w:tcPr>
                <w:tcW w:w="3654"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Strict regulations on emissions and fuel efficiency standards (Hale, 2018)     - Government support for EVs and alternative energy vehicles, such as tax incentives and subsidies</w:t>
                </w:r>
              </w:p>
            </w:tc>
            <w:tc>
              <w:tcPr>
                <w:tcW w:w="4680" w:type="dxa"/>
                <w:tcBorders>
                  <w:top w:val="single" w:color="000000" w:themeColor="text1" w:sz="4" w:space="0"/>
                  <w:bottom w:val="single" w:color="000000" w:themeColor="text1" w:sz="4" w:space="0"/>
                  <w:insideH w:val="single" w:sz="4" w:space="0"/>
                </w:tcBorders>
              </w:tcPr>
              <w:p>
                <w:pPr>
                  <w:spacing w:before="480" w:after="480" w:line="360" w:lineRule="auto"/>
                  <w:jc w:val="both"/>
                  <w:rPr>
                    <w:rFonts w:eastAsia="Times New Roman" w:asciiTheme="majorBidi" w:hAnsiTheme="majorBidi" w:cstheme="majorBidi"/>
                    <w:sz w:val="21"/>
                    <w:szCs w:val="21"/>
                    <w:lang w:val="en-US"/>
                  </w:rPr>
                </w:pPr>
                <w:r>
                  <w:rPr>
                    <w:rFonts w:eastAsia="Times New Roman" w:asciiTheme="majorBidi" w:hAnsiTheme="majorBidi" w:cstheme="majorBidi"/>
                    <w:sz w:val="21"/>
                    <w:szCs w:val="21"/>
                    <w:lang w:val="en-US"/>
                  </w:rPr>
                  <w:t>- Government regulations on emissions and fuel efficiency standards (METI, 2016)     - Strong government support for the development and adoption of eco-friendly vehicles, including EVs, hybrids, and FCVs</w:t>
                </w:r>
              </w:p>
            </w:tc>
          </w:tr>
        </w:tbl>
        <w:p>
          <w:pPr>
            <w:spacing w:line="360" w:lineRule="auto"/>
            <w:jc w:val="both"/>
            <w:rPr>
              <w:rFonts w:asciiTheme="majorBidi" w:hAnsiTheme="majorBidi" w:cstheme="majorBidi"/>
              <w:lang w:eastAsia="ja-JP"/>
            </w:rPr>
          </w:pPr>
        </w:p>
        <w:p>
          <w:pPr>
            <w:spacing w:line="360" w:lineRule="auto"/>
            <w:jc w:val="both"/>
            <w:rPr>
              <w:rFonts w:asciiTheme="majorBidi" w:hAnsiTheme="majorBidi" w:cstheme="majorBidi"/>
              <w:lang w:eastAsia="ja-JP"/>
            </w:rPr>
          </w:pPr>
        </w:p>
        <w:p>
          <w:pPr>
            <w:pStyle w:val="3"/>
            <w:rPr>
              <w:rFonts w:asciiTheme="majorBidi" w:hAnsiTheme="majorBidi"/>
            </w:rPr>
          </w:pPr>
          <w:bookmarkStart w:id="108" w:name="_Toc9852"/>
          <w:r>
            <w:rPr>
              <w:rFonts w:asciiTheme="majorBidi" w:hAnsiTheme="majorBidi"/>
            </w:rPr>
            <w:t>Appendix 3: Units sold by Toyota</w:t>
          </w:r>
          <w:bookmarkEnd w:id="108"/>
        </w:p>
        <w:p>
          <w:pPr>
            <w:spacing w:line="360" w:lineRule="auto"/>
            <w:jc w:val="both"/>
            <w:rPr>
              <w:rFonts w:asciiTheme="majorBidi" w:hAnsiTheme="majorBidi" w:cstheme="majorBidi"/>
              <w:szCs w:val="24"/>
            </w:rPr>
          </w:pPr>
          <w:r>
            <w:rPr>
              <w:rFonts w:asciiTheme="majorBidi" w:hAnsiTheme="majorBidi" w:cstheme="majorBidi"/>
              <w:szCs w:val="24"/>
            </w:rPr>
            <w:drawing>
              <wp:inline distT="0" distB="0" distL="0" distR="0">
                <wp:extent cx="5731510" cy="27813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4"/>
                        <a:stretch>
                          <a:fillRect/>
                        </a:stretch>
                      </pic:blipFill>
                      <pic:spPr>
                        <a:xfrm>
                          <a:off x="0" y="0"/>
                          <a:ext cx="5731510" cy="2781300"/>
                        </a:xfrm>
                        <a:prstGeom prst="rect">
                          <a:avLst/>
                        </a:prstGeom>
                      </pic:spPr>
                    </pic:pic>
                  </a:graphicData>
                </a:graphic>
              </wp:inline>
            </w:drawing>
          </w:r>
        </w:p>
        <w:p>
          <w:pPr>
            <w:pStyle w:val="9"/>
            <w:spacing w:line="360" w:lineRule="auto"/>
            <w:jc w:val="both"/>
            <w:rPr>
              <w:rFonts w:asciiTheme="majorBidi" w:hAnsiTheme="majorBidi" w:cstheme="majorBidi"/>
              <w:sz w:val="24"/>
              <w:szCs w:val="24"/>
            </w:rPr>
          </w:pPr>
          <w:r>
            <w:rPr>
              <w:rFonts w:asciiTheme="majorBidi" w:hAnsiTheme="majorBidi" w:cstheme="majorBidi"/>
              <w:sz w:val="24"/>
              <w:szCs w:val="24"/>
            </w:rPr>
            <w:t>Figure 2</w:t>
          </w:r>
          <w:r>
            <w:rPr>
              <w:rFonts w:asciiTheme="majorBidi" w:hAnsiTheme="majorBidi" w:cstheme="majorBidi"/>
              <w:sz w:val="24"/>
              <w:szCs w:val="24"/>
              <w:lang w:val="en-US"/>
            </w:rPr>
            <w:t>: Stats of Units produced by Toyota, Source: (Toyota, 2022).</w:t>
          </w:r>
        </w:p>
        <w:p>
          <w:pPr>
            <w:spacing w:line="360" w:lineRule="auto"/>
            <w:jc w:val="both"/>
            <w:rPr>
              <w:rFonts w:asciiTheme="majorBidi" w:hAnsiTheme="majorBidi" w:cstheme="majorBidi"/>
            </w:rPr>
          </w:pPr>
          <w:r>
            <w:rPr>
              <w:rFonts w:asciiTheme="majorBidi" w:hAnsiTheme="majorBidi" w:cstheme="majorBidi"/>
              <w:szCs w:val="24"/>
            </w:rPr>
            <w:t xml:space="preserve">According to data, Toyota produced over </w:t>
          </w:r>
          <w:r>
            <w:rPr>
              <w:rFonts w:asciiTheme="majorBidi" w:hAnsiTheme="majorBidi" w:cstheme="majorBidi"/>
              <w:color w:val="455F7C"/>
              <w:szCs w:val="24"/>
              <w:shd w:val="clear" w:color="auto" w:fill="FFFFFF"/>
            </w:rPr>
            <w:t xml:space="preserve">8.16 million units </w:t>
          </w:r>
          <w:r>
            <w:rPr>
              <w:rFonts w:asciiTheme="majorBidi" w:hAnsiTheme="majorBidi" w:cstheme="majorBidi"/>
              <w:szCs w:val="24"/>
            </w:rPr>
            <w:t xml:space="preserve">vehicles in 2022, making it the second-largest producer of automobiles in the world after Volkswagen (Toyota, 2022). Toyota's production volume has been relatively consistent over the past decade, as its production rised 44.3 percent in 2022. Toyota's success in the automotive industry is also reflected in its financial performance (Reuters, 2022). </w:t>
          </w:r>
        </w:p>
        <w:p>
          <w:pPr>
            <w:spacing w:line="360" w:lineRule="auto"/>
            <w:jc w:val="both"/>
            <w:rPr>
              <w:rFonts w:asciiTheme="majorBidi" w:hAnsiTheme="majorBidi" w:cstheme="majorBidi"/>
              <w:szCs w:val="24"/>
            </w:rPr>
          </w:pPr>
        </w:p>
      </w:sdtContent>
    </w:sdt>
    <w:sectPr>
      <w:headerReference r:id="rId5" w:type="default"/>
      <w:footerReference r:id="rId6"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LinoLetter-Roman">
    <w:altName w:val="Cambria"/>
    <w:panose1 w:val="00000000000000000000"/>
    <w:charset w:val="00"/>
    <w:family w:val="roman"/>
    <w:pitch w:val="default"/>
    <w:sig w:usb0="00000000" w:usb1="00000000" w:usb2="00000000" w:usb3="00000000" w:csb0="00000000" w:csb1="00000000"/>
  </w:font>
  <w:font w:name="Söhne">
    <w:altName w:val="Cambria"/>
    <w:panose1 w:val="00000000000000000000"/>
    <w:charset w:val="00"/>
    <w:family w:val="roman"/>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21" w:usb3="00000000" w:csb0="0000019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10081097"/>
      <w:docPartObj>
        <w:docPartGallery w:val="autotext"/>
      </w:docPartObj>
    </w:sdtPr>
    <w:sdtContent>
      <w:p>
        <w:pPr>
          <w:pStyle w:val="14"/>
        </w:pPr>
        <w:r>
          <w:t xml:space="preserve">Page | </w:t>
        </w:r>
        <w:r>
          <w:fldChar w:fldCharType="begin"/>
        </w:r>
        <w:r>
          <w:instrText xml:space="preserve"> PAGE   \* MERGEFORMAT </w:instrText>
        </w:r>
        <w:r>
          <w:fldChar w:fldCharType="separate"/>
        </w:r>
        <w:r>
          <w:t>2</w:t>
        </w:r>
        <w: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p>
  <w:p>
    <w:pPr>
      <w:pStyle w:val="1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hideSpellingErrors/>
  <w:hideGrammaticalError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4FAD+6doUtAAAA"/>
  </w:docVars>
  <w:rsids>
    <w:rsidRoot w:val="006F71F5"/>
    <w:rsid w:val="00001DF6"/>
    <w:rsid w:val="00002309"/>
    <w:rsid w:val="00002D3D"/>
    <w:rsid w:val="00004531"/>
    <w:rsid w:val="00014330"/>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B7839"/>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04D9F"/>
    <w:rsid w:val="0011111A"/>
    <w:rsid w:val="00112E0D"/>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530D"/>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A2A1F"/>
    <w:rsid w:val="001A2FB0"/>
    <w:rsid w:val="001A469C"/>
    <w:rsid w:val="001B1AF3"/>
    <w:rsid w:val="001B2A9C"/>
    <w:rsid w:val="001B41B6"/>
    <w:rsid w:val="001B4261"/>
    <w:rsid w:val="001B48F2"/>
    <w:rsid w:val="001C1A6B"/>
    <w:rsid w:val="001C3108"/>
    <w:rsid w:val="001C5286"/>
    <w:rsid w:val="001C55A5"/>
    <w:rsid w:val="001D0142"/>
    <w:rsid w:val="001D1551"/>
    <w:rsid w:val="001D2A28"/>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31D8"/>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4B12"/>
    <w:rsid w:val="003768B3"/>
    <w:rsid w:val="003774D8"/>
    <w:rsid w:val="00380C0F"/>
    <w:rsid w:val="003841E5"/>
    <w:rsid w:val="003848F2"/>
    <w:rsid w:val="003868E4"/>
    <w:rsid w:val="003903EE"/>
    <w:rsid w:val="00395520"/>
    <w:rsid w:val="003978D8"/>
    <w:rsid w:val="003A0E13"/>
    <w:rsid w:val="003A4662"/>
    <w:rsid w:val="003A72AE"/>
    <w:rsid w:val="003A7F61"/>
    <w:rsid w:val="003B1824"/>
    <w:rsid w:val="003B385F"/>
    <w:rsid w:val="003B70E6"/>
    <w:rsid w:val="003C02D3"/>
    <w:rsid w:val="003C24FC"/>
    <w:rsid w:val="003D1766"/>
    <w:rsid w:val="003D1E59"/>
    <w:rsid w:val="003D20AB"/>
    <w:rsid w:val="003D2665"/>
    <w:rsid w:val="003D267A"/>
    <w:rsid w:val="003D448F"/>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23510"/>
    <w:rsid w:val="00426FF4"/>
    <w:rsid w:val="00430D15"/>
    <w:rsid w:val="0043612A"/>
    <w:rsid w:val="00443237"/>
    <w:rsid w:val="00443888"/>
    <w:rsid w:val="00444052"/>
    <w:rsid w:val="00455FC9"/>
    <w:rsid w:val="00460EF1"/>
    <w:rsid w:val="00461B0B"/>
    <w:rsid w:val="00462F22"/>
    <w:rsid w:val="004635AE"/>
    <w:rsid w:val="00466606"/>
    <w:rsid w:val="00467D62"/>
    <w:rsid w:val="004736DD"/>
    <w:rsid w:val="00474C7C"/>
    <w:rsid w:val="00477EB8"/>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E51FE"/>
    <w:rsid w:val="004F52E3"/>
    <w:rsid w:val="004F6BFF"/>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02BC"/>
    <w:rsid w:val="005742F6"/>
    <w:rsid w:val="00574619"/>
    <w:rsid w:val="00581093"/>
    <w:rsid w:val="005817DC"/>
    <w:rsid w:val="00583BA6"/>
    <w:rsid w:val="005845C6"/>
    <w:rsid w:val="00585010"/>
    <w:rsid w:val="0058578A"/>
    <w:rsid w:val="00585899"/>
    <w:rsid w:val="005858C5"/>
    <w:rsid w:val="00590AA1"/>
    <w:rsid w:val="0059581C"/>
    <w:rsid w:val="00595B6E"/>
    <w:rsid w:val="00595EC6"/>
    <w:rsid w:val="00596861"/>
    <w:rsid w:val="005970DB"/>
    <w:rsid w:val="00597952"/>
    <w:rsid w:val="005A02E3"/>
    <w:rsid w:val="005A0DD7"/>
    <w:rsid w:val="005A11C1"/>
    <w:rsid w:val="005A53B3"/>
    <w:rsid w:val="005A7ADF"/>
    <w:rsid w:val="005B4B5E"/>
    <w:rsid w:val="005B4D9E"/>
    <w:rsid w:val="005B5B8E"/>
    <w:rsid w:val="005B5D2B"/>
    <w:rsid w:val="005C25C9"/>
    <w:rsid w:val="005C6D80"/>
    <w:rsid w:val="005D2281"/>
    <w:rsid w:val="005D259A"/>
    <w:rsid w:val="005D6BE7"/>
    <w:rsid w:val="005F1551"/>
    <w:rsid w:val="005F17AF"/>
    <w:rsid w:val="005F3E3E"/>
    <w:rsid w:val="005F4A93"/>
    <w:rsid w:val="005F5DED"/>
    <w:rsid w:val="005F7B4C"/>
    <w:rsid w:val="00602C53"/>
    <w:rsid w:val="0060408E"/>
    <w:rsid w:val="00604197"/>
    <w:rsid w:val="00613B8C"/>
    <w:rsid w:val="00614B45"/>
    <w:rsid w:val="006205E6"/>
    <w:rsid w:val="00621B41"/>
    <w:rsid w:val="00625D95"/>
    <w:rsid w:val="006264DE"/>
    <w:rsid w:val="0062717E"/>
    <w:rsid w:val="00627E00"/>
    <w:rsid w:val="00632CE2"/>
    <w:rsid w:val="00633F1F"/>
    <w:rsid w:val="00641078"/>
    <w:rsid w:val="006443FB"/>
    <w:rsid w:val="00645264"/>
    <w:rsid w:val="00645365"/>
    <w:rsid w:val="006456CA"/>
    <w:rsid w:val="006475E6"/>
    <w:rsid w:val="0065295C"/>
    <w:rsid w:val="00652F6C"/>
    <w:rsid w:val="006534C7"/>
    <w:rsid w:val="00664C5B"/>
    <w:rsid w:val="00666D4B"/>
    <w:rsid w:val="00677E72"/>
    <w:rsid w:val="00680989"/>
    <w:rsid w:val="00680C13"/>
    <w:rsid w:val="00681821"/>
    <w:rsid w:val="006838E6"/>
    <w:rsid w:val="00683FB6"/>
    <w:rsid w:val="00686251"/>
    <w:rsid w:val="00687E17"/>
    <w:rsid w:val="00690FE7"/>
    <w:rsid w:val="00692F0B"/>
    <w:rsid w:val="006959BC"/>
    <w:rsid w:val="0069632B"/>
    <w:rsid w:val="006A098F"/>
    <w:rsid w:val="006A1772"/>
    <w:rsid w:val="006A43A8"/>
    <w:rsid w:val="006A6078"/>
    <w:rsid w:val="006B2E77"/>
    <w:rsid w:val="006B7A36"/>
    <w:rsid w:val="006C11B8"/>
    <w:rsid w:val="006C4738"/>
    <w:rsid w:val="006C63CC"/>
    <w:rsid w:val="006C6C70"/>
    <w:rsid w:val="006D299C"/>
    <w:rsid w:val="006D30A1"/>
    <w:rsid w:val="006D4671"/>
    <w:rsid w:val="006D542B"/>
    <w:rsid w:val="006D635D"/>
    <w:rsid w:val="006D7608"/>
    <w:rsid w:val="006E4C65"/>
    <w:rsid w:val="006F0AE7"/>
    <w:rsid w:val="006F3FA8"/>
    <w:rsid w:val="006F69D9"/>
    <w:rsid w:val="006F71F5"/>
    <w:rsid w:val="007004D6"/>
    <w:rsid w:val="00703A87"/>
    <w:rsid w:val="00704378"/>
    <w:rsid w:val="007057B1"/>
    <w:rsid w:val="00707D7B"/>
    <w:rsid w:val="00712BDD"/>
    <w:rsid w:val="00725F89"/>
    <w:rsid w:val="00733570"/>
    <w:rsid w:val="0073473E"/>
    <w:rsid w:val="00742D06"/>
    <w:rsid w:val="00744D07"/>
    <w:rsid w:val="00744DF5"/>
    <w:rsid w:val="007453BB"/>
    <w:rsid w:val="007453CD"/>
    <w:rsid w:val="00745C91"/>
    <w:rsid w:val="00746753"/>
    <w:rsid w:val="00750C7E"/>
    <w:rsid w:val="00757F11"/>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31AFE"/>
    <w:rsid w:val="00837DDA"/>
    <w:rsid w:val="00841E80"/>
    <w:rsid w:val="00843FDF"/>
    <w:rsid w:val="00845755"/>
    <w:rsid w:val="00845C09"/>
    <w:rsid w:val="00851C71"/>
    <w:rsid w:val="0086616B"/>
    <w:rsid w:val="008673A4"/>
    <w:rsid w:val="00880D9D"/>
    <w:rsid w:val="00881867"/>
    <w:rsid w:val="00882BE1"/>
    <w:rsid w:val="008926CE"/>
    <w:rsid w:val="00894C15"/>
    <w:rsid w:val="00895EB5"/>
    <w:rsid w:val="008A0FF6"/>
    <w:rsid w:val="008A3181"/>
    <w:rsid w:val="008B0AA5"/>
    <w:rsid w:val="008B2376"/>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A9D"/>
    <w:rsid w:val="00936E20"/>
    <w:rsid w:val="00940F9C"/>
    <w:rsid w:val="00944F89"/>
    <w:rsid w:val="00945A67"/>
    <w:rsid w:val="00946C0B"/>
    <w:rsid w:val="00946C98"/>
    <w:rsid w:val="00946F1E"/>
    <w:rsid w:val="00952480"/>
    <w:rsid w:val="0095263D"/>
    <w:rsid w:val="00952AB8"/>
    <w:rsid w:val="0095707B"/>
    <w:rsid w:val="00961832"/>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006"/>
    <w:rsid w:val="009F65D5"/>
    <w:rsid w:val="00A0476D"/>
    <w:rsid w:val="00A05216"/>
    <w:rsid w:val="00A06523"/>
    <w:rsid w:val="00A110D8"/>
    <w:rsid w:val="00A13F60"/>
    <w:rsid w:val="00A14136"/>
    <w:rsid w:val="00A15E29"/>
    <w:rsid w:val="00A17EAB"/>
    <w:rsid w:val="00A21B38"/>
    <w:rsid w:val="00A21F23"/>
    <w:rsid w:val="00A22EA0"/>
    <w:rsid w:val="00A234B0"/>
    <w:rsid w:val="00A3000B"/>
    <w:rsid w:val="00A3245E"/>
    <w:rsid w:val="00A33F74"/>
    <w:rsid w:val="00A33FF8"/>
    <w:rsid w:val="00A35E19"/>
    <w:rsid w:val="00A378B3"/>
    <w:rsid w:val="00A40228"/>
    <w:rsid w:val="00A40888"/>
    <w:rsid w:val="00A4258E"/>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25D7"/>
    <w:rsid w:val="00AE261A"/>
    <w:rsid w:val="00AE2808"/>
    <w:rsid w:val="00AE2F90"/>
    <w:rsid w:val="00AE37BC"/>
    <w:rsid w:val="00AE473A"/>
    <w:rsid w:val="00AF0A06"/>
    <w:rsid w:val="00AF0A5D"/>
    <w:rsid w:val="00AF25A8"/>
    <w:rsid w:val="00AF5651"/>
    <w:rsid w:val="00B009B0"/>
    <w:rsid w:val="00B0308B"/>
    <w:rsid w:val="00B03774"/>
    <w:rsid w:val="00B0538B"/>
    <w:rsid w:val="00B05BF4"/>
    <w:rsid w:val="00B06908"/>
    <w:rsid w:val="00B16B95"/>
    <w:rsid w:val="00B173D9"/>
    <w:rsid w:val="00B20C66"/>
    <w:rsid w:val="00B30F02"/>
    <w:rsid w:val="00B34077"/>
    <w:rsid w:val="00B34C49"/>
    <w:rsid w:val="00B3571C"/>
    <w:rsid w:val="00B4219D"/>
    <w:rsid w:val="00B44209"/>
    <w:rsid w:val="00B44692"/>
    <w:rsid w:val="00B44928"/>
    <w:rsid w:val="00B44BC1"/>
    <w:rsid w:val="00B46E61"/>
    <w:rsid w:val="00B473DB"/>
    <w:rsid w:val="00B47F92"/>
    <w:rsid w:val="00B5225D"/>
    <w:rsid w:val="00B52CDF"/>
    <w:rsid w:val="00B54215"/>
    <w:rsid w:val="00B56151"/>
    <w:rsid w:val="00B57102"/>
    <w:rsid w:val="00B63690"/>
    <w:rsid w:val="00B64F8A"/>
    <w:rsid w:val="00B65C05"/>
    <w:rsid w:val="00B66446"/>
    <w:rsid w:val="00B7179A"/>
    <w:rsid w:val="00B72962"/>
    <w:rsid w:val="00B817CB"/>
    <w:rsid w:val="00B90A7B"/>
    <w:rsid w:val="00B91F56"/>
    <w:rsid w:val="00B975A0"/>
    <w:rsid w:val="00BA0671"/>
    <w:rsid w:val="00BA09D9"/>
    <w:rsid w:val="00BB00D1"/>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361E7"/>
    <w:rsid w:val="00C412F8"/>
    <w:rsid w:val="00C4421F"/>
    <w:rsid w:val="00C442CE"/>
    <w:rsid w:val="00C449B6"/>
    <w:rsid w:val="00C454E0"/>
    <w:rsid w:val="00C47C6E"/>
    <w:rsid w:val="00C506E4"/>
    <w:rsid w:val="00C532F6"/>
    <w:rsid w:val="00C62CE1"/>
    <w:rsid w:val="00C6553E"/>
    <w:rsid w:val="00C67E98"/>
    <w:rsid w:val="00C710B6"/>
    <w:rsid w:val="00C730F6"/>
    <w:rsid w:val="00C77CF2"/>
    <w:rsid w:val="00C829E4"/>
    <w:rsid w:val="00C83D91"/>
    <w:rsid w:val="00C84B84"/>
    <w:rsid w:val="00C86130"/>
    <w:rsid w:val="00C86A27"/>
    <w:rsid w:val="00C86A6C"/>
    <w:rsid w:val="00C87F4F"/>
    <w:rsid w:val="00C92072"/>
    <w:rsid w:val="00C92C63"/>
    <w:rsid w:val="00C947C7"/>
    <w:rsid w:val="00C94A84"/>
    <w:rsid w:val="00C962BF"/>
    <w:rsid w:val="00CA1ECF"/>
    <w:rsid w:val="00CA491A"/>
    <w:rsid w:val="00CA6020"/>
    <w:rsid w:val="00CA6659"/>
    <w:rsid w:val="00CA6BA9"/>
    <w:rsid w:val="00CB26E3"/>
    <w:rsid w:val="00CB2D52"/>
    <w:rsid w:val="00CB634D"/>
    <w:rsid w:val="00CB70CD"/>
    <w:rsid w:val="00CB7C67"/>
    <w:rsid w:val="00CC0FE4"/>
    <w:rsid w:val="00CC1E29"/>
    <w:rsid w:val="00CC317A"/>
    <w:rsid w:val="00CC68D8"/>
    <w:rsid w:val="00CD1A37"/>
    <w:rsid w:val="00CD4103"/>
    <w:rsid w:val="00CD43DA"/>
    <w:rsid w:val="00CD4AB4"/>
    <w:rsid w:val="00CD5801"/>
    <w:rsid w:val="00CD7C5C"/>
    <w:rsid w:val="00CE4121"/>
    <w:rsid w:val="00CE506B"/>
    <w:rsid w:val="00CE52EE"/>
    <w:rsid w:val="00CE6545"/>
    <w:rsid w:val="00CE78D7"/>
    <w:rsid w:val="00CF0035"/>
    <w:rsid w:val="00CF16E3"/>
    <w:rsid w:val="00CF5624"/>
    <w:rsid w:val="00CF5FD7"/>
    <w:rsid w:val="00D00067"/>
    <w:rsid w:val="00D01A18"/>
    <w:rsid w:val="00D039BB"/>
    <w:rsid w:val="00D04FB3"/>
    <w:rsid w:val="00D07039"/>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ADA"/>
    <w:rsid w:val="00DD3F47"/>
    <w:rsid w:val="00DE0C8E"/>
    <w:rsid w:val="00DE3072"/>
    <w:rsid w:val="00DE322D"/>
    <w:rsid w:val="00DE3D36"/>
    <w:rsid w:val="00DE540E"/>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593"/>
    <w:rsid w:val="00F57893"/>
    <w:rsid w:val="00F72461"/>
    <w:rsid w:val="00F8660B"/>
    <w:rsid w:val="00F90671"/>
    <w:rsid w:val="00F92EA1"/>
    <w:rsid w:val="00F93827"/>
    <w:rsid w:val="00F94C31"/>
    <w:rsid w:val="00F95AEB"/>
    <w:rsid w:val="00F96B83"/>
    <w:rsid w:val="00F97499"/>
    <w:rsid w:val="00FA0712"/>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 w:val="2A591643"/>
    <w:rsid w:val="2CEF5A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semiHidden="0" w:name="toc 4"/>
    <w:lsdException w:uiPriority="39" w:semiHidden="0" w:name="toc 5"/>
    <w:lsdException w:qFormat="1" w:uiPriority="39" w:semiHidden="0" w:name="toc 6"/>
    <w:lsdException w:qFormat="1" w:uiPriority="39" w:semiHidden="0" w:name="toc 7"/>
    <w:lsdException w:qFormat="1" w:uiPriority="39" w:semiHidden="0" w:name="toc 8"/>
    <w:lsdException w:qFormat="1" w:uiPriority="39" w:semiHidden="0"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iPriority="65"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34"/>
    <w:qFormat/>
    <w:uiPriority w:val="9"/>
    <w:pPr>
      <w:keepNext/>
      <w:keepLines/>
      <w:spacing w:before="360" w:after="240"/>
      <w:jc w:val="both"/>
      <w:outlineLvl w:val="0"/>
    </w:pPr>
    <w:rPr>
      <w:rFonts w:ascii="Arial" w:hAnsi="Arial" w:cs="Times New Roman" w:eastAsiaTheme="majorEastAsia"/>
      <w:b/>
      <w:bCs/>
      <w:color w:val="17375E" w:themeColor="text2" w:themeShade="BF"/>
      <w:szCs w:val="24"/>
      <w:lang w:eastAsia="ja-JP"/>
    </w:rPr>
  </w:style>
  <w:style w:type="paragraph" w:styleId="3">
    <w:name w:val="heading 2"/>
    <w:basedOn w:val="1"/>
    <w:next w:val="1"/>
    <w:link w:val="39"/>
    <w:unhideWhenUsed/>
    <w:qFormat/>
    <w:uiPriority w:val="9"/>
    <w:pPr>
      <w:keepNext/>
      <w:keepLines/>
      <w:spacing w:before="40" w:after="0" w:line="360" w:lineRule="auto"/>
      <w:jc w:val="both"/>
      <w:outlineLvl w:val="1"/>
    </w:pPr>
    <w:rPr>
      <w:rFonts w:ascii="Arial" w:hAnsi="Arial" w:eastAsiaTheme="majorEastAsia" w:cstheme="majorBidi"/>
      <w:b/>
      <w:color w:val="376092" w:themeColor="accent1" w:themeShade="BF"/>
      <w:szCs w:val="26"/>
      <w:lang w:eastAsia="ja-JP"/>
    </w:rPr>
  </w:style>
  <w:style w:type="paragraph" w:styleId="4">
    <w:name w:val="heading 3"/>
    <w:basedOn w:val="1"/>
    <w:next w:val="1"/>
    <w:link w:val="43"/>
    <w:unhideWhenUsed/>
    <w:qFormat/>
    <w:uiPriority w:val="9"/>
    <w:pPr>
      <w:keepNext/>
      <w:keepLines/>
      <w:spacing w:before="240" w:after="240"/>
      <w:jc w:val="both"/>
      <w:outlineLvl w:val="2"/>
    </w:pPr>
    <w:rPr>
      <w:rFonts w:ascii="Arial" w:hAnsi="Arial" w:eastAsiaTheme="majorEastAsia" w:cstheme="majorBidi"/>
      <w:b/>
      <w:color w:val="254061" w:themeColor="accent1" w:themeShade="80"/>
      <w:szCs w:val="24"/>
    </w:rPr>
  </w:style>
  <w:style w:type="paragraph" w:styleId="5">
    <w:name w:val="heading 4"/>
    <w:basedOn w:val="1"/>
    <w:next w:val="1"/>
    <w:link w:val="45"/>
    <w:unhideWhenUsed/>
    <w:qFormat/>
    <w:uiPriority w:val="9"/>
    <w:pPr>
      <w:keepNext/>
      <w:keepLines/>
      <w:spacing w:before="40" w:after="0"/>
      <w:outlineLvl w:val="3"/>
    </w:pPr>
    <w:rPr>
      <w:rFonts w:ascii="Arial" w:hAnsi="Arial" w:eastAsiaTheme="majorEastAsia" w:cstheme="majorBidi"/>
      <w:b/>
      <w:iCs/>
      <w:color w:val="632523" w:themeColor="accent2" w:themeShade="80"/>
    </w:rPr>
  </w:style>
  <w:style w:type="character" w:default="1" w:styleId="6">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32"/>
    <w:semiHidden/>
    <w:unhideWhenUsed/>
    <w:uiPriority w:val="99"/>
    <w:pPr>
      <w:spacing w:after="0" w:line="240" w:lineRule="auto"/>
    </w:pPr>
    <w:rPr>
      <w:rFonts w:ascii="Tahoma" w:hAnsi="Tahoma" w:cs="Tahoma"/>
      <w:sz w:val="16"/>
      <w:szCs w:val="16"/>
    </w:rPr>
  </w:style>
  <w:style w:type="paragraph" w:styleId="9">
    <w:name w:val="caption"/>
    <w:basedOn w:val="1"/>
    <w:next w:val="1"/>
    <w:unhideWhenUsed/>
    <w:qFormat/>
    <w:uiPriority w:val="35"/>
    <w:pPr>
      <w:spacing w:line="240" w:lineRule="auto"/>
    </w:pPr>
    <w:rPr>
      <w:i/>
      <w:iCs/>
      <w:color w:val="1F497D" w:themeColor="text2"/>
      <w:sz w:val="18"/>
      <w:szCs w:val="18"/>
      <w14:textFill>
        <w14:solidFill>
          <w14:schemeClr w14:val="tx2"/>
        </w14:solidFill>
      </w14:textFill>
    </w:rPr>
  </w:style>
  <w:style w:type="character" w:styleId="10">
    <w:name w:val="annotation reference"/>
    <w:basedOn w:val="6"/>
    <w:semiHidden/>
    <w:unhideWhenUsed/>
    <w:uiPriority w:val="99"/>
    <w:rPr>
      <w:sz w:val="16"/>
      <w:szCs w:val="16"/>
    </w:rPr>
  </w:style>
  <w:style w:type="paragraph" w:styleId="11">
    <w:name w:val="annotation text"/>
    <w:basedOn w:val="1"/>
    <w:link w:val="46"/>
    <w:semiHidden/>
    <w:unhideWhenUsed/>
    <w:uiPriority w:val="99"/>
    <w:pPr>
      <w:spacing w:line="240" w:lineRule="auto"/>
    </w:pPr>
    <w:rPr>
      <w:sz w:val="20"/>
      <w:szCs w:val="20"/>
    </w:rPr>
  </w:style>
  <w:style w:type="paragraph" w:styleId="12">
    <w:name w:val="annotation subject"/>
    <w:basedOn w:val="11"/>
    <w:next w:val="11"/>
    <w:link w:val="47"/>
    <w:semiHidden/>
    <w:unhideWhenUsed/>
    <w:uiPriority w:val="99"/>
    <w:rPr>
      <w:b/>
      <w:bCs/>
    </w:rPr>
  </w:style>
  <w:style w:type="character" w:styleId="13">
    <w:name w:val="FollowedHyperlink"/>
    <w:basedOn w:val="6"/>
    <w:semiHidden/>
    <w:unhideWhenUsed/>
    <w:qFormat/>
    <w:uiPriority w:val="99"/>
    <w:rPr>
      <w:color w:val="800080" w:themeColor="followedHyperlink"/>
      <w:u w:val="single"/>
      <w14:textFill>
        <w14:solidFill>
          <w14:schemeClr w14:val="folHlink"/>
        </w14:solidFill>
      </w14:textFill>
    </w:rPr>
  </w:style>
  <w:style w:type="paragraph" w:styleId="14">
    <w:name w:val="footer"/>
    <w:basedOn w:val="1"/>
    <w:link w:val="38"/>
    <w:unhideWhenUsed/>
    <w:uiPriority w:val="99"/>
    <w:pPr>
      <w:tabs>
        <w:tab w:val="center" w:pos="4513"/>
        <w:tab w:val="right" w:pos="9026"/>
      </w:tabs>
      <w:spacing w:after="0" w:line="240" w:lineRule="auto"/>
    </w:pPr>
  </w:style>
  <w:style w:type="paragraph" w:styleId="15">
    <w:name w:val="header"/>
    <w:basedOn w:val="1"/>
    <w:link w:val="37"/>
    <w:unhideWhenUsed/>
    <w:uiPriority w:val="99"/>
    <w:pPr>
      <w:tabs>
        <w:tab w:val="center" w:pos="4513"/>
        <w:tab w:val="right" w:pos="9026"/>
      </w:tabs>
      <w:spacing w:after="0" w:line="240" w:lineRule="auto"/>
    </w:pPr>
  </w:style>
  <w:style w:type="character" w:styleId="16">
    <w:name w:val="Hyperlink"/>
    <w:basedOn w:val="6"/>
    <w:unhideWhenUsed/>
    <w:uiPriority w:val="99"/>
    <w:rPr>
      <w:color w:val="0000FF" w:themeColor="hyperlink"/>
      <w:u w:val="single"/>
      <w14:textFill>
        <w14:solidFill>
          <w14:schemeClr w14:val="hlink"/>
        </w14:solidFill>
      </w14:textFill>
    </w:rPr>
  </w:style>
  <w:style w:type="paragraph" w:styleId="17">
    <w:name w:val="Normal (Web)"/>
    <w:basedOn w:val="1"/>
    <w:unhideWhenUsed/>
    <w:uiPriority w:val="99"/>
    <w:pPr>
      <w:spacing w:before="100" w:beforeAutospacing="1" w:after="100" w:afterAutospacing="1" w:line="240" w:lineRule="auto"/>
    </w:pPr>
    <w:rPr>
      <w:rFonts w:eastAsia="Times New Roman" w:cs="Times New Roman"/>
      <w:szCs w:val="24"/>
      <w:lang w:val="en-US"/>
    </w:rPr>
  </w:style>
  <w:style w:type="character" w:styleId="18">
    <w:name w:val="Strong"/>
    <w:basedOn w:val="6"/>
    <w:qFormat/>
    <w:uiPriority w:val="22"/>
    <w:rPr>
      <w:b/>
      <w:bCs/>
    </w:rPr>
  </w:style>
  <w:style w:type="paragraph" w:styleId="19">
    <w:name w:val="table of figures"/>
    <w:basedOn w:val="1"/>
    <w:next w:val="1"/>
    <w:unhideWhenUsed/>
    <w:uiPriority w:val="99"/>
    <w:pPr>
      <w:spacing w:after="0"/>
    </w:pPr>
  </w:style>
  <w:style w:type="paragraph" w:styleId="20">
    <w:name w:val="toc 1"/>
    <w:basedOn w:val="1"/>
    <w:next w:val="1"/>
    <w:unhideWhenUsed/>
    <w:qFormat/>
    <w:uiPriority w:val="39"/>
    <w:pPr>
      <w:spacing w:after="100"/>
    </w:pPr>
  </w:style>
  <w:style w:type="paragraph" w:styleId="21">
    <w:name w:val="toc 2"/>
    <w:basedOn w:val="1"/>
    <w:next w:val="1"/>
    <w:unhideWhenUsed/>
    <w:uiPriority w:val="39"/>
    <w:pPr>
      <w:spacing w:after="100"/>
      <w:ind w:left="220"/>
    </w:pPr>
  </w:style>
  <w:style w:type="paragraph" w:styleId="22">
    <w:name w:val="toc 3"/>
    <w:basedOn w:val="1"/>
    <w:next w:val="1"/>
    <w:unhideWhenUsed/>
    <w:qFormat/>
    <w:uiPriority w:val="39"/>
    <w:pPr>
      <w:spacing w:after="100"/>
      <w:ind w:left="440"/>
    </w:pPr>
  </w:style>
  <w:style w:type="paragraph" w:styleId="23">
    <w:name w:val="toc 4"/>
    <w:basedOn w:val="1"/>
    <w:next w:val="1"/>
    <w:unhideWhenUsed/>
    <w:uiPriority w:val="39"/>
    <w:pPr>
      <w:spacing w:after="100"/>
      <w:ind w:left="660"/>
    </w:pPr>
  </w:style>
  <w:style w:type="paragraph" w:styleId="24">
    <w:name w:val="toc 5"/>
    <w:basedOn w:val="1"/>
    <w:next w:val="1"/>
    <w:unhideWhenUsed/>
    <w:uiPriority w:val="39"/>
    <w:pPr>
      <w:spacing w:after="100" w:line="259" w:lineRule="auto"/>
      <w:ind w:left="880"/>
    </w:pPr>
    <w:rPr>
      <w:rFonts w:asciiTheme="minorHAnsi" w:hAnsiTheme="minorHAnsi" w:eastAsiaTheme="minorEastAsia"/>
      <w:sz w:val="22"/>
      <w:lang w:val="en-US"/>
    </w:rPr>
  </w:style>
  <w:style w:type="paragraph" w:styleId="25">
    <w:name w:val="toc 6"/>
    <w:basedOn w:val="1"/>
    <w:next w:val="1"/>
    <w:unhideWhenUsed/>
    <w:qFormat/>
    <w:uiPriority w:val="39"/>
    <w:pPr>
      <w:spacing w:after="100" w:line="259" w:lineRule="auto"/>
      <w:ind w:left="1100"/>
    </w:pPr>
    <w:rPr>
      <w:rFonts w:asciiTheme="minorHAnsi" w:hAnsiTheme="minorHAnsi" w:eastAsiaTheme="minorEastAsia"/>
      <w:sz w:val="22"/>
      <w:lang w:val="en-US"/>
    </w:rPr>
  </w:style>
  <w:style w:type="paragraph" w:styleId="26">
    <w:name w:val="toc 7"/>
    <w:basedOn w:val="1"/>
    <w:next w:val="1"/>
    <w:unhideWhenUsed/>
    <w:qFormat/>
    <w:uiPriority w:val="39"/>
    <w:pPr>
      <w:spacing w:after="100" w:line="259" w:lineRule="auto"/>
      <w:ind w:left="1320"/>
    </w:pPr>
    <w:rPr>
      <w:rFonts w:asciiTheme="minorHAnsi" w:hAnsiTheme="minorHAnsi" w:eastAsiaTheme="minorEastAsia"/>
      <w:sz w:val="22"/>
      <w:lang w:val="en-US"/>
    </w:rPr>
  </w:style>
  <w:style w:type="paragraph" w:styleId="27">
    <w:name w:val="toc 8"/>
    <w:basedOn w:val="1"/>
    <w:next w:val="1"/>
    <w:unhideWhenUsed/>
    <w:qFormat/>
    <w:uiPriority w:val="39"/>
    <w:pPr>
      <w:spacing w:after="100" w:line="259" w:lineRule="auto"/>
      <w:ind w:left="1540"/>
    </w:pPr>
    <w:rPr>
      <w:rFonts w:asciiTheme="minorHAnsi" w:hAnsiTheme="minorHAnsi" w:eastAsiaTheme="minorEastAsia"/>
      <w:sz w:val="22"/>
      <w:lang w:val="en-US"/>
    </w:rPr>
  </w:style>
  <w:style w:type="paragraph" w:styleId="28">
    <w:name w:val="toc 9"/>
    <w:basedOn w:val="1"/>
    <w:next w:val="1"/>
    <w:unhideWhenUsed/>
    <w:qFormat/>
    <w:uiPriority w:val="39"/>
    <w:pPr>
      <w:spacing w:after="100" w:line="259" w:lineRule="auto"/>
      <w:ind w:left="1760"/>
    </w:pPr>
    <w:rPr>
      <w:rFonts w:asciiTheme="minorHAnsi" w:hAnsiTheme="minorHAnsi" w:eastAsiaTheme="minorEastAsia"/>
      <w:sz w:val="22"/>
      <w:lang w:val="en-US"/>
    </w:rPr>
  </w:style>
  <w:style w:type="table" w:styleId="29">
    <w:name w:val="Medium List 1 Accent 5"/>
    <w:basedOn w:val="7"/>
    <w:semiHidden/>
    <w:unhideWhenUsed/>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30">
    <w:name w:val="Colorful Shading Accent 3"/>
    <w:basedOn w:val="7"/>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paragraph" w:styleId="31">
    <w:name w:val="List Paragraph"/>
    <w:basedOn w:val="1"/>
    <w:qFormat/>
    <w:uiPriority w:val="34"/>
    <w:pPr>
      <w:ind w:left="720"/>
      <w:contextualSpacing/>
    </w:pPr>
  </w:style>
  <w:style w:type="character" w:customStyle="1" w:styleId="32">
    <w:name w:val="Balloon Text Char"/>
    <w:basedOn w:val="6"/>
    <w:link w:val="8"/>
    <w:semiHidden/>
    <w:uiPriority w:val="99"/>
    <w:rPr>
      <w:rFonts w:ascii="Tahoma" w:hAnsi="Tahoma" w:cs="Tahoma"/>
      <w:sz w:val="16"/>
      <w:szCs w:val="16"/>
    </w:rPr>
  </w:style>
  <w:style w:type="paragraph" w:customStyle="1" w:styleId="33">
    <w:name w:val="Bibliography"/>
    <w:basedOn w:val="1"/>
    <w:next w:val="1"/>
    <w:unhideWhenUsed/>
    <w:uiPriority w:val="37"/>
  </w:style>
  <w:style w:type="character" w:customStyle="1" w:styleId="34">
    <w:name w:val="Heading 1 Char"/>
    <w:basedOn w:val="6"/>
    <w:link w:val="2"/>
    <w:qFormat/>
    <w:uiPriority w:val="9"/>
    <w:rPr>
      <w:rFonts w:ascii="Arial" w:hAnsi="Arial" w:cs="Times New Roman" w:eastAsiaTheme="majorEastAsia"/>
      <w:b/>
      <w:bCs/>
      <w:color w:val="17375E" w:themeColor="text2" w:themeShade="BF"/>
      <w:sz w:val="24"/>
      <w:szCs w:val="24"/>
      <w:lang w:eastAsia="ja-JP"/>
    </w:rPr>
  </w:style>
  <w:style w:type="paragraph" w:styleId="35">
    <w:name w:val="No Spacing"/>
    <w:link w:val="36"/>
    <w:qFormat/>
    <w:uiPriority w:val="1"/>
    <w:pPr>
      <w:spacing w:after="0" w:line="240" w:lineRule="auto"/>
    </w:pPr>
    <w:rPr>
      <w:rFonts w:asciiTheme="minorHAnsi" w:hAnsiTheme="minorHAnsi" w:eastAsiaTheme="minorEastAsia" w:cstheme="minorBidi"/>
      <w:sz w:val="22"/>
      <w:szCs w:val="22"/>
      <w:lang w:val="en-US" w:eastAsia="ja-JP" w:bidi="ar-SA"/>
    </w:rPr>
  </w:style>
  <w:style w:type="character" w:customStyle="1" w:styleId="36">
    <w:name w:val="No Spacing Char"/>
    <w:basedOn w:val="6"/>
    <w:link w:val="35"/>
    <w:uiPriority w:val="1"/>
    <w:rPr>
      <w:rFonts w:eastAsiaTheme="minorEastAsia"/>
      <w:lang w:val="en-US" w:eastAsia="ja-JP"/>
    </w:rPr>
  </w:style>
  <w:style w:type="character" w:customStyle="1" w:styleId="37">
    <w:name w:val="Header Char"/>
    <w:basedOn w:val="6"/>
    <w:link w:val="15"/>
    <w:uiPriority w:val="99"/>
  </w:style>
  <w:style w:type="character" w:customStyle="1" w:styleId="38">
    <w:name w:val="Footer Char"/>
    <w:basedOn w:val="6"/>
    <w:link w:val="14"/>
    <w:uiPriority w:val="99"/>
  </w:style>
  <w:style w:type="character" w:customStyle="1" w:styleId="39">
    <w:name w:val="Heading 2 Char"/>
    <w:basedOn w:val="6"/>
    <w:link w:val="3"/>
    <w:uiPriority w:val="9"/>
    <w:rPr>
      <w:rFonts w:ascii="Arial" w:hAnsi="Arial" w:eastAsiaTheme="majorEastAsia" w:cstheme="majorBidi"/>
      <w:b/>
      <w:color w:val="376092" w:themeColor="accent1" w:themeShade="BF"/>
      <w:sz w:val="24"/>
      <w:szCs w:val="26"/>
      <w:lang w:eastAsia="ja-JP"/>
    </w:rPr>
  </w:style>
  <w:style w:type="paragraph" w:customStyle="1" w:styleId="40">
    <w:name w:val="TOC Heading"/>
    <w:basedOn w:val="2"/>
    <w:next w:val="1"/>
    <w:unhideWhenUsed/>
    <w:qFormat/>
    <w:uiPriority w:val="39"/>
    <w:pPr>
      <w:spacing w:before="240" w:line="259" w:lineRule="auto"/>
      <w:outlineLvl w:val="9"/>
    </w:pPr>
    <w:rPr>
      <w:rFonts w:asciiTheme="majorHAnsi" w:hAnsiTheme="majorHAnsi"/>
      <w:b w:val="0"/>
      <w:bCs w:val="0"/>
      <w:color w:val="376092" w:themeColor="accent1" w:themeShade="BF"/>
      <w:sz w:val="32"/>
      <w:szCs w:val="32"/>
      <w:lang w:eastAsia="en-US"/>
    </w:rPr>
  </w:style>
  <w:style w:type="character" w:customStyle="1" w:styleId="41">
    <w:name w:val="Unresolved Mention"/>
    <w:basedOn w:val="6"/>
    <w:semiHidden/>
    <w:unhideWhenUsed/>
    <w:qFormat/>
    <w:uiPriority w:val="99"/>
    <w:rPr>
      <w:color w:val="605E5C"/>
      <w:shd w:val="clear" w:color="auto" w:fill="E1DFDD"/>
    </w:rPr>
  </w:style>
  <w:style w:type="character" w:customStyle="1" w:styleId="42">
    <w:name w:val="fontstyle01"/>
    <w:basedOn w:val="6"/>
    <w:uiPriority w:val="0"/>
    <w:rPr>
      <w:rFonts w:hint="default" w:ascii="LinoLetter-Roman" w:hAnsi="LinoLetter-Roman"/>
      <w:color w:val="242021"/>
      <w:sz w:val="20"/>
      <w:szCs w:val="20"/>
    </w:rPr>
  </w:style>
  <w:style w:type="character" w:customStyle="1" w:styleId="43">
    <w:name w:val="Heading 3 Char"/>
    <w:basedOn w:val="6"/>
    <w:link w:val="4"/>
    <w:uiPriority w:val="9"/>
    <w:rPr>
      <w:rFonts w:ascii="Arial" w:hAnsi="Arial" w:eastAsiaTheme="majorEastAsia" w:cstheme="majorBidi"/>
      <w:b/>
      <w:color w:val="254061" w:themeColor="accent1" w:themeShade="80"/>
      <w:sz w:val="24"/>
      <w:szCs w:val="24"/>
    </w:rPr>
  </w:style>
  <w:style w:type="table" w:customStyle="1" w:styleId="44">
    <w:name w:val="Medium List 1 - Accent 51"/>
    <w:basedOn w:val="7"/>
    <w:uiPriority w:val="65"/>
    <w:pPr>
      <w:spacing w:after="0" w:line="240" w:lineRule="auto"/>
      <w:jc w:val="both"/>
    </w:pPr>
    <w:rPr>
      <w:rFonts w:ascii="Times New Roman" w:hAnsi="Times New Roman" w:eastAsia="Times New Roman" w:cs="Times New Roman"/>
      <w:color w:val="000000"/>
      <w:sz w:val="24"/>
      <w:szCs w:val="24"/>
    </w:rPr>
    <w:tblPr>
      <w:tblBorders>
        <w:top w:val="single" w:color="4BACC6" w:sz="8" w:space="0"/>
        <w:bottom w:val="single" w:color="4BACC6" w:sz="8" w:space="0"/>
      </w:tblBorders>
    </w:tblPr>
    <w:tblStylePr w:type="firstRow">
      <w:rPr>
        <w:rFonts w:ascii="Cambria" w:hAnsi="Cambria" w:eastAsia="Times New Roman" w:cs="Times New Roman"/>
      </w:rPr>
      <w:tcPr>
        <w:tcBorders>
          <w:top w:val="nil"/>
          <w:bottom w:val="single" w:color="4BACC6" w:sz="8" w:space="0"/>
        </w:tcBorders>
      </w:tcPr>
    </w:tblStylePr>
    <w:tblStylePr w:type="lastRow">
      <w:rPr>
        <w:b/>
        <w:bCs/>
        <w:color w:val="1F497D"/>
      </w:rPr>
      <w:tcPr>
        <w:tcBorders>
          <w:top w:val="single" w:color="4BACC6" w:sz="8" w:space="0"/>
          <w:bottom w:val="single" w:color="4BACC6" w:sz="8" w:space="0"/>
        </w:tcBorders>
      </w:tcPr>
    </w:tblStylePr>
    <w:tblStylePr w:type="firstCol">
      <w:rPr>
        <w:b/>
        <w:bCs/>
      </w:rPr>
    </w:tblStylePr>
    <w:tblStylePr w:type="lastCol">
      <w:rPr>
        <w:b/>
        <w:bCs/>
      </w:rPr>
      <w:tcPr>
        <w:tcBorders>
          <w:top w:val="single" w:color="4BACC6" w:sz="8" w:space="0"/>
          <w:bottom w:val="single" w:color="4BACC6" w:sz="8" w:space="0"/>
        </w:tcBorders>
      </w:tcPr>
    </w:tblStylePr>
    <w:tblStylePr w:type="band1Vert">
      <w:tcPr>
        <w:shd w:val="clear" w:color="auto" w:fill="D2EAF1"/>
      </w:tcPr>
    </w:tblStylePr>
    <w:tblStylePr w:type="band1Horz">
      <w:tcPr>
        <w:shd w:val="clear" w:color="auto" w:fill="D2EAF1"/>
      </w:tcPr>
    </w:tblStylePr>
  </w:style>
  <w:style w:type="character" w:customStyle="1" w:styleId="45">
    <w:name w:val="Heading 4 Char"/>
    <w:basedOn w:val="6"/>
    <w:link w:val="5"/>
    <w:qFormat/>
    <w:uiPriority w:val="9"/>
    <w:rPr>
      <w:rFonts w:ascii="Arial" w:hAnsi="Arial" w:eastAsiaTheme="majorEastAsia" w:cstheme="majorBidi"/>
      <w:b/>
      <w:iCs/>
      <w:color w:val="632523" w:themeColor="accent2" w:themeShade="80"/>
    </w:rPr>
  </w:style>
  <w:style w:type="character" w:customStyle="1" w:styleId="46">
    <w:name w:val="Comment Text Char"/>
    <w:basedOn w:val="6"/>
    <w:link w:val="11"/>
    <w:semiHidden/>
    <w:uiPriority w:val="99"/>
    <w:rPr>
      <w:rFonts w:ascii="Times New Roman" w:hAnsi="Times New Roman"/>
      <w:sz w:val="20"/>
      <w:szCs w:val="20"/>
    </w:rPr>
  </w:style>
  <w:style w:type="character" w:customStyle="1" w:styleId="47">
    <w:name w:val="Comment Subject Char"/>
    <w:basedOn w:val="46"/>
    <w:link w:val="12"/>
    <w:semiHidden/>
    <w:uiPriority w:val="99"/>
    <w:rPr>
      <w:rFonts w:ascii="Times New Roman" w:hAnsi="Times New Roman"/>
      <w:b/>
      <w:bCs/>
      <w:sz w:val="20"/>
      <w:szCs w:val="20"/>
    </w:rPr>
  </w:style>
  <w:style w:type="table" w:customStyle="1" w:styleId="48">
    <w:name w:val="List Table 3"/>
    <w:basedOn w:val="7"/>
    <w:uiPriority w:val="4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14:textFill>
          <w14:solidFill>
            <w14:schemeClr w14:val="bg1"/>
          </w14:solidFill>
        </w14:textFill>
      </w:rPr>
      <w:tcPr>
        <w:shd w:val="clear" w:color="auto" w:fill="000000" w:themeFill="text1"/>
      </w:tcPr>
    </w:tblStylePr>
    <w:tblStylePr w:type="lastRow">
      <w:rPr>
        <w:b/>
        <w:bCs/>
      </w:rPr>
      <w:tcPr>
        <w:tcBorders>
          <w:top w:val="double" w:color="000000" w:themeColor="text1"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000000" w:themeColor="text1" w:sz="4" w:space="0"/>
          <w:right w:val="single" w:color="000000" w:themeColor="text1" w:sz="4" w:space="0"/>
        </w:tcBorders>
      </w:tcPr>
    </w:tblStylePr>
    <w:tblStylePr w:type="band1Horz">
      <w:tcPr>
        <w:tcBorders>
          <w:top w:val="single" w:color="000000" w:themeColor="text1" w:sz="4" w:space="0"/>
          <w:bottom w:val="single" w:color="000000" w:themeColor="text1"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000000" w:themeColor="text1" w:sz="4" w:space="0"/>
          <w:left w:val="nil"/>
        </w:tcBorders>
      </w:tcPr>
    </w:tblStylePr>
    <w:tblStylePr w:type="swCell">
      <w:tcPr>
        <w:tcBorders>
          <w:top w:val="double" w:color="000000" w:themeColor="text1" w:sz="4" w:space="0"/>
          <w:right w:val="nil"/>
        </w:tcBorders>
      </w:tcPr>
    </w:tblStylePr>
  </w:style>
  <w:style w:type="character" w:customStyle="1" w:styleId="49">
    <w:name w:val="selectable-text"/>
    <w:basedOn w:val="6"/>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customXml" Target="../customXml/item1.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jpe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datastoreItem>
</file>

<file path=customXml/itemProps2.xml><?xml version="1.0" encoding="utf-8"?>
<ds:datastoreItem xmlns:ds="http://schemas.openxmlformats.org/officeDocument/2006/customXml" ds:itemID="{A8B8398E-4442-42DD-92F3-776CDBAF6546}">
  <ds:schemaRefs/>
</ds:datastoreItem>
</file>

<file path=docProps/app.xml><?xml version="1.0" encoding="utf-8"?>
<Properties xmlns="http://schemas.openxmlformats.org/officeDocument/2006/extended-properties" xmlns:vt="http://schemas.openxmlformats.org/officeDocument/2006/docPropsVTypes">
  <Template>Normal</Template>
  <Pages>41</Pages>
  <Words>10727</Words>
  <Characters>61149</Characters>
  <Lines>509</Lines>
  <Paragraphs>143</Paragraphs>
  <TotalTime>3</TotalTime>
  <ScaleCrop>false</ScaleCrop>
  <LinksUpToDate>false</LinksUpToDate>
  <CharactersWithSpaces>71733</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2023-04-26T01:10:00Z</dcterms:created>
  <dc:creator>Nicole</dc:creator>
  <cp:lastModifiedBy>LENOVO</cp:lastModifiedBy>
  <cp:lastPrinted>2020-05-15T21:08:00Z</cp:lastPrinted>
  <dcterms:modified xsi:type="dcterms:W3CDTF">2023-05-02T16:16:55Z</dcterms:modified>
  <dc:subject>Marketing Management Report</dc:subject>
  <dc:title>Marketing Management LCMB 7001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650C66AF92A24F6893E075929902962C</vt:lpwstr>
  </property>
</Properties>
</file>