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46D59" w14:textId="515A4832" w:rsidR="00D0770F" w:rsidRPr="00F033EA" w:rsidRDefault="00D0770F" w:rsidP="00F033EA">
      <w:pPr>
        <w:spacing w:line="360" w:lineRule="auto"/>
        <w:rPr>
          <w:rFonts w:ascii="Arial" w:hAnsi="Arial" w:cs="Arial"/>
        </w:rPr>
      </w:pPr>
      <w:r w:rsidRPr="00F033EA">
        <w:rPr>
          <w:rFonts w:ascii="Arial" w:hAnsi="Arial" w:cs="Arial"/>
        </w:rPr>
        <w:t xml:space="preserve">Stefan Tanase    </w:t>
      </w:r>
      <w:r w:rsidRPr="00F033EA">
        <w:rPr>
          <w:rFonts w:ascii="Arial" w:hAnsi="Arial" w:cs="Arial"/>
        </w:rPr>
        <w:br/>
        <w:t xml:space="preserve">Student number: 2215982                                                             </w:t>
      </w:r>
    </w:p>
    <w:p w14:paraId="7E939E6F" w14:textId="77777777" w:rsidR="00D0770F" w:rsidRPr="00F033EA" w:rsidRDefault="00D0770F" w:rsidP="00F033EA">
      <w:pPr>
        <w:spacing w:line="360" w:lineRule="auto"/>
        <w:rPr>
          <w:rFonts w:ascii="Arial" w:hAnsi="Arial" w:cs="Arial"/>
        </w:rPr>
      </w:pPr>
    </w:p>
    <w:p w14:paraId="58B36080" w14:textId="2C628BCB" w:rsidR="00D0770F" w:rsidRPr="00852EAC" w:rsidRDefault="00852EAC" w:rsidP="00852EAC">
      <w:pPr>
        <w:spacing w:line="360" w:lineRule="auto"/>
        <w:jc w:val="center"/>
        <w:rPr>
          <w:rFonts w:ascii="Arial" w:hAnsi="Arial" w:cs="Arial"/>
          <w:sz w:val="44"/>
          <w:szCs w:val="44"/>
        </w:rPr>
      </w:pPr>
      <w:r w:rsidRPr="00852EAC">
        <w:rPr>
          <w:rFonts w:asciiTheme="majorHAnsi" w:eastAsiaTheme="majorEastAsia" w:hAnsiTheme="majorHAnsi" w:cstheme="majorBidi"/>
          <w:color w:val="0F4761" w:themeColor="accent1" w:themeShade="BF"/>
          <w:sz w:val="44"/>
          <w:szCs w:val="44"/>
        </w:rPr>
        <w:t>E</w:t>
      </w:r>
      <w:r w:rsidRPr="00852EAC">
        <w:rPr>
          <w:rFonts w:asciiTheme="majorHAnsi" w:eastAsiaTheme="majorEastAsia" w:hAnsiTheme="majorHAnsi" w:cstheme="majorBidi"/>
          <w:color w:val="0F4761" w:themeColor="accent1" w:themeShade="BF"/>
          <w:sz w:val="44"/>
          <w:szCs w:val="44"/>
        </w:rPr>
        <w:t>xamining the psychological and emotional effect of trauma on young people</w:t>
      </w:r>
    </w:p>
    <w:p w14:paraId="61AF2AE2" w14:textId="2AB6E566" w:rsidR="000733D4" w:rsidRPr="000733D4" w:rsidRDefault="00B54ED5" w:rsidP="00F033EA">
      <w:pPr>
        <w:spacing w:line="360" w:lineRule="auto"/>
        <w:rPr>
          <w:rFonts w:ascii="Arial" w:hAnsi="Arial" w:cs="Arial"/>
        </w:rPr>
      </w:pPr>
      <w:r w:rsidRPr="00F033EA">
        <w:rPr>
          <w:rFonts w:ascii="Arial" w:hAnsi="Arial" w:cs="Arial"/>
        </w:rPr>
        <w:t xml:space="preserve">     </w:t>
      </w:r>
      <w:r w:rsidR="00D0770F" w:rsidRPr="00F033EA">
        <w:rPr>
          <w:rFonts w:ascii="Arial" w:hAnsi="Arial" w:cs="Arial"/>
        </w:rPr>
        <w:t xml:space="preserve">The trauma encountered during childhood and adolescence is a major public health and social care issue in the United Kingdom, with significant effects on the psychological and emotional growth of young individuals. Experiences of trauma, including abuse, neglect, domestic violence, loss, or ongoing instability, undermine a young person’s feeling of safety and predictability, often taking place during crucial phases of brain and emotional development. Psychological trauma is not just about facing a distressing situation; it encompasses how a person's internal systems interpret and react to perceived threats. For young individuals who are still developing their emotional regulation and identity, trauma can profoundly impact emotional processing, stress responses, and how they function in relationships. Therefore, understanding the psychological and emotional effects of trauma is crucial for guiding </w:t>
      </w:r>
      <w:r w:rsidR="00E71128" w:rsidRPr="00F033EA">
        <w:rPr>
          <w:rFonts w:ascii="Arial" w:hAnsi="Arial" w:cs="Arial"/>
        </w:rPr>
        <w:t>adequate</w:t>
      </w:r>
      <w:r w:rsidR="00D0770F" w:rsidRPr="00F033EA">
        <w:rPr>
          <w:rFonts w:ascii="Arial" w:hAnsi="Arial" w:cs="Arial"/>
        </w:rPr>
        <w:t xml:space="preserve"> support in educational, health, and social care contexts.</w:t>
      </w:r>
    </w:p>
    <w:p w14:paraId="180CFC0B" w14:textId="02392C7B" w:rsidR="000733D4" w:rsidRPr="000733D4" w:rsidRDefault="00B54ED5" w:rsidP="00F033EA">
      <w:pPr>
        <w:spacing w:line="360" w:lineRule="auto"/>
        <w:rPr>
          <w:rFonts w:ascii="Arial" w:hAnsi="Arial" w:cs="Arial"/>
        </w:rPr>
      </w:pPr>
      <w:r w:rsidRPr="00F033EA">
        <w:rPr>
          <w:rFonts w:ascii="Arial" w:hAnsi="Arial" w:cs="Arial"/>
        </w:rPr>
        <w:t xml:space="preserve">     </w:t>
      </w:r>
      <w:r w:rsidR="00D0770F" w:rsidRPr="00F033EA">
        <w:rPr>
          <w:rFonts w:ascii="Arial" w:hAnsi="Arial" w:cs="Arial"/>
        </w:rPr>
        <w:t xml:space="preserve">One of the most significant psychological impacts of trauma in youth is the ongoing activation of the stress response system. When a child senses danger, the brain focuses on survival, resulting in increased arousal and attentiveness. Studies show that repeated or prolonged exposure to threats sensitizes the hypothalamic–pituitary–adrenal (HPA) axis, leading to higher cortisol levels and intensified stress responses. From a psychological perspective, this heightened state of readiness shows up as anxiety, irritability, emotional instability, and trouble focusing. Young individuals may find themselves in a perpetual state of expecting danger, even in </w:t>
      </w:r>
      <w:r w:rsidR="00E71128" w:rsidRPr="00F033EA">
        <w:rPr>
          <w:rFonts w:ascii="Arial" w:hAnsi="Arial" w:cs="Arial"/>
        </w:rPr>
        <w:t>objectively safe situations</w:t>
      </w:r>
      <w:r w:rsidR="00D0770F" w:rsidRPr="00F033EA">
        <w:rPr>
          <w:rFonts w:ascii="Arial" w:hAnsi="Arial" w:cs="Arial"/>
        </w:rPr>
        <w:t xml:space="preserve">, hindering their capacity to relax, participate in learning, or build trusting connections. This ongoing hyperarousal demonstrates how trauma alters emotional experiences by </w:t>
      </w:r>
      <w:r w:rsidR="00E71128" w:rsidRPr="00F033EA">
        <w:rPr>
          <w:rFonts w:ascii="Arial" w:hAnsi="Arial" w:cs="Arial"/>
        </w:rPr>
        <w:t>prioritising</w:t>
      </w:r>
      <w:r w:rsidR="00D0770F" w:rsidRPr="00F033EA">
        <w:rPr>
          <w:rFonts w:ascii="Arial" w:hAnsi="Arial" w:cs="Arial"/>
        </w:rPr>
        <w:t xml:space="preserve"> survival over emotional regulation and reflective thinking.</w:t>
      </w:r>
      <w:r w:rsidR="00A6578E" w:rsidRPr="00F033EA">
        <w:rPr>
          <w:rFonts w:ascii="Arial" w:hAnsi="Arial" w:cs="Arial"/>
        </w:rPr>
        <w:t xml:space="preserve"> </w:t>
      </w:r>
      <w:r w:rsidR="00A6578E" w:rsidRPr="00F033EA">
        <w:rPr>
          <w:rFonts w:ascii="Arial" w:hAnsi="Arial" w:cs="Arial"/>
        </w:rPr>
        <w:t xml:space="preserve">(Murphy </w:t>
      </w:r>
      <w:r w:rsidR="00A6578E" w:rsidRPr="00F033EA">
        <w:rPr>
          <w:rFonts w:ascii="Arial" w:hAnsi="Arial" w:cs="Arial"/>
          <w:i/>
          <w:iCs/>
        </w:rPr>
        <w:t>et al</w:t>
      </w:r>
      <w:r w:rsidR="00A6578E" w:rsidRPr="00F033EA">
        <w:rPr>
          <w:rFonts w:ascii="Arial" w:hAnsi="Arial" w:cs="Arial"/>
        </w:rPr>
        <w:t>., 2022)</w:t>
      </w:r>
      <w:r w:rsidR="000733D4" w:rsidRPr="000733D4">
        <w:rPr>
          <w:rFonts w:ascii="Arial" w:hAnsi="Arial" w:cs="Arial"/>
        </w:rPr>
        <w:t>.</w:t>
      </w:r>
    </w:p>
    <w:p w14:paraId="452DE09A" w14:textId="023F2093" w:rsidR="000733D4" w:rsidRPr="000733D4" w:rsidRDefault="00B54ED5" w:rsidP="00F033EA">
      <w:pPr>
        <w:spacing w:line="360" w:lineRule="auto"/>
        <w:rPr>
          <w:rFonts w:ascii="Arial" w:hAnsi="Arial" w:cs="Arial"/>
        </w:rPr>
      </w:pPr>
      <w:r w:rsidRPr="00F033EA">
        <w:rPr>
          <w:rFonts w:ascii="Arial" w:hAnsi="Arial" w:cs="Arial"/>
        </w:rPr>
        <w:lastRenderedPageBreak/>
        <w:t xml:space="preserve">     </w:t>
      </w:r>
      <w:r w:rsidR="00D0770F" w:rsidRPr="00F033EA">
        <w:rPr>
          <w:rFonts w:ascii="Arial" w:hAnsi="Arial" w:cs="Arial"/>
        </w:rPr>
        <w:t xml:space="preserve">Trauma </w:t>
      </w:r>
      <w:r w:rsidR="00E71128" w:rsidRPr="00F033EA">
        <w:rPr>
          <w:rFonts w:ascii="Arial" w:hAnsi="Arial" w:cs="Arial"/>
        </w:rPr>
        <w:t>significantly</w:t>
      </w:r>
      <w:r w:rsidR="00D0770F" w:rsidRPr="00F033EA">
        <w:rPr>
          <w:rFonts w:ascii="Arial" w:hAnsi="Arial" w:cs="Arial"/>
        </w:rPr>
        <w:t xml:space="preserve"> impacts emotional regulation, which is a fundamental developmental challenge during childhood and adolescence. Emotional regulation involves the capacity to </w:t>
      </w:r>
      <w:r w:rsidR="00E71128" w:rsidRPr="00F033EA">
        <w:rPr>
          <w:rFonts w:ascii="Arial" w:hAnsi="Arial" w:cs="Arial"/>
        </w:rPr>
        <w:t>recognise</w:t>
      </w:r>
      <w:r w:rsidR="00D0770F" w:rsidRPr="00F033EA">
        <w:rPr>
          <w:rFonts w:ascii="Arial" w:hAnsi="Arial" w:cs="Arial"/>
        </w:rPr>
        <w:t xml:space="preserve">, manage, and respond to emotions </w:t>
      </w:r>
      <w:r w:rsidR="00E71128" w:rsidRPr="00F033EA">
        <w:rPr>
          <w:rFonts w:ascii="Arial" w:hAnsi="Arial" w:cs="Arial"/>
        </w:rPr>
        <w:t>constructively</w:t>
      </w:r>
      <w:r w:rsidR="00D0770F" w:rsidRPr="00F033EA">
        <w:rPr>
          <w:rFonts w:ascii="Arial" w:hAnsi="Arial" w:cs="Arial"/>
        </w:rPr>
        <w:t xml:space="preserve">. Experiencing trauma disrupts the development of neural pathways </w:t>
      </w:r>
      <w:r w:rsidR="00E71128" w:rsidRPr="00F033EA">
        <w:rPr>
          <w:rFonts w:ascii="Arial" w:hAnsi="Arial" w:cs="Arial"/>
        </w:rPr>
        <w:t>essential for regulating emotions, particularly</w:t>
      </w:r>
      <w:r w:rsidR="00D0770F" w:rsidRPr="00F033EA">
        <w:rPr>
          <w:rFonts w:ascii="Arial" w:hAnsi="Arial" w:cs="Arial"/>
        </w:rPr>
        <w:t xml:space="preserve"> those linking the limbic system to higher cortical areas (Marusak </w:t>
      </w:r>
      <w:r w:rsidR="00D0770F" w:rsidRPr="00F033EA">
        <w:rPr>
          <w:rFonts w:ascii="Arial" w:hAnsi="Arial" w:cs="Arial"/>
          <w:i/>
          <w:iCs/>
        </w:rPr>
        <w:t>et al</w:t>
      </w:r>
      <w:r w:rsidR="00D0770F" w:rsidRPr="00F033EA">
        <w:rPr>
          <w:rFonts w:ascii="Arial" w:hAnsi="Arial" w:cs="Arial"/>
        </w:rPr>
        <w:t xml:space="preserve">., 2014). Research shows that young people who have been </w:t>
      </w:r>
      <w:r w:rsidR="00E71128" w:rsidRPr="00F033EA">
        <w:rPr>
          <w:rFonts w:ascii="Arial" w:hAnsi="Arial" w:cs="Arial"/>
        </w:rPr>
        <w:t>traumatised</w:t>
      </w:r>
      <w:r w:rsidR="00D0770F" w:rsidRPr="00F033EA">
        <w:rPr>
          <w:rFonts w:ascii="Arial" w:hAnsi="Arial" w:cs="Arial"/>
        </w:rPr>
        <w:t xml:space="preserve"> often find it difficult </w:t>
      </w:r>
      <w:r w:rsidR="00E71128" w:rsidRPr="00F033EA">
        <w:rPr>
          <w:rFonts w:ascii="Arial" w:hAnsi="Arial" w:cs="Arial"/>
        </w:rPr>
        <w:t>to identify their emotions accurately</w:t>
      </w:r>
      <w:r w:rsidR="00D0770F" w:rsidRPr="00F033EA">
        <w:rPr>
          <w:rFonts w:ascii="Arial" w:hAnsi="Arial" w:cs="Arial"/>
        </w:rPr>
        <w:t xml:space="preserve"> and may encounter intense emotional states that feel overwhelming. This emotional dysregulation can manifest as sudden anger, withdrawal from emotions, deep sadness, or emotional numbness. Such responses are often misinterpreted as </w:t>
      </w:r>
      <w:r w:rsidR="00E71128" w:rsidRPr="00F033EA">
        <w:rPr>
          <w:rFonts w:ascii="Arial" w:hAnsi="Arial" w:cs="Arial"/>
        </w:rPr>
        <w:t>behavioural issues instead of being recognised</w:t>
      </w:r>
      <w:r w:rsidR="00D0770F" w:rsidRPr="00F033EA">
        <w:rPr>
          <w:rFonts w:ascii="Arial" w:hAnsi="Arial" w:cs="Arial"/>
        </w:rPr>
        <w:t xml:space="preserve"> as adaptive reactions to previous threats, highlighting the necessity of a trauma-informed perspective within youth services (Paulus </w:t>
      </w:r>
      <w:r w:rsidR="00D0770F" w:rsidRPr="00F033EA">
        <w:rPr>
          <w:rFonts w:ascii="Arial" w:hAnsi="Arial" w:cs="Arial"/>
          <w:i/>
          <w:iCs/>
        </w:rPr>
        <w:t>et al</w:t>
      </w:r>
      <w:r w:rsidR="00D0770F" w:rsidRPr="00F033EA">
        <w:rPr>
          <w:rFonts w:ascii="Arial" w:hAnsi="Arial" w:cs="Arial"/>
        </w:rPr>
        <w:t>., 2021).</w:t>
      </w:r>
    </w:p>
    <w:p w14:paraId="0C0E4D0A" w14:textId="6008B60E" w:rsidR="000733D4" w:rsidRPr="000733D4" w:rsidRDefault="00B54ED5" w:rsidP="00F033EA">
      <w:pPr>
        <w:spacing w:line="360" w:lineRule="auto"/>
        <w:rPr>
          <w:rFonts w:ascii="Arial" w:hAnsi="Arial" w:cs="Arial"/>
        </w:rPr>
      </w:pPr>
      <w:r w:rsidRPr="00F033EA">
        <w:rPr>
          <w:rFonts w:ascii="Arial" w:hAnsi="Arial" w:cs="Arial"/>
        </w:rPr>
        <w:t xml:space="preserve">     </w:t>
      </w:r>
      <w:r w:rsidR="000733D4" w:rsidRPr="000733D4">
        <w:rPr>
          <w:rFonts w:ascii="Arial" w:hAnsi="Arial" w:cs="Arial"/>
        </w:rPr>
        <w:t>In addition to emotional dysregulation, trauma exerts a profound impact on young people’s sense of self and emotional identity</w:t>
      </w:r>
      <w:r w:rsidR="00A6578E" w:rsidRPr="00F033EA">
        <w:rPr>
          <w:rFonts w:ascii="Arial" w:hAnsi="Arial" w:cs="Arial"/>
        </w:rPr>
        <w:t xml:space="preserve"> </w:t>
      </w:r>
      <w:r w:rsidR="00A6578E" w:rsidRPr="00F033EA">
        <w:rPr>
          <w:rFonts w:ascii="Arial" w:hAnsi="Arial" w:cs="Arial"/>
        </w:rPr>
        <w:t>(Berman, Montgomery and Ratner, 2020)</w:t>
      </w:r>
      <w:r w:rsidR="000733D4" w:rsidRPr="000733D4">
        <w:rPr>
          <w:rFonts w:ascii="Arial" w:hAnsi="Arial" w:cs="Arial"/>
        </w:rPr>
        <w:t>. Adolescence is a developmental period characterised by identity exploration and self-concept formation. Traumatic experiences, particularly those involving interpersonal harm, can distort internal narratives, leading young people to internalise shame, guilt, or self-blame. Research highlights that children exposed to maltreatment are more likely to develop negative self-schemas, perceiving themselves as unworthy, powerless, or fundamentally flawed. These distorted self-beliefs heighten vulnerability to depression, low self-esteem, and self-harm, demonstrating how trauma reshapes emotional identity and self-evaluation during critical developmental stages</w:t>
      </w:r>
      <w:r w:rsidR="003D4999" w:rsidRPr="00F033EA">
        <w:rPr>
          <w:rFonts w:ascii="Arial" w:hAnsi="Arial" w:cs="Arial"/>
        </w:rPr>
        <w:t xml:space="preserve"> </w:t>
      </w:r>
      <w:r w:rsidR="003D4999" w:rsidRPr="00F033EA">
        <w:rPr>
          <w:rFonts w:ascii="Arial" w:hAnsi="Arial" w:cs="Arial"/>
        </w:rPr>
        <w:t xml:space="preserve">(Melamed </w:t>
      </w:r>
      <w:r w:rsidR="003D4999" w:rsidRPr="00F033EA">
        <w:rPr>
          <w:rFonts w:ascii="Arial" w:hAnsi="Arial" w:cs="Arial"/>
          <w:i/>
          <w:iCs/>
        </w:rPr>
        <w:t>et al</w:t>
      </w:r>
      <w:r w:rsidR="003D4999" w:rsidRPr="00F033EA">
        <w:rPr>
          <w:rFonts w:ascii="Arial" w:hAnsi="Arial" w:cs="Arial"/>
        </w:rPr>
        <w:t>., 2024)</w:t>
      </w:r>
      <w:r w:rsidR="000733D4" w:rsidRPr="000733D4">
        <w:rPr>
          <w:rFonts w:ascii="Arial" w:hAnsi="Arial" w:cs="Arial"/>
        </w:rPr>
        <w:t>.</w:t>
      </w:r>
    </w:p>
    <w:p w14:paraId="1BAE2AFD" w14:textId="305E4B52" w:rsidR="000733D4" w:rsidRPr="000733D4"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 xml:space="preserve">Trauma further interferes with attachment processes, which are crucial for emotional security and relational functioning. Attachment theory highlights that consistent and responsive caregiving allows children to form internal working models of relationships that are perceived as safe and trustworthy. When trauma occurs, primarily from caregivers or within caregiving situations, it compromises these models. According to Bowlby's theoretical framework, insecure or disorganised attachment heightens emotional vulnerability by hindering trust and emotional regulation (Bowlby, 1988). Current research aligns with this perspective, indicating that young individuals who have experienced trauma often struggle to build intimate </w:t>
      </w:r>
      <w:r w:rsidR="00E71128" w:rsidRPr="00F033EA">
        <w:rPr>
          <w:rFonts w:ascii="Arial" w:hAnsi="Arial" w:cs="Arial"/>
        </w:rPr>
        <w:lastRenderedPageBreak/>
        <w:t xml:space="preserve">relationships, have an increased fear of rejection, or show signs of excessive dependence. These disruptions in attachment have lasting emotional impacts, affecting peer relationships, educational involvement, and interactions with professionals (Gander </w:t>
      </w:r>
      <w:r w:rsidR="00E71128" w:rsidRPr="00F033EA">
        <w:rPr>
          <w:rFonts w:ascii="Arial" w:hAnsi="Arial" w:cs="Arial"/>
          <w:i/>
          <w:iCs/>
        </w:rPr>
        <w:t>et al</w:t>
      </w:r>
      <w:r w:rsidR="00E71128" w:rsidRPr="00F033EA">
        <w:rPr>
          <w:rFonts w:ascii="Arial" w:hAnsi="Arial" w:cs="Arial"/>
        </w:rPr>
        <w:t>., 2020).</w:t>
      </w:r>
    </w:p>
    <w:p w14:paraId="03B3E1CA" w14:textId="5A4E4429" w:rsidR="000733D4" w:rsidRPr="000733D4"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The emotional effects of trauma do not appear consistently across all young individuals, even when their experiences seem alike. Personal variations in temperament, genetic predisposition, and past relational interactions influence the psychological processing of trauma (Wiseman, Croft and Zammit, 2021). Research shows that some young individuals display internalising reactions, such as anxiety and withdrawal, whereas others manifest externalising behaviours, including aggression or risk-taking. These differing emotional responses indicate variations in coping mechanisms and neurobiological sensitivity, instead of solely reflecting differences in the magnitude of trauma. Environmental elements, such as socio-economic challenges, school atmosphere, and availability of supportive relationships, also play a significant role in shaping outcomes, underscoring that trauma results from a dynamic interplay between individual and contextual factors (Tanveer, Tariq and Hussain, 2023).</w:t>
      </w:r>
    </w:p>
    <w:p w14:paraId="26E9A680" w14:textId="7B799D9D" w:rsidR="000733D4" w:rsidRPr="000733D4"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The timing of development is crucial in determining the emotional effects of trauma. Trauma experienced in early childhood correlates with more widespread emotional and relational issues because it disrupts essential emotional growth. Meanwhile, adolescence is a particularly vulnerable time, as changes in brain development heighten emotional intensity and sensitivity to social judgment. Studies indicate that experiencing trauma during adolescence is closely linked to affective disorders like depression and anxiety, stemming from the combination of stress exposure and ongoing brain development. These insights highlight that the emotional repercussions of trauma depend on developmental stages, making it essential to provide age-appropriate responses in youth services (</w:t>
      </w:r>
      <w:proofErr w:type="spellStart"/>
      <w:r w:rsidR="00E71128" w:rsidRPr="00F033EA">
        <w:rPr>
          <w:rFonts w:ascii="Arial" w:hAnsi="Arial" w:cs="Arial"/>
        </w:rPr>
        <w:t>Pasteuning</w:t>
      </w:r>
      <w:proofErr w:type="spellEnd"/>
      <w:r w:rsidR="00E71128" w:rsidRPr="00F033EA">
        <w:rPr>
          <w:rFonts w:ascii="Arial" w:hAnsi="Arial" w:cs="Arial"/>
        </w:rPr>
        <w:t xml:space="preserve"> </w:t>
      </w:r>
      <w:r w:rsidR="00E71128" w:rsidRPr="00F033EA">
        <w:rPr>
          <w:rFonts w:ascii="Arial" w:hAnsi="Arial" w:cs="Arial"/>
          <w:i/>
          <w:iCs/>
        </w:rPr>
        <w:t>et al</w:t>
      </w:r>
      <w:r w:rsidR="00E71128" w:rsidRPr="00F033EA">
        <w:rPr>
          <w:rFonts w:ascii="Arial" w:hAnsi="Arial" w:cs="Arial"/>
        </w:rPr>
        <w:t>., 2025).</w:t>
      </w:r>
    </w:p>
    <w:p w14:paraId="6CA5451A" w14:textId="5C676559" w:rsidR="000733D4" w:rsidRPr="000733D4"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 xml:space="preserve">The cumulative impact of trauma further exacerbates psychological and emotional damage. Young individuals who face numerous adversities, often understood through the lens of the Adverse Childhood Experiences (ACEs) framework, show notably higher levels of emotional distress and mental health </w:t>
      </w:r>
      <w:r w:rsidR="00E71128" w:rsidRPr="00F033EA">
        <w:rPr>
          <w:rFonts w:ascii="Arial" w:hAnsi="Arial" w:cs="Arial"/>
        </w:rPr>
        <w:lastRenderedPageBreak/>
        <w:t>challenges. Evidence from the UK shows that encountering four or more ACEs significantly raises the chances of experiencing anxiety, depression, and emotional dysregulation during adolescence. It is important to note that not every traumatic event is classified as an ACE, and not all ACEs involve severe trauma; nevertheless, the buildup of adversity heightens emotional sensitivity by overwhelming coping mechanisms and diminishing chances for recovery. This cumulative impact underscores the importance of early detection and preventive measures</w:t>
      </w:r>
      <w:r w:rsidR="009D79F8" w:rsidRPr="00F033EA">
        <w:rPr>
          <w:rFonts w:ascii="Arial" w:hAnsi="Arial" w:cs="Arial"/>
        </w:rPr>
        <w:t xml:space="preserve"> </w:t>
      </w:r>
      <w:r w:rsidR="009D79F8" w:rsidRPr="00F033EA">
        <w:rPr>
          <w:rFonts w:ascii="Arial" w:hAnsi="Arial" w:cs="Arial"/>
        </w:rPr>
        <w:t xml:space="preserve">(Yu </w:t>
      </w:r>
      <w:r w:rsidR="009D79F8" w:rsidRPr="00F033EA">
        <w:rPr>
          <w:rFonts w:ascii="Arial" w:hAnsi="Arial" w:cs="Arial"/>
          <w:i/>
          <w:iCs/>
        </w:rPr>
        <w:t>et al</w:t>
      </w:r>
      <w:r w:rsidR="009D79F8" w:rsidRPr="00F033EA">
        <w:rPr>
          <w:rFonts w:ascii="Arial" w:hAnsi="Arial" w:cs="Arial"/>
        </w:rPr>
        <w:t>., 2023)</w:t>
      </w:r>
      <w:r w:rsidR="000733D4" w:rsidRPr="000733D4">
        <w:rPr>
          <w:rFonts w:ascii="Arial" w:hAnsi="Arial" w:cs="Arial"/>
        </w:rPr>
        <w:t>.</w:t>
      </w:r>
    </w:p>
    <w:p w14:paraId="1B58F706" w14:textId="183A28E2" w:rsidR="000733D4" w:rsidRPr="000733D4"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 xml:space="preserve">In this framework, trauma-informed methods offer a vital structure for addressing the emotional impacts of trauma. A key aspect of trauma-informed practice is fostering stable, predictable environments supported by reliable adults. Trauma can disturb a young individual’s sense of safety, resulting in heightened alertness and emotional instability. Studies indicate that consistent routines diminish uncertainty and help regulate the stress response by signalling safety. When youth can anticipate daily routines and behavioural expectations, their emotional resources are freed from continuous threat monitoring, which facilitates better emotional regulation and engagement (Bryson </w:t>
      </w:r>
      <w:r w:rsidR="00E71128" w:rsidRPr="00F033EA">
        <w:rPr>
          <w:rFonts w:ascii="Arial" w:hAnsi="Arial" w:cs="Arial"/>
          <w:i/>
          <w:iCs/>
        </w:rPr>
        <w:t>et al</w:t>
      </w:r>
      <w:r w:rsidR="00E71128" w:rsidRPr="00F033EA">
        <w:rPr>
          <w:rFonts w:ascii="Arial" w:hAnsi="Arial" w:cs="Arial"/>
        </w:rPr>
        <w:t>., 2017).</w:t>
      </w:r>
    </w:p>
    <w:p w14:paraId="3F096F55" w14:textId="30F5CE36" w:rsidR="000733D4" w:rsidRPr="000733D4"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Research suggests that consistent relational interactions help young individuals perceive adults as emotionally supportive and reliable, thereby mitigating prior relational trauma (</w:t>
      </w:r>
      <w:proofErr w:type="spellStart"/>
      <w:r w:rsidR="00E71128" w:rsidRPr="00F033EA">
        <w:rPr>
          <w:rFonts w:ascii="Arial" w:hAnsi="Arial" w:cs="Arial"/>
        </w:rPr>
        <w:t>Sagone</w:t>
      </w:r>
      <w:proofErr w:type="spellEnd"/>
      <w:r w:rsidR="00E71128" w:rsidRPr="00F033EA">
        <w:rPr>
          <w:rFonts w:ascii="Arial" w:hAnsi="Arial" w:cs="Arial"/>
        </w:rPr>
        <w:t xml:space="preserve"> </w:t>
      </w:r>
      <w:r w:rsidR="00E71128" w:rsidRPr="00F033EA">
        <w:rPr>
          <w:rFonts w:ascii="Arial" w:hAnsi="Arial" w:cs="Arial"/>
          <w:i/>
          <w:iCs/>
        </w:rPr>
        <w:t>et al</w:t>
      </w:r>
      <w:r w:rsidR="00E71128" w:rsidRPr="00F033EA">
        <w:rPr>
          <w:rFonts w:ascii="Arial" w:hAnsi="Arial" w:cs="Arial"/>
        </w:rPr>
        <w:t xml:space="preserve">., 2023). Steady relationships with trustworthy adults further support emotional healing by promoting co-regulation. Co-regulation refers to the process in which caring adults assist young people in navigating intense emotions until they develop self-regulation skills. Over time, consistent experiences of safety foster positive internal working models, enhancing emotional stability and the ability to form relationships (Arriaga </w:t>
      </w:r>
      <w:r w:rsidR="00E71128" w:rsidRPr="00F033EA">
        <w:rPr>
          <w:rFonts w:ascii="Arial" w:hAnsi="Arial" w:cs="Arial"/>
          <w:i/>
          <w:iCs/>
        </w:rPr>
        <w:t>et al</w:t>
      </w:r>
      <w:r w:rsidR="00E71128" w:rsidRPr="00F033EA">
        <w:rPr>
          <w:rFonts w:ascii="Arial" w:hAnsi="Arial" w:cs="Arial"/>
        </w:rPr>
        <w:t>., 2017).</w:t>
      </w:r>
    </w:p>
    <w:p w14:paraId="6800D4A9" w14:textId="02DC3B78" w:rsidR="000733D4" w:rsidRPr="000733D4"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 xml:space="preserve">Predictability in trauma-informed environments also fosters emotional growth and resilience. When stress responses are minimised, young individuals can more effectively engage in higher-level cognitive and emotional functions, such as reflection and problem-solving. Research shows that emotionally secure settings improve participation in educational and therapeutic programs by alleviating emotional overwhelm. This highlights that predictability in trauma-informed contexts </w:t>
      </w:r>
      <w:r w:rsidR="00E71128" w:rsidRPr="00F033EA">
        <w:rPr>
          <w:rFonts w:ascii="Arial" w:hAnsi="Arial" w:cs="Arial"/>
        </w:rPr>
        <w:lastRenderedPageBreak/>
        <w:t xml:space="preserve">is not just beneficial but essential for emotional development and healing (Gerasimos </w:t>
      </w:r>
      <w:proofErr w:type="spellStart"/>
      <w:r w:rsidR="00E71128" w:rsidRPr="00F033EA">
        <w:rPr>
          <w:rFonts w:ascii="Arial" w:hAnsi="Arial" w:cs="Arial"/>
        </w:rPr>
        <w:t>Kalogeratos</w:t>
      </w:r>
      <w:proofErr w:type="spellEnd"/>
      <w:r w:rsidR="00E71128" w:rsidRPr="00F033EA">
        <w:rPr>
          <w:rFonts w:ascii="Arial" w:hAnsi="Arial" w:cs="Arial"/>
        </w:rPr>
        <w:t xml:space="preserve"> </w:t>
      </w:r>
      <w:r w:rsidR="00E71128" w:rsidRPr="00F033EA">
        <w:rPr>
          <w:rFonts w:ascii="Arial" w:hAnsi="Arial" w:cs="Arial"/>
          <w:i/>
          <w:iCs/>
        </w:rPr>
        <w:t>et al</w:t>
      </w:r>
      <w:r w:rsidR="00E71128" w:rsidRPr="00F033EA">
        <w:rPr>
          <w:rFonts w:ascii="Arial" w:hAnsi="Arial" w:cs="Arial"/>
        </w:rPr>
        <w:t>., 2024).</w:t>
      </w:r>
    </w:p>
    <w:p w14:paraId="02EB4DDC" w14:textId="2EB30A5B" w:rsidR="000733D4" w:rsidRPr="000733D4"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Empowerment is another vital principle in trauma-informed care that offers significant emotional advantages. Trauma frequently involves feelings of powerlessness, which can leave young individuals feeling silenced and dominated. Approaches that emphasise empowerment highlight choice, teamwork, and personal agency, helping young people regain control over their lives. Research indicates that providing chances for decision-making can alleviate emotional withdrawal and rebellious behaviour by addressing the root causes of helplessness. From a psychological perspective, empowerment boosts self-efficacy and diminishes shame, promoting emotional resilience and self-assurance (Schilling and Gerhardus, 2024).</w:t>
      </w:r>
    </w:p>
    <w:p w14:paraId="1816AB12" w14:textId="5F933DDB" w:rsidR="000733D4" w:rsidRPr="000733D4"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Enabling young individuals to communicate their preferences and engage in goal-setting also aids in emotional regulation by acknowledging personal readiness and limits. Studies emphasise that empowerment rooted in trauma awareness boosts intrinsic motivation and emotional involvement, diminishing tendencies to avoid challenges or to resist. When young people sense that their voices are acknowledged and valued, it fosters emotional trust, which in turn supports healthier relationship dynamics and long-term psychological health (SAMHSA, 2017).</w:t>
      </w:r>
    </w:p>
    <w:p w14:paraId="38AD8338" w14:textId="01E467B9" w:rsidR="000733D4" w:rsidRPr="00F033EA" w:rsidRDefault="00B54ED5" w:rsidP="00F033EA">
      <w:pPr>
        <w:spacing w:line="360" w:lineRule="auto"/>
        <w:rPr>
          <w:rFonts w:ascii="Arial" w:hAnsi="Arial" w:cs="Arial"/>
        </w:rPr>
      </w:pPr>
      <w:r w:rsidRPr="00F033EA">
        <w:rPr>
          <w:rFonts w:ascii="Arial" w:hAnsi="Arial" w:cs="Arial"/>
        </w:rPr>
        <w:t xml:space="preserve">     </w:t>
      </w:r>
      <w:r w:rsidR="00E71128" w:rsidRPr="00F033EA">
        <w:rPr>
          <w:rFonts w:ascii="Arial" w:hAnsi="Arial" w:cs="Arial"/>
        </w:rPr>
        <w:t>In summary, trauma significantly impacts the psychological and emotional well-being of young individuals by disrupting their ability to manage stress, control emotions, perceive themselves, and form attachments. The consequences of trauma are influenced by the timing of developmental stages, personal variations, and contextual factors, leading to a range of emotional experiences. Trauma-informed strategies that emphasise predictability, stable relationships, and empowerment specifically tackle the fundamental emotional issues related to trauma instead of simply addressing behaviours. By rebuilding a sense of safety, autonomy, and trust, these approaches facilitate emotional recovery and resilience, highlighting their crucial importance in youth-centred health, educational, and social care systems.</w:t>
      </w:r>
    </w:p>
    <w:p w14:paraId="5DE000C8" w14:textId="77777777" w:rsidR="000733D4" w:rsidRPr="00F033EA" w:rsidRDefault="000733D4" w:rsidP="00F033EA">
      <w:pPr>
        <w:spacing w:line="360" w:lineRule="auto"/>
        <w:rPr>
          <w:rFonts w:ascii="Arial" w:hAnsi="Arial" w:cs="Arial"/>
        </w:rPr>
      </w:pPr>
    </w:p>
    <w:p w14:paraId="6EB0AAA5" w14:textId="77777777" w:rsidR="000733D4" w:rsidRPr="00F033EA" w:rsidRDefault="000733D4" w:rsidP="00F033EA">
      <w:pPr>
        <w:spacing w:line="360" w:lineRule="auto"/>
        <w:rPr>
          <w:rFonts w:ascii="Arial" w:hAnsi="Arial" w:cs="Arial"/>
        </w:rPr>
      </w:pPr>
    </w:p>
    <w:p w14:paraId="029EDB21" w14:textId="77777777" w:rsidR="00F033EA" w:rsidRDefault="00F033EA" w:rsidP="00F033EA">
      <w:pPr>
        <w:spacing w:line="360" w:lineRule="auto"/>
        <w:rPr>
          <w:rStyle w:val="Heading1Char"/>
          <w:rFonts w:ascii="Arial" w:hAnsi="Arial" w:cs="Arial"/>
          <w:sz w:val="24"/>
          <w:szCs w:val="24"/>
        </w:rPr>
      </w:pPr>
    </w:p>
    <w:p w14:paraId="381B6C43" w14:textId="6518C733" w:rsidR="00F033EA" w:rsidRPr="00F033EA" w:rsidRDefault="000733D4" w:rsidP="00F033EA">
      <w:pPr>
        <w:pStyle w:val="Heading1"/>
      </w:pPr>
      <w:r w:rsidRPr="00F033EA">
        <w:rPr>
          <w:rStyle w:val="Heading1Char"/>
        </w:rPr>
        <w:lastRenderedPageBreak/>
        <w:t>References:</w:t>
      </w:r>
    </w:p>
    <w:p w14:paraId="1B41684D" w14:textId="77777777" w:rsidR="00F033EA" w:rsidRPr="00F033EA" w:rsidRDefault="00F033EA" w:rsidP="00F033EA">
      <w:pPr>
        <w:spacing w:line="360" w:lineRule="auto"/>
        <w:rPr>
          <w:rFonts w:ascii="Arial" w:hAnsi="Arial" w:cs="Arial"/>
        </w:rPr>
      </w:pPr>
    </w:p>
    <w:p w14:paraId="374B05C0" w14:textId="77777777" w:rsidR="00F033EA" w:rsidRPr="00F033EA" w:rsidRDefault="00F033EA" w:rsidP="00F033EA">
      <w:pPr>
        <w:spacing w:line="360" w:lineRule="auto"/>
        <w:rPr>
          <w:rFonts w:ascii="Arial" w:hAnsi="Arial" w:cs="Arial"/>
        </w:rPr>
      </w:pPr>
      <w:r w:rsidRPr="00F033EA">
        <w:rPr>
          <w:rFonts w:ascii="Arial" w:hAnsi="Arial" w:cs="Arial"/>
        </w:rPr>
        <w:t xml:space="preserve">Arriaga, X.B., </w:t>
      </w:r>
      <w:proofErr w:type="spellStart"/>
      <w:r w:rsidRPr="00F033EA">
        <w:rPr>
          <w:rFonts w:ascii="Arial" w:hAnsi="Arial" w:cs="Arial"/>
        </w:rPr>
        <w:t>Kumashiro</w:t>
      </w:r>
      <w:proofErr w:type="spellEnd"/>
      <w:r w:rsidRPr="00F033EA">
        <w:rPr>
          <w:rFonts w:ascii="Arial" w:hAnsi="Arial" w:cs="Arial"/>
        </w:rPr>
        <w:t xml:space="preserve">, M., Simpson, J.A. and Overall, N.C. (2017) </w:t>
      </w:r>
      <w:r w:rsidRPr="00F033EA">
        <w:rPr>
          <w:rFonts w:ascii="Arial" w:hAnsi="Arial" w:cs="Arial"/>
        </w:rPr>
        <w:t>‘</w:t>
      </w:r>
      <w:r w:rsidRPr="00F033EA">
        <w:rPr>
          <w:rFonts w:ascii="Arial" w:hAnsi="Arial" w:cs="Arial"/>
        </w:rPr>
        <w:t>Revising Working Models Across Time: Relationship Situations That Enhance Attachment Security</w:t>
      </w:r>
      <w:r w:rsidRPr="00F033EA">
        <w:rPr>
          <w:rFonts w:ascii="Arial" w:hAnsi="Arial" w:cs="Arial"/>
        </w:rPr>
        <w:t>’,</w:t>
      </w:r>
      <w:r w:rsidRPr="00F033EA">
        <w:rPr>
          <w:rFonts w:ascii="Arial" w:hAnsi="Arial" w:cs="Arial"/>
        </w:rPr>
        <w:t> </w:t>
      </w:r>
      <w:r w:rsidRPr="00F033EA">
        <w:rPr>
          <w:rFonts w:ascii="Arial" w:hAnsi="Arial" w:cs="Arial"/>
          <w:i/>
          <w:iCs/>
        </w:rPr>
        <w:t>Personality and Social Psychology Review</w:t>
      </w:r>
      <w:r w:rsidRPr="00F033EA">
        <w:rPr>
          <w:rFonts w:ascii="Arial" w:hAnsi="Arial" w:cs="Arial"/>
        </w:rPr>
        <w:t>, 22(1), pp.71–96. Available at: https://doi.org/10.1177/1088868317705257.</w:t>
      </w:r>
    </w:p>
    <w:p w14:paraId="54285DEE" w14:textId="77777777" w:rsidR="00F033EA" w:rsidRPr="00F033EA" w:rsidRDefault="00F033EA" w:rsidP="00F033EA">
      <w:pPr>
        <w:spacing w:line="360" w:lineRule="auto"/>
        <w:rPr>
          <w:rFonts w:ascii="Arial" w:hAnsi="Arial" w:cs="Arial"/>
        </w:rPr>
      </w:pPr>
      <w:r w:rsidRPr="00F033EA">
        <w:rPr>
          <w:rFonts w:ascii="Arial" w:hAnsi="Arial" w:cs="Arial"/>
        </w:rPr>
        <w:t xml:space="preserve">Berman, S.L., Montgomery, M.J. and Ratner, K. (2020) </w:t>
      </w:r>
      <w:r w:rsidRPr="00F033EA">
        <w:rPr>
          <w:rFonts w:ascii="Arial" w:hAnsi="Arial" w:cs="Arial"/>
        </w:rPr>
        <w:t>‘</w:t>
      </w:r>
      <w:r w:rsidRPr="00F033EA">
        <w:rPr>
          <w:rFonts w:ascii="Arial" w:hAnsi="Arial" w:cs="Arial"/>
        </w:rPr>
        <w:t>Trauma and identity: A reciprocal relationship?</w:t>
      </w:r>
      <w:r w:rsidRPr="00F033EA">
        <w:rPr>
          <w:rFonts w:ascii="Arial" w:hAnsi="Arial" w:cs="Arial"/>
        </w:rPr>
        <w:t>’,</w:t>
      </w:r>
      <w:r w:rsidRPr="00F033EA">
        <w:rPr>
          <w:rFonts w:ascii="Arial" w:hAnsi="Arial" w:cs="Arial"/>
        </w:rPr>
        <w:t> </w:t>
      </w:r>
      <w:r w:rsidRPr="00F033EA">
        <w:rPr>
          <w:rFonts w:ascii="Arial" w:hAnsi="Arial" w:cs="Arial"/>
          <w:i/>
          <w:iCs/>
        </w:rPr>
        <w:t>Journal of Adolescence</w:t>
      </w:r>
      <w:r w:rsidRPr="00F033EA">
        <w:rPr>
          <w:rFonts w:ascii="Arial" w:hAnsi="Arial" w:cs="Arial"/>
        </w:rPr>
        <w:t>, 79(1), pp.275–278. Available at: https://doi.org/10.1016/j.adolescence.2020.01.018.</w:t>
      </w:r>
    </w:p>
    <w:p w14:paraId="2BA862BB" w14:textId="77777777" w:rsidR="00F033EA" w:rsidRPr="00F033EA" w:rsidRDefault="00F033EA" w:rsidP="00F033EA">
      <w:pPr>
        <w:spacing w:line="360" w:lineRule="auto"/>
        <w:rPr>
          <w:rFonts w:ascii="Arial" w:hAnsi="Arial" w:cs="Arial"/>
        </w:rPr>
      </w:pPr>
      <w:r w:rsidRPr="00F033EA">
        <w:rPr>
          <w:rFonts w:ascii="Arial" w:hAnsi="Arial" w:cs="Arial"/>
        </w:rPr>
        <w:t>Bowlby, J. (1988) A secure base: Parent-child attachment and healthy human development. New York: Basic Books.</w:t>
      </w:r>
    </w:p>
    <w:p w14:paraId="75E06FA8" w14:textId="77777777" w:rsidR="00F033EA" w:rsidRPr="00F033EA" w:rsidRDefault="00F033EA" w:rsidP="00F033EA">
      <w:pPr>
        <w:spacing w:line="360" w:lineRule="auto"/>
        <w:rPr>
          <w:rFonts w:ascii="Arial" w:hAnsi="Arial" w:cs="Arial"/>
        </w:rPr>
      </w:pPr>
      <w:r w:rsidRPr="00F033EA">
        <w:rPr>
          <w:rFonts w:ascii="Arial" w:hAnsi="Arial" w:cs="Arial"/>
        </w:rPr>
        <w:t xml:space="preserve">Bryson, S.A., Gauvin, E., Jamieson, A., Rathgeber, M., Faulkner-Gibson, L., Bell, S., Davidson, J., Russel, J. and Burke, S. (2017) </w:t>
      </w:r>
      <w:r w:rsidRPr="00F033EA">
        <w:rPr>
          <w:rFonts w:ascii="Arial" w:hAnsi="Arial" w:cs="Arial"/>
        </w:rPr>
        <w:t>‘</w:t>
      </w:r>
      <w:r w:rsidRPr="00F033EA">
        <w:rPr>
          <w:rFonts w:ascii="Arial" w:hAnsi="Arial" w:cs="Arial"/>
        </w:rPr>
        <w:t>What are effective strategies for implementing trauma-informed care in youth inpatient psychiatric and residential treatment settings? A realist systematic review</w:t>
      </w:r>
      <w:r w:rsidRPr="00F033EA">
        <w:rPr>
          <w:rFonts w:ascii="Arial" w:hAnsi="Arial" w:cs="Arial"/>
        </w:rPr>
        <w:t>’,</w:t>
      </w:r>
      <w:r w:rsidRPr="00F033EA">
        <w:rPr>
          <w:rFonts w:ascii="Arial" w:hAnsi="Arial" w:cs="Arial"/>
        </w:rPr>
        <w:t> </w:t>
      </w:r>
      <w:r w:rsidRPr="00F033EA">
        <w:rPr>
          <w:rFonts w:ascii="Arial" w:hAnsi="Arial" w:cs="Arial"/>
          <w:i/>
          <w:iCs/>
        </w:rPr>
        <w:t>International Journal of Mental Health Systems</w:t>
      </w:r>
      <w:r w:rsidRPr="00F033EA">
        <w:rPr>
          <w:rFonts w:ascii="Arial" w:hAnsi="Arial" w:cs="Arial"/>
        </w:rPr>
        <w:t>, 11(1). Available at: https://doi.org/10.1186/s13033-017-0137-3.</w:t>
      </w:r>
    </w:p>
    <w:p w14:paraId="3E286410" w14:textId="77777777" w:rsidR="00F033EA" w:rsidRPr="00F033EA" w:rsidRDefault="00F033EA" w:rsidP="00F033EA">
      <w:pPr>
        <w:spacing w:line="360" w:lineRule="auto"/>
        <w:rPr>
          <w:rFonts w:ascii="Arial" w:hAnsi="Arial" w:cs="Arial"/>
        </w:rPr>
      </w:pPr>
      <w:r w:rsidRPr="00F033EA">
        <w:rPr>
          <w:rFonts w:ascii="Arial" w:hAnsi="Arial" w:cs="Arial"/>
        </w:rPr>
        <w:t xml:space="preserve">Gander, M., Buchheim, A., Bock, A., </w:t>
      </w:r>
      <w:proofErr w:type="spellStart"/>
      <w:r w:rsidRPr="00F033EA">
        <w:rPr>
          <w:rFonts w:ascii="Arial" w:hAnsi="Arial" w:cs="Arial"/>
        </w:rPr>
        <w:t>Steppan</w:t>
      </w:r>
      <w:proofErr w:type="spellEnd"/>
      <w:r w:rsidRPr="00F033EA">
        <w:rPr>
          <w:rFonts w:ascii="Arial" w:hAnsi="Arial" w:cs="Arial"/>
        </w:rPr>
        <w:t xml:space="preserve">, M., Sevecke, K. and Goth, K. (2020) </w:t>
      </w:r>
      <w:r w:rsidRPr="00F033EA">
        <w:rPr>
          <w:rFonts w:ascii="Arial" w:hAnsi="Arial" w:cs="Arial"/>
        </w:rPr>
        <w:t>‘</w:t>
      </w:r>
      <w:r w:rsidRPr="00F033EA">
        <w:rPr>
          <w:rFonts w:ascii="Arial" w:hAnsi="Arial" w:cs="Arial"/>
        </w:rPr>
        <w:t>Unresolved Attachment Mediates the Relationship Between Childhood Trauma and Impaired Personality Functioning in Adolescence</w:t>
      </w:r>
      <w:r w:rsidRPr="00F033EA">
        <w:rPr>
          <w:rFonts w:ascii="Arial" w:hAnsi="Arial" w:cs="Arial"/>
        </w:rPr>
        <w:t>’,</w:t>
      </w:r>
      <w:r w:rsidRPr="00F033EA">
        <w:rPr>
          <w:rFonts w:ascii="Arial" w:hAnsi="Arial" w:cs="Arial"/>
        </w:rPr>
        <w:t> </w:t>
      </w:r>
      <w:r w:rsidRPr="00F033EA">
        <w:rPr>
          <w:rFonts w:ascii="Arial" w:hAnsi="Arial" w:cs="Arial"/>
          <w:i/>
          <w:iCs/>
        </w:rPr>
        <w:t>Journal of Personality Disorders</w:t>
      </w:r>
      <w:r w:rsidRPr="00F033EA">
        <w:rPr>
          <w:rFonts w:ascii="Arial" w:hAnsi="Arial" w:cs="Arial"/>
        </w:rPr>
        <w:t>, 34, pp.1–20. Available at: https://doi.org/10.1521/pedi_2020_34_468.</w:t>
      </w:r>
    </w:p>
    <w:p w14:paraId="2E93802C" w14:textId="77777777" w:rsidR="00F033EA" w:rsidRPr="00F033EA" w:rsidRDefault="00F033EA" w:rsidP="00F033EA">
      <w:pPr>
        <w:spacing w:line="360" w:lineRule="auto"/>
        <w:rPr>
          <w:rFonts w:ascii="Arial" w:hAnsi="Arial" w:cs="Arial"/>
        </w:rPr>
      </w:pPr>
      <w:r w:rsidRPr="00F033EA">
        <w:rPr>
          <w:rFonts w:ascii="Arial" w:hAnsi="Arial" w:cs="Arial"/>
        </w:rPr>
        <w:t xml:space="preserve">Gerasimos Kalogeratos, Anastasopoulou, E., Angeliki Tsagri, Chrysostomos </w:t>
      </w:r>
      <w:proofErr w:type="spellStart"/>
      <w:r w:rsidRPr="00F033EA">
        <w:rPr>
          <w:rFonts w:ascii="Arial" w:hAnsi="Arial" w:cs="Arial"/>
        </w:rPr>
        <w:t>Tseremegklis</w:t>
      </w:r>
      <w:proofErr w:type="spellEnd"/>
      <w:r w:rsidRPr="00F033EA">
        <w:rPr>
          <w:rFonts w:ascii="Arial" w:hAnsi="Arial" w:cs="Arial"/>
        </w:rPr>
        <w:t xml:space="preserve"> and Antigoni Kriparopoulou (2024) </w:t>
      </w:r>
      <w:r w:rsidRPr="00F033EA">
        <w:rPr>
          <w:rFonts w:ascii="Arial" w:hAnsi="Arial" w:cs="Arial"/>
        </w:rPr>
        <w:t>‘</w:t>
      </w:r>
      <w:r w:rsidRPr="00F033EA">
        <w:rPr>
          <w:rFonts w:ascii="Arial" w:hAnsi="Arial" w:cs="Arial"/>
        </w:rPr>
        <w:t>Adverse Adolescent Experiences, Psychological Trauma, and the Impact on Management of Educational Learning</w:t>
      </w:r>
      <w:r w:rsidRPr="00F033EA">
        <w:rPr>
          <w:rFonts w:ascii="Arial" w:hAnsi="Arial" w:cs="Arial"/>
        </w:rPr>
        <w:t>’,</w:t>
      </w:r>
      <w:r w:rsidRPr="00F033EA">
        <w:rPr>
          <w:rFonts w:ascii="Arial" w:hAnsi="Arial" w:cs="Arial"/>
        </w:rPr>
        <w:t> </w:t>
      </w:r>
      <w:proofErr w:type="spellStart"/>
      <w:r w:rsidRPr="00F033EA">
        <w:rPr>
          <w:rFonts w:ascii="Arial" w:hAnsi="Arial" w:cs="Arial"/>
          <w:i/>
          <w:iCs/>
        </w:rPr>
        <w:t>Technium</w:t>
      </w:r>
      <w:proofErr w:type="spellEnd"/>
      <w:r w:rsidRPr="00F033EA">
        <w:rPr>
          <w:rFonts w:ascii="Arial" w:hAnsi="Arial" w:cs="Arial"/>
          <w:i/>
          <w:iCs/>
        </w:rPr>
        <w:t xml:space="preserve"> Business and Management</w:t>
      </w:r>
      <w:r w:rsidRPr="00F033EA">
        <w:rPr>
          <w:rFonts w:ascii="Arial" w:hAnsi="Arial" w:cs="Arial"/>
        </w:rPr>
        <w:t>, 7, pp.9–23. Available at: https://doi.org/10.47577/business.v7i.10547.</w:t>
      </w:r>
    </w:p>
    <w:p w14:paraId="6BA8E0F6" w14:textId="77777777" w:rsidR="00F033EA" w:rsidRPr="00F033EA" w:rsidRDefault="00F033EA" w:rsidP="00F033EA">
      <w:pPr>
        <w:spacing w:line="360" w:lineRule="auto"/>
        <w:rPr>
          <w:rFonts w:ascii="Arial" w:hAnsi="Arial" w:cs="Arial"/>
        </w:rPr>
      </w:pPr>
      <w:r w:rsidRPr="00F033EA">
        <w:rPr>
          <w:rFonts w:ascii="Arial" w:hAnsi="Arial" w:cs="Arial"/>
        </w:rPr>
        <w:t xml:space="preserve">Marusak, H.A., Martin, K.R., Etkin, A. and Thomason, M.E. (2014) </w:t>
      </w:r>
      <w:r w:rsidRPr="00F033EA">
        <w:rPr>
          <w:rFonts w:ascii="Arial" w:hAnsi="Arial" w:cs="Arial"/>
        </w:rPr>
        <w:t>‘</w:t>
      </w:r>
      <w:r w:rsidRPr="00F033EA">
        <w:rPr>
          <w:rFonts w:ascii="Arial" w:hAnsi="Arial" w:cs="Arial"/>
        </w:rPr>
        <w:t>Childhood Trauma Exposure Disrupts the Automatic Regulation of Emotional Processing</w:t>
      </w:r>
      <w:r w:rsidRPr="00F033EA">
        <w:rPr>
          <w:rFonts w:ascii="Arial" w:hAnsi="Arial" w:cs="Arial"/>
        </w:rPr>
        <w:t>’,</w:t>
      </w:r>
      <w:r w:rsidRPr="00F033EA">
        <w:rPr>
          <w:rFonts w:ascii="Arial" w:hAnsi="Arial" w:cs="Arial"/>
        </w:rPr>
        <w:t> </w:t>
      </w:r>
      <w:r w:rsidRPr="00F033EA">
        <w:rPr>
          <w:rFonts w:ascii="Arial" w:hAnsi="Arial" w:cs="Arial"/>
          <w:i/>
          <w:iCs/>
        </w:rPr>
        <w:t>Neuropsychopharmacology</w:t>
      </w:r>
      <w:r w:rsidRPr="00F033EA">
        <w:rPr>
          <w:rFonts w:ascii="Arial" w:hAnsi="Arial" w:cs="Arial"/>
        </w:rPr>
        <w:t>, 40(5), pp.1250–1258. Available at</w:t>
      </w:r>
      <w:r w:rsidRPr="00F033EA">
        <w:rPr>
          <w:rFonts w:ascii="Arial" w:hAnsi="Arial" w:cs="Arial"/>
        </w:rPr>
        <w:t xml:space="preserve"> </w:t>
      </w:r>
      <w:r w:rsidRPr="00F033EA">
        <w:rPr>
          <w:rFonts w:ascii="Arial" w:hAnsi="Arial" w:cs="Arial"/>
        </w:rPr>
        <w:t>:https://doi.org/10.1038/npp.2014.311.</w:t>
      </w:r>
    </w:p>
    <w:p w14:paraId="48CB3A6C" w14:textId="77777777" w:rsidR="00F033EA" w:rsidRPr="00F033EA" w:rsidRDefault="00F033EA" w:rsidP="00F033EA">
      <w:pPr>
        <w:spacing w:line="360" w:lineRule="auto"/>
        <w:rPr>
          <w:rFonts w:ascii="Arial" w:hAnsi="Arial" w:cs="Arial"/>
        </w:rPr>
      </w:pPr>
      <w:r w:rsidRPr="00F033EA">
        <w:rPr>
          <w:rFonts w:ascii="Arial" w:hAnsi="Arial" w:cs="Arial"/>
        </w:rPr>
        <w:lastRenderedPageBreak/>
        <w:t xml:space="preserve">Melamed, D.M., Botting, J., Lofthouse, K., Pass, L. and Meiser-Stedman, R. (2024) </w:t>
      </w:r>
      <w:r w:rsidRPr="00F033EA">
        <w:rPr>
          <w:rFonts w:ascii="Arial" w:hAnsi="Arial" w:cs="Arial"/>
        </w:rPr>
        <w:t>‘</w:t>
      </w:r>
      <w:r w:rsidRPr="00F033EA">
        <w:rPr>
          <w:rFonts w:ascii="Arial" w:hAnsi="Arial" w:cs="Arial"/>
        </w:rPr>
        <w:t>The Relationship Between Negative Self-Concept, Trauma, and Maltreatment in Children and Adolescents: A Meta-Analysis</w:t>
      </w:r>
      <w:r w:rsidRPr="00F033EA">
        <w:rPr>
          <w:rFonts w:ascii="Arial" w:hAnsi="Arial" w:cs="Arial"/>
        </w:rPr>
        <w:t>’,</w:t>
      </w:r>
      <w:r w:rsidRPr="00F033EA">
        <w:rPr>
          <w:rFonts w:ascii="Arial" w:hAnsi="Arial" w:cs="Arial"/>
        </w:rPr>
        <w:t> </w:t>
      </w:r>
      <w:r w:rsidRPr="00F033EA">
        <w:rPr>
          <w:rFonts w:ascii="Arial" w:hAnsi="Arial" w:cs="Arial"/>
          <w:i/>
          <w:iCs/>
        </w:rPr>
        <w:t>Clinical Child and Family Psychology Review</w:t>
      </w:r>
      <w:r w:rsidRPr="00F033EA">
        <w:rPr>
          <w:rFonts w:ascii="Arial" w:hAnsi="Arial" w:cs="Arial"/>
        </w:rPr>
        <w:t>, 27(1). Available at: https://doi.org/10.1007/s10567-024-00472-9.</w:t>
      </w:r>
    </w:p>
    <w:p w14:paraId="378D2138" w14:textId="77777777" w:rsidR="00F033EA" w:rsidRPr="00F033EA" w:rsidRDefault="00F033EA" w:rsidP="00F033EA">
      <w:pPr>
        <w:spacing w:line="360" w:lineRule="auto"/>
        <w:rPr>
          <w:rFonts w:ascii="Arial" w:hAnsi="Arial" w:cs="Arial"/>
        </w:rPr>
      </w:pPr>
      <w:r w:rsidRPr="00F033EA">
        <w:rPr>
          <w:rFonts w:ascii="Arial" w:hAnsi="Arial" w:cs="Arial"/>
        </w:rPr>
        <w:br/>
      </w:r>
      <w:r w:rsidRPr="00F033EA">
        <w:rPr>
          <w:rFonts w:ascii="Arial" w:hAnsi="Arial" w:cs="Arial"/>
        </w:rPr>
        <w:t xml:space="preserve">Murphy, F., Nasa, A., Cullinane, D., </w:t>
      </w:r>
      <w:proofErr w:type="spellStart"/>
      <w:r w:rsidRPr="00F033EA">
        <w:rPr>
          <w:rFonts w:ascii="Arial" w:hAnsi="Arial" w:cs="Arial"/>
        </w:rPr>
        <w:t>Raajakesary</w:t>
      </w:r>
      <w:proofErr w:type="spellEnd"/>
      <w:r w:rsidRPr="00F033EA">
        <w:rPr>
          <w:rFonts w:ascii="Arial" w:hAnsi="Arial" w:cs="Arial"/>
        </w:rPr>
        <w:t xml:space="preserve">, K., </w:t>
      </w:r>
      <w:proofErr w:type="spellStart"/>
      <w:r w:rsidRPr="00F033EA">
        <w:rPr>
          <w:rFonts w:ascii="Arial" w:hAnsi="Arial" w:cs="Arial"/>
        </w:rPr>
        <w:t>Gazzaz</w:t>
      </w:r>
      <w:proofErr w:type="spellEnd"/>
      <w:r w:rsidRPr="00F033EA">
        <w:rPr>
          <w:rFonts w:ascii="Arial" w:hAnsi="Arial" w:cs="Arial"/>
        </w:rPr>
        <w:t xml:space="preserve">, A., </w:t>
      </w:r>
      <w:proofErr w:type="spellStart"/>
      <w:r w:rsidRPr="00F033EA">
        <w:rPr>
          <w:rFonts w:ascii="Arial" w:hAnsi="Arial" w:cs="Arial"/>
        </w:rPr>
        <w:t>Sooknarine</w:t>
      </w:r>
      <w:proofErr w:type="spellEnd"/>
      <w:r w:rsidRPr="00F033EA">
        <w:rPr>
          <w:rFonts w:ascii="Arial" w:hAnsi="Arial" w:cs="Arial"/>
        </w:rPr>
        <w:t xml:space="preserve">, V., Haines, M., Roman, E., Kelly, L., O’Neill, A., Cannon, M. and Roddy, D.W. (2022) </w:t>
      </w:r>
      <w:r w:rsidRPr="00F033EA">
        <w:rPr>
          <w:rFonts w:ascii="Arial" w:hAnsi="Arial" w:cs="Arial"/>
        </w:rPr>
        <w:t>‘</w:t>
      </w:r>
      <w:r w:rsidRPr="00F033EA">
        <w:rPr>
          <w:rFonts w:ascii="Arial" w:hAnsi="Arial" w:cs="Arial"/>
        </w:rPr>
        <w:t>Childhood Trauma, the HPA Axis and Psychiatric Illnesses: A Targeted Literature Synthesis</w:t>
      </w:r>
      <w:r w:rsidRPr="00F033EA">
        <w:rPr>
          <w:rFonts w:ascii="Arial" w:hAnsi="Arial" w:cs="Arial"/>
        </w:rPr>
        <w:t>’,</w:t>
      </w:r>
      <w:r w:rsidRPr="00F033EA">
        <w:rPr>
          <w:rFonts w:ascii="Arial" w:hAnsi="Arial" w:cs="Arial"/>
        </w:rPr>
        <w:t> </w:t>
      </w:r>
      <w:r w:rsidRPr="00F033EA">
        <w:rPr>
          <w:rFonts w:ascii="Arial" w:hAnsi="Arial" w:cs="Arial"/>
          <w:i/>
          <w:iCs/>
        </w:rPr>
        <w:t>Frontiers in Psychiatry</w:t>
      </w:r>
      <w:r w:rsidRPr="00F033EA">
        <w:rPr>
          <w:rFonts w:ascii="Arial" w:hAnsi="Arial" w:cs="Arial"/>
        </w:rPr>
        <w:t xml:space="preserve">, 13(748372). </w:t>
      </w:r>
      <w:r w:rsidRPr="00F033EA">
        <w:rPr>
          <w:rFonts w:ascii="Arial" w:hAnsi="Arial" w:cs="Arial"/>
        </w:rPr>
        <w:t>Available at</w:t>
      </w:r>
      <w:r w:rsidRPr="00F033EA">
        <w:rPr>
          <w:rFonts w:ascii="Arial" w:hAnsi="Arial" w:cs="Arial"/>
        </w:rPr>
        <w:t>:</w:t>
      </w:r>
      <w:r w:rsidRPr="00F033EA">
        <w:rPr>
          <w:rFonts w:ascii="Arial" w:hAnsi="Arial" w:cs="Arial"/>
        </w:rPr>
        <w:t xml:space="preserve"> </w:t>
      </w:r>
      <w:r w:rsidRPr="00F033EA">
        <w:rPr>
          <w:rFonts w:ascii="Arial" w:hAnsi="Arial" w:cs="Arial"/>
        </w:rPr>
        <w:t>https://doi.org/10.3389/fpsyt.2022.748372.</w:t>
      </w:r>
    </w:p>
    <w:p w14:paraId="3C402EF8" w14:textId="77777777" w:rsidR="00F033EA" w:rsidRPr="00F033EA" w:rsidRDefault="00F033EA" w:rsidP="00F033EA">
      <w:pPr>
        <w:spacing w:line="360" w:lineRule="auto"/>
        <w:rPr>
          <w:rFonts w:ascii="Arial" w:hAnsi="Arial" w:cs="Arial"/>
        </w:rPr>
      </w:pPr>
      <w:proofErr w:type="spellStart"/>
      <w:r w:rsidRPr="00F033EA">
        <w:rPr>
          <w:rFonts w:ascii="Arial" w:hAnsi="Arial" w:cs="Arial"/>
        </w:rPr>
        <w:t>Pasteuning</w:t>
      </w:r>
      <w:proofErr w:type="spellEnd"/>
      <w:r w:rsidRPr="00F033EA">
        <w:rPr>
          <w:rFonts w:ascii="Arial" w:hAnsi="Arial" w:cs="Arial"/>
        </w:rPr>
        <w:t xml:space="preserve">, J.M., Broeder, C., Broeders, T.A.A., Busby, R.G.G., </w:t>
      </w:r>
      <w:proofErr w:type="spellStart"/>
      <w:r w:rsidRPr="00F033EA">
        <w:rPr>
          <w:rFonts w:ascii="Arial" w:hAnsi="Arial" w:cs="Arial"/>
        </w:rPr>
        <w:t>Gathier</w:t>
      </w:r>
      <w:proofErr w:type="spellEnd"/>
      <w:r w:rsidRPr="00F033EA">
        <w:rPr>
          <w:rFonts w:ascii="Arial" w:hAnsi="Arial" w:cs="Arial"/>
        </w:rPr>
        <w:t xml:space="preserve">, A.W., </w:t>
      </w:r>
      <w:proofErr w:type="spellStart"/>
      <w:r w:rsidRPr="00F033EA">
        <w:rPr>
          <w:rFonts w:ascii="Arial" w:hAnsi="Arial" w:cs="Arial"/>
        </w:rPr>
        <w:t>Kuzminskaite</w:t>
      </w:r>
      <w:proofErr w:type="spellEnd"/>
      <w:r w:rsidRPr="00F033EA">
        <w:rPr>
          <w:rFonts w:ascii="Arial" w:hAnsi="Arial" w:cs="Arial"/>
        </w:rPr>
        <w:t xml:space="preserve">, E., </w:t>
      </w:r>
      <w:proofErr w:type="spellStart"/>
      <w:r w:rsidRPr="00F033EA">
        <w:rPr>
          <w:rFonts w:ascii="Arial" w:hAnsi="Arial" w:cs="Arial"/>
        </w:rPr>
        <w:t>Linsen</w:t>
      </w:r>
      <w:proofErr w:type="spellEnd"/>
      <w:r w:rsidRPr="00F033EA">
        <w:rPr>
          <w:rFonts w:ascii="Arial" w:hAnsi="Arial" w:cs="Arial"/>
        </w:rPr>
        <w:t xml:space="preserve">, F., </w:t>
      </w:r>
      <w:proofErr w:type="spellStart"/>
      <w:r w:rsidRPr="00F033EA">
        <w:rPr>
          <w:rFonts w:ascii="Arial" w:hAnsi="Arial" w:cs="Arial"/>
        </w:rPr>
        <w:t>Souama</w:t>
      </w:r>
      <w:proofErr w:type="spellEnd"/>
      <w:r w:rsidRPr="00F033EA">
        <w:rPr>
          <w:rFonts w:ascii="Arial" w:hAnsi="Arial" w:cs="Arial"/>
        </w:rPr>
        <w:t xml:space="preserve">, C.P., Verhoeven, J.E., Sep, M.S.C. and </w:t>
      </w:r>
      <w:proofErr w:type="spellStart"/>
      <w:r w:rsidRPr="00F033EA">
        <w:rPr>
          <w:rFonts w:ascii="Arial" w:hAnsi="Arial" w:cs="Arial"/>
        </w:rPr>
        <w:t>Vinkers</w:t>
      </w:r>
      <w:proofErr w:type="spellEnd"/>
      <w:r w:rsidRPr="00F033EA">
        <w:rPr>
          <w:rFonts w:ascii="Arial" w:hAnsi="Arial" w:cs="Arial"/>
        </w:rPr>
        <w:t xml:space="preserve">, C.H. (2025) </w:t>
      </w:r>
      <w:r w:rsidRPr="00F033EA">
        <w:rPr>
          <w:rFonts w:ascii="Arial" w:hAnsi="Arial" w:cs="Arial"/>
        </w:rPr>
        <w:t>‘</w:t>
      </w:r>
      <w:r w:rsidRPr="00F033EA">
        <w:rPr>
          <w:rFonts w:ascii="Arial" w:hAnsi="Arial" w:cs="Arial"/>
        </w:rPr>
        <w:t>Mechanisms of childhood trauma: an integrative review of a multimodal, transdiagnostic pathway</w:t>
      </w:r>
      <w:r w:rsidRPr="00F033EA">
        <w:rPr>
          <w:rFonts w:ascii="Arial" w:hAnsi="Arial" w:cs="Arial"/>
        </w:rPr>
        <w:t>’,</w:t>
      </w:r>
      <w:r w:rsidRPr="00F033EA">
        <w:rPr>
          <w:rFonts w:ascii="Arial" w:hAnsi="Arial" w:cs="Arial"/>
        </w:rPr>
        <w:t> </w:t>
      </w:r>
      <w:r w:rsidRPr="00F033EA">
        <w:rPr>
          <w:rFonts w:ascii="Arial" w:hAnsi="Arial" w:cs="Arial"/>
          <w:i/>
          <w:iCs/>
        </w:rPr>
        <w:t>Neurobiology of Stress</w:t>
      </w:r>
      <w:r w:rsidRPr="00F033EA">
        <w:rPr>
          <w:rFonts w:ascii="Arial" w:hAnsi="Arial" w:cs="Arial"/>
        </w:rPr>
        <w:t>, 37, p.100737. Available at: https://doi.org/10.1016/j.ynstr.2025.100737.</w:t>
      </w:r>
    </w:p>
    <w:p w14:paraId="0556C0D5" w14:textId="77777777" w:rsidR="00F033EA" w:rsidRPr="00F033EA" w:rsidRDefault="00F033EA" w:rsidP="00F033EA">
      <w:pPr>
        <w:spacing w:line="360" w:lineRule="auto"/>
        <w:rPr>
          <w:rFonts w:ascii="Arial" w:hAnsi="Arial" w:cs="Arial"/>
        </w:rPr>
      </w:pPr>
      <w:r w:rsidRPr="00F033EA">
        <w:rPr>
          <w:rFonts w:ascii="Arial" w:hAnsi="Arial" w:cs="Arial"/>
        </w:rPr>
        <w:t xml:space="preserve">Paulus, F.W., Ohmann, S., </w:t>
      </w:r>
      <w:proofErr w:type="spellStart"/>
      <w:r w:rsidRPr="00F033EA">
        <w:rPr>
          <w:rFonts w:ascii="Arial" w:hAnsi="Arial" w:cs="Arial"/>
        </w:rPr>
        <w:t>Möhler</w:t>
      </w:r>
      <w:proofErr w:type="spellEnd"/>
      <w:r w:rsidRPr="00F033EA">
        <w:rPr>
          <w:rFonts w:ascii="Arial" w:hAnsi="Arial" w:cs="Arial"/>
        </w:rPr>
        <w:t xml:space="preserve">, E., Plener, P. and Popow, C. (2021) </w:t>
      </w:r>
      <w:r w:rsidRPr="00F033EA">
        <w:rPr>
          <w:rFonts w:ascii="Arial" w:hAnsi="Arial" w:cs="Arial"/>
        </w:rPr>
        <w:t>‘</w:t>
      </w:r>
      <w:r w:rsidRPr="00F033EA">
        <w:rPr>
          <w:rFonts w:ascii="Arial" w:hAnsi="Arial" w:cs="Arial"/>
        </w:rPr>
        <w:t>Emotional Dysregulation in Children and Adolescents With Psychiatric Disorders. A Narrative Review</w:t>
      </w:r>
      <w:r w:rsidRPr="00F033EA">
        <w:rPr>
          <w:rFonts w:ascii="Arial" w:hAnsi="Arial" w:cs="Arial"/>
        </w:rPr>
        <w:t>’,</w:t>
      </w:r>
      <w:r w:rsidRPr="00F033EA">
        <w:rPr>
          <w:rFonts w:ascii="Arial" w:hAnsi="Arial" w:cs="Arial"/>
        </w:rPr>
        <w:t> </w:t>
      </w:r>
      <w:r w:rsidRPr="00F033EA">
        <w:rPr>
          <w:rFonts w:ascii="Arial" w:hAnsi="Arial" w:cs="Arial"/>
          <w:i/>
          <w:iCs/>
        </w:rPr>
        <w:t>Frontiers in Psychiatry</w:t>
      </w:r>
      <w:r w:rsidRPr="00F033EA">
        <w:rPr>
          <w:rFonts w:ascii="Arial" w:hAnsi="Arial" w:cs="Arial"/>
        </w:rPr>
        <w:t>, 12(1), pp.1–32. Available at: https://doi.org/10.3389/fpsyt.2021.628252.</w:t>
      </w:r>
    </w:p>
    <w:p w14:paraId="6C304B99" w14:textId="77777777" w:rsidR="00F033EA" w:rsidRPr="00F033EA" w:rsidRDefault="00F033EA" w:rsidP="00F033EA">
      <w:pPr>
        <w:spacing w:line="360" w:lineRule="auto"/>
        <w:rPr>
          <w:rFonts w:ascii="Arial" w:hAnsi="Arial" w:cs="Arial"/>
        </w:rPr>
      </w:pPr>
      <w:proofErr w:type="spellStart"/>
      <w:r w:rsidRPr="00F033EA">
        <w:rPr>
          <w:rFonts w:ascii="Arial" w:hAnsi="Arial" w:cs="Arial"/>
        </w:rPr>
        <w:t>Sagone</w:t>
      </w:r>
      <w:proofErr w:type="spellEnd"/>
      <w:r w:rsidRPr="00F033EA">
        <w:rPr>
          <w:rFonts w:ascii="Arial" w:hAnsi="Arial" w:cs="Arial"/>
        </w:rPr>
        <w:t xml:space="preserve">, E.; </w:t>
      </w:r>
      <w:proofErr w:type="spellStart"/>
      <w:r w:rsidRPr="00F033EA">
        <w:rPr>
          <w:rFonts w:ascii="Arial" w:hAnsi="Arial" w:cs="Arial"/>
        </w:rPr>
        <w:t>Commodari</w:t>
      </w:r>
      <w:proofErr w:type="spellEnd"/>
      <w:r w:rsidRPr="00F033EA">
        <w:rPr>
          <w:rFonts w:ascii="Arial" w:hAnsi="Arial" w:cs="Arial"/>
        </w:rPr>
        <w:t>, E.; Indiana, M.L.; La Rosa, V.L.</w:t>
      </w:r>
      <w:r w:rsidRPr="00F033EA">
        <w:rPr>
          <w:rFonts w:ascii="Arial" w:hAnsi="Arial" w:cs="Arial"/>
        </w:rPr>
        <w:t xml:space="preserve"> (2023)</w:t>
      </w:r>
      <w:r w:rsidRPr="00F033EA">
        <w:rPr>
          <w:rFonts w:ascii="Arial" w:hAnsi="Arial" w:cs="Arial"/>
        </w:rPr>
        <w:t xml:space="preserve"> </w:t>
      </w:r>
      <w:r w:rsidRPr="00F033EA">
        <w:rPr>
          <w:rFonts w:ascii="Arial" w:hAnsi="Arial" w:cs="Arial"/>
        </w:rPr>
        <w:t>‘</w:t>
      </w:r>
      <w:r w:rsidRPr="00F033EA">
        <w:rPr>
          <w:rFonts w:ascii="Arial" w:hAnsi="Arial" w:cs="Arial"/>
        </w:rPr>
        <w:t>Exploring the Association between Attachment Style, Psychological Well-Being, and Relationship Status in Young Adults and Adults</w:t>
      </w:r>
      <w:r w:rsidRPr="00F033EA">
        <w:rPr>
          <w:rFonts w:ascii="Arial" w:hAnsi="Arial" w:cs="Arial"/>
        </w:rPr>
        <w:t xml:space="preserve">’, </w:t>
      </w:r>
      <w:r w:rsidRPr="00F033EA">
        <w:rPr>
          <w:rFonts w:ascii="Arial" w:hAnsi="Arial" w:cs="Arial"/>
          <w:i/>
          <w:iCs/>
        </w:rPr>
        <w:t>A Cross-Sectional Study</w:t>
      </w:r>
      <w:r w:rsidRPr="00F033EA">
        <w:rPr>
          <w:rFonts w:ascii="Arial" w:hAnsi="Arial" w:cs="Arial"/>
        </w:rPr>
        <w:t>., 13, 525–539. Available at: https://doi.org/10.3390/ ejihpe13030040</w:t>
      </w:r>
    </w:p>
    <w:p w14:paraId="13D10A78" w14:textId="77777777" w:rsidR="00F033EA" w:rsidRPr="000733D4" w:rsidRDefault="00F033EA" w:rsidP="00F033EA">
      <w:pPr>
        <w:spacing w:line="360" w:lineRule="auto"/>
        <w:rPr>
          <w:rFonts w:ascii="Arial" w:hAnsi="Arial" w:cs="Arial"/>
        </w:rPr>
      </w:pPr>
      <w:r w:rsidRPr="00F033EA">
        <w:rPr>
          <w:rFonts w:ascii="Arial" w:hAnsi="Arial" w:cs="Arial"/>
        </w:rPr>
        <w:t>SAMHSA (2017) </w:t>
      </w:r>
      <w:r w:rsidRPr="00F033EA">
        <w:rPr>
          <w:rFonts w:ascii="Arial" w:hAnsi="Arial" w:cs="Arial"/>
          <w:i/>
          <w:iCs/>
        </w:rPr>
        <w:t xml:space="preserve">Trauma-Informed Care in </w:t>
      </w:r>
      <w:proofErr w:type="spellStart"/>
      <w:r w:rsidRPr="00F033EA">
        <w:rPr>
          <w:rFonts w:ascii="Arial" w:hAnsi="Arial" w:cs="Arial"/>
          <w:i/>
          <w:iCs/>
        </w:rPr>
        <w:t>Behavioral</w:t>
      </w:r>
      <w:proofErr w:type="spellEnd"/>
      <w:r w:rsidRPr="00F033EA">
        <w:rPr>
          <w:rFonts w:ascii="Arial" w:hAnsi="Arial" w:cs="Arial"/>
          <w:i/>
          <w:iCs/>
        </w:rPr>
        <w:t xml:space="preserve"> Health Services</w:t>
      </w:r>
      <w:r w:rsidRPr="00F033EA">
        <w:rPr>
          <w:rFonts w:ascii="Arial" w:hAnsi="Arial" w:cs="Arial"/>
        </w:rPr>
        <w:t xml:space="preserve">. </w:t>
      </w:r>
      <w:proofErr w:type="spellStart"/>
      <w:r w:rsidRPr="00F033EA">
        <w:rPr>
          <w:rFonts w:ascii="Arial" w:hAnsi="Arial" w:cs="Arial"/>
        </w:rPr>
        <w:t>Createspace</w:t>
      </w:r>
      <w:proofErr w:type="spellEnd"/>
      <w:r w:rsidRPr="00F033EA">
        <w:rPr>
          <w:rFonts w:ascii="Arial" w:hAnsi="Arial" w:cs="Arial"/>
        </w:rPr>
        <w:t xml:space="preserve"> Independent Publishing Platform.</w:t>
      </w:r>
    </w:p>
    <w:p w14:paraId="558B67FF" w14:textId="77777777" w:rsidR="00F033EA" w:rsidRPr="00F033EA" w:rsidRDefault="00F033EA" w:rsidP="00F033EA">
      <w:pPr>
        <w:spacing w:line="360" w:lineRule="auto"/>
        <w:rPr>
          <w:rFonts w:ascii="Arial" w:hAnsi="Arial" w:cs="Arial"/>
        </w:rPr>
      </w:pPr>
      <w:r w:rsidRPr="00F033EA">
        <w:rPr>
          <w:rFonts w:ascii="Arial" w:hAnsi="Arial" w:cs="Arial"/>
        </w:rPr>
        <w:t xml:space="preserve">Tanveer, N., Tariq, F. and Hussain, M. (2023) </w:t>
      </w:r>
      <w:r w:rsidRPr="00F033EA">
        <w:rPr>
          <w:rFonts w:ascii="Arial" w:hAnsi="Arial" w:cs="Arial"/>
        </w:rPr>
        <w:t>‘</w:t>
      </w:r>
      <w:r w:rsidRPr="00F033EA">
        <w:rPr>
          <w:rFonts w:ascii="Arial" w:hAnsi="Arial" w:cs="Arial"/>
        </w:rPr>
        <w:t>EMOTIONAL DYSREGULATION, COPING STRATEGIES AND POST-TRAUMATIC STRESS SYMPTOMS AMONG ADOLESCENTS LIVING AT LINE OF CONTROL (LOC)</w:t>
      </w:r>
      <w:r w:rsidRPr="00F033EA">
        <w:rPr>
          <w:rFonts w:ascii="Arial" w:hAnsi="Arial" w:cs="Arial"/>
        </w:rPr>
        <w:t>’,</w:t>
      </w:r>
      <w:r w:rsidRPr="00F033EA">
        <w:rPr>
          <w:rFonts w:ascii="Arial" w:hAnsi="Arial" w:cs="Arial"/>
        </w:rPr>
        <w:t> </w:t>
      </w:r>
      <w:proofErr w:type="spellStart"/>
      <w:r w:rsidRPr="00F033EA">
        <w:rPr>
          <w:rFonts w:ascii="Arial" w:hAnsi="Arial" w:cs="Arial"/>
          <w:i/>
          <w:iCs/>
        </w:rPr>
        <w:t>Psychiatria</w:t>
      </w:r>
      <w:proofErr w:type="spellEnd"/>
      <w:r w:rsidRPr="00F033EA">
        <w:rPr>
          <w:rFonts w:ascii="Arial" w:hAnsi="Arial" w:cs="Arial"/>
          <w:i/>
          <w:iCs/>
        </w:rPr>
        <w:t xml:space="preserve"> </w:t>
      </w:r>
      <w:proofErr w:type="spellStart"/>
      <w:r w:rsidRPr="00F033EA">
        <w:rPr>
          <w:rFonts w:ascii="Arial" w:hAnsi="Arial" w:cs="Arial"/>
          <w:i/>
          <w:iCs/>
        </w:rPr>
        <w:t>Danubina</w:t>
      </w:r>
      <w:proofErr w:type="spellEnd"/>
      <w:r w:rsidRPr="00F033EA">
        <w:rPr>
          <w:rFonts w:ascii="Arial" w:hAnsi="Arial" w:cs="Arial"/>
        </w:rPr>
        <w:t>, 35(3), pp.328–334. Available at: https://doi.org/10.24869/psyd.2023.328.</w:t>
      </w:r>
    </w:p>
    <w:p w14:paraId="602189A3" w14:textId="77777777" w:rsidR="00F033EA" w:rsidRPr="00F033EA" w:rsidRDefault="00F033EA" w:rsidP="00F033EA">
      <w:pPr>
        <w:spacing w:line="360" w:lineRule="auto"/>
        <w:rPr>
          <w:rFonts w:ascii="Arial" w:hAnsi="Arial" w:cs="Arial"/>
        </w:rPr>
      </w:pPr>
      <w:r w:rsidRPr="00F033EA">
        <w:rPr>
          <w:rFonts w:ascii="Arial" w:hAnsi="Arial" w:cs="Arial"/>
        </w:rPr>
        <w:t xml:space="preserve">Wiseman, C., Croft, J. and Zammit, S. (2021) </w:t>
      </w:r>
      <w:r w:rsidRPr="00F033EA">
        <w:rPr>
          <w:rFonts w:ascii="Arial" w:hAnsi="Arial" w:cs="Arial"/>
        </w:rPr>
        <w:t>‘</w:t>
      </w:r>
      <w:r w:rsidRPr="00F033EA">
        <w:rPr>
          <w:rFonts w:ascii="Arial" w:hAnsi="Arial" w:cs="Arial"/>
        </w:rPr>
        <w:t>Examining the relationship between early childhood temperament, trauma, and post-traumatic stress disorder</w:t>
      </w:r>
      <w:r w:rsidRPr="00F033EA">
        <w:rPr>
          <w:rFonts w:ascii="Arial" w:hAnsi="Arial" w:cs="Arial"/>
        </w:rPr>
        <w:t>’,</w:t>
      </w:r>
      <w:r w:rsidRPr="00F033EA">
        <w:rPr>
          <w:rFonts w:ascii="Arial" w:hAnsi="Arial" w:cs="Arial"/>
        </w:rPr>
        <w:t> </w:t>
      </w:r>
      <w:r w:rsidRPr="00F033EA">
        <w:rPr>
          <w:rFonts w:ascii="Arial" w:hAnsi="Arial" w:cs="Arial"/>
          <w:i/>
          <w:iCs/>
        </w:rPr>
        <w:t xml:space="preserve">Journal of </w:t>
      </w:r>
      <w:r w:rsidRPr="00F033EA">
        <w:rPr>
          <w:rFonts w:ascii="Arial" w:hAnsi="Arial" w:cs="Arial"/>
          <w:i/>
          <w:iCs/>
        </w:rPr>
        <w:lastRenderedPageBreak/>
        <w:t>Psychiatric Research</w:t>
      </w:r>
      <w:r w:rsidRPr="00F033EA">
        <w:rPr>
          <w:rFonts w:ascii="Arial" w:hAnsi="Arial" w:cs="Arial"/>
        </w:rPr>
        <w:t>, 144, pp.427–433. Available at: https://doi.org/10.1016/j.jpsychires.2021.10.004.</w:t>
      </w:r>
    </w:p>
    <w:p w14:paraId="01AA108E" w14:textId="77777777" w:rsidR="00F033EA" w:rsidRPr="00F033EA" w:rsidRDefault="00F033EA" w:rsidP="00F033EA">
      <w:pPr>
        <w:spacing w:line="360" w:lineRule="auto"/>
        <w:rPr>
          <w:rFonts w:ascii="Arial" w:hAnsi="Arial" w:cs="Arial"/>
        </w:rPr>
      </w:pPr>
      <w:r w:rsidRPr="00F033EA">
        <w:rPr>
          <w:rFonts w:ascii="Arial" w:hAnsi="Arial" w:cs="Arial"/>
        </w:rPr>
        <w:t xml:space="preserve">Yu, P., Jiang, Z., Zheng, C., Zeng, P., Huang, L., Jin, Y. and Wang, K. (2023) </w:t>
      </w:r>
      <w:r w:rsidRPr="00F033EA">
        <w:rPr>
          <w:rFonts w:ascii="Arial" w:hAnsi="Arial" w:cs="Arial"/>
        </w:rPr>
        <w:t>‘</w:t>
      </w:r>
      <w:r w:rsidRPr="00F033EA">
        <w:rPr>
          <w:rFonts w:ascii="Arial" w:hAnsi="Arial" w:cs="Arial"/>
        </w:rPr>
        <w:t>Variety ACEs and risk of developing anxiety, depression, or anxiety-depression co-morbidity: the 2006–2022 UK Biobank data</w:t>
      </w:r>
      <w:r w:rsidRPr="00F033EA">
        <w:rPr>
          <w:rFonts w:ascii="Arial" w:hAnsi="Arial" w:cs="Arial"/>
        </w:rPr>
        <w:t>’,</w:t>
      </w:r>
      <w:r w:rsidRPr="00F033EA">
        <w:rPr>
          <w:rFonts w:ascii="Arial" w:hAnsi="Arial" w:cs="Arial"/>
        </w:rPr>
        <w:t> </w:t>
      </w:r>
      <w:r w:rsidRPr="00F033EA">
        <w:rPr>
          <w:rFonts w:ascii="Arial" w:hAnsi="Arial" w:cs="Arial"/>
          <w:i/>
          <w:iCs/>
        </w:rPr>
        <w:t>Frontiers in Psychiatry</w:t>
      </w:r>
      <w:r w:rsidRPr="00F033EA">
        <w:rPr>
          <w:rFonts w:ascii="Arial" w:hAnsi="Arial" w:cs="Arial"/>
        </w:rPr>
        <w:t>, 14. Available at: https://doi.org/10.3389/fpsyt.2023.1233981.</w:t>
      </w:r>
    </w:p>
    <w:sectPr w:rsidR="00F033EA" w:rsidRPr="00F033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885"/>
    <w:rsid w:val="000733D4"/>
    <w:rsid w:val="00202389"/>
    <w:rsid w:val="002C5B96"/>
    <w:rsid w:val="003D4999"/>
    <w:rsid w:val="00462934"/>
    <w:rsid w:val="00592725"/>
    <w:rsid w:val="006C674D"/>
    <w:rsid w:val="007A2B24"/>
    <w:rsid w:val="00803FF3"/>
    <w:rsid w:val="00852EAC"/>
    <w:rsid w:val="009317F4"/>
    <w:rsid w:val="009D79F8"/>
    <w:rsid w:val="00A6578E"/>
    <w:rsid w:val="00B54ED5"/>
    <w:rsid w:val="00B633CE"/>
    <w:rsid w:val="00BC1F64"/>
    <w:rsid w:val="00CE4E05"/>
    <w:rsid w:val="00CE6784"/>
    <w:rsid w:val="00D0770F"/>
    <w:rsid w:val="00E34885"/>
    <w:rsid w:val="00E71128"/>
    <w:rsid w:val="00E94262"/>
    <w:rsid w:val="00F033EA"/>
    <w:rsid w:val="00F50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65B23"/>
  <w15:chartTrackingRefBased/>
  <w15:docId w15:val="{A2FDE7CD-EBB3-4409-A28D-DCF53E93C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4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4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885"/>
    <w:rPr>
      <w:rFonts w:eastAsiaTheme="majorEastAsia" w:cstheme="majorBidi"/>
      <w:color w:val="272727" w:themeColor="text1" w:themeTint="D8"/>
    </w:rPr>
  </w:style>
  <w:style w:type="paragraph" w:styleId="Title">
    <w:name w:val="Title"/>
    <w:basedOn w:val="Normal"/>
    <w:next w:val="Normal"/>
    <w:link w:val="TitleChar"/>
    <w:uiPriority w:val="10"/>
    <w:qFormat/>
    <w:rsid w:val="00E34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885"/>
    <w:pPr>
      <w:spacing w:before="160"/>
      <w:jc w:val="center"/>
    </w:pPr>
    <w:rPr>
      <w:i/>
      <w:iCs/>
      <w:color w:val="404040" w:themeColor="text1" w:themeTint="BF"/>
    </w:rPr>
  </w:style>
  <w:style w:type="character" w:customStyle="1" w:styleId="QuoteChar">
    <w:name w:val="Quote Char"/>
    <w:basedOn w:val="DefaultParagraphFont"/>
    <w:link w:val="Quote"/>
    <w:uiPriority w:val="29"/>
    <w:rsid w:val="00E34885"/>
    <w:rPr>
      <w:i/>
      <w:iCs/>
      <w:color w:val="404040" w:themeColor="text1" w:themeTint="BF"/>
    </w:rPr>
  </w:style>
  <w:style w:type="paragraph" w:styleId="ListParagraph">
    <w:name w:val="List Paragraph"/>
    <w:basedOn w:val="Normal"/>
    <w:uiPriority w:val="34"/>
    <w:qFormat/>
    <w:rsid w:val="00E34885"/>
    <w:pPr>
      <w:ind w:left="720"/>
      <w:contextualSpacing/>
    </w:pPr>
  </w:style>
  <w:style w:type="character" w:styleId="IntenseEmphasis">
    <w:name w:val="Intense Emphasis"/>
    <w:basedOn w:val="DefaultParagraphFont"/>
    <w:uiPriority w:val="21"/>
    <w:qFormat/>
    <w:rsid w:val="00E34885"/>
    <w:rPr>
      <w:i/>
      <w:iCs/>
      <w:color w:val="0F4761" w:themeColor="accent1" w:themeShade="BF"/>
    </w:rPr>
  </w:style>
  <w:style w:type="paragraph" w:styleId="IntenseQuote">
    <w:name w:val="Intense Quote"/>
    <w:basedOn w:val="Normal"/>
    <w:next w:val="Normal"/>
    <w:link w:val="IntenseQuoteChar"/>
    <w:uiPriority w:val="30"/>
    <w:qFormat/>
    <w:rsid w:val="00E34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885"/>
    <w:rPr>
      <w:i/>
      <w:iCs/>
      <w:color w:val="0F4761" w:themeColor="accent1" w:themeShade="BF"/>
    </w:rPr>
  </w:style>
  <w:style w:type="character" w:styleId="IntenseReference">
    <w:name w:val="Intense Reference"/>
    <w:basedOn w:val="DefaultParagraphFont"/>
    <w:uiPriority w:val="32"/>
    <w:qFormat/>
    <w:rsid w:val="00E3488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112</TotalTime>
  <Pages>8</Pages>
  <Words>2406</Words>
  <Characters>13718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Tanase (2215982)</dc:creator>
  <cp:keywords/>
  <dc:description/>
  <cp:lastModifiedBy>Stefan Tanase (2215982)</cp:lastModifiedBy>
  <cp:revision>14</cp:revision>
  <dcterms:created xsi:type="dcterms:W3CDTF">2025-12-12T12:46:00Z</dcterms:created>
  <dcterms:modified xsi:type="dcterms:W3CDTF">2025-12-12T14:43:00Z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4ec2c536-e1ab-4898-8cd3-dea677fc3abd</vt:lpwstr>
  </property>
</Properties>
</file>