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163EE" w14:textId="77777777" w:rsidR="0031494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429CBCE0" wp14:editId="1206AF5A">
            <wp:extent cx="2209992" cy="823031"/>
            <wp:effectExtent l="0" t="0" r="0" b="0"/>
            <wp:docPr id="38441694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09992" cy="823031"/>
                    </a:xfrm>
                    <a:prstGeom prst="rect">
                      <a:avLst/>
                    </a:prstGeom>
                    <a:ln/>
                  </pic:spPr>
                </pic:pic>
              </a:graphicData>
            </a:graphic>
          </wp:inline>
        </w:drawing>
      </w:r>
    </w:p>
    <w:p w14:paraId="081376A8" w14:textId="77777777" w:rsidR="00314942" w:rsidRDefault="00314942">
      <w:pPr>
        <w:spacing w:line="360" w:lineRule="auto"/>
        <w:jc w:val="center"/>
        <w:rPr>
          <w:rFonts w:ascii="Times New Roman" w:eastAsia="Times New Roman" w:hAnsi="Times New Roman" w:cs="Times New Roman"/>
          <w:b/>
          <w:sz w:val="32"/>
          <w:szCs w:val="32"/>
        </w:rPr>
      </w:pPr>
    </w:p>
    <w:p w14:paraId="6DBBD2A9" w14:textId="77777777" w:rsidR="00314942" w:rsidRDefault="00314942">
      <w:pPr>
        <w:spacing w:line="360" w:lineRule="auto"/>
        <w:jc w:val="center"/>
        <w:rPr>
          <w:rFonts w:ascii="Times New Roman" w:eastAsia="Times New Roman" w:hAnsi="Times New Roman" w:cs="Times New Roman"/>
          <w:b/>
          <w:sz w:val="32"/>
          <w:szCs w:val="32"/>
        </w:rPr>
      </w:pPr>
    </w:p>
    <w:p w14:paraId="598D901C" w14:textId="77777777" w:rsidR="00314942" w:rsidRDefault="00314942">
      <w:pPr>
        <w:spacing w:line="360" w:lineRule="auto"/>
        <w:jc w:val="center"/>
        <w:rPr>
          <w:rFonts w:ascii="Times New Roman" w:eastAsia="Times New Roman" w:hAnsi="Times New Roman" w:cs="Times New Roman"/>
          <w:b/>
          <w:sz w:val="32"/>
          <w:szCs w:val="32"/>
        </w:rPr>
      </w:pPr>
    </w:p>
    <w:p w14:paraId="26DE5F9C" w14:textId="77777777" w:rsidR="00314942" w:rsidRDefault="00314942">
      <w:pPr>
        <w:spacing w:line="360" w:lineRule="auto"/>
        <w:jc w:val="center"/>
        <w:rPr>
          <w:rFonts w:ascii="Times New Roman" w:eastAsia="Times New Roman" w:hAnsi="Times New Roman" w:cs="Times New Roman"/>
          <w:b/>
          <w:sz w:val="32"/>
          <w:szCs w:val="32"/>
        </w:rPr>
      </w:pPr>
    </w:p>
    <w:p w14:paraId="3C06AA8E" w14:textId="77777777" w:rsidR="00314942" w:rsidRDefault="00314942">
      <w:pPr>
        <w:spacing w:line="360" w:lineRule="auto"/>
        <w:jc w:val="center"/>
        <w:rPr>
          <w:rFonts w:ascii="Times New Roman" w:eastAsia="Times New Roman" w:hAnsi="Times New Roman" w:cs="Times New Roman"/>
          <w:b/>
          <w:sz w:val="32"/>
          <w:szCs w:val="32"/>
        </w:rPr>
      </w:pPr>
    </w:p>
    <w:p w14:paraId="66C9DCFB" w14:textId="77777777" w:rsidR="00314942"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BA (Hons) Business Management</w:t>
      </w:r>
    </w:p>
    <w:p w14:paraId="692F6964" w14:textId="77777777" w:rsidR="00314942"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Global Business Environment</w:t>
      </w:r>
    </w:p>
    <w:p w14:paraId="5AEB03DC" w14:textId="77777777" w:rsidR="00314942"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LCBB4010</w:t>
      </w:r>
    </w:p>
    <w:p w14:paraId="04FFE34C" w14:textId="77777777" w:rsidR="00314942"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Component 1</w:t>
      </w:r>
    </w:p>
    <w:p w14:paraId="67BF7BF3" w14:textId="77777777" w:rsidR="00314942" w:rsidRDefault="0000000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Essay</w:t>
      </w:r>
    </w:p>
    <w:p w14:paraId="6CBC08E9" w14:textId="77777777" w:rsidR="002F0BD5" w:rsidRDefault="002F0BD5">
      <w:pPr>
        <w:spacing w:line="360" w:lineRule="auto"/>
        <w:jc w:val="center"/>
      </w:pPr>
    </w:p>
    <w:p w14:paraId="3F0D00E9" w14:textId="77777777" w:rsidR="002F0BD5" w:rsidRDefault="002F0BD5">
      <w:pPr>
        <w:spacing w:line="360" w:lineRule="auto"/>
        <w:jc w:val="center"/>
      </w:pPr>
    </w:p>
    <w:p w14:paraId="2CEBF90A" w14:textId="77777777" w:rsidR="002F0BD5" w:rsidRDefault="002F0BD5">
      <w:pPr>
        <w:spacing w:line="360" w:lineRule="auto"/>
        <w:jc w:val="center"/>
      </w:pPr>
    </w:p>
    <w:p w14:paraId="5150E487" w14:textId="77777777" w:rsidR="002F0BD5" w:rsidRDefault="002F0BD5">
      <w:pPr>
        <w:spacing w:line="360" w:lineRule="auto"/>
        <w:jc w:val="center"/>
      </w:pPr>
    </w:p>
    <w:p w14:paraId="0DEAA1CB" w14:textId="77777777" w:rsidR="002F0BD5" w:rsidRDefault="002F0BD5">
      <w:pPr>
        <w:spacing w:line="360" w:lineRule="auto"/>
        <w:jc w:val="center"/>
      </w:pPr>
    </w:p>
    <w:p w14:paraId="23DC9A7D" w14:textId="77777777" w:rsidR="002F0BD5" w:rsidRDefault="002F0BD5">
      <w:pPr>
        <w:spacing w:line="360" w:lineRule="auto"/>
        <w:jc w:val="center"/>
      </w:pPr>
    </w:p>
    <w:p w14:paraId="0BFCF454" w14:textId="77777777" w:rsidR="002F0BD5" w:rsidRDefault="002F0BD5">
      <w:pPr>
        <w:spacing w:line="360" w:lineRule="auto"/>
        <w:jc w:val="center"/>
      </w:pPr>
    </w:p>
    <w:p w14:paraId="6CC0DADF" w14:textId="77777777" w:rsidR="002F0BD5" w:rsidRDefault="002F0BD5">
      <w:pPr>
        <w:spacing w:line="360" w:lineRule="auto"/>
        <w:jc w:val="center"/>
      </w:pPr>
    </w:p>
    <w:p w14:paraId="45711ADA" w14:textId="77777777" w:rsidR="002F0BD5" w:rsidRDefault="002F0BD5">
      <w:pPr>
        <w:spacing w:line="360" w:lineRule="auto"/>
        <w:jc w:val="center"/>
      </w:pPr>
    </w:p>
    <w:p w14:paraId="26359E63" w14:textId="77777777" w:rsidR="002F0BD5" w:rsidRDefault="002F0BD5">
      <w:pPr>
        <w:spacing w:line="360" w:lineRule="auto"/>
        <w:jc w:val="center"/>
      </w:pPr>
    </w:p>
    <w:p w14:paraId="03DFE075" w14:textId="77777777" w:rsidR="002F0BD5" w:rsidRDefault="002F0BD5">
      <w:pPr>
        <w:spacing w:line="360" w:lineRule="auto"/>
        <w:jc w:val="center"/>
      </w:pPr>
    </w:p>
    <w:p w14:paraId="64FFBEE3" w14:textId="77777777" w:rsidR="002F0BD5" w:rsidRDefault="002F0BD5">
      <w:pPr>
        <w:spacing w:line="360" w:lineRule="auto"/>
        <w:jc w:val="center"/>
      </w:pPr>
    </w:p>
    <w:p w14:paraId="5304DDE1" w14:textId="77777777" w:rsidR="002F0BD5" w:rsidRDefault="002F0BD5">
      <w:pPr>
        <w:spacing w:line="360" w:lineRule="auto"/>
        <w:jc w:val="center"/>
      </w:pPr>
    </w:p>
    <w:p w14:paraId="0FAA9921" w14:textId="77777777" w:rsidR="002F0BD5" w:rsidRDefault="002F0BD5">
      <w:pPr>
        <w:spacing w:line="360" w:lineRule="auto"/>
        <w:jc w:val="center"/>
      </w:pPr>
    </w:p>
    <w:p w14:paraId="74BC069C" w14:textId="77777777" w:rsidR="002F0BD5" w:rsidRDefault="002F0BD5">
      <w:pPr>
        <w:spacing w:line="360" w:lineRule="auto"/>
        <w:jc w:val="center"/>
      </w:pPr>
    </w:p>
    <w:p w14:paraId="4C1C2281" w14:textId="77777777" w:rsidR="002F0BD5" w:rsidRDefault="002F0BD5">
      <w:pPr>
        <w:spacing w:line="360" w:lineRule="auto"/>
        <w:jc w:val="center"/>
      </w:pPr>
    </w:p>
    <w:p w14:paraId="48AB9262" w14:textId="77777777" w:rsidR="002F0BD5" w:rsidRDefault="002F0BD5">
      <w:pPr>
        <w:spacing w:line="360" w:lineRule="auto"/>
        <w:jc w:val="center"/>
      </w:pPr>
      <w:r>
        <w:rPr>
          <w:b/>
          <w:bCs/>
          <w:color w:val="000000"/>
          <w:lang w:val="en-GB"/>
        </w:rPr>
        <w:lastRenderedPageBreak/>
        <w:t>Table of Contents</w:t>
      </w:r>
      <w:r>
        <w:t xml:space="preserve"> </w:t>
      </w:r>
    </w:p>
    <w:p w14:paraId="342D4E1E" w14:textId="77777777" w:rsidR="002F0BD5" w:rsidRDefault="002F0BD5">
      <w:pPr>
        <w:spacing w:line="360" w:lineRule="auto"/>
        <w:jc w:val="center"/>
      </w:pPr>
    </w:p>
    <w:p w14:paraId="491AA3F3" w14:textId="1845E8F2" w:rsidR="002F0BD5" w:rsidRDefault="002F0BD5" w:rsidP="002F0BD5">
      <w:pPr>
        <w:spacing w:line="360" w:lineRule="auto"/>
        <w:ind w:left="2880" w:firstLine="72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Introduction </w:t>
      </w:r>
      <w:r>
        <w:rPr>
          <w:rFonts w:ascii="Times New Roman" w:eastAsia="Times New Roman" w:hAnsi="Times New Roman" w:cs="Times New Roman"/>
          <w:b/>
          <w:sz w:val="24"/>
          <w:szCs w:val="24"/>
        </w:rPr>
        <w:t>3</w:t>
      </w:r>
    </w:p>
    <w:p w14:paraId="6D60235B" w14:textId="4D065CC3" w:rsidR="002F0BD5" w:rsidRDefault="002F0BD5" w:rsidP="002F0BD5">
      <w:pPr>
        <w:spacing w:line="360" w:lineRule="auto"/>
        <w:ind w:left="2880" w:firstLine="720"/>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Main Discussions </w:t>
      </w:r>
      <w:r>
        <w:rPr>
          <w:rFonts w:ascii="Times New Roman" w:eastAsia="Times New Roman" w:hAnsi="Times New Roman" w:cs="Times New Roman"/>
          <w:b/>
          <w:color w:val="0E101A"/>
          <w:sz w:val="24"/>
          <w:szCs w:val="24"/>
        </w:rPr>
        <w:t>4</w:t>
      </w:r>
    </w:p>
    <w:p w14:paraId="0E99BF1A" w14:textId="77777777" w:rsidR="002F0BD5" w:rsidRDefault="002F0BD5" w:rsidP="002F0BD5">
      <w:pPr>
        <w:spacing w:line="360" w:lineRule="auto"/>
        <w:ind w:left="2880" w:firstLine="720"/>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Conclusion</w:t>
      </w:r>
      <w:r>
        <w:rPr>
          <w:rFonts w:ascii="Times New Roman" w:eastAsia="Times New Roman" w:hAnsi="Times New Roman" w:cs="Times New Roman"/>
          <w:b/>
          <w:color w:val="0E101A"/>
          <w:sz w:val="24"/>
          <w:szCs w:val="24"/>
        </w:rPr>
        <w:t xml:space="preserve"> 7</w:t>
      </w:r>
    </w:p>
    <w:p w14:paraId="1878E311" w14:textId="76F49C55" w:rsidR="002F0BD5" w:rsidRPr="002F0BD5" w:rsidRDefault="002F0BD5" w:rsidP="002F0BD5">
      <w:pPr>
        <w:spacing w:line="360" w:lineRule="auto"/>
        <w:ind w:left="2880" w:firstLine="720"/>
        <w:jc w:val="both"/>
        <w:rPr>
          <w:rFonts w:ascii="Times New Roman" w:eastAsia="Times New Roman" w:hAnsi="Times New Roman" w:cs="Times New Roman"/>
          <w:b/>
          <w:color w:val="0E101A"/>
          <w:sz w:val="24"/>
          <w:szCs w:val="24"/>
        </w:rPr>
      </w:pPr>
      <w:r>
        <w:rPr>
          <w:rFonts w:ascii="Times New Roman" w:eastAsia="Times New Roman" w:hAnsi="Times New Roman" w:cs="Times New Roman"/>
          <w:b/>
          <w:sz w:val="24"/>
          <w:szCs w:val="24"/>
        </w:rPr>
        <w:t>References</w:t>
      </w:r>
      <w:r>
        <w:rPr>
          <w:rFonts w:ascii="Times New Roman" w:eastAsia="Times New Roman" w:hAnsi="Times New Roman" w:cs="Times New Roman"/>
          <w:b/>
          <w:sz w:val="24"/>
          <w:szCs w:val="24"/>
        </w:rPr>
        <w:t xml:space="preserve"> 8</w:t>
      </w:r>
    </w:p>
    <w:p w14:paraId="194087E9" w14:textId="77777777" w:rsidR="002F0BD5" w:rsidRPr="002F0BD5" w:rsidRDefault="002F0BD5" w:rsidP="002F0BD5">
      <w:pPr>
        <w:spacing w:line="360" w:lineRule="auto"/>
        <w:ind w:left="2880" w:firstLine="720"/>
        <w:jc w:val="both"/>
        <w:rPr>
          <w:rFonts w:ascii="Times New Roman" w:eastAsia="Times New Roman" w:hAnsi="Times New Roman" w:cs="Times New Roman"/>
          <w:bCs/>
          <w:color w:val="0E101A"/>
          <w:sz w:val="24"/>
          <w:szCs w:val="24"/>
        </w:rPr>
      </w:pPr>
    </w:p>
    <w:p w14:paraId="380312F6" w14:textId="3D291D91" w:rsidR="00314942" w:rsidRDefault="00000000">
      <w:pPr>
        <w:spacing w:line="360" w:lineRule="auto"/>
        <w:jc w:val="center"/>
        <w:rPr>
          <w:rFonts w:ascii="Times New Roman" w:eastAsia="Times New Roman" w:hAnsi="Times New Roman" w:cs="Times New Roman"/>
          <w:b/>
          <w:sz w:val="32"/>
          <w:szCs w:val="32"/>
        </w:rPr>
      </w:pPr>
      <w:r>
        <w:br w:type="page"/>
      </w:r>
    </w:p>
    <w:p w14:paraId="68FB409B" w14:textId="77777777" w:rsidR="0031494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Introduction </w:t>
      </w:r>
    </w:p>
    <w:p w14:paraId="09EA60F7" w14:textId="77777777"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This essay will develop each of the PESTLE factors and point out their elements and importance with illustrations that will show how they influence organizations. This analysis will show how awareness of and attention to the PESTLE factors will improve a firm's strategic management and performance outcomes. This essay discusses the reality of the importance that is faced. The conclusion will be simply added further. </w:t>
      </w:r>
    </w:p>
    <w:p w14:paraId="7F96915C" w14:textId="77777777"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PESTLE analysis is one of the strategic models that are used to assess the macro environment in which an organization is located. It included 6 factors: Political, Economic, Social, Technological, Legal and Environmental. They all </w:t>
      </w:r>
      <w:proofErr w:type="spellStart"/>
      <w:r>
        <w:rPr>
          <w:rFonts w:ascii="Times New Roman" w:eastAsia="Times New Roman" w:hAnsi="Times New Roman" w:cs="Times New Roman"/>
          <w:color w:val="0E101A"/>
          <w:sz w:val="24"/>
          <w:szCs w:val="24"/>
        </w:rPr>
        <w:t>symbolise</w:t>
      </w:r>
      <w:proofErr w:type="spellEnd"/>
      <w:r>
        <w:rPr>
          <w:rFonts w:ascii="Times New Roman" w:eastAsia="Times New Roman" w:hAnsi="Times New Roman" w:cs="Times New Roman"/>
          <w:color w:val="0E101A"/>
          <w:sz w:val="24"/>
          <w:szCs w:val="24"/>
        </w:rPr>
        <w:t xml:space="preserve"> diverse aspects of the external environment that may affect a business in its performance and decisions (</w:t>
      </w:r>
      <w:proofErr w:type="spellStart"/>
      <w:r>
        <w:rPr>
          <w:rFonts w:ascii="Times New Roman" w:eastAsia="Times New Roman" w:hAnsi="Times New Roman" w:cs="Times New Roman"/>
          <w:color w:val="0E101A"/>
          <w:sz w:val="24"/>
          <w:szCs w:val="24"/>
        </w:rPr>
        <w:t>Cipd</w:t>
      </w:r>
      <w:proofErr w:type="spellEnd"/>
      <w:r>
        <w:rPr>
          <w:rFonts w:ascii="Times New Roman" w:eastAsia="Times New Roman" w:hAnsi="Times New Roman" w:cs="Times New Roman"/>
          <w:color w:val="0E101A"/>
          <w:sz w:val="24"/>
          <w:szCs w:val="24"/>
        </w:rPr>
        <w:t xml:space="preserve">, 2024). They both provide the opportunity to systematically analyze various factors and achieve an overall understanding of exciting opportunities and threats to adjust effective business strategies. </w:t>
      </w:r>
    </w:p>
    <w:p w14:paraId="4E536803" w14:textId="77777777"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PESTLE is important for every business as it enables the business to change strategies to suit the circumstances or decide on several issues. For example, implementing the idea that political instability exists when establishing a business can reduce certain losses, and </w:t>
      </w:r>
      <w:proofErr w:type="spellStart"/>
      <w:r>
        <w:rPr>
          <w:rFonts w:ascii="Times New Roman" w:eastAsia="Times New Roman" w:hAnsi="Times New Roman" w:cs="Times New Roman"/>
          <w:color w:val="0E101A"/>
          <w:sz w:val="24"/>
          <w:szCs w:val="24"/>
        </w:rPr>
        <w:t>recognising</w:t>
      </w:r>
      <w:proofErr w:type="spellEnd"/>
      <w:r>
        <w:rPr>
          <w:rFonts w:ascii="Times New Roman" w:eastAsia="Times New Roman" w:hAnsi="Times New Roman" w:cs="Times New Roman"/>
          <w:color w:val="0E101A"/>
          <w:sz w:val="24"/>
          <w:szCs w:val="24"/>
        </w:rPr>
        <w:t xml:space="preserve"> the existence of inflation in terms of its economic meaning can contribute to setting the right prices. Combined with the legal and environmental perspective, one can carry out innovations and social trends as well as advancements in technology to change the </w:t>
      </w:r>
      <w:proofErr w:type="spellStart"/>
      <w:r>
        <w:rPr>
          <w:rFonts w:ascii="Times New Roman" w:eastAsia="Times New Roman" w:hAnsi="Times New Roman" w:cs="Times New Roman"/>
          <w:color w:val="0E101A"/>
          <w:sz w:val="24"/>
          <w:szCs w:val="24"/>
        </w:rPr>
        <w:t>behaviour</w:t>
      </w:r>
      <w:proofErr w:type="spellEnd"/>
      <w:r>
        <w:rPr>
          <w:rFonts w:ascii="Times New Roman" w:eastAsia="Times New Roman" w:hAnsi="Times New Roman" w:cs="Times New Roman"/>
          <w:color w:val="0E101A"/>
          <w:sz w:val="24"/>
          <w:szCs w:val="24"/>
        </w:rPr>
        <w:t xml:space="preserve"> of consumers (</w:t>
      </w:r>
      <w:proofErr w:type="spellStart"/>
      <w:r>
        <w:rPr>
          <w:rFonts w:ascii="Times New Roman" w:eastAsia="Times New Roman" w:hAnsi="Times New Roman" w:cs="Times New Roman"/>
          <w:color w:val="0E101A"/>
          <w:sz w:val="24"/>
          <w:szCs w:val="24"/>
        </w:rPr>
        <w:t>Onstrategyhq</w:t>
      </w:r>
      <w:proofErr w:type="spellEnd"/>
      <w:r>
        <w:rPr>
          <w:rFonts w:ascii="Times New Roman" w:eastAsia="Times New Roman" w:hAnsi="Times New Roman" w:cs="Times New Roman"/>
          <w:color w:val="0E101A"/>
          <w:sz w:val="24"/>
          <w:szCs w:val="24"/>
        </w:rPr>
        <w:t>, 2024).</w:t>
      </w:r>
    </w:p>
    <w:p w14:paraId="23103018" w14:textId="77777777" w:rsidR="002F0BD5" w:rsidRDefault="002F0BD5">
      <w:pPr>
        <w:spacing w:line="360" w:lineRule="auto"/>
        <w:jc w:val="both"/>
        <w:rPr>
          <w:rFonts w:ascii="Times New Roman" w:eastAsia="Times New Roman" w:hAnsi="Times New Roman" w:cs="Times New Roman"/>
          <w:color w:val="0E101A"/>
          <w:sz w:val="24"/>
          <w:szCs w:val="24"/>
        </w:rPr>
      </w:pPr>
    </w:p>
    <w:p w14:paraId="2B52E374" w14:textId="77777777" w:rsidR="002F0BD5" w:rsidRDefault="002F0BD5">
      <w:pPr>
        <w:spacing w:line="360" w:lineRule="auto"/>
        <w:jc w:val="both"/>
        <w:rPr>
          <w:rFonts w:ascii="Times New Roman" w:eastAsia="Times New Roman" w:hAnsi="Times New Roman" w:cs="Times New Roman"/>
          <w:color w:val="0E101A"/>
          <w:sz w:val="24"/>
          <w:szCs w:val="24"/>
        </w:rPr>
      </w:pPr>
    </w:p>
    <w:p w14:paraId="7FBB90FB" w14:textId="77777777" w:rsidR="002F0BD5" w:rsidRDefault="002F0BD5">
      <w:pPr>
        <w:spacing w:line="360" w:lineRule="auto"/>
        <w:jc w:val="both"/>
        <w:rPr>
          <w:rFonts w:ascii="Times New Roman" w:eastAsia="Times New Roman" w:hAnsi="Times New Roman" w:cs="Times New Roman"/>
          <w:color w:val="0E101A"/>
          <w:sz w:val="24"/>
          <w:szCs w:val="24"/>
        </w:rPr>
      </w:pPr>
    </w:p>
    <w:p w14:paraId="3121DA94" w14:textId="77777777" w:rsidR="002F0BD5" w:rsidRDefault="002F0BD5">
      <w:pPr>
        <w:spacing w:line="360" w:lineRule="auto"/>
        <w:jc w:val="both"/>
        <w:rPr>
          <w:rFonts w:ascii="Times New Roman" w:eastAsia="Times New Roman" w:hAnsi="Times New Roman" w:cs="Times New Roman"/>
          <w:color w:val="0E101A"/>
          <w:sz w:val="24"/>
          <w:szCs w:val="24"/>
        </w:rPr>
      </w:pPr>
    </w:p>
    <w:p w14:paraId="5F70F7DF" w14:textId="77777777" w:rsidR="002F0BD5" w:rsidRDefault="002F0BD5">
      <w:pPr>
        <w:spacing w:line="360" w:lineRule="auto"/>
        <w:jc w:val="both"/>
        <w:rPr>
          <w:rFonts w:ascii="Times New Roman" w:eastAsia="Times New Roman" w:hAnsi="Times New Roman" w:cs="Times New Roman"/>
          <w:color w:val="0E101A"/>
          <w:sz w:val="24"/>
          <w:szCs w:val="24"/>
        </w:rPr>
      </w:pPr>
    </w:p>
    <w:p w14:paraId="7826DF9B" w14:textId="77777777" w:rsidR="002F0BD5" w:rsidRDefault="002F0BD5">
      <w:pPr>
        <w:spacing w:line="360" w:lineRule="auto"/>
        <w:jc w:val="both"/>
        <w:rPr>
          <w:rFonts w:ascii="Times New Roman" w:eastAsia="Times New Roman" w:hAnsi="Times New Roman" w:cs="Times New Roman"/>
          <w:color w:val="0E101A"/>
          <w:sz w:val="24"/>
          <w:szCs w:val="24"/>
        </w:rPr>
      </w:pPr>
    </w:p>
    <w:p w14:paraId="40C02B57" w14:textId="77777777" w:rsidR="002F0BD5" w:rsidRDefault="002F0BD5">
      <w:pPr>
        <w:spacing w:line="360" w:lineRule="auto"/>
        <w:jc w:val="both"/>
        <w:rPr>
          <w:rFonts w:ascii="Times New Roman" w:eastAsia="Times New Roman" w:hAnsi="Times New Roman" w:cs="Times New Roman"/>
          <w:color w:val="0E101A"/>
          <w:sz w:val="24"/>
          <w:szCs w:val="24"/>
        </w:rPr>
      </w:pPr>
    </w:p>
    <w:p w14:paraId="14B8D988" w14:textId="77777777" w:rsidR="002F0BD5" w:rsidRDefault="002F0BD5">
      <w:pPr>
        <w:spacing w:line="360" w:lineRule="auto"/>
        <w:jc w:val="both"/>
        <w:rPr>
          <w:rFonts w:ascii="Times New Roman" w:eastAsia="Times New Roman" w:hAnsi="Times New Roman" w:cs="Times New Roman"/>
          <w:color w:val="0E101A"/>
          <w:sz w:val="24"/>
          <w:szCs w:val="24"/>
        </w:rPr>
      </w:pPr>
    </w:p>
    <w:p w14:paraId="052EA182" w14:textId="77777777" w:rsidR="002F0BD5" w:rsidRDefault="002F0BD5">
      <w:pPr>
        <w:spacing w:line="360" w:lineRule="auto"/>
        <w:jc w:val="both"/>
        <w:rPr>
          <w:rFonts w:ascii="Times New Roman" w:eastAsia="Times New Roman" w:hAnsi="Times New Roman" w:cs="Times New Roman"/>
          <w:color w:val="0E101A"/>
          <w:sz w:val="24"/>
          <w:szCs w:val="24"/>
        </w:rPr>
      </w:pPr>
    </w:p>
    <w:p w14:paraId="5A0C0B3A" w14:textId="77777777" w:rsidR="002F0BD5" w:rsidRDefault="002F0BD5">
      <w:pPr>
        <w:spacing w:line="360" w:lineRule="auto"/>
        <w:jc w:val="both"/>
        <w:rPr>
          <w:rFonts w:ascii="Times New Roman" w:eastAsia="Times New Roman" w:hAnsi="Times New Roman" w:cs="Times New Roman"/>
          <w:color w:val="0E101A"/>
          <w:sz w:val="24"/>
          <w:szCs w:val="24"/>
        </w:rPr>
      </w:pPr>
    </w:p>
    <w:p w14:paraId="70D0644A" w14:textId="77777777" w:rsidR="002F0BD5" w:rsidRDefault="002F0BD5">
      <w:pPr>
        <w:spacing w:line="360" w:lineRule="auto"/>
        <w:jc w:val="both"/>
        <w:rPr>
          <w:rFonts w:ascii="Times New Roman" w:eastAsia="Times New Roman" w:hAnsi="Times New Roman" w:cs="Times New Roman"/>
          <w:color w:val="0E101A"/>
          <w:sz w:val="24"/>
          <w:szCs w:val="24"/>
        </w:rPr>
      </w:pPr>
    </w:p>
    <w:p w14:paraId="0C90C07E" w14:textId="77777777" w:rsidR="002F0BD5" w:rsidRDefault="002F0BD5">
      <w:pPr>
        <w:spacing w:line="360" w:lineRule="auto"/>
        <w:jc w:val="both"/>
        <w:rPr>
          <w:rFonts w:ascii="Times New Roman" w:eastAsia="Times New Roman" w:hAnsi="Times New Roman" w:cs="Times New Roman"/>
          <w:color w:val="0E101A"/>
          <w:sz w:val="24"/>
          <w:szCs w:val="24"/>
        </w:rPr>
      </w:pPr>
    </w:p>
    <w:p w14:paraId="70CA2303" w14:textId="77777777" w:rsidR="00314942"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lastRenderedPageBreak/>
        <w:t xml:space="preserve">Main Discussions </w:t>
      </w:r>
    </w:p>
    <w:p w14:paraId="15AE27D3" w14:textId="77777777"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political factors embrace regulations, policies, government stability, patriotism and all related factors that affect the operations of the business entities. Policies implemented by the government like taxation policies, laws relating to employee relations and trade barriers pose either threats or opportunities for the business organizations. Political relations and economic relations of a country consequently define the ability of a company to carry out its operations beyond its borders. As it determines order, intent and steadiness are crucial since they foster predictability of the business’s surroundings which enables economic investment and development. A good example of political risks affecting a business is the M&amp;S of the United Kingdom which was badly hit by the political instability in African countries. The uncertainty triggered by Brexit caused major effects on the operations of M&amp;S (</w:t>
      </w:r>
      <w:proofErr w:type="spellStart"/>
      <w:r>
        <w:rPr>
          <w:rFonts w:ascii="Times New Roman" w:eastAsia="Times New Roman" w:hAnsi="Times New Roman" w:cs="Times New Roman"/>
          <w:color w:val="0E101A"/>
          <w:sz w:val="24"/>
          <w:szCs w:val="24"/>
        </w:rPr>
        <w:t>Tarasanski</w:t>
      </w:r>
      <w:proofErr w:type="spellEnd"/>
      <w:r>
        <w:rPr>
          <w:rFonts w:ascii="Times New Roman" w:eastAsia="Times New Roman" w:hAnsi="Times New Roman" w:cs="Times New Roman"/>
          <w:color w:val="0E101A"/>
          <w:sz w:val="24"/>
          <w:szCs w:val="24"/>
        </w:rPr>
        <w:t xml:space="preserve">, 2017). Potential of new tariffs and unpredictable movement on current trade, in the political climate forced M&amp;S to think and start to analyze its supply chain and operations. Political instability was seen as a threat as it may affect the supply chain, increase costs, as well as hinder the export of the firm’s products to the European Union market where M &amp; S receives many of its sales. </w:t>
      </w:r>
      <w:proofErr w:type="gramStart"/>
      <w:r>
        <w:rPr>
          <w:rFonts w:ascii="Times New Roman" w:eastAsia="Times New Roman" w:hAnsi="Times New Roman" w:cs="Times New Roman"/>
          <w:color w:val="0E101A"/>
          <w:sz w:val="24"/>
          <w:szCs w:val="24"/>
        </w:rPr>
        <w:t>Therefore</w:t>
      </w:r>
      <w:proofErr w:type="gramEnd"/>
      <w:r>
        <w:rPr>
          <w:rFonts w:ascii="Times New Roman" w:eastAsia="Times New Roman" w:hAnsi="Times New Roman" w:cs="Times New Roman"/>
          <w:color w:val="0E101A"/>
          <w:sz w:val="24"/>
          <w:szCs w:val="24"/>
        </w:rPr>
        <w:t xml:space="preserve"> strategic and financial pressure were realized at the company exemplifying how political factors can actively alter organizational decisions and productivity.</w:t>
      </w:r>
    </w:p>
    <w:p w14:paraId="553A7556" w14:textId="77777777"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Common variables for example the level of unemployment, exchange, rate of inflation and wages determine how businesses can make a profit and even improve their performance. Those business organizations that can determine these factors can forecast consumer expenditure and align their marketing strategies and initiatives to enhance organizational performance. Awareness of several different economic factors can aid in comprehending how firms make rational choices regarding hiring and investing.</w:t>
      </w:r>
    </w:p>
    <w:p w14:paraId="3EB43A1C" w14:textId="77777777"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effects of inflation are normally bad for businesses since inflation ends up with high prices, low demand, and in the worst cases, detrimental business closures. In 2022, the inflation rate of the US was 7%. at 0% the lowest (</w:t>
      </w:r>
      <w:proofErr w:type="spellStart"/>
      <w:r>
        <w:rPr>
          <w:rFonts w:ascii="Times New Roman" w:eastAsia="Times New Roman" w:hAnsi="Times New Roman" w:cs="Times New Roman"/>
          <w:color w:val="0E101A"/>
          <w:sz w:val="24"/>
          <w:szCs w:val="24"/>
        </w:rPr>
        <w:t>Cnbc</w:t>
      </w:r>
      <w:proofErr w:type="spellEnd"/>
      <w:r>
        <w:rPr>
          <w:rFonts w:ascii="Times New Roman" w:eastAsia="Times New Roman" w:hAnsi="Times New Roman" w:cs="Times New Roman"/>
          <w:color w:val="0E101A"/>
          <w:sz w:val="24"/>
          <w:szCs w:val="24"/>
        </w:rPr>
        <w:t xml:space="preserve">, 2023). Manufacturers including Unilever saw their costs of procuring raw materials rise and therefore had no option but to pass this on to consumers through higher prices for goods that are vital for survival. These firms occupied strategic positions in the market </w:t>
      </w:r>
      <w:proofErr w:type="gramStart"/>
      <w:r>
        <w:rPr>
          <w:rFonts w:ascii="Times New Roman" w:eastAsia="Times New Roman" w:hAnsi="Times New Roman" w:cs="Times New Roman"/>
          <w:color w:val="0E101A"/>
          <w:sz w:val="24"/>
          <w:szCs w:val="24"/>
        </w:rPr>
        <w:t>share</w:t>
      </w:r>
      <w:proofErr w:type="gramEnd"/>
      <w:r>
        <w:rPr>
          <w:rFonts w:ascii="Times New Roman" w:eastAsia="Times New Roman" w:hAnsi="Times New Roman" w:cs="Times New Roman"/>
          <w:color w:val="0E101A"/>
          <w:sz w:val="24"/>
          <w:szCs w:val="24"/>
        </w:rPr>
        <w:t xml:space="preserve"> but a common feature was that they increased their prices beyond the customers’ abilities to purchase their goods and services. Small local retailers failed to transfer the cost to the consumers, resulting in low sales and shut down of their businesses. In addition, economic growth in the UK was weaker though its gross domestic product increased up to 1.4% in 2019 mainly due </w:t>
      </w:r>
      <w:r>
        <w:rPr>
          <w:rFonts w:ascii="Times New Roman" w:eastAsia="Times New Roman" w:hAnsi="Times New Roman" w:cs="Times New Roman"/>
          <w:color w:val="0E101A"/>
          <w:sz w:val="24"/>
          <w:szCs w:val="24"/>
        </w:rPr>
        <w:lastRenderedPageBreak/>
        <w:t>to the Brexit that affected countries like the UK and made companies such as Debenhams suffer by closing some of their stores (Statista, 2024).</w:t>
      </w:r>
    </w:p>
    <w:p w14:paraId="23262428" w14:textId="35630758"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social environment contains the people's demographic features, culture, and perceptions, which are central to business strategic decisions. Age, gender, income, and education level exist in buyer </w:t>
      </w:r>
      <w:r w:rsidR="00225AE5">
        <w:rPr>
          <w:rFonts w:ascii="Times New Roman" w:eastAsia="Times New Roman" w:hAnsi="Times New Roman" w:cs="Times New Roman"/>
          <w:color w:val="0E101A"/>
          <w:sz w:val="24"/>
          <w:szCs w:val="24"/>
        </w:rPr>
        <w:t>behavior</w:t>
      </w:r>
      <w:r>
        <w:rPr>
          <w:rFonts w:ascii="Times New Roman" w:eastAsia="Times New Roman" w:hAnsi="Times New Roman" w:cs="Times New Roman"/>
          <w:color w:val="0E101A"/>
          <w:sz w:val="24"/>
          <w:szCs w:val="24"/>
        </w:rPr>
        <w:t xml:space="preserve"> so that firms can target segments by offering goods and services that suit the segments. Lifestyle and societal </w:t>
      </w:r>
      <w:r w:rsidR="00225AE5">
        <w:rPr>
          <w:rFonts w:ascii="Times New Roman" w:eastAsia="Times New Roman" w:hAnsi="Times New Roman" w:cs="Times New Roman"/>
          <w:color w:val="0E101A"/>
          <w:sz w:val="24"/>
          <w:szCs w:val="24"/>
        </w:rPr>
        <w:t>behavior</w:t>
      </w:r>
      <w:r>
        <w:rPr>
          <w:rFonts w:ascii="Times New Roman" w:eastAsia="Times New Roman" w:hAnsi="Times New Roman" w:cs="Times New Roman"/>
          <w:color w:val="0E101A"/>
          <w:sz w:val="24"/>
          <w:szCs w:val="24"/>
        </w:rPr>
        <w:t xml:space="preserve"> are other aspects that affect the consumers and their </w:t>
      </w:r>
      <w:r w:rsidR="00225AE5">
        <w:rPr>
          <w:rFonts w:ascii="Times New Roman" w:eastAsia="Times New Roman" w:hAnsi="Times New Roman" w:cs="Times New Roman"/>
          <w:color w:val="0E101A"/>
          <w:sz w:val="24"/>
          <w:szCs w:val="24"/>
        </w:rPr>
        <w:t>behavior</w:t>
      </w:r>
      <w:r>
        <w:rPr>
          <w:rFonts w:ascii="Times New Roman" w:eastAsia="Times New Roman" w:hAnsi="Times New Roman" w:cs="Times New Roman"/>
          <w:color w:val="0E101A"/>
          <w:sz w:val="24"/>
          <w:szCs w:val="24"/>
        </w:rPr>
        <w:t xml:space="preserve"> due to the culture of the society. It focuses on the consumer attitude towards the products and services that need to be understood for organizations to develop marketing strategies which will improve customer satisfaction. For instance, Starbucks has embraced a change in consumer trends opting for healthier and better ecological products. Due to such tendencies of consumers, Starbucks has opted for plant-based drinks and plans to minimize adverse impacts on the environment. The above strategic change compliments the current market trends of consumption where clients are becoming environmentally and </w:t>
      </w:r>
      <w:proofErr w:type="gramStart"/>
      <w:r>
        <w:rPr>
          <w:rFonts w:ascii="Times New Roman" w:eastAsia="Times New Roman" w:hAnsi="Times New Roman" w:cs="Times New Roman"/>
          <w:color w:val="0E101A"/>
          <w:sz w:val="24"/>
          <w:szCs w:val="24"/>
        </w:rPr>
        <w:t>health-conscious</w:t>
      </w:r>
      <w:proofErr w:type="gramEnd"/>
      <w:r>
        <w:rPr>
          <w:rFonts w:ascii="Times New Roman" w:eastAsia="Times New Roman" w:hAnsi="Times New Roman" w:cs="Times New Roman"/>
          <w:color w:val="0E101A"/>
          <w:sz w:val="24"/>
          <w:szCs w:val="24"/>
        </w:rPr>
        <w:t>. This shift extends to a wider audience and captures the changing societal culture and fitness of body shaming. Also, changes in population characteristics including increased life expectancy have affected the nature of products being developed in the market with Apple devices designed with larger fonts and Health books to suit the ageing population (Ku and Lupton, 2022).</w:t>
      </w:r>
    </w:p>
    <w:p w14:paraId="0945E029" w14:textId="77777777"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Technological factors relate to development, modernization, invention, and technology research, which affect the flow of business and its competitive edge. As a result, technologies make it possible for firms to adopt new methods that help them cut costs, develop new goods, and boost the performance of warranty and customer satisfaction. Innovation also results in fostering revolutionary and new technologies that might bring disruption in certain industry fields. The advancement in technology is critical mainly because it encourages innovation, through research and development, organizations adapt to trends or provide for the market's needs (</w:t>
      </w:r>
      <w:proofErr w:type="spellStart"/>
      <w:r>
        <w:rPr>
          <w:rFonts w:ascii="Times New Roman" w:eastAsia="Times New Roman" w:hAnsi="Times New Roman" w:cs="Times New Roman"/>
          <w:color w:val="0E101A"/>
          <w:sz w:val="24"/>
          <w:szCs w:val="24"/>
        </w:rPr>
        <w:t>Vermesan</w:t>
      </w:r>
      <w:proofErr w:type="spellEnd"/>
      <w:r>
        <w:rPr>
          <w:rFonts w:ascii="Times New Roman" w:eastAsia="Times New Roman" w:hAnsi="Times New Roman" w:cs="Times New Roman"/>
          <w:color w:val="0E101A"/>
          <w:sz w:val="24"/>
          <w:szCs w:val="24"/>
        </w:rPr>
        <w:t xml:space="preserve"> and </w:t>
      </w:r>
      <w:proofErr w:type="spellStart"/>
      <w:r>
        <w:rPr>
          <w:rFonts w:ascii="Times New Roman" w:eastAsia="Times New Roman" w:hAnsi="Times New Roman" w:cs="Times New Roman"/>
          <w:color w:val="0E101A"/>
          <w:sz w:val="24"/>
          <w:szCs w:val="24"/>
        </w:rPr>
        <w:t>Friess</w:t>
      </w:r>
      <w:proofErr w:type="spellEnd"/>
      <w:r>
        <w:rPr>
          <w:rFonts w:ascii="Times New Roman" w:eastAsia="Times New Roman" w:hAnsi="Times New Roman" w:cs="Times New Roman"/>
          <w:color w:val="0E101A"/>
          <w:sz w:val="24"/>
          <w:szCs w:val="24"/>
        </w:rPr>
        <w:t xml:space="preserve">, 2014). One of the examples of technological advancement that influences a business is the technological innovation of electric vehicles (EVs) by the business entity, Tesla Inc. Tesla has over the years stepped up battery technology as well as self-driving systems, radically changing the automotive industry. High-performance and long-range electric cars pioneered by the firm have helped increase its market share and the brand’s reputation. Tesla also over the years has provided steady investments into its R&amp;D, they have also improved in production processes and has </w:t>
      </w:r>
      <w:r>
        <w:rPr>
          <w:rFonts w:ascii="Times New Roman" w:eastAsia="Times New Roman" w:hAnsi="Times New Roman" w:cs="Times New Roman"/>
          <w:color w:val="0E101A"/>
          <w:sz w:val="24"/>
          <w:szCs w:val="24"/>
        </w:rPr>
        <w:lastRenderedPageBreak/>
        <w:t>diversified its product offering to include energy storage and solar products that are eco-friendly making Tesla stand out as the leader in the invention of sustainable technologies.</w:t>
      </w:r>
    </w:p>
    <w:p w14:paraId="58B53F43" w14:textId="77777777"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legal environment entails rules and regulations that guide business activities, policies of the states and legal elements. These may include, but are not limited to, employees’ rights and remuneration, health issues, patents for inventions, and observational codes on the natural environment. Organizations therefore </w:t>
      </w:r>
      <w:proofErr w:type="gramStart"/>
      <w:r>
        <w:rPr>
          <w:rFonts w:ascii="Times New Roman" w:eastAsia="Times New Roman" w:hAnsi="Times New Roman" w:cs="Times New Roman"/>
          <w:color w:val="0E101A"/>
          <w:sz w:val="24"/>
          <w:szCs w:val="24"/>
        </w:rPr>
        <w:t>have to</w:t>
      </w:r>
      <w:proofErr w:type="gramEnd"/>
      <w:r>
        <w:rPr>
          <w:rFonts w:ascii="Times New Roman" w:eastAsia="Times New Roman" w:hAnsi="Times New Roman" w:cs="Times New Roman"/>
          <w:color w:val="0E101A"/>
          <w:sz w:val="24"/>
          <w:szCs w:val="24"/>
        </w:rPr>
        <w:t xml:space="preserve"> work within these legalities so that they are not barred from operations or fined for the same. New regulations are examples influencing a business, including the EU’s General Data Protection Regulation (GDPR). This regulation that started in 2018 cast stringent measures on how data is to be managed or protected (Hartzog and Richards, 2020). For example, Google had to pay massive fines for its violation of GDPR; thus, it experienced significant changes in both its data handling and compliance processes. In this case, such a regulatory shift underlined the necessity of compliance with legal requirements for business functioning.</w:t>
      </w:r>
    </w:p>
    <w:p w14:paraId="3C48DA49" w14:textId="77777777"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Environmental factors have emerged as crucial determinants of the practices within retail companies. This is well illustrated by Marks &amp; Spencer (M&amp;S) a leading retailing company in the United Kingdom. The discussed company, M&amp;S, has a rather elaborate sustainability plan that covers climate change and resource efficiency. Management targets are to become a net-zero carbon business by 2040 (</w:t>
      </w:r>
      <w:proofErr w:type="spellStart"/>
      <w:r>
        <w:rPr>
          <w:rFonts w:ascii="Times New Roman" w:eastAsia="Times New Roman" w:hAnsi="Times New Roman" w:cs="Times New Roman"/>
          <w:color w:val="0E101A"/>
          <w:sz w:val="24"/>
          <w:szCs w:val="24"/>
        </w:rPr>
        <w:t>Eduljee</w:t>
      </w:r>
      <w:proofErr w:type="spellEnd"/>
      <w:r>
        <w:rPr>
          <w:rFonts w:ascii="Times New Roman" w:eastAsia="Times New Roman" w:hAnsi="Times New Roman" w:cs="Times New Roman"/>
          <w:color w:val="0E101A"/>
          <w:sz w:val="24"/>
          <w:szCs w:val="24"/>
        </w:rPr>
        <w:t xml:space="preserve">, 2023). The company uses only renewable sources of power. M&amp;S also aims at waste minimization through implementing the circular economy concepts of recycling and upcycling of materials. For instance, in the product line, there are apparel with environmentally friendly materials such as organic cotton and recycled polyester. Some of these policies reduce the effects of climate change and consumers are becoming environmentally conscious therefore these policies add to the reinforcement of sustainable policies thus putting more emphasis on M&amp;S on </w:t>
      </w:r>
      <w:proofErr w:type="gramStart"/>
      <w:r>
        <w:rPr>
          <w:rFonts w:ascii="Times New Roman" w:eastAsia="Times New Roman" w:hAnsi="Times New Roman" w:cs="Times New Roman"/>
          <w:color w:val="0E101A"/>
          <w:sz w:val="24"/>
          <w:szCs w:val="24"/>
        </w:rPr>
        <w:t>sustainability</w:t>
      </w:r>
      <w:proofErr w:type="gramEnd"/>
      <w:r>
        <w:rPr>
          <w:rFonts w:ascii="Times New Roman" w:eastAsia="Times New Roman" w:hAnsi="Times New Roman" w:cs="Times New Roman"/>
          <w:color w:val="0E101A"/>
          <w:sz w:val="24"/>
          <w:szCs w:val="24"/>
        </w:rPr>
        <w:t xml:space="preserve"> hence improving its image. In totality, these measures illustrate that environmental problems can be the basis for business innovations and sustainable business success achieved by M&amp;S.</w:t>
      </w:r>
    </w:p>
    <w:p w14:paraId="1F9BBADE" w14:textId="77777777" w:rsidR="002F0BD5" w:rsidRDefault="002F0BD5">
      <w:pPr>
        <w:spacing w:line="360" w:lineRule="auto"/>
        <w:jc w:val="both"/>
        <w:rPr>
          <w:rFonts w:ascii="Times New Roman" w:eastAsia="Times New Roman" w:hAnsi="Times New Roman" w:cs="Times New Roman"/>
          <w:color w:val="0E101A"/>
          <w:sz w:val="24"/>
          <w:szCs w:val="24"/>
        </w:rPr>
      </w:pPr>
    </w:p>
    <w:p w14:paraId="5D84DB49" w14:textId="77777777" w:rsidR="002F0BD5" w:rsidRDefault="002F0BD5">
      <w:pPr>
        <w:spacing w:line="360" w:lineRule="auto"/>
        <w:jc w:val="both"/>
        <w:rPr>
          <w:rFonts w:ascii="Times New Roman" w:eastAsia="Times New Roman" w:hAnsi="Times New Roman" w:cs="Times New Roman"/>
          <w:color w:val="0E101A"/>
          <w:sz w:val="24"/>
          <w:szCs w:val="24"/>
        </w:rPr>
      </w:pPr>
    </w:p>
    <w:p w14:paraId="6682A482" w14:textId="77777777" w:rsidR="002F0BD5" w:rsidRDefault="002F0BD5">
      <w:pPr>
        <w:spacing w:line="360" w:lineRule="auto"/>
        <w:jc w:val="both"/>
        <w:rPr>
          <w:rFonts w:ascii="Times New Roman" w:eastAsia="Times New Roman" w:hAnsi="Times New Roman" w:cs="Times New Roman"/>
          <w:color w:val="0E101A"/>
          <w:sz w:val="24"/>
          <w:szCs w:val="24"/>
        </w:rPr>
      </w:pPr>
    </w:p>
    <w:p w14:paraId="12996EBB" w14:textId="77777777" w:rsidR="002F0BD5" w:rsidRDefault="002F0BD5">
      <w:pPr>
        <w:spacing w:line="360" w:lineRule="auto"/>
        <w:jc w:val="both"/>
        <w:rPr>
          <w:rFonts w:ascii="Times New Roman" w:eastAsia="Times New Roman" w:hAnsi="Times New Roman" w:cs="Times New Roman"/>
          <w:color w:val="0E101A"/>
          <w:sz w:val="24"/>
          <w:szCs w:val="24"/>
        </w:rPr>
      </w:pPr>
    </w:p>
    <w:p w14:paraId="7B0D52A5" w14:textId="77777777" w:rsidR="002F0BD5" w:rsidRDefault="002F0BD5">
      <w:pPr>
        <w:spacing w:line="360" w:lineRule="auto"/>
        <w:jc w:val="both"/>
        <w:rPr>
          <w:rFonts w:ascii="Times New Roman" w:eastAsia="Times New Roman" w:hAnsi="Times New Roman" w:cs="Times New Roman"/>
          <w:color w:val="0E101A"/>
          <w:sz w:val="24"/>
          <w:szCs w:val="24"/>
        </w:rPr>
      </w:pPr>
    </w:p>
    <w:p w14:paraId="51EB0067" w14:textId="77777777" w:rsidR="00314942" w:rsidRDefault="00000000">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lastRenderedPageBreak/>
        <w:t>Conclusion</w:t>
      </w:r>
    </w:p>
    <w:p w14:paraId="3F7B601C" w14:textId="77777777" w:rsidR="00314942" w:rsidRDefault="00000000">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In conclusion, </w:t>
      </w:r>
      <w:proofErr w:type="gramStart"/>
      <w:r>
        <w:rPr>
          <w:rFonts w:ascii="Times New Roman" w:eastAsia="Times New Roman" w:hAnsi="Times New Roman" w:cs="Times New Roman"/>
          <w:color w:val="0E101A"/>
          <w:sz w:val="24"/>
          <w:szCs w:val="24"/>
        </w:rPr>
        <w:t>The</w:t>
      </w:r>
      <w:proofErr w:type="gramEnd"/>
      <w:r>
        <w:rPr>
          <w:rFonts w:ascii="Times New Roman" w:eastAsia="Times New Roman" w:hAnsi="Times New Roman" w:cs="Times New Roman"/>
          <w:color w:val="0E101A"/>
          <w:sz w:val="24"/>
          <w:szCs w:val="24"/>
        </w:rPr>
        <w:t xml:space="preserve"> essay emphasizes the significance of PESTLE analysis in evaluating an organization's macro environment, which comprises six factors: Political, Economic, Social, Technological, Legal, and Environmental. These factors influence a business's performance and decisions. Political factors, such as regulations and government stability, can pose threats or opportunities. Economic factors, like unemployment and exchange rates, determine profit and performance. Social factors, like demographics and consumer attitudes, are crucial for strategic decisions. Technological factors, like Tesla's electric vehicle innovation, influence a business's competitive edge and innovation. Legal factors and environmental factors are crucial for businesses to operate effectively. Legal environments guide business activities, policies, and elements such as employee rights, health issues, patents, and environmental codes. Environmental factors, such as climate change and resource efficiency, have become significant determinants of practices. </w:t>
      </w:r>
    </w:p>
    <w:p w14:paraId="7B22F333" w14:textId="77777777" w:rsidR="00314942" w:rsidRDefault="00314942">
      <w:pPr>
        <w:spacing w:before="240" w:after="240" w:line="360" w:lineRule="auto"/>
        <w:jc w:val="both"/>
        <w:rPr>
          <w:rFonts w:ascii="Times New Roman" w:eastAsia="Times New Roman" w:hAnsi="Times New Roman" w:cs="Times New Roman"/>
          <w:sz w:val="24"/>
          <w:szCs w:val="24"/>
        </w:rPr>
      </w:pPr>
    </w:p>
    <w:p w14:paraId="06D8F45A" w14:textId="77777777" w:rsidR="00314942" w:rsidRDefault="00000000">
      <w:pPr>
        <w:rPr>
          <w:rFonts w:ascii="Times New Roman" w:eastAsia="Times New Roman" w:hAnsi="Times New Roman" w:cs="Times New Roman"/>
          <w:b/>
          <w:sz w:val="24"/>
          <w:szCs w:val="24"/>
        </w:rPr>
      </w:pPr>
      <w:r>
        <w:br w:type="page"/>
      </w:r>
    </w:p>
    <w:p w14:paraId="4C22C7E2" w14:textId="77777777" w:rsidR="00314942" w:rsidRDefault="00000000">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6D5B02DD" w14:textId="77777777" w:rsidR="00314942"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Cipd</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sz w:val="24"/>
          <w:szCs w:val="24"/>
        </w:rPr>
        <w:t>CIPD</w:t>
      </w:r>
      <w:r>
        <w:rPr>
          <w:rFonts w:ascii="Times New Roman" w:eastAsia="Times New Roman" w:hAnsi="Times New Roman" w:cs="Times New Roman"/>
          <w:sz w:val="24"/>
          <w:szCs w:val="24"/>
        </w:rPr>
        <w:t xml:space="preserve">. Available at: https://www.cipd.org/en/knowledge/factsheets/pestle-analysis-factsheet/#what-is-a-pestle-analysis (Accessed: 01 August 2024). </w:t>
      </w:r>
    </w:p>
    <w:p w14:paraId="5789C95A" w14:textId="02A80F83" w:rsidR="00314942"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Cnbc</w:t>
      </w:r>
      <w:proofErr w:type="spellEnd"/>
      <w:r>
        <w:rPr>
          <w:rFonts w:ascii="Times New Roman" w:eastAsia="Times New Roman" w:hAnsi="Times New Roman" w:cs="Times New Roman"/>
          <w:color w:val="222222"/>
          <w:sz w:val="24"/>
          <w:szCs w:val="24"/>
          <w:highlight w:val="white"/>
        </w:rPr>
        <w:t xml:space="preserve">, (2023) </w:t>
      </w:r>
      <w:r>
        <w:rPr>
          <w:rFonts w:ascii="Times New Roman" w:eastAsia="Times New Roman" w:hAnsi="Times New Roman" w:cs="Times New Roman"/>
          <w:i/>
          <w:color w:val="222222"/>
          <w:sz w:val="24"/>
          <w:szCs w:val="24"/>
          <w:highlight w:val="white"/>
        </w:rPr>
        <w:t>Here’s the inflation breakdown for December 2022 - in one chart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CNBC</w:t>
      </w:r>
      <w:r>
        <w:rPr>
          <w:rFonts w:ascii="Times New Roman" w:eastAsia="Times New Roman" w:hAnsi="Times New Roman" w:cs="Times New Roman"/>
          <w:color w:val="222222"/>
          <w:sz w:val="24"/>
          <w:szCs w:val="24"/>
          <w:highlight w:val="white"/>
        </w:rPr>
        <w:t xml:space="preserve">. Available at: https://www.cnbc.com/2023/01/12/heres-the-inflation-breakdown-for-december-2022-in-one-chart.html#:~:text=Inflation%20closed%20out%202022%20with,fell%20from%207.1%25%20in%20November. (Accessed: </w:t>
      </w:r>
      <w:r w:rsidR="002F0BD5">
        <w:rPr>
          <w:rFonts w:ascii="Times New Roman" w:eastAsia="Times New Roman" w:hAnsi="Times New Roman" w:cs="Times New Roman"/>
          <w:color w:val="222222"/>
          <w:sz w:val="24"/>
          <w:szCs w:val="24"/>
          <w:highlight w:val="white"/>
        </w:rPr>
        <w:t>4</w:t>
      </w:r>
      <w:r>
        <w:rPr>
          <w:rFonts w:ascii="Times New Roman" w:eastAsia="Times New Roman" w:hAnsi="Times New Roman" w:cs="Times New Roman"/>
          <w:color w:val="222222"/>
          <w:sz w:val="24"/>
          <w:szCs w:val="24"/>
          <w:highlight w:val="white"/>
        </w:rPr>
        <w:t xml:space="preserve"> August 2024). </w:t>
      </w:r>
    </w:p>
    <w:p w14:paraId="5BFE5F48" w14:textId="77777777" w:rsidR="00314942"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Eduljee</w:t>
      </w:r>
      <w:proofErr w:type="spellEnd"/>
      <w:r>
        <w:rPr>
          <w:rFonts w:ascii="Times New Roman" w:eastAsia="Times New Roman" w:hAnsi="Times New Roman" w:cs="Times New Roman"/>
          <w:color w:val="222222"/>
          <w:sz w:val="24"/>
          <w:szCs w:val="24"/>
          <w:highlight w:val="white"/>
        </w:rPr>
        <w:t xml:space="preserve">, G., (2023). The Circular Economy, Employment, and Low Carbon in the UK Manufacturing Sector. In </w:t>
      </w:r>
      <w:r>
        <w:rPr>
          <w:rFonts w:ascii="Times New Roman" w:eastAsia="Times New Roman" w:hAnsi="Times New Roman" w:cs="Times New Roman"/>
          <w:i/>
          <w:color w:val="222222"/>
          <w:sz w:val="24"/>
          <w:szCs w:val="24"/>
          <w:highlight w:val="white"/>
        </w:rPr>
        <w:t xml:space="preserve">Circular Economy Adoption: </w:t>
      </w:r>
      <w:proofErr w:type="spellStart"/>
      <w:r>
        <w:rPr>
          <w:rFonts w:ascii="Times New Roman" w:eastAsia="Times New Roman" w:hAnsi="Times New Roman" w:cs="Times New Roman"/>
          <w:i/>
          <w:color w:val="222222"/>
          <w:sz w:val="24"/>
          <w:szCs w:val="24"/>
          <w:highlight w:val="white"/>
        </w:rPr>
        <w:t>Catalysing</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Decarbonisation</w:t>
      </w:r>
      <w:proofErr w:type="spellEnd"/>
      <w:r>
        <w:rPr>
          <w:rFonts w:ascii="Times New Roman" w:eastAsia="Times New Roman" w:hAnsi="Times New Roman" w:cs="Times New Roman"/>
          <w:i/>
          <w:color w:val="222222"/>
          <w:sz w:val="24"/>
          <w:szCs w:val="24"/>
          <w:highlight w:val="white"/>
        </w:rPr>
        <w:t xml:space="preserve"> Through Policy Instruments</w:t>
      </w:r>
      <w:r>
        <w:rPr>
          <w:rFonts w:ascii="Times New Roman" w:eastAsia="Times New Roman" w:hAnsi="Times New Roman" w:cs="Times New Roman"/>
          <w:color w:val="222222"/>
          <w:sz w:val="24"/>
          <w:szCs w:val="24"/>
          <w:highlight w:val="white"/>
        </w:rPr>
        <w:t xml:space="preserve"> (pp. 301-329). Singapore: Springer Nature Singapore.</w:t>
      </w:r>
      <w:hyperlink r:id="rId8">
        <w:r>
          <w:rPr>
            <w:rFonts w:ascii="Times New Roman" w:eastAsia="Times New Roman" w:hAnsi="Times New Roman" w:cs="Times New Roman"/>
            <w:color w:val="1155CC"/>
            <w:sz w:val="24"/>
            <w:szCs w:val="24"/>
            <w:highlight w:val="white"/>
            <w:u w:val="single"/>
          </w:rPr>
          <w:t>https://link.springer.com/chapter/10.1007/978-981-99-4803-1_10</w:t>
        </w:r>
      </w:hyperlink>
    </w:p>
    <w:p w14:paraId="489A21FA" w14:textId="77777777" w:rsidR="00314942"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Hartzog, W. and Richards, N., (2020). Privacy's constitutional moment and the limits of data protection. </w:t>
      </w:r>
      <w:r>
        <w:rPr>
          <w:rFonts w:ascii="Times New Roman" w:eastAsia="Times New Roman" w:hAnsi="Times New Roman" w:cs="Times New Roman"/>
          <w:i/>
          <w:color w:val="222222"/>
          <w:sz w:val="24"/>
          <w:szCs w:val="24"/>
          <w:highlight w:val="white"/>
        </w:rPr>
        <w:t>BCL Rev.</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61</w:t>
      </w:r>
      <w:r>
        <w:rPr>
          <w:rFonts w:ascii="Times New Roman" w:eastAsia="Times New Roman" w:hAnsi="Times New Roman" w:cs="Times New Roman"/>
          <w:color w:val="222222"/>
          <w:sz w:val="24"/>
          <w:szCs w:val="24"/>
          <w:highlight w:val="white"/>
        </w:rPr>
        <w:t>, p.1687.</w:t>
      </w:r>
      <w:hyperlink r:id="rId9">
        <w:r>
          <w:rPr>
            <w:rFonts w:ascii="Times New Roman" w:eastAsia="Times New Roman" w:hAnsi="Times New Roman" w:cs="Times New Roman"/>
            <w:color w:val="1155CC"/>
            <w:sz w:val="24"/>
            <w:szCs w:val="24"/>
            <w:highlight w:val="white"/>
            <w:u w:val="single"/>
          </w:rPr>
          <w:t>https://heinonline.org/HOL/LandingPage?handle=hein.journals/bclr61&amp;div=44&amp;id=&amp;page=</w:t>
        </w:r>
      </w:hyperlink>
    </w:p>
    <w:p w14:paraId="5C163EF9" w14:textId="77777777" w:rsidR="00314942"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 B. and Lupton, E., (2022). </w:t>
      </w:r>
      <w:r>
        <w:rPr>
          <w:rFonts w:ascii="Times New Roman" w:eastAsia="Times New Roman" w:hAnsi="Times New Roman" w:cs="Times New Roman"/>
          <w:i/>
          <w:color w:val="222222"/>
          <w:sz w:val="24"/>
          <w:szCs w:val="24"/>
          <w:highlight w:val="white"/>
        </w:rPr>
        <w:t>Health design thinking: creating products and services for better health</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mit</w:t>
      </w:r>
      <w:proofErr w:type="spellEnd"/>
      <w:r>
        <w:rPr>
          <w:rFonts w:ascii="Times New Roman" w:eastAsia="Times New Roman" w:hAnsi="Times New Roman" w:cs="Times New Roman"/>
          <w:color w:val="222222"/>
          <w:sz w:val="24"/>
          <w:szCs w:val="24"/>
          <w:highlight w:val="white"/>
        </w:rPr>
        <w:t xml:space="preserve"> Press.</w:t>
      </w:r>
      <w:hyperlink r:id="rId10" w:anchor="v=onepage&amp;q&amp;f=false">
        <w:r>
          <w:rPr>
            <w:rFonts w:ascii="Times New Roman" w:eastAsia="Times New Roman" w:hAnsi="Times New Roman" w:cs="Times New Roman"/>
            <w:color w:val="1155CC"/>
            <w:sz w:val="24"/>
            <w:szCs w:val="24"/>
            <w:highlight w:val="white"/>
            <w:u w:val="single"/>
          </w:rPr>
          <w:t>https://books.google.co.in/books?hl=en&amp;lr=&amp;id=IrxNEAAAQBAJ&amp;oi=fnd&amp;pg=PA66&amp;dq=changes+in+population+characteristics+including+increased+life+expectancy+have+affected+the+nature+of+products+being+developed+in+the+market+with+Apple+devices+designed+with+larger+fonts+and+Health+books+to+suit+the+aging+population.&amp;ots=VIbVeokx5U&amp;sig=gEA4zOZrJzsEGh7rEpoM32yJaqI&amp;redir_esc=y#v=onepage&amp;q&amp;f=false</w:t>
        </w:r>
      </w:hyperlink>
    </w:p>
    <w:p w14:paraId="5C7AB76A" w14:textId="244AF80E" w:rsidR="00314942" w:rsidRDefault="00000000">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Onstrategyhq</w:t>
      </w:r>
      <w:proofErr w:type="spellEnd"/>
      <w:r>
        <w:rPr>
          <w:rFonts w:ascii="Times New Roman" w:eastAsia="Times New Roman" w:hAnsi="Times New Roman" w:cs="Times New Roman"/>
          <w:sz w:val="24"/>
          <w:szCs w:val="24"/>
        </w:rPr>
        <w:t xml:space="preserve">, (2024) </w:t>
      </w:r>
      <w:proofErr w:type="spellStart"/>
      <w:r>
        <w:rPr>
          <w:rFonts w:ascii="Times New Roman" w:eastAsia="Times New Roman" w:hAnsi="Times New Roman" w:cs="Times New Roman"/>
          <w:i/>
          <w:sz w:val="24"/>
          <w:szCs w:val="24"/>
        </w:rPr>
        <w:t>OnStrategy</w:t>
      </w:r>
      <w:proofErr w:type="spellEnd"/>
      <w:r>
        <w:rPr>
          <w:rFonts w:ascii="Times New Roman" w:eastAsia="Times New Roman" w:hAnsi="Times New Roman" w:cs="Times New Roman"/>
          <w:sz w:val="24"/>
          <w:szCs w:val="24"/>
        </w:rPr>
        <w:t>. Available at: https://onstrategyhq.com/resources/pestle-analysis/#:~:text=Advantages%20and%20Disadvantages%20of%20a%20PESTLE%20Analysis,-What%20are%20the&amp;text=It%20also%20allows%20you%20and,how%20to%20mitigate%20the%20risks. (Accessed: 0</w:t>
      </w:r>
      <w:r w:rsidR="002F0BD5">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August 2024). </w:t>
      </w:r>
    </w:p>
    <w:p w14:paraId="6ADB38FE" w14:textId="77777777" w:rsidR="00314942"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Statista, (2024) </w:t>
      </w:r>
      <w:r>
        <w:rPr>
          <w:rFonts w:ascii="Times New Roman" w:eastAsia="Times New Roman" w:hAnsi="Times New Roman" w:cs="Times New Roman"/>
          <w:i/>
          <w:color w:val="222222"/>
          <w:sz w:val="24"/>
          <w:szCs w:val="24"/>
          <w:highlight w:val="white"/>
        </w:rPr>
        <w:t>Topic: Brexit and the UK economy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Statista</w:t>
      </w:r>
      <w:r>
        <w:rPr>
          <w:rFonts w:ascii="Times New Roman" w:eastAsia="Times New Roman" w:hAnsi="Times New Roman" w:cs="Times New Roman"/>
          <w:color w:val="222222"/>
          <w:sz w:val="24"/>
          <w:szCs w:val="24"/>
          <w:highlight w:val="white"/>
        </w:rPr>
        <w:t xml:space="preserve">. Available at: https://www.statista.com/topics/3154/brexit-and-the-uk-economy/ (Accessed: 01 August 2024). </w:t>
      </w:r>
    </w:p>
    <w:p w14:paraId="77266028" w14:textId="77777777" w:rsidR="00314942"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Tarasanski</w:t>
      </w:r>
      <w:proofErr w:type="spellEnd"/>
      <w:r>
        <w:rPr>
          <w:rFonts w:ascii="Times New Roman" w:eastAsia="Times New Roman" w:hAnsi="Times New Roman" w:cs="Times New Roman"/>
          <w:color w:val="222222"/>
          <w:sz w:val="24"/>
          <w:szCs w:val="24"/>
          <w:highlight w:val="white"/>
        </w:rPr>
        <w:t>, P., (2017). Brexit: Changing Dynamics of Corporate Financial Risks, Return, and Performance: Case Companies: BP, Royal Bank of Scotland, Marks &amp; Spencer, GlaxoSmithKline, EasyJet.</w:t>
      </w:r>
      <w:hyperlink r:id="rId11">
        <w:r>
          <w:rPr>
            <w:rFonts w:ascii="Times New Roman" w:eastAsia="Times New Roman" w:hAnsi="Times New Roman" w:cs="Times New Roman"/>
            <w:color w:val="1155CC"/>
            <w:sz w:val="24"/>
            <w:szCs w:val="24"/>
            <w:highlight w:val="white"/>
            <w:u w:val="single"/>
          </w:rPr>
          <w:t>https://www.theseus.fi/bitstream/handle/10024/132166/Tarasanski%20Pavlos.pdf?sequence=1</w:t>
        </w:r>
      </w:hyperlink>
    </w:p>
    <w:p w14:paraId="1643D05A" w14:textId="77777777" w:rsidR="00314942"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Vermesan</w:t>
      </w:r>
      <w:proofErr w:type="spellEnd"/>
      <w:r>
        <w:rPr>
          <w:rFonts w:ascii="Times New Roman" w:eastAsia="Times New Roman" w:hAnsi="Times New Roman" w:cs="Times New Roman"/>
          <w:color w:val="222222"/>
          <w:sz w:val="24"/>
          <w:szCs w:val="24"/>
          <w:highlight w:val="white"/>
        </w:rPr>
        <w:t xml:space="preserve">, O. and Friess, P., (2014). </w:t>
      </w:r>
      <w:r>
        <w:rPr>
          <w:rFonts w:ascii="Times New Roman" w:eastAsia="Times New Roman" w:hAnsi="Times New Roman" w:cs="Times New Roman"/>
          <w:i/>
          <w:color w:val="222222"/>
          <w:sz w:val="24"/>
          <w:szCs w:val="24"/>
          <w:highlight w:val="white"/>
        </w:rPr>
        <w:t>Internet of things applications-from research and innovation to market deployment</w:t>
      </w:r>
      <w:r>
        <w:rPr>
          <w:rFonts w:ascii="Times New Roman" w:eastAsia="Times New Roman" w:hAnsi="Times New Roman" w:cs="Times New Roman"/>
          <w:color w:val="222222"/>
          <w:sz w:val="24"/>
          <w:szCs w:val="24"/>
          <w:highlight w:val="white"/>
        </w:rPr>
        <w:t xml:space="preserve"> (p. 364). Taylor &amp; </w:t>
      </w:r>
      <w:proofErr w:type="spellStart"/>
      <w:r>
        <w:rPr>
          <w:rFonts w:ascii="Times New Roman" w:eastAsia="Times New Roman" w:hAnsi="Times New Roman" w:cs="Times New Roman"/>
          <w:color w:val="222222"/>
          <w:sz w:val="24"/>
          <w:szCs w:val="24"/>
          <w:highlight w:val="white"/>
        </w:rPr>
        <w:t>Francis.</w:t>
      </w:r>
      <w:hyperlink r:id="rId12">
        <w:r>
          <w:rPr>
            <w:rFonts w:ascii="Times New Roman" w:eastAsia="Times New Roman" w:hAnsi="Times New Roman" w:cs="Times New Roman"/>
            <w:color w:val="1155CC"/>
            <w:sz w:val="24"/>
            <w:szCs w:val="24"/>
            <w:highlight w:val="white"/>
            <w:u w:val="single"/>
          </w:rPr>
          <w:t>https</w:t>
        </w:r>
        <w:proofErr w:type="spellEnd"/>
        <w:r>
          <w:rPr>
            <w:rFonts w:ascii="Times New Roman" w:eastAsia="Times New Roman" w:hAnsi="Times New Roman" w:cs="Times New Roman"/>
            <w:color w:val="1155CC"/>
            <w:sz w:val="24"/>
            <w:szCs w:val="24"/>
            <w:highlight w:val="white"/>
            <w:u w:val="single"/>
          </w:rPr>
          <w:t>://library.oapen.org/handle/20.500.12657/59718</w:t>
        </w:r>
      </w:hyperlink>
    </w:p>
    <w:sectPr w:rsidR="00314942" w:rsidSect="000748F2">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B2C6F0" w14:textId="77777777" w:rsidR="00B547AA" w:rsidRDefault="00B547AA">
      <w:pPr>
        <w:spacing w:line="240" w:lineRule="auto"/>
      </w:pPr>
      <w:r>
        <w:separator/>
      </w:r>
    </w:p>
  </w:endnote>
  <w:endnote w:type="continuationSeparator" w:id="0">
    <w:p w14:paraId="3A910548" w14:textId="77777777" w:rsidR="00B547AA" w:rsidRDefault="00B547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3C92A5" w14:textId="77777777" w:rsidR="00314942"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0748F2">
      <w:rPr>
        <w:noProof/>
        <w:color w:val="000000"/>
      </w:rPr>
      <w:t>2</w:t>
    </w:r>
    <w:r>
      <w:rPr>
        <w:color w:val="000000"/>
      </w:rPr>
      <w:fldChar w:fldCharType="end"/>
    </w:r>
  </w:p>
  <w:p w14:paraId="41D28BB9" w14:textId="77777777" w:rsidR="00314942" w:rsidRDefault="0031494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31628D" w14:textId="77777777" w:rsidR="00B547AA" w:rsidRDefault="00B547AA">
      <w:pPr>
        <w:spacing w:line="240" w:lineRule="auto"/>
      </w:pPr>
      <w:r>
        <w:separator/>
      </w:r>
    </w:p>
  </w:footnote>
  <w:footnote w:type="continuationSeparator" w:id="0">
    <w:p w14:paraId="6B59C00E" w14:textId="77777777" w:rsidR="00B547AA" w:rsidRDefault="00B547A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4942"/>
    <w:rsid w:val="000748F2"/>
    <w:rsid w:val="000F206F"/>
    <w:rsid w:val="00225AE5"/>
    <w:rsid w:val="00282558"/>
    <w:rsid w:val="002F0BD5"/>
    <w:rsid w:val="00314942"/>
    <w:rsid w:val="00B547AA"/>
    <w:rsid w:val="00BB7AE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7D70D"/>
  <w15:docId w15:val="{B07921AC-C83C-4D4F-8A38-D538709FCE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A4020"/>
    <w:pPr>
      <w:tabs>
        <w:tab w:val="center" w:pos="4513"/>
        <w:tab w:val="right" w:pos="9026"/>
      </w:tabs>
      <w:spacing w:line="240" w:lineRule="auto"/>
    </w:pPr>
  </w:style>
  <w:style w:type="character" w:customStyle="1" w:styleId="HeaderChar">
    <w:name w:val="Header Char"/>
    <w:basedOn w:val="DefaultParagraphFont"/>
    <w:link w:val="Header"/>
    <w:uiPriority w:val="99"/>
    <w:rsid w:val="008A4020"/>
  </w:style>
  <w:style w:type="paragraph" w:styleId="Footer">
    <w:name w:val="footer"/>
    <w:basedOn w:val="Normal"/>
    <w:link w:val="FooterChar"/>
    <w:uiPriority w:val="99"/>
    <w:unhideWhenUsed/>
    <w:rsid w:val="008A4020"/>
    <w:pPr>
      <w:tabs>
        <w:tab w:val="center" w:pos="4513"/>
        <w:tab w:val="right" w:pos="9026"/>
      </w:tabs>
      <w:spacing w:line="240" w:lineRule="auto"/>
    </w:pPr>
  </w:style>
  <w:style w:type="character" w:customStyle="1" w:styleId="FooterChar">
    <w:name w:val="Footer Char"/>
    <w:basedOn w:val="DefaultParagraphFont"/>
    <w:link w:val="Footer"/>
    <w:uiPriority w:val="99"/>
    <w:rsid w:val="008A40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981-99-4803-1_1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ibrary.oapen.org/handle/20.500.12657/5971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seus.fi/bitstream/handle/10024/132166/Tarasanski%20Pavlos.pdf?sequence=1"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ooks.google.co.in/books?hl=en&amp;lr=&amp;id=IrxNEAAAQBAJ&amp;oi=fnd&amp;pg=PA66&amp;dq=changes+in+population+characteristics+including+increased+life+expectancy+have+affected+the+nature+of+products+being+developed+in+the+market+with+Apple+devices+designed+with+larger+fonts+and+Health+books+to+suit+the+aging+population.&amp;ots=VIbVeokx5U&amp;sig=gEA4zOZrJzsEGh7rEpoM32yJaqI&amp;redir_esc=y" TargetMode="External"/><Relationship Id="rId4" Type="http://schemas.openxmlformats.org/officeDocument/2006/relationships/webSettings" Target="webSettings.xml"/><Relationship Id="rId9" Type="http://schemas.openxmlformats.org/officeDocument/2006/relationships/hyperlink" Target="https://heinonline.org/HOL/LandingPage?handle=hein.journals/bclr61&amp;div=44&amp;id=&amp;pa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AKjLb7ZaxWdp9Dt7UE1tTJ/vEA==">CgMxLjA4AHIhMW1TTEpQSVNOWmYwLUM3YzE3N0tIN2U3d3V5dkp0V3JC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2091</Words>
  <Characters>11920</Characters>
  <Application>Microsoft Office Word</Application>
  <DocSecurity>0</DocSecurity>
  <Lines>99</Lines>
  <Paragraphs>27</Paragraphs>
  <ScaleCrop>false</ScaleCrop>
  <Company/>
  <LinksUpToDate>false</LinksUpToDate>
  <CharactersWithSpaces>13984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Istvan Tarjani (2317622)</cp:lastModifiedBy>
  <cp:revision>4</cp:revision>
  <dcterms:created xsi:type="dcterms:W3CDTF">2024-08-01T10:18:00Z</dcterms:created>
  <dcterms:modified xsi:type="dcterms:W3CDTF">2024-08-21T18:02:00Z</dcterms:modified>
</cp:coreProperties>
</file>