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BE74ED" w14:textId="77777777" w:rsidR="00DE7067" w:rsidRDefault="00DE7067" w:rsidP="001755BC">
      <w:pPr>
        <w:spacing w:line="360" w:lineRule="auto"/>
        <w:jc w:val="center"/>
        <w:rPr>
          <w:rFonts w:asciiTheme="minorBidi" w:hAnsiTheme="minorBidi"/>
          <w:b/>
          <w:bCs/>
          <w:sz w:val="32"/>
          <w:szCs w:val="32"/>
        </w:rPr>
      </w:pPr>
    </w:p>
    <w:p w14:paraId="024748A3" w14:textId="77777777" w:rsidR="00DE7067" w:rsidRDefault="00DE7067" w:rsidP="001755BC">
      <w:pPr>
        <w:spacing w:line="360" w:lineRule="auto"/>
        <w:jc w:val="center"/>
        <w:rPr>
          <w:rFonts w:asciiTheme="minorBidi" w:hAnsiTheme="minorBidi"/>
          <w:b/>
          <w:bCs/>
          <w:sz w:val="32"/>
          <w:szCs w:val="32"/>
        </w:rPr>
      </w:pPr>
    </w:p>
    <w:p w14:paraId="1640196D" w14:textId="129892E0" w:rsidR="001755BC" w:rsidRPr="00DE3B20" w:rsidRDefault="001755BC" w:rsidP="001755BC">
      <w:pPr>
        <w:spacing w:line="360" w:lineRule="auto"/>
        <w:jc w:val="center"/>
        <w:rPr>
          <w:rFonts w:asciiTheme="minorBidi" w:hAnsiTheme="minorBidi"/>
          <w:b/>
          <w:bCs/>
          <w:sz w:val="40"/>
          <w:szCs w:val="40"/>
        </w:rPr>
      </w:pPr>
      <w:r w:rsidRPr="00DE3B20">
        <w:rPr>
          <w:rFonts w:asciiTheme="minorBidi" w:hAnsiTheme="minorBidi"/>
          <w:b/>
          <w:bCs/>
          <w:sz w:val="40"/>
          <w:szCs w:val="40"/>
        </w:rPr>
        <w:t>Course: BSc (Hons) Health and Social Care</w:t>
      </w:r>
    </w:p>
    <w:p w14:paraId="7588B288" w14:textId="3FAECAD9" w:rsidR="006F0369" w:rsidRPr="00DE3B20" w:rsidRDefault="001755BC" w:rsidP="006F0369">
      <w:pPr>
        <w:spacing w:line="360" w:lineRule="auto"/>
        <w:jc w:val="center"/>
        <w:rPr>
          <w:rFonts w:asciiTheme="minorBidi" w:hAnsiTheme="minorBidi"/>
          <w:b/>
          <w:bCs/>
          <w:sz w:val="40"/>
          <w:szCs w:val="40"/>
        </w:rPr>
      </w:pPr>
      <w:r w:rsidRPr="00DE3B20">
        <w:rPr>
          <w:rFonts w:asciiTheme="minorBidi" w:hAnsiTheme="minorBidi"/>
          <w:b/>
          <w:bCs/>
          <w:sz w:val="40"/>
          <w:szCs w:val="40"/>
        </w:rPr>
        <w:t xml:space="preserve">Module: </w:t>
      </w:r>
      <w:r w:rsidR="006F0369" w:rsidRPr="00DE3B20">
        <w:rPr>
          <w:rFonts w:asciiTheme="minorBidi" w:hAnsiTheme="minorBidi"/>
          <w:b/>
          <w:bCs/>
          <w:sz w:val="40"/>
          <w:szCs w:val="40"/>
        </w:rPr>
        <w:t>Empowering the Older Person</w:t>
      </w:r>
    </w:p>
    <w:p w14:paraId="341C1F33" w14:textId="3F4C84A0" w:rsidR="001755BC" w:rsidRPr="00DE3B20" w:rsidRDefault="006F0369" w:rsidP="006F0369">
      <w:pPr>
        <w:spacing w:line="360" w:lineRule="auto"/>
        <w:jc w:val="center"/>
        <w:rPr>
          <w:rFonts w:asciiTheme="minorBidi" w:hAnsiTheme="minorBidi"/>
          <w:b/>
          <w:bCs/>
          <w:sz w:val="40"/>
          <w:szCs w:val="40"/>
        </w:rPr>
      </w:pPr>
      <w:r w:rsidRPr="00DE3B20">
        <w:rPr>
          <w:rFonts w:asciiTheme="minorBidi" w:hAnsiTheme="minorBidi"/>
          <w:b/>
          <w:bCs/>
          <w:sz w:val="40"/>
          <w:szCs w:val="40"/>
        </w:rPr>
        <w:t xml:space="preserve"> </w:t>
      </w:r>
      <w:r w:rsidR="001755BC" w:rsidRPr="00DE3B20">
        <w:rPr>
          <w:rFonts w:asciiTheme="minorBidi" w:hAnsiTheme="minorBidi"/>
          <w:b/>
          <w:bCs/>
          <w:sz w:val="40"/>
          <w:szCs w:val="40"/>
        </w:rPr>
        <w:t>(BMHP602</w:t>
      </w:r>
      <w:r w:rsidRPr="00DE3B20">
        <w:rPr>
          <w:rFonts w:asciiTheme="minorBidi" w:hAnsiTheme="minorBidi"/>
          <w:b/>
          <w:bCs/>
          <w:sz w:val="40"/>
          <w:szCs w:val="40"/>
        </w:rPr>
        <w:t>7</w:t>
      </w:r>
      <w:r w:rsidR="001755BC" w:rsidRPr="00DE3B20">
        <w:rPr>
          <w:rFonts w:asciiTheme="minorBidi" w:hAnsiTheme="minorBidi"/>
          <w:b/>
          <w:bCs/>
          <w:sz w:val="40"/>
          <w:szCs w:val="40"/>
        </w:rPr>
        <w:t>_BIRM)</w:t>
      </w:r>
    </w:p>
    <w:p w14:paraId="35E5AEA3" w14:textId="77777777" w:rsidR="001755BC" w:rsidRPr="000C6639" w:rsidRDefault="001755BC" w:rsidP="001755BC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47696527" w14:textId="422A5C80" w:rsidR="001755BC" w:rsidRPr="000C6639" w:rsidRDefault="001755BC" w:rsidP="006F0369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0C6639">
        <w:rPr>
          <w:rFonts w:asciiTheme="minorBidi" w:hAnsiTheme="minorBidi"/>
          <w:b/>
          <w:bCs/>
        </w:rPr>
        <w:t xml:space="preserve">Component 2: </w:t>
      </w:r>
      <w:r w:rsidR="006F0369" w:rsidRPr="000C6639">
        <w:rPr>
          <w:rFonts w:asciiTheme="minorBidi" w:hAnsiTheme="minorBidi"/>
          <w:b/>
          <w:bCs/>
        </w:rPr>
        <w:t>Debate / Discussion</w:t>
      </w:r>
    </w:p>
    <w:p w14:paraId="315A5D04" w14:textId="77777777" w:rsidR="001755BC" w:rsidRPr="000C6639" w:rsidRDefault="001755BC" w:rsidP="001755BC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72AF1FBE" w14:textId="77777777" w:rsidR="001755BC" w:rsidRPr="000C6639" w:rsidRDefault="001755BC" w:rsidP="001755BC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0C6639">
        <w:rPr>
          <w:rFonts w:asciiTheme="minorBidi" w:hAnsiTheme="minorBidi"/>
          <w:b/>
          <w:bCs/>
        </w:rPr>
        <w:t>Student ID: 2320438</w:t>
      </w:r>
    </w:p>
    <w:p w14:paraId="4361AC31" w14:textId="77777777" w:rsidR="001755BC" w:rsidRPr="000C6639" w:rsidRDefault="001755BC" w:rsidP="001755BC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1517AA7F" w14:textId="77777777" w:rsidR="001755BC" w:rsidRPr="000C6639" w:rsidRDefault="001755BC" w:rsidP="001755BC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0C6639">
        <w:rPr>
          <w:rFonts w:asciiTheme="minorBidi" w:hAnsiTheme="minorBidi"/>
          <w:b/>
          <w:bCs/>
        </w:rPr>
        <w:t>Student Name: Kareemot A Tijani Tijani</w:t>
      </w:r>
    </w:p>
    <w:p w14:paraId="47F483AE" w14:textId="77777777" w:rsidR="001755BC" w:rsidRPr="000C6639" w:rsidRDefault="001755BC" w:rsidP="001755BC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0A6C973C" w14:textId="7B4D8BB6" w:rsidR="001755BC" w:rsidRPr="000C6639" w:rsidRDefault="001755BC" w:rsidP="001755BC">
      <w:pPr>
        <w:spacing w:before="120" w:after="120" w:line="360" w:lineRule="auto"/>
        <w:jc w:val="center"/>
        <w:rPr>
          <w:rFonts w:ascii="Arial" w:hAnsi="Arial" w:cs="Arial"/>
          <w:b/>
          <w:bCs/>
        </w:rPr>
      </w:pPr>
      <w:r w:rsidRPr="000C6639">
        <w:rPr>
          <w:rFonts w:ascii="Arial" w:hAnsi="Arial" w:cs="Arial"/>
          <w:b/>
          <w:bCs/>
        </w:rPr>
        <w:t>Submission Date: Sunday 10</w:t>
      </w:r>
      <w:r w:rsidRPr="000C6639">
        <w:rPr>
          <w:rFonts w:ascii="Arial" w:hAnsi="Arial" w:cs="Arial"/>
          <w:b/>
          <w:bCs/>
          <w:vertAlign w:val="superscript"/>
        </w:rPr>
        <w:t>th</w:t>
      </w:r>
      <w:r w:rsidRPr="000C6639">
        <w:rPr>
          <w:rFonts w:ascii="Arial" w:hAnsi="Arial" w:cs="Arial"/>
          <w:b/>
          <w:bCs/>
        </w:rPr>
        <w:t xml:space="preserve"> July 2026.</w:t>
      </w:r>
    </w:p>
    <w:p w14:paraId="02F2974B" w14:textId="77777777" w:rsidR="001755BC" w:rsidRPr="000C6639" w:rsidRDefault="001755BC" w:rsidP="001755BC">
      <w:pPr>
        <w:spacing w:before="120" w:after="120" w:line="360" w:lineRule="auto"/>
        <w:jc w:val="center"/>
        <w:rPr>
          <w:rFonts w:ascii="Arial" w:hAnsi="Arial" w:cs="Arial"/>
          <w:b/>
          <w:bCs/>
        </w:rPr>
      </w:pPr>
    </w:p>
    <w:p w14:paraId="2FA2B818" w14:textId="0863AEB3" w:rsidR="001755BC" w:rsidRPr="000C6639" w:rsidRDefault="001755BC" w:rsidP="001755BC">
      <w:pPr>
        <w:spacing w:before="120" w:after="120" w:line="360" w:lineRule="auto"/>
        <w:jc w:val="center"/>
        <w:rPr>
          <w:rFonts w:ascii="Arial" w:hAnsi="Arial" w:cs="Arial"/>
          <w:b/>
          <w:bCs/>
        </w:rPr>
      </w:pPr>
      <w:r w:rsidRPr="000C6639">
        <w:rPr>
          <w:rFonts w:ascii="Arial" w:hAnsi="Arial" w:cs="Arial"/>
          <w:b/>
          <w:bCs/>
        </w:rPr>
        <w:t xml:space="preserve">Lecturer: Robert </w:t>
      </w:r>
      <w:r w:rsidRPr="000C6639">
        <w:rPr>
          <w:rFonts w:ascii="Arial" w:hAnsi="Arial" w:cs="Arial"/>
          <w:b/>
          <w:bCs/>
          <w:lang w:val="en-US"/>
        </w:rPr>
        <w:t>Nartowski</w:t>
      </w:r>
    </w:p>
    <w:p w14:paraId="107D2BC5" w14:textId="77777777" w:rsidR="001755BC" w:rsidRPr="00C23C47" w:rsidRDefault="001755BC" w:rsidP="001755BC">
      <w:pPr>
        <w:spacing w:line="360" w:lineRule="auto"/>
        <w:rPr>
          <w:rFonts w:asciiTheme="minorBidi" w:hAnsiTheme="minorBidi"/>
          <w:b/>
          <w:bCs/>
          <w:sz w:val="32"/>
          <w:szCs w:val="32"/>
        </w:rPr>
      </w:pPr>
    </w:p>
    <w:p w14:paraId="2D04CDC7" w14:textId="77777777" w:rsidR="001755BC" w:rsidRPr="0000267A" w:rsidRDefault="001755BC" w:rsidP="001755BC">
      <w:pPr>
        <w:spacing w:line="360" w:lineRule="auto"/>
        <w:rPr>
          <w:rFonts w:asciiTheme="minorBidi" w:hAnsiTheme="minorBidi"/>
          <w:b/>
          <w:bCs/>
          <w:sz w:val="32"/>
          <w:szCs w:val="32"/>
        </w:rPr>
      </w:pPr>
    </w:p>
    <w:p w14:paraId="7CC471D4" w14:textId="77777777" w:rsidR="00B348B9" w:rsidRDefault="00B348B9" w:rsidP="004770DE">
      <w:pPr>
        <w:rPr>
          <w:rFonts w:ascii="Arial" w:hAnsi="Arial" w:cs="Arial"/>
          <w:b/>
          <w:bCs/>
          <w:sz w:val="22"/>
          <w:szCs w:val="22"/>
        </w:rPr>
      </w:pPr>
    </w:p>
    <w:p w14:paraId="6AED4F59" w14:textId="77777777" w:rsidR="00B348B9" w:rsidRDefault="00B348B9" w:rsidP="004770DE">
      <w:pPr>
        <w:rPr>
          <w:rFonts w:ascii="Arial" w:hAnsi="Arial" w:cs="Arial"/>
          <w:b/>
          <w:bCs/>
          <w:sz w:val="22"/>
          <w:szCs w:val="22"/>
        </w:rPr>
      </w:pPr>
    </w:p>
    <w:p w14:paraId="743988A8" w14:textId="77777777" w:rsidR="00B348B9" w:rsidRDefault="00B348B9" w:rsidP="004770DE">
      <w:pPr>
        <w:rPr>
          <w:rFonts w:ascii="Arial" w:hAnsi="Arial" w:cs="Arial"/>
          <w:b/>
          <w:bCs/>
          <w:sz w:val="22"/>
          <w:szCs w:val="22"/>
        </w:rPr>
      </w:pPr>
    </w:p>
    <w:p w14:paraId="5230B368" w14:textId="77777777" w:rsidR="00B348B9" w:rsidRDefault="00B348B9" w:rsidP="004770DE">
      <w:pPr>
        <w:rPr>
          <w:rFonts w:ascii="Arial" w:hAnsi="Arial" w:cs="Arial"/>
          <w:b/>
          <w:bCs/>
          <w:sz w:val="22"/>
          <w:szCs w:val="22"/>
        </w:rPr>
      </w:pPr>
    </w:p>
    <w:p w14:paraId="37C39303" w14:textId="77777777" w:rsidR="00B348B9" w:rsidRDefault="00B348B9" w:rsidP="004770DE">
      <w:pPr>
        <w:rPr>
          <w:rFonts w:ascii="Arial" w:hAnsi="Arial" w:cs="Arial"/>
          <w:b/>
          <w:bCs/>
          <w:sz w:val="22"/>
          <w:szCs w:val="22"/>
        </w:rPr>
      </w:pPr>
    </w:p>
    <w:p w14:paraId="6A2E2846" w14:textId="77777777" w:rsidR="006D43D9" w:rsidRDefault="006D43D9" w:rsidP="004770DE">
      <w:pPr>
        <w:rPr>
          <w:rFonts w:ascii="Arial" w:hAnsi="Arial" w:cs="Arial"/>
          <w:b/>
          <w:bCs/>
          <w:sz w:val="22"/>
          <w:szCs w:val="22"/>
        </w:rPr>
      </w:pPr>
    </w:p>
    <w:p w14:paraId="38767A83" w14:textId="2C2C4E8D" w:rsidR="004770DE" w:rsidRPr="001E605C" w:rsidRDefault="004770DE" w:rsidP="00CC78B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E605C">
        <w:rPr>
          <w:rFonts w:ascii="Arial" w:hAnsi="Arial" w:cs="Arial"/>
          <w:b/>
          <w:bCs/>
          <w:sz w:val="22"/>
          <w:szCs w:val="22"/>
        </w:rPr>
        <w:lastRenderedPageBreak/>
        <w:t>Reference List</w:t>
      </w:r>
    </w:p>
    <w:p w14:paraId="08269448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Age UK (2023) </w:t>
      </w:r>
      <w:r w:rsidRPr="001E605C">
        <w:rPr>
          <w:rFonts w:ascii="Arial" w:hAnsi="Arial" w:cs="Arial"/>
          <w:i/>
          <w:iCs/>
          <w:sz w:val="22"/>
          <w:szCs w:val="22"/>
        </w:rPr>
        <w:t>Later life in the United Kingdom 2023</w:t>
      </w:r>
      <w:r w:rsidRPr="001E605C">
        <w:rPr>
          <w:rFonts w:ascii="Arial" w:hAnsi="Arial" w:cs="Arial"/>
          <w:sz w:val="22"/>
          <w:szCs w:val="22"/>
        </w:rPr>
        <w:t>. London: Age UK.</w:t>
      </w:r>
    </w:p>
    <w:p w14:paraId="4B133472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Beresford, P. (2013) </w:t>
      </w:r>
      <w:r w:rsidRPr="001E605C">
        <w:rPr>
          <w:rFonts w:ascii="Arial" w:hAnsi="Arial" w:cs="Arial"/>
          <w:i/>
          <w:iCs/>
          <w:sz w:val="22"/>
          <w:szCs w:val="22"/>
        </w:rPr>
        <w:t>From ‘other’ to involved: User involvement in research</w:t>
      </w:r>
      <w:r w:rsidRPr="001E605C">
        <w:rPr>
          <w:rFonts w:ascii="Arial" w:hAnsi="Arial" w:cs="Arial"/>
          <w:sz w:val="22"/>
          <w:szCs w:val="22"/>
        </w:rPr>
        <w:t>. Bristol: Policy Press.</w:t>
      </w:r>
    </w:p>
    <w:p w14:paraId="3ACFCC49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>Canedo-García, A., García-Sánchez, J.N. and Pacheco-Sanz, D.I. (2017) ‘</w:t>
      </w:r>
      <w:r w:rsidRPr="00297A42">
        <w:rPr>
          <w:rFonts w:ascii="Arial" w:hAnsi="Arial" w:cs="Arial"/>
          <w:i/>
          <w:iCs/>
          <w:sz w:val="22"/>
          <w:szCs w:val="22"/>
        </w:rPr>
        <w:t>A systematic review of the effectiveness of intergenerational programmes’,</w:t>
      </w:r>
      <w:r w:rsidRPr="001E605C">
        <w:rPr>
          <w:rFonts w:ascii="Arial" w:hAnsi="Arial" w:cs="Arial"/>
          <w:sz w:val="22"/>
          <w:szCs w:val="22"/>
        </w:rPr>
        <w:t xml:space="preserve"> </w:t>
      </w:r>
      <w:r w:rsidRPr="001E605C">
        <w:rPr>
          <w:rFonts w:ascii="Arial" w:hAnsi="Arial" w:cs="Arial"/>
          <w:i/>
          <w:iCs/>
          <w:sz w:val="22"/>
          <w:szCs w:val="22"/>
        </w:rPr>
        <w:t>Frontiers in Psychology</w:t>
      </w:r>
      <w:r w:rsidRPr="001E605C">
        <w:rPr>
          <w:rFonts w:ascii="Arial" w:hAnsi="Arial" w:cs="Arial"/>
          <w:sz w:val="22"/>
          <w:szCs w:val="22"/>
        </w:rPr>
        <w:t>, 8, Article 1882.</w:t>
      </w:r>
    </w:p>
    <w:p w14:paraId="50DCE250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Care Quality Commission (2024) </w:t>
      </w:r>
      <w:r w:rsidRPr="001E605C">
        <w:rPr>
          <w:rFonts w:ascii="Arial" w:hAnsi="Arial" w:cs="Arial"/>
          <w:i/>
          <w:iCs/>
          <w:sz w:val="22"/>
          <w:szCs w:val="22"/>
        </w:rPr>
        <w:t>The state of health care and adult social care in England 2023/24</w:t>
      </w:r>
      <w:r w:rsidRPr="001E605C">
        <w:rPr>
          <w:rFonts w:ascii="Arial" w:hAnsi="Arial" w:cs="Arial"/>
          <w:sz w:val="22"/>
          <w:szCs w:val="22"/>
        </w:rPr>
        <w:t>. Newcastle upon Tyne: CQC.</w:t>
      </w:r>
    </w:p>
    <w:p w14:paraId="44E2F014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Department of Health and Social Care (2021) </w:t>
      </w:r>
      <w:r w:rsidRPr="001E605C">
        <w:rPr>
          <w:rFonts w:ascii="Arial" w:hAnsi="Arial" w:cs="Arial"/>
          <w:i/>
          <w:iCs/>
          <w:sz w:val="22"/>
          <w:szCs w:val="22"/>
        </w:rPr>
        <w:t>People at the heart of care: Adult social care reform white paper</w:t>
      </w:r>
      <w:r w:rsidRPr="001E605C">
        <w:rPr>
          <w:rFonts w:ascii="Arial" w:hAnsi="Arial" w:cs="Arial"/>
          <w:sz w:val="22"/>
          <w:szCs w:val="22"/>
        </w:rPr>
        <w:t>. London: DHSC.</w:t>
      </w:r>
    </w:p>
    <w:p w14:paraId="51210103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>Galbraith, B., Larkin, H., Moorhouse, A. and Oomen, T. (2015) ‘</w:t>
      </w:r>
      <w:r w:rsidRPr="00297A42">
        <w:rPr>
          <w:rFonts w:ascii="Arial" w:hAnsi="Arial" w:cs="Arial"/>
          <w:i/>
          <w:iCs/>
          <w:sz w:val="22"/>
          <w:szCs w:val="22"/>
        </w:rPr>
        <w:t>Intergenerational programmes for persons with dementia:</w:t>
      </w:r>
      <w:r w:rsidRPr="001E605C">
        <w:rPr>
          <w:rFonts w:ascii="Arial" w:hAnsi="Arial" w:cs="Arial"/>
          <w:sz w:val="22"/>
          <w:szCs w:val="22"/>
        </w:rPr>
        <w:t xml:space="preserve"> A scoping review’, </w:t>
      </w:r>
      <w:r w:rsidRPr="001E605C">
        <w:rPr>
          <w:rFonts w:ascii="Arial" w:hAnsi="Arial" w:cs="Arial"/>
          <w:i/>
          <w:iCs/>
          <w:sz w:val="22"/>
          <w:szCs w:val="22"/>
        </w:rPr>
        <w:t>Journal of Gerontological Social Work</w:t>
      </w:r>
      <w:r w:rsidRPr="001E605C">
        <w:rPr>
          <w:rFonts w:ascii="Arial" w:hAnsi="Arial" w:cs="Arial"/>
          <w:sz w:val="22"/>
          <w:szCs w:val="22"/>
        </w:rPr>
        <w:t>, 58(4), pp. 357–378.</w:t>
      </w:r>
    </w:p>
    <w:p w14:paraId="7A30B072" w14:textId="77777777" w:rsidR="00C10EC2" w:rsidRPr="00103713" w:rsidRDefault="00C10EC2" w:rsidP="00CC78BC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Gualano, M.R., Voglino, G., Bert, F., Thomas, R., Camussi, E., Siliquini, R. and Manzoli, L. (2018) </w:t>
      </w:r>
      <w:r w:rsidRPr="00103713">
        <w:rPr>
          <w:rFonts w:ascii="Arial" w:hAnsi="Arial" w:cs="Arial"/>
          <w:i/>
          <w:iCs/>
          <w:sz w:val="22"/>
          <w:szCs w:val="22"/>
        </w:rPr>
        <w:t>‘The impact of intergenerational programmes on children and older adults: A review’, International Psychogeriatrics, 30(4), pp. 451–468.</w:t>
      </w:r>
    </w:p>
    <w:p w14:paraId="38EDF5E2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Health Foundation (2022) </w:t>
      </w:r>
      <w:r w:rsidRPr="001E605C">
        <w:rPr>
          <w:rFonts w:ascii="Arial" w:hAnsi="Arial" w:cs="Arial"/>
          <w:i/>
          <w:iCs/>
          <w:sz w:val="22"/>
          <w:szCs w:val="22"/>
        </w:rPr>
        <w:t>Adult social care and unmet need</w:t>
      </w:r>
      <w:r w:rsidRPr="001E605C">
        <w:rPr>
          <w:rFonts w:ascii="Arial" w:hAnsi="Arial" w:cs="Arial"/>
          <w:sz w:val="22"/>
          <w:szCs w:val="22"/>
        </w:rPr>
        <w:t>. London: The Health Foundation.</w:t>
      </w:r>
    </w:p>
    <w:p w14:paraId="1BFEAB4E" w14:textId="77777777" w:rsidR="00C10EC2" w:rsidRPr="00103713" w:rsidRDefault="00C10EC2" w:rsidP="00CC78BC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>Jarrott, S.E. and Bruno, K. (2007) ‘</w:t>
      </w:r>
      <w:r w:rsidRPr="00103713">
        <w:rPr>
          <w:rFonts w:ascii="Arial" w:hAnsi="Arial" w:cs="Arial"/>
          <w:i/>
          <w:iCs/>
          <w:sz w:val="22"/>
          <w:szCs w:val="22"/>
        </w:rPr>
        <w:t>Shared site intergenerational programmes: A case study’, Journal of Applied Gerontology, 26(3), pp. 239–257.</w:t>
      </w:r>
    </w:p>
    <w:p w14:paraId="13FE9EC3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Kitwood, T. (1997) </w:t>
      </w:r>
      <w:r w:rsidRPr="001E605C">
        <w:rPr>
          <w:rFonts w:ascii="Arial" w:hAnsi="Arial" w:cs="Arial"/>
          <w:i/>
          <w:iCs/>
          <w:sz w:val="22"/>
          <w:szCs w:val="22"/>
        </w:rPr>
        <w:t>Dementia reconsidered: The person comes first</w:t>
      </w:r>
      <w:r w:rsidRPr="001E605C">
        <w:rPr>
          <w:rFonts w:ascii="Arial" w:hAnsi="Arial" w:cs="Arial"/>
          <w:sz w:val="22"/>
          <w:szCs w:val="22"/>
        </w:rPr>
        <w:t>. Buckingham: Open University Press.</w:t>
      </w:r>
    </w:p>
    <w:p w14:paraId="2A1D66FF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National Institute for Health and Care Excellence (2015) </w:t>
      </w:r>
      <w:r w:rsidRPr="001E605C">
        <w:rPr>
          <w:rFonts w:ascii="Arial" w:hAnsi="Arial" w:cs="Arial"/>
          <w:i/>
          <w:iCs/>
          <w:sz w:val="22"/>
          <w:szCs w:val="22"/>
        </w:rPr>
        <w:t>Older people with social care needs and multiple long-term conditions (NG22)</w:t>
      </w:r>
      <w:r w:rsidRPr="001E605C">
        <w:rPr>
          <w:rFonts w:ascii="Arial" w:hAnsi="Arial" w:cs="Arial"/>
          <w:sz w:val="22"/>
          <w:szCs w:val="22"/>
        </w:rPr>
        <w:t>. London: NICE.</w:t>
      </w:r>
    </w:p>
    <w:p w14:paraId="45051B67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National Institute for Health and Care Excellence (2018) </w:t>
      </w:r>
      <w:r w:rsidRPr="001E605C">
        <w:rPr>
          <w:rFonts w:ascii="Arial" w:hAnsi="Arial" w:cs="Arial"/>
          <w:i/>
          <w:iCs/>
          <w:sz w:val="22"/>
          <w:szCs w:val="22"/>
        </w:rPr>
        <w:t>Dementia: Assessment, management and support for people living with dementia and their carers (NG97)</w:t>
      </w:r>
      <w:r w:rsidRPr="001E605C">
        <w:rPr>
          <w:rFonts w:ascii="Arial" w:hAnsi="Arial" w:cs="Arial"/>
          <w:sz w:val="22"/>
          <w:szCs w:val="22"/>
        </w:rPr>
        <w:t>. London: NICE.</w:t>
      </w:r>
    </w:p>
    <w:p w14:paraId="6FF9254B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Nolan, M., Brown, J., Davies, S., Nolan, J. and Keady, J. (2006) </w:t>
      </w:r>
      <w:r w:rsidRPr="001E605C">
        <w:rPr>
          <w:rFonts w:ascii="Arial" w:hAnsi="Arial" w:cs="Arial"/>
          <w:i/>
          <w:iCs/>
          <w:sz w:val="22"/>
          <w:szCs w:val="22"/>
        </w:rPr>
        <w:t>The Senses Framework: Improving care for older people through a relationship-centred approach</w:t>
      </w:r>
      <w:r w:rsidRPr="001E605C">
        <w:rPr>
          <w:rFonts w:ascii="Arial" w:hAnsi="Arial" w:cs="Arial"/>
          <w:sz w:val="22"/>
          <w:szCs w:val="22"/>
        </w:rPr>
        <w:t>. Sheffield: University of Sheffield.</w:t>
      </w:r>
    </w:p>
    <w:p w14:paraId="44189725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lastRenderedPageBreak/>
        <w:t xml:space="preserve">Office for National Statistics (2024) </w:t>
      </w:r>
      <w:r w:rsidRPr="001E605C">
        <w:rPr>
          <w:rFonts w:ascii="Arial" w:hAnsi="Arial" w:cs="Arial"/>
          <w:i/>
          <w:iCs/>
          <w:sz w:val="22"/>
          <w:szCs w:val="22"/>
        </w:rPr>
        <w:t>Living longer: Implications of an ageing population</w:t>
      </w:r>
      <w:r w:rsidRPr="001E605C">
        <w:rPr>
          <w:rFonts w:ascii="Arial" w:hAnsi="Arial" w:cs="Arial"/>
          <w:sz w:val="22"/>
          <w:szCs w:val="22"/>
        </w:rPr>
        <w:t>. London: ONS.</w:t>
      </w:r>
    </w:p>
    <w:p w14:paraId="7E6B4BAB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Royal College of Nursing (2023) </w:t>
      </w:r>
      <w:r w:rsidRPr="001E605C">
        <w:rPr>
          <w:rFonts w:ascii="Arial" w:hAnsi="Arial" w:cs="Arial"/>
          <w:i/>
          <w:iCs/>
          <w:sz w:val="22"/>
          <w:szCs w:val="22"/>
        </w:rPr>
        <w:t>Nursing workforce standards</w:t>
      </w:r>
      <w:r w:rsidRPr="001E605C">
        <w:rPr>
          <w:rFonts w:ascii="Arial" w:hAnsi="Arial" w:cs="Arial"/>
          <w:sz w:val="22"/>
          <w:szCs w:val="22"/>
        </w:rPr>
        <w:t>. London: RCN.</w:t>
      </w:r>
    </w:p>
    <w:p w14:paraId="7542C82B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Simard, J. and Volicer, L. (2020) </w:t>
      </w:r>
      <w:r w:rsidRPr="00AF517E">
        <w:rPr>
          <w:rFonts w:ascii="Arial" w:hAnsi="Arial" w:cs="Arial"/>
          <w:i/>
          <w:iCs/>
          <w:sz w:val="22"/>
          <w:szCs w:val="22"/>
        </w:rPr>
        <w:t>‘Loneliness and isolation in long-term care and the COVID-19 pandemic’</w:t>
      </w:r>
      <w:r w:rsidRPr="001E605C">
        <w:rPr>
          <w:rFonts w:ascii="Arial" w:hAnsi="Arial" w:cs="Arial"/>
          <w:sz w:val="22"/>
          <w:szCs w:val="22"/>
        </w:rPr>
        <w:t xml:space="preserve">, </w:t>
      </w:r>
      <w:r w:rsidRPr="001E605C">
        <w:rPr>
          <w:rFonts w:ascii="Arial" w:hAnsi="Arial" w:cs="Arial"/>
          <w:i/>
          <w:iCs/>
          <w:sz w:val="22"/>
          <w:szCs w:val="22"/>
        </w:rPr>
        <w:t>Journal of the American Medical Directors Association</w:t>
      </w:r>
      <w:r w:rsidRPr="001E605C">
        <w:rPr>
          <w:rFonts w:ascii="Arial" w:hAnsi="Arial" w:cs="Arial"/>
          <w:sz w:val="22"/>
          <w:szCs w:val="22"/>
        </w:rPr>
        <w:t>, 21(7), pp. 966–967.</w:t>
      </w:r>
    </w:p>
    <w:p w14:paraId="1E060CF0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Skills for Care (2024) </w:t>
      </w:r>
      <w:r w:rsidRPr="001E605C">
        <w:rPr>
          <w:rFonts w:ascii="Arial" w:hAnsi="Arial" w:cs="Arial"/>
          <w:i/>
          <w:iCs/>
          <w:sz w:val="22"/>
          <w:szCs w:val="22"/>
        </w:rPr>
        <w:t>The state of the adult social care sector and workforce in England</w:t>
      </w:r>
      <w:r w:rsidRPr="001E605C">
        <w:rPr>
          <w:rFonts w:ascii="Arial" w:hAnsi="Arial" w:cs="Arial"/>
          <w:sz w:val="22"/>
          <w:szCs w:val="22"/>
        </w:rPr>
        <w:t>. Leeds: Skills for Care.</w:t>
      </w:r>
    </w:p>
    <w:p w14:paraId="692B1BA4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Thompson, J.L. (2020) </w:t>
      </w:r>
      <w:r w:rsidRPr="001E605C">
        <w:rPr>
          <w:rFonts w:ascii="Arial" w:hAnsi="Arial" w:cs="Arial"/>
          <w:i/>
          <w:iCs/>
          <w:sz w:val="22"/>
          <w:szCs w:val="22"/>
        </w:rPr>
        <w:t>Person-centred practice for professionals</w:t>
      </w:r>
      <w:r w:rsidRPr="001E605C">
        <w:rPr>
          <w:rFonts w:ascii="Arial" w:hAnsi="Arial" w:cs="Arial"/>
          <w:sz w:val="22"/>
          <w:szCs w:val="22"/>
        </w:rPr>
        <w:t>. 2nd edn. Maidenhead: Open University Press.</w:t>
      </w:r>
    </w:p>
    <w:p w14:paraId="35D05538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United Nations (2020) </w:t>
      </w:r>
      <w:r w:rsidRPr="001E605C">
        <w:rPr>
          <w:rFonts w:ascii="Arial" w:hAnsi="Arial" w:cs="Arial"/>
          <w:i/>
          <w:iCs/>
          <w:sz w:val="22"/>
          <w:szCs w:val="22"/>
        </w:rPr>
        <w:t>Decade of Healthy Ageing 2021–2030</w:t>
      </w:r>
      <w:r w:rsidRPr="001E605C">
        <w:rPr>
          <w:rFonts w:ascii="Arial" w:hAnsi="Arial" w:cs="Arial"/>
          <w:sz w:val="22"/>
          <w:szCs w:val="22"/>
        </w:rPr>
        <w:t>. New York: United Nations.</w:t>
      </w:r>
    </w:p>
    <w:p w14:paraId="14621BBD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World Health Organization (2021) </w:t>
      </w:r>
      <w:r w:rsidRPr="001E605C">
        <w:rPr>
          <w:rFonts w:ascii="Arial" w:hAnsi="Arial" w:cs="Arial"/>
          <w:i/>
          <w:iCs/>
          <w:sz w:val="22"/>
          <w:szCs w:val="22"/>
        </w:rPr>
        <w:t>Global report on ageism</w:t>
      </w:r>
      <w:r w:rsidRPr="001E605C">
        <w:rPr>
          <w:rFonts w:ascii="Arial" w:hAnsi="Arial" w:cs="Arial"/>
          <w:sz w:val="22"/>
          <w:szCs w:val="22"/>
        </w:rPr>
        <w:t>. Geneva: WHO.</w:t>
      </w:r>
    </w:p>
    <w:p w14:paraId="12CEE5B3" w14:textId="77777777" w:rsidR="00C10EC2" w:rsidRPr="001E605C" w:rsidRDefault="00C10EC2" w:rsidP="00CC78BC">
      <w:pPr>
        <w:spacing w:line="360" w:lineRule="auto"/>
        <w:rPr>
          <w:rFonts w:ascii="Arial" w:hAnsi="Arial" w:cs="Arial"/>
          <w:sz w:val="22"/>
          <w:szCs w:val="22"/>
        </w:rPr>
      </w:pPr>
      <w:r w:rsidRPr="001E605C">
        <w:rPr>
          <w:rFonts w:ascii="Arial" w:hAnsi="Arial" w:cs="Arial"/>
          <w:sz w:val="22"/>
          <w:szCs w:val="22"/>
        </w:rPr>
        <w:t xml:space="preserve">World Health Organization (2022) </w:t>
      </w:r>
      <w:r w:rsidRPr="001E605C">
        <w:rPr>
          <w:rFonts w:ascii="Arial" w:hAnsi="Arial" w:cs="Arial"/>
          <w:i/>
          <w:iCs/>
          <w:sz w:val="22"/>
          <w:szCs w:val="22"/>
        </w:rPr>
        <w:t>World social report 2022: Ageing and social inclusion</w:t>
      </w:r>
      <w:r w:rsidRPr="001E605C">
        <w:rPr>
          <w:rFonts w:ascii="Arial" w:hAnsi="Arial" w:cs="Arial"/>
          <w:sz w:val="22"/>
          <w:szCs w:val="22"/>
        </w:rPr>
        <w:t>. Geneva: WHO.</w:t>
      </w:r>
    </w:p>
    <w:p w14:paraId="346D0DC5" w14:textId="77777777" w:rsidR="004770DE" w:rsidRPr="001E605C" w:rsidRDefault="004770DE" w:rsidP="00C10EC2">
      <w:pPr>
        <w:rPr>
          <w:rFonts w:ascii="Arial" w:hAnsi="Arial" w:cs="Arial"/>
          <w:sz w:val="22"/>
          <w:szCs w:val="22"/>
        </w:rPr>
      </w:pPr>
    </w:p>
    <w:sectPr w:rsidR="004770DE" w:rsidRPr="001E60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0DE"/>
    <w:rsid w:val="000C6639"/>
    <w:rsid w:val="00103713"/>
    <w:rsid w:val="00170EB8"/>
    <w:rsid w:val="001755BC"/>
    <w:rsid w:val="001E605C"/>
    <w:rsid w:val="0021192F"/>
    <w:rsid w:val="0024345F"/>
    <w:rsid w:val="0024372E"/>
    <w:rsid w:val="00297A42"/>
    <w:rsid w:val="00314A82"/>
    <w:rsid w:val="004770DE"/>
    <w:rsid w:val="0063188A"/>
    <w:rsid w:val="006D43D9"/>
    <w:rsid w:val="006F0369"/>
    <w:rsid w:val="007A4B1F"/>
    <w:rsid w:val="00AF517E"/>
    <w:rsid w:val="00B348B9"/>
    <w:rsid w:val="00C10EC2"/>
    <w:rsid w:val="00CC78BC"/>
    <w:rsid w:val="00DB040F"/>
    <w:rsid w:val="00DE3B20"/>
    <w:rsid w:val="00DE7067"/>
    <w:rsid w:val="00F6688F"/>
    <w:rsid w:val="00FC75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CEE50"/>
  <w15:chartTrackingRefBased/>
  <w15:docId w15:val="{75A11054-D6CF-4CF2-8AE9-FDC9EEE3C5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70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70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70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70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70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70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70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70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70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70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70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70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70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70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70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70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70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70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70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70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70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70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70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70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70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70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70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70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70D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3</Pages>
  <Words>450</Words>
  <Characters>2568</Characters>
  <Application>Microsoft Office Word</Application>
  <DocSecurity>0</DocSecurity>
  <Lines>21</Lines>
  <Paragraphs>6</Paragraphs>
  <ScaleCrop>false</ScaleCrop>
  <Company/>
  <LinksUpToDate>false</LinksUpToDate>
  <CharactersWithSpaces>3012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Kareemot Tijani Tijani (2320438)</dc:creator>
  <cp:keywords/>
  <dc:description/>
  <cp:lastModifiedBy>Kareemot Tijani Tijani (2320438)</cp:lastModifiedBy>
  <cp:revision>20</cp:revision>
  <dcterms:created xsi:type="dcterms:W3CDTF">2026-06-30T14:39:00Z</dcterms:created>
  <dcterms:modified xsi:type="dcterms:W3CDTF">2026-07-05T14:19:00Z</dcterms:modified>
</cp:coreProperties>
</file>