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915C07" w14:textId="77777777" w:rsidR="00907FE7" w:rsidRPr="000D1970" w:rsidRDefault="00000000">
      <w:pPr>
        <w:pStyle w:val="Heading1"/>
        <w:spacing w:before="1800" w:after="520"/>
        <w:jc w:val="center"/>
        <w:rPr>
          <w:rFonts w:ascii="Arial" w:hAnsi="Arial"/>
          <w:color w:val="auto"/>
        </w:rPr>
      </w:pPr>
      <w:bookmarkStart w:id="0" w:name="X7ed56a8125a71c7634c3910d2e21cb2ccf00b45"/>
      <w:r w:rsidRPr="000D1970">
        <w:rPr>
          <w:rFonts w:ascii="Arial" w:hAnsi="Arial"/>
          <w:color w:val="auto"/>
        </w:rPr>
        <w:t>Stakeholder Engagement for the Launch of ConnectPlus at Marks &amp; Spencer</w:t>
      </w:r>
    </w:p>
    <w:p w14:paraId="67671A8F" w14:textId="77777777" w:rsidR="001814AA" w:rsidRDefault="001814AA" w:rsidP="001814AA">
      <w:pPr>
        <w:pStyle w:val="BodyText"/>
      </w:pPr>
    </w:p>
    <w:p w14:paraId="28E086F2" w14:textId="77777777" w:rsidR="00BB1401" w:rsidRDefault="00BB1401" w:rsidP="001814AA">
      <w:pPr>
        <w:pStyle w:val="BodyText"/>
      </w:pPr>
    </w:p>
    <w:p w14:paraId="1AE58408" w14:textId="77777777" w:rsidR="00BB1401" w:rsidRPr="001814AA" w:rsidRDefault="00BB1401" w:rsidP="001814AA">
      <w:pPr>
        <w:pStyle w:val="BodyText"/>
      </w:pPr>
    </w:p>
    <w:p w14:paraId="09CBAA47" w14:textId="27E985E6" w:rsidR="00B26D47" w:rsidRPr="00BB1401" w:rsidRDefault="00000000" w:rsidP="00B26D47">
      <w:pPr>
        <w:pStyle w:val="FirstParagraph"/>
        <w:spacing w:after="200" w:line="276" w:lineRule="auto"/>
        <w:jc w:val="center"/>
        <w:rPr>
          <w:b/>
          <w:bCs/>
          <w:color w:val="464646"/>
          <w:sz w:val="36"/>
          <w:szCs w:val="36"/>
        </w:rPr>
      </w:pPr>
      <w:r w:rsidRPr="00BB1401">
        <w:rPr>
          <w:b/>
          <w:bCs/>
          <w:color w:val="464646"/>
          <w:sz w:val="36"/>
          <w:szCs w:val="36"/>
        </w:rPr>
        <w:t>LCLM5001</w:t>
      </w:r>
    </w:p>
    <w:p w14:paraId="5249FFB9" w14:textId="77777777" w:rsidR="001814AA" w:rsidRPr="00BB1401" w:rsidRDefault="00000000">
      <w:pPr>
        <w:pStyle w:val="FirstParagraph"/>
        <w:spacing w:after="200" w:line="276" w:lineRule="auto"/>
        <w:jc w:val="center"/>
        <w:rPr>
          <w:b/>
          <w:bCs/>
          <w:color w:val="464646"/>
          <w:sz w:val="36"/>
          <w:szCs w:val="36"/>
        </w:rPr>
      </w:pPr>
      <w:r w:rsidRPr="00BB1401">
        <w:rPr>
          <w:b/>
          <w:bCs/>
          <w:color w:val="464646"/>
          <w:sz w:val="36"/>
          <w:szCs w:val="36"/>
        </w:rPr>
        <w:t xml:space="preserve"> Academic Report</w:t>
      </w:r>
    </w:p>
    <w:p w14:paraId="7CFD1BE6" w14:textId="2133F0E9" w:rsidR="001814AA" w:rsidRPr="00BB1401" w:rsidRDefault="00000000">
      <w:pPr>
        <w:pStyle w:val="FirstParagraph"/>
        <w:spacing w:after="200" w:line="276" w:lineRule="auto"/>
        <w:jc w:val="center"/>
        <w:rPr>
          <w:b/>
          <w:bCs/>
          <w:color w:val="464646"/>
          <w:sz w:val="36"/>
          <w:szCs w:val="36"/>
        </w:rPr>
      </w:pPr>
      <w:r w:rsidRPr="00BB1401">
        <w:rPr>
          <w:b/>
          <w:bCs/>
          <w:color w:val="464646"/>
          <w:sz w:val="36"/>
          <w:szCs w:val="36"/>
        </w:rPr>
        <w:br/>
      </w:r>
      <w:r w:rsidR="00B26D47" w:rsidRPr="00BB1401">
        <w:rPr>
          <w:b/>
          <w:bCs/>
          <w:color w:val="464646"/>
          <w:sz w:val="36"/>
          <w:szCs w:val="36"/>
        </w:rPr>
        <w:t>Benjamin</w:t>
      </w:r>
      <w:r w:rsidR="001814AA" w:rsidRPr="00BB1401">
        <w:rPr>
          <w:b/>
          <w:bCs/>
          <w:color w:val="464646"/>
          <w:sz w:val="36"/>
          <w:szCs w:val="36"/>
        </w:rPr>
        <w:t xml:space="preserve"> Plesca</w:t>
      </w:r>
    </w:p>
    <w:p w14:paraId="51631A25" w14:textId="77777777" w:rsidR="00B94355" w:rsidRPr="00BB1401" w:rsidRDefault="001814AA">
      <w:pPr>
        <w:pStyle w:val="FirstParagraph"/>
        <w:spacing w:after="200" w:line="276" w:lineRule="auto"/>
        <w:jc w:val="center"/>
        <w:rPr>
          <w:b/>
          <w:bCs/>
          <w:color w:val="464646"/>
          <w:sz w:val="36"/>
          <w:szCs w:val="36"/>
        </w:rPr>
      </w:pPr>
      <w:r w:rsidRPr="00BB1401">
        <w:rPr>
          <w:b/>
          <w:bCs/>
          <w:color w:val="464646"/>
          <w:sz w:val="36"/>
          <w:szCs w:val="36"/>
        </w:rPr>
        <w:t>2439009</w:t>
      </w:r>
      <w:r w:rsidRPr="00BB1401">
        <w:rPr>
          <w:b/>
          <w:bCs/>
          <w:color w:val="464646"/>
          <w:sz w:val="36"/>
          <w:szCs w:val="36"/>
        </w:rPr>
        <w:br/>
      </w:r>
      <w:r w:rsidRPr="00BB1401">
        <w:rPr>
          <w:b/>
          <w:bCs/>
          <w:color w:val="464646"/>
          <w:sz w:val="36"/>
          <w:szCs w:val="36"/>
        </w:rPr>
        <w:br/>
        <w:t>20</w:t>
      </w:r>
      <w:r w:rsidR="00B26D47" w:rsidRPr="00BB1401">
        <w:rPr>
          <w:b/>
          <w:bCs/>
          <w:color w:val="464646"/>
          <w:sz w:val="36"/>
          <w:szCs w:val="36"/>
        </w:rPr>
        <w:t>/07/2026</w:t>
      </w:r>
    </w:p>
    <w:p w14:paraId="29915C08" w14:textId="4412374B" w:rsidR="00907FE7" w:rsidRPr="00BB1401" w:rsidRDefault="00B94355">
      <w:pPr>
        <w:pStyle w:val="FirstParagraph"/>
        <w:spacing w:after="200" w:line="276" w:lineRule="auto"/>
        <w:jc w:val="center"/>
        <w:rPr>
          <w:b/>
          <w:bCs/>
          <w:color w:val="464646"/>
          <w:sz w:val="36"/>
          <w:szCs w:val="36"/>
        </w:rPr>
      </w:pPr>
      <w:r w:rsidRPr="00BB1401">
        <w:rPr>
          <w:b/>
          <w:bCs/>
          <w:color w:val="464646"/>
          <w:sz w:val="36"/>
          <w:szCs w:val="36"/>
        </w:rPr>
        <w:t>Aso Abdullah</w:t>
      </w:r>
      <w:r w:rsidRPr="00BB1401">
        <w:rPr>
          <w:b/>
          <w:bCs/>
          <w:color w:val="464646"/>
          <w:sz w:val="36"/>
          <w:szCs w:val="36"/>
        </w:rPr>
        <w:br/>
      </w:r>
    </w:p>
    <w:p w14:paraId="7BBAFB9C" w14:textId="77777777" w:rsidR="00B26D47" w:rsidRDefault="00B26D47" w:rsidP="00B26D47">
      <w:pPr>
        <w:pStyle w:val="BodyText"/>
      </w:pPr>
    </w:p>
    <w:p w14:paraId="5208AA0A" w14:textId="77777777" w:rsidR="00B26D47" w:rsidRDefault="00B26D47" w:rsidP="00B26D47">
      <w:pPr>
        <w:pStyle w:val="BodyText"/>
      </w:pPr>
    </w:p>
    <w:p w14:paraId="4D4E6FC7" w14:textId="77777777" w:rsidR="00B26D47" w:rsidRDefault="00B26D47" w:rsidP="00B26D47">
      <w:pPr>
        <w:pStyle w:val="BodyText"/>
      </w:pPr>
    </w:p>
    <w:p w14:paraId="0C3D3B2B" w14:textId="77777777" w:rsidR="00B26D47" w:rsidRDefault="00B26D47" w:rsidP="00B26D47">
      <w:pPr>
        <w:pStyle w:val="BodyText"/>
      </w:pPr>
    </w:p>
    <w:p w14:paraId="7B50EC0C" w14:textId="77777777" w:rsidR="00B26D47" w:rsidRDefault="00B26D47" w:rsidP="00B26D47">
      <w:pPr>
        <w:pStyle w:val="BodyText"/>
      </w:pPr>
    </w:p>
    <w:p w14:paraId="4D09A453" w14:textId="77777777" w:rsidR="00B26D47" w:rsidRPr="00B26D47" w:rsidRDefault="00B26D47" w:rsidP="00B26D47">
      <w:pPr>
        <w:pStyle w:val="BodyText"/>
      </w:pPr>
    </w:p>
    <w:p w14:paraId="29915C09" w14:textId="77777777" w:rsidR="00907FE7" w:rsidRPr="000D1970" w:rsidRDefault="00000000">
      <w:pPr>
        <w:pStyle w:val="Heading2"/>
        <w:rPr>
          <w:rFonts w:ascii="Arial" w:hAnsi="Arial" w:cs="Arial"/>
          <w:color w:val="auto"/>
        </w:rPr>
      </w:pPr>
      <w:bookmarkStart w:id="1" w:name="executive-summary"/>
      <w:r w:rsidRPr="000D1970">
        <w:rPr>
          <w:rFonts w:ascii="Arial" w:hAnsi="Arial" w:cs="Arial"/>
          <w:color w:val="auto"/>
        </w:rPr>
        <w:lastRenderedPageBreak/>
        <w:t>Executive Summary</w:t>
      </w:r>
    </w:p>
    <w:p w14:paraId="29915C0A" w14:textId="77777777" w:rsidR="00907FE7" w:rsidRPr="000D1970" w:rsidRDefault="00000000">
      <w:pPr>
        <w:pStyle w:val="FirstParagraph"/>
        <w:spacing w:after="140"/>
        <w:rPr>
          <w:rFonts w:cs="Arial"/>
        </w:rPr>
      </w:pPr>
      <w:r w:rsidRPr="000D1970">
        <w:rPr>
          <w:rFonts w:cs="Arial"/>
        </w:rPr>
        <w:t>This report examines how Marks &amp; Spencer Group plc (M&amp;S) should identify, analyse and engage stakeholders when launching ConnectPlus. ConnectPlus is treated as the next stage of the Sparks loyalty programme. It combines artificial intelligence (AI) recommendations, mobile rewards and customer insight tools and will be introduced in selected markets within six months.</w:t>
      </w:r>
    </w:p>
    <w:p w14:paraId="29915C0B" w14:textId="77777777" w:rsidR="00907FE7" w:rsidRPr="000D1970" w:rsidRDefault="00000000">
      <w:pPr>
        <w:pStyle w:val="BodyText"/>
        <w:spacing w:after="140"/>
        <w:rPr>
          <w:rFonts w:cs="Arial"/>
        </w:rPr>
      </w:pPr>
      <w:r w:rsidRPr="000D1970">
        <w:rPr>
          <w:rFonts w:cs="Arial"/>
        </w:rPr>
        <w:t>The analysis uses stakeholder theory, the power–interest matrix and the stakeholder salience model. It identifies senior leaders, the project team, technology and data specialists, marketing, store colleagues, customer service, finance and the Data Protection Officer as important internal stakeholders. External stakeholders include customers, franchise and joint-venture partners, technology suppliers, regulators, shareholders, charities and local communities.</w:t>
      </w:r>
    </w:p>
    <w:p w14:paraId="29915C0C" w14:textId="77777777" w:rsidR="00907FE7" w:rsidRPr="000D1970" w:rsidRDefault="00000000">
      <w:pPr>
        <w:pStyle w:val="BodyText"/>
        <w:spacing w:after="140"/>
        <w:rPr>
          <w:rFonts w:cs="Arial"/>
        </w:rPr>
      </w:pPr>
      <w:r w:rsidRPr="000D1970">
        <w:rPr>
          <w:rFonts w:cs="Arial"/>
        </w:rPr>
        <w:t>The report finds that successful engagement requires more than frequent communication. M&amp;S must involve stakeholders at the right level, explain how their input affects decisions and adapt engagement to local cultures. A four-stage approach is recommended: identify and listen; analyse and prioritise; co-design and decide; and implement, monitor and learn. A RACI matrix, communication plan, customer pilots, local advisory groups and clear conflict procedures support this process.</w:t>
      </w:r>
    </w:p>
    <w:p w14:paraId="1EFBA7EB" w14:textId="4F44A8AC" w:rsidR="000D1970" w:rsidRDefault="00000000" w:rsidP="000D1970">
      <w:pPr>
        <w:pStyle w:val="BodyText"/>
        <w:spacing w:after="140"/>
        <w:rPr>
          <w:rFonts w:cs="Arial"/>
        </w:rPr>
      </w:pPr>
      <w:r w:rsidRPr="000D1970">
        <w:rPr>
          <w:rFonts w:cs="Arial"/>
        </w:rPr>
        <w:t xml:space="preserve">Sustainable </w:t>
      </w:r>
      <w:bookmarkStart w:id="2" w:name="X0f2677a2daa241e4b9e7adac200d84e70f7f371"/>
      <w:bookmarkEnd w:id="1"/>
      <w:r w:rsidR="00076346">
        <w:rPr>
          <w:rFonts w:cs="Arial"/>
        </w:rPr>
        <w:t>stakeholder engagement can help increase customer use, loyalty, innovation, employee support and the company</w:t>
      </w:r>
      <w:r w:rsidR="000240E0">
        <w:rPr>
          <w:rFonts w:cs="Arial"/>
        </w:rPr>
        <w:t xml:space="preserve">’s reputation. However, it can also be expensive and may create </w:t>
      </w:r>
      <w:r w:rsidR="00D66B21">
        <w:rPr>
          <w:rFonts w:cs="Arial"/>
        </w:rPr>
        <w:t>disagreements between personalizing services and protecti</w:t>
      </w:r>
      <w:r w:rsidR="0094335F">
        <w:rPr>
          <w:rFonts w:cs="Arial"/>
        </w:rPr>
        <w:t>ng customer privacy. Other concerns include AI bias, limited digital access, cybersecurity</w:t>
      </w:r>
      <w:r w:rsidR="006718FB">
        <w:rPr>
          <w:rFonts w:cs="Arial"/>
        </w:rPr>
        <w:t xml:space="preserve"> risks and asking stakeholders for feedback without acting on it</w:t>
      </w:r>
      <w:r w:rsidR="002A2DA1">
        <w:rPr>
          <w:rFonts w:cs="Arial"/>
        </w:rPr>
        <w:t>. Therefore, the report recommends protecting customer data from the beginning</w:t>
      </w:r>
      <w:r w:rsidR="008058A1">
        <w:rPr>
          <w:rFonts w:cs="Arial"/>
        </w:rPr>
        <w:t>, testing AI system for unfair results, launching the platform in stages and continuing to collect feedback after launch</w:t>
      </w:r>
      <w:r w:rsidR="009B04C6">
        <w:rPr>
          <w:rFonts w:cs="Arial"/>
        </w:rPr>
        <w:t>.</w:t>
      </w:r>
    </w:p>
    <w:p w14:paraId="29915C0E" w14:textId="38794292" w:rsidR="00907FE7" w:rsidRPr="000D1970" w:rsidRDefault="00000000" w:rsidP="000D1970">
      <w:pPr>
        <w:pStyle w:val="BodyText"/>
        <w:spacing w:after="140"/>
        <w:rPr>
          <w:rFonts w:cs="Arial"/>
          <w:b/>
          <w:bCs/>
          <w:sz w:val="32"/>
          <w:szCs w:val="32"/>
        </w:rPr>
      </w:pPr>
      <w:r w:rsidRPr="000D1970">
        <w:rPr>
          <w:rFonts w:cs="Arial"/>
        </w:rPr>
        <w:t xml:space="preserve"> </w:t>
      </w:r>
      <w:r w:rsidRPr="000D1970">
        <w:rPr>
          <w:rFonts w:cs="Arial"/>
          <w:b/>
          <w:bCs/>
          <w:sz w:val="32"/>
          <w:szCs w:val="32"/>
        </w:rPr>
        <w:t>Introduction: M&amp;S and the ConnectPlus Project</w:t>
      </w:r>
    </w:p>
    <w:p w14:paraId="29915C0F" w14:textId="77777777" w:rsidR="00907FE7" w:rsidRPr="000D1970" w:rsidRDefault="00000000">
      <w:pPr>
        <w:pStyle w:val="FirstParagraph"/>
        <w:spacing w:after="140"/>
        <w:rPr>
          <w:rFonts w:cs="Arial"/>
        </w:rPr>
      </w:pPr>
      <w:r w:rsidRPr="000D1970">
        <w:rPr>
          <w:rFonts w:cs="Arial"/>
        </w:rPr>
        <w:t>Marks &amp; Spencer Group plc is a major UK retailer selling food, fashion, home and beauty products through stores and digital channels. Its international business reaches more than 70 markets, has over 380 stores and works with more than ten business partners through different types of working arrangements (M&amp;S, 2026a). This mixture of company-owned operations, franchises, joint ventures and online markets makes stakeholder management important because M&amp;S cannot control every market in the same way.</w:t>
      </w:r>
    </w:p>
    <w:p w14:paraId="29915C10" w14:textId="77777777" w:rsidR="00907FE7" w:rsidRPr="000D1970" w:rsidRDefault="00000000">
      <w:pPr>
        <w:pStyle w:val="BodyText"/>
        <w:spacing w:after="140"/>
        <w:rPr>
          <w:rFonts w:cs="Arial"/>
        </w:rPr>
      </w:pPr>
      <w:r w:rsidRPr="000D1970">
        <w:rPr>
          <w:rFonts w:cs="Arial"/>
        </w:rPr>
        <w:t xml:space="preserve">M&amp;S already operates Sparks, its digital loyalty programme. Sparks was expanded to India and 25 online markets in 2022, using a central offer with personalised rewards (M&amp;S, 2022). In April 2026 M&amp;S announced a transformed Sparks programme with a digital wallet, money-based </w:t>
      </w:r>
      <w:r w:rsidRPr="000D1970">
        <w:rPr>
          <w:rFonts w:cs="Arial"/>
        </w:rPr>
        <w:lastRenderedPageBreak/>
        <w:t>rewards and greater use of machine learning and generative AI (M&amp;S, 2026b). In this report, ConnectPlus is a hypothetical next-generation platform that develops these capabilities into one international customer engagement system. It will provide personalised product recommendations, mobile rewards and dashboards that help managers understand customer behaviour.</w:t>
      </w:r>
    </w:p>
    <w:p w14:paraId="29915C11" w14:textId="77777777" w:rsidR="00907FE7" w:rsidRPr="000D1970" w:rsidRDefault="00000000">
      <w:pPr>
        <w:pStyle w:val="BodyText"/>
        <w:spacing w:after="140"/>
        <w:rPr>
          <w:rFonts w:cs="Arial"/>
        </w:rPr>
      </w:pPr>
      <w:r w:rsidRPr="000D1970">
        <w:rPr>
          <w:rFonts w:cs="Arial"/>
        </w:rPr>
        <w:t>ConnectPlus supports relationship marketing because it aims to create long-term value for both customers and the organisation rather than focusing only on individual transactions (Christopher, Payne and Ballantyne, 2013). However, its success depends on many groups. Customers must trust the use of their data; employees must understand the service; international partners must integrate local systems; and regulators must be satisfied that AI and personal information are used fairly.</w:t>
      </w:r>
    </w:p>
    <w:p w14:paraId="29915C12" w14:textId="77777777" w:rsidR="00907FE7" w:rsidRPr="000D1970" w:rsidRDefault="00000000">
      <w:pPr>
        <w:pStyle w:val="BodyText"/>
        <w:spacing w:after="140"/>
        <w:rPr>
          <w:rFonts w:cs="Arial"/>
        </w:rPr>
      </w:pPr>
      <w:r w:rsidRPr="000D1970">
        <w:rPr>
          <w:rFonts w:cs="Arial"/>
        </w:rPr>
        <w:t>This need is especially important following the major M&amp;S cyber incident that began in April 2025. M&amp;S reported £131.3 million of costs directly related to the incident in 2025/26, showing how technology failure can affect customers, operations, investors and reputation at the same time (M&amp;S, 2026c). Therefore, ConnectPlus should not be managed as only an IT project. It is an project that affects the whole organisation and its stakeholder relationships involving commercial, legal, ethical and cultural interests.</w:t>
      </w:r>
    </w:p>
    <w:p w14:paraId="519AFDC7" w14:textId="77777777" w:rsidR="000D1970" w:rsidRDefault="00000000" w:rsidP="000D1970">
      <w:pPr>
        <w:pStyle w:val="BodyText"/>
        <w:spacing w:after="140"/>
        <w:rPr>
          <w:rFonts w:cs="Arial"/>
        </w:rPr>
      </w:pPr>
      <w:r w:rsidRPr="000D1970">
        <w:rPr>
          <w:rFonts w:cs="Arial"/>
        </w:rPr>
        <w:t>The report identifies the main stakeholders, evaluates their roles and challenges, proposes an engagement and conflict-management process, and assesses how sustainable engagement may affect business performance.</w:t>
      </w:r>
      <w:bookmarkStart w:id="3" w:name="smart-objectives"/>
      <w:bookmarkEnd w:id="2"/>
    </w:p>
    <w:p w14:paraId="29915C14" w14:textId="753D7413" w:rsidR="00907FE7" w:rsidRPr="000D1970" w:rsidRDefault="00000000" w:rsidP="000D1970">
      <w:pPr>
        <w:pStyle w:val="BodyText"/>
        <w:spacing w:after="140"/>
        <w:rPr>
          <w:rFonts w:cs="Arial"/>
          <w:b/>
          <w:bCs/>
          <w:sz w:val="28"/>
          <w:szCs w:val="28"/>
        </w:rPr>
      </w:pPr>
      <w:r w:rsidRPr="000D1970">
        <w:rPr>
          <w:rFonts w:cs="Arial"/>
          <w:b/>
          <w:bCs/>
          <w:sz w:val="28"/>
          <w:szCs w:val="28"/>
        </w:rPr>
        <w:t>SMART Objectives</w:t>
      </w:r>
    </w:p>
    <w:p w14:paraId="29915C15" w14:textId="77777777" w:rsidR="00907FE7" w:rsidRPr="000D1970" w:rsidRDefault="00000000">
      <w:pPr>
        <w:pStyle w:val="Compact"/>
        <w:numPr>
          <w:ilvl w:val="0"/>
          <w:numId w:val="2"/>
        </w:numPr>
        <w:rPr>
          <w:rFonts w:cs="Arial"/>
        </w:rPr>
      </w:pPr>
      <w:r w:rsidRPr="000D1970">
        <w:rPr>
          <w:rFonts w:cs="Arial"/>
        </w:rPr>
        <w:t>Identify and categorise all major ConnectPlus stakeholders within the first four weeks, with owners recorded in a stakeholder register.</w:t>
      </w:r>
    </w:p>
    <w:p w14:paraId="29915C16" w14:textId="77777777" w:rsidR="00907FE7" w:rsidRPr="000D1970" w:rsidRDefault="00000000">
      <w:pPr>
        <w:pStyle w:val="Compact"/>
        <w:numPr>
          <w:ilvl w:val="0"/>
          <w:numId w:val="2"/>
        </w:numPr>
        <w:rPr>
          <w:rFonts w:cs="Arial"/>
        </w:rPr>
      </w:pPr>
      <w:r w:rsidRPr="000D1970">
        <w:rPr>
          <w:rFonts w:cs="Arial"/>
        </w:rPr>
        <w:t>Approve a communication, engagement and RACI plan by the end of month two, with at least 90% of high-power stakeholders confirming their roles.</w:t>
      </w:r>
    </w:p>
    <w:p w14:paraId="29915C17" w14:textId="77777777" w:rsidR="00907FE7" w:rsidRPr="000D1970" w:rsidRDefault="00000000">
      <w:pPr>
        <w:pStyle w:val="Compact"/>
        <w:numPr>
          <w:ilvl w:val="0"/>
          <w:numId w:val="2"/>
        </w:numPr>
        <w:rPr>
          <w:rFonts w:cs="Arial"/>
        </w:rPr>
      </w:pPr>
      <w:r w:rsidRPr="000D1970">
        <w:rPr>
          <w:rFonts w:cs="Arial"/>
        </w:rPr>
        <w:t>Complete customer and employee pilots in at least three culturally different markets by the end of month four, achieving at least 75% satisfaction and resolving all critical privacy, accessibility and security issues before launch.</w:t>
      </w:r>
    </w:p>
    <w:p w14:paraId="29915C18" w14:textId="77777777" w:rsidR="00907FE7" w:rsidRPr="000D1970" w:rsidRDefault="00000000">
      <w:pPr>
        <w:pStyle w:val="Compact"/>
        <w:numPr>
          <w:ilvl w:val="0"/>
          <w:numId w:val="2"/>
        </w:numPr>
        <w:rPr>
          <w:rFonts w:cs="Arial"/>
        </w:rPr>
      </w:pPr>
      <w:r w:rsidRPr="000D1970">
        <w:rPr>
          <w:rFonts w:cs="Arial"/>
        </w:rPr>
        <w:t>Within six months after launch, achieve 30% adoption among eligible Sparks members in pilot markets and improve active-member purchase frequency by 5%, while recording no unresolved high-severity data-protection breaches.</w:t>
      </w:r>
    </w:p>
    <w:p w14:paraId="123858AD" w14:textId="60754B56" w:rsidR="000D1970" w:rsidRPr="000D1970" w:rsidRDefault="00000000" w:rsidP="000D1970">
      <w:pPr>
        <w:pStyle w:val="Heading2"/>
        <w:rPr>
          <w:rFonts w:ascii="Arial" w:hAnsi="Arial" w:cs="Arial"/>
          <w:color w:val="auto"/>
        </w:rPr>
      </w:pPr>
      <w:bookmarkStart w:id="4" w:name="X7241e815c8f18adf7e3e1cf251e04f143f40650"/>
      <w:bookmarkEnd w:id="3"/>
      <w:r w:rsidRPr="000D1970">
        <w:rPr>
          <w:rFonts w:ascii="Arial" w:hAnsi="Arial" w:cs="Arial"/>
          <w:color w:val="auto"/>
        </w:rPr>
        <w:lastRenderedPageBreak/>
        <w:t xml:space="preserve"> Identification and </w:t>
      </w:r>
      <w:r w:rsidR="000D1970" w:rsidRPr="000D1970">
        <w:rPr>
          <w:rFonts w:ascii="Arial" w:hAnsi="Arial" w:cs="Arial"/>
          <w:color w:val="auto"/>
        </w:rPr>
        <w:t>Categorization</w:t>
      </w:r>
      <w:r w:rsidRPr="000D1970">
        <w:rPr>
          <w:rFonts w:ascii="Arial" w:hAnsi="Arial" w:cs="Arial"/>
          <w:color w:val="auto"/>
        </w:rPr>
        <w:t xml:space="preserve"> of Stakeholders</w:t>
      </w:r>
      <w:bookmarkStart w:id="5" w:name="theoretical-basis"/>
    </w:p>
    <w:p w14:paraId="29915C1A" w14:textId="413B1243" w:rsidR="00907FE7" w:rsidRPr="000D1970" w:rsidRDefault="00000000" w:rsidP="000D1970">
      <w:pPr>
        <w:pStyle w:val="Heading2"/>
        <w:rPr>
          <w:rFonts w:ascii="Arial" w:hAnsi="Arial" w:cs="Arial"/>
          <w:color w:val="auto"/>
        </w:rPr>
      </w:pPr>
      <w:r w:rsidRPr="000D1970">
        <w:rPr>
          <w:rFonts w:ascii="Arial" w:hAnsi="Arial" w:cs="Arial"/>
          <w:color w:val="auto"/>
          <w:sz w:val="24"/>
          <w:szCs w:val="24"/>
        </w:rPr>
        <w:t>Theoretical basis</w:t>
      </w:r>
    </w:p>
    <w:p w14:paraId="29915C1B" w14:textId="77777777" w:rsidR="00907FE7" w:rsidRPr="000D1970" w:rsidRDefault="00000000">
      <w:pPr>
        <w:pStyle w:val="FirstParagraph"/>
        <w:spacing w:after="140"/>
        <w:rPr>
          <w:rFonts w:cs="Arial"/>
        </w:rPr>
      </w:pPr>
      <w:r w:rsidRPr="000D1970">
        <w:rPr>
          <w:rFonts w:cs="Arial"/>
        </w:rPr>
        <w:t>Freeman (1984) defines stakeholders as groups or individuals who can affect, or are affected by, the achievement of organisational objectives. This definition is appropriate for ConnectPlus because the platform affects groups beyond shareholders. Customers provide data, employees deliver the service, partners operate international stores, suppliers provide technology and regulators protect public interests.</w:t>
      </w:r>
    </w:p>
    <w:p w14:paraId="15243BBC" w14:textId="77777777" w:rsidR="000D1970" w:rsidRPr="000D1970" w:rsidRDefault="00000000" w:rsidP="000D1970">
      <w:pPr>
        <w:pStyle w:val="BodyText"/>
        <w:spacing w:after="140"/>
        <w:rPr>
          <w:rFonts w:cs="Arial"/>
        </w:rPr>
      </w:pPr>
      <w:r w:rsidRPr="000D1970">
        <w:rPr>
          <w:rFonts w:cs="Arial"/>
        </w:rPr>
        <w:t>Two frameworks are used to avoid treating every stakeholder in the same way. First, the power–interest matrix places stakeholders according to their ability to influence the project and their level of interest (Mendelow, 1991). Second, the Stakeholder Salience Model considers stakeholder power, whether their concerns are valid and how urgently they need attention (Mitchell, Agle and Wood, 1997). The matrix is simple and useful for planning communication, while the model also helps M&amp;S recognise important or urgent concerns. For example, customers may have limited formal power individually, but their concerns are valid, and they can become more influential when they act together through complaints, social media or refusal to adopt the platform.</w:t>
      </w:r>
      <w:bookmarkStart w:id="6" w:name="internal-stakeholders"/>
      <w:bookmarkEnd w:id="5"/>
    </w:p>
    <w:p w14:paraId="29915C1D" w14:textId="7BA57270" w:rsidR="00907FE7" w:rsidRPr="000D1970" w:rsidRDefault="00000000" w:rsidP="000D1970">
      <w:pPr>
        <w:pStyle w:val="BodyText"/>
        <w:spacing w:after="140"/>
        <w:rPr>
          <w:rFonts w:cs="Arial"/>
          <w:sz w:val="24"/>
        </w:rPr>
      </w:pPr>
      <w:r w:rsidRPr="000D1970">
        <w:rPr>
          <w:rFonts w:cs="Arial"/>
        </w:rPr>
        <w:t xml:space="preserve"> </w:t>
      </w:r>
      <w:r w:rsidRPr="000D1970">
        <w:rPr>
          <w:rFonts w:cs="Arial"/>
          <w:b/>
          <w:bCs/>
          <w:sz w:val="24"/>
        </w:rPr>
        <w:t>Internal stakeholders</w:t>
      </w:r>
    </w:p>
    <w:p w14:paraId="29915C1E" w14:textId="77777777" w:rsidR="00907FE7" w:rsidRPr="000D1970" w:rsidRDefault="00000000">
      <w:pPr>
        <w:pStyle w:val="FirstParagraph"/>
        <w:spacing w:after="140"/>
        <w:rPr>
          <w:rFonts w:cs="Arial"/>
        </w:rPr>
      </w:pPr>
      <w:r w:rsidRPr="000D1970">
        <w:rPr>
          <w:rFonts w:cs="Arial"/>
          <w:b/>
          <w:bCs/>
        </w:rPr>
        <w:t>Board, Chief Executive and executive sponsors.</w:t>
      </w:r>
      <w:r w:rsidRPr="000D1970">
        <w:rPr>
          <w:rFonts w:cs="Arial"/>
        </w:rPr>
        <w:t xml:space="preserve"> These stakeholders have high power and high interest because they approve funding, the level of risk the company is willing to accept, market scope and launch decisions. They should be managed closely. Their focus includes strategic growth, return on investment, brand risk and responsibility for following the law.</w:t>
      </w:r>
    </w:p>
    <w:p w14:paraId="29915C1F" w14:textId="77777777" w:rsidR="00907FE7" w:rsidRPr="000D1970" w:rsidRDefault="00000000">
      <w:pPr>
        <w:pStyle w:val="BodyText"/>
        <w:spacing w:after="140"/>
        <w:rPr>
          <w:rFonts w:cs="Arial"/>
        </w:rPr>
      </w:pPr>
      <w:r w:rsidRPr="000D1970">
        <w:rPr>
          <w:rFonts w:cs="Arial"/>
          <w:b/>
          <w:bCs/>
        </w:rPr>
        <w:t>Product, technology, data and cybersecurity teams.</w:t>
      </w:r>
      <w:r w:rsidRPr="000D1970">
        <w:rPr>
          <w:rFonts w:cs="Arial"/>
        </w:rPr>
        <w:t xml:space="preserve"> These teams design the app, integrations, AI models, data architecture and security controls. They have considerable influence because of their specialist knowledge. The cyber incident makes their concerns urgent as well as legitimate. They should be managed closely and involved in all major design decisions.</w:t>
      </w:r>
    </w:p>
    <w:p w14:paraId="29915C20" w14:textId="77777777" w:rsidR="00907FE7" w:rsidRPr="000D1970" w:rsidRDefault="00000000">
      <w:pPr>
        <w:pStyle w:val="BodyText"/>
        <w:spacing w:after="140"/>
        <w:rPr>
          <w:rFonts w:cs="Arial"/>
        </w:rPr>
      </w:pPr>
      <w:r w:rsidRPr="000D1970">
        <w:rPr>
          <w:rFonts w:cs="Arial"/>
          <w:b/>
          <w:bCs/>
        </w:rPr>
        <w:t>Marketing, digital commerce and customer insight teams.</w:t>
      </w:r>
      <w:r w:rsidRPr="000D1970">
        <w:rPr>
          <w:rFonts w:cs="Arial"/>
        </w:rPr>
        <w:t xml:space="preserve"> These teams develop the proposition, communications, reward design and personalisation rules. They have high interest and strong influence over customer adoption. Their desire for detailed data may conflict with privacy and data-minimisation requirements.</w:t>
      </w:r>
    </w:p>
    <w:p w14:paraId="29915C21" w14:textId="77777777" w:rsidR="00907FE7" w:rsidRPr="000D1970" w:rsidRDefault="00000000">
      <w:pPr>
        <w:pStyle w:val="BodyText"/>
        <w:spacing w:after="140"/>
        <w:rPr>
          <w:rFonts w:cs="Arial"/>
        </w:rPr>
      </w:pPr>
      <w:r w:rsidRPr="000D1970">
        <w:rPr>
          <w:rFonts w:cs="Arial"/>
          <w:b/>
          <w:bCs/>
        </w:rPr>
        <w:t>Data Protection Officer (DPO), legal, risk and compliance teams.</w:t>
      </w:r>
      <w:r w:rsidRPr="000D1970">
        <w:rPr>
          <w:rFonts w:cs="Arial"/>
        </w:rPr>
        <w:t xml:space="preserve"> These stakeholders interpret UK GDPR and the requirements of international markets. They can stop or reshape unsafe processing, making them high power and high interest. The Information Commissioner’s </w:t>
      </w:r>
      <w:r w:rsidRPr="000D1970">
        <w:rPr>
          <w:rFonts w:cs="Arial"/>
        </w:rPr>
        <w:lastRenderedPageBreak/>
        <w:t>Office (ICO, 2023a) advises that a Data Protection Impact Assessment (DPIA) is an important way to show that the company takes responsibility for how its AI system uses personal data.</w:t>
      </w:r>
    </w:p>
    <w:p w14:paraId="29915C22" w14:textId="77777777" w:rsidR="00907FE7" w:rsidRPr="000D1970" w:rsidRDefault="00000000">
      <w:pPr>
        <w:pStyle w:val="BodyText"/>
        <w:spacing w:after="140"/>
        <w:rPr>
          <w:rFonts w:cs="Arial"/>
        </w:rPr>
      </w:pPr>
      <w:r w:rsidRPr="000D1970">
        <w:rPr>
          <w:rFonts w:cs="Arial"/>
          <w:b/>
          <w:bCs/>
        </w:rPr>
        <w:t>Store colleagues and managers.</w:t>
      </w:r>
      <w:r w:rsidRPr="000D1970">
        <w:rPr>
          <w:rFonts w:cs="Arial"/>
        </w:rPr>
        <w:t xml:space="preserve"> Frontline employees explain rewards, solve customer problems and observe barriers that designers may miss. Senior leaders have more formal power, but store colleagues are important to the practical launch because customer adoption depends on their daily actions. They should be kept informed and actively consulted through pilots and training.</w:t>
      </w:r>
    </w:p>
    <w:p w14:paraId="75F19F26" w14:textId="77777777" w:rsidR="000D1970" w:rsidRDefault="00000000" w:rsidP="000D1970">
      <w:pPr>
        <w:pStyle w:val="BodyText"/>
        <w:spacing w:after="140"/>
        <w:rPr>
          <w:rFonts w:cs="Arial"/>
        </w:rPr>
      </w:pPr>
      <w:r w:rsidRPr="000D1970">
        <w:rPr>
          <w:rFonts w:cs="Arial"/>
          <w:b/>
          <w:bCs/>
        </w:rPr>
        <w:t>Customer service teams.</w:t>
      </w:r>
      <w:r w:rsidRPr="000D1970">
        <w:rPr>
          <w:rFonts w:cs="Arial"/>
        </w:rPr>
        <w:t xml:space="preserve"> These teams manage questions, complaints, access requests and reward disputes. Their feedback can identify recurring problems quickly. They have medium organisational power </w:t>
      </w:r>
      <w:proofErr w:type="gramStart"/>
      <w:r w:rsidRPr="000D1970">
        <w:rPr>
          <w:rFonts w:cs="Arial"/>
        </w:rPr>
        <w:t>but</w:t>
      </w:r>
      <w:proofErr w:type="gramEnd"/>
      <w:r w:rsidRPr="000D1970">
        <w:rPr>
          <w:rFonts w:cs="Arial"/>
        </w:rPr>
        <w:t xml:space="preserve"> high interest before and after launch.</w:t>
      </w:r>
      <w:bookmarkStart w:id="7" w:name="external-stakeholders"/>
      <w:bookmarkEnd w:id="6"/>
    </w:p>
    <w:p w14:paraId="29915C24" w14:textId="446BC858" w:rsidR="00907FE7" w:rsidRPr="000D1970" w:rsidRDefault="00000000" w:rsidP="000D1970">
      <w:pPr>
        <w:pStyle w:val="BodyText"/>
        <w:spacing w:after="140"/>
        <w:rPr>
          <w:rFonts w:cs="Arial"/>
          <w:b/>
          <w:bCs/>
          <w:sz w:val="24"/>
        </w:rPr>
      </w:pPr>
      <w:r w:rsidRPr="000D1970">
        <w:rPr>
          <w:rFonts w:cs="Arial"/>
        </w:rPr>
        <w:t xml:space="preserve"> </w:t>
      </w:r>
      <w:r w:rsidRPr="000D1970">
        <w:rPr>
          <w:rFonts w:cs="Arial"/>
          <w:b/>
          <w:bCs/>
          <w:sz w:val="24"/>
        </w:rPr>
        <w:t>External stakeholders</w:t>
      </w:r>
    </w:p>
    <w:p w14:paraId="29915C25" w14:textId="77777777" w:rsidR="00907FE7" w:rsidRPr="000D1970" w:rsidRDefault="00000000">
      <w:pPr>
        <w:pStyle w:val="FirstParagraph"/>
        <w:spacing w:after="140"/>
        <w:rPr>
          <w:rFonts w:cs="Arial"/>
        </w:rPr>
      </w:pPr>
      <w:r w:rsidRPr="000D1970">
        <w:rPr>
          <w:rFonts w:cs="Arial"/>
          <w:b/>
          <w:bCs/>
        </w:rPr>
        <w:t>Customers and potential customers.</w:t>
      </w:r>
      <w:r w:rsidRPr="000D1970">
        <w:rPr>
          <w:rFonts w:cs="Arial"/>
        </w:rPr>
        <w:t xml:space="preserve"> Customers are the main users, and their personal information will be processed by the platform. Their adoption determines whether the platform creates value. They have a strong interest and valid concerns, although each customer has limited direct influence over the project. Vulnerable, older, disabled and digitally excluded customers require specific attention because a mobile-first platform may disadvantage them.</w:t>
      </w:r>
    </w:p>
    <w:p w14:paraId="29915C26" w14:textId="77777777" w:rsidR="00907FE7" w:rsidRPr="000D1970" w:rsidRDefault="00000000">
      <w:pPr>
        <w:pStyle w:val="BodyText"/>
        <w:spacing w:after="140"/>
        <w:rPr>
          <w:rFonts w:cs="Arial"/>
        </w:rPr>
      </w:pPr>
      <w:r w:rsidRPr="000D1970">
        <w:rPr>
          <w:rFonts w:cs="Arial"/>
          <w:b/>
          <w:bCs/>
        </w:rPr>
        <w:t>International franchisees, joint ventures and marketplace partners.</w:t>
      </w:r>
      <w:r w:rsidRPr="000D1970">
        <w:rPr>
          <w:rFonts w:cs="Arial"/>
        </w:rPr>
        <w:t xml:space="preserve"> M&amp;S relies on strategic partners to deliver its brand in many markets. These organisations control local stores, staff, customer relationships and sometimes technology. They therefore have high power and high interest. Their market knowledge is valuable, but differences in systems, priorities and legal responsibilities can create complexity. M&amp;S’s 2026 Philippine franchise agreement illustrates its strategy of using local partners’ expertise and infrastructure (M&amp;S, 2026d).</w:t>
      </w:r>
    </w:p>
    <w:p w14:paraId="29915C27" w14:textId="77777777" w:rsidR="00907FE7" w:rsidRPr="000D1970" w:rsidRDefault="00000000">
      <w:pPr>
        <w:pStyle w:val="BodyText"/>
        <w:spacing w:after="140"/>
        <w:rPr>
          <w:rFonts w:cs="Arial"/>
        </w:rPr>
      </w:pPr>
      <w:r w:rsidRPr="000D1970">
        <w:rPr>
          <w:rFonts w:cs="Arial"/>
          <w:b/>
          <w:bCs/>
        </w:rPr>
        <w:t>Technology, cloud, payment, analytics and AI suppliers.</w:t>
      </w:r>
      <w:r w:rsidRPr="000D1970">
        <w:rPr>
          <w:rFonts w:cs="Arial"/>
        </w:rPr>
        <w:t xml:space="preserve"> Suppliers may process customer data and provide essential infrastructure. They possess technical power and can create dependency. Contract terms, service levels, data location, model transparency, cybersecurity and exit arrangements must be examined rather than assuming supplier interests match those of M&amp;S.</w:t>
      </w:r>
    </w:p>
    <w:p w14:paraId="29915C28" w14:textId="77777777" w:rsidR="00907FE7" w:rsidRPr="000D1970" w:rsidRDefault="00000000">
      <w:pPr>
        <w:pStyle w:val="BodyText"/>
        <w:spacing w:after="140"/>
        <w:rPr>
          <w:rFonts w:cs="Arial"/>
        </w:rPr>
      </w:pPr>
      <w:r w:rsidRPr="000D1970">
        <w:rPr>
          <w:rFonts w:cs="Arial"/>
          <w:b/>
          <w:bCs/>
        </w:rPr>
        <w:t>Regulators and public authorities.</w:t>
      </w:r>
      <w:r w:rsidRPr="000D1970">
        <w:rPr>
          <w:rFonts w:cs="Arial"/>
        </w:rPr>
        <w:t xml:space="preserve"> The ICO and overseas data-protection, consumer and competition authorities have high power, legitimacy and possible urgency. They may investigate, require corrective action or issue penalties. Their interest may rise quickly after a breach or complaint, so they should be kept satisfied and consulted early on difficult legal questions.</w:t>
      </w:r>
    </w:p>
    <w:p w14:paraId="29915C29" w14:textId="77777777" w:rsidR="00907FE7" w:rsidRPr="000D1970" w:rsidRDefault="00000000">
      <w:pPr>
        <w:pStyle w:val="BodyText"/>
        <w:spacing w:after="140"/>
        <w:rPr>
          <w:rFonts w:cs="Arial"/>
        </w:rPr>
      </w:pPr>
      <w:r w:rsidRPr="000D1970">
        <w:rPr>
          <w:rFonts w:cs="Arial"/>
          <w:b/>
          <w:bCs/>
        </w:rPr>
        <w:t>Charities, consumer organisations and local communities.</w:t>
      </w:r>
      <w:r w:rsidRPr="000D1970">
        <w:rPr>
          <w:rFonts w:cs="Arial"/>
        </w:rPr>
        <w:t xml:space="preserve"> Sparks has a history of linking loyalty participation with charitable support. These groups may have limited formal power, but </w:t>
      </w:r>
      <w:r w:rsidRPr="000D1970">
        <w:rPr>
          <w:rFonts w:cs="Arial"/>
        </w:rPr>
        <w:lastRenderedPageBreak/>
        <w:t>their concerns are still important and valid. Consumer and accessibility groups can help identify exclusion, unclear consent and unfair outcomes before launch.</w:t>
      </w:r>
    </w:p>
    <w:p w14:paraId="29915C2A" w14:textId="73295159" w:rsidR="00907FE7" w:rsidRPr="000D1970" w:rsidRDefault="00000000">
      <w:pPr>
        <w:pStyle w:val="Heading3"/>
        <w:rPr>
          <w:rFonts w:ascii="Arial" w:hAnsi="Arial" w:cs="Arial"/>
          <w:color w:val="auto"/>
        </w:rPr>
      </w:pPr>
      <w:bookmarkStart w:id="8" w:name="powerinterest-and-salience-assessment"/>
      <w:bookmarkEnd w:id="7"/>
      <w:r w:rsidRPr="000D1970">
        <w:rPr>
          <w:rFonts w:ascii="Arial" w:hAnsi="Arial" w:cs="Arial"/>
          <w:color w:val="auto"/>
        </w:rPr>
        <w:t>Power–interest and salience assessment</w:t>
      </w:r>
    </w:p>
    <w:tbl>
      <w:tblPr>
        <w:tblStyle w:val="Table"/>
        <w:tblW w:w="5000" w:type="pct"/>
        <w:jc w:val="center"/>
        <w:tblLook w:val="0020" w:firstRow="1" w:lastRow="0" w:firstColumn="0" w:lastColumn="0" w:noHBand="0" w:noVBand="0"/>
      </w:tblPr>
      <w:tblGrid>
        <w:gridCol w:w="2655"/>
        <w:gridCol w:w="3983"/>
        <w:gridCol w:w="2859"/>
      </w:tblGrid>
      <w:tr w:rsidR="00907FE7" w:rsidRPr="000D1970" w14:paraId="29915C2E" w14:textId="77777777" w:rsidTr="00907FE7">
        <w:trPr>
          <w:cnfStyle w:val="100000000000" w:firstRow="1" w:lastRow="0" w:firstColumn="0" w:lastColumn="0" w:oddVBand="0" w:evenVBand="0" w:oddHBand="0" w:evenHBand="0" w:firstRowFirstColumn="0" w:firstRowLastColumn="0" w:lastRowFirstColumn="0" w:lastRowLastColumn="0"/>
          <w:tblHeader/>
          <w:jc w:val="center"/>
        </w:trPr>
        <w:tc>
          <w:tcPr>
            <w:tcW w:w="0" w:type="auto"/>
            <w:shd w:val="clear" w:color="auto" w:fill="D9E8E1"/>
            <w:tcMar>
              <w:top w:w="90" w:type="dxa"/>
              <w:left w:w="90" w:type="dxa"/>
              <w:bottom w:w="90" w:type="dxa"/>
              <w:right w:w="90" w:type="dxa"/>
            </w:tcMar>
            <w:vAlign w:val="center"/>
          </w:tcPr>
          <w:p w14:paraId="29915C2B" w14:textId="77777777" w:rsidR="00907FE7" w:rsidRPr="000D1970" w:rsidRDefault="00000000">
            <w:pPr>
              <w:pStyle w:val="Compact"/>
              <w:spacing w:after="40" w:line="276" w:lineRule="auto"/>
              <w:jc w:val="left"/>
              <w:rPr>
                <w:rFonts w:cs="Arial"/>
              </w:rPr>
            </w:pPr>
            <w:r w:rsidRPr="000D1970">
              <w:rPr>
                <w:rFonts w:cs="Arial"/>
                <w:b/>
                <w:sz w:val="18"/>
              </w:rPr>
              <w:t>Engagement category</w:t>
            </w:r>
          </w:p>
        </w:tc>
        <w:tc>
          <w:tcPr>
            <w:tcW w:w="0" w:type="auto"/>
            <w:shd w:val="clear" w:color="auto" w:fill="D9E8E1"/>
            <w:tcMar>
              <w:top w:w="90" w:type="dxa"/>
              <w:left w:w="90" w:type="dxa"/>
              <w:bottom w:w="90" w:type="dxa"/>
              <w:right w:w="90" w:type="dxa"/>
            </w:tcMar>
            <w:vAlign w:val="center"/>
          </w:tcPr>
          <w:p w14:paraId="29915C2C" w14:textId="77777777" w:rsidR="00907FE7" w:rsidRPr="000D1970" w:rsidRDefault="00000000">
            <w:pPr>
              <w:pStyle w:val="Compact"/>
              <w:spacing w:after="40" w:line="276" w:lineRule="auto"/>
              <w:jc w:val="left"/>
              <w:rPr>
                <w:rFonts w:cs="Arial"/>
              </w:rPr>
            </w:pPr>
            <w:r w:rsidRPr="000D1970">
              <w:rPr>
                <w:rFonts w:cs="Arial"/>
                <w:b/>
                <w:sz w:val="18"/>
              </w:rPr>
              <w:t>ConnectPlus stakeholders</w:t>
            </w:r>
          </w:p>
        </w:tc>
        <w:tc>
          <w:tcPr>
            <w:tcW w:w="0" w:type="auto"/>
            <w:shd w:val="clear" w:color="auto" w:fill="D9E8E1"/>
            <w:tcMar>
              <w:top w:w="90" w:type="dxa"/>
              <w:left w:w="90" w:type="dxa"/>
              <w:bottom w:w="90" w:type="dxa"/>
              <w:right w:w="90" w:type="dxa"/>
            </w:tcMar>
            <w:vAlign w:val="center"/>
          </w:tcPr>
          <w:p w14:paraId="29915C2D" w14:textId="77777777" w:rsidR="00907FE7" w:rsidRPr="000D1970" w:rsidRDefault="00000000">
            <w:pPr>
              <w:pStyle w:val="Compact"/>
              <w:spacing w:after="40" w:line="276" w:lineRule="auto"/>
              <w:jc w:val="left"/>
              <w:rPr>
                <w:rFonts w:cs="Arial"/>
              </w:rPr>
            </w:pPr>
            <w:r w:rsidRPr="000D1970">
              <w:rPr>
                <w:rFonts w:cs="Arial"/>
                <w:b/>
                <w:sz w:val="18"/>
              </w:rPr>
              <w:t>Main approach</w:t>
            </w:r>
          </w:p>
        </w:tc>
      </w:tr>
      <w:tr w:rsidR="00907FE7" w:rsidRPr="000D1970" w14:paraId="29915C32" w14:textId="77777777" w:rsidTr="00907FE7">
        <w:trPr>
          <w:jc w:val="center"/>
        </w:trPr>
        <w:tc>
          <w:tcPr>
            <w:tcW w:w="0" w:type="auto"/>
            <w:tcMar>
              <w:top w:w="90" w:type="dxa"/>
              <w:left w:w="90" w:type="dxa"/>
              <w:bottom w:w="90" w:type="dxa"/>
              <w:right w:w="90" w:type="dxa"/>
            </w:tcMar>
            <w:vAlign w:val="center"/>
          </w:tcPr>
          <w:p w14:paraId="29915C2F" w14:textId="77777777" w:rsidR="00907FE7" w:rsidRPr="000D1970" w:rsidRDefault="00000000">
            <w:pPr>
              <w:pStyle w:val="Compact"/>
              <w:spacing w:after="40" w:line="276" w:lineRule="auto"/>
              <w:jc w:val="left"/>
              <w:rPr>
                <w:rFonts w:cs="Arial"/>
              </w:rPr>
            </w:pPr>
            <w:r w:rsidRPr="000D1970">
              <w:rPr>
                <w:rFonts w:cs="Arial"/>
                <w:sz w:val="18"/>
              </w:rPr>
              <w:t>Manage closely: high power/high interest</w:t>
            </w:r>
          </w:p>
        </w:tc>
        <w:tc>
          <w:tcPr>
            <w:tcW w:w="0" w:type="auto"/>
            <w:tcMar>
              <w:top w:w="90" w:type="dxa"/>
              <w:left w:w="90" w:type="dxa"/>
              <w:bottom w:w="90" w:type="dxa"/>
              <w:right w:w="90" w:type="dxa"/>
            </w:tcMar>
            <w:vAlign w:val="center"/>
          </w:tcPr>
          <w:p w14:paraId="29915C30" w14:textId="77777777" w:rsidR="00907FE7" w:rsidRPr="000D1970" w:rsidRDefault="00000000">
            <w:pPr>
              <w:pStyle w:val="Compact"/>
              <w:spacing w:after="40" w:line="276" w:lineRule="auto"/>
              <w:jc w:val="left"/>
              <w:rPr>
                <w:rFonts w:cs="Arial"/>
              </w:rPr>
            </w:pPr>
            <w:r w:rsidRPr="000D1970">
              <w:rPr>
                <w:rFonts w:cs="Arial"/>
                <w:sz w:val="18"/>
              </w:rPr>
              <w:t>Executive sponsor, project manager, technology leadership, DPO, key franchise partners</w:t>
            </w:r>
          </w:p>
        </w:tc>
        <w:tc>
          <w:tcPr>
            <w:tcW w:w="0" w:type="auto"/>
            <w:tcMar>
              <w:top w:w="90" w:type="dxa"/>
              <w:left w:w="90" w:type="dxa"/>
              <w:bottom w:w="90" w:type="dxa"/>
              <w:right w:w="90" w:type="dxa"/>
            </w:tcMar>
            <w:vAlign w:val="center"/>
          </w:tcPr>
          <w:p w14:paraId="29915C31" w14:textId="77777777" w:rsidR="00907FE7" w:rsidRPr="000D1970" w:rsidRDefault="00000000">
            <w:pPr>
              <w:pStyle w:val="Compact"/>
              <w:spacing w:after="40" w:line="276" w:lineRule="auto"/>
              <w:jc w:val="left"/>
              <w:rPr>
                <w:rFonts w:cs="Arial"/>
              </w:rPr>
            </w:pPr>
            <w:r w:rsidRPr="000D1970">
              <w:rPr>
                <w:rFonts w:cs="Arial"/>
                <w:sz w:val="18"/>
              </w:rPr>
              <w:t>Shared decision-making, regular meetings and risk reviews</w:t>
            </w:r>
          </w:p>
        </w:tc>
      </w:tr>
      <w:tr w:rsidR="00907FE7" w:rsidRPr="000D1970" w14:paraId="29915C36" w14:textId="77777777" w:rsidTr="00907FE7">
        <w:trPr>
          <w:jc w:val="center"/>
        </w:trPr>
        <w:tc>
          <w:tcPr>
            <w:tcW w:w="0" w:type="auto"/>
            <w:tcMar>
              <w:top w:w="90" w:type="dxa"/>
              <w:left w:w="90" w:type="dxa"/>
              <w:bottom w:w="90" w:type="dxa"/>
              <w:right w:w="90" w:type="dxa"/>
            </w:tcMar>
            <w:vAlign w:val="center"/>
          </w:tcPr>
          <w:p w14:paraId="29915C33" w14:textId="77777777" w:rsidR="00907FE7" w:rsidRPr="000D1970" w:rsidRDefault="00000000">
            <w:pPr>
              <w:pStyle w:val="Compact"/>
              <w:spacing w:after="40" w:line="276" w:lineRule="auto"/>
              <w:jc w:val="left"/>
              <w:rPr>
                <w:rFonts w:cs="Arial"/>
              </w:rPr>
            </w:pPr>
            <w:r w:rsidRPr="000D1970">
              <w:rPr>
                <w:rFonts w:cs="Arial"/>
                <w:sz w:val="18"/>
              </w:rPr>
              <w:t>Keep satisfied: high power/lower operational interest</w:t>
            </w:r>
          </w:p>
        </w:tc>
        <w:tc>
          <w:tcPr>
            <w:tcW w:w="0" w:type="auto"/>
            <w:tcMar>
              <w:top w:w="90" w:type="dxa"/>
              <w:left w:w="90" w:type="dxa"/>
              <w:bottom w:w="90" w:type="dxa"/>
              <w:right w:w="90" w:type="dxa"/>
            </w:tcMar>
            <w:vAlign w:val="center"/>
          </w:tcPr>
          <w:p w14:paraId="29915C34" w14:textId="77777777" w:rsidR="00907FE7" w:rsidRPr="000D1970" w:rsidRDefault="00000000">
            <w:pPr>
              <w:pStyle w:val="Compact"/>
              <w:spacing w:after="40" w:line="276" w:lineRule="auto"/>
              <w:jc w:val="left"/>
              <w:rPr>
                <w:rFonts w:cs="Arial"/>
              </w:rPr>
            </w:pPr>
            <w:r w:rsidRPr="000D1970">
              <w:rPr>
                <w:rFonts w:cs="Arial"/>
                <w:sz w:val="18"/>
              </w:rPr>
              <w:t>Board, investors, finance, procurement, major regulators</w:t>
            </w:r>
          </w:p>
        </w:tc>
        <w:tc>
          <w:tcPr>
            <w:tcW w:w="0" w:type="auto"/>
            <w:tcMar>
              <w:top w:w="90" w:type="dxa"/>
              <w:left w:w="90" w:type="dxa"/>
              <w:bottom w:w="90" w:type="dxa"/>
              <w:right w:w="90" w:type="dxa"/>
            </w:tcMar>
            <w:vAlign w:val="center"/>
          </w:tcPr>
          <w:p w14:paraId="29915C35" w14:textId="77777777" w:rsidR="00907FE7" w:rsidRPr="000D1970" w:rsidRDefault="00000000">
            <w:pPr>
              <w:pStyle w:val="Compact"/>
              <w:spacing w:after="40" w:line="276" w:lineRule="auto"/>
              <w:jc w:val="left"/>
              <w:rPr>
                <w:rFonts w:cs="Arial"/>
              </w:rPr>
            </w:pPr>
            <w:r w:rsidRPr="000D1970">
              <w:rPr>
                <w:rFonts w:cs="Arial"/>
                <w:sz w:val="18"/>
              </w:rPr>
              <w:t>Concise assurance, milestones, benefits and exceptions</w:t>
            </w:r>
          </w:p>
        </w:tc>
      </w:tr>
      <w:tr w:rsidR="00907FE7" w:rsidRPr="000D1970" w14:paraId="29915C3A" w14:textId="77777777" w:rsidTr="00907FE7">
        <w:trPr>
          <w:jc w:val="center"/>
        </w:trPr>
        <w:tc>
          <w:tcPr>
            <w:tcW w:w="0" w:type="auto"/>
            <w:tcMar>
              <w:top w:w="90" w:type="dxa"/>
              <w:left w:w="90" w:type="dxa"/>
              <w:bottom w:w="90" w:type="dxa"/>
              <w:right w:w="90" w:type="dxa"/>
            </w:tcMar>
            <w:vAlign w:val="center"/>
          </w:tcPr>
          <w:p w14:paraId="29915C37" w14:textId="77777777" w:rsidR="00907FE7" w:rsidRPr="000D1970" w:rsidRDefault="00000000">
            <w:pPr>
              <w:pStyle w:val="Compact"/>
              <w:spacing w:after="40" w:line="276" w:lineRule="auto"/>
              <w:jc w:val="left"/>
              <w:rPr>
                <w:rFonts w:cs="Arial"/>
              </w:rPr>
            </w:pPr>
            <w:r w:rsidRPr="000D1970">
              <w:rPr>
                <w:rFonts w:cs="Arial"/>
                <w:sz w:val="18"/>
              </w:rPr>
              <w:t>Keep informed: lower power/high interest</w:t>
            </w:r>
          </w:p>
        </w:tc>
        <w:tc>
          <w:tcPr>
            <w:tcW w:w="0" w:type="auto"/>
            <w:tcMar>
              <w:top w:w="90" w:type="dxa"/>
              <w:left w:w="90" w:type="dxa"/>
              <w:bottom w:w="90" w:type="dxa"/>
              <w:right w:w="90" w:type="dxa"/>
            </w:tcMar>
            <w:vAlign w:val="center"/>
          </w:tcPr>
          <w:p w14:paraId="29915C38" w14:textId="77777777" w:rsidR="00907FE7" w:rsidRPr="000D1970" w:rsidRDefault="00000000">
            <w:pPr>
              <w:pStyle w:val="Compact"/>
              <w:spacing w:after="40" w:line="276" w:lineRule="auto"/>
              <w:jc w:val="left"/>
              <w:rPr>
                <w:rFonts w:cs="Arial"/>
              </w:rPr>
            </w:pPr>
            <w:r w:rsidRPr="000D1970">
              <w:rPr>
                <w:rFonts w:cs="Arial"/>
                <w:sz w:val="18"/>
              </w:rPr>
              <w:t>Customers, store colleagues, customer service, charities and consumer groups</w:t>
            </w:r>
          </w:p>
        </w:tc>
        <w:tc>
          <w:tcPr>
            <w:tcW w:w="0" w:type="auto"/>
            <w:tcMar>
              <w:top w:w="90" w:type="dxa"/>
              <w:left w:w="90" w:type="dxa"/>
              <w:bottom w:w="90" w:type="dxa"/>
              <w:right w:w="90" w:type="dxa"/>
            </w:tcMar>
            <w:vAlign w:val="center"/>
          </w:tcPr>
          <w:p w14:paraId="29915C39" w14:textId="77777777" w:rsidR="00907FE7" w:rsidRPr="000D1970" w:rsidRDefault="00000000">
            <w:pPr>
              <w:pStyle w:val="Compact"/>
              <w:spacing w:after="40" w:line="276" w:lineRule="auto"/>
              <w:jc w:val="left"/>
              <w:rPr>
                <w:rFonts w:cs="Arial"/>
              </w:rPr>
            </w:pPr>
            <w:r w:rsidRPr="000D1970">
              <w:rPr>
                <w:rFonts w:cs="Arial"/>
                <w:sz w:val="18"/>
              </w:rPr>
              <w:t>Two-way consultation, pilots, training and feedback closure</w:t>
            </w:r>
          </w:p>
        </w:tc>
      </w:tr>
      <w:tr w:rsidR="00907FE7" w:rsidRPr="000D1970" w14:paraId="29915C3E" w14:textId="77777777" w:rsidTr="00907FE7">
        <w:trPr>
          <w:jc w:val="center"/>
        </w:trPr>
        <w:tc>
          <w:tcPr>
            <w:tcW w:w="0" w:type="auto"/>
            <w:tcMar>
              <w:top w:w="90" w:type="dxa"/>
              <w:left w:w="90" w:type="dxa"/>
              <w:bottom w:w="90" w:type="dxa"/>
              <w:right w:w="90" w:type="dxa"/>
            </w:tcMar>
            <w:vAlign w:val="center"/>
          </w:tcPr>
          <w:p w14:paraId="29915C3B" w14:textId="77777777" w:rsidR="00907FE7" w:rsidRPr="000D1970" w:rsidRDefault="00000000">
            <w:pPr>
              <w:pStyle w:val="Compact"/>
              <w:spacing w:after="40" w:line="276" w:lineRule="auto"/>
              <w:jc w:val="left"/>
              <w:rPr>
                <w:rFonts w:cs="Arial"/>
              </w:rPr>
            </w:pPr>
            <w:r w:rsidRPr="000D1970">
              <w:rPr>
                <w:rFonts w:cs="Arial"/>
                <w:sz w:val="18"/>
              </w:rPr>
              <w:t>Monitor: lower power/lower interest</w:t>
            </w:r>
          </w:p>
        </w:tc>
        <w:tc>
          <w:tcPr>
            <w:tcW w:w="0" w:type="auto"/>
            <w:tcMar>
              <w:top w:w="90" w:type="dxa"/>
              <w:left w:w="90" w:type="dxa"/>
              <w:bottom w:w="90" w:type="dxa"/>
              <w:right w:w="90" w:type="dxa"/>
            </w:tcMar>
            <w:vAlign w:val="center"/>
          </w:tcPr>
          <w:p w14:paraId="29915C3C" w14:textId="77777777" w:rsidR="00907FE7" w:rsidRPr="000D1970" w:rsidRDefault="00000000">
            <w:pPr>
              <w:pStyle w:val="Compact"/>
              <w:spacing w:after="40" w:line="276" w:lineRule="auto"/>
              <w:jc w:val="left"/>
              <w:rPr>
                <w:rFonts w:cs="Arial"/>
              </w:rPr>
            </w:pPr>
            <w:r w:rsidRPr="000D1970">
              <w:rPr>
                <w:rFonts w:cs="Arial"/>
                <w:sz w:val="18"/>
              </w:rPr>
              <w:t>Wider public, non-participating suppliers and communities outside pilot markets</w:t>
            </w:r>
          </w:p>
        </w:tc>
        <w:tc>
          <w:tcPr>
            <w:tcW w:w="0" w:type="auto"/>
            <w:tcMar>
              <w:top w:w="90" w:type="dxa"/>
              <w:left w:w="90" w:type="dxa"/>
              <w:bottom w:w="90" w:type="dxa"/>
              <w:right w:w="90" w:type="dxa"/>
            </w:tcMar>
            <w:vAlign w:val="center"/>
          </w:tcPr>
          <w:p w14:paraId="29915C3D" w14:textId="77777777" w:rsidR="00907FE7" w:rsidRPr="000D1970" w:rsidRDefault="00000000">
            <w:pPr>
              <w:pStyle w:val="Compact"/>
              <w:spacing w:after="40" w:line="276" w:lineRule="auto"/>
              <w:jc w:val="left"/>
              <w:rPr>
                <w:rFonts w:cs="Arial"/>
              </w:rPr>
            </w:pPr>
            <w:r w:rsidRPr="000D1970">
              <w:rPr>
                <w:rFonts w:cs="Arial"/>
                <w:sz w:val="18"/>
              </w:rPr>
              <w:t>Public updates and periodic review for changes in interest</w:t>
            </w:r>
          </w:p>
        </w:tc>
      </w:tr>
    </w:tbl>
    <w:p w14:paraId="534EFB1A" w14:textId="77777777" w:rsidR="000D1970" w:rsidRDefault="00000000" w:rsidP="000D1970">
      <w:pPr>
        <w:pStyle w:val="BodyText"/>
        <w:spacing w:after="140"/>
        <w:rPr>
          <w:rFonts w:cs="Arial"/>
        </w:rPr>
      </w:pPr>
      <w:r w:rsidRPr="000D1970">
        <w:rPr>
          <w:rFonts w:cs="Arial"/>
        </w:rPr>
        <w:t>The categories are not permanent. A customer group affected by biased recommendations may move from “keep informed” to a key stakeholder with valid, urgent concerns and greater influence. Similarly, a technology supplier becomes more powerful if M&amp;S cannot easily replace its platform. The project manager should therefore review the map monthly and after major incidents. Rowley (1997) argues that organisations deal with connected stakeholder groups rather than managing each group separately. This means M&amp;S must consider connections between regulators, customers, partners, media and investors, particularly when one problem can spread rapidly across the network.</w:t>
      </w:r>
      <w:bookmarkStart w:id="9" w:name="Xbaaf94e92682c144488c83570f1e327facdd8ae"/>
      <w:bookmarkEnd w:id="4"/>
      <w:bookmarkEnd w:id="8"/>
    </w:p>
    <w:p w14:paraId="29915C40" w14:textId="180A042D" w:rsidR="00907FE7" w:rsidRPr="000D1970" w:rsidRDefault="00000000" w:rsidP="000D1970">
      <w:pPr>
        <w:pStyle w:val="BodyText"/>
        <w:spacing w:after="140"/>
        <w:rPr>
          <w:rFonts w:cs="Arial"/>
          <w:b/>
          <w:bCs/>
          <w:sz w:val="32"/>
          <w:szCs w:val="32"/>
        </w:rPr>
      </w:pPr>
      <w:r w:rsidRPr="000D1970">
        <w:rPr>
          <w:rFonts w:cs="Arial"/>
          <w:b/>
          <w:bCs/>
          <w:color w:val="000000" w:themeColor="text1"/>
          <w:sz w:val="32"/>
          <w:szCs w:val="32"/>
        </w:rPr>
        <w:t>Roles, Benefits and Challenges of Key Stakeholders</w:t>
      </w:r>
    </w:p>
    <w:p w14:paraId="29915C41" w14:textId="77777777" w:rsidR="00907FE7" w:rsidRPr="000D1970" w:rsidRDefault="00000000">
      <w:pPr>
        <w:pStyle w:val="FirstParagraph"/>
        <w:spacing w:after="140"/>
        <w:rPr>
          <w:rFonts w:cs="Arial"/>
        </w:rPr>
      </w:pPr>
      <w:r w:rsidRPr="000D1970">
        <w:rPr>
          <w:rFonts w:cs="Arial"/>
        </w:rPr>
        <w:t>Senior leaders provide strategic direction, resources and visible sponsorship. Their support can speed decisions and show that ConnectPlus is important. The challenge is that leaders may prioritise the six-month deadline or financial return over whether the technology is fully prepared. The project manager must give them balanced evidence rather than only positive progress reports.</w:t>
      </w:r>
    </w:p>
    <w:p w14:paraId="29915C42" w14:textId="77777777" w:rsidR="00907FE7" w:rsidRPr="000D1970" w:rsidRDefault="00000000">
      <w:pPr>
        <w:pStyle w:val="BodyText"/>
        <w:spacing w:after="140"/>
        <w:rPr>
          <w:rFonts w:cs="Arial"/>
        </w:rPr>
      </w:pPr>
      <w:r w:rsidRPr="000D1970">
        <w:rPr>
          <w:rFonts w:cs="Arial"/>
        </w:rPr>
        <w:t>Technology, product and data teams convert business needs into a reliable platform. Their benefits include innovation, technical knowledge and measurable customer insights. However, legacy systems, data quality, cybersecurity and pressure to deliver quickly may create conflict. AI models may also be difficult for non-technical stakeholders to understand.</w:t>
      </w:r>
    </w:p>
    <w:p w14:paraId="29915C43" w14:textId="77777777" w:rsidR="00907FE7" w:rsidRPr="000D1970" w:rsidRDefault="00000000">
      <w:pPr>
        <w:pStyle w:val="BodyText"/>
        <w:spacing w:after="140"/>
        <w:rPr>
          <w:rFonts w:cs="Arial"/>
        </w:rPr>
      </w:pPr>
      <w:r w:rsidRPr="000D1970">
        <w:rPr>
          <w:rFonts w:cs="Arial"/>
        </w:rPr>
        <w:t xml:space="preserve">Marketing and customer insight teams bring knowledge of customer segments, brand communication and reward preferences. They can increase adoption through relevant offers. The main challenge is balancing personalisation with the customer’s freedom to make their own </w:t>
      </w:r>
      <w:r w:rsidRPr="000D1970">
        <w:rPr>
          <w:rFonts w:cs="Arial"/>
        </w:rPr>
        <w:lastRenderedPageBreak/>
        <w:t>choices. Collecting more data may improve predictions, but it also increases privacy and breach risks.</w:t>
      </w:r>
    </w:p>
    <w:p w14:paraId="29915C44" w14:textId="77777777" w:rsidR="00907FE7" w:rsidRPr="000D1970" w:rsidRDefault="00000000">
      <w:pPr>
        <w:pStyle w:val="BodyText"/>
        <w:spacing w:after="140"/>
        <w:rPr>
          <w:rFonts w:cs="Arial"/>
        </w:rPr>
      </w:pPr>
      <w:r w:rsidRPr="000D1970">
        <w:rPr>
          <w:rFonts w:cs="Arial"/>
        </w:rPr>
        <w:t>The DPO, legal and compliance teams reduce legal and ethical risk. They help establish using customer information legally, understandable privacy information, rules about how long information is stored and agreements with companies that process it. They may be wrongly viewed as barriers when they challenge commercial ideas. In reality, early involvement prevents expensive redesign and strengthens trust.</w:t>
      </w:r>
    </w:p>
    <w:p w14:paraId="29915C45" w14:textId="77777777" w:rsidR="00907FE7" w:rsidRPr="000D1970" w:rsidRDefault="00000000">
      <w:pPr>
        <w:pStyle w:val="BodyText"/>
        <w:spacing w:after="140"/>
        <w:rPr>
          <w:rFonts w:cs="Arial"/>
        </w:rPr>
      </w:pPr>
      <w:r w:rsidRPr="000D1970">
        <w:rPr>
          <w:rFonts w:cs="Arial"/>
        </w:rPr>
        <w:t>Store colleagues and customer service employees bring practical knowledge and direct access to customers. Their support can improve training, resolve issues and make the service feel human. Challenges include limited time, change fatigue and inconsistent digital confidence. If employees are informed only shortly before launch, they may resist the system or communicate it incorrectly.</w:t>
      </w:r>
    </w:p>
    <w:p w14:paraId="29915C46" w14:textId="77777777" w:rsidR="00907FE7" w:rsidRPr="000D1970" w:rsidRDefault="00000000">
      <w:pPr>
        <w:pStyle w:val="BodyText"/>
        <w:spacing w:after="140"/>
        <w:rPr>
          <w:rFonts w:cs="Arial"/>
        </w:rPr>
      </w:pPr>
      <w:r w:rsidRPr="000D1970">
        <w:rPr>
          <w:rFonts w:cs="Arial"/>
        </w:rPr>
        <w:t>Customers contribute behavioural insight, testing feedback and adoption. Co-design can make rewards more useful and privacy choices clearer. Nevertheless, customers are diverse. Heavy users, occasional users and people without smartphones may want different things. Feedback from only digitally confident customers would produce a biased design.</w:t>
      </w:r>
    </w:p>
    <w:p w14:paraId="29915C47" w14:textId="77777777" w:rsidR="00907FE7" w:rsidRPr="000D1970" w:rsidRDefault="00000000">
      <w:pPr>
        <w:pStyle w:val="BodyText"/>
        <w:spacing w:after="140"/>
        <w:rPr>
          <w:rFonts w:cs="Arial"/>
        </w:rPr>
      </w:pPr>
      <w:r w:rsidRPr="000D1970">
        <w:rPr>
          <w:rFonts w:cs="Arial"/>
        </w:rPr>
        <w:t>International partners provide local language, cultural, operational and regulatory knowledge. Their infrastructure allows faster market entry. Challenges include different priorities, different levels of technical capability and disagreement over customer-data ownership. Clear responsibilities and decision-making procedures are required because M&amp;S’s global brand can be harmed by a partner’s local failure.</w:t>
      </w:r>
    </w:p>
    <w:p w14:paraId="000E285B" w14:textId="77777777" w:rsidR="000D1970" w:rsidRDefault="00000000" w:rsidP="000D1970">
      <w:pPr>
        <w:pStyle w:val="BodyText"/>
        <w:spacing w:after="140"/>
        <w:rPr>
          <w:rFonts w:cs="Arial"/>
        </w:rPr>
      </w:pPr>
      <w:r w:rsidRPr="000D1970">
        <w:rPr>
          <w:rFonts w:cs="Arial"/>
        </w:rPr>
        <w:t>Technology suppliers provide specialist capability and scale. The challenge is supplier lock-in, unclear AI models and shared cyber risk. M&amp;S must define responsibility for controlling and processing customer data, audit rights, incident duties and exit plans. The benefits of each stakeholder therefore depend on the quality of the relationship, not simply on having them listed. Ashcroft (2017) argues that relationship quality, including trust and mutual understanding, is a management asset.</w:t>
      </w:r>
      <w:bookmarkStart w:id="10" w:name="Xc47c56e12b29639fdc381838530a4e33648e31e"/>
      <w:bookmarkEnd w:id="9"/>
    </w:p>
    <w:p w14:paraId="490B8F08" w14:textId="77777777" w:rsidR="000D1970" w:rsidRDefault="00000000" w:rsidP="000D1970">
      <w:pPr>
        <w:pStyle w:val="BodyText"/>
        <w:spacing w:after="140"/>
        <w:rPr>
          <w:rFonts w:cs="Arial"/>
          <w:b/>
          <w:bCs/>
          <w:color w:val="000000" w:themeColor="text1"/>
          <w:sz w:val="32"/>
          <w:szCs w:val="32"/>
        </w:rPr>
      </w:pPr>
      <w:r w:rsidRPr="000D1970">
        <w:rPr>
          <w:rFonts w:cs="Arial"/>
          <w:b/>
          <w:bCs/>
          <w:color w:val="000000" w:themeColor="text1"/>
          <w:sz w:val="32"/>
          <w:szCs w:val="32"/>
        </w:rPr>
        <w:t>Stakeholder Engagement and Conflict Management</w:t>
      </w:r>
      <w:bookmarkStart w:id="11" w:name="engagement-principles"/>
    </w:p>
    <w:p w14:paraId="29915C4A" w14:textId="765C2BDC" w:rsidR="00907FE7" w:rsidRPr="000D1970" w:rsidRDefault="00000000" w:rsidP="000D1970">
      <w:pPr>
        <w:pStyle w:val="BodyText"/>
        <w:spacing w:after="140"/>
        <w:rPr>
          <w:rFonts w:cs="Arial"/>
          <w:b/>
          <w:bCs/>
          <w:sz w:val="32"/>
          <w:szCs w:val="32"/>
        </w:rPr>
      </w:pPr>
      <w:r w:rsidRPr="000D1970">
        <w:rPr>
          <w:rFonts w:cs="Arial"/>
          <w:b/>
          <w:bCs/>
          <w:color w:val="000000" w:themeColor="text1"/>
        </w:rPr>
        <w:t>Engagement principles</w:t>
      </w:r>
    </w:p>
    <w:p w14:paraId="29915C4B" w14:textId="77777777" w:rsidR="00907FE7" w:rsidRPr="000D1970" w:rsidRDefault="00000000">
      <w:pPr>
        <w:pStyle w:val="FirstParagraph"/>
        <w:spacing w:after="140"/>
        <w:rPr>
          <w:rFonts w:cs="Arial"/>
        </w:rPr>
      </w:pPr>
      <w:r w:rsidRPr="000D1970">
        <w:rPr>
          <w:rFonts w:cs="Arial"/>
        </w:rPr>
        <w:t xml:space="preserve">The engagement process should be open to different groups, focused on important issues, responsive to feedback and supported by clear responsibility. Greenwood (2007) warns that stakeholder engagement is not automatically ethical; organisations can consult stakeholders while still manipulating them or ignoring their views. M&amp;S should therefore state what decisions </w:t>
      </w:r>
      <w:r w:rsidRPr="000D1970">
        <w:rPr>
          <w:rFonts w:cs="Arial"/>
        </w:rPr>
        <w:lastRenderedPageBreak/>
        <w:t>stakeholders can influence, publish the main themes heard and explain why suggestions are accepted or rejected.</w:t>
      </w:r>
    </w:p>
    <w:p w14:paraId="29915C4C" w14:textId="77777777" w:rsidR="00907FE7" w:rsidRPr="000D1970" w:rsidRDefault="00000000">
      <w:pPr>
        <w:pStyle w:val="BodyText"/>
        <w:spacing w:after="140"/>
        <w:rPr>
          <w:rFonts w:cs="Arial"/>
        </w:rPr>
      </w:pPr>
      <w:r w:rsidRPr="000D1970">
        <w:rPr>
          <w:rFonts w:cs="Arial"/>
        </w:rPr>
        <w:t xml:space="preserve">The 4Cs provide a simple structure. </w:t>
      </w:r>
      <w:r w:rsidRPr="000D1970">
        <w:rPr>
          <w:rFonts w:cs="Arial"/>
          <w:b/>
          <w:bCs/>
        </w:rPr>
        <w:t>Communication</w:t>
      </w:r>
      <w:r w:rsidRPr="000D1970">
        <w:rPr>
          <w:rFonts w:cs="Arial"/>
        </w:rPr>
        <w:t xml:space="preserve"> gives accurate and timely information. </w:t>
      </w:r>
      <w:r w:rsidRPr="000D1970">
        <w:rPr>
          <w:rFonts w:cs="Arial"/>
          <w:b/>
          <w:bCs/>
        </w:rPr>
        <w:t>Consultation</w:t>
      </w:r>
      <w:r w:rsidRPr="000D1970">
        <w:rPr>
          <w:rFonts w:cs="Arial"/>
        </w:rPr>
        <w:t xml:space="preserve"> gathers views before decisions are fixed. </w:t>
      </w:r>
      <w:r w:rsidRPr="000D1970">
        <w:rPr>
          <w:rFonts w:cs="Arial"/>
          <w:b/>
          <w:bCs/>
        </w:rPr>
        <w:t>Collaboration</w:t>
      </w:r>
      <w:r w:rsidRPr="000D1970">
        <w:rPr>
          <w:rFonts w:cs="Arial"/>
        </w:rPr>
        <w:t xml:space="preserve"> enables stakeholders to design and solve problems together. </w:t>
      </w:r>
      <w:r w:rsidRPr="000D1970">
        <w:rPr>
          <w:rFonts w:cs="Arial"/>
          <w:b/>
          <w:bCs/>
        </w:rPr>
        <w:t>Commitment</w:t>
      </w:r>
      <w:r w:rsidRPr="000D1970">
        <w:rPr>
          <w:rFonts w:cs="Arial"/>
        </w:rPr>
        <w:t xml:space="preserve"> means leaders provide resources and act on agreed outcomes. Communication alone is not engagement. For example, emailing employees about a completed platform informs them but does not use their experience.</w:t>
      </w:r>
    </w:p>
    <w:p w14:paraId="2BAD8CBF" w14:textId="77777777" w:rsidR="000D1970" w:rsidRDefault="00000000" w:rsidP="000D1970">
      <w:pPr>
        <w:pStyle w:val="BodyText"/>
        <w:spacing w:after="140"/>
        <w:rPr>
          <w:rFonts w:cs="Arial"/>
        </w:rPr>
      </w:pPr>
      <w:r w:rsidRPr="000D1970">
        <w:rPr>
          <w:rFonts w:cs="Arial"/>
        </w:rPr>
        <w:t>Engagement should also reflect culture. Hofstede (2001) suggests national cultures differ in areas such as power distance, individualism and uncertainty avoidance. Although cultural differences should not be applied automatically to every person in a country, they remind the project manager that one method may not work everywhere. Employees in a high-power-distance setting may be less willing to criticise a manager during an open meeting. Anonymous surveys or local facilitators may produce more honest feedback. Customers in different markets may also respond differently to data sharing, reward types and promotional language. Local testing is therefore necessary, while core privacy and fairness standards remain consistent.</w:t>
      </w:r>
      <w:bookmarkStart w:id="12" w:name="four-stage-engagement-process"/>
      <w:bookmarkEnd w:id="11"/>
    </w:p>
    <w:p w14:paraId="29915C4E" w14:textId="48B39024" w:rsidR="00907FE7" w:rsidRPr="000D1970" w:rsidRDefault="00000000" w:rsidP="000D1970">
      <w:pPr>
        <w:pStyle w:val="BodyText"/>
        <w:spacing w:after="140"/>
        <w:rPr>
          <w:rFonts w:cs="Arial"/>
          <w:b/>
          <w:bCs/>
          <w:sz w:val="24"/>
        </w:rPr>
      </w:pPr>
      <w:r w:rsidRPr="000D1970">
        <w:rPr>
          <w:rFonts w:cs="Arial"/>
        </w:rPr>
        <w:t xml:space="preserve"> </w:t>
      </w:r>
      <w:r w:rsidRPr="000D1970">
        <w:rPr>
          <w:rFonts w:cs="Arial"/>
          <w:b/>
          <w:bCs/>
          <w:sz w:val="24"/>
        </w:rPr>
        <w:t>Four-stage engagement process</w:t>
      </w:r>
    </w:p>
    <w:p w14:paraId="29915C4F" w14:textId="77777777" w:rsidR="00907FE7" w:rsidRPr="000D1970" w:rsidRDefault="00000000">
      <w:pPr>
        <w:pStyle w:val="FirstParagraph"/>
        <w:spacing w:after="140"/>
        <w:rPr>
          <w:rFonts w:cs="Arial"/>
        </w:rPr>
      </w:pPr>
      <w:r w:rsidRPr="000D1970">
        <w:rPr>
          <w:rFonts w:cs="Arial"/>
          <w:b/>
          <w:bCs/>
        </w:rPr>
        <w:t>Stage 1: Identify and listen (weeks 1–4).</w:t>
      </w:r>
      <w:r w:rsidRPr="000D1970">
        <w:rPr>
          <w:rFonts w:cs="Arial"/>
        </w:rPr>
        <w:t xml:space="preserve"> The project manager creates a stakeholder register recording interests, influence, expectations, risks, preferred channels, culture, accessibility and relationship owner. Interviews are held with leaders, the DPO, technology teams and international partners. Customer research includes surveys, focus groups and interviews across age, disability, income and digital-confidence groups. Existing complaints and Sparks feedback should also be analysed.</w:t>
      </w:r>
    </w:p>
    <w:p w14:paraId="29915C50" w14:textId="77777777" w:rsidR="00907FE7" w:rsidRPr="000D1970" w:rsidRDefault="00000000">
      <w:pPr>
        <w:pStyle w:val="BodyText"/>
        <w:spacing w:after="140"/>
        <w:rPr>
          <w:rFonts w:cs="Arial"/>
        </w:rPr>
      </w:pPr>
      <w:r w:rsidRPr="000D1970">
        <w:rPr>
          <w:rFonts w:cs="Arial"/>
        </w:rPr>
        <w:t>During this stage, the project manager will separate the most important issues from less important preferences. Likely material issues include privacy, reward value, accessibility, data accuracy, cyber resilience, partner integration and employee workload. Listening early reduces the risk of designing the wrong service, but the research must include different types of customers rather than based only on the easiest users to reach.</w:t>
      </w:r>
    </w:p>
    <w:p w14:paraId="29915C51" w14:textId="77777777" w:rsidR="00907FE7" w:rsidRPr="000D1970" w:rsidRDefault="00000000">
      <w:pPr>
        <w:pStyle w:val="BodyText"/>
        <w:spacing w:after="140"/>
        <w:rPr>
          <w:rFonts w:cs="Arial"/>
        </w:rPr>
      </w:pPr>
      <w:r w:rsidRPr="000D1970">
        <w:rPr>
          <w:rFonts w:cs="Arial"/>
          <w:b/>
          <w:bCs/>
        </w:rPr>
        <w:t>Stage 2: Analyse and prioritise (weeks 3–6).</w:t>
      </w:r>
      <w:r w:rsidRPr="000D1970">
        <w:rPr>
          <w:rFonts w:cs="Arial"/>
        </w:rPr>
        <w:t xml:space="preserve"> Stakeholders are placed on the power–interest matrix and assessed for power, legitimacy and urgency. A diagram showing how stakeholders influence the project and one another is used to show important relationships. Engagement objectives are then set for each group. For example, the objective for the DPO is evidence of lawful and fair design; for customers it is trust and usability; and for franchise partners it is a realistic plan for connecting the platform with local systems and operations.</w:t>
      </w:r>
    </w:p>
    <w:p w14:paraId="29915C52" w14:textId="77777777" w:rsidR="00907FE7" w:rsidRPr="000D1970" w:rsidRDefault="00000000">
      <w:pPr>
        <w:pStyle w:val="BodyText"/>
        <w:spacing w:after="140"/>
        <w:rPr>
          <w:rFonts w:cs="Arial"/>
        </w:rPr>
      </w:pPr>
      <w:r w:rsidRPr="000D1970">
        <w:rPr>
          <w:rFonts w:cs="Arial"/>
        </w:rPr>
        <w:lastRenderedPageBreak/>
        <w:t>The project team completes a DPIA, AI fairness assessment, cybersecurity threat assessment and accessibility review. The ICO (2023b) states that the fairness of the AI should be checked throughout its development and use, including problem definition, the information and indirect measures used by the AI to make recommendations. Therefore, testing only the final recommendations is insufficient. M&amp;S must examine whether training data under-represent some groups or whether purchasing history creates unfair assumptions.</w:t>
      </w:r>
    </w:p>
    <w:p w14:paraId="29915C53" w14:textId="77777777" w:rsidR="00907FE7" w:rsidRPr="000D1970" w:rsidRDefault="00000000">
      <w:pPr>
        <w:pStyle w:val="BodyText"/>
        <w:spacing w:after="140"/>
        <w:rPr>
          <w:rFonts w:cs="Arial"/>
        </w:rPr>
      </w:pPr>
      <w:r w:rsidRPr="000D1970">
        <w:rPr>
          <w:rFonts w:cs="Arial"/>
          <w:b/>
          <w:bCs/>
        </w:rPr>
        <w:t>Stage 3: Co-design and decide (weeks 6–16).</w:t>
      </w:r>
      <w:r w:rsidRPr="000D1970">
        <w:rPr>
          <w:rFonts w:cs="Arial"/>
        </w:rPr>
        <w:t xml:space="preserve"> Cross-functional workshops bring together product, marketing, technology, legal, operations and local partners. Customer panels test prototypes, privacy notices, reward rules and explanations for recommendations. Store colleagues test typical service situations. At least three culturally different pilot markets should be used before wider deployment.</w:t>
      </w:r>
    </w:p>
    <w:p w14:paraId="29915C54" w14:textId="77777777" w:rsidR="00907FE7" w:rsidRPr="000D1970" w:rsidRDefault="00000000">
      <w:pPr>
        <w:pStyle w:val="BodyText"/>
        <w:spacing w:after="140"/>
        <w:rPr>
          <w:rFonts w:cs="Arial"/>
        </w:rPr>
      </w:pPr>
      <w:r w:rsidRPr="000D1970">
        <w:rPr>
          <w:rFonts w:cs="Arial"/>
        </w:rPr>
        <w:t>Decision records should show the options, evidence, stakeholder views, owner and reason for the final choice. This makes it clear who made the decision and why when not every request can be accepted. A clear approval process prevents additional requests from making the project larger than planned and threatening the six-month deadline.</w:t>
      </w:r>
    </w:p>
    <w:p w14:paraId="29915C55" w14:textId="77777777" w:rsidR="00907FE7" w:rsidRPr="000D1970" w:rsidRDefault="00000000">
      <w:pPr>
        <w:pStyle w:val="BodyText"/>
        <w:spacing w:after="140"/>
        <w:rPr>
          <w:rFonts w:cs="Arial"/>
        </w:rPr>
      </w:pPr>
      <w:r w:rsidRPr="000D1970">
        <w:rPr>
          <w:rFonts w:cs="Arial"/>
          <w:b/>
          <w:bCs/>
        </w:rPr>
        <w:t>Stage 4: Implement, monitor and learn (weeks 16–26 and after launch).</w:t>
      </w:r>
      <w:r w:rsidRPr="000D1970">
        <w:rPr>
          <w:rFonts w:cs="Arial"/>
        </w:rPr>
        <w:t xml:space="preserve"> Role-based training is delivered to store and service teams. Checks to confirm that each country is prepared for the launch test technology, people, legal approval and customer support. Launch dashboards track adoption, active use, opt-outs, complaints, reward redemption, system availability, security events and measures showing whether customers are being treated fairly. Feedback is collected through the app, contact centres, employee channels and partner reviews.</w:t>
      </w:r>
    </w:p>
    <w:p w14:paraId="163644CD" w14:textId="77777777" w:rsidR="000D1970" w:rsidRDefault="00000000" w:rsidP="000D1970">
      <w:pPr>
        <w:pStyle w:val="BodyText"/>
        <w:spacing w:after="140"/>
        <w:rPr>
          <w:rFonts w:cs="Arial"/>
        </w:rPr>
      </w:pPr>
      <w:r w:rsidRPr="000D1970">
        <w:rPr>
          <w:rFonts w:cs="Arial"/>
        </w:rPr>
        <w:t>The engagement process should continue after launch. Kujala et al. (2022) describe stakeholder engagement as practices through which organisations involve stakeholders in a positive way. This is ongoing relationship work, not a single pre-launch activity. Monthly learning cycles should adjust messages, reward design and controls.</w:t>
      </w:r>
      <w:bookmarkStart w:id="13" w:name="communication-and-engagement-plan"/>
      <w:bookmarkEnd w:id="12"/>
    </w:p>
    <w:p w14:paraId="29915C57" w14:textId="3CDD709E" w:rsidR="00907FE7" w:rsidRPr="000D1970" w:rsidRDefault="00000000" w:rsidP="000D1970">
      <w:pPr>
        <w:pStyle w:val="BodyText"/>
        <w:spacing w:after="140"/>
        <w:rPr>
          <w:rFonts w:cs="Arial"/>
          <w:b/>
          <w:bCs/>
          <w:sz w:val="24"/>
        </w:rPr>
      </w:pPr>
      <w:r w:rsidRPr="000D1970">
        <w:rPr>
          <w:rFonts w:cs="Arial"/>
        </w:rPr>
        <w:t xml:space="preserve"> </w:t>
      </w:r>
      <w:r w:rsidRPr="000D1970">
        <w:rPr>
          <w:rFonts w:cs="Arial"/>
          <w:b/>
          <w:bCs/>
          <w:sz w:val="24"/>
        </w:rPr>
        <w:t>Communication and engagement plan</w:t>
      </w:r>
    </w:p>
    <w:tbl>
      <w:tblPr>
        <w:tblStyle w:val="Table"/>
        <w:tblW w:w="5000" w:type="pct"/>
        <w:jc w:val="center"/>
        <w:tblLook w:val="0020" w:firstRow="1" w:lastRow="0" w:firstColumn="0" w:lastColumn="0" w:noHBand="0" w:noVBand="0"/>
      </w:tblPr>
      <w:tblGrid>
        <w:gridCol w:w="1966"/>
        <w:gridCol w:w="3053"/>
        <w:gridCol w:w="2083"/>
        <w:gridCol w:w="2395"/>
      </w:tblGrid>
      <w:tr w:rsidR="00907FE7" w:rsidRPr="000D1970" w14:paraId="29915C5C" w14:textId="77777777" w:rsidTr="00907FE7">
        <w:trPr>
          <w:cnfStyle w:val="100000000000" w:firstRow="1" w:lastRow="0" w:firstColumn="0" w:lastColumn="0" w:oddVBand="0" w:evenVBand="0" w:oddHBand="0" w:evenHBand="0" w:firstRowFirstColumn="0" w:firstRowLastColumn="0" w:lastRowFirstColumn="0" w:lastRowLastColumn="0"/>
          <w:tblHeader/>
          <w:jc w:val="center"/>
        </w:trPr>
        <w:tc>
          <w:tcPr>
            <w:tcW w:w="0" w:type="auto"/>
            <w:shd w:val="clear" w:color="auto" w:fill="D9E8E1"/>
            <w:tcMar>
              <w:top w:w="90" w:type="dxa"/>
              <w:left w:w="90" w:type="dxa"/>
              <w:bottom w:w="90" w:type="dxa"/>
              <w:right w:w="90" w:type="dxa"/>
            </w:tcMar>
            <w:vAlign w:val="center"/>
          </w:tcPr>
          <w:p w14:paraId="29915C58" w14:textId="77777777" w:rsidR="00907FE7" w:rsidRPr="000D1970" w:rsidRDefault="00000000">
            <w:pPr>
              <w:pStyle w:val="Compact"/>
              <w:spacing w:after="40" w:line="276" w:lineRule="auto"/>
              <w:jc w:val="left"/>
              <w:rPr>
                <w:rFonts w:cs="Arial"/>
              </w:rPr>
            </w:pPr>
            <w:r w:rsidRPr="000D1970">
              <w:rPr>
                <w:rFonts w:cs="Arial"/>
                <w:b/>
                <w:sz w:val="18"/>
              </w:rPr>
              <w:t>Stakeholder</w:t>
            </w:r>
          </w:p>
        </w:tc>
        <w:tc>
          <w:tcPr>
            <w:tcW w:w="0" w:type="auto"/>
            <w:shd w:val="clear" w:color="auto" w:fill="D9E8E1"/>
            <w:tcMar>
              <w:top w:w="90" w:type="dxa"/>
              <w:left w:w="90" w:type="dxa"/>
              <w:bottom w:w="90" w:type="dxa"/>
              <w:right w:w="90" w:type="dxa"/>
            </w:tcMar>
            <w:vAlign w:val="center"/>
          </w:tcPr>
          <w:p w14:paraId="29915C59" w14:textId="77777777" w:rsidR="00907FE7" w:rsidRPr="000D1970" w:rsidRDefault="00000000">
            <w:pPr>
              <w:pStyle w:val="Compact"/>
              <w:spacing w:after="40" w:line="276" w:lineRule="auto"/>
              <w:jc w:val="left"/>
              <w:rPr>
                <w:rFonts w:cs="Arial"/>
              </w:rPr>
            </w:pPr>
            <w:r w:rsidRPr="000D1970">
              <w:rPr>
                <w:rFonts w:cs="Arial"/>
                <w:b/>
                <w:sz w:val="18"/>
              </w:rPr>
              <w:t>Purpose and method</w:t>
            </w:r>
          </w:p>
        </w:tc>
        <w:tc>
          <w:tcPr>
            <w:tcW w:w="0" w:type="auto"/>
            <w:shd w:val="clear" w:color="auto" w:fill="D9E8E1"/>
            <w:tcMar>
              <w:top w:w="90" w:type="dxa"/>
              <w:left w:w="90" w:type="dxa"/>
              <w:bottom w:w="90" w:type="dxa"/>
              <w:right w:w="90" w:type="dxa"/>
            </w:tcMar>
            <w:vAlign w:val="center"/>
          </w:tcPr>
          <w:p w14:paraId="29915C5A" w14:textId="77777777" w:rsidR="00907FE7" w:rsidRPr="000D1970" w:rsidRDefault="00000000">
            <w:pPr>
              <w:pStyle w:val="Compact"/>
              <w:spacing w:after="40" w:line="276" w:lineRule="auto"/>
              <w:jc w:val="left"/>
              <w:rPr>
                <w:rFonts w:cs="Arial"/>
              </w:rPr>
            </w:pPr>
            <w:r w:rsidRPr="000D1970">
              <w:rPr>
                <w:rFonts w:cs="Arial"/>
                <w:b/>
                <w:sz w:val="18"/>
              </w:rPr>
              <w:t>Frequency</w:t>
            </w:r>
          </w:p>
        </w:tc>
        <w:tc>
          <w:tcPr>
            <w:tcW w:w="0" w:type="auto"/>
            <w:shd w:val="clear" w:color="auto" w:fill="D9E8E1"/>
            <w:tcMar>
              <w:top w:w="90" w:type="dxa"/>
              <w:left w:w="90" w:type="dxa"/>
              <w:bottom w:w="90" w:type="dxa"/>
              <w:right w:w="90" w:type="dxa"/>
            </w:tcMar>
            <w:vAlign w:val="center"/>
          </w:tcPr>
          <w:p w14:paraId="29915C5B" w14:textId="77777777" w:rsidR="00907FE7" w:rsidRPr="000D1970" w:rsidRDefault="00000000">
            <w:pPr>
              <w:pStyle w:val="Compact"/>
              <w:spacing w:after="40" w:line="276" w:lineRule="auto"/>
              <w:jc w:val="left"/>
              <w:rPr>
                <w:rFonts w:cs="Arial"/>
              </w:rPr>
            </w:pPr>
            <w:r w:rsidRPr="000D1970">
              <w:rPr>
                <w:rFonts w:cs="Arial"/>
                <w:b/>
                <w:sz w:val="18"/>
              </w:rPr>
              <w:t>Owner</w:t>
            </w:r>
          </w:p>
        </w:tc>
      </w:tr>
      <w:tr w:rsidR="00907FE7" w:rsidRPr="000D1970" w14:paraId="29915C61" w14:textId="77777777" w:rsidTr="00907FE7">
        <w:trPr>
          <w:jc w:val="center"/>
        </w:trPr>
        <w:tc>
          <w:tcPr>
            <w:tcW w:w="0" w:type="auto"/>
            <w:tcMar>
              <w:top w:w="90" w:type="dxa"/>
              <w:left w:w="90" w:type="dxa"/>
              <w:bottom w:w="90" w:type="dxa"/>
              <w:right w:w="90" w:type="dxa"/>
            </w:tcMar>
            <w:vAlign w:val="center"/>
          </w:tcPr>
          <w:p w14:paraId="29915C5D" w14:textId="77777777" w:rsidR="00907FE7" w:rsidRPr="000D1970" w:rsidRDefault="00000000">
            <w:pPr>
              <w:pStyle w:val="Compact"/>
              <w:spacing w:after="40" w:line="276" w:lineRule="auto"/>
              <w:jc w:val="left"/>
              <w:rPr>
                <w:rFonts w:cs="Arial"/>
              </w:rPr>
            </w:pPr>
            <w:r w:rsidRPr="000D1970">
              <w:rPr>
                <w:rFonts w:cs="Arial"/>
                <w:sz w:val="18"/>
              </w:rPr>
              <w:t>Board and executive sponsor</w:t>
            </w:r>
          </w:p>
        </w:tc>
        <w:tc>
          <w:tcPr>
            <w:tcW w:w="0" w:type="auto"/>
            <w:tcMar>
              <w:top w:w="90" w:type="dxa"/>
              <w:left w:w="90" w:type="dxa"/>
              <w:bottom w:w="90" w:type="dxa"/>
              <w:right w:w="90" w:type="dxa"/>
            </w:tcMar>
            <w:vAlign w:val="center"/>
          </w:tcPr>
          <w:p w14:paraId="29915C5E" w14:textId="77777777" w:rsidR="00907FE7" w:rsidRPr="000D1970" w:rsidRDefault="00000000">
            <w:pPr>
              <w:pStyle w:val="Compact"/>
              <w:spacing w:after="40" w:line="276" w:lineRule="auto"/>
              <w:jc w:val="left"/>
              <w:rPr>
                <w:rFonts w:cs="Arial"/>
              </w:rPr>
            </w:pPr>
            <w:r w:rsidRPr="000D1970">
              <w:rPr>
                <w:rFonts w:cs="Arial"/>
                <w:sz w:val="18"/>
              </w:rPr>
              <w:t>Decision paper, benefit and risk dashboard</w:t>
            </w:r>
          </w:p>
        </w:tc>
        <w:tc>
          <w:tcPr>
            <w:tcW w:w="0" w:type="auto"/>
            <w:tcMar>
              <w:top w:w="90" w:type="dxa"/>
              <w:left w:w="90" w:type="dxa"/>
              <w:bottom w:w="90" w:type="dxa"/>
              <w:right w:w="90" w:type="dxa"/>
            </w:tcMar>
            <w:vAlign w:val="center"/>
          </w:tcPr>
          <w:p w14:paraId="29915C5F" w14:textId="77777777" w:rsidR="00907FE7" w:rsidRPr="000D1970" w:rsidRDefault="00000000">
            <w:pPr>
              <w:pStyle w:val="Compact"/>
              <w:spacing w:after="40" w:line="276" w:lineRule="auto"/>
              <w:jc w:val="left"/>
              <w:rPr>
                <w:rFonts w:cs="Arial"/>
              </w:rPr>
            </w:pPr>
            <w:r w:rsidRPr="000D1970">
              <w:rPr>
                <w:rFonts w:cs="Arial"/>
                <w:sz w:val="18"/>
              </w:rPr>
              <w:t>Monthly; exceptions immediately</w:t>
            </w:r>
          </w:p>
        </w:tc>
        <w:tc>
          <w:tcPr>
            <w:tcW w:w="0" w:type="auto"/>
            <w:tcMar>
              <w:top w:w="90" w:type="dxa"/>
              <w:left w:w="90" w:type="dxa"/>
              <w:bottom w:w="90" w:type="dxa"/>
              <w:right w:w="90" w:type="dxa"/>
            </w:tcMar>
            <w:vAlign w:val="center"/>
          </w:tcPr>
          <w:p w14:paraId="29915C60" w14:textId="77777777" w:rsidR="00907FE7" w:rsidRPr="000D1970" w:rsidRDefault="00000000">
            <w:pPr>
              <w:pStyle w:val="Compact"/>
              <w:spacing w:after="40" w:line="276" w:lineRule="auto"/>
              <w:jc w:val="left"/>
              <w:rPr>
                <w:rFonts w:cs="Arial"/>
              </w:rPr>
            </w:pPr>
            <w:r w:rsidRPr="000D1970">
              <w:rPr>
                <w:rFonts w:cs="Arial"/>
                <w:sz w:val="18"/>
              </w:rPr>
              <w:t>Project sponsor/project manager</w:t>
            </w:r>
          </w:p>
        </w:tc>
      </w:tr>
      <w:tr w:rsidR="00907FE7" w:rsidRPr="000D1970" w14:paraId="29915C66" w14:textId="77777777" w:rsidTr="00907FE7">
        <w:trPr>
          <w:jc w:val="center"/>
        </w:trPr>
        <w:tc>
          <w:tcPr>
            <w:tcW w:w="0" w:type="auto"/>
            <w:tcMar>
              <w:top w:w="90" w:type="dxa"/>
              <w:left w:w="90" w:type="dxa"/>
              <w:bottom w:w="90" w:type="dxa"/>
              <w:right w:w="90" w:type="dxa"/>
            </w:tcMar>
            <w:vAlign w:val="center"/>
          </w:tcPr>
          <w:p w14:paraId="29915C62" w14:textId="77777777" w:rsidR="00907FE7" w:rsidRPr="000D1970" w:rsidRDefault="00000000">
            <w:pPr>
              <w:pStyle w:val="Compact"/>
              <w:spacing w:after="40" w:line="276" w:lineRule="auto"/>
              <w:jc w:val="left"/>
              <w:rPr>
                <w:rFonts w:cs="Arial"/>
              </w:rPr>
            </w:pPr>
            <w:r w:rsidRPr="000D1970">
              <w:rPr>
                <w:rFonts w:cs="Arial"/>
                <w:sz w:val="18"/>
              </w:rPr>
              <w:t>Product, IT, data, security and DPO</w:t>
            </w:r>
          </w:p>
        </w:tc>
        <w:tc>
          <w:tcPr>
            <w:tcW w:w="0" w:type="auto"/>
            <w:tcMar>
              <w:top w:w="90" w:type="dxa"/>
              <w:left w:w="90" w:type="dxa"/>
              <w:bottom w:w="90" w:type="dxa"/>
              <w:right w:w="90" w:type="dxa"/>
            </w:tcMar>
            <w:vAlign w:val="center"/>
          </w:tcPr>
          <w:p w14:paraId="29915C63" w14:textId="77777777" w:rsidR="00907FE7" w:rsidRPr="000D1970" w:rsidRDefault="00000000">
            <w:pPr>
              <w:pStyle w:val="Compact"/>
              <w:spacing w:after="40" w:line="276" w:lineRule="auto"/>
              <w:jc w:val="left"/>
              <w:rPr>
                <w:rFonts w:cs="Arial"/>
              </w:rPr>
            </w:pPr>
            <w:r w:rsidRPr="000D1970">
              <w:rPr>
                <w:rFonts w:cs="Arial"/>
                <w:sz w:val="18"/>
              </w:rPr>
              <w:t>Working groups, design reviews, risk and DPIA workshops</w:t>
            </w:r>
          </w:p>
        </w:tc>
        <w:tc>
          <w:tcPr>
            <w:tcW w:w="0" w:type="auto"/>
            <w:tcMar>
              <w:top w:w="90" w:type="dxa"/>
              <w:left w:w="90" w:type="dxa"/>
              <w:bottom w:w="90" w:type="dxa"/>
              <w:right w:w="90" w:type="dxa"/>
            </w:tcMar>
            <w:vAlign w:val="center"/>
          </w:tcPr>
          <w:p w14:paraId="29915C64" w14:textId="77777777" w:rsidR="00907FE7" w:rsidRPr="000D1970" w:rsidRDefault="00000000">
            <w:pPr>
              <w:pStyle w:val="Compact"/>
              <w:spacing w:after="40" w:line="276" w:lineRule="auto"/>
              <w:jc w:val="left"/>
              <w:rPr>
                <w:rFonts w:cs="Arial"/>
              </w:rPr>
            </w:pPr>
            <w:r w:rsidRPr="000D1970">
              <w:rPr>
                <w:rFonts w:cs="Arial"/>
                <w:sz w:val="18"/>
              </w:rPr>
              <w:t>Weekly</w:t>
            </w:r>
          </w:p>
        </w:tc>
        <w:tc>
          <w:tcPr>
            <w:tcW w:w="0" w:type="auto"/>
            <w:tcMar>
              <w:top w:w="90" w:type="dxa"/>
              <w:left w:w="90" w:type="dxa"/>
              <w:bottom w:w="90" w:type="dxa"/>
              <w:right w:w="90" w:type="dxa"/>
            </w:tcMar>
            <w:vAlign w:val="center"/>
          </w:tcPr>
          <w:p w14:paraId="29915C65" w14:textId="77777777" w:rsidR="00907FE7" w:rsidRPr="000D1970" w:rsidRDefault="00000000">
            <w:pPr>
              <w:pStyle w:val="Compact"/>
              <w:spacing w:after="40" w:line="276" w:lineRule="auto"/>
              <w:jc w:val="left"/>
              <w:rPr>
                <w:rFonts w:cs="Arial"/>
              </w:rPr>
            </w:pPr>
            <w:r w:rsidRPr="000D1970">
              <w:rPr>
                <w:rFonts w:cs="Arial"/>
                <w:sz w:val="18"/>
              </w:rPr>
              <w:t>Product lead/DPO</w:t>
            </w:r>
          </w:p>
        </w:tc>
      </w:tr>
      <w:tr w:rsidR="00907FE7" w:rsidRPr="000D1970" w14:paraId="29915C6B" w14:textId="77777777" w:rsidTr="00907FE7">
        <w:trPr>
          <w:jc w:val="center"/>
        </w:trPr>
        <w:tc>
          <w:tcPr>
            <w:tcW w:w="0" w:type="auto"/>
            <w:tcMar>
              <w:top w:w="90" w:type="dxa"/>
              <w:left w:w="90" w:type="dxa"/>
              <w:bottom w:w="90" w:type="dxa"/>
              <w:right w:w="90" w:type="dxa"/>
            </w:tcMar>
            <w:vAlign w:val="center"/>
          </w:tcPr>
          <w:p w14:paraId="29915C67" w14:textId="77777777" w:rsidR="00907FE7" w:rsidRPr="000D1970" w:rsidRDefault="00000000">
            <w:pPr>
              <w:pStyle w:val="Compact"/>
              <w:spacing w:after="40" w:line="276" w:lineRule="auto"/>
              <w:jc w:val="left"/>
              <w:rPr>
                <w:rFonts w:cs="Arial"/>
              </w:rPr>
            </w:pPr>
            <w:r w:rsidRPr="000D1970">
              <w:rPr>
                <w:rFonts w:cs="Arial"/>
                <w:sz w:val="18"/>
              </w:rPr>
              <w:t>International partners</w:t>
            </w:r>
          </w:p>
        </w:tc>
        <w:tc>
          <w:tcPr>
            <w:tcW w:w="0" w:type="auto"/>
            <w:tcMar>
              <w:top w:w="90" w:type="dxa"/>
              <w:left w:w="90" w:type="dxa"/>
              <w:bottom w:w="90" w:type="dxa"/>
              <w:right w:w="90" w:type="dxa"/>
            </w:tcMar>
            <w:vAlign w:val="center"/>
          </w:tcPr>
          <w:p w14:paraId="29915C68" w14:textId="77777777" w:rsidR="00907FE7" w:rsidRPr="000D1970" w:rsidRDefault="00000000">
            <w:pPr>
              <w:pStyle w:val="Compact"/>
              <w:spacing w:after="40" w:line="276" w:lineRule="auto"/>
              <w:jc w:val="left"/>
              <w:rPr>
                <w:rFonts w:cs="Arial"/>
              </w:rPr>
            </w:pPr>
            <w:r w:rsidRPr="000D1970">
              <w:rPr>
                <w:rFonts w:cs="Arial"/>
                <w:sz w:val="18"/>
              </w:rPr>
              <w:t>Local readiness meetings, integration workshops, translated playbooks</w:t>
            </w:r>
          </w:p>
        </w:tc>
        <w:tc>
          <w:tcPr>
            <w:tcW w:w="0" w:type="auto"/>
            <w:tcMar>
              <w:top w:w="90" w:type="dxa"/>
              <w:left w:w="90" w:type="dxa"/>
              <w:bottom w:w="90" w:type="dxa"/>
              <w:right w:w="90" w:type="dxa"/>
            </w:tcMar>
            <w:vAlign w:val="center"/>
          </w:tcPr>
          <w:p w14:paraId="29915C69" w14:textId="77777777" w:rsidR="00907FE7" w:rsidRPr="000D1970" w:rsidRDefault="00000000">
            <w:pPr>
              <w:pStyle w:val="Compact"/>
              <w:spacing w:after="40" w:line="276" w:lineRule="auto"/>
              <w:jc w:val="left"/>
              <w:rPr>
                <w:rFonts w:cs="Arial"/>
              </w:rPr>
            </w:pPr>
            <w:r w:rsidRPr="000D1970">
              <w:rPr>
                <w:rFonts w:cs="Arial"/>
                <w:sz w:val="18"/>
              </w:rPr>
              <w:t>Fortnightly</w:t>
            </w:r>
          </w:p>
        </w:tc>
        <w:tc>
          <w:tcPr>
            <w:tcW w:w="0" w:type="auto"/>
            <w:tcMar>
              <w:top w:w="90" w:type="dxa"/>
              <w:left w:w="90" w:type="dxa"/>
              <w:bottom w:w="90" w:type="dxa"/>
              <w:right w:w="90" w:type="dxa"/>
            </w:tcMar>
            <w:vAlign w:val="center"/>
          </w:tcPr>
          <w:p w14:paraId="29915C6A" w14:textId="77777777" w:rsidR="00907FE7" w:rsidRPr="000D1970" w:rsidRDefault="00000000">
            <w:pPr>
              <w:pStyle w:val="Compact"/>
              <w:spacing w:after="40" w:line="276" w:lineRule="auto"/>
              <w:jc w:val="left"/>
              <w:rPr>
                <w:rFonts w:cs="Arial"/>
              </w:rPr>
            </w:pPr>
            <w:r w:rsidRPr="000D1970">
              <w:rPr>
                <w:rFonts w:cs="Arial"/>
                <w:sz w:val="18"/>
              </w:rPr>
              <w:t>International director</w:t>
            </w:r>
          </w:p>
        </w:tc>
      </w:tr>
      <w:tr w:rsidR="00907FE7" w:rsidRPr="000D1970" w14:paraId="29915C70" w14:textId="77777777" w:rsidTr="00907FE7">
        <w:trPr>
          <w:jc w:val="center"/>
        </w:trPr>
        <w:tc>
          <w:tcPr>
            <w:tcW w:w="0" w:type="auto"/>
            <w:tcMar>
              <w:top w:w="90" w:type="dxa"/>
              <w:left w:w="90" w:type="dxa"/>
              <w:bottom w:w="90" w:type="dxa"/>
              <w:right w:w="90" w:type="dxa"/>
            </w:tcMar>
            <w:vAlign w:val="center"/>
          </w:tcPr>
          <w:p w14:paraId="29915C6C" w14:textId="77777777" w:rsidR="00907FE7" w:rsidRPr="000D1970" w:rsidRDefault="00000000">
            <w:pPr>
              <w:pStyle w:val="Compact"/>
              <w:spacing w:after="40" w:line="276" w:lineRule="auto"/>
              <w:jc w:val="left"/>
              <w:rPr>
                <w:rFonts w:cs="Arial"/>
              </w:rPr>
            </w:pPr>
            <w:r w:rsidRPr="000D1970">
              <w:rPr>
                <w:rFonts w:cs="Arial"/>
                <w:sz w:val="18"/>
              </w:rPr>
              <w:lastRenderedPageBreak/>
              <w:t>Store and customer service colleagues</w:t>
            </w:r>
          </w:p>
        </w:tc>
        <w:tc>
          <w:tcPr>
            <w:tcW w:w="0" w:type="auto"/>
            <w:tcMar>
              <w:top w:w="90" w:type="dxa"/>
              <w:left w:w="90" w:type="dxa"/>
              <w:bottom w:w="90" w:type="dxa"/>
              <w:right w:w="90" w:type="dxa"/>
            </w:tcMar>
            <w:vAlign w:val="center"/>
          </w:tcPr>
          <w:p w14:paraId="29915C6D" w14:textId="77777777" w:rsidR="00907FE7" w:rsidRPr="000D1970" w:rsidRDefault="00000000">
            <w:pPr>
              <w:pStyle w:val="Compact"/>
              <w:spacing w:after="40" w:line="276" w:lineRule="auto"/>
              <w:jc w:val="left"/>
              <w:rPr>
                <w:rFonts w:cs="Arial"/>
              </w:rPr>
            </w:pPr>
            <w:r w:rsidRPr="000D1970">
              <w:rPr>
                <w:rFonts w:cs="Arial"/>
                <w:sz w:val="18"/>
              </w:rPr>
              <w:t>Briefings, demonstrations, e-learning, pilot feedback</w:t>
            </w:r>
          </w:p>
        </w:tc>
        <w:tc>
          <w:tcPr>
            <w:tcW w:w="0" w:type="auto"/>
            <w:tcMar>
              <w:top w:w="90" w:type="dxa"/>
              <w:left w:w="90" w:type="dxa"/>
              <w:bottom w:w="90" w:type="dxa"/>
              <w:right w:w="90" w:type="dxa"/>
            </w:tcMar>
            <w:vAlign w:val="center"/>
          </w:tcPr>
          <w:p w14:paraId="29915C6E" w14:textId="77777777" w:rsidR="00907FE7" w:rsidRPr="000D1970" w:rsidRDefault="00000000">
            <w:pPr>
              <w:pStyle w:val="Compact"/>
              <w:spacing w:after="40" w:line="276" w:lineRule="auto"/>
              <w:jc w:val="left"/>
              <w:rPr>
                <w:rFonts w:cs="Arial"/>
              </w:rPr>
            </w:pPr>
            <w:r w:rsidRPr="000D1970">
              <w:rPr>
                <w:rFonts w:cs="Arial"/>
                <w:sz w:val="18"/>
              </w:rPr>
              <w:t>Monthly, then weekly near launch</w:t>
            </w:r>
          </w:p>
        </w:tc>
        <w:tc>
          <w:tcPr>
            <w:tcW w:w="0" w:type="auto"/>
            <w:tcMar>
              <w:top w:w="90" w:type="dxa"/>
              <w:left w:w="90" w:type="dxa"/>
              <w:bottom w:w="90" w:type="dxa"/>
              <w:right w:w="90" w:type="dxa"/>
            </w:tcMar>
            <w:vAlign w:val="center"/>
          </w:tcPr>
          <w:p w14:paraId="29915C6F" w14:textId="77777777" w:rsidR="00907FE7" w:rsidRPr="000D1970" w:rsidRDefault="00000000">
            <w:pPr>
              <w:pStyle w:val="Compact"/>
              <w:spacing w:after="40" w:line="276" w:lineRule="auto"/>
              <w:jc w:val="left"/>
              <w:rPr>
                <w:rFonts w:cs="Arial"/>
              </w:rPr>
            </w:pPr>
            <w:r w:rsidRPr="000D1970">
              <w:rPr>
                <w:rFonts w:cs="Arial"/>
                <w:sz w:val="18"/>
              </w:rPr>
              <w:t>Operations/HR</w:t>
            </w:r>
          </w:p>
        </w:tc>
      </w:tr>
      <w:tr w:rsidR="00907FE7" w:rsidRPr="000D1970" w14:paraId="29915C75" w14:textId="77777777" w:rsidTr="00907FE7">
        <w:trPr>
          <w:jc w:val="center"/>
        </w:trPr>
        <w:tc>
          <w:tcPr>
            <w:tcW w:w="0" w:type="auto"/>
            <w:tcMar>
              <w:top w:w="90" w:type="dxa"/>
              <w:left w:w="90" w:type="dxa"/>
              <w:bottom w:w="90" w:type="dxa"/>
              <w:right w:w="90" w:type="dxa"/>
            </w:tcMar>
            <w:vAlign w:val="center"/>
          </w:tcPr>
          <w:p w14:paraId="29915C71" w14:textId="77777777" w:rsidR="00907FE7" w:rsidRPr="000D1970" w:rsidRDefault="00000000">
            <w:pPr>
              <w:pStyle w:val="Compact"/>
              <w:spacing w:after="40" w:line="276" w:lineRule="auto"/>
              <w:jc w:val="left"/>
              <w:rPr>
                <w:rFonts w:cs="Arial"/>
              </w:rPr>
            </w:pPr>
            <w:r w:rsidRPr="000D1970">
              <w:rPr>
                <w:rFonts w:cs="Arial"/>
                <w:sz w:val="18"/>
              </w:rPr>
              <w:t>Customers and consumer groups</w:t>
            </w:r>
          </w:p>
        </w:tc>
        <w:tc>
          <w:tcPr>
            <w:tcW w:w="0" w:type="auto"/>
            <w:tcMar>
              <w:top w:w="90" w:type="dxa"/>
              <w:left w:w="90" w:type="dxa"/>
              <w:bottom w:w="90" w:type="dxa"/>
              <w:right w:w="90" w:type="dxa"/>
            </w:tcMar>
            <w:vAlign w:val="center"/>
          </w:tcPr>
          <w:p w14:paraId="29915C72" w14:textId="77777777" w:rsidR="00907FE7" w:rsidRPr="000D1970" w:rsidRDefault="00000000">
            <w:pPr>
              <w:pStyle w:val="Compact"/>
              <w:spacing w:after="40" w:line="276" w:lineRule="auto"/>
              <w:jc w:val="left"/>
              <w:rPr>
                <w:rFonts w:cs="Arial"/>
              </w:rPr>
            </w:pPr>
            <w:r w:rsidRPr="000D1970">
              <w:rPr>
                <w:rFonts w:cs="Arial"/>
                <w:sz w:val="18"/>
              </w:rPr>
              <w:t>Surveys, co-design panels, usability and accessibility testing</w:t>
            </w:r>
          </w:p>
        </w:tc>
        <w:tc>
          <w:tcPr>
            <w:tcW w:w="0" w:type="auto"/>
            <w:tcMar>
              <w:top w:w="90" w:type="dxa"/>
              <w:left w:w="90" w:type="dxa"/>
              <w:bottom w:w="90" w:type="dxa"/>
              <w:right w:w="90" w:type="dxa"/>
            </w:tcMar>
            <w:vAlign w:val="center"/>
          </w:tcPr>
          <w:p w14:paraId="29915C73" w14:textId="77777777" w:rsidR="00907FE7" w:rsidRPr="000D1970" w:rsidRDefault="00000000">
            <w:pPr>
              <w:pStyle w:val="Compact"/>
              <w:spacing w:after="40" w:line="276" w:lineRule="auto"/>
              <w:jc w:val="left"/>
              <w:rPr>
                <w:rFonts w:cs="Arial"/>
              </w:rPr>
            </w:pPr>
            <w:r w:rsidRPr="000D1970">
              <w:rPr>
                <w:rFonts w:cs="Arial"/>
                <w:sz w:val="18"/>
              </w:rPr>
              <w:t>At prototype, pilot and post-launch stages</w:t>
            </w:r>
          </w:p>
        </w:tc>
        <w:tc>
          <w:tcPr>
            <w:tcW w:w="0" w:type="auto"/>
            <w:tcMar>
              <w:top w:w="90" w:type="dxa"/>
              <w:left w:w="90" w:type="dxa"/>
              <w:bottom w:w="90" w:type="dxa"/>
              <w:right w:w="90" w:type="dxa"/>
            </w:tcMar>
            <w:vAlign w:val="center"/>
          </w:tcPr>
          <w:p w14:paraId="29915C74" w14:textId="77777777" w:rsidR="00907FE7" w:rsidRPr="000D1970" w:rsidRDefault="00000000">
            <w:pPr>
              <w:pStyle w:val="Compact"/>
              <w:spacing w:after="40" w:line="276" w:lineRule="auto"/>
              <w:jc w:val="left"/>
              <w:rPr>
                <w:rFonts w:cs="Arial"/>
              </w:rPr>
            </w:pPr>
            <w:r w:rsidRPr="000D1970">
              <w:rPr>
                <w:rFonts w:cs="Arial"/>
                <w:sz w:val="18"/>
              </w:rPr>
              <w:t>Customer insight lead</w:t>
            </w:r>
          </w:p>
        </w:tc>
      </w:tr>
      <w:tr w:rsidR="00907FE7" w:rsidRPr="000D1970" w14:paraId="29915C7A" w14:textId="77777777" w:rsidTr="00907FE7">
        <w:trPr>
          <w:jc w:val="center"/>
        </w:trPr>
        <w:tc>
          <w:tcPr>
            <w:tcW w:w="0" w:type="auto"/>
            <w:tcMar>
              <w:top w:w="90" w:type="dxa"/>
              <w:left w:w="90" w:type="dxa"/>
              <w:bottom w:w="90" w:type="dxa"/>
              <w:right w:w="90" w:type="dxa"/>
            </w:tcMar>
            <w:vAlign w:val="center"/>
          </w:tcPr>
          <w:p w14:paraId="29915C76" w14:textId="77777777" w:rsidR="00907FE7" w:rsidRPr="000D1970" w:rsidRDefault="00000000">
            <w:pPr>
              <w:pStyle w:val="Compact"/>
              <w:spacing w:after="40" w:line="276" w:lineRule="auto"/>
              <w:jc w:val="left"/>
              <w:rPr>
                <w:rFonts w:cs="Arial"/>
              </w:rPr>
            </w:pPr>
            <w:r w:rsidRPr="000D1970">
              <w:rPr>
                <w:rFonts w:cs="Arial"/>
                <w:sz w:val="18"/>
              </w:rPr>
              <w:t>Regulators</w:t>
            </w:r>
          </w:p>
        </w:tc>
        <w:tc>
          <w:tcPr>
            <w:tcW w:w="0" w:type="auto"/>
            <w:tcMar>
              <w:top w:w="90" w:type="dxa"/>
              <w:left w:w="90" w:type="dxa"/>
              <w:bottom w:w="90" w:type="dxa"/>
              <w:right w:w="90" w:type="dxa"/>
            </w:tcMar>
            <w:vAlign w:val="center"/>
          </w:tcPr>
          <w:p w14:paraId="29915C77" w14:textId="77777777" w:rsidR="00907FE7" w:rsidRPr="000D1970" w:rsidRDefault="00000000">
            <w:pPr>
              <w:pStyle w:val="Compact"/>
              <w:spacing w:after="40" w:line="276" w:lineRule="auto"/>
              <w:jc w:val="left"/>
              <w:rPr>
                <w:rFonts w:cs="Arial"/>
              </w:rPr>
            </w:pPr>
            <w:r w:rsidRPr="000D1970">
              <w:rPr>
                <w:rFonts w:cs="Arial"/>
                <w:sz w:val="18"/>
              </w:rPr>
              <w:t>Documented assurance and early consultation where risk is unclear</w:t>
            </w:r>
          </w:p>
        </w:tc>
        <w:tc>
          <w:tcPr>
            <w:tcW w:w="0" w:type="auto"/>
            <w:tcMar>
              <w:top w:w="90" w:type="dxa"/>
              <w:left w:w="90" w:type="dxa"/>
              <w:bottom w:w="90" w:type="dxa"/>
              <w:right w:w="90" w:type="dxa"/>
            </w:tcMar>
            <w:vAlign w:val="center"/>
          </w:tcPr>
          <w:p w14:paraId="29915C78" w14:textId="77777777" w:rsidR="00907FE7" w:rsidRPr="000D1970" w:rsidRDefault="00000000">
            <w:pPr>
              <w:pStyle w:val="Compact"/>
              <w:spacing w:after="40" w:line="276" w:lineRule="auto"/>
              <w:jc w:val="left"/>
              <w:rPr>
                <w:rFonts w:cs="Arial"/>
              </w:rPr>
            </w:pPr>
            <w:r w:rsidRPr="000D1970">
              <w:rPr>
                <w:rFonts w:cs="Arial"/>
                <w:sz w:val="18"/>
              </w:rPr>
              <w:t>At key gates and as required</w:t>
            </w:r>
          </w:p>
        </w:tc>
        <w:tc>
          <w:tcPr>
            <w:tcW w:w="0" w:type="auto"/>
            <w:tcMar>
              <w:top w:w="90" w:type="dxa"/>
              <w:left w:w="90" w:type="dxa"/>
              <w:bottom w:w="90" w:type="dxa"/>
              <w:right w:w="90" w:type="dxa"/>
            </w:tcMar>
            <w:vAlign w:val="center"/>
          </w:tcPr>
          <w:p w14:paraId="29915C79" w14:textId="77777777" w:rsidR="00907FE7" w:rsidRPr="000D1970" w:rsidRDefault="00000000">
            <w:pPr>
              <w:pStyle w:val="Compact"/>
              <w:spacing w:after="40" w:line="276" w:lineRule="auto"/>
              <w:jc w:val="left"/>
              <w:rPr>
                <w:rFonts w:cs="Arial"/>
              </w:rPr>
            </w:pPr>
            <w:r w:rsidRPr="000D1970">
              <w:rPr>
                <w:rFonts w:cs="Arial"/>
                <w:sz w:val="18"/>
              </w:rPr>
              <w:t>DPO/legal lead</w:t>
            </w:r>
          </w:p>
        </w:tc>
      </w:tr>
      <w:tr w:rsidR="00907FE7" w:rsidRPr="000D1970" w14:paraId="29915C7F" w14:textId="77777777" w:rsidTr="00907FE7">
        <w:trPr>
          <w:jc w:val="center"/>
        </w:trPr>
        <w:tc>
          <w:tcPr>
            <w:tcW w:w="0" w:type="auto"/>
            <w:tcMar>
              <w:top w:w="90" w:type="dxa"/>
              <w:left w:w="90" w:type="dxa"/>
              <w:bottom w:w="90" w:type="dxa"/>
              <w:right w:w="90" w:type="dxa"/>
            </w:tcMar>
            <w:vAlign w:val="center"/>
          </w:tcPr>
          <w:p w14:paraId="29915C7B" w14:textId="77777777" w:rsidR="00907FE7" w:rsidRPr="000D1970" w:rsidRDefault="00000000">
            <w:pPr>
              <w:pStyle w:val="Compact"/>
              <w:spacing w:after="40" w:line="276" w:lineRule="auto"/>
              <w:jc w:val="left"/>
              <w:rPr>
                <w:rFonts w:cs="Arial"/>
              </w:rPr>
            </w:pPr>
            <w:r w:rsidRPr="000D1970">
              <w:rPr>
                <w:rFonts w:cs="Arial"/>
                <w:sz w:val="18"/>
              </w:rPr>
              <w:t>Suppliers</w:t>
            </w:r>
          </w:p>
        </w:tc>
        <w:tc>
          <w:tcPr>
            <w:tcW w:w="0" w:type="auto"/>
            <w:tcMar>
              <w:top w:w="90" w:type="dxa"/>
              <w:left w:w="90" w:type="dxa"/>
              <w:bottom w:w="90" w:type="dxa"/>
              <w:right w:w="90" w:type="dxa"/>
            </w:tcMar>
            <w:vAlign w:val="center"/>
          </w:tcPr>
          <w:p w14:paraId="29915C7C" w14:textId="77777777" w:rsidR="00907FE7" w:rsidRPr="000D1970" w:rsidRDefault="00000000">
            <w:pPr>
              <w:pStyle w:val="Compact"/>
              <w:spacing w:after="40" w:line="276" w:lineRule="auto"/>
              <w:jc w:val="left"/>
              <w:rPr>
                <w:rFonts w:cs="Arial"/>
              </w:rPr>
            </w:pPr>
            <w:r w:rsidRPr="000D1970">
              <w:rPr>
                <w:rFonts w:cs="Arial"/>
                <w:sz w:val="18"/>
              </w:rPr>
              <w:t>Service reviews, security testing, contract and incident exercises</w:t>
            </w:r>
          </w:p>
        </w:tc>
        <w:tc>
          <w:tcPr>
            <w:tcW w:w="0" w:type="auto"/>
            <w:tcMar>
              <w:top w:w="90" w:type="dxa"/>
              <w:left w:w="90" w:type="dxa"/>
              <w:bottom w:w="90" w:type="dxa"/>
              <w:right w:w="90" w:type="dxa"/>
            </w:tcMar>
            <w:vAlign w:val="center"/>
          </w:tcPr>
          <w:p w14:paraId="29915C7D" w14:textId="77777777" w:rsidR="00907FE7" w:rsidRPr="000D1970" w:rsidRDefault="00000000">
            <w:pPr>
              <w:pStyle w:val="Compact"/>
              <w:spacing w:after="40" w:line="276" w:lineRule="auto"/>
              <w:jc w:val="left"/>
              <w:rPr>
                <w:rFonts w:cs="Arial"/>
              </w:rPr>
            </w:pPr>
            <w:r w:rsidRPr="000D1970">
              <w:rPr>
                <w:rFonts w:cs="Arial"/>
                <w:sz w:val="18"/>
              </w:rPr>
              <w:t>Fortnightly during build; monthly after launch</w:t>
            </w:r>
          </w:p>
        </w:tc>
        <w:tc>
          <w:tcPr>
            <w:tcW w:w="0" w:type="auto"/>
            <w:tcMar>
              <w:top w:w="90" w:type="dxa"/>
              <w:left w:w="90" w:type="dxa"/>
              <w:bottom w:w="90" w:type="dxa"/>
              <w:right w:w="90" w:type="dxa"/>
            </w:tcMar>
            <w:vAlign w:val="center"/>
          </w:tcPr>
          <w:p w14:paraId="29915C7E" w14:textId="77777777" w:rsidR="00907FE7" w:rsidRPr="000D1970" w:rsidRDefault="00000000">
            <w:pPr>
              <w:pStyle w:val="Compact"/>
              <w:spacing w:after="40" w:line="276" w:lineRule="auto"/>
              <w:jc w:val="left"/>
              <w:rPr>
                <w:rFonts w:cs="Arial"/>
              </w:rPr>
            </w:pPr>
            <w:r w:rsidRPr="000D1970">
              <w:rPr>
                <w:rFonts w:cs="Arial"/>
                <w:sz w:val="18"/>
              </w:rPr>
              <w:t>Technology/procurement</w:t>
            </w:r>
          </w:p>
        </w:tc>
      </w:tr>
      <w:tr w:rsidR="00907FE7" w:rsidRPr="000D1970" w14:paraId="29915C84" w14:textId="77777777" w:rsidTr="00907FE7">
        <w:trPr>
          <w:jc w:val="center"/>
        </w:trPr>
        <w:tc>
          <w:tcPr>
            <w:tcW w:w="0" w:type="auto"/>
            <w:tcMar>
              <w:top w:w="90" w:type="dxa"/>
              <w:left w:w="90" w:type="dxa"/>
              <w:bottom w:w="90" w:type="dxa"/>
              <w:right w:w="90" w:type="dxa"/>
            </w:tcMar>
            <w:vAlign w:val="center"/>
          </w:tcPr>
          <w:p w14:paraId="29915C80" w14:textId="77777777" w:rsidR="00907FE7" w:rsidRPr="000D1970" w:rsidRDefault="00000000">
            <w:pPr>
              <w:pStyle w:val="Compact"/>
              <w:spacing w:after="40" w:line="276" w:lineRule="auto"/>
              <w:jc w:val="left"/>
              <w:rPr>
                <w:rFonts w:cs="Arial"/>
              </w:rPr>
            </w:pPr>
            <w:r w:rsidRPr="000D1970">
              <w:rPr>
                <w:rFonts w:cs="Arial"/>
                <w:sz w:val="18"/>
              </w:rPr>
              <w:t>Investors</w:t>
            </w:r>
          </w:p>
        </w:tc>
        <w:tc>
          <w:tcPr>
            <w:tcW w:w="0" w:type="auto"/>
            <w:tcMar>
              <w:top w:w="90" w:type="dxa"/>
              <w:left w:w="90" w:type="dxa"/>
              <w:bottom w:w="90" w:type="dxa"/>
              <w:right w:w="90" w:type="dxa"/>
            </w:tcMar>
            <w:vAlign w:val="center"/>
          </w:tcPr>
          <w:p w14:paraId="29915C81" w14:textId="77777777" w:rsidR="00907FE7" w:rsidRPr="000D1970" w:rsidRDefault="00000000">
            <w:pPr>
              <w:pStyle w:val="Compact"/>
              <w:spacing w:after="40" w:line="276" w:lineRule="auto"/>
              <w:jc w:val="left"/>
              <w:rPr>
                <w:rFonts w:cs="Arial"/>
              </w:rPr>
            </w:pPr>
            <w:r w:rsidRPr="000D1970">
              <w:rPr>
                <w:rFonts w:cs="Arial"/>
                <w:sz w:val="18"/>
              </w:rPr>
              <w:t>Balanced updates on strategy, value, risk and performance</w:t>
            </w:r>
          </w:p>
        </w:tc>
        <w:tc>
          <w:tcPr>
            <w:tcW w:w="0" w:type="auto"/>
            <w:tcMar>
              <w:top w:w="90" w:type="dxa"/>
              <w:left w:w="90" w:type="dxa"/>
              <w:bottom w:w="90" w:type="dxa"/>
              <w:right w:w="90" w:type="dxa"/>
            </w:tcMar>
            <w:vAlign w:val="center"/>
          </w:tcPr>
          <w:p w14:paraId="29915C82" w14:textId="77777777" w:rsidR="00907FE7" w:rsidRPr="000D1970" w:rsidRDefault="00000000">
            <w:pPr>
              <w:pStyle w:val="Compact"/>
              <w:spacing w:after="40" w:line="276" w:lineRule="auto"/>
              <w:jc w:val="left"/>
              <w:rPr>
                <w:rFonts w:cs="Arial"/>
              </w:rPr>
            </w:pPr>
            <w:r w:rsidRPr="000D1970">
              <w:rPr>
                <w:rFonts w:cs="Arial"/>
                <w:sz w:val="18"/>
              </w:rPr>
              <w:t>Normal reporting cycle</w:t>
            </w:r>
          </w:p>
        </w:tc>
        <w:tc>
          <w:tcPr>
            <w:tcW w:w="0" w:type="auto"/>
            <w:tcMar>
              <w:top w:w="90" w:type="dxa"/>
              <w:left w:w="90" w:type="dxa"/>
              <w:bottom w:w="90" w:type="dxa"/>
              <w:right w:w="90" w:type="dxa"/>
            </w:tcMar>
            <w:vAlign w:val="center"/>
          </w:tcPr>
          <w:p w14:paraId="29915C83" w14:textId="77777777" w:rsidR="00907FE7" w:rsidRPr="000D1970" w:rsidRDefault="00000000">
            <w:pPr>
              <w:pStyle w:val="Compact"/>
              <w:spacing w:after="40" w:line="276" w:lineRule="auto"/>
              <w:jc w:val="left"/>
              <w:rPr>
                <w:rFonts w:cs="Arial"/>
              </w:rPr>
            </w:pPr>
            <w:r w:rsidRPr="000D1970">
              <w:rPr>
                <w:rFonts w:cs="Arial"/>
                <w:sz w:val="18"/>
              </w:rPr>
              <w:t>Investor relations</w:t>
            </w:r>
          </w:p>
        </w:tc>
      </w:tr>
    </w:tbl>
    <w:p w14:paraId="696D07D4" w14:textId="77777777" w:rsidR="000D1970" w:rsidRDefault="00000000" w:rsidP="000D1970">
      <w:pPr>
        <w:pStyle w:val="BodyText"/>
        <w:spacing w:after="140"/>
        <w:rPr>
          <w:rFonts w:cs="Arial"/>
        </w:rPr>
      </w:pPr>
      <w:r w:rsidRPr="000D1970">
        <w:rPr>
          <w:rFonts w:cs="Arial"/>
        </w:rPr>
        <w:t>Channels should match the audience. Board members need brief decision-focused reports; technical teams need detailed working sessions; customers need plain language and accessible formats. Translation should include cultural review, not word-for-word conversion. Each communication must include a feedback route and response time. This changes communication from one-way transmission into dialogue.</w:t>
      </w:r>
      <w:bookmarkStart w:id="14" w:name="raci-governance"/>
      <w:bookmarkEnd w:id="13"/>
    </w:p>
    <w:p w14:paraId="29915C86" w14:textId="7E8C5A31" w:rsidR="00907FE7" w:rsidRPr="000D1970" w:rsidRDefault="00000000" w:rsidP="000D1970">
      <w:pPr>
        <w:pStyle w:val="BodyText"/>
        <w:spacing w:after="140"/>
        <w:rPr>
          <w:rFonts w:cs="Arial"/>
          <w:b/>
          <w:bCs/>
          <w:sz w:val="24"/>
        </w:rPr>
      </w:pPr>
      <w:r w:rsidRPr="000D1970">
        <w:rPr>
          <w:rFonts w:cs="Arial"/>
        </w:rPr>
        <w:t xml:space="preserve"> </w:t>
      </w:r>
      <w:r w:rsidRPr="000D1970">
        <w:rPr>
          <w:rFonts w:cs="Arial"/>
          <w:b/>
          <w:bCs/>
          <w:sz w:val="24"/>
        </w:rPr>
        <w:t>RACI Roles and Responsibilities</w:t>
      </w:r>
    </w:p>
    <w:p w14:paraId="29915C87" w14:textId="77777777" w:rsidR="00907FE7" w:rsidRPr="000D1970" w:rsidRDefault="00000000">
      <w:pPr>
        <w:pStyle w:val="FirstParagraph"/>
        <w:spacing w:after="140"/>
        <w:rPr>
          <w:rFonts w:cs="Arial"/>
        </w:rPr>
      </w:pPr>
      <w:r w:rsidRPr="000D1970">
        <w:rPr>
          <w:rFonts w:cs="Arial"/>
        </w:rPr>
        <w:t xml:space="preserve">RACI clarifies who is </w:t>
      </w:r>
      <w:r w:rsidRPr="000D1970">
        <w:rPr>
          <w:rFonts w:cs="Arial"/>
          <w:b/>
          <w:bCs/>
        </w:rPr>
        <w:t>Responsible</w:t>
      </w:r>
      <w:r w:rsidRPr="000D1970">
        <w:rPr>
          <w:rFonts w:cs="Arial"/>
        </w:rPr>
        <w:t xml:space="preserve">, </w:t>
      </w:r>
      <w:r w:rsidRPr="000D1970">
        <w:rPr>
          <w:rFonts w:cs="Arial"/>
          <w:b/>
          <w:bCs/>
        </w:rPr>
        <w:t>Accountable</w:t>
      </w:r>
      <w:r w:rsidRPr="000D1970">
        <w:rPr>
          <w:rFonts w:cs="Arial"/>
        </w:rPr>
        <w:t xml:space="preserve">, </w:t>
      </w:r>
      <w:r w:rsidRPr="000D1970">
        <w:rPr>
          <w:rFonts w:cs="Arial"/>
          <w:b/>
          <w:bCs/>
        </w:rPr>
        <w:t>Consulted</w:t>
      </w:r>
      <w:r w:rsidRPr="000D1970">
        <w:rPr>
          <w:rFonts w:cs="Arial"/>
        </w:rPr>
        <w:t xml:space="preserve"> and </w:t>
      </w:r>
      <w:r w:rsidRPr="000D1970">
        <w:rPr>
          <w:rFonts w:cs="Arial"/>
          <w:b/>
          <w:bCs/>
        </w:rPr>
        <w:t>Informed</w:t>
      </w:r>
      <w:r w:rsidRPr="000D1970">
        <w:rPr>
          <w:rFonts w:cs="Arial"/>
        </w:rPr>
        <w:t>. It reduces duplication and gaps, but it must not become a static document that replaces discussion.</w:t>
      </w:r>
    </w:p>
    <w:tbl>
      <w:tblPr>
        <w:tblStyle w:val="Table"/>
        <w:tblW w:w="5000" w:type="pct"/>
        <w:jc w:val="center"/>
        <w:tblLook w:val="0020" w:firstRow="1" w:lastRow="0" w:firstColumn="0" w:lastColumn="0" w:noHBand="0" w:noVBand="0"/>
      </w:tblPr>
      <w:tblGrid>
        <w:gridCol w:w="2384"/>
        <w:gridCol w:w="1911"/>
        <w:gridCol w:w="1840"/>
        <w:gridCol w:w="1834"/>
        <w:gridCol w:w="1528"/>
      </w:tblGrid>
      <w:tr w:rsidR="00907FE7" w:rsidRPr="000D1970" w14:paraId="29915C8D" w14:textId="77777777" w:rsidTr="00907FE7">
        <w:trPr>
          <w:cnfStyle w:val="100000000000" w:firstRow="1" w:lastRow="0" w:firstColumn="0" w:lastColumn="0" w:oddVBand="0" w:evenVBand="0" w:oddHBand="0" w:evenHBand="0" w:firstRowFirstColumn="0" w:firstRowLastColumn="0" w:lastRowFirstColumn="0" w:lastRowLastColumn="0"/>
          <w:tblHeader/>
          <w:jc w:val="center"/>
        </w:trPr>
        <w:tc>
          <w:tcPr>
            <w:tcW w:w="0" w:type="auto"/>
            <w:shd w:val="clear" w:color="auto" w:fill="D9E8E1"/>
            <w:tcMar>
              <w:top w:w="90" w:type="dxa"/>
              <w:left w:w="90" w:type="dxa"/>
              <w:bottom w:w="90" w:type="dxa"/>
              <w:right w:w="90" w:type="dxa"/>
            </w:tcMar>
            <w:vAlign w:val="center"/>
          </w:tcPr>
          <w:p w14:paraId="29915C88" w14:textId="77777777" w:rsidR="00907FE7" w:rsidRPr="000D1970" w:rsidRDefault="00000000">
            <w:pPr>
              <w:pStyle w:val="Compact"/>
              <w:spacing w:after="40" w:line="276" w:lineRule="auto"/>
              <w:jc w:val="left"/>
              <w:rPr>
                <w:rFonts w:cs="Arial"/>
              </w:rPr>
            </w:pPr>
            <w:r w:rsidRPr="000D1970">
              <w:rPr>
                <w:rFonts w:cs="Arial"/>
                <w:b/>
                <w:sz w:val="18"/>
              </w:rPr>
              <w:t>Activity</w:t>
            </w:r>
          </w:p>
        </w:tc>
        <w:tc>
          <w:tcPr>
            <w:tcW w:w="0" w:type="auto"/>
            <w:shd w:val="clear" w:color="auto" w:fill="D9E8E1"/>
            <w:tcMar>
              <w:top w:w="90" w:type="dxa"/>
              <w:left w:w="90" w:type="dxa"/>
              <w:bottom w:w="90" w:type="dxa"/>
              <w:right w:w="90" w:type="dxa"/>
            </w:tcMar>
            <w:vAlign w:val="center"/>
          </w:tcPr>
          <w:p w14:paraId="29915C89" w14:textId="77777777" w:rsidR="00907FE7" w:rsidRPr="000D1970" w:rsidRDefault="00000000">
            <w:pPr>
              <w:pStyle w:val="Compact"/>
              <w:spacing w:after="40" w:line="276" w:lineRule="auto"/>
              <w:jc w:val="left"/>
              <w:rPr>
                <w:rFonts w:cs="Arial"/>
              </w:rPr>
            </w:pPr>
            <w:r w:rsidRPr="000D1970">
              <w:rPr>
                <w:rFonts w:cs="Arial"/>
                <w:b/>
                <w:sz w:val="18"/>
              </w:rPr>
              <w:t>Accountable</w:t>
            </w:r>
          </w:p>
        </w:tc>
        <w:tc>
          <w:tcPr>
            <w:tcW w:w="0" w:type="auto"/>
            <w:shd w:val="clear" w:color="auto" w:fill="D9E8E1"/>
            <w:tcMar>
              <w:top w:w="90" w:type="dxa"/>
              <w:left w:w="90" w:type="dxa"/>
              <w:bottom w:w="90" w:type="dxa"/>
              <w:right w:w="90" w:type="dxa"/>
            </w:tcMar>
            <w:vAlign w:val="center"/>
          </w:tcPr>
          <w:p w14:paraId="29915C8A" w14:textId="77777777" w:rsidR="00907FE7" w:rsidRPr="000D1970" w:rsidRDefault="00000000">
            <w:pPr>
              <w:pStyle w:val="Compact"/>
              <w:spacing w:after="40" w:line="276" w:lineRule="auto"/>
              <w:jc w:val="left"/>
              <w:rPr>
                <w:rFonts w:cs="Arial"/>
              </w:rPr>
            </w:pPr>
            <w:r w:rsidRPr="000D1970">
              <w:rPr>
                <w:rFonts w:cs="Arial"/>
                <w:b/>
                <w:sz w:val="18"/>
              </w:rPr>
              <w:t>Responsible</w:t>
            </w:r>
          </w:p>
        </w:tc>
        <w:tc>
          <w:tcPr>
            <w:tcW w:w="0" w:type="auto"/>
            <w:shd w:val="clear" w:color="auto" w:fill="D9E8E1"/>
            <w:tcMar>
              <w:top w:w="90" w:type="dxa"/>
              <w:left w:w="90" w:type="dxa"/>
              <w:bottom w:w="90" w:type="dxa"/>
              <w:right w:w="90" w:type="dxa"/>
            </w:tcMar>
            <w:vAlign w:val="center"/>
          </w:tcPr>
          <w:p w14:paraId="29915C8B" w14:textId="77777777" w:rsidR="00907FE7" w:rsidRPr="000D1970" w:rsidRDefault="00000000">
            <w:pPr>
              <w:pStyle w:val="Compact"/>
              <w:spacing w:after="40" w:line="276" w:lineRule="auto"/>
              <w:jc w:val="left"/>
              <w:rPr>
                <w:rFonts w:cs="Arial"/>
              </w:rPr>
            </w:pPr>
            <w:r w:rsidRPr="000D1970">
              <w:rPr>
                <w:rFonts w:cs="Arial"/>
                <w:b/>
                <w:sz w:val="18"/>
              </w:rPr>
              <w:t>Consulted</w:t>
            </w:r>
          </w:p>
        </w:tc>
        <w:tc>
          <w:tcPr>
            <w:tcW w:w="0" w:type="auto"/>
            <w:shd w:val="clear" w:color="auto" w:fill="D9E8E1"/>
            <w:tcMar>
              <w:top w:w="90" w:type="dxa"/>
              <w:left w:w="90" w:type="dxa"/>
              <w:bottom w:w="90" w:type="dxa"/>
              <w:right w:w="90" w:type="dxa"/>
            </w:tcMar>
            <w:vAlign w:val="center"/>
          </w:tcPr>
          <w:p w14:paraId="29915C8C" w14:textId="77777777" w:rsidR="00907FE7" w:rsidRPr="000D1970" w:rsidRDefault="00000000">
            <w:pPr>
              <w:pStyle w:val="Compact"/>
              <w:spacing w:after="40" w:line="276" w:lineRule="auto"/>
              <w:jc w:val="left"/>
              <w:rPr>
                <w:rFonts w:cs="Arial"/>
              </w:rPr>
            </w:pPr>
            <w:r w:rsidRPr="000D1970">
              <w:rPr>
                <w:rFonts w:cs="Arial"/>
                <w:b/>
                <w:sz w:val="18"/>
              </w:rPr>
              <w:t>Informed</w:t>
            </w:r>
          </w:p>
        </w:tc>
      </w:tr>
      <w:tr w:rsidR="00907FE7" w:rsidRPr="000D1970" w14:paraId="29915C93" w14:textId="77777777" w:rsidTr="00907FE7">
        <w:trPr>
          <w:jc w:val="center"/>
        </w:trPr>
        <w:tc>
          <w:tcPr>
            <w:tcW w:w="0" w:type="auto"/>
            <w:tcMar>
              <w:top w:w="90" w:type="dxa"/>
              <w:left w:w="90" w:type="dxa"/>
              <w:bottom w:w="90" w:type="dxa"/>
              <w:right w:w="90" w:type="dxa"/>
            </w:tcMar>
            <w:vAlign w:val="center"/>
          </w:tcPr>
          <w:p w14:paraId="29915C8E" w14:textId="77777777" w:rsidR="00907FE7" w:rsidRPr="000D1970" w:rsidRDefault="00000000">
            <w:pPr>
              <w:pStyle w:val="Compact"/>
              <w:spacing w:after="40" w:line="276" w:lineRule="auto"/>
              <w:jc w:val="left"/>
              <w:rPr>
                <w:rFonts w:cs="Arial"/>
              </w:rPr>
            </w:pPr>
            <w:r w:rsidRPr="000D1970">
              <w:rPr>
                <w:rFonts w:cs="Arial"/>
                <w:sz w:val="18"/>
              </w:rPr>
              <w:t>Business case and scope</w:t>
            </w:r>
          </w:p>
        </w:tc>
        <w:tc>
          <w:tcPr>
            <w:tcW w:w="0" w:type="auto"/>
            <w:tcMar>
              <w:top w:w="90" w:type="dxa"/>
              <w:left w:w="90" w:type="dxa"/>
              <w:bottom w:w="90" w:type="dxa"/>
              <w:right w:w="90" w:type="dxa"/>
            </w:tcMar>
            <w:vAlign w:val="center"/>
          </w:tcPr>
          <w:p w14:paraId="29915C8F" w14:textId="77777777" w:rsidR="00907FE7" w:rsidRPr="000D1970" w:rsidRDefault="00000000">
            <w:pPr>
              <w:pStyle w:val="Compact"/>
              <w:spacing w:after="40" w:line="276" w:lineRule="auto"/>
              <w:jc w:val="left"/>
              <w:rPr>
                <w:rFonts w:cs="Arial"/>
              </w:rPr>
            </w:pPr>
            <w:r w:rsidRPr="000D1970">
              <w:rPr>
                <w:rFonts w:cs="Arial"/>
                <w:sz w:val="18"/>
              </w:rPr>
              <w:t>Executive sponsor</w:t>
            </w:r>
          </w:p>
        </w:tc>
        <w:tc>
          <w:tcPr>
            <w:tcW w:w="0" w:type="auto"/>
            <w:tcMar>
              <w:top w:w="90" w:type="dxa"/>
              <w:left w:w="90" w:type="dxa"/>
              <w:bottom w:w="90" w:type="dxa"/>
              <w:right w:w="90" w:type="dxa"/>
            </w:tcMar>
            <w:vAlign w:val="center"/>
          </w:tcPr>
          <w:p w14:paraId="29915C90" w14:textId="77777777" w:rsidR="00907FE7" w:rsidRPr="000D1970" w:rsidRDefault="00000000">
            <w:pPr>
              <w:pStyle w:val="Compact"/>
              <w:spacing w:after="40" w:line="276" w:lineRule="auto"/>
              <w:jc w:val="left"/>
              <w:rPr>
                <w:rFonts w:cs="Arial"/>
              </w:rPr>
            </w:pPr>
            <w:r w:rsidRPr="000D1970">
              <w:rPr>
                <w:rFonts w:cs="Arial"/>
                <w:sz w:val="18"/>
              </w:rPr>
              <w:t>Project manager</w:t>
            </w:r>
          </w:p>
        </w:tc>
        <w:tc>
          <w:tcPr>
            <w:tcW w:w="0" w:type="auto"/>
            <w:tcMar>
              <w:top w:w="90" w:type="dxa"/>
              <w:left w:w="90" w:type="dxa"/>
              <w:bottom w:w="90" w:type="dxa"/>
              <w:right w:w="90" w:type="dxa"/>
            </w:tcMar>
            <w:vAlign w:val="center"/>
          </w:tcPr>
          <w:p w14:paraId="29915C91" w14:textId="77777777" w:rsidR="00907FE7" w:rsidRPr="000D1970" w:rsidRDefault="00000000">
            <w:pPr>
              <w:pStyle w:val="Compact"/>
              <w:spacing w:after="40" w:line="276" w:lineRule="auto"/>
              <w:jc w:val="left"/>
              <w:rPr>
                <w:rFonts w:cs="Arial"/>
              </w:rPr>
            </w:pPr>
            <w:r w:rsidRPr="000D1970">
              <w:rPr>
                <w:rFonts w:cs="Arial"/>
                <w:sz w:val="18"/>
              </w:rPr>
              <w:t>Finance, markets, product</w:t>
            </w:r>
          </w:p>
        </w:tc>
        <w:tc>
          <w:tcPr>
            <w:tcW w:w="0" w:type="auto"/>
            <w:tcMar>
              <w:top w:w="90" w:type="dxa"/>
              <w:left w:w="90" w:type="dxa"/>
              <w:bottom w:w="90" w:type="dxa"/>
              <w:right w:w="90" w:type="dxa"/>
            </w:tcMar>
            <w:vAlign w:val="center"/>
          </w:tcPr>
          <w:p w14:paraId="29915C92" w14:textId="77777777" w:rsidR="00907FE7" w:rsidRPr="000D1970" w:rsidRDefault="00000000">
            <w:pPr>
              <w:pStyle w:val="Compact"/>
              <w:spacing w:after="40" w:line="276" w:lineRule="auto"/>
              <w:jc w:val="left"/>
              <w:rPr>
                <w:rFonts w:cs="Arial"/>
              </w:rPr>
            </w:pPr>
            <w:r w:rsidRPr="000D1970">
              <w:rPr>
                <w:rFonts w:cs="Arial"/>
                <w:sz w:val="18"/>
              </w:rPr>
              <w:t>Board and wider team</w:t>
            </w:r>
          </w:p>
        </w:tc>
      </w:tr>
      <w:tr w:rsidR="00907FE7" w:rsidRPr="000D1970" w14:paraId="29915C99" w14:textId="77777777" w:rsidTr="00907FE7">
        <w:trPr>
          <w:jc w:val="center"/>
        </w:trPr>
        <w:tc>
          <w:tcPr>
            <w:tcW w:w="0" w:type="auto"/>
            <w:tcMar>
              <w:top w:w="90" w:type="dxa"/>
              <w:left w:w="90" w:type="dxa"/>
              <w:bottom w:w="90" w:type="dxa"/>
              <w:right w:w="90" w:type="dxa"/>
            </w:tcMar>
            <w:vAlign w:val="center"/>
          </w:tcPr>
          <w:p w14:paraId="29915C94" w14:textId="77777777" w:rsidR="00907FE7" w:rsidRPr="000D1970" w:rsidRDefault="00000000">
            <w:pPr>
              <w:pStyle w:val="Compact"/>
              <w:spacing w:after="40" w:line="276" w:lineRule="auto"/>
              <w:jc w:val="left"/>
              <w:rPr>
                <w:rFonts w:cs="Arial"/>
              </w:rPr>
            </w:pPr>
            <w:r w:rsidRPr="000D1970">
              <w:rPr>
                <w:rFonts w:cs="Arial"/>
                <w:sz w:val="18"/>
              </w:rPr>
              <w:t>Platform and AI design</w:t>
            </w:r>
          </w:p>
        </w:tc>
        <w:tc>
          <w:tcPr>
            <w:tcW w:w="0" w:type="auto"/>
            <w:tcMar>
              <w:top w:w="90" w:type="dxa"/>
              <w:left w:w="90" w:type="dxa"/>
              <w:bottom w:w="90" w:type="dxa"/>
              <w:right w:w="90" w:type="dxa"/>
            </w:tcMar>
            <w:vAlign w:val="center"/>
          </w:tcPr>
          <w:p w14:paraId="29915C95" w14:textId="77777777" w:rsidR="00907FE7" w:rsidRPr="000D1970" w:rsidRDefault="00000000">
            <w:pPr>
              <w:pStyle w:val="Compact"/>
              <w:spacing w:after="40" w:line="276" w:lineRule="auto"/>
              <w:jc w:val="left"/>
              <w:rPr>
                <w:rFonts w:cs="Arial"/>
              </w:rPr>
            </w:pPr>
            <w:r w:rsidRPr="000D1970">
              <w:rPr>
                <w:rFonts w:cs="Arial"/>
                <w:sz w:val="18"/>
              </w:rPr>
              <w:t>Chief Digital/Technology lead</w:t>
            </w:r>
          </w:p>
        </w:tc>
        <w:tc>
          <w:tcPr>
            <w:tcW w:w="0" w:type="auto"/>
            <w:tcMar>
              <w:top w:w="90" w:type="dxa"/>
              <w:left w:w="90" w:type="dxa"/>
              <w:bottom w:w="90" w:type="dxa"/>
              <w:right w:w="90" w:type="dxa"/>
            </w:tcMar>
            <w:vAlign w:val="center"/>
          </w:tcPr>
          <w:p w14:paraId="29915C96" w14:textId="77777777" w:rsidR="00907FE7" w:rsidRPr="000D1970" w:rsidRDefault="00000000">
            <w:pPr>
              <w:pStyle w:val="Compact"/>
              <w:spacing w:after="40" w:line="276" w:lineRule="auto"/>
              <w:jc w:val="left"/>
              <w:rPr>
                <w:rFonts w:cs="Arial"/>
              </w:rPr>
            </w:pPr>
            <w:r w:rsidRPr="000D1970">
              <w:rPr>
                <w:rFonts w:cs="Arial"/>
                <w:sz w:val="18"/>
              </w:rPr>
              <w:t>Product, data and IT teams</w:t>
            </w:r>
          </w:p>
        </w:tc>
        <w:tc>
          <w:tcPr>
            <w:tcW w:w="0" w:type="auto"/>
            <w:tcMar>
              <w:top w:w="90" w:type="dxa"/>
              <w:left w:w="90" w:type="dxa"/>
              <w:bottom w:w="90" w:type="dxa"/>
              <w:right w:w="90" w:type="dxa"/>
            </w:tcMar>
            <w:vAlign w:val="center"/>
          </w:tcPr>
          <w:p w14:paraId="29915C97" w14:textId="77777777" w:rsidR="00907FE7" w:rsidRPr="000D1970" w:rsidRDefault="00000000">
            <w:pPr>
              <w:pStyle w:val="Compact"/>
              <w:spacing w:after="40" w:line="276" w:lineRule="auto"/>
              <w:jc w:val="left"/>
              <w:rPr>
                <w:rFonts w:cs="Arial"/>
              </w:rPr>
            </w:pPr>
            <w:r w:rsidRPr="000D1970">
              <w:rPr>
                <w:rFonts w:cs="Arial"/>
                <w:sz w:val="18"/>
              </w:rPr>
              <w:t>DPO, marketing, customers, partners</w:t>
            </w:r>
          </w:p>
        </w:tc>
        <w:tc>
          <w:tcPr>
            <w:tcW w:w="0" w:type="auto"/>
            <w:tcMar>
              <w:top w:w="90" w:type="dxa"/>
              <w:left w:w="90" w:type="dxa"/>
              <w:bottom w:w="90" w:type="dxa"/>
              <w:right w:w="90" w:type="dxa"/>
            </w:tcMar>
            <w:vAlign w:val="center"/>
          </w:tcPr>
          <w:p w14:paraId="29915C98" w14:textId="77777777" w:rsidR="00907FE7" w:rsidRPr="000D1970" w:rsidRDefault="00000000">
            <w:pPr>
              <w:pStyle w:val="Compact"/>
              <w:spacing w:after="40" w:line="276" w:lineRule="auto"/>
              <w:jc w:val="left"/>
              <w:rPr>
                <w:rFonts w:cs="Arial"/>
              </w:rPr>
            </w:pPr>
            <w:r w:rsidRPr="000D1970">
              <w:rPr>
                <w:rFonts w:cs="Arial"/>
                <w:sz w:val="18"/>
              </w:rPr>
              <w:t>Sponsor and operations</w:t>
            </w:r>
          </w:p>
        </w:tc>
      </w:tr>
      <w:tr w:rsidR="00907FE7" w:rsidRPr="000D1970" w14:paraId="29915C9F" w14:textId="77777777" w:rsidTr="00907FE7">
        <w:trPr>
          <w:jc w:val="center"/>
        </w:trPr>
        <w:tc>
          <w:tcPr>
            <w:tcW w:w="0" w:type="auto"/>
            <w:tcMar>
              <w:top w:w="90" w:type="dxa"/>
              <w:left w:w="90" w:type="dxa"/>
              <w:bottom w:w="90" w:type="dxa"/>
              <w:right w:w="90" w:type="dxa"/>
            </w:tcMar>
            <w:vAlign w:val="center"/>
          </w:tcPr>
          <w:p w14:paraId="29915C9A" w14:textId="77777777" w:rsidR="00907FE7" w:rsidRPr="000D1970" w:rsidRDefault="00000000">
            <w:pPr>
              <w:pStyle w:val="Compact"/>
              <w:spacing w:after="40" w:line="276" w:lineRule="auto"/>
              <w:jc w:val="left"/>
              <w:rPr>
                <w:rFonts w:cs="Arial"/>
              </w:rPr>
            </w:pPr>
            <w:r w:rsidRPr="000D1970">
              <w:rPr>
                <w:rFonts w:cs="Arial"/>
                <w:sz w:val="18"/>
              </w:rPr>
              <w:t>DPIA and privacy controls</w:t>
            </w:r>
          </w:p>
        </w:tc>
        <w:tc>
          <w:tcPr>
            <w:tcW w:w="0" w:type="auto"/>
            <w:tcMar>
              <w:top w:w="90" w:type="dxa"/>
              <w:left w:w="90" w:type="dxa"/>
              <w:bottom w:w="90" w:type="dxa"/>
              <w:right w:w="90" w:type="dxa"/>
            </w:tcMar>
            <w:vAlign w:val="center"/>
          </w:tcPr>
          <w:p w14:paraId="29915C9B" w14:textId="77777777" w:rsidR="00907FE7" w:rsidRPr="000D1970" w:rsidRDefault="00000000">
            <w:pPr>
              <w:pStyle w:val="Compact"/>
              <w:spacing w:after="40" w:line="276" w:lineRule="auto"/>
              <w:jc w:val="left"/>
              <w:rPr>
                <w:rFonts w:cs="Arial"/>
              </w:rPr>
            </w:pPr>
            <w:r w:rsidRPr="000D1970">
              <w:rPr>
                <w:rFonts w:cs="Arial"/>
                <w:sz w:val="18"/>
              </w:rPr>
              <w:t>DPO</w:t>
            </w:r>
          </w:p>
        </w:tc>
        <w:tc>
          <w:tcPr>
            <w:tcW w:w="0" w:type="auto"/>
            <w:tcMar>
              <w:top w:w="90" w:type="dxa"/>
              <w:left w:w="90" w:type="dxa"/>
              <w:bottom w:w="90" w:type="dxa"/>
              <w:right w:w="90" w:type="dxa"/>
            </w:tcMar>
            <w:vAlign w:val="center"/>
          </w:tcPr>
          <w:p w14:paraId="29915C9C" w14:textId="77777777" w:rsidR="00907FE7" w:rsidRPr="000D1970" w:rsidRDefault="00000000">
            <w:pPr>
              <w:pStyle w:val="Compact"/>
              <w:spacing w:after="40" w:line="276" w:lineRule="auto"/>
              <w:jc w:val="left"/>
              <w:rPr>
                <w:rFonts w:cs="Arial"/>
              </w:rPr>
            </w:pPr>
            <w:r w:rsidRPr="000D1970">
              <w:rPr>
                <w:rFonts w:cs="Arial"/>
                <w:sz w:val="18"/>
              </w:rPr>
              <w:t>Privacy/legal team</w:t>
            </w:r>
          </w:p>
        </w:tc>
        <w:tc>
          <w:tcPr>
            <w:tcW w:w="0" w:type="auto"/>
            <w:tcMar>
              <w:top w:w="90" w:type="dxa"/>
              <w:left w:w="90" w:type="dxa"/>
              <w:bottom w:w="90" w:type="dxa"/>
              <w:right w:w="90" w:type="dxa"/>
            </w:tcMar>
            <w:vAlign w:val="center"/>
          </w:tcPr>
          <w:p w14:paraId="29915C9D" w14:textId="77777777" w:rsidR="00907FE7" w:rsidRPr="000D1970" w:rsidRDefault="00000000">
            <w:pPr>
              <w:pStyle w:val="Compact"/>
              <w:spacing w:after="40" w:line="276" w:lineRule="auto"/>
              <w:jc w:val="left"/>
              <w:rPr>
                <w:rFonts w:cs="Arial"/>
              </w:rPr>
            </w:pPr>
            <w:r w:rsidRPr="000D1970">
              <w:rPr>
                <w:rFonts w:cs="Arial"/>
                <w:sz w:val="18"/>
              </w:rPr>
              <w:t>Security, product, partners, customer panel</w:t>
            </w:r>
          </w:p>
        </w:tc>
        <w:tc>
          <w:tcPr>
            <w:tcW w:w="0" w:type="auto"/>
            <w:tcMar>
              <w:top w:w="90" w:type="dxa"/>
              <w:left w:w="90" w:type="dxa"/>
              <w:bottom w:w="90" w:type="dxa"/>
              <w:right w:w="90" w:type="dxa"/>
            </w:tcMar>
            <w:vAlign w:val="center"/>
          </w:tcPr>
          <w:p w14:paraId="29915C9E" w14:textId="77777777" w:rsidR="00907FE7" w:rsidRPr="000D1970" w:rsidRDefault="00000000">
            <w:pPr>
              <w:pStyle w:val="Compact"/>
              <w:spacing w:after="40" w:line="276" w:lineRule="auto"/>
              <w:jc w:val="left"/>
              <w:rPr>
                <w:rFonts w:cs="Arial"/>
              </w:rPr>
            </w:pPr>
            <w:r w:rsidRPr="000D1970">
              <w:rPr>
                <w:rFonts w:cs="Arial"/>
                <w:sz w:val="18"/>
              </w:rPr>
              <w:t>Sponsor and Board risk group</w:t>
            </w:r>
          </w:p>
        </w:tc>
      </w:tr>
      <w:tr w:rsidR="00907FE7" w:rsidRPr="000D1970" w14:paraId="29915CA5" w14:textId="77777777" w:rsidTr="00907FE7">
        <w:trPr>
          <w:jc w:val="center"/>
        </w:trPr>
        <w:tc>
          <w:tcPr>
            <w:tcW w:w="0" w:type="auto"/>
            <w:tcMar>
              <w:top w:w="90" w:type="dxa"/>
              <w:left w:w="90" w:type="dxa"/>
              <w:bottom w:w="90" w:type="dxa"/>
              <w:right w:w="90" w:type="dxa"/>
            </w:tcMar>
            <w:vAlign w:val="center"/>
          </w:tcPr>
          <w:p w14:paraId="29915CA0" w14:textId="77777777" w:rsidR="00907FE7" w:rsidRPr="000D1970" w:rsidRDefault="00000000">
            <w:pPr>
              <w:pStyle w:val="Compact"/>
              <w:spacing w:after="40" w:line="276" w:lineRule="auto"/>
              <w:jc w:val="left"/>
              <w:rPr>
                <w:rFonts w:cs="Arial"/>
              </w:rPr>
            </w:pPr>
            <w:r w:rsidRPr="000D1970">
              <w:rPr>
                <w:rFonts w:cs="Arial"/>
                <w:sz w:val="18"/>
              </w:rPr>
              <w:t>Adapting ConnectPlus for each country</w:t>
            </w:r>
          </w:p>
        </w:tc>
        <w:tc>
          <w:tcPr>
            <w:tcW w:w="0" w:type="auto"/>
            <w:tcMar>
              <w:top w:w="90" w:type="dxa"/>
              <w:left w:w="90" w:type="dxa"/>
              <w:bottom w:w="90" w:type="dxa"/>
              <w:right w:w="90" w:type="dxa"/>
            </w:tcMar>
            <w:vAlign w:val="center"/>
          </w:tcPr>
          <w:p w14:paraId="29915CA1" w14:textId="77777777" w:rsidR="00907FE7" w:rsidRPr="000D1970" w:rsidRDefault="00000000">
            <w:pPr>
              <w:pStyle w:val="Compact"/>
              <w:spacing w:after="40" w:line="276" w:lineRule="auto"/>
              <w:jc w:val="left"/>
              <w:rPr>
                <w:rFonts w:cs="Arial"/>
              </w:rPr>
            </w:pPr>
            <w:r w:rsidRPr="000D1970">
              <w:rPr>
                <w:rFonts w:cs="Arial"/>
                <w:sz w:val="18"/>
              </w:rPr>
              <w:t>International director</w:t>
            </w:r>
          </w:p>
        </w:tc>
        <w:tc>
          <w:tcPr>
            <w:tcW w:w="0" w:type="auto"/>
            <w:tcMar>
              <w:top w:w="90" w:type="dxa"/>
              <w:left w:w="90" w:type="dxa"/>
              <w:bottom w:w="90" w:type="dxa"/>
              <w:right w:w="90" w:type="dxa"/>
            </w:tcMar>
            <w:vAlign w:val="center"/>
          </w:tcPr>
          <w:p w14:paraId="29915CA2" w14:textId="77777777" w:rsidR="00907FE7" w:rsidRPr="000D1970" w:rsidRDefault="00000000">
            <w:pPr>
              <w:pStyle w:val="Compact"/>
              <w:spacing w:after="40" w:line="276" w:lineRule="auto"/>
              <w:jc w:val="left"/>
              <w:rPr>
                <w:rFonts w:cs="Arial"/>
              </w:rPr>
            </w:pPr>
            <w:r w:rsidRPr="000D1970">
              <w:rPr>
                <w:rFonts w:cs="Arial"/>
                <w:sz w:val="18"/>
              </w:rPr>
              <w:t>Local partner/market leads</w:t>
            </w:r>
          </w:p>
        </w:tc>
        <w:tc>
          <w:tcPr>
            <w:tcW w:w="0" w:type="auto"/>
            <w:tcMar>
              <w:top w:w="90" w:type="dxa"/>
              <w:left w:w="90" w:type="dxa"/>
              <w:bottom w:w="90" w:type="dxa"/>
              <w:right w:w="90" w:type="dxa"/>
            </w:tcMar>
            <w:vAlign w:val="center"/>
          </w:tcPr>
          <w:p w14:paraId="29915CA3" w14:textId="77777777" w:rsidR="00907FE7" w:rsidRPr="000D1970" w:rsidRDefault="00000000">
            <w:pPr>
              <w:pStyle w:val="Compact"/>
              <w:spacing w:after="40" w:line="276" w:lineRule="auto"/>
              <w:jc w:val="left"/>
              <w:rPr>
                <w:rFonts w:cs="Arial"/>
              </w:rPr>
            </w:pPr>
            <w:r w:rsidRPr="000D1970">
              <w:rPr>
                <w:rFonts w:cs="Arial"/>
                <w:sz w:val="18"/>
              </w:rPr>
              <w:t>Marketing, legal, technology, customers</w:t>
            </w:r>
          </w:p>
        </w:tc>
        <w:tc>
          <w:tcPr>
            <w:tcW w:w="0" w:type="auto"/>
            <w:tcMar>
              <w:top w:w="90" w:type="dxa"/>
              <w:left w:w="90" w:type="dxa"/>
              <w:bottom w:w="90" w:type="dxa"/>
              <w:right w:w="90" w:type="dxa"/>
            </w:tcMar>
            <w:vAlign w:val="center"/>
          </w:tcPr>
          <w:p w14:paraId="29915CA4" w14:textId="77777777" w:rsidR="00907FE7" w:rsidRPr="000D1970" w:rsidRDefault="00000000">
            <w:pPr>
              <w:pStyle w:val="Compact"/>
              <w:spacing w:after="40" w:line="276" w:lineRule="auto"/>
              <w:jc w:val="left"/>
              <w:rPr>
                <w:rFonts w:cs="Arial"/>
              </w:rPr>
            </w:pPr>
            <w:r w:rsidRPr="000D1970">
              <w:rPr>
                <w:rFonts w:cs="Arial"/>
                <w:sz w:val="18"/>
              </w:rPr>
              <w:t>Project team</w:t>
            </w:r>
          </w:p>
        </w:tc>
      </w:tr>
      <w:tr w:rsidR="00907FE7" w:rsidRPr="000D1970" w14:paraId="29915CAB" w14:textId="77777777" w:rsidTr="00907FE7">
        <w:trPr>
          <w:jc w:val="center"/>
        </w:trPr>
        <w:tc>
          <w:tcPr>
            <w:tcW w:w="0" w:type="auto"/>
            <w:tcMar>
              <w:top w:w="90" w:type="dxa"/>
              <w:left w:w="90" w:type="dxa"/>
              <w:bottom w:w="90" w:type="dxa"/>
              <w:right w:w="90" w:type="dxa"/>
            </w:tcMar>
            <w:vAlign w:val="center"/>
          </w:tcPr>
          <w:p w14:paraId="29915CA6" w14:textId="77777777" w:rsidR="00907FE7" w:rsidRPr="000D1970" w:rsidRDefault="00000000">
            <w:pPr>
              <w:pStyle w:val="Compact"/>
              <w:spacing w:after="40" w:line="276" w:lineRule="auto"/>
              <w:jc w:val="left"/>
              <w:rPr>
                <w:rFonts w:cs="Arial"/>
              </w:rPr>
            </w:pPr>
            <w:r w:rsidRPr="000D1970">
              <w:rPr>
                <w:rFonts w:cs="Arial"/>
                <w:sz w:val="18"/>
              </w:rPr>
              <w:t>Training and preparation of employees and business operations</w:t>
            </w:r>
          </w:p>
        </w:tc>
        <w:tc>
          <w:tcPr>
            <w:tcW w:w="0" w:type="auto"/>
            <w:tcMar>
              <w:top w:w="90" w:type="dxa"/>
              <w:left w:w="90" w:type="dxa"/>
              <w:bottom w:w="90" w:type="dxa"/>
              <w:right w:w="90" w:type="dxa"/>
            </w:tcMar>
            <w:vAlign w:val="center"/>
          </w:tcPr>
          <w:p w14:paraId="29915CA7" w14:textId="77777777" w:rsidR="00907FE7" w:rsidRPr="000D1970" w:rsidRDefault="00000000">
            <w:pPr>
              <w:pStyle w:val="Compact"/>
              <w:spacing w:after="40" w:line="276" w:lineRule="auto"/>
              <w:jc w:val="left"/>
              <w:rPr>
                <w:rFonts w:cs="Arial"/>
              </w:rPr>
            </w:pPr>
            <w:r w:rsidRPr="000D1970">
              <w:rPr>
                <w:rFonts w:cs="Arial"/>
                <w:sz w:val="18"/>
              </w:rPr>
              <w:t>Retail operations director</w:t>
            </w:r>
          </w:p>
        </w:tc>
        <w:tc>
          <w:tcPr>
            <w:tcW w:w="0" w:type="auto"/>
            <w:tcMar>
              <w:top w:w="90" w:type="dxa"/>
              <w:left w:w="90" w:type="dxa"/>
              <w:bottom w:w="90" w:type="dxa"/>
              <w:right w:w="90" w:type="dxa"/>
            </w:tcMar>
            <w:vAlign w:val="center"/>
          </w:tcPr>
          <w:p w14:paraId="29915CA8" w14:textId="77777777" w:rsidR="00907FE7" w:rsidRPr="000D1970" w:rsidRDefault="00000000">
            <w:pPr>
              <w:pStyle w:val="Compact"/>
              <w:spacing w:after="40" w:line="276" w:lineRule="auto"/>
              <w:jc w:val="left"/>
              <w:rPr>
                <w:rFonts w:cs="Arial"/>
              </w:rPr>
            </w:pPr>
            <w:r w:rsidRPr="000D1970">
              <w:rPr>
                <w:rFonts w:cs="Arial"/>
                <w:sz w:val="18"/>
              </w:rPr>
              <w:t>HR, store and service leads</w:t>
            </w:r>
          </w:p>
        </w:tc>
        <w:tc>
          <w:tcPr>
            <w:tcW w:w="0" w:type="auto"/>
            <w:tcMar>
              <w:top w:w="90" w:type="dxa"/>
              <w:left w:w="90" w:type="dxa"/>
              <w:bottom w:w="90" w:type="dxa"/>
              <w:right w:w="90" w:type="dxa"/>
            </w:tcMar>
            <w:vAlign w:val="center"/>
          </w:tcPr>
          <w:p w14:paraId="29915CA9" w14:textId="77777777" w:rsidR="00907FE7" w:rsidRPr="000D1970" w:rsidRDefault="00000000">
            <w:pPr>
              <w:pStyle w:val="Compact"/>
              <w:spacing w:after="40" w:line="276" w:lineRule="auto"/>
              <w:jc w:val="left"/>
              <w:rPr>
                <w:rFonts w:cs="Arial"/>
              </w:rPr>
            </w:pPr>
            <w:r w:rsidRPr="000D1970">
              <w:rPr>
                <w:rFonts w:cs="Arial"/>
                <w:sz w:val="18"/>
              </w:rPr>
              <w:t>Product, local partners</w:t>
            </w:r>
          </w:p>
        </w:tc>
        <w:tc>
          <w:tcPr>
            <w:tcW w:w="0" w:type="auto"/>
            <w:tcMar>
              <w:top w:w="90" w:type="dxa"/>
              <w:left w:w="90" w:type="dxa"/>
              <w:bottom w:w="90" w:type="dxa"/>
              <w:right w:w="90" w:type="dxa"/>
            </w:tcMar>
            <w:vAlign w:val="center"/>
          </w:tcPr>
          <w:p w14:paraId="29915CAA" w14:textId="77777777" w:rsidR="00907FE7" w:rsidRPr="000D1970" w:rsidRDefault="00000000">
            <w:pPr>
              <w:pStyle w:val="Compact"/>
              <w:spacing w:after="40" w:line="276" w:lineRule="auto"/>
              <w:jc w:val="left"/>
              <w:rPr>
                <w:rFonts w:cs="Arial"/>
              </w:rPr>
            </w:pPr>
            <w:r w:rsidRPr="000D1970">
              <w:rPr>
                <w:rFonts w:cs="Arial"/>
                <w:sz w:val="18"/>
              </w:rPr>
              <w:t>All colleagues</w:t>
            </w:r>
          </w:p>
        </w:tc>
      </w:tr>
      <w:tr w:rsidR="00907FE7" w:rsidRPr="000D1970" w14:paraId="29915CB1" w14:textId="77777777" w:rsidTr="00907FE7">
        <w:trPr>
          <w:jc w:val="center"/>
        </w:trPr>
        <w:tc>
          <w:tcPr>
            <w:tcW w:w="0" w:type="auto"/>
            <w:tcMar>
              <w:top w:w="90" w:type="dxa"/>
              <w:left w:w="90" w:type="dxa"/>
              <w:bottom w:w="90" w:type="dxa"/>
              <w:right w:w="90" w:type="dxa"/>
            </w:tcMar>
            <w:vAlign w:val="center"/>
          </w:tcPr>
          <w:p w14:paraId="29915CAC" w14:textId="77777777" w:rsidR="00907FE7" w:rsidRPr="000D1970" w:rsidRDefault="00000000">
            <w:pPr>
              <w:pStyle w:val="Compact"/>
              <w:spacing w:after="40" w:line="276" w:lineRule="auto"/>
              <w:jc w:val="left"/>
              <w:rPr>
                <w:rFonts w:cs="Arial"/>
              </w:rPr>
            </w:pPr>
            <w:r w:rsidRPr="000D1970">
              <w:rPr>
                <w:rFonts w:cs="Arial"/>
                <w:sz w:val="18"/>
              </w:rPr>
              <w:t>Go/no-go decision</w:t>
            </w:r>
          </w:p>
        </w:tc>
        <w:tc>
          <w:tcPr>
            <w:tcW w:w="0" w:type="auto"/>
            <w:tcMar>
              <w:top w:w="90" w:type="dxa"/>
              <w:left w:w="90" w:type="dxa"/>
              <w:bottom w:w="90" w:type="dxa"/>
              <w:right w:w="90" w:type="dxa"/>
            </w:tcMar>
            <w:vAlign w:val="center"/>
          </w:tcPr>
          <w:p w14:paraId="29915CAD" w14:textId="77777777" w:rsidR="00907FE7" w:rsidRPr="000D1970" w:rsidRDefault="00000000">
            <w:pPr>
              <w:pStyle w:val="Compact"/>
              <w:spacing w:after="40" w:line="276" w:lineRule="auto"/>
              <w:jc w:val="left"/>
              <w:rPr>
                <w:rFonts w:cs="Arial"/>
              </w:rPr>
            </w:pPr>
            <w:r w:rsidRPr="000D1970">
              <w:rPr>
                <w:rFonts w:cs="Arial"/>
                <w:sz w:val="18"/>
              </w:rPr>
              <w:t>Executive sponsor</w:t>
            </w:r>
          </w:p>
        </w:tc>
        <w:tc>
          <w:tcPr>
            <w:tcW w:w="0" w:type="auto"/>
            <w:tcMar>
              <w:top w:w="90" w:type="dxa"/>
              <w:left w:w="90" w:type="dxa"/>
              <w:bottom w:w="90" w:type="dxa"/>
              <w:right w:w="90" w:type="dxa"/>
            </w:tcMar>
            <w:vAlign w:val="center"/>
          </w:tcPr>
          <w:p w14:paraId="29915CAE" w14:textId="77777777" w:rsidR="00907FE7" w:rsidRPr="000D1970" w:rsidRDefault="00000000">
            <w:pPr>
              <w:pStyle w:val="Compact"/>
              <w:spacing w:after="40" w:line="276" w:lineRule="auto"/>
              <w:jc w:val="left"/>
              <w:rPr>
                <w:rFonts w:cs="Arial"/>
              </w:rPr>
            </w:pPr>
            <w:r w:rsidRPr="000D1970">
              <w:rPr>
                <w:rFonts w:cs="Arial"/>
                <w:sz w:val="18"/>
              </w:rPr>
              <w:t>Project manager prepares evidence</w:t>
            </w:r>
          </w:p>
        </w:tc>
        <w:tc>
          <w:tcPr>
            <w:tcW w:w="0" w:type="auto"/>
            <w:tcMar>
              <w:top w:w="90" w:type="dxa"/>
              <w:left w:w="90" w:type="dxa"/>
              <w:bottom w:w="90" w:type="dxa"/>
              <w:right w:w="90" w:type="dxa"/>
            </w:tcMar>
            <w:vAlign w:val="center"/>
          </w:tcPr>
          <w:p w14:paraId="29915CAF" w14:textId="77777777" w:rsidR="00907FE7" w:rsidRPr="000D1970" w:rsidRDefault="00000000">
            <w:pPr>
              <w:pStyle w:val="Compact"/>
              <w:spacing w:after="40" w:line="276" w:lineRule="auto"/>
              <w:jc w:val="left"/>
              <w:rPr>
                <w:rFonts w:cs="Arial"/>
              </w:rPr>
            </w:pPr>
            <w:r w:rsidRPr="000D1970">
              <w:rPr>
                <w:rFonts w:cs="Arial"/>
                <w:sz w:val="18"/>
              </w:rPr>
              <w:t>DPO, technology, operations, market leads</w:t>
            </w:r>
          </w:p>
        </w:tc>
        <w:tc>
          <w:tcPr>
            <w:tcW w:w="0" w:type="auto"/>
            <w:tcMar>
              <w:top w:w="90" w:type="dxa"/>
              <w:left w:w="90" w:type="dxa"/>
              <w:bottom w:w="90" w:type="dxa"/>
              <w:right w:w="90" w:type="dxa"/>
            </w:tcMar>
            <w:vAlign w:val="center"/>
          </w:tcPr>
          <w:p w14:paraId="29915CB0" w14:textId="77777777" w:rsidR="00907FE7" w:rsidRPr="000D1970" w:rsidRDefault="00000000">
            <w:pPr>
              <w:pStyle w:val="Compact"/>
              <w:spacing w:after="40" w:line="276" w:lineRule="auto"/>
              <w:jc w:val="left"/>
              <w:rPr>
                <w:rFonts w:cs="Arial"/>
              </w:rPr>
            </w:pPr>
            <w:r w:rsidRPr="000D1970">
              <w:rPr>
                <w:rFonts w:cs="Arial"/>
                <w:sz w:val="18"/>
              </w:rPr>
              <w:t>Board, employees and partners</w:t>
            </w:r>
          </w:p>
        </w:tc>
      </w:tr>
    </w:tbl>
    <w:p w14:paraId="44EED610" w14:textId="77777777" w:rsidR="000D1970" w:rsidRDefault="00000000" w:rsidP="000D1970">
      <w:pPr>
        <w:pStyle w:val="BodyText"/>
        <w:spacing w:after="140"/>
        <w:rPr>
          <w:rFonts w:cs="Arial"/>
        </w:rPr>
      </w:pPr>
      <w:r w:rsidRPr="000D1970">
        <w:rPr>
          <w:rFonts w:cs="Arial"/>
        </w:rPr>
        <w:lastRenderedPageBreak/>
        <w:t>There should be one accountable owner for each activity. Where M&amp;S and a franchise partner jointly process personal data, legal responsibility must be recorded separately from project RACI roles.</w:t>
      </w:r>
      <w:bookmarkStart w:id="15" w:name="managing-conflict"/>
      <w:bookmarkEnd w:id="14"/>
    </w:p>
    <w:p w14:paraId="29915CB3" w14:textId="11960FF5" w:rsidR="00907FE7" w:rsidRPr="000D1970" w:rsidRDefault="00000000" w:rsidP="000D1970">
      <w:pPr>
        <w:pStyle w:val="BodyText"/>
        <w:spacing w:after="140"/>
        <w:rPr>
          <w:rFonts w:cs="Arial"/>
          <w:b/>
          <w:bCs/>
          <w:sz w:val="24"/>
        </w:rPr>
      </w:pPr>
      <w:r w:rsidRPr="000D1970">
        <w:rPr>
          <w:rFonts w:cs="Arial"/>
        </w:rPr>
        <w:t xml:space="preserve"> </w:t>
      </w:r>
      <w:r w:rsidRPr="000D1970">
        <w:rPr>
          <w:rFonts w:cs="Arial"/>
          <w:b/>
          <w:bCs/>
          <w:sz w:val="24"/>
        </w:rPr>
        <w:t>Managing conflict</w:t>
      </w:r>
    </w:p>
    <w:p w14:paraId="29915CB4" w14:textId="77777777" w:rsidR="00907FE7" w:rsidRPr="000D1970" w:rsidRDefault="00000000">
      <w:pPr>
        <w:pStyle w:val="FirstParagraph"/>
        <w:spacing w:after="140"/>
        <w:rPr>
          <w:rFonts w:cs="Arial"/>
        </w:rPr>
      </w:pPr>
      <w:r w:rsidRPr="000D1970">
        <w:rPr>
          <w:rFonts w:cs="Arial"/>
        </w:rPr>
        <w:t>Conflict is expected because stakeholders have different objectives. Marketing may request more personal data, while the DPO wants M&amp;S to collect only the information that is necessary. Finance may want a quick return, while technology teams request further testing. Senior leaders may want the same system in every country, while local partners may want it adapted to their customers.</w:t>
      </w:r>
    </w:p>
    <w:p w14:paraId="29915CB5" w14:textId="77777777" w:rsidR="00907FE7" w:rsidRPr="000D1970" w:rsidRDefault="00000000">
      <w:pPr>
        <w:pStyle w:val="BodyText"/>
        <w:spacing w:after="140"/>
        <w:rPr>
          <w:rFonts w:cs="Arial"/>
        </w:rPr>
      </w:pPr>
      <w:r w:rsidRPr="000D1970">
        <w:rPr>
          <w:rFonts w:cs="Arial"/>
        </w:rPr>
        <w:t>The Thomas–Kilmann model identifies competing, accommodating, avoiding, compromising and collaborating approaches (Thomas and Kilmann, 1974). Collaboration should be the normal approach for important design conflicts because it looks for a solution that addresses both sets of interests. For example, personalisation and privacy can be combined through clear consent choices, limited data, methods of analysing information while protecting customer privacy and customer controls. Compromise is useful when time or budget is fixed. Competing may be required when legal, safety or cybersecurity standards would be breached. Avoiding is acceptable only for low-value issues or when more evidence is needed; it is unsafe for urgent risks.</w:t>
      </w:r>
    </w:p>
    <w:p w14:paraId="29915CB6" w14:textId="3AD1A751" w:rsidR="00907FE7" w:rsidRPr="000D1970" w:rsidRDefault="00000000">
      <w:pPr>
        <w:pStyle w:val="BodyText"/>
        <w:spacing w:after="140"/>
        <w:rPr>
          <w:rFonts w:cs="Arial"/>
        </w:rPr>
      </w:pPr>
      <w:r w:rsidRPr="000D1970">
        <w:rPr>
          <w:rFonts w:cs="Arial"/>
        </w:rPr>
        <w:t>A clear escalation path is required. First, the people involved describe the issue and underlying interests. Second, the project manager gathers evidence and facilitates options. Third, the relevant design or risk authority decides using agreed criteria: customer value, law, ethics, security, cost, schedule and brand impact. Unresolved high-risk matters go to the executive sponsor or Board risk committee. Decisions and dissent are recorded.</w:t>
      </w:r>
    </w:p>
    <w:p w14:paraId="116A0B43" w14:textId="77777777" w:rsidR="000D1970" w:rsidRDefault="00000000" w:rsidP="000D1970">
      <w:pPr>
        <w:pStyle w:val="BodyText"/>
        <w:spacing w:after="140"/>
        <w:rPr>
          <w:rFonts w:cs="Arial"/>
        </w:rPr>
      </w:pPr>
      <w:r w:rsidRPr="000D1970">
        <w:rPr>
          <w:rFonts w:cs="Arial"/>
        </w:rPr>
        <w:t xml:space="preserve">Trust is protected by a fair and transparent decision-making process. Stakeholders are more likely to accept an unwanted decision if they were heard, the same decision rules were applied fairly and the reason was explained. Conflict indicators such as repeated late changes, unanswered actions, meeting </w:t>
      </w:r>
      <w:proofErr w:type="gramStart"/>
      <w:r w:rsidRPr="000D1970">
        <w:rPr>
          <w:rFonts w:cs="Arial"/>
        </w:rPr>
        <w:t>absence</w:t>
      </w:r>
      <w:proofErr w:type="gramEnd"/>
      <w:r w:rsidRPr="000D1970">
        <w:rPr>
          <w:rFonts w:cs="Arial"/>
        </w:rPr>
        <w:t xml:space="preserve"> and increased complaints should be monitored before relationships break down.</w:t>
      </w:r>
      <w:bookmarkStart w:id="16" w:name="X46c081ca944c9ee524cdc43e19b2e6ca21f0cb6"/>
      <w:bookmarkEnd w:id="10"/>
      <w:bookmarkEnd w:id="15"/>
    </w:p>
    <w:p w14:paraId="29915CB8" w14:textId="26BBE5C2" w:rsidR="00907FE7" w:rsidRPr="000D1970" w:rsidRDefault="00000000" w:rsidP="000D1970">
      <w:pPr>
        <w:pStyle w:val="BodyText"/>
        <w:spacing w:after="140"/>
        <w:rPr>
          <w:rFonts w:cs="Arial"/>
          <w:b/>
          <w:bCs/>
          <w:sz w:val="32"/>
          <w:szCs w:val="32"/>
        </w:rPr>
      </w:pPr>
      <w:r w:rsidRPr="000D1970">
        <w:rPr>
          <w:rFonts w:cs="Arial"/>
        </w:rPr>
        <w:t xml:space="preserve"> </w:t>
      </w:r>
      <w:r w:rsidRPr="000D1970">
        <w:rPr>
          <w:rFonts w:cs="Arial"/>
          <w:b/>
          <w:bCs/>
          <w:sz w:val="32"/>
          <w:szCs w:val="32"/>
        </w:rPr>
        <w:t>Impact of Sustainable Stakeholder Engagement on Business Performance</w:t>
      </w:r>
    </w:p>
    <w:p w14:paraId="3B5DFF75" w14:textId="77777777" w:rsidR="000D1970" w:rsidRDefault="00000000" w:rsidP="000D1970">
      <w:pPr>
        <w:pStyle w:val="FirstParagraph"/>
        <w:spacing w:after="140"/>
        <w:rPr>
          <w:rFonts w:cs="Arial"/>
        </w:rPr>
      </w:pPr>
      <w:r w:rsidRPr="000D1970">
        <w:rPr>
          <w:rFonts w:cs="Arial"/>
        </w:rPr>
        <w:t xml:space="preserve">Sustainable engagement means maintaining respectful, transparent and useful relationships from planning until after the platform has been launched. It is not limited to environmental </w:t>
      </w:r>
      <w:r w:rsidRPr="000D1970">
        <w:rPr>
          <w:rFonts w:cs="Arial"/>
        </w:rPr>
        <w:lastRenderedPageBreak/>
        <w:t>sustainability. It includes long-term financial, social and ethical value supported by responsible management.</w:t>
      </w:r>
      <w:bookmarkStart w:id="17" w:name="customer-adoption-retention-and-revenue"/>
    </w:p>
    <w:p w14:paraId="29915CBA" w14:textId="041882C9" w:rsidR="00907FE7" w:rsidRPr="000D1970" w:rsidRDefault="00000000" w:rsidP="000D1970">
      <w:pPr>
        <w:pStyle w:val="FirstParagraph"/>
        <w:spacing w:after="140"/>
        <w:rPr>
          <w:rFonts w:cs="Arial"/>
          <w:b/>
          <w:bCs/>
          <w:sz w:val="24"/>
        </w:rPr>
      </w:pPr>
      <w:r w:rsidRPr="000D1970">
        <w:rPr>
          <w:rFonts w:cs="Arial"/>
        </w:rPr>
        <w:t xml:space="preserve"> </w:t>
      </w:r>
      <w:r w:rsidRPr="000D1970">
        <w:rPr>
          <w:rFonts w:cs="Arial"/>
          <w:b/>
          <w:bCs/>
          <w:sz w:val="24"/>
        </w:rPr>
        <w:t>Customer adoption, retention and revenue</w:t>
      </w:r>
    </w:p>
    <w:p w14:paraId="29915CBB" w14:textId="77777777" w:rsidR="00907FE7" w:rsidRPr="000D1970" w:rsidRDefault="00000000">
      <w:pPr>
        <w:pStyle w:val="FirstParagraph"/>
        <w:spacing w:after="140"/>
        <w:rPr>
          <w:rFonts w:cs="Arial"/>
        </w:rPr>
      </w:pPr>
      <w:r w:rsidRPr="000D1970">
        <w:rPr>
          <w:rFonts w:cs="Arial"/>
        </w:rPr>
        <w:t>Customer involvement can improve the relevance and ease of ConnectPlus. Useful rewards and clear controls should increase adoption, repeat use and purchase frequency. Relationship marketing suggests that the company creates value by developing good relationships with customers and other stakeholders, not simply through selling to customers (Christopher, Payne and Ballantyne, 2013). Better customer insight can also support stock planning and product decisions.</w:t>
      </w:r>
    </w:p>
    <w:p w14:paraId="29915CBC" w14:textId="77777777" w:rsidR="00907FE7" w:rsidRPr="000D1970" w:rsidRDefault="00000000">
      <w:pPr>
        <w:pStyle w:val="BodyText"/>
        <w:spacing w:after="140"/>
        <w:rPr>
          <w:rFonts w:cs="Arial"/>
        </w:rPr>
      </w:pPr>
      <w:r w:rsidRPr="000D1970">
        <w:rPr>
          <w:rFonts w:cs="Arial"/>
        </w:rPr>
        <w:t>However, engagement does not guarantee loyalty. Customers may participate in research but reject the final programme if rewards are weak or privacy concerns remain. M&amp;S should therefore measure behaviour as well as satisfaction. Recommended indicators include registration, monthly active use, redemption, opt-out, complaint and retention rates, with results separated by market and customer group.</w:t>
      </w:r>
    </w:p>
    <w:p w14:paraId="29915CBD" w14:textId="4BDD0D9D" w:rsidR="00907FE7" w:rsidRPr="000D1970" w:rsidRDefault="00000000">
      <w:pPr>
        <w:pStyle w:val="Heading3"/>
        <w:rPr>
          <w:rFonts w:ascii="Arial" w:hAnsi="Arial" w:cs="Arial"/>
          <w:color w:val="auto"/>
          <w:sz w:val="24"/>
        </w:rPr>
      </w:pPr>
      <w:bookmarkStart w:id="18" w:name="trust-reputation-and-licence-to-operate"/>
      <w:bookmarkEnd w:id="17"/>
      <w:r w:rsidRPr="000D1970">
        <w:rPr>
          <w:rFonts w:ascii="Arial" w:hAnsi="Arial" w:cs="Arial"/>
        </w:rPr>
        <w:t xml:space="preserve"> </w:t>
      </w:r>
      <w:r w:rsidRPr="000D1970">
        <w:rPr>
          <w:rFonts w:ascii="Arial" w:hAnsi="Arial" w:cs="Arial"/>
          <w:color w:val="auto"/>
          <w:sz w:val="24"/>
        </w:rPr>
        <w:t>Trust, reputation and licence to operate</w:t>
      </w:r>
    </w:p>
    <w:p w14:paraId="29915CBE" w14:textId="77777777" w:rsidR="00907FE7" w:rsidRPr="000D1970" w:rsidRDefault="00000000">
      <w:pPr>
        <w:pStyle w:val="FirstParagraph"/>
        <w:spacing w:after="140"/>
        <w:rPr>
          <w:rFonts w:cs="Arial"/>
        </w:rPr>
      </w:pPr>
      <w:r w:rsidRPr="000D1970">
        <w:rPr>
          <w:rFonts w:cs="Arial"/>
        </w:rPr>
        <w:t>Transparent explanations of data use and AI recommendations can strengthen trust. The ICO (2023c) notes that fairness explanations can increase confidence by showing how bias and discrimination are avoided. Trust matters commercially because customers can choose competitors or stop sharing data.</w:t>
      </w:r>
    </w:p>
    <w:p w14:paraId="29915CBF" w14:textId="77777777" w:rsidR="00907FE7" w:rsidRPr="000D1970" w:rsidRDefault="00000000">
      <w:pPr>
        <w:pStyle w:val="BodyText"/>
        <w:spacing w:after="140"/>
        <w:rPr>
          <w:rFonts w:cs="Arial"/>
        </w:rPr>
      </w:pPr>
      <w:r w:rsidRPr="000D1970">
        <w:rPr>
          <w:rFonts w:cs="Arial"/>
        </w:rPr>
        <w:t>The cyber incident demonstrates the opposite effect: digital risks can interrupt operations and create major direct costs. Strong engagement with security experts, suppliers, employees and customers improves preparedness and response. Nevertheless, communication must be honest. Describing ConnectPlus as “fully secure” would be unrealistic. M&amp;S should explain controls, choices and incident support without creating false certainty.</w:t>
      </w:r>
    </w:p>
    <w:p w14:paraId="29915CC0" w14:textId="111941BE" w:rsidR="00907FE7" w:rsidRPr="000D1970" w:rsidRDefault="00000000">
      <w:pPr>
        <w:pStyle w:val="Heading3"/>
        <w:rPr>
          <w:rFonts w:ascii="Arial" w:hAnsi="Arial" w:cs="Arial"/>
          <w:color w:val="auto"/>
          <w:sz w:val="24"/>
        </w:rPr>
      </w:pPr>
      <w:bookmarkStart w:id="19" w:name="innovation-and-decision-quality"/>
      <w:bookmarkEnd w:id="18"/>
      <w:r w:rsidRPr="000D1970">
        <w:rPr>
          <w:rFonts w:ascii="Arial" w:hAnsi="Arial" w:cs="Arial"/>
          <w:color w:val="auto"/>
          <w:sz w:val="24"/>
        </w:rPr>
        <w:t>Innovation and decision quality</w:t>
      </w:r>
    </w:p>
    <w:p w14:paraId="29915CC1" w14:textId="77777777" w:rsidR="00907FE7" w:rsidRPr="000D1970" w:rsidRDefault="00000000">
      <w:pPr>
        <w:pStyle w:val="FirstParagraph"/>
        <w:spacing w:after="140"/>
        <w:rPr>
          <w:rFonts w:cs="Arial"/>
        </w:rPr>
      </w:pPr>
      <w:r w:rsidRPr="000D1970">
        <w:rPr>
          <w:rFonts w:cs="Arial"/>
        </w:rPr>
        <w:t>Different stakeholders contribute different knowledge. Customers understand usability; frontline employees understand service problems; partners understand local markets; and technical teams understand system limits. Combining this knowledge reduces management blind spots and can produce more creative solutions. Harrison and Wicks (2013) argue that stakeholder value includes more than financial return, including fairness, affiliation and perceived utility.</w:t>
      </w:r>
    </w:p>
    <w:p w14:paraId="29915CC2" w14:textId="77777777" w:rsidR="00907FE7" w:rsidRPr="000D1970" w:rsidRDefault="00000000">
      <w:pPr>
        <w:pStyle w:val="BodyText"/>
        <w:spacing w:after="140"/>
        <w:rPr>
          <w:rFonts w:cs="Arial"/>
        </w:rPr>
      </w:pPr>
      <w:r w:rsidRPr="000D1970">
        <w:rPr>
          <w:rFonts w:cs="Arial"/>
        </w:rPr>
        <w:t xml:space="preserve">There is a cost. Workshops, translation, accessibility testing and pilots require time and money. Too many decision-makers can also slow delivery. The solution is not less engagement but </w:t>
      </w:r>
      <w:r w:rsidRPr="000D1970">
        <w:rPr>
          <w:rFonts w:cs="Arial"/>
        </w:rPr>
        <w:lastRenderedPageBreak/>
        <w:t>proportionate engagement: priority stakeholders receive deeper involvement, while others receive efficient information and feedback routes.</w:t>
      </w:r>
    </w:p>
    <w:p w14:paraId="29915CC3" w14:textId="7DD27328" w:rsidR="00907FE7" w:rsidRPr="000D1970" w:rsidRDefault="00000000">
      <w:pPr>
        <w:pStyle w:val="Heading3"/>
        <w:rPr>
          <w:rFonts w:ascii="Arial" w:hAnsi="Arial" w:cs="Arial"/>
          <w:sz w:val="24"/>
        </w:rPr>
      </w:pPr>
      <w:bookmarkStart w:id="20" w:name="employee-performance-and-change-adoption"/>
      <w:bookmarkEnd w:id="19"/>
      <w:r w:rsidRPr="000D1970">
        <w:rPr>
          <w:rFonts w:ascii="Arial" w:hAnsi="Arial" w:cs="Arial"/>
        </w:rPr>
        <w:t xml:space="preserve"> </w:t>
      </w:r>
      <w:r w:rsidRPr="000D1970">
        <w:rPr>
          <w:rFonts w:ascii="Arial" w:hAnsi="Arial" w:cs="Arial"/>
          <w:sz w:val="24"/>
        </w:rPr>
        <w:t>Employee performance and change adoption</w:t>
      </w:r>
    </w:p>
    <w:p w14:paraId="29915CC4" w14:textId="77777777" w:rsidR="00907FE7" w:rsidRPr="000D1970" w:rsidRDefault="00000000">
      <w:pPr>
        <w:pStyle w:val="FirstParagraph"/>
        <w:spacing w:after="140"/>
        <w:rPr>
          <w:rFonts w:cs="Arial"/>
        </w:rPr>
      </w:pPr>
      <w:r w:rsidRPr="000D1970">
        <w:rPr>
          <w:rFonts w:cs="Arial"/>
        </w:rPr>
        <w:t>Employees who understand the purpose of ConnectPlus and influence its operation are more likely to support it. Training can improve confidence and reduce customer errors. Consultation may also identify workload problems before launch. This supports service quality and reduces resistance.</w:t>
      </w:r>
    </w:p>
    <w:p w14:paraId="29915CC5" w14:textId="77777777" w:rsidR="00907FE7" w:rsidRPr="000D1970" w:rsidRDefault="00000000">
      <w:pPr>
        <w:pStyle w:val="BodyText"/>
        <w:spacing w:after="140"/>
        <w:rPr>
          <w:rFonts w:cs="Arial"/>
        </w:rPr>
      </w:pPr>
      <w:r w:rsidRPr="000D1970">
        <w:rPr>
          <w:rFonts w:cs="Arial"/>
        </w:rPr>
        <w:t>Yet engagement becomes harmful if it is tokenistic. Asking employees for ideas and repeatedly ignoring them can reduce trust more than not asking. Managers must close the feedback loop, explain decisions and show visible changes. Employee measures should include training completion, confidence, support requests, adoption behaviours and written or spoken feedback from employees.</w:t>
      </w:r>
    </w:p>
    <w:p w14:paraId="29915CC6" w14:textId="42BBC700" w:rsidR="00907FE7" w:rsidRPr="000D1970" w:rsidRDefault="00000000">
      <w:pPr>
        <w:pStyle w:val="Heading3"/>
        <w:rPr>
          <w:rFonts w:ascii="Arial" w:hAnsi="Arial" w:cs="Arial"/>
          <w:color w:val="auto"/>
          <w:sz w:val="24"/>
        </w:rPr>
      </w:pPr>
      <w:bookmarkStart w:id="21" w:name="compliance-ethics-and-risk-reduction"/>
      <w:bookmarkEnd w:id="20"/>
      <w:r w:rsidRPr="000D1970">
        <w:rPr>
          <w:rFonts w:ascii="Arial" w:hAnsi="Arial" w:cs="Arial"/>
        </w:rPr>
        <w:t xml:space="preserve"> </w:t>
      </w:r>
      <w:r w:rsidRPr="000D1970">
        <w:rPr>
          <w:rFonts w:ascii="Arial" w:hAnsi="Arial" w:cs="Arial"/>
          <w:color w:val="auto"/>
          <w:sz w:val="24"/>
        </w:rPr>
        <w:t>Compliance, ethics and risk reduction</w:t>
      </w:r>
    </w:p>
    <w:p w14:paraId="29915CC7" w14:textId="77777777" w:rsidR="00907FE7" w:rsidRPr="000D1970" w:rsidRDefault="00000000">
      <w:pPr>
        <w:pStyle w:val="FirstParagraph"/>
        <w:spacing w:after="140"/>
        <w:rPr>
          <w:rFonts w:cs="Arial"/>
        </w:rPr>
      </w:pPr>
      <w:r w:rsidRPr="000D1970">
        <w:rPr>
          <w:rFonts w:cs="Arial"/>
        </w:rPr>
        <w:t>Engaging the DPO, regulators, consumer groups and diverse customers helps identify privacy, discrimination and accessibility risks. Protecting privacy from the beginning of the project can reduce expensive redesign and investigation or penalties from regulators. Collecting only the customer information that is necessary also reduces the volume of information exposed in a breach.</w:t>
      </w:r>
    </w:p>
    <w:p w14:paraId="29915CC8" w14:textId="77777777" w:rsidR="00907FE7" w:rsidRPr="000D1970" w:rsidRDefault="00000000">
      <w:pPr>
        <w:pStyle w:val="BodyText"/>
        <w:spacing w:after="140"/>
        <w:rPr>
          <w:rFonts w:cs="Arial"/>
        </w:rPr>
      </w:pPr>
      <w:r w:rsidRPr="000D1970">
        <w:rPr>
          <w:rFonts w:cs="Arial"/>
        </w:rPr>
        <w:t>The main ethical issues are choices that customers fully understand, excessive monitoring of customer behaviour, bias, manipulation and exclusion. Customers may technically consent without understanding how behaviour is profiled. Personalised offers might exploit vulnerability or give different value to similar customers. Biased data may cause some cultural or demographic groups to receive less relevant rewards. A mobile-first approach may exclude people without smartphones or digital skills.</w:t>
      </w:r>
    </w:p>
    <w:p w14:paraId="29915CC9" w14:textId="77777777" w:rsidR="00907FE7" w:rsidRPr="000D1970" w:rsidRDefault="00000000">
      <w:pPr>
        <w:pStyle w:val="BodyText"/>
        <w:spacing w:after="140"/>
        <w:rPr>
          <w:rFonts w:cs="Arial"/>
        </w:rPr>
      </w:pPr>
      <w:r w:rsidRPr="000D1970">
        <w:rPr>
          <w:rFonts w:cs="Arial"/>
        </w:rPr>
        <w:t>M&amp;S should provide clear privacy information, starting with a short explanation and providing more detail when needed, clear choices that allow customers to decide whether they want to participate, an easy way to change preferences and non-digital access to core rewards. AI models should be tested for differences in recommendation quality and reward allocation. Human review and complaint routes should be available when decisions made by the system have an important effect on customers. The ICO (2023d) states that unexplained AI-assisted decisions may reduce customers’ ability to make informed choices and are unlikely to be fair.</w:t>
      </w:r>
    </w:p>
    <w:p w14:paraId="29915CCA" w14:textId="77777777" w:rsidR="00907FE7" w:rsidRPr="000D1970" w:rsidRDefault="00000000">
      <w:pPr>
        <w:pStyle w:val="BodyText"/>
        <w:spacing w:after="140"/>
        <w:rPr>
          <w:rFonts w:cs="Arial"/>
        </w:rPr>
      </w:pPr>
      <w:r w:rsidRPr="000D1970">
        <w:rPr>
          <w:rFonts w:cs="Arial"/>
        </w:rPr>
        <w:t xml:space="preserve">International rollout adds legal and cultural challenges. A control that is acceptable under UK rules may not meet another market’s requirements. Data transfers, children’s data, marketing consent and adaptations for each country must be reviewed separately. At the same time, M&amp;S </w:t>
      </w:r>
      <w:r w:rsidRPr="000D1970">
        <w:rPr>
          <w:rFonts w:cs="Arial"/>
        </w:rPr>
        <w:lastRenderedPageBreak/>
        <w:t>should not lower basic ethical standards in less regulated markets. A basic standard that must be followed in every country, supplemented by stronger local rules, protects the brand consistently.</w:t>
      </w:r>
    </w:p>
    <w:p w14:paraId="29915CCB" w14:textId="77777777" w:rsidR="00907FE7" w:rsidRPr="000D1970" w:rsidRDefault="00000000">
      <w:pPr>
        <w:pStyle w:val="Heading3"/>
        <w:rPr>
          <w:rFonts w:ascii="Arial" w:hAnsi="Arial" w:cs="Arial"/>
        </w:rPr>
      </w:pPr>
      <w:bookmarkStart w:id="22" w:name="X0d0ba5407c0470365a99a7588805b21606da27d"/>
      <w:bookmarkEnd w:id="21"/>
      <w:r w:rsidRPr="000D1970">
        <w:rPr>
          <w:rFonts w:ascii="Arial" w:hAnsi="Arial" w:cs="Arial"/>
        </w:rPr>
        <w:t>6.6 Sustainability and wider stakeholder value</w:t>
      </w:r>
    </w:p>
    <w:p w14:paraId="29915CCC" w14:textId="77777777" w:rsidR="00907FE7" w:rsidRPr="000D1970" w:rsidRDefault="00000000">
      <w:pPr>
        <w:pStyle w:val="FirstParagraph"/>
        <w:spacing w:after="140"/>
        <w:rPr>
          <w:rFonts w:cs="Arial"/>
        </w:rPr>
      </w:pPr>
      <w:r w:rsidRPr="000D1970">
        <w:rPr>
          <w:rFonts w:cs="Arial"/>
        </w:rPr>
        <w:t>ConnectPlus may support sustainability by giving customers relevant information, reducing poorly targeted marketing and improving demand forecasts. It could promote lower-impact products or charitable activity. Porter and Kramer (2011) argue that shared value can connect business success with social benefit. However, M&amp;S must avoid using sustainability messages as a substitute for evidence. Digital systems also consume energy and create device and infrastructure impacts.</w:t>
      </w:r>
    </w:p>
    <w:p w14:paraId="29915CCD" w14:textId="77777777" w:rsidR="00907FE7" w:rsidRPr="000D1970" w:rsidRDefault="00000000">
      <w:pPr>
        <w:pStyle w:val="BodyText"/>
        <w:spacing w:after="140"/>
        <w:rPr>
          <w:rFonts w:cs="Arial"/>
        </w:rPr>
      </w:pPr>
      <w:r w:rsidRPr="000D1970">
        <w:rPr>
          <w:rFonts w:cs="Arial"/>
        </w:rPr>
        <w:t>Overall, sustainable engagement should improve financial performance indirectly through adoption, decision quality, trust and risk control. The relationship is not automatic. Benefits arise when engagement is inclusive of different groups, able to influence decisions and supported by clear management responsibility. Poorly managed engagement adds cost, delays decisions and may create cynicism. M&amp;S should therefore evaluate both relationship quality and business outcomes.</w:t>
      </w:r>
    </w:p>
    <w:p w14:paraId="29915CCE" w14:textId="77777777" w:rsidR="00907FE7" w:rsidRPr="000D1970" w:rsidRDefault="00000000">
      <w:pPr>
        <w:pStyle w:val="Heading2"/>
        <w:rPr>
          <w:rFonts w:ascii="Arial" w:hAnsi="Arial" w:cs="Arial"/>
        </w:rPr>
      </w:pPr>
      <w:bookmarkStart w:id="23" w:name="recommendations-and-conclusion"/>
      <w:bookmarkEnd w:id="16"/>
      <w:bookmarkEnd w:id="22"/>
      <w:r w:rsidRPr="000D1970">
        <w:rPr>
          <w:rFonts w:ascii="Arial" w:hAnsi="Arial" w:cs="Arial"/>
        </w:rPr>
        <w:t>7. Recommendations and Conclusion</w:t>
      </w:r>
    </w:p>
    <w:p w14:paraId="29915CCF" w14:textId="77777777" w:rsidR="00907FE7" w:rsidRPr="000D1970" w:rsidRDefault="00000000">
      <w:pPr>
        <w:pStyle w:val="FirstParagraph"/>
        <w:spacing w:after="140"/>
        <w:rPr>
          <w:rFonts w:cs="Arial"/>
        </w:rPr>
      </w:pPr>
      <w:r w:rsidRPr="000D1970">
        <w:rPr>
          <w:rFonts w:cs="Arial"/>
        </w:rPr>
        <w:t>M&amp;S should first establish a ConnectPlus stakeholder committee responsible for overseeing the project chaired by the executive sponsor and including product, technology, security, marketing, operations, the DPO and international partner representatives. Customer and frontline voices should be included at important stages when decisions are reviewed and approved rather than treated only as research participants.</w:t>
      </w:r>
    </w:p>
    <w:p w14:paraId="29915CD0" w14:textId="77777777" w:rsidR="00907FE7" w:rsidRPr="000D1970" w:rsidRDefault="00000000">
      <w:pPr>
        <w:pStyle w:val="BodyText"/>
        <w:spacing w:after="140"/>
        <w:rPr>
          <w:rFonts w:cs="Arial"/>
        </w:rPr>
      </w:pPr>
      <w:r w:rsidRPr="000D1970">
        <w:rPr>
          <w:rFonts w:cs="Arial"/>
        </w:rPr>
        <w:t>Second, M&amp;S should adopt privacy, security, fairness and accessibility as launch conditions. A DPIA, supplier assurance, penetration testing and independent AI bias testing should be completed before the go/no-go decision. Customers should receive clear explanations, control over personalisation and access to important rewards without being forced into mobile-only participation.</w:t>
      </w:r>
    </w:p>
    <w:p w14:paraId="29915CD1" w14:textId="77777777" w:rsidR="00907FE7" w:rsidRPr="000D1970" w:rsidRDefault="00000000">
      <w:pPr>
        <w:pStyle w:val="BodyText"/>
        <w:spacing w:after="140"/>
        <w:rPr>
          <w:rFonts w:cs="Arial"/>
        </w:rPr>
      </w:pPr>
      <w:r w:rsidRPr="000D1970">
        <w:rPr>
          <w:rFonts w:cs="Arial"/>
        </w:rPr>
        <w:t>Third, the rollout should be phased across at least three different pilot markets. Local partners should adapt language, rewards and service processes, while a basic standard that must be followed in every country protects data and customer rights. Market readiness should be judged on people, process, technology and compliance, not schedule alone.</w:t>
      </w:r>
    </w:p>
    <w:p w14:paraId="29915CD2" w14:textId="77777777" w:rsidR="00907FE7" w:rsidRPr="000D1970" w:rsidRDefault="00000000">
      <w:pPr>
        <w:pStyle w:val="BodyText"/>
        <w:spacing w:after="140"/>
        <w:rPr>
          <w:rFonts w:cs="Arial"/>
        </w:rPr>
      </w:pPr>
      <w:r w:rsidRPr="000D1970">
        <w:rPr>
          <w:rFonts w:cs="Arial"/>
        </w:rPr>
        <w:t xml:space="preserve">Fourth, the project manager should maintain a regularly updated assessment of stakeholder power, interest and importance, communication plan, RACI matrix, decision log and conflict </w:t>
      </w:r>
      <w:r w:rsidRPr="000D1970">
        <w:rPr>
          <w:rFonts w:cs="Arial"/>
        </w:rPr>
        <w:lastRenderedPageBreak/>
        <w:t>register. Feedback loops must show stakeholders what changed and why. After launch, M&amp;S should monitor adoption, retention, complaints, opt-outs, fairness, accessibility, employee confidence, security and partner performance.</w:t>
      </w:r>
    </w:p>
    <w:p w14:paraId="29915CD3" w14:textId="77777777" w:rsidR="00907FE7" w:rsidRPr="000D1970" w:rsidRDefault="00000000">
      <w:pPr>
        <w:pStyle w:val="BodyText"/>
        <w:spacing w:after="140"/>
        <w:rPr>
          <w:rFonts w:cs="Arial"/>
        </w:rPr>
      </w:pPr>
      <w:r w:rsidRPr="000D1970">
        <w:rPr>
          <w:rFonts w:cs="Arial"/>
        </w:rPr>
        <w:t>In conclusion, ConnectPlus is not simply a technology launch. It changes relationships between M&amp;S, customers, employees, international partners, suppliers, regulators and investors. Stakeholder theory shows that project success requires attention to legitimate interests as well as shareholder return. The power–interest matrix helps target resources, while the salience model prevents legitimate or urgent voices from being overlooked. If M&amp;S uses consultation that includes different stakeholder groups, collaborative design, clear responsibilities and responsible management of AI, stakeholder engagement can improve adoption, trust, innovation and long-term performance. If engagement is tokenistic or dominated by the six-month deadline, the same platform could increase resistance, exclusion, the risk of regulatory penalties and damage to M&amp;S’s reputation.</w:t>
      </w:r>
    </w:p>
    <w:p w14:paraId="29915CD4" w14:textId="77777777" w:rsidR="00907FE7" w:rsidRPr="000D1970" w:rsidRDefault="00000000">
      <w:pPr>
        <w:pStyle w:val="Heading2"/>
        <w:rPr>
          <w:rFonts w:ascii="Arial" w:hAnsi="Arial" w:cs="Arial"/>
        </w:rPr>
      </w:pPr>
      <w:bookmarkStart w:id="24" w:name="references"/>
      <w:bookmarkEnd w:id="23"/>
      <w:r w:rsidRPr="000D1970">
        <w:rPr>
          <w:rFonts w:ascii="Arial" w:hAnsi="Arial" w:cs="Arial"/>
        </w:rPr>
        <w:t>References</w:t>
      </w:r>
    </w:p>
    <w:p w14:paraId="29915CD5" w14:textId="77777777" w:rsidR="00907FE7" w:rsidRPr="000D1970" w:rsidRDefault="00000000">
      <w:pPr>
        <w:pStyle w:val="FirstParagraph"/>
        <w:spacing w:after="140"/>
        <w:rPr>
          <w:rFonts w:cs="Arial"/>
        </w:rPr>
      </w:pPr>
      <w:r w:rsidRPr="000D1970">
        <w:rPr>
          <w:rFonts w:cs="Arial"/>
        </w:rPr>
        <w:t xml:space="preserve">Ashcroft, J. (2017) </w:t>
      </w:r>
      <w:r w:rsidRPr="000D1970">
        <w:rPr>
          <w:rFonts w:cs="Arial"/>
          <w:i/>
          <w:iCs/>
        </w:rPr>
        <w:t>The relational lens: Understanding, measuring, and managing stakeholder relationships</w:t>
      </w:r>
      <w:r w:rsidRPr="000D1970">
        <w:rPr>
          <w:rFonts w:cs="Arial"/>
        </w:rPr>
        <w:t>. Cambridge: Cambridge University Press.</w:t>
      </w:r>
    </w:p>
    <w:p w14:paraId="29915CD6" w14:textId="77777777" w:rsidR="00907FE7" w:rsidRPr="000D1970" w:rsidRDefault="00000000">
      <w:pPr>
        <w:pStyle w:val="BodyText"/>
        <w:spacing w:after="140"/>
        <w:rPr>
          <w:rFonts w:cs="Arial"/>
        </w:rPr>
      </w:pPr>
      <w:r w:rsidRPr="000D1970">
        <w:rPr>
          <w:rFonts w:cs="Arial"/>
        </w:rPr>
        <w:t xml:space="preserve">Bryson, J.M. (2004) ‘What to do when stakeholders matter: Stakeholder identification and analysis techniques’, </w:t>
      </w:r>
      <w:r w:rsidRPr="000D1970">
        <w:rPr>
          <w:rFonts w:cs="Arial"/>
          <w:i/>
          <w:iCs/>
        </w:rPr>
        <w:t>Public Management Review</w:t>
      </w:r>
      <w:r w:rsidRPr="000D1970">
        <w:rPr>
          <w:rFonts w:cs="Arial"/>
        </w:rPr>
        <w:t>, 6(1), pp. 21–53.</w:t>
      </w:r>
    </w:p>
    <w:p w14:paraId="29915CD7" w14:textId="77777777" w:rsidR="00907FE7" w:rsidRPr="000D1970" w:rsidRDefault="00000000">
      <w:pPr>
        <w:pStyle w:val="BodyText"/>
        <w:spacing w:after="140"/>
        <w:rPr>
          <w:rFonts w:cs="Arial"/>
        </w:rPr>
      </w:pPr>
      <w:r w:rsidRPr="000D1970">
        <w:rPr>
          <w:rFonts w:cs="Arial"/>
        </w:rPr>
        <w:t xml:space="preserve">Christopher, M., Payne, A. and Ballantyne, D. (2013) </w:t>
      </w:r>
      <w:r w:rsidRPr="000D1970">
        <w:rPr>
          <w:rFonts w:cs="Arial"/>
          <w:i/>
          <w:iCs/>
        </w:rPr>
        <w:t>Relationship marketing: Creating stakeholder value</w:t>
      </w:r>
      <w:r w:rsidRPr="000D1970">
        <w:rPr>
          <w:rFonts w:cs="Arial"/>
        </w:rPr>
        <w:t>. Abingdon: Routledge.</w:t>
      </w:r>
    </w:p>
    <w:p w14:paraId="29915CD8" w14:textId="77777777" w:rsidR="00907FE7" w:rsidRPr="000D1970" w:rsidRDefault="00000000">
      <w:pPr>
        <w:pStyle w:val="BodyText"/>
        <w:spacing w:after="140"/>
        <w:rPr>
          <w:rFonts w:cs="Arial"/>
        </w:rPr>
      </w:pPr>
      <w:r w:rsidRPr="000D1970">
        <w:rPr>
          <w:rFonts w:cs="Arial"/>
        </w:rPr>
        <w:t xml:space="preserve">Clarkson, M.B.E. (1995) ‘A stakeholder framework for analyzing and evaluating corporate social performance’, </w:t>
      </w:r>
      <w:r w:rsidRPr="000D1970">
        <w:rPr>
          <w:rFonts w:cs="Arial"/>
          <w:i/>
          <w:iCs/>
        </w:rPr>
        <w:t>Academy of Management Review</w:t>
      </w:r>
      <w:r w:rsidRPr="000D1970">
        <w:rPr>
          <w:rFonts w:cs="Arial"/>
        </w:rPr>
        <w:t>, 20(1), pp. 92–117.</w:t>
      </w:r>
    </w:p>
    <w:p w14:paraId="29915CD9" w14:textId="77777777" w:rsidR="00907FE7" w:rsidRPr="000D1970" w:rsidRDefault="00000000">
      <w:pPr>
        <w:pStyle w:val="BodyText"/>
        <w:spacing w:after="140"/>
        <w:rPr>
          <w:rFonts w:cs="Arial"/>
        </w:rPr>
      </w:pPr>
      <w:r w:rsidRPr="000D1970">
        <w:rPr>
          <w:rFonts w:cs="Arial"/>
        </w:rPr>
        <w:t xml:space="preserve">Donaldson, T. and Preston, L.E. (1995) ‘The stakeholder theory of the corporation: Concepts, evidence, and implications’, </w:t>
      </w:r>
      <w:r w:rsidRPr="000D1970">
        <w:rPr>
          <w:rFonts w:cs="Arial"/>
          <w:i/>
          <w:iCs/>
        </w:rPr>
        <w:t>Academy of Management Review</w:t>
      </w:r>
      <w:r w:rsidRPr="000D1970">
        <w:rPr>
          <w:rFonts w:cs="Arial"/>
        </w:rPr>
        <w:t>, 20(1), pp. 65–91.</w:t>
      </w:r>
    </w:p>
    <w:p w14:paraId="29915CDA" w14:textId="77777777" w:rsidR="00907FE7" w:rsidRPr="000D1970" w:rsidRDefault="00000000">
      <w:pPr>
        <w:pStyle w:val="BodyText"/>
        <w:spacing w:after="140"/>
        <w:rPr>
          <w:rFonts w:cs="Arial"/>
        </w:rPr>
      </w:pPr>
      <w:r w:rsidRPr="000D1970">
        <w:rPr>
          <w:rFonts w:cs="Arial"/>
        </w:rPr>
        <w:t xml:space="preserve">Freeman, R.E. (1984) </w:t>
      </w:r>
      <w:r w:rsidRPr="000D1970">
        <w:rPr>
          <w:rFonts w:cs="Arial"/>
          <w:i/>
          <w:iCs/>
        </w:rPr>
        <w:t>Strategic management: A stakeholder approach</w:t>
      </w:r>
      <w:r w:rsidRPr="000D1970">
        <w:rPr>
          <w:rFonts w:cs="Arial"/>
        </w:rPr>
        <w:t>. Boston: Pitman.</w:t>
      </w:r>
    </w:p>
    <w:p w14:paraId="29915CDB" w14:textId="77777777" w:rsidR="00907FE7" w:rsidRPr="000D1970" w:rsidRDefault="00000000">
      <w:pPr>
        <w:pStyle w:val="BodyText"/>
        <w:spacing w:after="140"/>
        <w:rPr>
          <w:rFonts w:cs="Arial"/>
        </w:rPr>
      </w:pPr>
      <w:r w:rsidRPr="000D1970">
        <w:rPr>
          <w:rFonts w:cs="Arial"/>
        </w:rPr>
        <w:t xml:space="preserve">Greenwood, M. (2007) ‘Stakeholder engagement: Beyond the myth of corporate responsibility’, </w:t>
      </w:r>
      <w:r w:rsidRPr="000D1970">
        <w:rPr>
          <w:rFonts w:cs="Arial"/>
          <w:i/>
          <w:iCs/>
        </w:rPr>
        <w:t>Journal of Business Ethics</w:t>
      </w:r>
      <w:r w:rsidRPr="000D1970">
        <w:rPr>
          <w:rFonts w:cs="Arial"/>
        </w:rPr>
        <w:t>, 74(4), pp. 315–327.</w:t>
      </w:r>
    </w:p>
    <w:p w14:paraId="29915CDC" w14:textId="77777777" w:rsidR="00907FE7" w:rsidRPr="000D1970" w:rsidRDefault="00000000">
      <w:pPr>
        <w:pStyle w:val="BodyText"/>
        <w:spacing w:after="140"/>
        <w:rPr>
          <w:rFonts w:cs="Arial"/>
        </w:rPr>
      </w:pPr>
      <w:r w:rsidRPr="000D1970">
        <w:rPr>
          <w:rFonts w:cs="Arial"/>
        </w:rPr>
        <w:t xml:space="preserve">Harrison, J.S. and Wicks, A.C. (2013) ‘Stakeholder theory, value, and firm performance’, </w:t>
      </w:r>
      <w:r w:rsidRPr="000D1970">
        <w:rPr>
          <w:rFonts w:cs="Arial"/>
          <w:i/>
          <w:iCs/>
        </w:rPr>
        <w:t>Business Ethics Quarterly</w:t>
      </w:r>
      <w:r w:rsidRPr="000D1970">
        <w:rPr>
          <w:rFonts w:cs="Arial"/>
        </w:rPr>
        <w:t>, 23(1), pp. 97–124.</w:t>
      </w:r>
    </w:p>
    <w:p w14:paraId="29915CDD" w14:textId="77777777" w:rsidR="00907FE7" w:rsidRPr="000D1970" w:rsidRDefault="00000000">
      <w:pPr>
        <w:pStyle w:val="BodyText"/>
        <w:spacing w:after="140"/>
        <w:rPr>
          <w:rFonts w:cs="Arial"/>
        </w:rPr>
      </w:pPr>
      <w:r w:rsidRPr="000D1970">
        <w:rPr>
          <w:rFonts w:cs="Arial"/>
        </w:rPr>
        <w:t xml:space="preserve">Hofstede, G. (2001) </w:t>
      </w:r>
      <w:r w:rsidRPr="000D1970">
        <w:rPr>
          <w:rFonts w:cs="Arial"/>
          <w:i/>
          <w:iCs/>
        </w:rPr>
        <w:t>Culture’s consequences: Comparing values, behaviors, institutions and organizations across nations</w:t>
      </w:r>
      <w:r w:rsidRPr="000D1970">
        <w:rPr>
          <w:rFonts w:cs="Arial"/>
        </w:rPr>
        <w:t>. 2nd edn. Thousand Oaks, CA: Sage.</w:t>
      </w:r>
    </w:p>
    <w:p w14:paraId="29915CDE" w14:textId="77777777" w:rsidR="00907FE7" w:rsidRPr="000D1970" w:rsidRDefault="00000000">
      <w:pPr>
        <w:pStyle w:val="BodyText"/>
        <w:spacing w:after="140"/>
        <w:rPr>
          <w:rFonts w:cs="Arial"/>
        </w:rPr>
      </w:pPr>
      <w:r w:rsidRPr="000D1970">
        <w:rPr>
          <w:rFonts w:cs="Arial"/>
        </w:rPr>
        <w:lastRenderedPageBreak/>
        <w:t>ICO (2023a) ‘What are the accountability and governance implications of AI?’. Available at: https://ico.org.uk/for-organisations/uk-gdpr-guidance-and-resources/artificial-intelligence/guidance-on-ai-and-data-protection/what-are-the-accountability-and-governance-implications-of-ai/ (Accessed: 17 July 2026).</w:t>
      </w:r>
    </w:p>
    <w:p w14:paraId="29915CDF" w14:textId="77777777" w:rsidR="00907FE7" w:rsidRPr="000D1970" w:rsidRDefault="00000000">
      <w:pPr>
        <w:pStyle w:val="BodyText"/>
        <w:spacing w:after="140"/>
        <w:rPr>
          <w:rFonts w:cs="Arial"/>
        </w:rPr>
      </w:pPr>
      <w:r w:rsidRPr="000D1970">
        <w:rPr>
          <w:rFonts w:cs="Arial"/>
        </w:rPr>
        <w:t>ICO (2023b) ‘Guidance on AI and data protection’. Available at: https://ico.org.uk/for-organisations/uk-gdpr-guidance-and-resources/artificial-intelligence/guidance-on-ai-and-data-protection/ (Accessed: 17 July 2026).</w:t>
      </w:r>
    </w:p>
    <w:p w14:paraId="29915CE0" w14:textId="77777777" w:rsidR="00907FE7" w:rsidRPr="000D1970" w:rsidRDefault="00000000">
      <w:pPr>
        <w:pStyle w:val="BodyText"/>
        <w:spacing w:after="140"/>
        <w:rPr>
          <w:rFonts w:cs="Arial"/>
        </w:rPr>
      </w:pPr>
      <w:r w:rsidRPr="000D1970">
        <w:rPr>
          <w:rFonts w:cs="Arial"/>
        </w:rPr>
        <w:t>ICO (2023c) ‘What goes into an explanation?’. Available at: https://ico.org.uk/for-organisations/uk-gdpr-guidance-and-resources/artificial-intelligence/explaining-decisions-made-with-artificial-intelligence/part-1-the-basics-of-explaining-ai/what-goes-into-an-explanation/ (Accessed: 17 July 2026).</w:t>
      </w:r>
    </w:p>
    <w:p w14:paraId="29915CE1" w14:textId="77777777" w:rsidR="00907FE7" w:rsidRPr="000D1970" w:rsidRDefault="00000000">
      <w:pPr>
        <w:pStyle w:val="BodyText"/>
        <w:spacing w:after="140"/>
        <w:rPr>
          <w:rFonts w:cs="Arial"/>
        </w:rPr>
      </w:pPr>
      <w:r w:rsidRPr="000D1970">
        <w:rPr>
          <w:rFonts w:cs="Arial"/>
        </w:rPr>
        <w:t>ICO (2023d) ‘Legal framework’. Available at: https://ico.org.uk/for-organisations/uk-gdpr-guidance-and-resources/artificial-intelligence/explaining-decisions-made-with-artificial-intelligence/part-1-the-basics-of-explaining-ai/legal-framework/ (Accessed: 17 July 2026).</w:t>
      </w:r>
    </w:p>
    <w:p w14:paraId="29915CE2" w14:textId="77777777" w:rsidR="00907FE7" w:rsidRPr="000D1970" w:rsidRDefault="00000000">
      <w:pPr>
        <w:pStyle w:val="BodyText"/>
        <w:spacing w:after="140"/>
        <w:rPr>
          <w:rFonts w:cs="Arial"/>
        </w:rPr>
      </w:pPr>
      <w:r w:rsidRPr="000D1970">
        <w:rPr>
          <w:rFonts w:cs="Arial"/>
        </w:rPr>
        <w:t xml:space="preserve">Kujala, J., Sachs, S., Leinonen, H., Heikkinen, A. and Laude, D. (2022) ‘Stakeholder engagement: Past, present, and future’, </w:t>
      </w:r>
      <w:r w:rsidRPr="000D1970">
        <w:rPr>
          <w:rFonts w:cs="Arial"/>
          <w:i/>
          <w:iCs/>
        </w:rPr>
        <w:t>Business &amp; Society</w:t>
      </w:r>
      <w:r w:rsidRPr="000D1970">
        <w:rPr>
          <w:rFonts w:cs="Arial"/>
        </w:rPr>
        <w:t>, 61(5), pp. 1136–1196.</w:t>
      </w:r>
    </w:p>
    <w:p w14:paraId="29915CE3" w14:textId="77777777" w:rsidR="00907FE7" w:rsidRPr="000D1970" w:rsidRDefault="00000000">
      <w:pPr>
        <w:pStyle w:val="BodyText"/>
        <w:spacing w:after="140"/>
        <w:rPr>
          <w:rFonts w:cs="Arial"/>
        </w:rPr>
      </w:pPr>
      <w:r w:rsidRPr="000D1970">
        <w:rPr>
          <w:rFonts w:cs="Arial"/>
        </w:rPr>
        <w:t>M&amp;S (2022) ‘M&amp;S to spark global growth with roll out of loyalty scheme across international markets’. Available at: https://corporate.marksandspencer.com/newsroom/press-releases/ms-spark-global-growth-roll-out-loyalty-scheme-across-international-markets (Accessed: 17 July 2026).</w:t>
      </w:r>
    </w:p>
    <w:p w14:paraId="29915CE4" w14:textId="77777777" w:rsidR="00907FE7" w:rsidRPr="000D1970" w:rsidRDefault="00000000">
      <w:pPr>
        <w:pStyle w:val="BodyText"/>
        <w:spacing w:after="140"/>
        <w:rPr>
          <w:rFonts w:cs="Arial"/>
        </w:rPr>
      </w:pPr>
      <w:r w:rsidRPr="000D1970">
        <w:rPr>
          <w:rFonts w:cs="Arial"/>
        </w:rPr>
        <w:t>M&amp;S (2026a) ‘M&amp;S International’. Available at: https://corporate.marksandspencer.com/about-us/our-businesses/ms-international (Accessed: 17 July 2026).</w:t>
      </w:r>
    </w:p>
    <w:p w14:paraId="29915CE5" w14:textId="77777777" w:rsidR="00907FE7" w:rsidRPr="000D1970" w:rsidRDefault="00000000">
      <w:pPr>
        <w:pStyle w:val="BodyText"/>
        <w:spacing w:after="140"/>
        <w:rPr>
          <w:rFonts w:cs="Arial"/>
        </w:rPr>
      </w:pPr>
      <w:r w:rsidRPr="000D1970">
        <w:rPr>
          <w:rFonts w:cs="Arial"/>
        </w:rPr>
        <w:t>M&amp;S (2026b) ‘M&amp;S announces transformed Sparks loyalty programme’. Available at: https://corporate.marksandspencer.com/newsroom/press-releases/ms-announces-transformed-sparks-loyalty-programme (Accessed: 17 July 2026).</w:t>
      </w:r>
    </w:p>
    <w:p w14:paraId="29915CE6" w14:textId="77777777" w:rsidR="00907FE7" w:rsidRPr="000D1970" w:rsidRDefault="00000000">
      <w:pPr>
        <w:pStyle w:val="BodyText"/>
        <w:spacing w:after="140"/>
        <w:rPr>
          <w:rFonts w:cs="Arial"/>
        </w:rPr>
      </w:pPr>
      <w:r w:rsidRPr="000D1970">
        <w:rPr>
          <w:rFonts w:cs="Arial"/>
        </w:rPr>
        <w:t xml:space="preserve">M&amp;S (2026c) </w:t>
      </w:r>
      <w:r w:rsidRPr="000D1970">
        <w:rPr>
          <w:rFonts w:cs="Arial"/>
          <w:i/>
          <w:iCs/>
        </w:rPr>
        <w:t>Annual report and financial statements 2026</w:t>
      </w:r>
      <w:r w:rsidRPr="000D1970">
        <w:rPr>
          <w:rFonts w:cs="Arial"/>
        </w:rPr>
        <w:t>. Available at: https://corporate.marksandspencer.com/sites/marksandspencer/files/marksandspencer/annual-report/m-and-s-annual-report-and-financial-statements-2026.pdf (Accessed: 17 July 2026).</w:t>
      </w:r>
    </w:p>
    <w:p w14:paraId="29915CE7" w14:textId="77777777" w:rsidR="00907FE7" w:rsidRPr="000D1970" w:rsidRDefault="00000000">
      <w:pPr>
        <w:pStyle w:val="BodyText"/>
        <w:spacing w:after="140"/>
        <w:rPr>
          <w:rFonts w:cs="Arial"/>
        </w:rPr>
      </w:pPr>
      <w:r w:rsidRPr="000D1970">
        <w:rPr>
          <w:rFonts w:cs="Arial"/>
        </w:rPr>
        <w:t>M&amp;S (2026d) ‘M&amp;S announces new franchise partnership in the Philippines’. Available at: https://corporate.marksandspencer.com/newsroom/press-releases/ms-announces-new-franchise-partnership-philippines (Accessed: 17 July 2026).</w:t>
      </w:r>
    </w:p>
    <w:p w14:paraId="29915CE8" w14:textId="77777777" w:rsidR="00907FE7" w:rsidRPr="000D1970" w:rsidRDefault="00000000">
      <w:pPr>
        <w:pStyle w:val="BodyText"/>
        <w:spacing w:after="140"/>
        <w:rPr>
          <w:rFonts w:cs="Arial"/>
        </w:rPr>
      </w:pPr>
      <w:r w:rsidRPr="000D1970">
        <w:rPr>
          <w:rFonts w:cs="Arial"/>
        </w:rPr>
        <w:lastRenderedPageBreak/>
        <w:t xml:space="preserve">Mendelow, A.L. (1991) ‘Environmental scanning: The impact of the stakeholder concept’, in </w:t>
      </w:r>
      <w:r w:rsidRPr="000D1970">
        <w:rPr>
          <w:rFonts w:cs="Arial"/>
          <w:i/>
          <w:iCs/>
        </w:rPr>
        <w:t>Proceedings of the Second International Conference on Information Systems</w:t>
      </w:r>
      <w:r w:rsidRPr="000D1970">
        <w:rPr>
          <w:rFonts w:cs="Arial"/>
        </w:rPr>
        <w:t>. Cambridge, MA, pp. 407–418.</w:t>
      </w:r>
    </w:p>
    <w:p w14:paraId="29915CE9" w14:textId="77777777" w:rsidR="00907FE7" w:rsidRPr="000D1970" w:rsidRDefault="00000000">
      <w:pPr>
        <w:pStyle w:val="BodyText"/>
        <w:spacing w:after="140"/>
        <w:rPr>
          <w:rFonts w:cs="Arial"/>
        </w:rPr>
      </w:pPr>
      <w:r w:rsidRPr="000D1970">
        <w:rPr>
          <w:rFonts w:cs="Arial"/>
        </w:rPr>
        <w:t xml:space="preserve">Mitchell, R.K., Agle, B.R. and Wood, D.J. (1997) ‘Toward a theory of stakeholder identification and salience: Defining the principle of who and what really counts’, </w:t>
      </w:r>
      <w:r w:rsidRPr="000D1970">
        <w:rPr>
          <w:rFonts w:cs="Arial"/>
          <w:i/>
          <w:iCs/>
        </w:rPr>
        <w:t>Academy of Management Review</w:t>
      </w:r>
      <w:r w:rsidRPr="000D1970">
        <w:rPr>
          <w:rFonts w:cs="Arial"/>
        </w:rPr>
        <w:t>, 22(4), pp. 853–886.</w:t>
      </w:r>
    </w:p>
    <w:p w14:paraId="29915CEA" w14:textId="77777777" w:rsidR="00907FE7" w:rsidRPr="000D1970" w:rsidRDefault="00000000">
      <w:pPr>
        <w:pStyle w:val="BodyText"/>
        <w:spacing w:after="140"/>
        <w:rPr>
          <w:rFonts w:cs="Arial"/>
        </w:rPr>
      </w:pPr>
      <w:r w:rsidRPr="000D1970">
        <w:rPr>
          <w:rFonts w:cs="Arial"/>
        </w:rPr>
        <w:t xml:space="preserve">Porter, M.E. and Kramer, M.R. (2011) ‘Creating shared value’, </w:t>
      </w:r>
      <w:r w:rsidRPr="000D1970">
        <w:rPr>
          <w:rFonts w:cs="Arial"/>
          <w:i/>
          <w:iCs/>
        </w:rPr>
        <w:t>Harvard Business Review</w:t>
      </w:r>
      <w:r w:rsidRPr="000D1970">
        <w:rPr>
          <w:rFonts w:cs="Arial"/>
        </w:rPr>
        <w:t>, 89(1/2), pp. 62–77.</w:t>
      </w:r>
    </w:p>
    <w:p w14:paraId="29915CEB" w14:textId="77777777" w:rsidR="00907FE7" w:rsidRPr="000D1970" w:rsidRDefault="00000000">
      <w:pPr>
        <w:pStyle w:val="BodyText"/>
        <w:spacing w:after="140"/>
        <w:rPr>
          <w:rFonts w:cs="Arial"/>
        </w:rPr>
      </w:pPr>
      <w:r w:rsidRPr="000D1970">
        <w:rPr>
          <w:rFonts w:cs="Arial"/>
        </w:rPr>
        <w:t xml:space="preserve">Rowley, T.J. (1997) ‘Moving beyond dyadic ties: A network theory of stakeholder influences’, </w:t>
      </w:r>
      <w:r w:rsidRPr="000D1970">
        <w:rPr>
          <w:rFonts w:cs="Arial"/>
          <w:i/>
          <w:iCs/>
        </w:rPr>
        <w:t>Academy of Management Review</w:t>
      </w:r>
      <w:r w:rsidRPr="000D1970">
        <w:rPr>
          <w:rFonts w:cs="Arial"/>
        </w:rPr>
        <w:t>, 22(4), pp. 887–910.</w:t>
      </w:r>
    </w:p>
    <w:p w14:paraId="29915CEC" w14:textId="77777777" w:rsidR="00907FE7" w:rsidRPr="000D1970" w:rsidRDefault="00000000">
      <w:pPr>
        <w:pStyle w:val="BodyText"/>
        <w:spacing w:after="140"/>
        <w:rPr>
          <w:rFonts w:cs="Arial"/>
        </w:rPr>
      </w:pPr>
      <w:r w:rsidRPr="000D1970">
        <w:rPr>
          <w:rFonts w:cs="Arial"/>
        </w:rPr>
        <w:t xml:space="preserve">Thomas, K.W. and Kilmann, R.H. (1974) </w:t>
      </w:r>
      <w:r w:rsidRPr="000D1970">
        <w:rPr>
          <w:rFonts w:cs="Arial"/>
          <w:i/>
          <w:iCs/>
        </w:rPr>
        <w:t>Thomas-Kilmann conflict mode instrument</w:t>
      </w:r>
      <w:r w:rsidRPr="000D1970">
        <w:rPr>
          <w:rFonts w:cs="Arial"/>
        </w:rPr>
        <w:t>. Tuxedo, NY: Xicom.</w:t>
      </w:r>
      <w:bookmarkEnd w:id="0"/>
      <w:bookmarkEnd w:id="24"/>
    </w:p>
    <w:sectPr w:rsidR="00907FE7" w:rsidRPr="000D1970">
      <w:footerReference w:type="default" r:id="rId7"/>
      <w:pgSz w:w="11909" w:h="16834"/>
      <w:pgMar w:top="1224" w:right="1296" w:bottom="1224" w:left="1296" w:header="504" w:footer="57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493C22" w14:textId="77777777" w:rsidR="006614D9" w:rsidRDefault="006614D9">
      <w:pPr>
        <w:spacing w:after="0" w:line="240" w:lineRule="auto"/>
      </w:pPr>
      <w:r>
        <w:separator/>
      </w:r>
    </w:p>
  </w:endnote>
  <w:endnote w:type="continuationSeparator" w:id="0">
    <w:p w14:paraId="6DD337B1" w14:textId="77777777" w:rsidR="006614D9" w:rsidRDefault="006614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915CEF" w14:textId="2BE22C76" w:rsidR="00907FE7" w:rsidRDefault="00000000">
    <w:pPr>
      <w:jc w:val="center"/>
    </w:pPr>
    <w:r>
      <w:rPr>
        <w:color w:val="646464"/>
        <w:sz w:val="18"/>
      </w:rPr>
      <w:t xml:space="preserve">Page </w:t>
    </w:r>
    <w:r>
      <w:rPr>
        <w:color w:val="646464"/>
        <w:sz w:val="18"/>
      </w:rPr>
      <w:fldChar w:fldCharType="begin"/>
    </w:r>
    <w:r>
      <w:rPr>
        <w:color w:val="646464"/>
        <w:sz w:val="18"/>
      </w:rPr>
      <w:instrText xml:space="preserve"> PAGE </w:instrText>
    </w:r>
    <w:r>
      <w:rPr>
        <w:color w:val="646464"/>
        <w:sz w:val="18"/>
      </w:rPr>
      <w:fldChar w:fldCharType="separate"/>
    </w:r>
    <w:r w:rsidR="009E173C">
      <w:rPr>
        <w:noProof/>
        <w:color w:val="646464"/>
        <w:sz w:val="18"/>
      </w:rPr>
      <w:t>1</w:t>
    </w:r>
    <w:r>
      <w:rPr>
        <w:color w:val="646464"/>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BADE65" w14:textId="77777777" w:rsidR="006614D9" w:rsidRDefault="006614D9">
      <w:r>
        <w:separator/>
      </w:r>
    </w:p>
  </w:footnote>
  <w:footnote w:type="continuationSeparator" w:id="0">
    <w:p w14:paraId="28C17A25" w14:textId="77777777" w:rsidR="006614D9" w:rsidRDefault="006614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91062704"/>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1" w15:restartNumberingAfterBreak="0">
    <w:nsid w:val="00A99411"/>
    <w:multiLevelType w:val="multilevel"/>
    <w:tmpl w:val="C7C0A8B4"/>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 w16cid:durableId="616261046">
    <w:abstractNumId w:val="0"/>
  </w:num>
  <w:num w:numId="2" w16cid:durableId="37624344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07FE7"/>
    <w:rsid w:val="000240E0"/>
    <w:rsid w:val="00076346"/>
    <w:rsid w:val="000D1970"/>
    <w:rsid w:val="001814AA"/>
    <w:rsid w:val="002A2DA1"/>
    <w:rsid w:val="005277FD"/>
    <w:rsid w:val="006614D9"/>
    <w:rsid w:val="006718FB"/>
    <w:rsid w:val="0075117B"/>
    <w:rsid w:val="008058A1"/>
    <w:rsid w:val="008553B3"/>
    <w:rsid w:val="008638A8"/>
    <w:rsid w:val="00907FE7"/>
    <w:rsid w:val="009360B5"/>
    <w:rsid w:val="0094335F"/>
    <w:rsid w:val="009B04C6"/>
    <w:rsid w:val="009E173C"/>
    <w:rsid w:val="00B26D47"/>
    <w:rsid w:val="00B94355"/>
    <w:rsid w:val="00BB1401"/>
    <w:rsid w:val="00BD6355"/>
    <w:rsid w:val="00D66B21"/>
    <w:rsid w:val="00EF14B6"/>
    <w:rsid w:val="00F05266"/>
  </w:rsids>
  <m:mathPr>
    <m:mathFont m:val="Cambria Math"/>
    <m:brkBin m:val="before"/>
    <m:brkBinSub m:val="--"/>
    <m:smallFrac m:val="0"/>
    <m:dispDef/>
    <m:lMargin m:val="0"/>
    <m:rMargin m:val="0"/>
    <m:defJc m:val="centerGroup"/>
    <m:wrapRight/>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15C07"/>
  <w15:docId w15:val="{5F9FA61F-4555-4955-BE1E-C1D2ED4A13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after="140" w:line="360" w:lineRule="auto"/>
      <w:jc w:val="both"/>
    </w:pPr>
    <w:rPr>
      <w:rFonts w:ascii="Arial" w:hAnsi="Arial"/>
      <w:sz w:val="22"/>
    </w:rPr>
  </w:style>
  <w:style w:type="paragraph" w:styleId="Heading1">
    <w:name w:val="heading 1"/>
    <w:basedOn w:val="Normal"/>
    <w:next w:val="BodyText"/>
    <w:uiPriority w:val="9"/>
    <w:qFormat/>
    <w:pPr>
      <w:keepNext/>
      <w:keepLines/>
      <w:spacing w:before="280"/>
      <w:outlineLvl w:val="0"/>
    </w:pPr>
    <w:rPr>
      <w:rFonts w:asciiTheme="majorHAnsi" w:eastAsiaTheme="majorEastAsia" w:hAnsiTheme="majorHAnsi" w:cstheme="majorBidi"/>
      <w:b/>
      <w:bCs/>
      <w:color w:val="1F4E3D"/>
      <w:sz w:val="44"/>
      <w:szCs w:val="32"/>
    </w:rPr>
  </w:style>
  <w:style w:type="paragraph" w:styleId="Heading2">
    <w:name w:val="heading 2"/>
    <w:basedOn w:val="Normal"/>
    <w:next w:val="BodyText"/>
    <w:uiPriority w:val="9"/>
    <w:unhideWhenUsed/>
    <w:qFormat/>
    <w:pPr>
      <w:keepNext/>
      <w:keepLines/>
      <w:spacing w:before="280"/>
      <w:outlineLvl w:val="1"/>
    </w:pPr>
    <w:rPr>
      <w:rFonts w:asciiTheme="majorHAnsi" w:eastAsiaTheme="majorEastAsia" w:hAnsiTheme="majorHAnsi" w:cstheme="majorBidi"/>
      <w:b/>
      <w:bCs/>
      <w:color w:val="1F4E3D"/>
      <w:sz w:val="32"/>
      <w:szCs w:val="28"/>
    </w:rPr>
  </w:style>
  <w:style w:type="paragraph" w:styleId="Heading3">
    <w:name w:val="heading 3"/>
    <w:basedOn w:val="Normal"/>
    <w:next w:val="BodyText"/>
    <w:uiPriority w:val="9"/>
    <w:unhideWhenUsed/>
    <w:qFormat/>
    <w:pPr>
      <w:keepNext/>
      <w:keepLines/>
      <w:spacing w:before="200" w:after="100"/>
      <w:outlineLvl w:val="2"/>
    </w:pPr>
    <w:rPr>
      <w:rFonts w:asciiTheme="majorHAnsi" w:eastAsiaTheme="majorEastAsia" w:hAnsiTheme="majorHAnsi" w:cstheme="majorBidi"/>
      <w:b/>
      <w:bCs/>
      <w:color w:val="1F4E3D"/>
      <w:sz w:val="26"/>
    </w:rPr>
  </w:style>
  <w:style w:type="paragraph" w:styleId="Heading4">
    <w:name w:val="heading 4"/>
    <w:basedOn w:val="Normal"/>
    <w:next w:val="BodyText"/>
    <w:uiPriority w:val="9"/>
    <w:unhideWhenUsed/>
    <w:qFormat/>
    <w:pPr>
      <w:keepNext/>
      <w:keepLines/>
      <w:spacing w:before="200" w:after="0"/>
      <w:outlineLvl w:val="3"/>
    </w:pPr>
    <w:rPr>
      <w:rFonts w:asciiTheme="majorHAnsi" w:eastAsiaTheme="majorEastAsia" w:hAnsiTheme="majorHAnsi" w:cstheme="majorBidi"/>
      <w:bCs/>
      <w:i/>
      <w:color w:val="4F81BD" w:themeColor="accent1"/>
      <w:sz w:val="24"/>
    </w:rPr>
  </w:style>
  <w:style w:type="paragraph" w:styleId="Heading5">
    <w:name w:val="heading 5"/>
    <w:basedOn w:val="Normal"/>
    <w:next w:val="BodyText"/>
    <w:uiPriority w:val="9"/>
    <w:unhideWhenUsed/>
    <w:qFormat/>
    <w:pPr>
      <w:keepNext/>
      <w:keepLines/>
      <w:spacing w:before="200" w:after="0"/>
      <w:outlineLvl w:val="4"/>
    </w:pPr>
    <w:rPr>
      <w:rFonts w:asciiTheme="majorHAnsi" w:eastAsiaTheme="majorEastAsia" w:hAnsiTheme="majorHAnsi" w:cstheme="majorBidi"/>
      <w:iCs/>
      <w:color w:val="4F81BD" w:themeColor="accent1"/>
      <w:sz w:val="24"/>
    </w:rPr>
  </w:style>
  <w:style w:type="paragraph" w:styleId="Heading6">
    <w:name w:val="heading 6"/>
    <w:basedOn w:val="Normal"/>
    <w:next w:val="BodyText"/>
    <w:uiPriority w:val="9"/>
    <w:unhideWhenUsed/>
    <w:qFormat/>
    <w:pPr>
      <w:keepNext/>
      <w:keepLines/>
      <w:spacing w:before="200" w:after="0"/>
      <w:outlineLvl w:val="5"/>
    </w:pPr>
    <w:rPr>
      <w:rFonts w:asciiTheme="majorHAnsi" w:eastAsiaTheme="majorEastAsia" w:hAnsiTheme="majorHAnsi" w:cstheme="majorBidi"/>
      <w:color w:val="4F81BD" w:themeColor="accent1"/>
      <w:sz w:val="24"/>
    </w:rPr>
  </w:style>
  <w:style w:type="paragraph" w:styleId="Heading7">
    <w:name w:val="heading 7"/>
    <w:basedOn w:val="Normal"/>
    <w:next w:val="BodyText"/>
    <w:uiPriority w:val="9"/>
    <w:unhideWhenUsed/>
    <w:qFormat/>
    <w:pPr>
      <w:keepNext/>
      <w:keepLines/>
      <w:spacing w:before="200" w:after="0"/>
      <w:outlineLvl w:val="6"/>
    </w:pPr>
    <w:rPr>
      <w:rFonts w:asciiTheme="majorHAnsi" w:eastAsiaTheme="majorEastAsia" w:hAnsiTheme="majorHAnsi" w:cstheme="majorBidi"/>
      <w:color w:val="4F81BD" w:themeColor="accent1"/>
      <w:sz w:val="24"/>
    </w:rPr>
  </w:style>
  <w:style w:type="paragraph" w:styleId="Heading8">
    <w:name w:val="heading 8"/>
    <w:basedOn w:val="Normal"/>
    <w:next w:val="BodyText"/>
    <w:uiPriority w:val="9"/>
    <w:unhideWhenUsed/>
    <w:qFormat/>
    <w:pPr>
      <w:keepNext/>
      <w:keepLines/>
      <w:spacing w:before="200" w:after="0"/>
      <w:outlineLvl w:val="7"/>
    </w:pPr>
    <w:rPr>
      <w:rFonts w:asciiTheme="majorHAnsi" w:eastAsiaTheme="majorEastAsia" w:hAnsiTheme="majorHAnsi" w:cstheme="majorBidi"/>
      <w:color w:val="4F81BD" w:themeColor="accent1"/>
      <w:sz w:val="24"/>
    </w:rPr>
  </w:style>
  <w:style w:type="paragraph" w:styleId="Heading9">
    <w:name w:val="heading 9"/>
    <w:basedOn w:val="Normal"/>
    <w:next w:val="BodyText"/>
    <w:uiPriority w:val="9"/>
    <w:unhideWhenUsed/>
    <w:qFormat/>
    <w:pPr>
      <w:keepNext/>
      <w:keepLines/>
      <w:spacing w:before="200" w:after="0"/>
      <w:outlineLvl w:val="8"/>
    </w:pPr>
    <w:rPr>
      <w:rFonts w:asciiTheme="majorHAnsi" w:eastAsiaTheme="majorEastAsia" w:hAnsiTheme="majorHAnsi" w:cstheme="majorBidi"/>
      <w:color w:val="4F81BD" w:themeColor="accen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qFormat/>
    <w:pPr>
      <w:keepNext/>
      <w:keepLines/>
      <w:spacing w:after="240"/>
      <w:jc w:val="center"/>
    </w:pPr>
    <w:rPr>
      <w:rFonts w:asciiTheme="majorHAnsi" w:eastAsiaTheme="majorEastAsia" w:hAnsiTheme="majorHAnsi" w:cstheme="majorBidi"/>
      <w:b/>
      <w:bCs/>
      <w:color w:val="1F4E3D"/>
      <w:sz w:val="44"/>
      <w:szCs w:val="36"/>
    </w:rPr>
  </w:style>
  <w:style w:type="paragraph" w:styleId="Subtitle">
    <w:name w:val="Subtitle"/>
    <w:basedOn w:val="Title"/>
    <w:next w:val="BodyText"/>
    <w:qFormat/>
    <w:pPr>
      <w:spacing w:before="240"/>
    </w:pPr>
    <w:rPr>
      <w:sz w:val="30"/>
      <w:szCs w:val="30"/>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color w:val="345A8A"/>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rPr>
      <w:color w:val="4F81BD" w:themeColor="accent1"/>
    </w:rPr>
  </w:style>
  <w:style w:type="paragraph" w:styleId="TOCHeading">
    <w:name w:val="TOC Heading"/>
    <w:basedOn w:val="Heading1"/>
    <w:next w:val="BodyText"/>
    <w:uiPriority w:val="39"/>
    <w:unhideWhenUsed/>
    <w:qFormat/>
    <w:pPr>
      <w:spacing w:before="240" w:line="259" w:lineRule="auto"/>
      <w:outlineLvl w:val="9"/>
    </w:pPr>
    <w:rPr>
      <w:b w:val="0"/>
      <w:bCs w:val="0"/>
      <w:color w:val="365F91" w:themeColor="accent1" w:themeShade="BF"/>
    </w:r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TotalTime>
  <Pages>17</Pages>
  <Words>5145</Words>
  <Characters>33859</Characters>
  <Application>Microsoft Office Word</Application>
  <DocSecurity>0</DocSecurity>
  <Lines>627</Lines>
  <Paragraphs>245</Paragraphs>
  <ScaleCrop>false</ScaleCrop>
  <Company/>
  <LinksUpToDate>false</LinksUpToDate>
  <CharactersWithSpaces>38759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Stakeholder Engagement for the Launch of ConnectPlus at Marks &amp; Spencer</dc:title>
  <dc:subject>LCLM5001 Academic Report</dc:subject>
  <dc:creator>[Insert student name]</dc:creator>
  <cp:keywords/>
  <cp:lastModifiedBy>Gabriel Tim</cp:lastModifiedBy>
  <cp:revision>20</cp:revision>
  <dcterms:created xsi:type="dcterms:W3CDTF">2026-07-17T21:08:00Z</dcterms:created>
  <dcterms:modified xsi:type="dcterms:W3CDTF">2026-07-20T12:10:00Z</dcterms:modified>
</cp:coreProperties>
</file>