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ADCF0E" w14:textId="77777777" w:rsidR="005B1F08" w:rsidRDefault="005B1F08">
      <w:pPr>
        <w:spacing w:before="1400"/>
      </w:pPr>
    </w:p>
    <w:p w14:paraId="33ED4EE9" w14:textId="77777777" w:rsidR="005B1F08" w:rsidRDefault="00000000">
      <w:pPr>
        <w:spacing w:after="60" w:line="276" w:lineRule="auto"/>
        <w:jc w:val="center"/>
      </w:pPr>
      <w:r>
        <w:rPr>
          <w:b/>
          <w:bCs/>
          <w:sz w:val="32"/>
          <w:szCs w:val="32"/>
        </w:rPr>
        <w:t>Environmental Influences on Human Resource Management Effectiveness in a Global Organisation:</w:t>
      </w:r>
    </w:p>
    <w:p w14:paraId="31F92008" w14:textId="77777777" w:rsidR="005B1F08" w:rsidRDefault="00000000">
      <w:pPr>
        <w:spacing w:after="700" w:line="276" w:lineRule="auto"/>
        <w:jc w:val="center"/>
      </w:pPr>
      <w:r>
        <w:rPr>
          <w:b/>
          <w:bCs/>
          <w:sz w:val="32"/>
          <w:szCs w:val="32"/>
        </w:rPr>
        <w:t>A PESTLE Analysis of Automobili Lamborghini S.p.A.</w:t>
      </w:r>
    </w:p>
    <w:p w14:paraId="3D4E8F26" w14:textId="77777777" w:rsidR="005B1F08" w:rsidRDefault="00000000">
      <w:pPr>
        <w:spacing w:after="100" w:line="276" w:lineRule="auto"/>
        <w:jc w:val="center"/>
      </w:pPr>
      <w:r>
        <w:t>BA (Hons) Business Management, Level 5</w:t>
      </w:r>
    </w:p>
    <w:p w14:paraId="09D68025" w14:textId="77777777" w:rsidR="005B1F08" w:rsidRDefault="00000000">
      <w:pPr>
        <w:spacing w:after="100" w:line="276" w:lineRule="auto"/>
        <w:jc w:val="center"/>
      </w:pPr>
      <w:r>
        <w:t>Principles of Human Resource Management (LCBB5012)</w:t>
      </w:r>
    </w:p>
    <w:p w14:paraId="04FECF08" w14:textId="77777777" w:rsidR="005B1F08" w:rsidRDefault="00000000">
      <w:pPr>
        <w:spacing w:after="600" w:line="276" w:lineRule="auto"/>
        <w:jc w:val="center"/>
      </w:pPr>
      <w:r>
        <w:t>Component 2: Coursework, Individual Report</w:t>
      </w:r>
    </w:p>
    <w:p w14:paraId="0FFFBF4B" w14:textId="69A9775F" w:rsidR="00962743" w:rsidRDefault="00962743">
      <w:pPr>
        <w:spacing w:after="600" w:line="276" w:lineRule="auto"/>
        <w:jc w:val="center"/>
      </w:pPr>
      <w:r>
        <w:t>Lect</w:t>
      </w:r>
      <w:r w:rsidR="00F136C7">
        <w:t xml:space="preserve">urer: </w:t>
      </w:r>
      <w:r w:rsidR="00F136C7">
        <w:t>Dr Ramases Manalang</w:t>
      </w:r>
      <w:r w:rsidR="00F136C7">
        <w:t xml:space="preserve"> </w:t>
      </w:r>
    </w:p>
    <w:p w14:paraId="3E59133D" w14:textId="0E38F623" w:rsidR="005B1F08" w:rsidRDefault="00000000">
      <w:pPr>
        <w:spacing w:after="100" w:line="276" w:lineRule="auto"/>
        <w:jc w:val="center"/>
      </w:pPr>
      <w:r>
        <w:t xml:space="preserve">Student name: </w:t>
      </w:r>
      <w:r w:rsidR="00962743">
        <w:t>Osama El Fadel</w:t>
      </w:r>
    </w:p>
    <w:p w14:paraId="7A43E0E0" w14:textId="718ACA3E" w:rsidR="005B1F08" w:rsidRDefault="00000000">
      <w:pPr>
        <w:spacing w:after="100" w:line="276" w:lineRule="auto"/>
        <w:jc w:val="center"/>
      </w:pPr>
      <w:r>
        <w:t>Student number:</w:t>
      </w:r>
      <w:r w:rsidR="00962743">
        <w:t xml:space="preserve"> 2313452</w:t>
      </w:r>
    </w:p>
    <w:p w14:paraId="18C27CD0" w14:textId="77777777" w:rsidR="00D22023" w:rsidRDefault="00D22023"/>
    <w:p w14:paraId="09CA541E" w14:textId="77777777" w:rsidR="00D22023" w:rsidRDefault="00D22023">
      <w:r>
        <w:br w:type="page"/>
      </w:r>
    </w:p>
    <w:sdt>
      <w:sdtPr>
        <w:id w:val="1585101543"/>
        <w:docPartObj>
          <w:docPartGallery w:val="Table of Contents"/>
          <w:docPartUnique/>
        </w:docPartObj>
      </w:sdtPr>
      <w:sdtEndPr>
        <w:rPr>
          <w:rFonts w:ascii="Arial" w:eastAsia="Arial" w:hAnsi="Arial" w:cs="Arial"/>
          <w:noProof/>
          <w:color w:val="auto"/>
          <w:sz w:val="22"/>
          <w:szCs w:val="22"/>
          <w:lang w:val="en-GB" w:eastAsia="en-GB"/>
        </w:rPr>
      </w:sdtEndPr>
      <w:sdtContent>
        <w:p w14:paraId="208DCA56" w14:textId="20B93846" w:rsidR="00D22023" w:rsidRDefault="00D22023">
          <w:pPr>
            <w:pStyle w:val="TOCHeading"/>
          </w:pPr>
          <w:r>
            <w:t>Table of Contents</w:t>
          </w:r>
        </w:p>
        <w:p w14:paraId="3F1D38CD" w14:textId="2DA41E15" w:rsidR="00D22023" w:rsidRDefault="00D2202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8266906" w:history="1">
            <w:r w:rsidRPr="00FF6255">
              <w:rPr>
                <w:rStyle w:val="Hyperlink"/>
                <w:noProof/>
              </w:rPr>
              <w:t>1. Introduction</w:t>
            </w:r>
            <w:r>
              <w:rPr>
                <w:noProof/>
                <w:webHidden/>
              </w:rPr>
              <w:tab/>
            </w:r>
            <w:r>
              <w:rPr>
                <w:noProof/>
                <w:webHidden/>
              </w:rPr>
              <w:fldChar w:fldCharType="begin"/>
            </w:r>
            <w:r>
              <w:rPr>
                <w:noProof/>
                <w:webHidden/>
              </w:rPr>
              <w:instrText xml:space="preserve"> PAGEREF _Toc238266906 \h </w:instrText>
            </w:r>
            <w:r>
              <w:rPr>
                <w:noProof/>
                <w:webHidden/>
              </w:rPr>
            </w:r>
            <w:r>
              <w:rPr>
                <w:noProof/>
                <w:webHidden/>
              </w:rPr>
              <w:fldChar w:fldCharType="separate"/>
            </w:r>
            <w:r>
              <w:rPr>
                <w:noProof/>
                <w:webHidden/>
              </w:rPr>
              <w:t>3</w:t>
            </w:r>
            <w:r>
              <w:rPr>
                <w:noProof/>
                <w:webHidden/>
              </w:rPr>
              <w:fldChar w:fldCharType="end"/>
            </w:r>
          </w:hyperlink>
        </w:p>
        <w:p w14:paraId="5F18D8B4" w14:textId="2FECD3BC" w:rsidR="00D22023" w:rsidRDefault="00D22023">
          <w:pPr>
            <w:pStyle w:val="TOC1"/>
            <w:tabs>
              <w:tab w:val="right" w:leader="dot" w:pos="9016"/>
            </w:tabs>
            <w:rPr>
              <w:noProof/>
            </w:rPr>
          </w:pPr>
          <w:hyperlink w:anchor="_Toc238266907" w:history="1">
            <w:r w:rsidRPr="00FF6255">
              <w:rPr>
                <w:rStyle w:val="Hyperlink"/>
                <w:noProof/>
              </w:rPr>
              <w:t>2. Internal and External Environment</w:t>
            </w:r>
            <w:r>
              <w:rPr>
                <w:noProof/>
                <w:webHidden/>
              </w:rPr>
              <w:tab/>
            </w:r>
            <w:r>
              <w:rPr>
                <w:noProof/>
                <w:webHidden/>
              </w:rPr>
              <w:fldChar w:fldCharType="begin"/>
            </w:r>
            <w:r>
              <w:rPr>
                <w:noProof/>
                <w:webHidden/>
              </w:rPr>
              <w:instrText xml:space="preserve"> PAGEREF _Toc238266907 \h </w:instrText>
            </w:r>
            <w:r>
              <w:rPr>
                <w:noProof/>
                <w:webHidden/>
              </w:rPr>
            </w:r>
            <w:r>
              <w:rPr>
                <w:noProof/>
                <w:webHidden/>
              </w:rPr>
              <w:fldChar w:fldCharType="separate"/>
            </w:r>
            <w:r>
              <w:rPr>
                <w:noProof/>
                <w:webHidden/>
              </w:rPr>
              <w:t>3</w:t>
            </w:r>
            <w:r>
              <w:rPr>
                <w:noProof/>
                <w:webHidden/>
              </w:rPr>
              <w:fldChar w:fldCharType="end"/>
            </w:r>
          </w:hyperlink>
        </w:p>
        <w:p w14:paraId="573E4F20" w14:textId="748D7548" w:rsidR="00D22023" w:rsidRDefault="00D22023">
          <w:pPr>
            <w:pStyle w:val="TOC2"/>
            <w:tabs>
              <w:tab w:val="right" w:leader="dot" w:pos="9016"/>
            </w:tabs>
            <w:rPr>
              <w:noProof/>
            </w:rPr>
          </w:pPr>
          <w:hyperlink w:anchor="_Toc238266908" w:history="1">
            <w:r w:rsidRPr="00FF6255">
              <w:rPr>
                <w:rStyle w:val="Hyperlink"/>
                <w:noProof/>
              </w:rPr>
              <w:t>The business environment model: usefulness and limitations</w:t>
            </w:r>
            <w:r>
              <w:rPr>
                <w:noProof/>
                <w:webHidden/>
              </w:rPr>
              <w:tab/>
            </w:r>
            <w:r>
              <w:rPr>
                <w:noProof/>
                <w:webHidden/>
              </w:rPr>
              <w:fldChar w:fldCharType="begin"/>
            </w:r>
            <w:r>
              <w:rPr>
                <w:noProof/>
                <w:webHidden/>
              </w:rPr>
              <w:instrText xml:space="preserve"> PAGEREF _Toc238266908 \h </w:instrText>
            </w:r>
            <w:r>
              <w:rPr>
                <w:noProof/>
                <w:webHidden/>
              </w:rPr>
            </w:r>
            <w:r>
              <w:rPr>
                <w:noProof/>
                <w:webHidden/>
              </w:rPr>
              <w:fldChar w:fldCharType="separate"/>
            </w:r>
            <w:r>
              <w:rPr>
                <w:noProof/>
                <w:webHidden/>
              </w:rPr>
              <w:t>3</w:t>
            </w:r>
            <w:r>
              <w:rPr>
                <w:noProof/>
                <w:webHidden/>
              </w:rPr>
              <w:fldChar w:fldCharType="end"/>
            </w:r>
          </w:hyperlink>
        </w:p>
        <w:p w14:paraId="0C6E6162" w14:textId="376F22B4" w:rsidR="00D22023" w:rsidRDefault="00D22023">
          <w:pPr>
            <w:pStyle w:val="TOC2"/>
            <w:tabs>
              <w:tab w:val="right" w:leader="dot" w:pos="9016"/>
            </w:tabs>
            <w:rPr>
              <w:noProof/>
            </w:rPr>
          </w:pPr>
          <w:hyperlink w:anchor="_Toc238266909" w:history="1">
            <w:r w:rsidRPr="00FF6255">
              <w:rPr>
                <w:rStyle w:val="Hyperlink"/>
                <w:noProof/>
              </w:rPr>
              <w:t>Linking the model to HR functions</w:t>
            </w:r>
            <w:r>
              <w:rPr>
                <w:noProof/>
                <w:webHidden/>
              </w:rPr>
              <w:tab/>
            </w:r>
            <w:r>
              <w:rPr>
                <w:noProof/>
                <w:webHidden/>
              </w:rPr>
              <w:fldChar w:fldCharType="begin"/>
            </w:r>
            <w:r>
              <w:rPr>
                <w:noProof/>
                <w:webHidden/>
              </w:rPr>
              <w:instrText xml:space="preserve"> PAGEREF _Toc238266909 \h </w:instrText>
            </w:r>
            <w:r>
              <w:rPr>
                <w:noProof/>
                <w:webHidden/>
              </w:rPr>
            </w:r>
            <w:r>
              <w:rPr>
                <w:noProof/>
                <w:webHidden/>
              </w:rPr>
              <w:fldChar w:fldCharType="separate"/>
            </w:r>
            <w:r>
              <w:rPr>
                <w:noProof/>
                <w:webHidden/>
              </w:rPr>
              <w:t>4</w:t>
            </w:r>
            <w:r>
              <w:rPr>
                <w:noProof/>
                <w:webHidden/>
              </w:rPr>
              <w:fldChar w:fldCharType="end"/>
            </w:r>
          </w:hyperlink>
        </w:p>
        <w:p w14:paraId="019AAF84" w14:textId="53BC30C6" w:rsidR="00D22023" w:rsidRDefault="00D22023">
          <w:pPr>
            <w:pStyle w:val="TOC1"/>
            <w:tabs>
              <w:tab w:val="right" w:leader="dot" w:pos="9016"/>
            </w:tabs>
            <w:rPr>
              <w:noProof/>
            </w:rPr>
          </w:pPr>
          <w:hyperlink w:anchor="_Toc238266910" w:history="1">
            <w:r w:rsidRPr="00FF6255">
              <w:rPr>
                <w:rStyle w:val="Hyperlink"/>
                <w:noProof/>
              </w:rPr>
              <w:t>3. Organisat</w:t>
            </w:r>
            <w:r w:rsidRPr="00FF6255">
              <w:rPr>
                <w:rStyle w:val="Hyperlink"/>
                <w:noProof/>
              </w:rPr>
              <w:t>i</w:t>
            </w:r>
            <w:r w:rsidRPr="00FF6255">
              <w:rPr>
                <w:rStyle w:val="Hyperlink"/>
                <w:noProof/>
              </w:rPr>
              <w:t>on Application</w:t>
            </w:r>
            <w:r>
              <w:rPr>
                <w:noProof/>
                <w:webHidden/>
              </w:rPr>
              <w:tab/>
            </w:r>
            <w:r>
              <w:rPr>
                <w:noProof/>
                <w:webHidden/>
              </w:rPr>
              <w:fldChar w:fldCharType="begin"/>
            </w:r>
            <w:r>
              <w:rPr>
                <w:noProof/>
                <w:webHidden/>
              </w:rPr>
              <w:instrText xml:space="preserve"> PAGEREF _Toc238266910 \h </w:instrText>
            </w:r>
            <w:r>
              <w:rPr>
                <w:noProof/>
                <w:webHidden/>
              </w:rPr>
            </w:r>
            <w:r>
              <w:rPr>
                <w:noProof/>
                <w:webHidden/>
              </w:rPr>
              <w:fldChar w:fldCharType="separate"/>
            </w:r>
            <w:r>
              <w:rPr>
                <w:noProof/>
                <w:webHidden/>
              </w:rPr>
              <w:t>5</w:t>
            </w:r>
            <w:r>
              <w:rPr>
                <w:noProof/>
                <w:webHidden/>
              </w:rPr>
              <w:fldChar w:fldCharType="end"/>
            </w:r>
          </w:hyperlink>
        </w:p>
        <w:p w14:paraId="264C164C" w14:textId="4AF630EC" w:rsidR="00D22023" w:rsidRDefault="00D22023">
          <w:pPr>
            <w:pStyle w:val="TOC1"/>
            <w:tabs>
              <w:tab w:val="right" w:leader="dot" w:pos="9016"/>
            </w:tabs>
            <w:rPr>
              <w:noProof/>
            </w:rPr>
          </w:pPr>
          <w:hyperlink w:anchor="_Toc238266911" w:history="1">
            <w:r w:rsidRPr="00FF6255">
              <w:rPr>
                <w:rStyle w:val="Hyperlink"/>
                <w:noProof/>
              </w:rPr>
              <w:t>4. Application of Model</w:t>
            </w:r>
            <w:r>
              <w:rPr>
                <w:noProof/>
                <w:webHidden/>
              </w:rPr>
              <w:tab/>
            </w:r>
            <w:r>
              <w:rPr>
                <w:noProof/>
                <w:webHidden/>
              </w:rPr>
              <w:fldChar w:fldCharType="begin"/>
            </w:r>
            <w:r>
              <w:rPr>
                <w:noProof/>
                <w:webHidden/>
              </w:rPr>
              <w:instrText xml:space="preserve"> PAGEREF _Toc238266911 \h </w:instrText>
            </w:r>
            <w:r>
              <w:rPr>
                <w:noProof/>
                <w:webHidden/>
              </w:rPr>
            </w:r>
            <w:r>
              <w:rPr>
                <w:noProof/>
                <w:webHidden/>
              </w:rPr>
              <w:fldChar w:fldCharType="separate"/>
            </w:r>
            <w:r>
              <w:rPr>
                <w:noProof/>
                <w:webHidden/>
              </w:rPr>
              <w:t>5</w:t>
            </w:r>
            <w:r>
              <w:rPr>
                <w:noProof/>
                <w:webHidden/>
              </w:rPr>
              <w:fldChar w:fldCharType="end"/>
            </w:r>
          </w:hyperlink>
        </w:p>
        <w:p w14:paraId="5000360E" w14:textId="12752E18" w:rsidR="00D22023" w:rsidRDefault="00D22023">
          <w:pPr>
            <w:pStyle w:val="TOC2"/>
            <w:tabs>
              <w:tab w:val="right" w:leader="dot" w:pos="9016"/>
            </w:tabs>
            <w:rPr>
              <w:noProof/>
            </w:rPr>
          </w:pPr>
          <w:hyperlink w:anchor="_Toc238266912" w:history="1">
            <w:r w:rsidRPr="00FF6255">
              <w:rPr>
                <w:rStyle w:val="Hyperlink"/>
                <w:noProof/>
              </w:rPr>
              <w:t>Impact on the organisation</w:t>
            </w:r>
            <w:r>
              <w:rPr>
                <w:noProof/>
                <w:webHidden/>
              </w:rPr>
              <w:tab/>
            </w:r>
            <w:r>
              <w:rPr>
                <w:noProof/>
                <w:webHidden/>
              </w:rPr>
              <w:fldChar w:fldCharType="begin"/>
            </w:r>
            <w:r>
              <w:rPr>
                <w:noProof/>
                <w:webHidden/>
              </w:rPr>
              <w:instrText xml:space="preserve"> PAGEREF _Toc238266912 \h </w:instrText>
            </w:r>
            <w:r>
              <w:rPr>
                <w:noProof/>
                <w:webHidden/>
              </w:rPr>
            </w:r>
            <w:r>
              <w:rPr>
                <w:noProof/>
                <w:webHidden/>
              </w:rPr>
              <w:fldChar w:fldCharType="separate"/>
            </w:r>
            <w:r>
              <w:rPr>
                <w:noProof/>
                <w:webHidden/>
              </w:rPr>
              <w:t>5</w:t>
            </w:r>
            <w:r>
              <w:rPr>
                <w:noProof/>
                <w:webHidden/>
              </w:rPr>
              <w:fldChar w:fldCharType="end"/>
            </w:r>
          </w:hyperlink>
        </w:p>
        <w:p w14:paraId="33269143" w14:textId="2CAC9BF1" w:rsidR="00D22023" w:rsidRDefault="00D22023">
          <w:pPr>
            <w:pStyle w:val="TOC2"/>
            <w:tabs>
              <w:tab w:val="right" w:leader="dot" w:pos="9016"/>
            </w:tabs>
            <w:rPr>
              <w:noProof/>
            </w:rPr>
          </w:pPr>
          <w:hyperlink w:anchor="_Toc238266913" w:history="1">
            <w:r w:rsidRPr="00FF6255">
              <w:rPr>
                <w:rStyle w:val="Hyperlink"/>
                <w:noProof/>
              </w:rPr>
              <w:t>Country differences</w:t>
            </w:r>
            <w:r>
              <w:rPr>
                <w:noProof/>
                <w:webHidden/>
              </w:rPr>
              <w:tab/>
            </w:r>
            <w:r>
              <w:rPr>
                <w:noProof/>
                <w:webHidden/>
              </w:rPr>
              <w:fldChar w:fldCharType="begin"/>
            </w:r>
            <w:r>
              <w:rPr>
                <w:noProof/>
                <w:webHidden/>
              </w:rPr>
              <w:instrText xml:space="preserve"> PAGEREF _Toc238266913 \h </w:instrText>
            </w:r>
            <w:r>
              <w:rPr>
                <w:noProof/>
                <w:webHidden/>
              </w:rPr>
            </w:r>
            <w:r>
              <w:rPr>
                <w:noProof/>
                <w:webHidden/>
              </w:rPr>
              <w:fldChar w:fldCharType="separate"/>
            </w:r>
            <w:r>
              <w:rPr>
                <w:noProof/>
                <w:webHidden/>
              </w:rPr>
              <w:t>7</w:t>
            </w:r>
            <w:r>
              <w:rPr>
                <w:noProof/>
                <w:webHidden/>
              </w:rPr>
              <w:fldChar w:fldCharType="end"/>
            </w:r>
          </w:hyperlink>
        </w:p>
        <w:p w14:paraId="699F9539" w14:textId="67AC7A30" w:rsidR="00D22023" w:rsidRDefault="00D22023">
          <w:pPr>
            <w:pStyle w:val="TOC1"/>
            <w:tabs>
              <w:tab w:val="right" w:leader="dot" w:pos="9016"/>
            </w:tabs>
            <w:rPr>
              <w:noProof/>
            </w:rPr>
          </w:pPr>
          <w:hyperlink w:anchor="_Toc238266914" w:history="1">
            <w:r w:rsidRPr="00FF6255">
              <w:rPr>
                <w:rStyle w:val="Hyperlink"/>
                <w:noProof/>
              </w:rPr>
              <w:t>5. Conclusion</w:t>
            </w:r>
            <w:r>
              <w:rPr>
                <w:noProof/>
                <w:webHidden/>
              </w:rPr>
              <w:tab/>
            </w:r>
            <w:r>
              <w:rPr>
                <w:noProof/>
                <w:webHidden/>
              </w:rPr>
              <w:fldChar w:fldCharType="begin"/>
            </w:r>
            <w:r>
              <w:rPr>
                <w:noProof/>
                <w:webHidden/>
              </w:rPr>
              <w:instrText xml:space="preserve"> PAGEREF _Toc238266914 \h </w:instrText>
            </w:r>
            <w:r>
              <w:rPr>
                <w:noProof/>
                <w:webHidden/>
              </w:rPr>
            </w:r>
            <w:r>
              <w:rPr>
                <w:noProof/>
                <w:webHidden/>
              </w:rPr>
              <w:fldChar w:fldCharType="separate"/>
            </w:r>
            <w:r>
              <w:rPr>
                <w:noProof/>
                <w:webHidden/>
              </w:rPr>
              <w:t>8</w:t>
            </w:r>
            <w:r>
              <w:rPr>
                <w:noProof/>
                <w:webHidden/>
              </w:rPr>
              <w:fldChar w:fldCharType="end"/>
            </w:r>
          </w:hyperlink>
        </w:p>
        <w:p w14:paraId="2A2C9C67" w14:textId="30481E65" w:rsidR="00D22023" w:rsidRDefault="00D22023">
          <w:pPr>
            <w:pStyle w:val="TOC1"/>
            <w:tabs>
              <w:tab w:val="right" w:leader="dot" w:pos="9016"/>
            </w:tabs>
            <w:rPr>
              <w:noProof/>
            </w:rPr>
          </w:pPr>
          <w:hyperlink w:anchor="_Toc238266915" w:history="1">
            <w:r w:rsidRPr="00FF6255">
              <w:rPr>
                <w:rStyle w:val="Hyperlink"/>
                <w:noProof/>
              </w:rPr>
              <w:t>Reference List</w:t>
            </w:r>
            <w:r>
              <w:rPr>
                <w:noProof/>
                <w:webHidden/>
              </w:rPr>
              <w:tab/>
            </w:r>
            <w:r>
              <w:rPr>
                <w:noProof/>
                <w:webHidden/>
              </w:rPr>
              <w:fldChar w:fldCharType="begin"/>
            </w:r>
            <w:r>
              <w:rPr>
                <w:noProof/>
                <w:webHidden/>
              </w:rPr>
              <w:instrText xml:space="preserve"> PAGEREF _Toc238266915 \h </w:instrText>
            </w:r>
            <w:r>
              <w:rPr>
                <w:noProof/>
                <w:webHidden/>
              </w:rPr>
            </w:r>
            <w:r>
              <w:rPr>
                <w:noProof/>
                <w:webHidden/>
              </w:rPr>
              <w:fldChar w:fldCharType="separate"/>
            </w:r>
            <w:r>
              <w:rPr>
                <w:noProof/>
                <w:webHidden/>
              </w:rPr>
              <w:t>9</w:t>
            </w:r>
            <w:r>
              <w:rPr>
                <w:noProof/>
                <w:webHidden/>
              </w:rPr>
              <w:fldChar w:fldCharType="end"/>
            </w:r>
          </w:hyperlink>
        </w:p>
        <w:p w14:paraId="7A9806CD" w14:textId="59C2C981" w:rsidR="00D22023" w:rsidRDefault="00D22023">
          <w:r>
            <w:rPr>
              <w:b/>
              <w:bCs/>
              <w:noProof/>
            </w:rPr>
            <w:fldChar w:fldCharType="end"/>
          </w:r>
        </w:p>
      </w:sdtContent>
    </w:sdt>
    <w:p w14:paraId="4E065951" w14:textId="783AFB5F" w:rsidR="005B1F08" w:rsidRDefault="00000000">
      <w:r>
        <w:br w:type="page"/>
      </w:r>
    </w:p>
    <w:p w14:paraId="649D684B" w14:textId="77777777" w:rsidR="005B1F08" w:rsidRDefault="00000000" w:rsidP="00D22023">
      <w:pPr>
        <w:pStyle w:val="Heading1"/>
      </w:pPr>
      <w:bookmarkStart w:id="0" w:name="_Toc238266906"/>
      <w:r w:rsidRPr="00D22023">
        <w:lastRenderedPageBreak/>
        <w:t>1. Introduction</w:t>
      </w:r>
      <w:bookmarkEnd w:id="0"/>
    </w:p>
    <w:p w14:paraId="1C826FD6" w14:textId="77777777" w:rsidR="00D22023" w:rsidRPr="00D22023" w:rsidRDefault="00D22023" w:rsidP="00D22023">
      <w:pPr>
        <w:pStyle w:val="Heading1"/>
      </w:pPr>
    </w:p>
    <w:p w14:paraId="54AFF41E" w14:textId="75BFA9F6" w:rsidR="005B1F08" w:rsidRDefault="00C26431">
      <w:pPr>
        <w:spacing w:after="200" w:line="360" w:lineRule="auto"/>
        <w:jc w:val="both"/>
      </w:pPr>
      <w:r w:rsidRPr="00C26431">
        <w:t>Human resource management underpins organisational performance through a few key areas</w:t>
      </w:r>
      <w:r w:rsidR="00F136C7">
        <w:t xml:space="preserve">, </w:t>
      </w:r>
      <w:r w:rsidRPr="00C26431">
        <w:t>and in doing so it provides people, skills and working arrangements. A good strategy relies on recruitment and selection, and if that is not done properly, this will have an impact on all other functions of the strategy (CIPD, 2026c). This is most effectively achieved through organisations' ability to embrace change, not be overwhelmed by it, with learning and development enabling them to keep up with the changes in their technology and markets (CIPD, 2026e). Performance management is used to link individuals</w:t>
      </w:r>
      <w:r w:rsidR="00F136C7">
        <w:t>’ work</w:t>
      </w:r>
      <w:r w:rsidRPr="00C26431">
        <w:t xml:space="preserve"> to the purpose of the organisation, and to provide a basis of evidence for reward, promotion and development schemes (CIPD, 2026b). It is not managers' job to regulate the employment relationship </w:t>
      </w:r>
      <w:proofErr w:type="gramStart"/>
      <w:r w:rsidRPr="00C26431">
        <w:t>itself</w:t>
      </w:r>
      <w:r w:rsidR="00F136C7">
        <w:t>;</w:t>
      </w:r>
      <w:r w:rsidRPr="00C26431">
        <w:t xml:space="preserve">  that's</w:t>
      </w:r>
      <w:proofErr w:type="gramEnd"/>
      <w:r w:rsidRPr="00C26431">
        <w:t xml:space="preserve"> why continental Europe has developed a system of collective bargaining to do this, through voice and consultation as well as through conflict (CIPD, 2026d). These functions make up whether a strategy is feasible or not. They are not</w:t>
      </w:r>
      <w:r w:rsidR="00F136C7">
        <w:t>,</w:t>
      </w:r>
      <w:r w:rsidRPr="00C26431">
        <w:t xml:space="preserve"> however, alone. They can only work within the limitations of the political, economic, social, technological, legal and environmental factors over which HR managers have a very limited amount of control. This report assesses this boundary. First, it introduces the concept of PESTLE analysis as a tool for looking at the business environment; it explores the value of this tool and its downside; and it connects each aspect of the PESTLE analysis to HR functions. It then presents Automobili Lamborghini S.p.A. and HR related </w:t>
      </w:r>
      <w:proofErr w:type="gramStart"/>
      <w:r w:rsidRPr="00C26431">
        <w:t>issues, and</w:t>
      </w:r>
      <w:proofErr w:type="gramEnd"/>
      <w:r w:rsidRPr="00C26431">
        <w:t xml:space="preserve"> then applies the model in detail and compares the effects of the same forces on HR practice in different countries due to the institutional differences. The summary of the argument and implications for HR managers in global organisations are provided in the conclusion.</w:t>
      </w:r>
    </w:p>
    <w:p w14:paraId="7D35128A" w14:textId="77777777" w:rsidR="005B1F08" w:rsidRDefault="00000000" w:rsidP="00D22023">
      <w:pPr>
        <w:pStyle w:val="Heading1"/>
      </w:pPr>
      <w:bookmarkStart w:id="1" w:name="_Toc238266907"/>
      <w:r w:rsidRPr="00D22023">
        <w:t>2. Internal and External Environment</w:t>
      </w:r>
      <w:bookmarkEnd w:id="1"/>
    </w:p>
    <w:p w14:paraId="5D436418" w14:textId="77777777" w:rsidR="00D22023" w:rsidRPr="00D22023" w:rsidRDefault="00D22023" w:rsidP="00D22023">
      <w:pPr>
        <w:pStyle w:val="Heading1"/>
      </w:pPr>
    </w:p>
    <w:p w14:paraId="78152AB2" w14:textId="7D63E460" w:rsidR="005B1F08" w:rsidRDefault="00000000" w:rsidP="00D22023">
      <w:pPr>
        <w:pStyle w:val="Heading2"/>
      </w:pPr>
      <w:bookmarkStart w:id="2" w:name="_Toc238266908"/>
      <w:r w:rsidRPr="00D22023">
        <w:t>The business environment model: usefulness and limitations</w:t>
      </w:r>
      <w:bookmarkEnd w:id="2"/>
    </w:p>
    <w:p w14:paraId="38C1852B" w14:textId="77777777" w:rsidR="00D22023" w:rsidRPr="00D22023" w:rsidRDefault="00D22023" w:rsidP="00D22023">
      <w:pPr>
        <w:pStyle w:val="Heading2"/>
      </w:pPr>
    </w:p>
    <w:p w14:paraId="5298D40A" w14:textId="7CA55ECD" w:rsidR="00C26431" w:rsidRDefault="00C26431" w:rsidP="00C26431">
      <w:pPr>
        <w:spacing w:after="200" w:line="360" w:lineRule="auto"/>
        <w:jc w:val="both"/>
      </w:pPr>
      <w:r>
        <w:t>PESTLE analysis is a framework that breaks down the macro-environment into six categories: political, economic, social, technological, legal and environmental. It requires managers to review each category sequentially, minimising the danger of blind spots</w:t>
      </w:r>
      <w:r w:rsidR="00FD673B">
        <w:t>,</w:t>
      </w:r>
      <w:r>
        <w:t xml:space="preserve"> and it is now used for one of CIPD's main applications, workforce planning, and developing people strategies (CIPD, 2026a). It is a structured account of the external forces, which </w:t>
      </w:r>
      <w:r w:rsidR="00FD673B">
        <w:t xml:space="preserve">can </w:t>
      </w:r>
      <w:r>
        <w:t>readily</w:t>
      </w:r>
      <w:r w:rsidR="00FD673B">
        <w:t xml:space="preserve"> </w:t>
      </w:r>
      <w:r>
        <w:t>be translated into planning assumptions about the labour supply, cost and regulatory exposure.</w:t>
      </w:r>
    </w:p>
    <w:p w14:paraId="0D8CC4E9" w14:textId="77777777" w:rsidR="00FD673B" w:rsidRDefault="00C26431" w:rsidP="00C26431">
      <w:pPr>
        <w:spacing w:after="200" w:line="360" w:lineRule="auto"/>
        <w:jc w:val="both"/>
      </w:pPr>
      <w:r>
        <w:t xml:space="preserve">But the flaws are not hard to see either: the framework simplifies an environment fraught with complexity, it can lead to analytical paralysis because it creates volumes of information without </w:t>
      </w:r>
      <w:r>
        <w:lastRenderedPageBreak/>
        <w:t xml:space="preserve">offering any means of reducing the various factors to a 'weight of one', and its findings are based on forecasting assumptions that might not come true (CIPD, 2026a). </w:t>
      </w:r>
    </w:p>
    <w:p w14:paraId="1932DE3F" w14:textId="6F32DE73" w:rsidR="005B1F08" w:rsidRDefault="00C26431" w:rsidP="00C26431">
      <w:pPr>
        <w:spacing w:after="200" w:line="360" w:lineRule="auto"/>
        <w:jc w:val="both"/>
      </w:pPr>
      <w:r>
        <w:t>However, PESTLE considers factors as separate categories, provides no feedback mechanism between these categories and in practice they interact continuously, as Andersen (2025) adds. But there is overlapping too, as categories are political and legal at the same time — a tariff is both. Most importantly, the structure itself has no dimensions inside it, but there is a question that asks for a dimension. This analysis is therefore complemented by an investigation of organisational resources, culture and industrial relations structures, and makes the exercise an iterative process rather than a snapshot – a scan from early 2026 was surpassed within months.</w:t>
      </w:r>
    </w:p>
    <w:p w14:paraId="4F84CA23" w14:textId="77777777" w:rsidR="005B1F08" w:rsidRDefault="00000000" w:rsidP="00D22023">
      <w:pPr>
        <w:pStyle w:val="Heading2"/>
      </w:pPr>
      <w:bookmarkStart w:id="3" w:name="_Toc238266909"/>
      <w:r w:rsidRPr="00D22023">
        <w:t>Linking the model to HR functions</w:t>
      </w:r>
      <w:bookmarkEnd w:id="3"/>
    </w:p>
    <w:p w14:paraId="6E82536E" w14:textId="77777777" w:rsidR="00D22023" w:rsidRPr="00D22023" w:rsidRDefault="00D22023" w:rsidP="00D22023">
      <w:pPr>
        <w:pStyle w:val="Heading2"/>
      </w:pPr>
    </w:p>
    <w:p w14:paraId="4E5595B4" w14:textId="5AD7AC3D" w:rsidR="001D52F1" w:rsidRDefault="001D52F1" w:rsidP="001D52F1">
      <w:pPr>
        <w:spacing w:after="200" w:line="360" w:lineRule="auto"/>
        <w:jc w:val="both"/>
      </w:pPr>
      <w:r>
        <w:t>Each dimension is associated with a recognisable HR activity. Workforce planning is as much geopolitical as political because it depends on the location of production and where that production can successfully reside, and thus, where headcount resides (Al Jazeera, 2026). The International Labour Organisation (ILO) (2025) notes sluggish job creation and little room for real wage gains, which indeed limited the envelope for pay bargaining and hiring commitments. The employee value proposition is changing</w:t>
      </w:r>
      <w:r w:rsidR="00FD673B">
        <w:t>,</w:t>
      </w:r>
      <w:r>
        <w:t xml:space="preserve"> and so is employer brand and retention in the process. Technological change is most directly linked to recruitment and development: the World Economic Forum (2025) report identifies skills gaps as the greatest challenge to transform businesses, and Khatoon et al. (2025) demonstrate how the very same technologies drive changes in the HR role itself, shifting from a delivery manager to a strategic partner. Change in the law affects employee relations and reward and recruitment compliance by means of binding instruments, not just through facilities management (European Union, 2023; European Union, 2024), and environmental pressure acts on HR via the design of performance and reward systems.</w:t>
      </w:r>
    </w:p>
    <w:p w14:paraId="500DDB39" w14:textId="75C2CE71" w:rsidR="005B1F08" w:rsidRDefault="001D52F1" w:rsidP="001D52F1">
      <w:pPr>
        <w:spacing w:after="200" w:line="360" w:lineRule="auto"/>
        <w:jc w:val="both"/>
      </w:pPr>
      <w:r>
        <w:t xml:space="preserve">All this is controlled by internal factors. The strength of external pressures becomes internal pressure, dependent on union density, prior collective agreement, organisational culture and scale compared to a parent organisation. </w:t>
      </w:r>
      <w:r w:rsidR="00FD673B">
        <w:t>Notably,</w:t>
      </w:r>
      <w:r>
        <w:t xml:space="preserve"> the presence of a formal structure does not necessarily mean that there is a strong influence on decisions, as noted by Chatzinikolaou, </w:t>
      </w:r>
      <w:proofErr w:type="spellStart"/>
      <w:r>
        <w:t>Magaliou</w:t>
      </w:r>
      <w:proofErr w:type="spellEnd"/>
      <w:r>
        <w:t xml:space="preserve"> and Vlados (2025).</w:t>
      </w:r>
    </w:p>
    <w:p w14:paraId="10933E18" w14:textId="77777777" w:rsidR="00380E43" w:rsidRDefault="00380E43">
      <w:pPr>
        <w:pStyle w:val="Heading1"/>
        <w:spacing w:before="360" w:after="200"/>
        <w:rPr>
          <w:b/>
          <w:bCs/>
          <w:color w:val="000000"/>
          <w:sz w:val="28"/>
          <w:szCs w:val="28"/>
        </w:rPr>
      </w:pPr>
    </w:p>
    <w:p w14:paraId="1664EE6E" w14:textId="77777777" w:rsidR="00380E43" w:rsidRDefault="00380E43">
      <w:pPr>
        <w:pStyle w:val="Heading1"/>
        <w:spacing w:before="360" w:after="200"/>
        <w:rPr>
          <w:b/>
          <w:bCs/>
          <w:color w:val="000000"/>
          <w:sz w:val="28"/>
          <w:szCs w:val="28"/>
        </w:rPr>
      </w:pPr>
    </w:p>
    <w:p w14:paraId="3E9FE6CF" w14:textId="7B045D23" w:rsidR="005B1F08" w:rsidRDefault="00000000" w:rsidP="00D22023">
      <w:pPr>
        <w:pStyle w:val="Heading1"/>
      </w:pPr>
      <w:bookmarkStart w:id="4" w:name="_Toc238266910"/>
      <w:r w:rsidRPr="00D22023">
        <w:lastRenderedPageBreak/>
        <w:t>3. Organisation Application</w:t>
      </w:r>
      <w:bookmarkEnd w:id="4"/>
    </w:p>
    <w:p w14:paraId="1B934C35" w14:textId="77777777" w:rsidR="00D22023" w:rsidRPr="00D22023" w:rsidRDefault="00D22023" w:rsidP="00D22023">
      <w:pPr>
        <w:pStyle w:val="Heading1"/>
      </w:pPr>
    </w:p>
    <w:p w14:paraId="7313A45B" w14:textId="26AC7F1C" w:rsidR="00380E43" w:rsidRDefault="00380E43" w:rsidP="00380E43">
      <w:pPr>
        <w:spacing w:after="200" w:line="360" w:lineRule="auto"/>
        <w:jc w:val="both"/>
      </w:pPr>
      <w:r>
        <w:t xml:space="preserve">The company, </w:t>
      </w:r>
      <w:r w:rsidR="00FD673B">
        <w:t>A</w:t>
      </w:r>
      <w:r>
        <w:t xml:space="preserve">utomobili Lamborghini S.p.A., designs and builds luxury sports cars from a single base in </w:t>
      </w:r>
      <w:proofErr w:type="spellStart"/>
      <w:r>
        <w:t>Sant'Agata</w:t>
      </w:r>
      <w:proofErr w:type="spellEnd"/>
      <w:r>
        <w:t xml:space="preserve"> Bolognese, Italy, and is a member of the Volkswagen Group, under the management of the German carmaker Audi AG. In 2025</w:t>
      </w:r>
      <w:r w:rsidR="00FD673B">
        <w:t>,</w:t>
      </w:r>
      <w:r>
        <w:t xml:space="preserve"> it sold 10,747 cars and generated EUR 3.20 </w:t>
      </w:r>
      <w:proofErr w:type="spellStart"/>
      <w:r>
        <w:t>billion</w:t>
      </w:r>
      <w:proofErr w:type="spellEnd"/>
      <w:r>
        <w:t xml:space="preserve"> of turnover, EUR 768 million of operating income and an operating margin of 24</w:t>
      </w:r>
      <w:r w:rsidR="00E746E0">
        <w:t>%</w:t>
      </w:r>
      <w:r>
        <w:t>, but the operating income was negatively impacted by adverse exchange rates and the imposition of United States tariffs (Audi, 2026). The numbers were split between EMEA (4,650 cars), Americas (3,347) and Asia Pacific (2,750</w:t>
      </w:r>
      <w:proofErr w:type="gramStart"/>
      <w:r>
        <w:t xml:space="preserve">) </w:t>
      </w:r>
      <w:r w:rsidR="00E746E0">
        <w:t>,</w:t>
      </w:r>
      <w:proofErr w:type="gramEnd"/>
      <w:r w:rsidR="00E746E0">
        <w:t xml:space="preserve"> </w:t>
      </w:r>
      <w:r>
        <w:t xml:space="preserve">and while it sells cars worldwide, it produces them in one country, namely Automobili Lamborghini (2026b). </w:t>
      </w:r>
    </w:p>
    <w:p w14:paraId="4EEAD062" w14:textId="78F2EC49" w:rsidR="005B1F08" w:rsidRDefault="00380E43" w:rsidP="00380E43">
      <w:pPr>
        <w:spacing w:after="200" w:line="360" w:lineRule="auto"/>
        <w:jc w:val="both"/>
      </w:pPr>
      <w:r>
        <w:t>In 2025, the workforce reached 3,000 for the first time, increasing by 10.6</w:t>
      </w:r>
      <w:r w:rsidR="00E746E0">
        <w:t>%.</w:t>
      </w:r>
      <w:r>
        <w:t xml:space="preserve"> In January 2024, the Corporate Supplementary Agreement for employee relations was renewed with FIOM CGIL, FIM CISL and the works council of the RSU, which involves alternating between four and five days a week for production workers, and up to 12 days of remote working per month for the other workers,</w:t>
      </w:r>
      <w:r w:rsidR="00E746E0">
        <w:t xml:space="preserve"> to hire</w:t>
      </w:r>
      <w:r>
        <w:t xml:space="preserve"> 500 permanent jobs by December 2026 (Automobili Lamborghini, 2024). The company has been a certified Top Employer in Italy for thirteen years in a row (Automobili Lamborghini, 2026a) and is also a part of the DESI dual education initiative together with managerial programmes. ESG goals are also integrated into managerial variable pay, for instance,</w:t>
      </w:r>
      <w:r w:rsidR="00E746E0">
        <w:t>10%</w:t>
      </w:r>
      <w:r>
        <w:t xml:space="preserve"> of the bonus value at Automobili Lamborghini is related to a reduction in commuting emissions (2026c).</w:t>
      </w:r>
    </w:p>
    <w:p w14:paraId="15AF9A52" w14:textId="77777777" w:rsidR="00D22023" w:rsidRDefault="00D22023" w:rsidP="00D22023">
      <w:pPr>
        <w:pStyle w:val="Heading1"/>
      </w:pPr>
      <w:bookmarkStart w:id="5" w:name="_Toc238266911"/>
    </w:p>
    <w:p w14:paraId="3E27A8E3" w14:textId="77777777" w:rsidR="00D22023" w:rsidRDefault="00D22023" w:rsidP="00D22023">
      <w:pPr>
        <w:pStyle w:val="Heading1"/>
      </w:pPr>
    </w:p>
    <w:p w14:paraId="5C71CDAE" w14:textId="77777777" w:rsidR="00D22023" w:rsidRDefault="00D22023" w:rsidP="00D22023">
      <w:pPr>
        <w:pStyle w:val="Heading1"/>
      </w:pPr>
    </w:p>
    <w:p w14:paraId="4C644EC6" w14:textId="77777777" w:rsidR="00D22023" w:rsidRDefault="00D22023" w:rsidP="00D22023">
      <w:pPr>
        <w:pStyle w:val="Heading1"/>
      </w:pPr>
    </w:p>
    <w:p w14:paraId="03952789" w14:textId="77777777" w:rsidR="00D22023" w:rsidRDefault="00D22023" w:rsidP="00D22023">
      <w:pPr>
        <w:pStyle w:val="Heading1"/>
      </w:pPr>
    </w:p>
    <w:p w14:paraId="6C2D4C6B" w14:textId="77777777" w:rsidR="00D22023" w:rsidRDefault="00D22023" w:rsidP="00D22023">
      <w:pPr>
        <w:pStyle w:val="Heading1"/>
      </w:pPr>
    </w:p>
    <w:p w14:paraId="56097965" w14:textId="77777777" w:rsidR="00D22023" w:rsidRDefault="00D22023" w:rsidP="00D22023">
      <w:pPr>
        <w:pStyle w:val="Heading1"/>
      </w:pPr>
    </w:p>
    <w:p w14:paraId="6DC3A839" w14:textId="77777777" w:rsidR="00D22023" w:rsidRDefault="00D22023" w:rsidP="00D22023">
      <w:pPr>
        <w:pStyle w:val="Heading1"/>
      </w:pPr>
    </w:p>
    <w:p w14:paraId="1CBE767C" w14:textId="77777777" w:rsidR="00D22023" w:rsidRDefault="00D22023" w:rsidP="00D22023">
      <w:pPr>
        <w:pStyle w:val="Heading1"/>
      </w:pPr>
    </w:p>
    <w:p w14:paraId="553AF8CE" w14:textId="77777777" w:rsidR="00D22023" w:rsidRDefault="00D22023" w:rsidP="00D22023">
      <w:pPr>
        <w:pStyle w:val="Heading1"/>
      </w:pPr>
    </w:p>
    <w:p w14:paraId="745B6767" w14:textId="77777777" w:rsidR="00D22023" w:rsidRDefault="00D22023" w:rsidP="00D22023">
      <w:pPr>
        <w:pStyle w:val="Heading1"/>
      </w:pPr>
    </w:p>
    <w:p w14:paraId="5D37B221" w14:textId="77777777" w:rsidR="00D22023" w:rsidRDefault="00D22023" w:rsidP="00D22023">
      <w:pPr>
        <w:pStyle w:val="Heading1"/>
      </w:pPr>
    </w:p>
    <w:p w14:paraId="354870E4" w14:textId="77777777" w:rsidR="00D22023" w:rsidRDefault="00D22023" w:rsidP="00D22023">
      <w:pPr>
        <w:pStyle w:val="Heading1"/>
      </w:pPr>
    </w:p>
    <w:p w14:paraId="55042592" w14:textId="77777777" w:rsidR="00D22023" w:rsidRDefault="00D22023" w:rsidP="00D22023">
      <w:pPr>
        <w:pStyle w:val="Heading1"/>
      </w:pPr>
    </w:p>
    <w:p w14:paraId="09842235" w14:textId="77777777" w:rsidR="00D22023" w:rsidRDefault="00D22023" w:rsidP="00D22023">
      <w:pPr>
        <w:pStyle w:val="Heading1"/>
      </w:pPr>
    </w:p>
    <w:p w14:paraId="64E1E8BA" w14:textId="77777777" w:rsidR="00D22023" w:rsidRDefault="00D22023" w:rsidP="00D22023">
      <w:pPr>
        <w:pStyle w:val="Heading1"/>
      </w:pPr>
    </w:p>
    <w:p w14:paraId="21491ADE" w14:textId="2D20F84A" w:rsidR="005B1F08" w:rsidRDefault="00000000" w:rsidP="00D22023">
      <w:pPr>
        <w:pStyle w:val="Heading1"/>
      </w:pPr>
      <w:r w:rsidRPr="00D22023">
        <w:lastRenderedPageBreak/>
        <w:t>4. Application of Model</w:t>
      </w:r>
      <w:bookmarkEnd w:id="5"/>
    </w:p>
    <w:p w14:paraId="6BA24E59" w14:textId="77777777" w:rsidR="00D22023" w:rsidRPr="00D22023" w:rsidRDefault="00D22023" w:rsidP="00D22023">
      <w:pPr>
        <w:pStyle w:val="Heading1"/>
      </w:pPr>
    </w:p>
    <w:p w14:paraId="0C987345" w14:textId="77777777" w:rsidR="005B1F08" w:rsidRDefault="00000000" w:rsidP="00D22023">
      <w:pPr>
        <w:pStyle w:val="Heading2"/>
      </w:pPr>
      <w:bookmarkStart w:id="6" w:name="_Toc238266912"/>
      <w:r w:rsidRPr="00D22023">
        <w:t>Impact on the organisation</w:t>
      </w:r>
      <w:bookmarkEnd w:id="6"/>
    </w:p>
    <w:p w14:paraId="5F79CF32" w14:textId="77777777" w:rsidR="00D22023" w:rsidRPr="00D22023" w:rsidRDefault="00D22023" w:rsidP="00D22023">
      <w:pPr>
        <w:pStyle w:val="Heading2"/>
      </w:pPr>
    </w:p>
    <w:p w14:paraId="1629B905" w14:textId="38792CD0" w:rsidR="00380E43" w:rsidRDefault="00380E43" w:rsidP="00380E43">
      <w:pPr>
        <w:spacing w:after="200" w:line="360" w:lineRule="auto"/>
        <w:jc w:val="both"/>
      </w:pPr>
      <w:r>
        <w:t>The limiting factor is political. The 15-25</w:t>
      </w:r>
      <w:r w:rsidR="00E746E0">
        <w:t>%</w:t>
      </w:r>
      <w:r>
        <w:t xml:space="preserve"> tariffs on cars and trucks from the U.S. </w:t>
      </w:r>
      <w:r w:rsidR="00E746E0">
        <w:t>started on</w:t>
      </w:r>
      <w:r>
        <w:t xml:space="preserve"> 1</w:t>
      </w:r>
      <w:r w:rsidR="00E746E0">
        <w:t>st</w:t>
      </w:r>
      <w:r>
        <w:t xml:space="preserve"> May 2026, while those on vehicles made in U.S. plants will be exempt (Al Jazeera, 2026). At </w:t>
      </w:r>
      <w:r w:rsidR="00E746E0">
        <w:t xml:space="preserve">the </w:t>
      </w:r>
      <w:r>
        <w:t xml:space="preserve">group level, tariffs and special items will be separate from Volkswagen's EUR 17.7 billion operating result before them and EUR 8.9 billion operating result in 2025 (Volkswagen Group, 2026). What is important analytically is that the escape route is defined by the exemption, which at the same time closes the escape route, with the possibility for other group brands to shift volume to American plants, and Lamborghini getting rid of volume only in Italy and trading on that provenance. Political conditions do not just make HR's job more </w:t>
      </w:r>
      <w:proofErr w:type="gramStart"/>
      <w:r>
        <w:t>complex,</w:t>
      </w:r>
      <w:proofErr w:type="gramEnd"/>
      <w:r>
        <w:t xml:space="preserve"> they eliminate relocation from the response options and force adjustment by productivity and cost discipline in one unionised location.</w:t>
      </w:r>
    </w:p>
    <w:p w14:paraId="23B3FB60" w14:textId="77777777" w:rsidR="00E746E0" w:rsidRDefault="00E746E0" w:rsidP="00380E43">
      <w:pPr>
        <w:spacing w:after="200" w:line="360" w:lineRule="auto"/>
        <w:jc w:val="both"/>
      </w:pPr>
    </w:p>
    <w:p w14:paraId="1B47F6AA" w14:textId="4F4C96E9" w:rsidR="005B1F08" w:rsidRDefault="00380E43" w:rsidP="00380E43">
      <w:pPr>
        <w:spacing w:after="200" w:line="360" w:lineRule="auto"/>
        <w:jc w:val="both"/>
      </w:pPr>
      <w:r>
        <w:t>The situation is worsened by economic factors. Slowing employment growth and limited recovery of real wages, as well as unfavo</w:t>
      </w:r>
      <w:r w:rsidR="00E746E0">
        <w:t>u</w:t>
      </w:r>
      <w:r>
        <w:t>rable currency fluctuations, reduced Lamborghini's operating income in 2025, while the parent group reduced its workforce by 2.4</w:t>
      </w:r>
      <w:r w:rsidR="00F261BE">
        <w:t>%</w:t>
      </w:r>
      <w:r>
        <w:t xml:space="preserve"> (Audi, 2026; Volkswagen Group, 2026). However, the agreement concerning 500 permanent positions by the end of 2026 was reached under other “materially different circumstances” (Automobili Lamborghini, 2024). A snapshot tool like PESTLE cannot show an organisation's constraints, as these are limited not only by current conditions, but by conditions that have been undertaken in the past.</w:t>
      </w:r>
    </w:p>
    <w:p w14:paraId="2B6D7C6C" w14:textId="7559F893" w:rsidR="001F06EA" w:rsidRDefault="001F06EA" w:rsidP="00380E43">
      <w:pPr>
        <w:spacing w:after="200" w:line="360" w:lineRule="auto"/>
        <w:jc w:val="both"/>
      </w:pPr>
      <w:r w:rsidRPr="001F06EA">
        <w:t>There is interaction between social and technological forces. The World Economic Forum (2025) has researched how employers with more than 14 million employees worldwide are expecting to see changes in their existing skill sets until 2030, with 39</w:t>
      </w:r>
      <w:r w:rsidR="00F261BE">
        <w:t>%</w:t>
      </w:r>
      <w:r w:rsidRPr="001F06EA">
        <w:t xml:space="preserve"> of the current skill sets becoming different or altogether redundant. Meanwhile, 27</w:t>
      </w:r>
      <w:r w:rsidR="00F261BE">
        <w:t>%</w:t>
      </w:r>
      <w:r w:rsidRPr="001F06EA">
        <w:t xml:space="preserve"> of all employers are stating that they lack action plans in place to address the increased demand for skills in their sectors, such as in software, battery and data analytics, says the Adecco Group and ACEA (2026) report. It is a labour market occurrence, affecting 6.72 million people in the core automotive subsectors of the European Union (EU) (</w:t>
      </w:r>
      <w:proofErr w:type="spellStart"/>
      <w:r w:rsidRPr="001F06EA">
        <w:t>Eurofound</w:t>
      </w:r>
      <w:proofErr w:type="spellEnd"/>
      <w:r w:rsidRPr="001F06EA">
        <w:t>, 2025). Employer certification is not about reputation</w:t>
      </w:r>
      <w:r w:rsidR="00F261BE">
        <w:t>;</w:t>
      </w:r>
      <w:r w:rsidRPr="001F06EA">
        <w:t xml:space="preserve"> it's about their competition for talent skills</w:t>
      </w:r>
      <w:r w:rsidR="00F261BE">
        <w:t>,</w:t>
      </w:r>
      <w:r w:rsidRPr="001F06EA">
        <w:t xml:space="preserve"> and Lamborghini </w:t>
      </w:r>
      <w:proofErr w:type="gramStart"/>
      <w:r w:rsidRPr="001F06EA">
        <w:t>has to</w:t>
      </w:r>
      <w:proofErr w:type="gramEnd"/>
      <w:r w:rsidRPr="001F06EA">
        <w:t xml:space="preserve"> demonstrate such skills in the tech industry.</w:t>
      </w:r>
    </w:p>
    <w:p w14:paraId="10C2615B" w14:textId="3659E771" w:rsidR="001F06EA" w:rsidRDefault="001F06EA" w:rsidP="00380E43">
      <w:pPr>
        <w:spacing w:after="200" w:line="360" w:lineRule="auto"/>
        <w:jc w:val="both"/>
      </w:pPr>
      <w:r w:rsidRPr="001F06EA">
        <w:t xml:space="preserve">When the legal change comes, it comes in a rushed time. Pay transparency Directive (EU) 2023/970 (European Union, 2023), which is scheduled to be transposed by 7 June 2026, </w:t>
      </w:r>
      <w:r w:rsidRPr="001F06EA">
        <w:lastRenderedPageBreak/>
        <w:t>requires payment transparency before interview, gender pay gap reporting by category of worker and a joint pay assessment where a significant pay gap (5</w:t>
      </w:r>
      <w:r w:rsidR="00F261BE">
        <w:t>%</w:t>
      </w:r>
      <w:r w:rsidRPr="001F06EA">
        <w:t xml:space="preserve"> or more) persists (Jones Day, 2025) without justification. CV screening and interview analysis ha</w:t>
      </w:r>
      <w:r w:rsidR="00F261BE">
        <w:t>ve</w:t>
      </w:r>
      <w:r w:rsidRPr="001F06EA">
        <w:t xml:space="preserve"> been identified as a high-risk use by Regulation (EU) 2024/1689 and will be subject to high-risk obligations from 2 August 2026</w:t>
      </w:r>
      <w:r w:rsidR="00F261BE">
        <w:t xml:space="preserve"> </w:t>
      </w:r>
      <w:r w:rsidRPr="001F06EA">
        <w:t>(European Union, 2024)</w:t>
      </w:r>
      <w:r w:rsidR="00F261BE">
        <w:t>.</w:t>
      </w:r>
      <w:r w:rsidRPr="001F06EA">
        <w:t xml:space="preserve"> </w:t>
      </w:r>
      <w:r w:rsidR="00F261BE">
        <w:t>W</w:t>
      </w:r>
      <w:r w:rsidRPr="001F06EA">
        <w:t>orkforce disclosure has also withstood the sustainability reporting revisions (Bird and Bird, 2025). All in all, HR is a function that is regulated, audited, and its effectiveness depends on the data infrastructure and legal literacy as well as interpersonal skill</w:t>
      </w:r>
      <w:r w:rsidR="00F261BE">
        <w:t>s</w:t>
      </w:r>
      <w:r w:rsidRPr="001F06EA">
        <w:t>.</w:t>
      </w:r>
    </w:p>
    <w:p w14:paraId="0E229CB9" w14:textId="77777777" w:rsidR="00D22023" w:rsidRDefault="001F06EA" w:rsidP="00D22023">
      <w:pPr>
        <w:spacing w:after="200" w:line="360" w:lineRule="auto"/>
        <w:jc w:val="both"/>
      </w:pPr>
      <w:r w:rsidRPr="001F06EA">
        <w:t>Internally, effectiveness is achieved through a single unionised location, a working-time agreement in place to limit working-time adjustments and a workforce of about 3,000</w:t>
      </w:r>
      <w:r w:rsidR="00F261BE">
        <w:t>,</w:t>
      </w:r>
      <w:r w:rsidRPr="001F06EA">
        <w:t xml:space="preserve"> which is not so deep as to allow for much agility.</w:t>
      </w:r>
    </w:p>
    <w:p w14:paraId="0772F838" w14:textId="38B836FF" w:rsidR="005B1F08" w:rsidRDefault="00000000" w:rsidP="00D22023">
      <w:pPr>
        <w:pStyle w:val="Heading2"/>
      </w:pPr>
      <w:bookmarkStart w:id="7" w:name="_Toc238266913"/>
      <w:r w:rsidRPr="00E60158">
        <w:t>Country differences</w:t>
      </w:r>
      <w:bookmarkEnd w:id="7"/>
    </w:p>
    <w:p w14:paraId="3D7E0381" w14:textId="77777777" w:rsidR="00D22023" w:rsidRPr="00E60158" w:rsidRDefault="00D22023" w:rsidP="00D22023">
      <w:pPr>
        <w:pStyle w:val="Heading2"/>
      </w:pPr>
    </w:p>
    <w:p w14:paraId="48E53FD4" w14:textId="467BF55C" w:rsidR="001F06EA" w:rsidRDefault="001F06EA" w:rsidP="001F06EA">
      <w:pPr>
        <w:spacing w:after="200" w:line="360" w:lineRule="auto"/>
        <w:jc w:val="both"/>
      </w:pPr>
      <w:r>
        <w:t xml:space="preserve">HR results vary by national institutional context, for example, because the same force can have different consequences in different countries, the standardisation/localisation debate is always relevant when looking at international HRM. </w:t>
      </w:r>
      <w:proofErr w:type="spellStart"/>
      <w:r>
        <w:t>Ojakorotu</w:t>
      </w:r>
      <w:proofErr w:type="spellEnd"/>
      <w:r>
        <w:t xml:space="preserve"> (2024) concludes that the best multinationals no</w:t>
      </w:r>
      <w:r w:rsidR="001B0053">
        <w:t>t</w:t>
      </w:r>
      <w:r>
        <w:t xml:space="preserve"> only set group-wide standards but also adapt </w:t>
      </w:r>
      <w:r w:rsidR="001B0053">
        <w:t>them at</w:t>
      </w:r>
      <w:r>
        <w:t xml:space="preserve"> the local level; while Chatzinikolaou, </w:t>
      </w:r>
      <w:proofErr w:type="spellStart"/>
      <w:r>
        <w:t>Magaliou</w:t>
      </w:r>
      <w:proofErr w:type="spellEnd"/>
      <w:r>
        <w:t xml:space="preserve"> and Vlados (2025) maintain that HRM systems need to be recontextualised and not transplanted as is.</w:t>
      </w:r>
    </w:p>
    <w:p w14:paraId="06FCE4F4" w14:textId="23AF4A6A" w:rsidR="001F06EA" w:rsidRDefault="001F06EA" w:rsidP="001F06EA">
      <w:pPr>
        <w:spacing w:after="200" w:line="360" w:lineRule="auto"/>
        <w:jc w:val="both"/>
      </w:pPr>
      <w:r>
        <w:t>In Italy (where production and headquarter</w:t>
      </w:r>
      <w:r w:rsidR="001B0053">
        <w:t>s</w:t>
      </w:r>
      <w:r>
        <w:t xml:space="preserve"> are located), pay is determined in two levels. The national metalworking agreement covers over 1.5 million members, and the last renewal of the contract was a </w:t>
      </w:r>
      <w:r w:rsidR="001B0053">
        <w:t>result</w:t>
      </w:r>
      <w:r>
        <w:t xml:space="preserve"> of 17 months and 16 hours of strike action (</w:t>
      </w:r>
      <w:proofErr w:type="spellStart"/>
      <w:r>
        <w:t>industriAll</w:t>
      </w:r>
      <w:proofErr w:type="spellEnd"/>
      <w:r>
        <w:t xml:space="preserve"> Europe, 2025). Here, HR is evaluated based on negotiation skills</w:t>
      </w:r>
      <w:r w:rsidR="001B0053">
        <w:t>,</w:t>
      </w:r>
      <w:r>
        <w:t xml:space="preserve"> not decisiveness</w:t>
      </w:r>
      <w:r w:rsidR="001B0053">
        <w:t>,</w:t>
      </w:r>
      <w:r>
        <w:t xml:space="preserve"> as there is no unilateral action on pay.</w:t>
      </w:r>
      <w:r>
        <w:t xml:space="preserve"> </w:t>
      </w:r>
    </w:p>
    <w:p w14:paraId="1280F791" w14:textId="2028FC77" w:rsidR="00E60158" w:rsidRDefault="00E60158" w:rsidP="00E60158">
      <w:pPr>
        <w:spacing w:after="200" w:line="360" w:lineRule="auto"/>
        <w:jc w:val="both"/>
      </w:pPr>
      <w:r>
        <w:t>The parent group's institutional home takes things further in Germany. Working time, overtime, monitoring technology and performance-related pay are subject to co-determination in the Works Constitution Act, and at Volkswagen, labour representatives are even given half the seats on the supervisory board (Hogan Lovells, 2025). The result of the settlement, as the December 2024 settlement demonstrates, will be that over 35,000 German jobs will be eliminated by 2030, with annual work costs dropping by EUR 1.5 billion due to negotiations with IG Metall and the works council, and without the need for compulsory redundancies (Volkswagen Group, 2024). The safety and security of the game come at the cost of speed.</w:t>
      </w:r>
    </w:p>
    <w:p w14:paraId="4028E79A" w14:textId="61C6DE9E" w:rsidR="00E60158" w:rsidRDefault="00E60158" w:rsidP="00E60158">
      <w:pPr>
        <w:spacing w:after="200" w:line="360" w:lineRule="auto"/>
        <w:jc w:val="both"/>
      </w:pPr>
      <w:r>
        <w:t xml:space="preserve">The U.S., Lamborghini's biggest single market, operates on the contrary principle: 3,347 cars. No statutory works councils and little statutory redundancy procedure gave HR more flexibility </w:t>
      </w:r>
      <w:r>
        <w:lastRenderedPageBreak/>
        <w:t>in changing the size of the workforce but also increased litigation risks. However, in China and throughout the Asia Pacific region, the Labour Contract Law only allows for unilateral dismissal on certain state</w:t>
      </w:r>
      <w:r w:rsidR="001B0053">
        <w:t>-</w:t>
      </w:r>
      <w:r>
        <w:t>prescribed grounds</w:t>
      </w:r>
      <w:r w:rsidR="001B0053">
        <w:t>,</w:t>
      </w:r>
      <w:r>
        <w:t xml:space="preserve"> and social insurance enforcement has been strengthened, which makes the risk of a procedural error too costly</w:t>
      </w:r>
      <w:r w:rsidR="001B0053">
        <w:t>,</w:t>
      </w:r>
      <w:r>
        <w:t xml:space="preserve"> and effectiveness relies on local expertise which cannot be imported from </w:t>
      </w:r>
      <w:proofErr w:type="spellStart"/>
      <w:r>
        <w:t>Sant'Agata</w:t>
      </w:r>
      <w:proofErr w:type="spellEnd"/>
      <w:r>
        <w:t xml:space="preserve"> Bolognese (China Briefing, 2025).</w:t>
      </w:r>
    </w:p>
    <w:p w14:paraId="6BA7997A" w14:textId="3D80E2D8" w:rsidR="00E60158" w:rsidRDefault="00E60158" w:rsidP="00E60158">
      <w:pPr>
        <w:spacing w:after="200" w:line="360" w:lineRule="auto"/>
        <w:jc w:val="both"/>
      </w:pPr>
      <w:r w:rsidRPr="00E60158">
        <w:t>Another, less persuasive, level of explanation is culture. While it is widely accepted that collectivist environments tend to benefit from internal recruitment, individualist environments tend to benefit from external recruitment (</w:t>
      </w:r>
      <w:proofErr w:type="spellStart"/>
      <w:r w:rsidRPr="00E60158">
        <w:t>Ojakorotu</w:t>
      </w:r>
      <w:proofErr w:type="spellEnd"/>
      <w:r w:rsidRPr="00E60158">
        <w:t>, 2024), the Hofstede's dimensions are critici</w:t>
      </w:r>
      <w:r w:rsidR="001B0053">
        <w:t>s</w:t>
      </w:r>
      <w:r w:rsidRPr="00E60158">
        <w:t>ed for their homogeneous treatment of nations and static treatment of culture, and are, therefore, used here as an interpretive heuristic rather than a predictive model. The institutional evidence is the stronger: In Germany</w:t>
      </w:r>
      <w:r w:rsidR="001B0053">
        <w:t>,</w:t>
      </w:r>
      <w:r w:rsidRPr="00E60158">
        <w:t xml:space="preserve"> a fall in demand would lead to negotiated STW; in Italy to protracted negotiations; and in the US to rapid reductions in headcount. National institutions are not directly </w:t>
      </w:r>
      <w:proofErr w:type="gramStart"/>
      <w:r w:rsidRPr="00E60158">
        <w:t>transmitted, but</w:t>
      </w:r>
      <w:proofErr w:type="gramEnd"/>
      <w:r w:rsidRPr="00E60158">
        <w:t xml:space="preserve"> rather reflect environmental forces.</w:t>
      </w:r>
    </w:p>
    <w:p w14:paraId="6474BB50" w14:textId="77777777" w:rsidR="00E746E0" w:rsidRDefault="00E746E0">
      <w:pPr>
        <w:pStyle w:val="Heading1"/>
        <w:spacing w:before="360" w:after="200"/>
        <w:rPr>
          <w:b/>
          <w:bCs/>
          <w:color w:val="000000"/>
          <w:sz w:val="28"/>
          <w:szCs w:val="28"/>
        </w:rPr>
      </w:pPr>
    </w:p>
    <w:p w14:paraId="1B525BD1" w14:textId="77777777" w:rsidR="00D22023" w:rsidRDefault="00D22023" w:rsidP="00D22023">
      <w:pPr>
        <w:pStyle w:val="Heading1"/>
      </w:pPr>
      <w:bookmarkStart w:id="8" w:name="_Toc238266914"/>
    </w:p>
    <w:p w14:paraId="2BB8A22C" w14:textId="77777777" w:rsidR="00D22023" w:rsidRDefault="00D22023" w:rsidP="00D22023">
      <w:pPr>
        <w:pStyle w:val="Heading1"/>
      </w:pPr>
    </w:p>
    <w:p w14:paraId="557CB05C" w14:textId="77777777" w:rsidR="00D22023" w:rsidRDefault="00D22023" w:rsidP="00D22023">
      <w:pPr>
        <w:pStyle w:val="Heading1"/>
      </w:pPr>
    </w:p>
    <w:p w14:paraId="63EC0D19" w14:textId="77777777" w:rsidR="00D22023" w:rsidRDefault="00D22023" w:rsidP="00D22023">
      <w:pPr>
        <w:pStyle w:val="Heading1"/>
      </w:pPr>
    </w:p>
    <w:p w14:paraId="55D30418" w14:textId="77777777" w:rsidR="00D22023" w:rsidRDefault="00D22023" w:rsidP="00D22023">
      <w:pPr>
        <w:pStyle w:val="Heading1"/>
      </w:pPr>
    </w:p>
    <w:p w14:paraId="08791B55" w14:textId="77777777" w:rsidR="00D22023" w:rsidRDefault="00D22023" w:rsidP="00D22023">
      <w:pPr>
        <w:pStyle w:val="Heading1"/>
      </w:pPr>
    </w:p>
    <w:p w14:paraId="71253EE6" w14:textId="77777777" w:rsidR="00D22023" w:rsidRDefault="00D22023" w:rsidP="00D22023">
      <w:pPr>
        <w:pStyle w:val="Heading1"/>
      </w:pPr>
    </w:p>
    <w:p w14:paraId="1A6CB763" w14:textId="77777777" w:rsidR="00D22023" w:rsidRDefault="00D22023" w:rsidP="00D22023">
      <w:pPr>
        <w:pStyle w:val="Heading1"/>
      </w:pPr>
    </w:p>
    <w:p w14:paraId="1702082E" w14:textId="77777777" w:rsidR="00D22023" w:rsidRDefault="00D22023" w:rsidP="00D22023">
      <w:pPr>
        <w:pStyle w:val="Heading1"/>
      </w:pPr>
    </w:p>
    <w:p w14:paraId="6586FD79" w14:textId="77777777" w:rsidR="00D22023" w:rsidRDefault="00D22023" w:rsidP="00D22023">
      <w:pPr>
        <w:pStyle w:val="Heading1"/>
      </w:pPr>
    </w:p>
    <w:p w14:paraId="35A4678B" w14:textId="77777777" w:rsidR="00D22023" w:rsidRDefault="00D22023" w:rsidP="00D22023">
      <w:pPr>
        <w:pStyle w:val="Heading1"/>
      </w:pPr>
    </w:p>
    <w:p w14:paraId="4CD3EF37" w14:textId="77777777" w:rsidR="00D22023" w:rsidRDefault="00D22023" w:rsidP="00D22023">
      <w:pPr>
        <w:pStyle w:val="Heading1"/>
      </w:pPr>
    </w:p>
    <w:p w14:paraId="305DF1D7" w14:textId="77777777" w:rsidR="00D22023" w:rsidRDefault="00D22023" w:rsidP="00D22023">
      <w:pPr>
        <w:pStyle w:val="Heading1"/>
      </w:pPr>
    </w:p>
    <w:p w14:paraId="4AAF2AA9" w14:textId="77777777" w:rsidR="00D22023" w:rsidRDefault="00D22023" w:rsidP="00D22023">
      <w:pPr>
        <w:pStyle w:val="Heading1"/>
      </w:pPr>
    </w:p>
    <w:p w14:paraId="6EB05C84" w14:textId="77777777" w:rsidR="00D22023" w:rsidRDefault="00D22023" w:rsidP="00D22023">
      <w:pPr>
        <w:pStyle w:val="Heading1"/>
      </w:pPr>
    </w:p>
    <w:p w14:paraId="1454B12D" w14:textId="77777777" w:rsidR="00D22023" w:rsidRDefault="00D22023" w:rsidP="00D22023">
      <w:pPr>
        <w:pStyle w:val="Heading1"/>
      </w:pPr>
    </w:p>
    <w:p w14:paraId="63984F02" w14:textId="77777777" w:rsidR="00D22023" w:rsidRDefault="00D22023" w:rsidP="00D22023">
      <w:pPr>
        <w:pStyle w:val="Heading1"/>
      </w:pPr>
    </w:p>
    <w:p w14:paraId="7A5F0B5C" w14:textId="77777777" w:rsidR="00D22023" w:rsidRDefault="00D22023" w:rsidP="00D22023">
      <w:pPr>
        <w:pStyle w:val="Heading1"/>
      </w:pPr>
    </w:p>
    <w:p w14:paraId="60E205FA" w14:textId="77777777" w:rsidR="00D22023" w:rsidRDefault="00D22023" w:rsidP="00D22023">
      <w:pPr>
        <w:pStyle w:val="Heading1"/>
      </w:pPr>
    </w:p>
    <w:p w14:paraId="1FA7B43B" w14:textId="77777777" w:rsidR="00D22023" w:rsidRDefault="00D22023" w:rsidP="00D22023">
      <w:pPr>
        <w:pStyle w:val="Heading1"/>
      </w:pPr>
    </w:p>
    <w:p w14:paraId="684769DF" w14:textId="5A0C29AD" w:rsidR="005B1F08" w:rsidRDefault="00000000" w:rsidP="00D22023">
      <w:pPr>
        <w:pStyle w:val="Heading1"/>
      </w:pPr>
      <w:r w:rsidRPr="00D22023">
        <w:lastRenderedPageBreak/>
        <w:t>5. Conclusion</w:t>
      </w:r>
      <w:bookmarkEnd w:id="8"/>
    </w:p>
    <w:p w14:paraId="7FAAE4AA" w14:textId="77777777" w:rsidR="00D22023" w:rsidRPr="00D22023" w:rsidRDefault="00D22023" w:rsidP="00D22023">
      <w:pPr>
        <w:pStyle w:val="Heading1"/>
      </w:pPr>
    </w:p>
    <w:p w14:paraId="23323D2B" w14:textId="03053774" w:rsidR="00D22023" w:rsidRDefault="00D22023" w:rsidP="00D22023">
      <w:pPr>
        <w:spacing w:after="200" w:line="360" w:lineRule="auto"/>
        <w:jc w:val="both"/>
      </w:pPr>
      <w:r w:rsidRPr="00D22023">
        <w:t>There are three implications here for HR managers in global organisations: Compliance is becoming ever more stringent,</w:t>
      </w:r>
      <w:r w:rsidR="002D1DF6">
        <w:t xml:space="preserve"> </w:t>
      </w:r>
      <w:r w:rsidRPr="00D22023">
        <w:t>pay transparency and the Artificial Intelligence Act and workforce sustainability disclosure are driving the function towards an auditable and evidence-based approach, where decisions have to be documented and explained (European Union, 2023; European Union, 2024). The number of skills changing by 2030 also shows an increasing trend of internali</w:t>
      </w:r>
      <w:r w:rsidR="002D1DF6">
        <w:t>s</w:t>
      </w:r>
      <w:r w:rsidRPr="00D22023">
        <w:t>ing skills, as 39% of skills are going to be built within the organi</w:t>
      </w:r>
      <w:r w:rsidR="002D1DF6">
        <w:t>s</w:t>
      </w:r>
      <w:r w:rsidRPr="00D22023">
        <w:t xml:space="preserve">ation, not in the external recruitment pool (World Economic Forum, 2025). Fragmentation is driving the issue of workforce location to the forefront of the strategic </w:t>
      </w:r>
      <w:proofErr w:type="gramStart"/>
      <w:r w:rsidRPr="00D22023">
        <w:t>agenda</w:t>
      </w:r>
      <w:proofErr w:type="gramEnd"/>
      <w:r w:rsidRPr="00D22023">
        <w:t xml:space="preserve"> and, for single-site heritage manufacturers, this is becoming a mostly closed question (Al Jazeera, 2026). The savvy HR manager is a legal savvy, institutional navigator from jurisdiction to jurisdiction, credible with a works council and can defend the information regarding the workforce before an auditor.</w:t>
      </w:r>
    </w:p>
    <w:p w14:paraId="75C31771" w14:textId="57F8FD67" w:rsidR="005B1F08" w:rsidRDefault="00000000" w:rsidP="00E60158">
      <w:pPr>
        <w:spacing w:after="200" w:line="360" w:lineRule="auto"/>
        <w:jc w:val="both"/>
      </w:pPr>
      <w:r>
        <w:br w:type="page"/>
      </w:r>
    </w:p>
    <w:p w14:paraId="58674169" w14:textId="77777777" w:rsidR="005B1F08" w:rsidRDefault="00000000" w:rsidP="00D22023">
      <w:pPr>
        <w:pStyle w:val="Heading1"/>
      </w:pPr>
      <w:bookmarkStart w:id="9" w:name="_Toc238266915"/>
      <w:r w:rsidRPr="00D22023">
        <w:lastRenderedPageBreak/>
        <w:t>Reference List</w:t>
      </w:r>
      <w:bookmarkEnd w:id="9"/>
    </w:p>
    <w:p w14:paraId="2BF9D93D" w14:textId="77777777" w:rsidR="00D22023" w:rsidRPr="00D22023" w:rsidRDefault="00D22023" w:rsidP="00D22023">
      <w:pPr>
        <w:pStyle w:val="Heading1"/>
      </w:pPr>
    </w:p>
    <w:p w14:paraId="0C4540A0" w14:textId="3D49703F" w:rsidR="005B1F08" w:rsidRDefault="00000000">
      <w:pPr>
        <w:spacing w:after="200" w:line="360" w:lineRule="auto"/>
        <w:ind w:left="720" w:hanging="720"/>
      </w:pPr>
      <w:r>
        <w:t xml:space="preserve">ACEA and the Adecco Group (2026) </w:t>
      </w:r>
      <w:r>
        <w:rPr>
          <w:i/>
          <w:iCs/>
        </w:rPr>
        <w:t>Accelerating the race to reskill Europe's automotive workforce: ACEA and Adecco Group unveil landmark analysis</w:t>
      </w:r>
      <w:r>
        <w:t xml:space="preserve">. 13 January. Brussels: European Automobile Manufacturers' Association. Available at: </w:t>
      </w:r>
      <w:hyperlink r:id="rId8" w:history="1">
        <w:r w:rsidR="00040120" w:rsidRPr="00157C05">
          <w:rPr>
            <w:rStyle w:val="Hyperlink"/>
          </w:rPr>
          <w:t>https://www.acea.auto/press-release/accelerating-t</w:t>
        </w:r>
        <w:r w:rsidR="00040120" w:rsidRPr="00157C05">
          <w:rPr>
            <w:rStyle w:val="Hyperlink"/>
          </w:rPr>
          <w:t>h</w:t>
        </w:r>
        <w:r w:rsidR="00040120" w:rsidRPr="00157C05">
          <w:rPr>
            <w:rStyle w:val="Hyperlink"/>
          </w:rPr>
          <w:t>e-race-to-reskill-europes-automotive-workforce-acea-and-adecco-group-unveil-landmark-analysis/</w:t>
        </w:r>
      </w:hyperlink>
      <w:r w:rsidR="00040120">
        <w:t xml:space="preserve"> </w:t>
      </w:r>
      <w:r>
        <w:t xml:space="preserve"> (Accessed: 1</w:t>
      </w:r>
      <w:r w:rsidR="001B0053">
        <w:t>2</w:t>
      </w:r>
      <w:r>
        <w:t xml:space="preserve"> August 2026).</w:t>
      </w:r>
      <w:r w:rsidR="00040120">
        <w:t xml:space="preserve"> </w:t>
      </w:r>
    </w:p>
    <w:p w14:paraId="57CCE7AE" w14:textId="2674304E" w:rsidR="005B1F08" w:rsidRDefault="00000000">
      <w:pPr>
        <w:spacing w:after="200" w:line="360" w:lineRule="auto"/>
        <w:ind w:left="720" w:hanging="720"/>
      </w:pPr>
      <w:r>
        <w:t xml:space="preserve">Al Jazeera (2026) 'Trump announces 25 percent tariffs on European Union cars, trucks', </w:t>
      </w:r>
      <w:r>
        <w:rPr>
          <w:i/>
          <w:iCs/>
        </w:rPr>
        <w:t>Al Jazeera</w:t>
      </w:r>
      <w:r>
        <w:t xml:space="preserve">, 1 May. Available at: </w:t>
      </w:r>
      <w:hyperlink r:id="rId9" w:history="1">
        <w:r w:rsidR="00040120" w:rsidRPr="00157C05">
          <w:rPr>
            <w:rStyle w:val="Hyperlink"/>
          </w:rPr>
          <w:t>https://ww</w:t>
        </w:r>
        <w:r w:rsidR="00040120" w:rsidRPr="00157C05">
          <w:rPr>
            <w:rStyle w:val="Hyperlink"/>
          </w:rPr>
          <w:t>w</w:t>
        </w:r>
        <w:r w:rsidR="00040120" w:rsidRPr="00157C05">
          <w:rPr>
            <w:rStyle w:val="Hyperlink"/>
          </w:rPr>
          <w:t>.aljazeera.com/news/2026/5/1/trump-announces-25-percent-tariffs-on-european-union-cars-trucks</w:t>
        </w:r>
      </w:hyperlink>
      <w:r w:rsidR="00040120">
        <w:t xml:space="preserve"> </w:t>
      </w:r>
      <w:r>
        <w:t xml:space="preserve"> (Accessed: 1</w:t>
      </w:r>
      <w:r w:rsidR="001B0053">
        <w:t>2</w:t>
      </w:r>
      <w:r>
        <w:t xml:space="preserve"> August 2026).</w:t>
      </w:r>
    </w:p>
    <w:p w14:paraId="6AE0E8D5" w14:textId="5F34CCC1" w:rsidR="005B1F08" w:rsidRDefault="00000000">
      <w:pPr>
        <w:spacing w:after="200" w:line="360" w:lineRule="auto"/>
        <w:ind w:left="720" w:hanging="720"/>
      </w:pPr>
      <w:r>
        <w:t xml:space="preserve">Andersen, P.D. (2025) </w:t>
      </w:r>
      <w:r>
        <w:rPr>
          <w:i/>
          <w:iCs/>
        </w:rPr>
        <w:t>The PESTEL framework and its variants for analysing the strategic environment: evolution, limitations and adoption in energy policy research</w:t>
      </w:r>
      <w:r>
        <w:t xml:space="preserve">. SSRN Working Paper 5266562. Available at: </w:t>
      </w:r>
      <w:hyperlink r:id="rId10" w:history="1">
        <w:r w:rsidR="00040120" w:rsidRPr="00157C05">
          <w:rPr>
            <w:rStyle w:val="Hyperlink"/>
          </w:rPr>
          <w:t>https://papers.ssrn.com/sol3/papers.cfm?ab</w:t>
        </w:r>
        <w:r w:rsidR="00040120" w:rsidRPr="00157C05">
          <w:rPr>
            <w:rStyle w:val="Hyperlink"/>
          </w:rPr>
          <w:t>s</w:t>
        </w:r>
        <w:r w:rsidR="00040120" w:rsidRPr="00157C05">
          <w:rPr>
            <w:rStyle w:val="Hyperlink"/>
          </w:rPr>
          <w:t>tract_id=5266562</w:t>
        </w:r>
      </w:hyperlink>
      <w:r w:rsidR="00040120">
        <w:t xml:space="preserve"> </w:t>
      </w:r>
      <w:r>
        <w:t xml:space="preserve"> (Accessed: 1</w:t>
      </w:r>
      <w:r w:rsidR="001B0053">
        <w:t>4</w:t>
      </w:r>
      <w:r>
        <w:t xml:space="preserve"> August 2026).</w:t>
      </w:r>
    </w:p>
    <w:p w14:paraId="51511F6D" w14:textId="1B1F45A7" w:rsidR="005B1F08" w:rsidRDefault="00000000">
      <w:pPr>
        <w:spacing w:after="200" w:line="360" w:lineRule="auto"/>
        <w:ind w:left="720" w:hanging="720"/>
      </w:pPr>
      <w:r>
        <w:t xml:space="preserve">Audi (2026) </w:t>
      </w:r>
      <w:r>
        <w:rPr>
          <w:i/>
          <w:iCs/>
        </w:rPr>
        <w:t>Automobili Lamborghini consolidates growth in 2025 with best-ever results for deliveries and revenue</w:t>
      </w:r>
      <w:r>
        <w:t xml:space="preserve">. 19 March. Ingolstadt: Audi AG. Available at: </w:t>
      </w:r>
      <w:hyperlink r:id="rId11" w:history="1">
        <w:r w:rsidR="00040120" w:rsidRPr="00157C05">
          <w:rPr>
            <w:rStyle w:val="Hyperlink"/>
          </w:rPr>
          <w:t>https://www.audi.com/en/press-releases/</w:t>
        </w:r>
        <w:r w:rsidR="00040120" w:rsidRPr="00157C05">
          <w:rPr>
            <w:rStyle w:val="Hyperlink"/>
          </w:rPr>
          <w:t>a</w:t>
        </w:r>
        <w:r w:rsidR="00040120" w:rsidRPr="00157C05">
          <w:rPr>
            <w:rStyle w:val="Hyperlink"/>
          </w:rPr>
          <w:t>utomobili-lamborghini-consolidates-growth-in-2025-with-best-ever-results-for-deliveries-and-revenue-17073</w:t>
        </w:r>
      </w:hyperlink>
      <w:r w:rsidR="00040120">
        <w:t xml:space="preserve"> </w:t>
      </w:r>
      <w:r>
        <w:t xml:space="preserve"> (Accessed: 1</w:t>
      </w:r>
      <w:r w:rsidR="001B0053">
        <w:t>5</w:t>
      </w:r>
      <w:r>
        <w:t xml:space="preserve"> August 2026).</w:t>
      </w:r>
    </w:p>
    <w:p w14:paraId="302F6F97" w14:textId="6F53EB6D" w:rsidR="005B1F08" w:rsidRPr="00040120" w:rsidRDefault="00000000">
      <w:pPr>
        <w:spacing w:after="200" w:line="360" w:lineRule="auto"/>
        <w:ind w:left="720" w:hanging="720"/>
        <w:rPr>
          <w:lang w:val="it-IT"/>
        </w:rPr>
      </w:pPr>
      <w:r>
        <w:t xml:space="preserve">Automobili Lamborghini (2024) </w:t>
      </w:r>
      <w:r>
        <w:rPr>
          <w:i/>
          <w:iCs/>
        </w:rPr>
        <w:t>Automobili Lamborghini signs the renewal of the Corporate Supplementary Agreement</w:t>
      </w:r>
      <w:r>
        <w:t xml:space="preserve">. 25 January. </w:t>
      </w:r>
      <w:r w:rsidRPr="00040120">
        <w:rPr>
          <w:lang w:val="it-IT"/>
        </w:rPr>
        <w:t xml:space="preserve">Sant'Agata Bolognese: Automobili Lamborghini S.p.A. </w:t>
      </w:r>
      <w:proofErr w:type="spellStart"/>
      <w:r w:rsidRPr="00040120">
        <w:rPr>
          <w:lang w:val="it-IT"/>
        </w:rPr>
        <w:t>Available</w:t>
      </w:r>
      <w:proofErr w:type="spellEnd"/>
      <w:r w:rsidRPr="00040120">
        <w:rPr>
          <w:lang w:val="it-IT"/>
        </w:rPr>
        <w:t xml:space="preserve"> </w:t>
      </w:r>
      <w:proofErr w:type="spellStart"/>
      <w:r w:rsidRPr="00040120">
        <w:rPr>
          <w:lang w:val="it-IT"/>
        </w:rPr>
        <w:t>at</w:t>
      </w:r>
      <w:proofErr w:type="spellEnd"/>
      <w:r w:rsidRPr="00040120">
        <w:rPr>
          <w:lang w:val="it-IT"/>
        </w:rPr>
        <w:t xml:space="preserve">: </w:t>
      </w:r>
      <w:hyperlink r:id="rId12" w:history="1">
        <w:r w:rsidR="00040120" w:rsidRPr="00040120">
          <w:rPr>
            <w:rStyle w:val="Hyperlink"/>
            <w:lang w:val="it-IT"/>
          </w:rPr>
          <w:t>https://w</w:t>
        </w:r>
        <w:r w:rsidR="00040120" w:rsidRPr="00040120">
          <w:rPr>
            <w:rStyle w:val="Hyperlink"/>
            <w:lang w:val="it-IT"/>
          </w:rPr>
          <w:t>w</w:t>
        </w:r>
        <w:r w:rsidR="00040120" w:rsidRPr="00040120">
          <w:rPr>
            <w:rStyle w:val="Hyperlink"/>
            <w:lang w:val="it-IT"/>
          </w:rPr>
          <w:t>w.lamborghini.com/en-en/news/automobili-lamborghini-signs-the-renewal-of-the-corporate-supplementary-agreement</w:t>
        </w:r>
      </w:hyperlink>
      <w:r w:rsidR="00040120" w:rsidRPr="00040120">
        <w:rPr>
          <w:lang w:val="it-IT"/>
        </w:rPr>
        <w:t xml:space="preserve"> </w:t>
      </w:r>
      <w:r w:rsidRPr="00040120">
        <w:rPr>
          <w:lang w:val="it-IT"/>
        </w:rPr>
        <w:t xml:space="preserve"> (</w:t>
      </w:r>
      <w:proofErr w:type="spellStart"/>
      <w:r w:rsidRPr="00040120">
        <w:rPr>
          <w:lang w:val="it-IT"/>
        </w:rPr>
        <w:t>Accessed</w:t>
      </w:r>
      <w:proofErr w:type="spellEnd"/>
      <w:r w:rsidRPr="00040120">
        <w:rPr>
          <w:lang w:val="it-IT"/>
        </w:rPr>
        <w:t>: 1</w:t>
      </w:r>
      <w:r w:rsidR="001B0053">
        <w:rPr>
          <w:lang w:val="it-IT"/>
        </w:rPr>
        <w:t>7</w:t>
      </w:r>
      <w:r w:rsidRPr="00040120">
        <w:rPr>
          <w:lang w:val="it-IT"/>
        </w:rPr>
        <w:t xml:space="preserve"> August 2026).</w:t>
      </w:r>
    </w:p>
    <w:p w14:paraId="26D8C947" w14:textId="0294857C" w:rsidR="005B1F08" w:rsidRPr="00040120" w:rsidRDefault="00000000">
      <w:pPr>
        <w:spacing w:after="200" w:line="360" w:lineRule="auto"/>
        <w:ind w:left="720" w:hanging="720"/>
        <w:rPr>
          <w:lang w:val="it-IT"/>
        </w:rPr>
      </w:pPr>
      <w:r>
        <w:t xml:space="preserve">Automobili Lamborghini (2026a) </w:t>
      </w:r>
      <w:r>
        <w:rPr>
          <w:i/>
          <w:iCs/>
        </w:rPr>
        <w:t>Top Employer 2026: Lamborghini sets new standards</w:t>
      </w:r>
      <w:r>
        <w:t xml:space="preserve">. 15 January. </w:t>
      </w:r>
      <w:r w:rsidRPr="00040120">
        <w:rPr>
          <w:lang w:val="it-IT"/>
        </w:rPr>
        <w:t xml:space="preserve">Sant'Agata Bolognese: Automobili Lamborghini S.p.A. </w:t>
      </w:r>
      <w:proofErr w:type="spellStart"/>
      <w:r w:rsidRPr="00040120">
        <w:rPr>
          <w:lang w:val="it-IT"/>
        </w:rPr>
        <w:t>Available</w:t>
      </w:r>
      <w:proofErr w:type="spellEnd"/>
      <w:r w:rsidRPr="00040120">
        <w:rPr>
          <w:lang w:val="it-IT"/>
        </w:rPr>
        <w:t xml:space="preserve"> </w:t>
      </w:r>
      <w:proofErr w:type="spellStart"/>
      <w:r w:rsidRPr="00040120">
        <w:rPr>
          <w:lang w:val="it-IT"/>
        </w:rPr>
        <w:t>at</w:t>
      </w:r>
      <w:proofErr w:type="spellEnd"/>
      <w:r w:rsidRPr="00040120">
        <w:rPr>
          <w:lang w:val="it-IT"/>
        </w:rPr>
        <w:t xml:space="preserve">: </w:t>
      </w:r>
      <w:hyperlink r:id="rId13" w:history="1">
        <w:r w:rsidR="00040120" w:rsidRPr="00040120">
          <w:rPr>
            <w:rStyle w:val="Hyperlink"/>
            <w:lang w:val="it-IT"/>
          </w:rPr>
          <w:t>https://www.lamborghini.com/en-en/news/top-e</w:t>
        </w:r>
        <w:r w:rsidR="00040120" w:rsidRPr="00040120">
          <w:rPr>
            <w:rStyle w:val="Hyperlink"/>
            <w:lang w:val="it-IT"/>
          </w:rPr>
          <w:t>m</w:t>
        </w:r>
        <w:r w:rsidR="00040120" w:rsidRPr="00040120">
          <w:rPr>
            <w:rStyle w:val="Hyperlink"/>
            <w:lang w:val="it-IT"/>
          </w:rPr>
          <w:t>ployer-2026-lamborghini-sets-new-standards</w:t>
        </w:r>
      </w:hyperlink>
      <w:r w:rsidR="00040120" w:rsidRPr="00040120">
        <w:rPr>
          <w:lang w:val="it-IT"/>
        </w:rPr>
        <w:t xml:space="preserve"> </w:t>
      </w:r>
      <w:r w:rsidRPr="00040120">
        <w:rPr>
          <w:lang w:val="it-IT"/>
        </w:rPr>
        <w:t xml:space="preserve"> (</w:t>
      </w:r>
      <w:proofErr w:type="spellStart"/>
      <w:r w:rsidRPr="00040120">
        <w:rPr>
          <w:lang w:val="it-IT"/>
        </w:rPr>
        <w:t>Accessed</w:t>
      </w:r>
      <w:proofErr w:type="spellEnd"/>
      <w:r w:rsidRPr="00040120">
        <w:rPr>
          <w:lang w:val="it-IT"/>
        </w:rPr>
        <w:t>: 1</w:t>
      </w:r>
      <w:r w:rsidR="001B0053">
        <w:rPr>
          <w:lang w:val="it-IT"/>
        </w:rPr>
        <w:t>7</w:t>
      </w:r>
      <w:r w:rsidRPr="00040120">
        <w:rPr>
          <w:lang w:val="it-IT"/>
        </w:rPr>
        <w:t xml:space="preserve"> August 2026).</w:t>
      </w:r>
    </w:p>
    <w:p w14:paraId="6B312898" w14:textId="77777777" w:rsidR="006D490F" w:rsidRPr="001B0053" w:rsidRDefault="006D490F">
      <w:pPr>
        <w:spacing w:after="200" w:line="360" w:lineRule="auto"/>
        <w:ind w:left="720" w:hanging="720"/>
        <w:rPr>
          <w:lang w:val="it-IT"/>
        </w:rPr>
      </w:pPr>
    </w:p>
    <w:p w14:paraId="114B5072" w14:textId="77777777" w:rsidR="006D490F" w:rsidRPr="001B0053" w:rsidRDefault="006D490F">
      <w:pPr>
        <w:spacing w:after="200" w:line="360" w:lineRule="auto"/>
        <w:ind w:left="720" w:hanging="720"/>
        <w:rPr>
          <w:lang w:val="it-IT"/>
        </w:rPr>
      </w:pPr>
    </w:p>
    <w:p w14:paraId="65AE5EF7" w14:textId="00C7F4B1" w:rsidR="005B1F08" w:rsidRPr="00040120" w:rsidRDefault="00000000">
      <w:pPr>
        <w:spacing w:after="200" w:line="360" w:lineRule="auto"/>
        <w:ind w:left="720" w:hanging="720"/>
        <w:rPr>
          <w:lang w:val="it-IT"/>
        </w:rPr>
      </w:pPr>
      <w:r>
        <w:lastRenderedPageBreak/>
        <w:t xml:space="preserve">Automobili Lamborghini (2026b) </w:t>
      </w:r>
      <w:r>
        <w:rPr>
          <w:i/>
          <w:iCs/>
        </w:rPr>
        <w:t>Lamborghini sets 2025 delivery record with 10,747 cars</w:t>
      </w:r>
      <w:r>
        <w:t xml:space="preserve">. 20 January. </w:t>
      </w:r>
      <w:r w:rsidRPr="00040120">
        <w:rPr>
          <w:lang w:val="it-IT"/>
        </w:rPr>
        <w:t xml:space="preserve">Sant'Agata Bolognese: Automobili Lamborghini S.p.A. </w:t>
      </w:r>
      <w:proofErr w:type="spellStart"/>
      <w:r w:rsidRPr="00040120">
        <w:rPr>
          <w:lang w:val="it-IT"/>
        </w:rPr>
        <w:t>Available</w:t>
      </w:r>
      <w:proofErr w:type="spellEnd"/>
      <w:r w:rsidRPr="00040120">
        <w:rPr>
          <w:lang w:val="it-IT"/>
        </w:rPr>
        <w:t xml:space="preserve"> </w:t>
      </w:r>
      <w:proofErr w:type="spellStart"/>
      <w:r w:rsidRPr="00040120">
        <w:rPr>
          <w:lang w:val="it-IT"/>
        </w:rPr>
        <w:t>at</w:t>
      </w:r>
      <w:proofErr w:type="spellEnd"/>
      <w:r w:rsidRPr="00040120">
        <w:rPr>
          <w:lang w:val="it-IT"/>
        </w:rPr>
        <w:t xml:space="preserve">: </w:t>
      </w:r>
      <w:hyperlink r:id="rId14" w:history="1">
        <w:r w:rsidR="00040120" w:rsidRPr="00040120">
          <w:rPr>
            <w:rStyle w:val="Hyperlink"/>
            <w:lang w:val="it-IT"/>
          </w:rPr>
          <w:t>https://ww</w:t>
        </w:r>
        <w:r w:rsidR="00040120" w:rsidRPr="00040120">
          <w:rPr>
            <w:rStyle w:val="Hyperlink"/>
            <w:lang w:val="it-IT"/>
          </w:rPr>
          <w:t>w</w:t>
        </w:r>
        <w:r w:rsidR="00040120" w:rsidRPr="00040120">
          <w:rPr>
            <w:rStyle w:val="Hyperlink"/>
            <w:lang w:val="it-IT"/>
          </w:rPr>
          <w:t>.lamborghini.com/en-en/news/lamborghini-sets-2025-delivery-record-with-10747-cars</w:t>
        </w:r>
      </w:hyperlink>
      <w:r w:rsidR="00040120" w:rsidRPr="00040120">
        <w:rPr>
          <w:lang w:val="it-IT"/>
        </w:rPr>
        <w:t xml:space="preserve"> </w:t>
      </w:r>
      <w:r w:rsidRPr="00040120">
        <w:rPr>
          <w:lang w:val="it-IT"/>
        </w:rPr>
        <w:t xml:space="preserve"> (</w:t>
      </w:r>
      <w:proofErr w:type="spellStart"/>
      <w:r w:rsidRPr="00040120">
        <w:rPr>
          <w:lang w:val="it-IT"/>
        </w:rPr>
        <w:t>Accessed</w:t>
      </w:r>
      <w:proofErr w:type="spellEnd"/>
      <w:r w:rsidRPr="00040120">
        <w:rPr>
          <w:lang w:val="it-IT"/>
        </w:rPr>
        <w:t>: 1</w:t>
      </w:r>
      <w:r w:rsidR="001B0053">
        <w:rPr>
          <w:lang w:val="it-IT"/>
        </w:rPr>
        <w:t>7</w:t>
      </w:r>
      <w:r w:rsidRPr="00040120">
        <w:rPr>
          <w:lang w:val="it-IT"/>
        </w:rPr>
        <w:t xml:space="preserve"> August 2026).</w:t>
      </w:r>
    </w:p>
    <w:p w14:paraId="6D7E1014" w14:textId="14886B72" w:rsidR="005B1F08" w:rsidRPr="00040120" w:rsidRDefault="00000000">
      <w:pPr>
        <w:spacing w:after="200" w:line="360" w:lineRule="auto"/>
        <w:ind w:left="720" w:hanging="720"/>
        <w:rPr>
          <w:lang w:val="it-IT"/>
        </w:rPr>
      </w:pPr>
      <w:r>
        <w:t xml:space="preserve">Automobili Lamborghini (2026c) </w:t>
      </w:r>
      <w:r>
        <w:rPr>
          <w:i/>
          <w:iCs/>
        </w:rPr>
        <w:t>Lamborghini publishes 2025 Sustainability Report</w:t>
      </w:r>
      <w:r>
        <w:t xml:space="preserve">. 25 June. </w:t>
      </w:r>
      <w:r w:rsidRPr="00040120">
        <w:rPr>
          <w:lang w:val="it-IT"/>
        </w:rPr>
        <w:t xml:space="preserve">Sant'Agata Bolognese: Automobili Lamborghini S.p.A. </w:t>
      </w:r>
      <w:proofErr w:type="spellStart"/>
      <w:r w:rsidRPr="00040120">
        <w:rPr>
          <w:lang w:val="it-IT"/>
        </w:rPr>
        <w:t>Available</w:t>
      </w:r>
      <w:proofErr w:type="spellEnd"/>
      <w:r w:rsidRPr="00040120">
        <w:rPr>
          <w:lang w:val="it-IT"/>
        </w:rPr>
        <w:t xml:space="preserve"> </w:t>
      </w:r>
      <w:proofErr w:type="spellStart"/>
      <w:r w:rsidRPr="00040120">
        <w:rPr>
          <w:lang w:val="it-IT"/>
        </w:rPr>
        <w:t>at</w:t>
      </w:r>
      <w:proofErr w:type="spellEnd"/>
      <w:r w:rsidRPr="00040120">
        <w:rPr>
          <w:lang w:val="it-IT"/>
        </w:rPr>
        <w:t xml:space="preserve">: </w:t>
      </w:r>
      <w:hyperlink r:id="rId15" w:history="1">
        <w:r w:rsidR="00040120" w:rsidRPr="00040120">
          <w:rPr>
            <w:rStyle w:val="Hyperlink"/>
            <w:lang w:val="it-IT"/>
          </w:rPr>
          <w:t>https://ww</w:t>
        </w:r>
        <w:r w:rsidR="00040120" w:rsidRPr="00040120">
          <w:rPr>
            <w:rStyle w:val="Hyperlink"/>
            <w:lang w:val="it-IT"/>
          </w:rPr>
          <w:t>w</w:t>
        </w:r>
        <w:r w:rsidR="00040120" w:rsidRPr="00040120">
          <w:rPr>
            <w:rStyle w:val="Hyperlink"/>
            <w:lang w:val="it-IT"/>
          </w:rPr>
          <w:t>.lamborghini.com/en-en/news/Lamborghini-Publishes-2025-Sustainability-Report</w:t>
        </w:r>
      </w:hyperlink>
      <w:r w:rsidR="00040120" w:rsidRPr="00040120">
        <w:rPr>
          <w:lang w:val="it-IT"/>
        </w:rPr>
        <w:t xml:space="preserve"> </w:t>
      </w:r>
      <w:r w:rsidRPr="00040120">
        <w:rPr>
          <w:lang w:val="it-IT"/>
        </w:rPr>
        <w:t xml:space="preserve"> (</w:t>
      </w:r>
      <w:proofErr w:type="spellStart"/>
      <w:r w:rsidRPr="00040120">
        <w:rPr>
          <w:lang w:val="it-IT"/>
        </w:rPr>
        <w:t>Accessed</w:t>
      </w:r>
      <w:proofErr w:type="spellEnd"/>
      <w:r w:rsidRPr="00040120">
        <w:rPr>
          <w:lang w:val="it-IT"/>
        </w:rPr>
        <w:t>: 1</w:t>
      </w:r>
      <w:r w:rsidR="001B0053">
        <w:rPr>
          <w:lang w:val="it-IT"/>
        </w:rPr>
        <w:t>8</w:t>
      </w:r>
      <w:r w:rsidRPr="00040120">
        <w:rPr>
          <w:lang w:val="it-IT"/>
        </w:rPr>
        <w:t xml:space="preserve"> August 2026).</w:t>
      </w:r>
    </w:p>
    <w:p w14:paraId="183BD41E" w14:textId="0D21B81D" w:rsidR="005B1F08" w:rsidRDefault="00000000">
      <w:pPr>
        <w:spacing w:after="200" w:line="360" w:lineRule="auto"/>
        <w:ind w:left="720" w:hanging="720"/>
      </w:pPr>
      <w:r>
        <w:t xml:space="preserve">Bird and Bird (2025) </w:t>
      </w:r>
      <w:r>
        <w:rPr>
          <w:i/>
          <w:iCs/>
        </w:rPr>
        <w:t>The S factor of Omnibus I: key takeaways from an HR compliance perspective on the overhaul of CSRD</w:t>
      </w:r>
      <w:r>
        <w:t xml:space="preserve">. Available at: </w:t>
      </w:r>
      <w:hyperlink r:id="rId16" w:history="1">
        <w:r w:rsidR="00040120" w:rsidRPr="00157C05">
          <w:rPr>
            <w:rStyle w:val="Hyperlink"/>
          </w:rPr>
          <w:t>https://www.twobirds.com/en/insights/2025/belgium/the-sfactor-of-omnibus-i-key-takeaways-from-an-hr-co</w:t>
        </w:r>
        <w:r w:rsidR="00040120" w:rsidRPr="00157C05">
          <w:rPr>
            <w:rStyle w:val="Hyperlink"/>
          </w:rPr>
          <w:t>m</w:t>
        </w:r>
        <w:r w:rsidR="00040120" w:rsidRPr="00157C05">
          <w:rPr>
            <w:rStyle w:val="Hyperlink"/>
          </w:rPr>
          <w:t>pliance-perspective-on-the-overhaul-of-csrd-and</w:t>
        </w:r>
      </w:hyperlink>
      <w:r w:rsidR="00040120">
        <w:t xml:space="preserve"> </w:t>
      </w:r>
      <w:r>
        <w:t xml:space="preserve"> (Accessed: 1</w:t>
      </w:r>
      <w:r w:rsidR="001B0053">
        <w:t>8</w:t>
      </w:r>
      <w:r>
        <w:t xml:space="preserve"> August 2026).</w:t>
      </w:r>
    </w:p>
    <w:p w14:paraId="4A453852" w14:textId="77777777" w:rsidR="005B1F08" w:rsidRDefault="00000000">
      <w:pPr>
        <w:spacing w:after="200" w:line="360" w:lineRule="auto"/>
        <w:ind w:left="720" w:hanging="720"/>
      </w:pPr>
      <w:r>
        <w:t xml:space="preserve">Chatzinikolaou, D., </w:t>
      </w:r>
      <w:proofErr w:type="spellStart"/>
      <w:r>
        <w:t>Magaliou</w:t>
      </w:r>
      <w:proofErr w:type="spellEnd"/>
      <w:r>
        <w:t xml:space="preserve">, N.-M. and Vlados, C.M. (2025) 'Strategic human resource management, innovation, and social dialogue in the Fourth Industrial Revolution: the case of Greek pharmaceutical multinationals', </w:t>
      </w:r>
      <w:r>
        <w:rPr>
          <w:i/>
          <w:iCs/>
        </w:rPr>
        <w:t>Societies</w:t>
      </w:r>
      <w:r>
        <w:t xml:space="preserve">, 15(8), 228. </w:t>
      </w:r>
      <w:proofErr w:type="spellStart"/>
      <w:r>
        <w:t>doi</w:t>
      </w:r>
      <w:proofErr w:type="spellEnd"/>
      <w:r>
        <w:t>: 10.3390/soc15080228.</w:t>
      </w:r>
    </w:p>
    <w:p w14:paraId="5C8E8F2F" w14:textId="7585EB2E" w:rsidR="005B1F08" w:rsidRDefault="00000000">
      <w:pPr>
        <w:spacing w:after="200" w:line="360" w:lineRule="auto"/>
        <w:ind w:left="720" w:hanging="720"/>
      </w:pPr>
      <w:r>
        <w:t xml:space="preserve">China Briefing (2025) </w:t>
      </w:r>
      <w:r>
        <w:rPr>
          <w:i/>
          <w:iCs/>
        </w:rPr>
        <w:t>Labour laws in China</w:t>
      </w:r>
      <w:r>
        <w:t xml:space="preserve">. Dezan Shira and Associates. Available at: </w:t>
      </w:r>
      <w:hyperlink r:id="rId17" w:history="1">
        <w:r w:rsidR="00040120" w:rsidRPr="00157C05">
          <w:rPr>
            <w:rStyle w:val="Hyperlink"/>
          </w:rPr>
          <w:t>https://w</w:t>
        </w:r>
        <w:r w:rsidR="00040120" w:rsidRPr="00157C05">
          <w:rPr>
            <w:rStyle w:val="Hyperlink"/>
          </w:rPr>
          <w:t>w</w:t>
        </w:r>
        <w:r w:rsidR="00040120" w:rsidRPr="00157C05">
          <w:rPr>
            <w:rStyle w:val="Hyperlink"/>
          </w:rPr>
          <w:t>w.china-briefing.com/doing-business-guide/china/human-resources-and-payroll/labor-law</w:t>
        </w:r>
      </w:hyperlink>
      <w:r w:rsidR="00040120">
        <w:t xml:space="preserve"> </w:t>
      </w:r>
      <w:r>
        <w:t xml:space="preserve"> (Accessed: 1</w:t>
      </w:r>
      <w:r w:rsidR="001B0053">
        <w:t>8</w:t>
      </w:r>
      <w:r>
        <w:t xml:space="preserve"> August 2026).</w:t>
      </w:r>
    </w:p>
    <w:p w14:paraId="6417DF67" w14:textId="5D39ECF3" w:rsidR="005B1F08" w:rsidRDefault="00000000">
      <w:pPr>
        <w:spacing w:after="200" w:line="360" w:lineRule="auto"/>
        <w:ind w:left="720" w:hanging="720"/>
      </w:pPr>
      <w:r>
        <w:t xml:space="preserve">CIPD (2026a) </w:t>
      </w:r>
      <w:r>
        <w:rPr>
          <w:i/>
          <w:iCs/>
        </w:rPr>
        <w:t>PESTLE analysis</w:t>
      </w:r>
      <w:r>
        <w:t xml:space="preserve">. Factsheet. London: Chartered Institute of Personnel and Development. Available at: </w:t>
      </w:r>
      <w:hyperlink r:id="rId18" w:history="1">
        <w:r w:rsidR="00040120" w:rsidRPr="00157C05">
          <w:rPr>
            <w:rStyle w:val="Hyperlink"/>
          </w:rPr>
          <w:t>https://www.cip</w:t>
        </w:r>
        <w:r w:rsidR="00040120" w:rsidRPr="00157C05">
          <w:rPr>
            <w:rStyle w:val="Hyperlink"/>
          </w:rPr>
          <w:t>d</w:t>
        </w:r>
        <w:r w:rsidR="00040120" w:rsidRPr="00157C05">
          <w:rPr>
            <w:rStyle w:val="Hyperlink"/>
          </w:rPr>
          <w:t>.org/en/knowledge/factsheets/pestle-analysis-factsheet/</w:t>
        </w:r>
      </w:hyperlink>
      <w:r w:rsidR="00040120">
        <w:t xml:space="preserve"> </w:t>
      </w:r>
      <w:r>
        <w:t xml:space="preserve"> (Accessed: 1</w:t>
      </w:r>
      <w:r w:rsidR="001B0053">
        <w:t>8</w:t>
      </w:r>
      <w:r>
        <w:t xml:space="preserve"> August 2026).</w:t>
      </w:r>
    </w:p>
    <w:p w14:paraId="02E270C0" w14:textId="55BCB0F5" w:rsidR="005B1F08" w:rsidRDefault="00000000">
      <w:pPr>
        <w:spacing w:after="200" w:line="360" w:lineRule="auto"/>
        <w:ind w:left="720" w:hanging="720"/>
      </w:pPr>
      <w:r>
        <w:t xml:space="preserve">CIPD (2026b) </w:t>
      </w:r>
      <w:r>
        <w:rPr>
          <w:i/>
          <w:iCs/>
        </w:rPr>
        <w:t>Performance management</w:t>
      </w:r>
      <w:r>
        <w:t xml:space="preserve">. Factsheet. London: Chartered Institute of Personnel and Development. Available at: </w:t>
      </w:r>
      <w:hyperlink r:id="rId19" w:history="1">
        <w:r w:rsidR="00040120" w:rsidRPr="00157C05">
          <w:rPr>
            <w:rStyle w:val="Hyperlink"/>
          </w:rPr>
          <w:t>https://www.cipd.or</w:t>
        </w:r>
        <w:r w:rsidR="00040120" w:rsidRPr="00157C05">
          <w:rPr>
            <w:rStyle w:val="Hyperlink"/>
          </w:rPr>
          <w:t>g</w:t>
        </w:r>
        <w:r w:rsidR="00040120" w:rsidRPr="00157C05">
          <w:rPr>
            <w:rStyle w:val="Hyperlink"/>
          </w:rPr>
          <w:t>/en/knowledge/factsheets/performance-factsheet/</w:t>
        </w:r>
      </w:hyperlink>
      <w:r w:rsidR="00040120">
        <w:t xml:space="preserve"> </w:t>
      </w:r>
      <w:r>
        <w:t xml:space="preserve"> (Accessed: 1</w:t>
      </w:r>
      <w:r w:rsidR="001B0053">
        <w:t>9</w:t>
      </w:r>
      <w:r>
        <w:t xml:space="preserve"> August 2026).</w:t>
      </w:r>
    </w:p>
    <w:p w14:paraId="23009774" w14:textId="486DBB94" w:rsidR="005B1F08" w:rsidRDefault="00000000">
      <w:pPr>
        <w:spacing w:after="200" w:line="360" w:lineRule="auto"/>
        <w:ind w:left="720" w:hanging="720"/>
      </w:pPr>
      <w:r>
        <w:t xml:space="preserve">CIPD (2026d) </w:t>
      </w:r>
      <w:r>
        <w:rPr>
          <w:i/>
          <w:iCs/>
        </w:rPr>
        <w:t>Employee relations</w:t>
      </w:r>
      <w:r>
        <w:t xml:space="preserve">. Factsheet. London: Chartered Institute of Personnel and Development. Available at: </w:t>
      </w:r>
      <w:hyperlink r:id="rId20" w:history="1">
        <w:r w:rsidR="00040120" w:rsidRPr="00157C05">
          <w:rPr>
            <w:rStyle w:val="Hyperlink"/>
          </w:rPr>
          <w:t>https:/</w:t>
        </w:r>
        <w:r w:rsidR="00040120" w:rsidRPr="00157C05">
          <w:rPr>
            <w:rStyle w:val="Hyperlink"/>
          </w:rPr>
          <w:t>/</w:t>
        </w:r>
        <w:r w:rsidR="00040120" w:rsidRPr="00157C05">
          <w:rPr>
            <w:rStyle w:val="Hyperlink"/>
          </w:rPr>
          <w:t>www.cipd.org/en/knowledge/factsheets/relations-employees-factsheet/</w:t>
        </w:r>
      </w:hyperlink>
      <w:r w:rsidR="00040120">
        <w:t xml:space="preserve"> </w:t>
      </w:r>
      <w:r>
        <w:t xml:space="preserve"> (Accessed: 1</w:t>
      </w:r>
      <w:r w:rsidR="001B0053">
        <w:t>9</w:t>
      </w:r>
      <w:r>
        <w:t xml:space="preserve"> August 2026).</w:t>
      </w:r>
    </w:p>
    <w:p w14:paraId="3EA61737" w14:textId="77777777" w:rsidR="006D490F" w:rsidRDefault="006D490F">
      <w:pPr>
        <w:spacing w:after="200" w:line="360" w:lineRule="auto"/>
        <w:ind w:left="720" w:hanging="720"/>
      </w:pPr>
    </w:p>
    <w:p w14:paraId="006F4B95" w14:textId="515E6B19" w:rsidR="005B1F08" w:rsidRDefault="00000000">
      <w:pPr>
        <w:spacing w:after="200" w:line="360" w:lineRule="auto"/>
        <w:ind w:left="720" w:hanging="720"/>
      </w:pPr>
      <w:proofErr w:type="spellStart"/>
      <w:r>
        <w:lastRenderedPageBreak/>
        <w:t>Eurofound</w:t>
      </w:r>
      <w:proofErr w:type="spellEnd"/>
      <w:r>
        <w:t xml:space="preserve"> (2025) </w:t>
      </w:r>
      <w:r>
        <w:rPr>
          <w:i/>
          <w:iCs/>
        </w:rPr>
        <w:t>Employment in the EU's automotive sector</w:t>
      </w:r>
      <w:r>
        <w:t xml:space="preserve">. 27 January. Dublin: European Foundation for the Improvement of Living and Working Conditions. Available at: </w:t>
      </w:r>
      <w:hyperlink r:id="rId21" w:history="1">
        <w:r w:rsidR="00040120" w:rsidRPr="00157C05">
          <w:rPr>
            <w:rStyle w:val="Hyperlink"/>
          </w:rPr>
          <w:t>https://www.eu</w:t>
        </w:r>
        <w:r w:rsidR="00040120" w:rsidRPr="00157C05">
          <w:rPr>
            <w:rStyle w:val="Hyperlink"/>
          </w:rPr>
          <w:t>r</w:t>
        </w:r>
        <w:r w:rsidR="00040120" w:rsidRPr="00157C05">
          <w:rPr>
            <w:rStyle w:val="Hyperlink"/>
          </w:rPr>
          <w:t>ofound.europa.eu/en/resources/article/2025/employment-eus-automotive-sector</w:t>
        </w:r>
      </w:hyperlink>
      <w:r w:rsidR="00040120">
        <w:t xml:space="preserve"> </w:t>
      </w:r>
      <w:r>
        <w:t xml:space="preserve"> (Accessed: </w:t>
      </w:r>
      <w:r w:rsidR="001B0053">
        <w:t>20</w:t>
      </w:r>
      <w:r>
        <w:t xml:space="preserve"> August 2026).</w:t>
      </w:r>
    </w:p>
    <w:p w14:paraId="48B349FA" w14:textId="61927DBC" w:rsidR="005B1F08" w:rsidRDefault="00000000">
      <w:pPr>
        <w:spacing w:after="200" w:line="360" w:lineRule="auto"/>
        <w:ind w:left="720" w:hanging="720"/>
      </w:pPr>
      <w:r>
        <w:t xml:space="preserve">European Union (2023) </w:t>
      </w:r>
      <w:r>
        <w:rPr>
          <w:i/>
          <w:iCs/>
        </w:rPr>
        <w:t>Directive (EU) 2023/970 of the European Parliament and of the Council of 10 May 2023 to strengthen the application of the principle of equal pay for equal work or work of equal value between men and women through pay transparency and enforcement mechanisms</w:t>
      </w:r>
      <w:r>
        <w:t xml:space="preserve">. </w:t>
      </w:r>
      <w:r>
        <w:rPr>
          <w:i/>
          <w:iCs/>
        </w:rPr>
        <w:t>Official Journal of the European Union</w:t>
      </w:r>
      <w:r>
        <w:t xml:space="preserve">, L 132, 17 May, pp. 21-44. Available at: </w:t>
      </w:r>
      <w:hyperlink r:id="rId22" w:history="1">
        <w:r w:rsidR="00040120" w:rsidRPr="00157C05">
          <w:rPr>
            <w:rStyle w:val="Hyperlink"/>
          </w:rPr>
          <w:t>https:</w:t>
        </w:r>
        <w:r w:rsidR="00040120" w:rsidRPr="00157C05">
          <w:rPr>
            <w:rStyle w:val="Hyperlink"/>
          </w:rPr>
          <w:t>/</w:t>
        </w:r>
        <w:r w:rsidR="00040120" w:rsidRPr="00157C05">
          <w:rPr>
            <w:rStyle w:val="Hyperlink"/>
          </w:rPr>
          <w:t>/eur-lex.europa.eu/legal-content/EN/TXT/?uri=CELEX%3A32023L0970</w:t>
        </w:r>
      </w:hyperlink>
      <w:r w:rsidR="00040120">
        <w:t xml:space="preserve"> </w:t>
      </w:r>
      <w:r>
        <w:t xml:space="preserve"> (Accessed: </w:t>
      </w:r>
      <w:r w:rsidR="001B0053">
        <w:t>20</w:t>
      </w:r>
      <w:r>
        <w:t xml:space="preserve"> August 2026).</w:t>
      </w:r>
    </w:p>
    <w:p w14:paraId="2129D42A" w14:textId="15CBEB0C" w:rsidR="005B1F08" w:rsidRDefault="00000000">
      <w:pPr>
        <w:spacing w:after="200" w:line="360" w:lineRule="auto"/>
        <w:ind w:left="720" w:hanging="720"/>
      </w:pPr>
      <w:r>
        <w:t xml:space="preserve">European Union (2024) </w:t>
      </w:r>
      <w:r>
        <w:rPr>
          <w:i/>
          <w:iCs/>
        </w:rPr>
        <w:t>Regulation (EU) 2024/1689 of the European Parliament and of the Council of 13 June 2024 laying down harmonised rules on artificial intelligence (Artificial Intelligence Act)</w:t>
      </w:r>
      <w:r>
        <w:t xml:space="preserve">. </w:t>
      </w:r>
      <w:r>
        <w:rPr>
          <w:i/>
          <w:iCs/>
        </w:rPr>
        <w:t>Official Journal of the European Union</w:t>
      </w:r>
      <w:r>
        <w:t xml:space="preserve">, 12 July. Available at: </w:t>
      </w:r>
      <w:hyperlink r:id="rId23" w:history="1">
        <w:r w:rsidR="00040120" w:rsidRPr="00157C05">
          <w:rPr>
            <w:rStyle w:val="Hyperlink"/>
          </w:rPr>
          <w:t>https://eur-lex.europa.eu/le</w:t>
        </w:r>
        <w:r w:rsidR="00040120" w:rsidRPr="00157C05">
          <w:rPr>
            <w:rStyle w:val="Hyperlink"/>
          </w:rPr>
          <w:t>g</w:t>
        </w:r>
        <w:r w:rsidR="00040120" w:rsidRPr="00157C05">
          <w:rPr>
            <w:rStyle w:val="Hyperlink"/>
          </w:rPr>
          <w:t>al-content/EN/TXT/?uri=CELEX%3A32024R1689</w:t>
        </w:r>
      </w:hyperlink>
      <w:r w:rsidR="00040120">
        <w:t xml:space="preserve"> </w:t>
      </w:r>
      <w:r>
        <w:t xml:space="preserve"> (Accessed: </w:t>
      </w:r>
      <w:r w:rsidR="001B0053">
        <w:t>20</w:t>
      </w:r>
      <w:r>
        <w:t xml:space="preserve"> August 2026).</w:t>
      </w:r>
    </w:p>
    <w:p w14:paraId="5CBD141E" w14:textId="56D845D1" w:rsidR="005B1F08" w:rsidRDefault="00000000">
      <w:pPr>
        <w:spacing w:after="200" w:line="360" w:lineRule="auto"/>
        <w:ind w:left="720" w:hanging="720"/>
      </w:pPr>
      <w:r>
        <w:t xml:space="preserve">Hogan Lovells (2025) </w:t>
      </w:r>
      <w:r>
        <w:rPr>
          <w:i/>
          <w:iCs/>
        </w:rPr>
        <w:t>Works constitution in Germany: an overview 2025</w:t>
      </w:r>
      <w:r>
        <w:t xml:space="preserve">. Available at: </w:t>
      </w:r>
      <w:hyperlink r:id="rId24" w:history="1">
        <w:r w:rsidR="00040120" w:rsidRPr="00157C05">
          <w:rPr>
            <w:rStyle w:val="Hyperlink"/>
          </w:rPr>
          <w:t>https://www</w:t>
        </w:r>
        <w:r w:rsidR="00040120" w:rsidRPr="00157C05">
          <w:rPr>
            <w:rStyle w:val="Hyperlink"/>
          </w:rPr>
          <w:t>.</w:t>
        </w:r>
        <w:r w:rsidR="00040120" w:rsidRPr="00157C05">
          <w:rPr>
            <w:rStyle w:val="Hyperlink"/>
          </w:rPr>
          <w:t>hoganlovells.com/en/publications/works-constitution-in-germany-an-overview-2025</w:t>
        </w:r>
      </w:hyperlink>
      <w:r w:rsidR="00040120">
        <w:t xml:space="preserve"> </w:t>
      </w:r>
      <w:r>
        <w:t xml:space="preserve"> (Accessed: </w:t>
      </w:r>
      <w:r w:rsidR="001B0053">
        <w:t>20</w:t>
      </w:r>
      <w:r>
        <w:t xml:space="preserve"> August 2026).</w:t>
      </w:r>
    </w:p>
    <w:p w14:paraId="5CB999F7" w14:textId="06C738D1" w:rsidR="005B1F08" w:rsidRDefault="00000000">
      <w:pPr>
        <w:spacing w:after="200" w:line="360" w:lineRule="auto"/>
        <w:ind w:left="720" w:hanging="720"/>
      </w:pPr>
      <w:proofErr w:type="spellStart"/>
      <w:r>
        <w:t>industriAll</w:t>
      </w:r>
      <w:proofErr w:type="spellEnd"/>
      <w:r>
        <w:t xml:space="preserve"> Europe (2025) </w:t>
      </w:r>
      <w:r>
        <w:rPr>
          <w:i/>
          <w:iCs/>
        </w:rPr>
        <w:t>Italian metalworkers strike for fair negotiations</w:t>
      </w:r>
      <w:r>
        <w:t xml:space="preserve">. 27 March. Brussels: </w:t>
      </w:r>
      <w:proofErr w:type="spellStart"/>
      <w:r>
        <w:t>industriAll</w:t>
      </w:r>
      <w:proofErr w:type="spellEnd"/>
      <w:r>
        <w:t xml:space="preserve"> European Trade Union. Available at: </w:t>
      </w:r>
      <w:hyperlink r:id="rId25" w:history="1">
        <w:r w:rsidR="00040120" w:rsidRPr="00157C05">
          <w:rPr>
            <w:rStyle w:val="Hyperlink"/>
          </w:rPr>
          <w:t>https</w:t>
        </w:r>
        <w:r w:rsidR="00040120" w:rsidRPr="00157C05">
          <w:rPr>
            <w:rStyle w:val="Hyperlink"/>
          </w:rPr>
          <w:t>:</w:t>
        </w:r>
        <w:r w:rsidR="00040120" w:rsidRPr="00157C05">
          <w:rPr>
            <w:rStyle w:val="Hyperlink"/>
          </w:rPr>
          <w:t>//news.industriall-europe.eu/Article/1246</w:t>
        </w:r>
      </w:hyperlink>
      <w:r w:rsidR="00040120">
        <w:t xml:space="preserve"> </w:t>
      </w:r>
      <w:r>
        <w:t xml:space="preserve"> (Accessed: </w:t>
      </w:r>
      <w:r w:rsidR="001B0053">
        <w:t>20</w:t>
      </w:r>
      <w:r>
        <w:t xml:space="preserve"> August 2026).</w:t>
      </w:r>
    </w:p>
    <w:p w14:paraId="5754751E" w14:textId="6B573A68" w:rsidR="005B1F08" w:rsidRDefault="00000000">
      <w:pPr>
        <w:spacing w:after="200" w:line="360" w:lineRule="auto"/>
        <w:ind w:left="720" w:hanging="720"/>
      </w:pPr>
      <w:r>
        <w:t xml:space="preserve">International Labour Organization (2025) </w:t>
      </w:r>
      <w:r>
        <w:rPr>
          <w:i/>
          <w:iCs/>
        </w:rPr>
        <w:t>World employment and social outlook: trends 2025</w:t>
      </w:r>
      <w:r>
        <w:t xml:space="preserve">. Geneva: International Labour Organization. Available at: </w:t>
      </w:r>
      <w:hyperlink r:id="rId26" w:history="1">
        <w:r w:rsidR="00040120" w:rsidRPr="00157C05">
          <w:rPr>
            <w:rStyle w:val="Hyperlink"/>
          </w:rPr>
          <w:t>https://www.ilo.org/publica</w:t>
        </w:r>
        <w:r w:rsidR="00040120" w:rsidRPr="00157C05">
          <w:rPr>
            <w:rStyle w:val="Hyperlink"/>
          </w:rPr>
          <w:t>t</w:t>
        </w:r>
        <w:r w:rsidR="00040120" w:rsidRPr="00157C05">
          <w:rPr>
            <w:rStyle w:val="Hyperlink"/>
          </w:rPr>
          <w:t>ions/world-employment-and-social-outlook-trends-2025</w:t>
        </w:r>
      </w:hyperlink>
      <w:r w:rsidR="00040120">
        <w:t xml:space="preserve"> </w:t>
      </w:r>
      <w:r>
        <w:t xml:space="preserve"> (Accessed: </w:t>
      </w:r>
      <w:r w:rsidR="001B0053">
        <w:t>20</w:t>
      </w:r>
      <w:r>
        <w:t xml:space="preserve"> August 2026).</w:t>
      </w:r>
    </w:p>
    <w:p w14:paraId="5E1DD850" w14:textId="322EC883" w:rsidR="005B1F08" w:rsidRDefault="00000000">
      <w:pPr>
        <w:spacing w:after="200" w:line="360" w:lineRule="auto"/>
        <w:ind w:left="720" w:hanging="720"/>
      </w:pPr>
      <w:r>
        <w:t xml:space="preserve">Jones Day (2025) </w:t>
      </w:r>
      <w:r>
        <w:rPr>
          <w:i/>
          <w:iCs/>
        </w:rPr>
        <w:t>EU pay transparency: what employers need to know</w:t>
      </w:r>
      <w:r>
        <w:t xml:space="preserve">. November. Available at: </w:t>
      </w:r>
      <w:hyperlink r:id="rId27" w:history="1">
        <w:r w:rsidR="00040120" w:rsidRPr="00157C05">
          <w:rPr>
            <w:rStyle w:val="Hyperlink"/>
          </w:rPr>
          <w:t>https://www.jonesday.com/en/insights/2025/11/eu-pay-transparency-what-employer</w:t>
        </w:r>
        <w:r w:rsidR="00040120" w:rsidRPr="00157C05">
          <w:rPr>
            <w:rStyle w:val="Hyperlink"/>
          </w:rPr>
          <w:t>s</w:t>
        </w:r>
        <w:r w:rsidR="00040120" w:rsidRPr="00157C05">
          <w:rPr>
            <w:rStyle w:val="Hyperlink"/>
          </w:rPr>
          <w:t>-need-to-know</w:t>
        </w:r>
      </w:hyperlink>
      <w:r w:rsidR="00040120">
        <w:t xml:space="preserve"> </w:t>
      </w:r>
      <w:r>
        <w:t xml:space="preserve"> (Accessed: </w:t>
      </w:r>
      <w:r w:rsidR="001B0053">
        <w:t>20</w:t>
      </w:r>
      <w:r>
        <w:t xml:space="preserve"> August 2026).</w:t>
      </w:r>
    </w:p>
    <w:p w14:paraId="3A005BCA" w14:textId="77777777" w:rsidR="005B1F08" w:rsidRDefault="00000000">
      <w:pPr>
        <w:spacing w:after="200" w:line="360" w:lineRule="auto"/>
        <w:ind w:left="720" w:hanging="720"/>
      </w:pPr>
      <w:r>
        <w:t xml:space="preserve">Khatoon, U.T., </w:t>
      </w:r>
      <w:proofErr w:type="spellStart"/>
      <w:r>
        <w:t>Babgi</w:t>
      </w:r>
      <w:proofErr w:type="spellEnd"/>
      <w:r>
        <w:t xml:space="preserve">, M., Hadi, N.T., Mir, R.N. and </w:t>
      </w:r>
      <w:proofErr w:type="spellStart"/>
      <w:r>
        <w:t>Velidandi</w:t>
      </w:r>
      <w:proofErr w:type="spellEnd"/>
      <w:r>
        <w:t xml:space="preserve">, A. (2025) 'Technology-driven change in human resource management: reshaping talent management and organizational design', </w:t>
      </w:r>
      <w:r>
        <w:rPr>
          <w:i/>
          <w:iCs/>
        </w:rPr>
        <w:t>Administrative Sciences</w:t>
      </w:r>
      <w:r>
        <w:t xml:space="preserve">, 15(11), 452. </w:t>
      </w:r>
      <w:proofErr w:type="spellStart"/>
      <w:r>
        <w:t>doi</w:t>
      </w:r>
      <w:proofErr w:type="spellEnd"/>
      <w:r>
        <w:t>: 10.3390/admsci15110452.</w:t>
      </w:r>
    </w:p>
    <w:p w14:paraId="3ACE2F59" w14:textId="6CD1CFB2" w:rsidR="005B1F08" w:rsidRDefault="00000000">
      <w:pPr>
        <w:spacing w:after="200" w:line="360" w:lineRule="auto"/>
        <w:ind w:left="720" w:hanging="720"/>
      </w:pPr>
      <w:r>
        <w:lastRenderedPageBreak/>
        <w:t xml:space="preserve">Littler (2025) </w:t>
      </w:r>
      <w:r>
        <w:rPr>
          <w:i/>
          <w:iCs/>
        </w:rPr>
        <w:t>European Pay Transparency Directive: implementation challenges, status, and risks</w:t>
      </w:r>
      <w:r>
        <w:t xml:space="preserve">. Available at: </w:t>
      </w:r>
      <w:hyperlink r:id="rId28" w:history="1">
        <w:r w:rsidR="00040120" w:rsidRPr="00157C05">
          <w:rPr>
            <w:rStyle w:val="Hyperlink"/>
          </w:rPr>
          <w:t>https://www.littler.com</w:t>
        </w:r>
        <w:r w:rsidR="00040120" w:rsidRPr="00157C05">
          <w:rPr>
            <w:rStyle w:val="Hyperlink"/>
          </w:rPr>
          <w:t>/</w:t>
        </w:r>
        <w:r w:rsidR="00040120" w:rsidRPr="00157C05">
          <w:rPr>
            <w:rStyle w:val="Hyperlink"/>
          </w:rPr>
          <w:t>news-analysis/asap/european-pay-transparency-directive-implementation-challenges-status-and-risks</w:t>
        </w:r>
      </w:hyperlink>
      <w:r w:rsidR="00040120">
        <w:t xml:space="preserve"> </w:t>
      </w:r>
      <w:r>
        <w:t xml:space="preserve"> (Accessed: 1</w:t>
      </w:r>
      <w:r w:rsidR="001B0053">
        <w:t>8</w:t>
      </w:r>
      <w:r>
        <w:t xml:space="preserve"> August 2026).</w:t>
      </w:r>
    </w:p>
    <w:p w14:paraId="12FB3071" w14:textId="224C893B" w:rsidR="005B1F08" w:rsidRDefault="00000000">
      <w:pPr>
        <w:spacing w:after="200" w:line="360" w:lineRule="auto"/>
        <w:ind w:left="720" w:hanging="720"/>
      </w:pPr>
      <w:proofErr w:type="spellStart"/>
      <w:r>
        <w:t>Ojakorotu</w:t>
      </w:r>
      <w:proofErr w:type="spellEnd"/>
      <w:r>
        <w:t xml:space="preserve">, R. (2024) 'The impact of cultural differences on HRM strategies of UK-based multinational corporations', </w:t>
      </w:r>
      <w:r>
        <w:rPr>
          <w:i/>
          <w:iCs/>
        </w:rPr>
        <w:t>International Journal of Socio-Cultural Research</w:t>
      </w:r>
      <w:r>
        <w:t xml:space="preserve">, 2(2), pp. 1-12. Available at: </w:t>
      </w:r>
      <w:hyperlink r:id="rId29" w:history="1">
        <w:r w:rsidR="00040120" w:rsidRPr="00157C05">
          <w:rPr>
            <w:rStyle w:val="Hyperlink"/>
          </w:rPr>
          <w:t>https://www.openjour</w:t>
        </w:r>
        <w:r w:rsidR="00040120" w:rsidRPr="00157C05">
          <w:rPr>
            <w:rStyle w:val="Hyperlink"/>
          </w:rPr>
          <w:t>n</w:t>
        </w:r>
        <w:r w:rsidR="00040120" w:rsidRPr="00157C05">
          <w:rPr>
            <w:rStyle w:val="Hyperlink"/>
          </w:rPr>
          <w:t>als.ijaar.org/index.php/ijscr/article/view/1253</w:t>
        </w:r>
      </w:hyperlink>
      <w:r w:rsidR="00040120">
        <w:t xml:space="preserve"> </w:t>
      </w:r>
      <w:r>
        <w:t xml:space="preserve"> (Accessed: 1</w:t>
      </w:r>
      <w:r w:rsidR="001B0053">
        <w:t>9</w:t>
      </w:r>
      <w:r>
        <w:t xml:space="preserve"> August 2026).</w:t>
      </w:r>
    </w:p>
    <w:p w14:paraId="497E20FD" w14:textId="5B7BF7E8" w:rsidR="005B1F08" w:rsidRDefault="00000000">
      <w:pPr>
        <w:spacing w:after="200" w:line="360" w:lineRule="auto"/>
        <w:ind w:left="720" w:hanging="720"/>
      </w:pPr>
      <w:r>
        <w:t xml:space="preserve">Volkswagen Group (2024) </w:t>
      </w:r>
      <w:r>
        <w:rPr>
          <w:i/>
          <w:iCs/>
        </w:rPr>
        <w:t>Agreement reached: Volkswagen AG positions itself competitively for the future</w:t>
      </w:r>
      <w:r>
        <w:t xml:space="preserve">. 20 December. Wolfsburg: Volkswagen AG. Available at: </w:t>
      </w:r>
      <w:hyperlink r:id="rId30" w:history="1">
        <w:r w:rsidR="00040120" w:rsidRPr="00157C05">
          <w:rPr>
            <w:rStyle w:val="Hyperlink"/>
          </w:rPr>
          <w:t>https://www.volkswagen-group.com/en/press-releases/agreement-reached-volkswagen-ag-positions-itself-competi</w:t>
        </w:r>
        <w:r w:rsidR="00040120" w:rsidRPr="00157C05">
          <w:rPr>
            <w:rStyle w:val="Hyperlink"/>
          </w:rPr>
          <w:t>t</w:t>
        </w:r>
        <w:r w:rsidR="00040120" w:rsidRPr="00157C05">
          <w:rPr>
            <w:rStyle w:val="Hyperlink"/>
          </w:rPr>
          <w:t>ively-for-the-future-18911</w:t>
        </w:r>
      </w:hyperlink>
      <w:r w:rsidR="00040120">
        <w:t xml:space="preserve"> </w:t>
      </w:r>
      <w:r>
        <w:t xml:space="preserve"> (Accessed: </w:t>
      </w:r>
      <w:r w:rsidR="001B0053">
        <w:t>21</w:t>
      </w:r>
      <w:r>
        <w:t xml:space="preserve"> August 2026).</w:t>
      </w:r>
    </w:p>
    <w:p w14:paraId="06C45DC2" w14:textId="40817881" w:rsidR="005B1F08" w:rsidRDefault="00000000">
      <w:pPr>
        <w:spacing w:after="200" w:line="360" w:lineRule="auto"/>
        <w:ind w:left="720" w:hanging="720"/>
      </w:pPr>
      <w:r>
        <w:t xml:space="preserve">Volkswagen Group (2026) </w:t>
      </w:r>
      <w:r>
        <w:rPr>
          <w:i/>
          <w:iCs/>
        </w:rPr>
        <w:t>Volkswagen Group strengthens financial resilience in 2025: strong fourth quarter in a challenging environment</w:t>
      </w:r>
      <w:r>
        <w:t xml:space="preserve">. 10 March. Wolfsburg: Volkswagen AG. Available at: </w:t>
      </w:r>
      <w:hyperlink r:id="rId31" w:history="1">
        <w:r w:rsidR="00040120" w:rsidRPr="00157C05">
          <w:rPr>
            <w:rStyle w:val="Hyperlink"/>
          </w:rPr>
          <w:t>https://www.volkswagen-group.com/en/press-releases/volkswagen-group-strengthens-financi</w:t>
        </w:r>
        <w:r w:rsidR="00040120" w:rsidRPr="00157C05">
          <w:rPr>
            <w:rStyle w:val="Hyperlink"/>
          </w:rPr>
          <w:t>a</w:t>
        </w:r>
        <w:r w:rsidR="00040120" w:rsidRPr="00157C05">
          <w:rPr>
            <w:rStyle w:val="Hyperlink"/>
          </w:rPr>
          <w:t>l-resilience-in-2025-strong-fourth-quarter-in-a-challenging-environment-20202</w:t>
        </w:r>
      </w:hyperlink>
      <w:r w:rsidR="00040120">
        <w:t xml:space="preserve"> </w:t>
      </w:r>
      <w:r>
        <w:t xml:space="preserve"> (Accessed: </w:t>
      </w:r>
      <w:r w:rsidR="001B0053">
        <w:t>20</w:t>
      </w:r>
      <w:r>
        <w:t xml:space="preserve"> August 2026).</w:t>
      </w:r>
    </w:p>
    <w:p w14:paraId="364D98C5" w14:textId="5BB65F2E" w:rsidR="005B1F08" w:rsidRDefault="00000000">
      <w:pPr>
        <w:spacing w:after="200" w:line="360" w:lineRule="auto"/>
        <w:ind w:left="720" w:hanging="720"/>
      </w:pPr>
      <w:r>
        <w:t xml:space="preserve">World Economic Forum (2025) </w:t>
      </w:r>
      <w:r>
        <w:rPr>
          <w:i/>
          <w:iCs/>
        </w:rPr>
        <w:t>The future of jobs report 2025</w:t>
      </w:r>
      <w:r>
        <w:t xml:space="preserve">. 7 January. Geneva: World Economic Forum. Available at: </w:t>
      </w:r>
      <w:hyperlink r:id="rId32" w:history="1">
        <w:r w:rsidR="00040120" w:rsidRPr="00157C05">
          <w:rPr>
            <w:rStyle w:val="Hyperlink"/>
          </w:rPr>
          <w:t>https://</w:t>
        </w:r>
        <w:r w:rsidR="00040120" w:rsidRPr="00157C05">
          <w:rPr>
            <w:rStyle w:val="Hyperlink"/>
          </w:rPr>
          <w:t>w</w:t>
        </w:r>
        <w:r w:rsidR="00040120" w:rsidRPr="00157C05">
          <w:rPr>
            <w:rStyle w:val="Hyperlink"/>
          </w:rPr>
          <w:t>ww.weforum.org/publications/the-future-of-jobs-report-2025/</w:t>
        </w:r>
      </w:hyperlink>
      <w:r w:rsidR="00040120">
        <w:t xml:space="preserve"> </w:t>
      </w:r>
      <w:r>
        <w:t xml:space="preserve"> (Accessed: </w:t>
      </w:r>
      <w:r w:rsidR="001B0053">
        <w:t>21</w:t>
      </w:r>
      <w:r>
        <w:t xml:space="preserve"> August 2026).</w:t>
      </w:r>
    </w:p>
    <w:sectPr w:rsidR="005B1F08">
      <w:footerReference w:type="default" r:id="rId3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096F12" w14:textId="77777777" w:rsidR="002B4A3A" w:rsidRDefault="002B4A3A">
      <w:r>
        <w:separator/>
      </w:r>
    </w:p>
  </w:endnote>
  <w:endnote w:type="continuationSeparator" w:id="0">
    <w:p w14:paraId="4DE3AFDF" w14:textId="77777777" w:rsidR="002B4A3A" w:rsidRDefault="002B4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4B14B9" w14:textId="77777777" w:rsidR="005B1F08" w:rsidRDefault="00000000">
    <w:pPr>
      <w:jc w:val="center"/>
    </w:pPr>
    <w:r>
      <w:rPr>
        <w:sz w:val="18"/>
        <w:szCs w:val="18"/>
      </w:rPr>
      <w:fldChar w:fldCharType="begin"/>
    </w:r>
    <w:r>
      <w:rPr>
        <w:sz w:val="18"/>
        <w:szCs w:val="18"/>
      </w:rPr>
      <w:instrText>PAGE</w:instrText>
    </w:r>
    <w:r>
      <w:rPr>
        <w:sz w:val="18"/>
        <w:szCs w:val="18"/>
      </w:rPr>
      <w:fldChar w:fldCharType="separate"/>
    </w:r>
    <w:r w:rsidR="00675741">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984279" w14:textId="77777777" w:rsidR="002B4A3A" w:rsidRDefault="002B4A3A">
      <w:r>
        <w:separator/>
      </w:r>
    </w:p>
  </w:footnote>
  <w:footnote w:type="continuationSeparator" w:id="0">
    <w:p w14:paraId="355060A5" w14:textId="77777777" w:rsidR="002B4A3A" w:rsidRDefault="002B4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5036AD"/>
    <w:multiLevelType w:val="hybridMultilevel"/>
    <w:tmpl w:val="78D4C006"/>
    <w:lvl w:ilvl="0" w:tplc="5FE4311E">
      <w:start w:val="1"/>
      <w:numFmt w:val="bullet"/>
      <w:lvlText w:val="●"/>
      <w:lvlJc w:val="left"/>
      <w:pPr>
        <w:ind w:left="720" w:hanging="360"/>
      </w:pPr>
    </w:lvl>
    <w:lvl w:ilvl="1" w:tplc="95E4F1AC">
      <w:start w:val="1"/>
      <w:numFmt w:val="bullet"/>
      <w:lvlText w:val="○"/>
      <w:lvlJc w:val="left"/>
      <w:pPr>
        <w:ind w:left="1440" w:hanging="360"/>
      </w:pPr>
    </w:lvl>
    <w:lvl w:ilvl="2" w:tplc="D39ED06A">
      <w:start w:val="1"/>
      <w:numFmt w:val="bullet"/>
      <w:lvlText w:val="■"/>
      <w:lvlJc w:val="left"/>
      <w:pPr>
        <w:ind w:left="2160" w:hanging="360"/>
      </w:pPr>
    </w:lvl>
    <w:lvl w:ilvl="3" w:tplc="1C5A0B12">
      <w:start w:val="1"/>
      <w:numFmt w:val="bullet"/>
      <w:lvlText w:val="●"/>
      <w:lvlJc w:val="left"/>
      <w:pPr>
        <w:ind w:left="2880" w:hanging="360"/>
      </w:pPr>
    </w:lvl>
    <w:lvl w:ilvl="4" w:tplc="F0F0CB9E">
      <w:start w:val="1"/>
      <w:numFmt w:val="bullet"/>
      <w:lvlText w:val="○"/>
      <w:lvlJc w:val="left"/>
      <w:pPr>
        <w:ind w:left="3600" w:hanging="360"/>
      </w:pPr>
    </w:lvl>
    <w:lvl w:ilvl="5" w:tplc="F4B2E748">
      <w:start w:val="1"/>
      <w:numFmt w:val="bullet"/>
      <w:lvlText w:val="■"/>
      <w:lvlJc w:val="left"/>
      <w:pPr>
        <w:ind w:left="4320" w:hanging="360"/>
      </w:pPr>
    </w:lvl>
    <w:lvl w:ilvl="6" w:tplc="711EFDDE">
      <w:start w:val="1"/>
      <w:numFmt w:val="bullet"/>
      <w:lvlText w:val="●"/>
      <w:lvlJc w:val="left"/>
      <w:pPr>
        <w:ind w:left="5040" w:hanging="360"/>
      </w:pPr>
    </w:lvl>
    <w:lvl w:ilvl="7" w:tplc="C872308C">
      <w:start w:val="1"/>
      <w:numFmt w:val="bullet"/>
      <w:lvlText w:val="●"/>
      <w:lvlJc w:val="left"/>
      <w:pPr>
        <w:ind w:left="5760" w:hanging="360"/>
      </w:pPr>
    </w:lvl>
    <w:lvl w:ilvl="8" w:tplc="B5005222">
      <w:start w:val="1"/>
      <w:numFmt w:val="bullet"/>
      <w:lvlText w:val="●"/>
      <w:lvlJc w:val="left"/>
      <w:pPr>
        <w:ind w:left="6480" w:hanging="360"/>
      </w:pPr>
    </w:lvl>
  </w:abstractNum>
  <w:num w:numId="1" w16cid:durableId="31045290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F08"/>
    <w:rsid w:val="00040120"/>
    <w:rsid w:val="001B0053"/>
    <w:rsid w:val="001D52F1"/>
    <w:rsid w:val="001F06EA"/>
    <w:rsid w:val="002B4A3A"/>
    <w:rsid w:val="002D1DF6"/>
    <w:rsid w:val="00380E43"/>
    <w:rsid w:val="00393A15"/>
    <w:rsid w:val="005959F1"/>
    <w:rsid w:val="005B1F08"/>
    <w:rsid w:val="00675741"/>
    <w:rsid w:val="006D0C2A"/>
    <w:rsid w:val="006D490F"/>
    <w:rsid w:val="007B30C9"/>
    <w:rsid w:val="00962743"/>
    <w:rsid w:val="00C26431"/>
    <w:rsid w:val="00D22023"/>
    <w:rsid w:val="00DB01B7"/>
    <w:rsid w:val="00E60158"/>
    <w:rsid w:val="00E746E0"/>
    <w:rsid w:val="00F136C7"/>
    <w:rsid w:val="00F261BE"/>
    <w:rsid w:val="00FD6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17B967"/>
  <w15:docId w15:val="{C5B7801A-42F0-944E-AC92-F1B9A4CAB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040120"/>
    <w:rPr>
      <w:color w:val="605E5C"/>
      <w:shd w:val="clear" w:color="auto" w:fill="E1DFDD"/>
    </w:rPr>
  </w:style>
  <w:style w:type="character" w:styleId="FollowedHyperlink">
    <w:name w:val="FollowedHyperlink"/>
    <w:basedOn w:val="DefaultParagraphFont"/>
    <w:uiPriority w:val="99"/>
    <w:semiHidden/>
    <w:unhideWhenUsed/>
    <w:rsid w:val="00040120"/>
    <w:rPr>
      <w:color w:val="96607D" w:themeColor="followedHyperlink"/>
      <w:u w:val="single"/>
    </w:rPr>
  </w:style>
  <w:style w:type="paragraph" w:styleId="TOCHeading">
    <w:name w:val="TOC Heading"/>
    <w:basedOn w:val="Heading1"/>
    <w:next w:val="Normal"/>
    <w:uiPriority w:val="39"/>
    <w:unhideWhenUsed/>
    <w:qFormat/>
    <w:rsid w:val="00D22023"/>
    <w:pPr>
      <w:keepNext/>
      <w:keepLines/>
      <w:spacing w:before="480" w:line="276" w:lineRule="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unhideWhenUsed/>
    <w:rsid w:val="00D22023"/>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D22023"/>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D22023"/>
    <w:pPr>
      <w:ind w:left="440"/>
    </w:pPr>
    <w:rPr>
      <w:rFonts w:asciiTheme="minorHAnsi" w:hAnsiTheme="minorHAnsi"/>
      <w:sz w:val="20"/>
      <w:szCs w:val="20"/>
    </w:rPr>
  </w:style>
  <w:style w:type="paragraph" w:styleId="TOC4">
    <w:name w:val="toc 4"/>
    <w:basedOn w:val="Normal"/>
    <w:next w:val="Normal"/>
    <w:autoRedefine/>
    <w:uiPriority w:val="39"/>
    <w:semiHidden/>
    <w:unhideWhenUsed/>
    <w:rsid w:val="00D22023"/>
    <w:pPr>
      <w:ind w:left="660"/>
    </w:pPr>
    <w:rPr>
      <w:rFonts w:asciiTheme="minorHAnsi" w:hAnsiTheme="minorHAnsi"/>
      <w:sz w:val="20"/>
      <w:szCs w:val="20"/>
    </w:rPr>
  </w:style>
  <w:style w:type="paragraph" w:styleId="TOC5">
    <w:name w:val="toc 5"/>
    <w:basedOn w:val="Normal"/>
    <w:next w:val="Normal"/>
    <w:autoRedefine/>
    <w:uiPriority w:val="39"/>
    <w:semiHidden/>
    <w:unhideWhenUsed/>
    <w:rsid w:val="00D22023"/>
    <w:pPr>
      <w:ind w:left="880"/>
    </w:pPr>
    <w:rPr>
      <w:rFonts w:asciiTheme="minorHAnsi" w:hAnsiTheme="minorHAnsi"/>
      <w:sz w:val="20"/>
      <w:szCs w:val="20"/>
    </w:rPr>
  </w:style>
  <w:style w:type="paragraph" w:styleId="TOC6">
    <w:name w:val="toc 6"/>
    <w:basedOn w:val="Normal"/>
    <w:next w:val="Normal"/>
    <w:autoRedefine/>
    <w:uiPriority w:val="39"/>
    <w:semiHidden/>
    <w:unhideWhenUsed/>
    <w:rsid w:val="00D22023"/>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D22023"/>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D22023"/>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D22023"/>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amborghini.com/en-en/news/top-employer-2026-lamborghini-sets-new-standards" TargetMode="External"/><Relationship Id="rId18" Type="http://schemas.openxmlformats.org/officeDocument/2006/relationships/hyperlink" Target="https://www.cipd.org/en/knowledge/factsheets/pestle-analysis-factsheet/" TargetMode="External"/><Relationship Id="rId26" Type="http://schemas.openxmlformats.org/officeDocument/2006/relationships/hyperlink" Target="https://www.ilo.org/publications/world-employment-and-social-outlook-trends-2025" TargetMode="External"/><Relationship Id="rId3" Type="http://schemas.openxmlformats.org/officeDocument/2006/relationships/styles" Target="styles.xml"/><Relationship Id="rId21" Type="http://schemas.openxmlformats.org/officeDocument/2006/relationships/hyperlink" Target="https://www.eurofound.europa.eu/en/resources/article/2025/employment-eus-automotive-secto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amborghini.com/en-en/news/automobili-lamborghini-signs-the-renewal-of-the-corporate-supplementary-agreement" TargetMode="External"/><Relationship Id="rId17" Type="http://schemas.openxmlformats.org/officeDocument/2006/relationships/hyperlink" Target="https://www.china-briefing.com/doing-business-guide/china/human-resources-and-payroll/labor-law" TargetMode="External"/><Relationship Id="rId25" Type="http://schemas.openxmlformats.org/officeDocument/2006/relationships/hyperlink" Target="https://news.industriall-europe.eu/Article/124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wobirds.com/en/insights/2025/belgium/the-sfactor-of-omnibus-i-key-takeaways-from-an-hr-compliance-perspective-on-the-overhaul-of-csrd-and" TargetMode="External"/><Relationship Id="rId20" Type="http://schemas.openxmlformats.org/officeDocument/2006/relationships/hyperlink" Target="https://www.cipd.org/en/knowledge/factsheets/relations-employees-factsheet/" TargetMode="External"/><Relationship Id="rId29" Type="http://schemas.openxmlformats.org/officeDocument/2006/relationships/hyperlink" Target="https://www.openjournals.ijaar.org/index.php/ijscr/article/view/12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di.com/en/press-releases/automobili-lamborghini-consolidates-growth-in-2025-with-best-ever-results-for-deliveries-and-revenue-17073" TargetMode="External"/><Relationship Id="rId24" Type="http://schemas.openxmlformats.org/officeDocument/2006/relationships/hyperlink" Target="https://www.hoganlovells.com/en/publications/works-constitution-in-germany-an-overview-2025" TargetMode="External"/><Relationship Id="rId32" Type="http://schemas.openxmlformats.org/officeDocument/2006/relationships/hyperlink" Target="https://www.weforum.org/publications/the-future-of-jobs-report-2025/" TargetMode="External"/><Relationship Id="rId5" Type="http://schemas.openxmlformats.org/officeDocument/2006/relationships/webSettings" Target="webSettings.xml"/><Relationship Id="rId15" Type="http://schemas.openxmlformats.org/officeDocument/2006/relationships/hyperlink" Target="https://www.lamborghini.com/en-en/news/Lamborghini-Publishes-2025-Sustainability-Report" TargetMode="External"/><Relationship Id="rId23" Type="http://schemas.openxmlformats.org/officeDocument/2006/relationships/hyperlink" Target="https://eur-lex.europa.eu/legal-content/EN/TXT/?uri=CELEX%3A32024R1689" TargetMode="External"/><Relationship Id="rId28" Type="http://schemas.openxmlformats.org/officeDocument/2006/relationships/hyperlink" Target="https://www.littler.com/news-analysis/asap/european-pay-transparency-directive-implementation-challenges-status-and-risks" TargetMode="External"/><Relationship Id="rId10" Type="http://schemas.openxmlformats.org/officeDocument/2006/relationships/hyperlink" Target="https://papers.ssrn.com/sol3/papers.cfm?abstract_id=5266562" TargetMode="External"/><Relationship Id="rId19" Type="http://schemas.openxmlformats.org/officeDocument/2006/relationships/hyperlink" Target="https://www.cipd.org/en/knowledge/factsheets/performance-factsheet/" TargetMode="External"/><Relationship Id="rId31" Type="http://schemas.openxmlformats.org/officeDocument/2006/relationships/hyperlink" Target="https://www.volkswagen-group.com/en/press-releases/volkswagen-group-strengthens-financial-resilience-in-2025-strong-fourth-quarter-in-a-challenging-environment-20202" TargetMode="External"/><Relationship Id="rId4" Type="http://schemas.openxmlformats.org/officeDocument/2006/relationships/settings" Target="settings.xml"/><Relationship Id="rId9" Type="http://schemas.openxmlformats.org/officeDocument/2006/relationships/hyperlink" Target="https://www.aljazeera.com/news/2026/5/1/trump-announces-25-percent-tariffs-on-european-union-cars-trucks" TargetMode="External"/><Relationship Id="rId14" Type="http://schemas.openxmlformats.org/officeDocument/2006/relationships/hyperlink" Target="https://www.lamborghini.com/en-en/news/lamborghini-sets-2025-delivery-record-with-10747-cars" TargetMode="External"/><Relationship Id="rId22" Type="http://schemas.openxmlformats.org/officeDocument/2006/relationships/hyperlink" Target="https://eur-lex.europa.eu/legal-content/EN/TXT/?uri=CELEX%3A32023L0970" TargetMode="External"/><Relationship Id="rId27" Type="http://schemas.openxmlformats.org/officeDocument/2006/relationships/hyperlink" Target="https://www.jonesday.com/en/insights/2025/11/eu-pay-transparency-what-employers-need-to-know" TargetMode="External"/><Relationship Id="rId30" Type="http://schemas.openxmlformats.org/officeDocument/2006/relationships/hyperlink" Target="https://www.volkswagen-group.com/en/press-releases/agreement-reached-volkswagen-ag-positions-itself-competitively-for-the-future-18911" TargetMode="External"/><Relationship Id="rId35" Type="http://schemas.openxmlformats.org/officeDocument/2006/relationships/theme" Target="theme/theme1.xml"/><Relationship Id="rId8" Type="http://schemas.openxmlformats.org/officeDocument/2006/relationships/hyperlink" Target="https://www.acea.auto/press-release/accelerating-the-race-to-reskill-europes-automotive-workforce-acea-and-adecco-group-unveil-landmark-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413A4-1C32-B84B-8803-042B7B4E6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3902</Words>
  <Characters>22247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Environmental Influences on HRM Effectiveness: Automobili Lamborghini</vt:lpstr>
    </vt:vector>
  </TitlesOfParts>
  <Company/>
  <LinksUpToDate>false</LinksUpToDate>
  <CharactersWithSpaces>26097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Influences on HRM Effectiveness: Automobili Lamborghini</dc:title>
  <dc:creator>Student</dc:creator>
  <dc:description>LCBB5012 Component 2 Individual Report</dc:description>
  <cp:lastModifiedBy>Osama El Fadel (2313452)</cp:lastModifiedBy>
  <cp:revision>2</cp:revision>
  <dcterms:created xsi:type="dcterms:W3CDTF">2026-08-22T04:05:00Z</dcterms:created>
  <dcterms:modified xsi:type="dcterms:W3CDTF">2026-08-22T04:05:00Z</dcterms:modified>
</cp:coreProperties>
</file>