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165DCA">
      <w:pPr>
        <w:spacing w:line="360" w:lineRule="auto"/>
        <w:rPr>
          <w:rFonts w:ascii="Times New Roman" w:hAnsi="Times New Roman" w:cs="Times New Roman"/>
        </w:rPr>
      </w:pPr>
      <w:r>
        <w:rPr>
          <w:rFonts w:ascii="Times New Roman" w:hAnsi="Times New Roman" w:cs="Times New Roman"/>
        </w:rPr>
        <w:drawing>
          <wp:inline distT="0" distB="0" distL="0" distR="0">
            <wp:extent cx="1805305" cy="727075"/>
            <wp:effectExtent l="0" t="0" r="0" b="0"/>
            <wp:docPr id="2" name="Picture 935" descr="A black background with white text&#10;&#10;Description automatically generated"/>
            <wp:cNvGraphicFramePr/>
            <a:graphic xmlns:a="http://schemas.openxmlformats.org/drawingml/2006/main">
              <a:graphicData uri="http://schemas.openxmlformats.org/drawingml/2006/picture">
                <pic:pic xmlns:pic="http://schemas.openxmlformats.org/drawingml/2006/picture">
                  <pic:nvPicPr>
                    <pic:cNvPr id="2" name="Picture 935" descr="A black background with white text&#10;&#10;Description automatically generated"/>
                    <pic:cNvPicPr/>
                  </pic:nvPicPr>
                  <pic:blipFill>
                    <a:blip r:embed="rId4">
                      <a:extLst>
                        <a:ext uri="{28A0092B-C50C-407E-A947-70E740481C1C}">
                          <a14:useLocalDpi xmlns:a14="http://schemas.microsoft.com/office/drawing/2010/main" val="0"/>
                        </a:ext>
                      </a:extLst>
                    </a:blip>
                    <a:srcRect/>
                    <a:stretch>
                      <a:fillRect/>
                    </a:stretch>
                  </pic:blipFill>
                  <pic:spPr>
                    <a:xfrm>
                      <a:off x="0" y="0"/>
                      <a:ext cx="1805305" cy="727075"/>
                    </a:xfrm>
                    <a:prstGeom prst="rect">
                      <a:avLst/>
                    </a:prstGeom>
                    <a:noFill/>
                    <a:ln>
                      <a:noFill/>
                    </a:ln>
                  </pic:spPr>
                </pic:pic>
              </a:graphicData>
            </a:graphic>
          </wp:inline>
        </w:drawing>
      </w:r>
    </w:p>
    <w:p w14:paraId="321909CB">
      <w:pPr>
        <w:tabs>
          <w:tab w:val="right" w:pos="10591"/>
        </w:tabs>
        <w:spacing w:line="360" w:lineRule="auto"/>
        <w:rPr>
          <w:rFonts w:ascii="Times New Roman" w:hAnsi="Times New Roman" w:cs="Times New Roman"/>
        </w:rPr>
      </w:pPr>
      <w:r>
        <w:rPr>
          <w:rFonts w:ascii="Times New Roman" w:hAnsi="Times New Roman" w:eastAsia="Arial" w:cs="Times New Roman"/>
          <w:b/>
        </w:rPr>
        <w:tab/>
      </w:r>
      <w:r>
        <w:rPr>
          <w:rFonts w:ascii="Times New Roman" w:hAnsi="Times New Roman" w:eastAsia="Arial" w:cs="Times New Roman"/>
          <w:b/>
        </w:rPr>
        <w:t xml:space="preserve">  </w:t>
      </w:r>
    </w:p>
    <w:p w14:paraId="05998173">
      <w:pPr>
        <w:pStyle w:val="2"/>
        <w:spacing w:line="276" w:lineRule="auto"/>
        <w:ind w:left="-5"/>
        <w:rPr>
          <w:rFonts w:ascii="Times New Roman" w:hAnsi="Times New Roman" w:cs="Times New Roman"/>
          <w:sz w:val="24"/>
          <w:szCs w:val="24"/>
        </w:rPr>
      </w:pPr>
      <w:bookmarkStart w:id="0" w:name="_Toc55238"/>
      <w:r>
        <w:rPr>
          <w:rFonts w:ascii="Times New Roman" w:hAnsi="Times New Roman" w:cs="Times New Roman"/>
          <w:sz w:val="24"/>
          <w:szCs w:val="24"/>
        </w:rPr>
        <w:t xml:space="preserve">ASSESSMENT 1 </w:t>
      </w:r>
      <w:bookmarkEnd w:id="0"/>
    </w:p>
    <w:p w14:paraId="1C043B25">
      <w:pPr>
        <w:spacing w:line="276" w:lineRule="auto"/>
        <w:rPr>
          <w:rFonts w:ascii="Times New Roman" w:hAnsi="Times New Roman" w:cs="Times New Roman"/>
        </w:rPr>
      </w:pPr>
      <w:r>
        <w:rPr>
          <w:rFonts w:ascii="Times New Roman" w:hAnsi="Times New Roman" w:cs="Times New Roman"/>
        </w:rPr>
        <w:t xml:space="preserve">LEVEL 6 ASSESSMENT SPECIFICATION  </w:t>
      </w:r>
    </w:p>
    <w:tbl>
      <w:tblPr>
        <w:tblStyle w:val="12"/>
        <w:tblpPr w:leftFromText="180" w:rightFromText="180" w:vertAnchor="text" w:horzAnchor="margin" w:tblpXSpec="center" w:tblpY="471"/>
        <w:tblW w:w="9924" w:type="dxa"/>
        <w:tblInd w:w="0" w:type="dxa"/>
        <w:tblLayout w:type="autofit"/>
        <w:tblCellMar>
          <w:top w:w="9" w:type="dxa"/>
          <w:left w:w="106" w:type="dxa"/>
          <w:bottom w:w="0" w:type="dxa"/>
          <w:right w:w="0" w:type="dxa"/>
        </w:tblCellMar>
      </w:tblPr>
      <w:tblGrid>
        <w:gridCol w:w="2091"/>
        <w:gridCol w:w="3297"/>
        <w:gridCol w:w="2265"/>
        <w:gridCol w:w="2271"/>
      </w:tblGrid>
      <w:tr w14:paraId="1516EC84">
        <w:tblPrEx>
          <w:tblCellMar>
            <w:top w:w="9" w:type="dxa"/>
            <w:left w:w="106" w:type="dxa"/>
            <w:bottom w:w="0" w:type="dxa"/>
            <w:right w:w="0" w:type="dxa"/>
          </w:tblCellMar>
        </w:tblPrEx>
        <w:trPr>
          <w:trHeight w:val="503" w:hRule="atLeast"/>
        </w:trPr>
        <w:tc>
          <w:tcPr>
            <w:tcW w:w="2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7AD1E">
            <w:pPr>
              <w:spacing w:line="276" w:lineRule="auto"/>
              <w:rPr>
                <w:rFonts w:ascii="Times New Roman" w:hAnsi="Times New Roman" w:cs="Times New Roman"/>
              </w:rPr>
            </w:pPr>
            <w:r>
              <w:rPr>
                <w:rFonts w:ascii="Times New Roman" w:hAnsi="Times New Roman" w:eastAsia="Arial" w:cs="Times New Roman"/>
                <w:b/>
              </w:rPr>
              <w:t xml:space="preserve">Student name: </w:t>
            </w:r>
          </w:p>
        </w:tc>
        <w:tc>
          <w:tcPr>
            <w:tcW w:w="32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937BB">
            <w:pPr>
              <w:spacing w:line="276" w:lineRule="auto"/>
              <w:ind w:left="3"/>
              <w:jc w:val="center"/>
              <w:rPr>
                <w:rFonts w:ascii="Times New Roman" w:hAnsi="Times New Roman" w:cs="Times New Roman"/>
              </w:rPr>
            </w:pPr>
            <w:r>
              <w:rPr>
                <w:rFonts w:ascii="Times New Roman" w:hAnsi="Times New Roman" w:eastAsia="Arial" w:cs="Times New Roman"/>
                <w:b/>
              </w:rPr>
              <w:t>VAISHNAVI DEVI NANTHAKUMAR</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BE6FC">
            <w:pPr>
              <w:spacing w:line="276" w:lineRule="auto"/>
              <w:ind w:left="1"/>
              <w:jc w:val="both"/>
              <w:rPr>
                <w:rFonts w:ascii="Times New Roman" w:hAnsi="Times New Roman" w:cs="Times New Roman"/>
              </w:rPr>
            </w:pPr>
            <w:r>
              <w:rPr>
                <w:rFonts w:ascii="Times New Roman" w:hAnsi="Times New Roman" w:eastAsia="Arial" w:cs="Times New Roman"/>
                <w:b/>
              </w:rPr>
              <w:t xml:space="preserve">Student ID number: </w:t>
            </w:r>
          </w:p>
        </w:tc>
        <w:tc>
          <w:tcPr>
            <w:tcW w:w="2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93A85">
            <w:pPr>
              <w:spacing w:line="276" w:lineRule="auto"/>
              <w:ind w:left="5"/>
              <w:rPr>
                <w:rFonts w:hint="default" w:ascii="Times New Roman" w:hAnsi="Times New Roman" w:cs="Times New Roman"/>
                <w:lang w:val="en-US"/>
              </w:rPr>
            </w:pPr>
            <w:r>
              <w:rPr>
                <w:rFonts w:ascii="Times New Roman" w:hAnsi="Times New Roman" w:eastAsia="Arial" w:cs="Times New Roman"/>
                <w:b/>
              </w:rPr>
              <w:t xml:space="preserve"> 2</w:t>
            </w:r>
            <w:r>
              <w:rPr>
                <w:rFonts w:hint="default" w:ascii="Times New Roman" w:hAnsi="Times New Roman" w:eastAsia="Arial" w:cs="Times New Roman"/>
                <w:b/>
                <w:lang w:val="en-US"/>
              </w:rPr>
              <w:t>120948</w:t>
            </w:r>
            <w:bookmarkStart w:id="1" w:name="_GoBack"/>
            <w:bookmarkEnd w:id="1"/>
          </w:p>
        </w:tc>
      </w:tr>
      <w:tr w14:paraId="710F800E">
        <w:tblPrEx>
          <w:tblCellMar>
            <w:top w:w="9" w:type="dxa"/>
            <w:left w:w="106" w:type="dxa"/>
            <w:bottom w:w="0" w:type="dxa"/>
            <w:right w:w="0" w:type="dxa"/>
          </w:tblCellMar>
        </w:tblPrEx>
        <w:trPr>
          <w:trHeight w:val="502" w:hRule="atLeast"/>
        </w:trPr>
        <w:tc>
          <w:tcPr>
            <w:tcW w:w="2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C4285">
            <w:pPr>
              <w:spacing w:line="276" w:lineRule="auto"/>
              <w:rPr>
                <w:rFonts w:ascii="Times New Roman" w:hAnsi="Times New Roman" w:cs="Times New Roman"/>
              </w:rPr>
            </w:pPr>
            <w:r>
              <w:rPr>
                <w:rFonts w:ascii="Times New Roman" w:hAnsi="Times New Roman" w:eastAsia="Arial" w:cs="Times New Roman"/>
                <w:b/>
              </w:rPr>
              <w:t xml:space="preserve">Programme: </w:t>
            </w:r>
          </w:p>
        </w:tc>
        <w:tc>
          <w:tcPr>
            <w:tcW w:w="783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910B57E">
            <w:pPr>
              <w:spacing w:line="276" w:lineRule="auto"/>
              <w:ind w:left="3"/>
              <w:rPr>
                <w:rFonts w:ascii="Times New Roman" w:hAnsi="Times New Roman" w:cs="Times New Roman"/>
              </w:rPr>
            </w:pPr>
            <w:r>
              <w:rPr>
                <w:rFonts w:ascii="Times New Roman" w:hAnsi="Times New Roman" w:cs="Times New Roman"/>
              </w:rPr>
              <w:t>BACHELOR OF ACCOUNTING</w:t>
            </w:r>
          </w:p>
        </w:tc>
      </w:tr>
      <w:tr w14:paraId="4DF2BC11">
        <w:tblPrEx>
          <w:tblCellMar>
            <w:top w:w="9" w:type="dxa"/>
            <w:left w:w="106" w:type="dxa"/>
            <w:bottom w:w="0" w:type="dxa"/>
            <w:right w:w="0" w:type="dxa"/>
          </w:tblCellMar>
        </w:tblPrEx>
        <w:trPr>
          <w:trHeight w:val="504" w:hRule="atLeast"/>
        </w:trPr>
        <w:tc>
          <w:tcPr>
            <w:tcW w:w="2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09EC1">
            <w:pPr>
              <w:spacing w:line="276" w:lineRule="auto"/>
              <w:rPr>
                <w:rFonts w:ascii="Times New Roman" w:hAnsi="Times New Roman" w:cs="Times New Roman"/>
              </w:rPr>
            </w:pPr>
            <w:r>
              <w:rPr>
                <w:rFonts w:ascii="Times New Roman" w:hAnsi="Times New Roman" w:eastAsia="Arial" w:cs="Times New Roman"/>
                <w:b/>
              </w:rPr>
              <w:t xml:space="preserve">Module: </w:t>
            </w:r>
          </w:p>
        </w:tc>
        <w:tc>
          <w:tcPr>
            <w:tcW w:w="783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4C7541D">
            <w:pPr>
              <w:spacing w:line="276" w:lineRule="auto"/>
              <w:ind w:left="3"/>
              <w:rPr>
                <w:rFonts w:ascii="Times New Roman" w:hAnsi="Times New Roman" w:cs="Times New Roman"/>
              </w:rPr>
            </w:pPr>
            <w:r>
              <w:rPr>
                <w:rFonts w:ascii="Times New Roman" w:hAnsi="Times New Roman" w:eastAsia="Arial" w:cs="Times New Roman"/>
                <w:b/>
              </w:rPr>
              <w:t xml:space="preserve">Leading and Developing People </w:t>
            </w:r>
          </w:p>
        </w:tc>
      </w:tr>
      <w:tr w14:paraId="06DF92AA">
        <w:tblPrEx>
          <w:tblCellMar>
            <w:top w:w="9" w:type="dxa"/>
            <w:left w:w="106" w:type="dxa"/>
            <w:bottom w:w="0" w:type="dxa"/>
            <w:right w:w="0" w:type="dxa"/>
          </w:tblCellMar>
        </w:tblPrEx>
        <w:trPr>
          <w:trHeight w:val="1009" w:hRule="atLeast"/>
        </w:trPr>
        <w:tc>
          <w:tcPr>
            <w:tcW w:w="2091" w:type="dxa"/>
            <w:tcBorders>
              <w:top w:val="single" w:color="000000" w:sz="4" w:space="0"/>
              <w:left w:val="single" w:color="000000" w:sz="4" w:space="0"/>
              <w:bottom w:val="single" w:color="000000" w:sz="4" w:space="0"/>
              <w:right w:val="single" w:color="000000" w:sz="4" w:space="0"/>
            </w:tcBorders>
            <w:shd w:val="clear" w:color="auto" w:fill="auto"/>
          </w:tcPr>
          <w:p w14:paraId="7425C8B7">
            <w:pPr>
              <w:spacing w:line="276" w:lineRule="auto"/>
              <w:rPr>
                <w:rFonts w:ascii="Times New Roman" w:hAnsi="Times New Roman" w:cs="Times New Roman"/>
              </w:rPr>
            </w:pPr>
            <w:r>
              <w:rPr>
                <w:rFonts w:ascii="Times New Roman" w:hAnsi="Times New Roman" w:eastAsia="Arial" w:cs="Times New Roman"/>
                <w:b/>
              </w:rPr>
              <w:t xml:space="preserve">Module code: </w:t>
            </w:r>
          </w:p>
        </w:tc>
        <w:tc>
          <w:tcPr>
            <w:tcW w:w="3297" w:type="dxa"/>
            <w:tcBorders>
              <w:top w:val="single" w:color="000000" w:sz="4" w:space="0"/>
              <w:left w:val="single" w:color="000000" w:sz="4" w:space="0"/>
              <w:bottom w:val="single" w:color="000000" w:sz="4" w:space="0"/>
              <w:right w:val="single" w:color="000000" w:sz="4" w:space="0"/>
            </w:tcBorders>
            <w:shd w:val="clear" w:color="auto" w:fill="auto"/>
          </w:tcPr>
          <w:p w14:paraId="68920DF0">
            <w:pPr>
              <w:spacing w:line="276" w:lineRule="auto"/>
              <w:ind w:left="3"/>
              <w:rPr>
                <w:rFonts w:ascii="Times New Roman" w:hAnsi="Times New Roman" w:cs="Times New Roman"/>
              </w:rPr>
            </w:pPr>
            <w:r>
              <w:rPr>
                <w:rFonts w:ascii="Times New Roman" w:hAnsi="Times New Roman" w:cs="Times New Roman"/>
              </w:rPr>
              <w:t>IUBA6003</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D9AF6">
            <w:pPr>
              <w:spacing w:line="276" w:lineRule="auto"/>
              <w:ind w:left="1" w:right="104"/>
              <w:jc w:val="both"/>
              <w:rPr>
                <w:rFonts w:ascii="Times New Roman" w:hAnsi="Times New Roman" w:cs="Times New Roman"/>
              </w:rPr>
            </w:pPr>
            <w:r>
              <w:rPr>
                <w:rFonts w:ascii="Times New Roman" w:hAnsi="Times New Roman" w:eastAsia="Arial" w:cs="Times New Roman"/>
                <w:b/>
              </w:rPr>
              <w:t>Contribution to Overall Module Assessment (%):</w:t>
            </w:r>
            <w:r>
              <w:rPr>
                <w:rFonts w:ascii="Times New Roman" w:hAnsi="Times New Roman" w:eastAsia="Times New Roman" w:cs="Times New Roman"/>
              </w:rPr>
              <w:t xml:space="preserve"> </w:t>
            </w:r>
          </w:p>
        </w:tc>
        <w:tc>
          <w:tcPr>
            <w:tcW w:w="2271" w:type="dxa"/>
            <w:tcBorders>
              <w:top w:val="single" w:color="000000" w:sz="4" w:space="0"/>
              <w:left w:val="single" w:color="000000" w:sz="4" w:space="0"/>
              <w:bottom w:val="single" w:color="000000" w:sz="4" w:space="0"/>
              <w:right w:val="single" w:color="000000" w:sz="4" w:space="0"/>
            </w:tcBorders>
            <w:shd w:val="clear" w:color="auto" w:fill="auto"/>
          </w:tcPr>
          <w:p w14:paraId="5E9EA2FC">
            <w:pPr>
              <w:spacing w:line="276" w:lineRule="auto"/>
              <w:ind w:left="5"/>
              <w:rPr>
                <w:rFonts w:ascii="Times New Roman" w:hAnsi="Times New Roman" w:cs="Times New Roman"/>
              </w:rPr>
            </w:pPr>
            <w:r>
              <w:rPr>
                <w:rFonts w:ascii="Times New Roman" w:hAnsi="Times New Roman" w:eastAsia="Arial" w:cs="Times New Roman"/>
                <w:b/>
              </w:rPr>
              <w:t xml:space="preserve">50% </w:t>
            </w:r>
          </w:p>
        </w:tc>
      </w:tr>
      <w:tr w14:paraId="0F9B519B">
        <w:tblPrEx>
          <w:tblCellMar>
            <w:top w:w="9" w:type="dxa"/>
            <w:left w:w="106" w:type="dxa"/>
            <w:bottom w:w="0" w:type="dxa"/>
            <w:right w:w="0" w:type="dxa"/>
          </w:tblCellMar>
        </w:tblPrEx>
        <w:trPr>
          <w:trHeight w:val="504" w:hRule="atLeast"/>
        </w:trPr>
        <w:tc>
          <w:tcPr>
            <w:tcW w:w="2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A3390">
            <w:pPr>
              <w:spacing w:line="276" w:lineRule="auto"/>
              <w:rPr>
                <w:rFonts w:ascii="Times New Roman" w:hAnsi="Times New Roman" w:cs="Times New Roman"/>
              </w:rPr>
            </w:pPr>
            <w:r>
              <w:rPr>
                <w:rFonts w:ascii="Times New Roman" w:hAnsi="Times New Roman" w:eastAsia="Arial" w:cs="Times New Roman"/>
                <w:b/>
              </w:rPr>
              <w:t xml:space="preserve">Lecturer: </w:t>
            </w:r>
          </w:p>
        </w:tc>
        <w:tc>
          <w:tcPr>
            <w:tcW w:w="32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8F0CF">
            <w:pPr>
              <w:spacing w:line="276" w:lineRule="auto"/>
              <w:ind w:left="3"/>
              <w:rPr>
                <w:rFonts w:ascii="Times New Roman" w:hAnsi="Times New Roman" w:cs="Times New Roman"/>
                <w:b/>
                <w:bCs/>
              </w:rPr>
            </w:pPr>
            <w:r>
              <w:rPr>
                <w:rFonts w:ascii="Times New Roman" w:hAnsi="Times New Roman" w:cs="Times New Roman"/>
                <w:b/>
                <w:bCs/>
              </w:rPr>
              <w:t>E</w:t>
            </w:r>
            <w:r>
              <w:rPr>
                <w:rFonts w:ascii="Times New Roman" w:hAnsi="Times New Roman" w:cs="Times New Roman"/>
                <w:bCs/>
              </w:rPr>
              <w:t>mma Roberts</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AF257">
            <w:pPr>
              <w:spacing w:line="276" w:lineRule="auto"/>
              <w:ind w:left="1"/>
              <w:rPr>
                <w:rFonts w:ascii="Times New Roman" w:hAnsi="Times New Roman" w:cs="Times New Roman"/>
              </w:rPr>
            </w:pPr>
            <w:r>
              <w:rPr>
                <w:rFonts w:ascii="Times New Roman" w:hAnsi="Times New Roman" w:eastAsia="Arial" w:cs="Times New Roman"/>
                <w:b/>
              </w:rPr>
              <w:t xml:space="preserve">Internal Verifier: </w:t>
            </w:r>
          </w:p>
        </w:tc>
        <w:tc>
          <w:tcPr>
            <w:tcW w:w="2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FD5D5">
            <w:pPr>
              <w:spacing w:line="276" w:lineRule="auto"/>
              <w:ind w:left="5"/>
              <w:rPr>
                <w:rFonts w:ascii="Times New Roman" w:hAnsi="Times New Roman" w:cs="Times New Roman"/>
                <w:b/>
                <w:bCs/>
              </w:rPr>
            </w:pPr>
          </w:p>
        </w:tc>
      </w:tr>
      <w:tr w14:paraId="3168C9AE">
        <w:tblPrEx>
          <w:tblCellMar>
            <w:top w:w="9" w:type="dxa"/>
            <w:left w:w="106" w:type="dxa"/>
            <w:bottom w:w="0" w:type="dxa"/>
            <w:right w:w="0" w:type="dxa"/>
          </w:tblCellMar>
        </w:tblPrEx>
        <w:trPr>
          <w:trHeight w:val="756" w:hRule="atLeast"/>
        </w:trPr>
        <w:tc>
          <w:tcPr>
            <w:tcW w:w="2091" w:type="dxa"/>
            <w:tcBorders>
              <w:top w:val="single" w:color="000000" w:sz="4" w:space="0"/>
              <w:left w:val="single" w:color="000000" w:sz="4" w:space="0"/>
              <w:bottom w:val="single" w:color="000000" w:sz="4" w:space="0"/>
              <w:right w:val="single" w:color="000000" w:sz="4" w:space="0"/>
            </w:tcBorders>
            <w:shd w:val="clear" w:color="auto" w:fill="auto"/>
          </w:tcPr>
          <w:p w14:paraId="54965923">
            <w:pPr>
              <w:spacing w:line="276" w:lineRule="auto"/>
              <w:jc w:val="both"/>
              <w:rPr>
                <w:rFonts w:ascii="Times New Roman" w:hAnsi="Times New Roman" w:cs="Times New Roman"/>
              </w:rPr>
            </w:pPr>
            <w:r>
              <w:rPr>
                <w:rFonts w:ascii="Times New Roman" w:hAnsi="Times New Roman" w:eastAsia="Arial" w:cs="Times New Roman"/>
                <w:b/>
              </w:rPr>
              <w:t xml:space="preserve">Assignment Title: </w:t>
            </w:r>
          </w:p>
        </w:tc>
        <w:tc>
          <w:tcPr>
            <w:tcW w:w="32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6658A">
            <w:pPr>
              <w:spacing w:line="276" w:lineRule="auto"/>
              <w:ind w:left="3"/>
              <w:rPr>
                <w:rFonts w:ascii="Times New Roman" w:hAnsi="Times New Roman" w:cs="Times New Roman"/>
              </w:rPr>
            </w:pPr>
            <w:r>
              <w:rPr>
                <w:rFonts w:ascii="Times New Roman" w:hAnsi="Times New Roman" w:eastAsia="Arial" w:cs="Times New Roman"/>
                <w:b/>
              </w:rPr>
              <w:t>T</w:t>
            </w:r>
            <w:r>
              <w:rPr>
                <w:rFonts w:ascii="Times New Roman" w:hAnsi="Times New Roman" w:cs="Times New Roman"/>
              </w:rPr>
              <w:t>he Complexity of Modern Leadership</w:t>
            </w:r>
            <w:r>
              <w:rPr>
                <w:rFonts w:ascii="Times New Roman" w:hAnsi="Times New Roman" w:eastAsia="Arial" w:cs="Times New Roman"/>
                <w:b/>
              </w:rPr>
              <w:t xml:space="preserve"> </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22018">
            <w:pPr>
              <w:spacing w:line="276" w:lineRule="auto"/>
              <w:ind w:left="1"/>
              <w:rPr>
                <w:rFonts w:ascii="Times New Roman" w:hAnsi="Times New Roman" w:cs="Times New Roman"/>
              </w:rPr>
            </w:pPr>
            <w:r>
              <w:rPr>
                <w:rFonts w:ascii="Times New Roman" w:hAnsi="Times New Roman" w:eastAsia="Arial" w:cs="Times New Roman"/>
                <w:b/>
              </w:rPr>
              <w:t xml:space="preserve">Word </w:t>
            </w:r>
            <w:r>
              <w:rPr>
                <w:rFonts w:ascii="Times New Roman" w:hAnsi="Times New Roman" w:eastAsia="Arial" w:cs="Times New Roman"/>
                <w:b/>
              </w:rPr>
              <w:tab/>
            </w:r>
            <w:r>
              <w:rPr>
                <w:rFonts w:ascii="Times New Roman" w:hAnsi="Times New Roman" w:eastAsia="Arial" w:cs="Times New Roman"/>
                <w:b/>
              </w:rPr>
              <w:t xml:space="preserve">count </w:t>
            </w:r>
            <w:r>
              <w:rPr>
                <w:rFonts w:ascii="Times New Roman" w:hAnsi="Times New Roman" w:eastAsia="Arial" w:cs="Times New Roman"/>
                <w:b/>
              </w:rPr>
              <w:tab/>
            </w:r>
            <w:r>
              <w:rPr>
                <w:rFonts w:ascii="Times New Roman" w:hAnsi="Times New Roman" w:eastAsia="Arial" w:cs="Times New Roman"/>
                <w:b/>
              </w:rPr>
              <w:t xml:space="preserve">(or equivalent): </w:t>
            </w:r>
          </w:p>
        </w:tc>
        <w:tc>
          <w:tcPr>
            <w:tcW w:w="2271" w:type="dxa"/>
            <w:tcBorders>
              <w:top w:val="single" w:color="000000" w:sz="4" w:space="0"/>
              <w:left w:val="single" w:color="000000" w:sz="4" w:space="0"/>
              <w:bottom w:val="single" w:color="000000" w:sz="4" w:space="0"/>
              <w:right w:val="single" w:color="000000" w:sz="4" w:space="0"/>
            </w:tcBorders>
            <w:shd w:val="clear" w:color="auto" w:fill="auto"/>
          </w:tcPr>
          <w:p w14:paraId="6B262510">
            <w:pPr>
              <w:spacing w:line="276" w:lineRule="auto"/>
              <w:ind w:left="5"/>
              <w:rPr>
                <w:rFonts w:ascii="Times New Roman" w:hAnsi="Times New Roman" w:cs="Times New Roman"/>
              </w:rPr>
            </w:pPr>
            <w:r>
              <w:rPr>
                <w:rFonts w:ascii="Times New Roman" w:hAnsi="Times New Roman" w:eastAsia="Arial" w:cs="Times New Roman"/>
                <w:b/>
              </w:rPr>
              <w:t xml:space="preserve">2,500 words </w:t>
            </w:r>
          </w:p>
        </w:tc>
      </w:tr>
      <w:tr w14:paraId="719045BA">
        <w:tblPrEx>
          <w:tblCellMar>
            <w:top w:w="9" w:type="dxa"/>
            <w:left w:w="106" w:type="dxa"/>
            <w:bottom w:w="0" w:type="dxa"/>
            <w:right w:w="0" w:type="dxa"/>
          </w:tblCellMar>
        </w:tblPrEx>
        <w:trPr>
          <w:trHeight w:val="1008" w:hRule="atLeast"/>
        </w:trPr>
        <w:tc>
          <w:tcPr>
            <w:tcW w:w="2091" w:type="dxa"/>
            <w:tcBorders>
              <w:top w:val="single" w:color="000000" w:sz="4" w:space="0"/>
              <w:left w:val="single" w:color="000000" w:sz="4" w:space="0"/>
              <w:bottom w:val="single" w:color="000000" w:sz="4" w:space="0"/>
              <w:right w:val="single" w:color="000000" w:sz="4" w:space="0"/>
            </w:tcBorders>
            <w:shd w:val="clear" w:color="auto" w:fill="auto"/>
          </w:tcPr>
          <w:p w14:paraId="1C0DDD39">
            <w:pPr>
              <w:spacing w:line="276" w:lineRule="auto"/>
              <w:rPr>
                <w:rFonts w:ascii="Times New Roman" w:hAnsi="Times New Roman" w:cs="Times New Roman"/>
              </w:rPr>
            </w:pPr>
            <w:r>
              <w:rPr>
                <w:rFonts w:ascii="Times New Roman" w:hAnsi="Times New Roman" w:eastAsia="Arial" w:cs="Times New Roman"/>
                <w:b/>
              </w:rPr>
              <w:t xml:space="preserve">Submission deadline: </w:t>
            </w:r>
          </w:p>
        </w:tc>
        <w:tc>
          <w:tcPr>
            <w:tcW w:w="3297" w:type="dxa"/>
            <w:tcBorders>
              <w:top w:val="single" w:color="000000" w:sz="4" w:space="0"/>
              <w:left w:val="single" w:color="000000" w:sz="4" w:space="0"/>
              <w:bottom w:val="single" w:color="000000" w:sz="4" w:space="0"/>
              <w:right w:val="single" w:color="000000" w:sz="4" w:space="0"/>
            </w:tcBorders>
            <w:shd w:val="clear" w:color="auto" w:fill="auto"/>
          </w:tcPr>
          <w:p w14:paraId="5AEC9259">
            <w:pPr>
              <w:spacing w:line="276" w:lineRule="auto"/>
              <w:ind w:left="3"/>
              <w:rPr>
                <w:rFonts w:ascii="Times New Roman" w:hAnsi="Times New Roman" w:cs="Times New Roman"/>
              </w:rPr>
            </w:pPr>
            <w:r>
              <w:rPr>
                <w:rFonts w:ascii="Times New Roman" w:hAnsi="Times New Roman" w:cs="Times New Roman"/>
              </w:rPr>
              <w:t>19</w:t>
            </w:r>
            <w:r>
              <w:rPr>
                <w:rFonts w:ascii="Times New Roman" w:hAnsi="Times New Roman" w:cs="Times New Roman"/>
                <w:vertAlign w:val="superscript"/>
              </w:rPr>
              <w:t>th</w:t>
            </w:r>
            <w:r>
              <w:rPr>
                <w:rFonts w:ascii="Times New Roman" w:hAnsi="Times New Roman" w:cs="Times New Roman"/>
              </w:rPr>
              <w:t xml:space="preserve"> August, 2024 @23:55</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7347A">
            <w:pPr>
              <w:spacing w:line="276" w:lineRule="auto"/>
              <w:ind w:left="1" w:right="104"/>
              <w:jc w:val="both"/>
              <w:rPr>
                <w:rFonts w:ascii="Times New Roman" w:hAnsi="Times New Roman" w:cs="Times New Roman"/>
              </w:rPr>
            </w:pPr>
            <w:r>
              <w:rPr>
                <w:rFonts w:ascii="Times New Roman" w:hAnsi="Times New Roman" w:eastAsia="Arial" w:cs="Times New Roman"/>
                <w:b/>
              </w:rPr>
              <w:t xml:space="preserve">Return date of provisional marks &amp; written feedback: </w:t>
            </w:r>
          </w:p>
        </w:tc>
        <w:tc>
          <w:tcPr>
            <w:tcW w:w="2271" w:type="dxa"/>
            <w:tcBorders>
              <w:top w:val="single" w:color="000000" w:sz="4" w:space="0"/>
              <w:left w:val="single" w:color="000000" w:sz="4" w:space="0"/>
              <w:bottom w:val="single" w:color="000000" w:sz="4" w:space="0"/>
              <w:right w:val="single" w:color="000000" w:sz="4" w:space="0"/>
            </w:tcBorders>
            <w:shd w:val="clear" w:color="auto" w:fill="auto"/>
          </w:tcPr>
          <w:p w14:paraId="4F65057C">
            <w:pPr>
              <w:spacing w:line="276" w:lineRule="auto"/>
              <w:ind w:left="5"/>
              <w:rPr>
                <w:rFonts w:ascii="Times New Roman" w:hAnsi="Times New Roman" w:cs="Times New Roman"/>
              </w:rPr>
            </w:pPr>
          </w:p>
        </w:tc>
      </w:tr>
      <w:tr w14:paraId="0D4430DD">
        <w:tblPrEx>
          <w:tblCellMar>
            <w:top w:w="9" w:type="dxa"/>
            <w:left w:w="106" w:type="dxa"/>
            <w:bottom w:w="0" w:type="dxa"/>
            <w:right w:w="0" w:type="dxa"/>
          </w:tblCellMar>
        </w:tblPrEx>
        <w:trPr>
          <w:trHeight w:val="2768" w:hRule="atLeast"/>
        </w:trPr>
        <w:tc>
          <w:tcPr>
            <w:tcW w:w="2091" w:type="dxa"/>
            <w:tcBorders>
              <w:top w:val="single" w:color="000000" w:sz="4" w:space="0"/>
              <w:left w:val="single" w:color="000000" w:sz="4" w:space="0"/>
              <w:bottom w:val="single" w:color="000000" w:sz="4" w:space="0"/>
              <w:right w:val="single" w:color="000000" w:sz="4" w:space="0"/>
            </w:tcBorders>
            <w:shd w:val="clear" w:color="auto" w:fill="auto"/>
          </w:tcPr>
          <w:p w14:paraId="46CFEF0D">
            <w:pPr>
              <w:spacing w:line="276" w:lineRule="auto"/>
              <w:rPr>
                <w:rFonts w:ascii="Times New Roman" w:hAnsi="Times New Roman" w:cs="Times New Roman"/>
              </w:rPr>
            </w:pPr>
            <w:r>
              <w:rPr>
                <w:rFonts w:ascii="Times New Roman" w:hAnsi="Times New Roman" w:eastAsia="Arial" w:cs="Times New Roman"/>
                <w:b/>
              </w:rPr>
              <w:t xml:space="preserve">Submission method: </w:t>
            </w:r>
          </w:p>
        </w:tc>
        <w:tc>
          <w:tcPr>
            <w:tcW w:w="7833" w:type="dxa"/>
            <w:gridSpan w:val="3"/>
            <w:tcBorders>
              <w:top w:val="single" w:color="000000" w:sz="4" w:space="0"/>
              <w:left w:val="single" w:color="000000" w:sz="4" w:space="0"/>
              <w:bottom w:val="single" w:color="000000" w:sz="4" w:space="0"/>
              <w:right w:val="single" w:color="000000" w:sz="4" w:space="0"/>
            </w:tcBorders>
            <w:shd w:val="clear" w:color="auto" w:fill="auto"/>
          </w:tcPr>
          <w:p w14:paraId="32129094">
            <w:pPr>
              <w:spacing w:after="110" w:line="276" w:lineRule="auto"/>
              <w:ind w:left="3"/>
              <w:rPr>
                <w:rFonts w:ascii="Times New Roman" w:hAnsi="Times New Roman" w:cs="Times New Roman"/>
              </w:rPr>
            </w:pPr>
            <w:r>
              <w:rPr>
                <w:rFonts w:ascii="Times New Roman" w:hAnsi="Times New Roman" w:eastAsia="Arial" w:cs="Times New Roman"/>
              </w:rPr>
              <w:t xml:space="preserve">All written assessments, where practical and possible, must be submitted via Turnitin unless otherwise instructed by the Lecturer. (Please DO NOT put this assessment specification into Turnitin or it will match many similarities with other students’ submissions.) </w:t>
            </w:r>
          </w:p>
          <w:p w14:paraId="0D4142DA">
            <w:pPr>
              <w:spacing w:after="218" w:line="276" w:lineRule="auto"/>
              <w:ind w:left="3"/>
              <w:rPr>
                <w:rFonts w:ascii="Times New Roman" w:hAnsi="Times New Roman" w:cs="Times New Roman"/>
              </w:rPr>
            </w:pPr>
            <w:r>
              <w:rPr>
                <w:rFonts w:ascii="Times New Roman" w:hAnsi="Times New Roman" w:eastAsia="Arial" w:cs="Times New Roman"/>
                <w:b/>
              </w:rPr>
              <w:t xml:space="preserve">Alternative submission method (if applicable):  </w:t>
            </w:r>
          </w:p>
          <w:p w14:paraId="1BAE6ACE">
            <w:pPr>
              <w:spacing w:line="276" w:lineRule="auto"/>
              <w:ind w:left="3" w:right="109"/>
              <w:jc w:val="both"/>
              <w:rPr>
                <w:rFonts w:ascii="Times New Roman" w:hAnsi="Times New Roman" w:cs="Times New Roman"/>
              </w:rPr>
            </w:pPr>
            <w:r>
              <w:rPr>
                <w:rFonts w:ascii="Times New Roman" w:hAnsi="Times New Roman" w:eastAsia="Arial" w:cs="Times New Roman"/>
                <w:b/>
              </w:rPr>
              <w:t xml:space="preserve">Late submission of the assessment will result in a late penalty mark.  </w:t>
            </w:r>
            <w:r>
              <w:rPr>
                <w:rFonts w:ascii="Times New Roman" w:hAnsi="Times New Roman" w:eastAsia="Arial" w:cs="Times New Roman"/>
              </w:rPr>
              <w:t>Penalties for late submission: Up to one week late, maximum mark of 40%. Over one week late, 0%.  Only the Extenuating Circumstances Panel may approve a change to submission dates.</w:t>
            </w:r>
            <w:r>
              <w:rPr>
                <w:rFonts w:ascii="Times New Roman" w:hAnsi="Times New Roman" w:eastAsia="Arial" w:cs="Times New Roman"/>
                <w:b/>
              </w:rPr>
              <w:t xml:space="preserve"> </w:t>
            </w:r>
          </w:p>
        </w:tc>
      </w:tr>
      <w:tr w14:paraId="2EE37E6B">
        <w:tblPrEx>
          <w:tblCellMar>
            <w:top w:w="9" w:type="dxa"/>
            <w:left w:w="106" w:type="dxa"/>
            <w:bottom w:w="0" w:type="dxa"/>
            <w:right w:w="0" w:type="dxa"/>
          </w:tblCellMar>
        </w:tblPrEx>
        <w:trPr>
          <w:trHeight w:val="1261" w:hRule="atLeast"/>
        </w:trPr>
        <w:tc>
          <w:tcPr>
            <w:tcW w:w="2091" w:type="dxa"/>
            <w:tcBorders>
              <w:top w:val="single" w:color="000000" w:sz="4" w:space="0"/>
              <w:left w:val="single" w:color="000000" w:sz="4" w:space="0"/>
              <w:bottom w:val="single" w:color="000000" w:sz="4" w:space="0"/>
              <w:right w:val="single" w:color="000000" w:sz="4" w:space="0"/>
            </w:tcBorders>
            <w:shd w:val="clear" w:color="auto" w:fill="auto"/>
          </w:tcPr>
          <w:p w14:paraId="0C134177">
            <w:pPr>
              <w:spacing w:line="276" w:lineRule="auto"/>
              <w:ind w:right="40"/>
              <w:rPr>
                <w:rFonts w:ascii="Times New Roman" w:hAnsi="Times New Roman" w:cs="Times New Roman"/>
              </w:rPr>
            </w:pPr>
            <w:r>
              <w:rPr>
                <w:rFonts w:ascii="Times New Roman" w:hAnsi="Times New Roman" w:eastAsia="Arial" w:cs="Times New Roman"/>
                <w:b/>
              </w:rPr>
              <w:t xml:space="preserve">Academic honesty / referencing: </w:t>
            </w:r>
          </w:p>
        </w:tc>
        <w:tc>
          <w:tcPr>
            <w:tcW w:w="783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9C32807">
            <w:pPr>
              <w:spacing w:line="276" w:lineRule="auto"/>
              <w:ind w:left="3" w:right="112"/>
              <w:jc w:val="both"/>
              <w:rPr>
                <w:rFonts w:ascii="Times New Roman" w:hAnsi="Times New Roman" w:cs="Times New Roman"/>
              </w:rPr>
            </w:pPr>
            <w:r>
              <w:rPr>
                <w:rFonts w:ascii="Times New Roman" w:hAnsi="Times New Roman" w:eastAsia="Arial" w:cs="Times New Roman"/>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5D0EA3FC">
      <w:pPr>
        <w:spacing w:after="300" w:line="276" w:lineRule="auto"/>
        <w:rPr>
          <w:rFonts w:ascii="Times New Roman" w:hAnsi="Times New Roman" w:cs="Times New Roman"/>
        </w:rPr>
      </w:pPr>
    </w:p>
    <w:p w14:paraId="15B5E7DF">
      <w:pPr>
        <w:spacing w:line="276" w:lineRule="auto"/>
        <w:ind w:right="45"/>
        <w:jc w:val="center"/>
        <w:rPr>
          <w:rFonts w:ascii="Times New Roman" w:hAnsi="Times New Roman" w:cs="Times New Roman"/>
        </w:rPr>
      </w:pPr>
      <w:r>
        <w:rPr>
          <w:rFonts w:ascii="Times New Roman" w:hAnsi="Times New Roman" w:eastAsia="Arial" w:cs="Times New Roman"/>
          <w:b/>
          <w:i/>
        </w:rPr>
        <w:t xml:space="preserve"> </w:t>
      </w:r>
    </w:p>
    <w:p w14:paraId="3B343A6B">
      <w:pPr>
        <w:spacing w:line="276" w:lineRule="auto"/>
        <w:rPr>
          <w:rFonts w:ascii="Times New Roman" w:hAnsi="Times New Roman" w:cs="Times New Roman"/>
        </w:rPr>
      </w:pPr>
      <w:r>
        <w:rPr>
          <w:rFonts w:ascii="Times New Roman" w:hAnsi="Times New Roman" w:eastAsia="Arial" w:cs="Times New Roman"/>
        </w:rPr>
        <w:t xml:space="preserve"> </w:t>
      </w:r>
    </w:p>
    <w:p w14:paraId="5DB1FE13">
      <w:pPr>
        <w:spacing w:line="276" w:lineRule="auto"/>
        <w:rPr>
          <w:rFonts w:ascii="Times New Roman" w:hAnsi="Times New Roman" w:cs="Times New Roman"/>
        </w:rPr>
      </w:pPr>
      <w:r>
        <w:rPr>
          <w:rFonts w:ascii="Times New Roman" w:hAnsi="Times New Roman" w:eastAsia="Arial" w:cs="Times New Roman"/>
        </w:rPr>
        <w:t xml:space="preserve"> </w:t>
      </w:r>
    </w:p>
    <w:p w14:paraId="106D0BA0">
      <w:pPr>
        <w:spacing w:line="276" w:lineRule="auto"/>
        <w:rPr>
          <w:rFonts w:ascii="Times New Roman" w:hAnsi="Times New Roman" w:cs="Times New Roman"/>
        </w:rPr>
      </w:pPr>
      <w:r>
        <w:rPr>
          <w:rFonts w:ascii="Times New Roman" w:hAnsi="Times New Roman" w:eastAsia="Arial" w:cs="Times New Roman"/>
        </w:rPr>
        <w:t xml:space="preserve"> </w:t>
      </w:r>
    </w:p>
    <w:p w14:paraId="4263C21B">
      <w:pPr>
        <w:spacing w:line="276" w:lineRule="auto"/>
        <w:rPr>
          <w:rFonts w:ascii="Times New Roman" w:hAnsi="Times New Roman" w:cs="Times New Roman"/>
        </w:rPr>
      </w:pPr>
      <w:r>
        <w:rPr>
          <w:rFonts w:ascii="Times New Roman" w:hAnsi="Times New Roman" w:eastAsia="Arial" w:cs="Times New Roman"/>
        </w:rPr>
        <w:t xml:space="preserve"> </w:t>
      </w:r>
    </w:p>
    <w:p w14:paraId="081A5C81">
      <w:pPr>
        <w:spacing w:line="276" w:lineRule="auto"/>
        <w:rPr>
          <w:rFonts w:ascii="Times New Roman" w:hAnsi="Times New Roman" w:cs="Times New Roman"/>
        </w:rPr>
      </w:pPr>
      <w:r>
        <w:rPr>
          <w:rFonts w:ascii="Times New Roman" w:hAnsi="Times New Roman" w:eastAsia="Arial" w:cs="Times New Roman"/>
        </w:rPr>
        <w:t xml:space="preserve"> </w:t>
      </w:r>
    </w:p>
    <w:tbl>
      <w:tblPr>
        <w:tblStyle w:val="12"/>
        <w:tblpPr w:leftFromText="180" w:rightFromText="180" w:vertAnchor="text" w:horzAnchor="margin" w:tblpY="-461"/>
        <w:tblW w:w="9747" w:type="dxa"/>
        <w:tblInd w:w="0" w:type="dxa"/>
        <w:tblLayout w:type="autofit"/>
        <w:tblCellMar>
          <w:top w:w="5" w:type="dxa"/>
          <w:left w:w="106" w:type="dxa"/>
          <w:bottom w:w="0" w:type="dxa"/>
          <w:right w:w="115" w:type="dxa"/>
        </w:tblCellMar>
      </w:tblPr>
      <w:tblGrid>
        <w:gridCol w:w="9747"/>
      </w:tblGrid>
      <w:tr w14:paraId="72EF1AF6">
        <w:tblPrEx>
          <w:tblCellMar>
            <w:top w:w="5" w:type="dxa"/>
            <w:left w:w="106" w:type="dxa"/>
            <w:bottom w:w="0" w:type="dxa"/>
            <w:right w:w="115" w:type="dxa"/>
          </w:tblCellMar>
        </w:tblPrEx>
        <w:trPr>
          <w:trHeight w:val="514" w:hRule="atLeast"/>
        </w:trPr>
        <w:tc>
          <w:tcPr>
            <w:tcW w:w="9747" w:type="dxa"/>
            <w:tcBorders>
              <w:top w:val="single" w:color="000000" w:sz="4" w:space="0"/>
              <w:left w:val="single" w:color="000000" w:sz="4" w:space="0"/>
              <w:bottom w:val="single" w:color="000000" w:sz="4" w:space="0"/>
              <w:right w:val="single" w:color="000000" w:sz="4" w:space="0"/>
            </w:tcBorders>
            <w:shd w:val="clear" w:color="auto" w:fill="auto"/>
          </w:tcPr>
          <w:p w14:paraId="6ACA6E1C">
            <w:pPr>
              <w:spacing w:line="276" w:lineRule="auto"/>
              <w:ind w:right="5942"/>
              <w:rPr>
                <w:rFonts w:ascii="Times New Roman" w:hAnsi="Times New Roman" w:cs="Times New Roman"/>
              </w:rPr>
            </w:pPr>
            <w:r>
              <w:rPr>
                <w:rFonts w:ascii="Times New Roman" w:hAnsi="Times New Roman" w:eastAsia="Arial" w:cs="Times New Roman"/>
                <w:b/>
              </w:rPr>
              <w:t>Module Learning Outcomes  (from module syllabus)</w:t>
            </w:r>
            <w:r>
              <w:rPr>
                <w:rFonts w:ascii="Times New Roman" w:hAnsi="Times New Roman" w:eastAsia="Arial" w:cs="Times New Roman"/>
              </w:rPr>
              <w:t xml:space="preserve"> </w:t>
            </w:r>
          </w:p>
        </w:tc>
      </w:tr>
      <w:tr w14:paraId="26FA7558">
        <w:tblPrEx>
          <w:tblCellMar>
            <w:top w:w="5" w:type="dxa"/>
            <w:left w:w="106" w:type="dxa"/>
            <w:bottom w:w="0" w:type="dxa"/>
            <w:right w:w="115" w:type="dxa"/>
          </w:tblCellMar>
        </w:tblPrEx>
        <w:trPr>
          <w:trHeight w:val="1869" w:hRule="atLeast"/>
        </w:trPr>
        <w:tc>
          <w:tcPr>
            <w:tcW w:w="9747" w:type="dxa"/>
            <w:tcBorders>
              <w:top w:val="single" w:color="000000" w:sz="4" w:space="0"/>
              <w:left w:val="single" w:color="000000" w:sz="4" w:space="0"/>
              <w:bottom w:val="single" w:color="000000" w:sz="4" w:space="0"/>
              <w:right w:val="single" w:color="000000" w:sz="4" w:space="0"/>
            </w:tcBorders>
            <w:shd w:val="clear" w:color="auto" w:fill="auto"/>
          </w:tcPr>
          <w:p w14:paraId="59EA33B2">
            <w:pPr>
              <w:spacing w:after="17" w:line="276" w:lineRule="auto"/>
              <w:rPr>
                <w:rFonts w:ascii="Times New Roman" w:hAnsi="Times New Roman" w:cs="Times New Roman"/>
              </w:rPr>
            </w:pPr>
            <w:r>
              <w:rPr>
                <w:rFonts w:ascii="Times New Roman" w:hAnsi="Times New Roman" w:eastAsia="Arial" w:cs="Times New Roman"/>
              </w:rPr>
              <w:t xml:space="preserve"> </w:t>
            </w:r>
          </w:p>
          <w:p w14:paraId="08CE15E6">
            <w:pPr>
              <w:spacing w:line="276" w:lineRule="auto"/>
              <w:ind w:left="720" w:hanging="360"/>
              <w:rPr>
                <w:rFonts w:ascii="Times New Roman" w:hAnsi="Times New Roman" w:cs="Times New Roman"/>
              </w:rPr>
            </w:pPr>
            <w:r>
              <w:rPr>
                <w:rFonts w:ascii="Times New Roman" w:hAnsi="Times New Roman" w:eastAsia="Segoe UI Symbol" w:cs="Times New Roman"/>
              </w:rPr>
              <w:t></w:t>
            </w:r>
            <w:r>
              <w:rPr>
                <w:rFonts w:ascii="Times New Roman" w:hAnsi="Times New Roman" w:eastAsia="Arial" w:cs="Times New Roman"/>
              </w:rPr>
              <w:t xml:space="preserve"> Recognise and evaluate the complexities involved in leading people in organisations and the practical application of leadership theory and principles.  </w:t>
            </w:r>
          </w:p>
          <w:p w14:paraId="652AD10C">
            <w:pPr>
              <w:spacing w:line="276" w:lineRule="auto"/>
              <w:ind w:left="360"/>
              <w:rPr>
                <w:rFonts w:ascii="Times New Roman" w:hAnsi="Times New Roman" w:cs="Times New Roman"/>
              </w:rPr>
            </w:pPr>
            <w:r>
              <w:rPr>
                <w:rFonts w:ascii="Times New Roman" w:hAnsi="Times New Roman" w:eastAsia="Arial" w:cs="Times New Roman"/>
              </w:rPr>
              <w:t xml:space="preserve"> </w:t>
            </w:r>
          </w:p>
          <w:p w14:paraId="36A2B7EA">
            <w:pPr>
              <w:spacing w:line="276" w:lineRule="auto"/>
              <w:rPr>
                <w:rFonts w:ascii="Times New Roman" w:hAnsi="Times New Roman" w:cs="Times New Roman"/>
              </w:rPr>
            </w:pPr>
            <w:r>
              <w:rPr>
                <w:rFonts w:ascii="Times New Roman" w:hAnsi="Times New Roman" w:eastAsia="Arial" w:cs="Times New Roman"/>
              </w:rPr>
              <w:t xml:space="preserve"> </w:t>
            </w:r>
          </w:p>
          <w:p w14:paraId="1B765DD5">
            <w:pPr>
              <w:spacing w:line="276" w:lineRule="auto"/>
              <w:rPr>
                <w:rFonts w:ascii="Times New Roman" w:hAnsi="Times New Roman" w:cs="Times New Roman"/>
              </w:rPr>
            </w:pPr>
            <w:r>
              <w:rPr>
                <w:rFonts w:ascii="Times New Roman" w:hAnsi="Times New Roman" w:eastAsia="Arial" w:cs="Times New Roman"/>
              </w:rPr>
              <w:t xml:space="preserve"> </w:t>
            </w:r>
          </w:p>
        </w:tc>
      </w:tr>
    </w:tbl>
    <w:p w14:paraId="765B7A68">
      <w:pPr>
        <w:spacing w:line="360" w:lineRule="auto"/>
        <w:rPr>
          <w:rFonts w:ascii="Times New Roman" w:hAnsi="Times New Roman" w:cs="Times New Roman"/>
        </w:rPr>
      </w:pPr>
      <w:r>
        <w:rPr>
          <w:rFonts w:ascii="Times New Roman" w:hAnsi="Times New Roman" w:eastAsia="Arial" w:cs="Times New Roman"/>
        </w:rPr>
        <w:t xml:space="preserve"> </w:t>
      </w:r>
    </w:p>
    <w:p w14:paraId="2E73D4CE">
      <w:pPr>
        <w:spacing w:line="360" w:lineRule="auto"/>
        <w:rPr>
          <w:rFonts w:ascii="Times New Roman" w:hAnsi="Times New Roman" w:eastAsia="Arial" w:cs="Times New Roman"/>
        </w:rPr>
      </w:pPr>
      <w:r>
        <w:rPr>
          <w:rFonts w:ascii="Times New Roman" w:hAnsi="Times New Roman" w:eastAsia="Arial" w:cs="Times New Roman"/>
        </w:rPr>
        <w:t xml:space="preserve"> </w:t>
      </w:r>
      <w:r>
        <w:rPr>
          <w:rFonts w:ascii="Times New Roman" w:hAnsi="Times New Roman" w:eastAsia="Arial" w:cs="Times New Roman"/>
        </w:rPr>
        <w:tab/>
      </w:r>
      <w:r>
        <w:rPr>
          <w:rFonts w:ascii="Times New Roman" w:hAnsi="Times New Roman" w:eastAsia="Arial" w:cs="Times New Roman"/>
        </w:rPr>
        <w:t xml:space="preserve"> </w:t>
      </w:r>
    </w:p>
    <w:p w14:paraId="2CB7A167">
      <w:pPr>
        <w:spacing w:line="360" w:lineRule="auto"/>
        <w:rPr>
          <w:rFonts w:ascii="Times New Roman" w:hAnsi="Times New Roman" w:cs="Times New Roman"/>
        </w:rPr>
      </w:pPr>
    </w:p>
    <w:p w14:paraId="1BB7B999">
      <w:pPr>
        <w:spacing w:line="360" w:lineRule="auto"/>
        <w:rPr>
          <w:rFonts w:ascii="Times New Roman" w:hAnsi="Times New Roman" w:cs="Times New Roman"/>
        </w:rPr>
      </w:pPr>
      <w:r>
        <w:rPr>
          <w:rFonts w:ascii="Times New Roman" w:hAnsi="Times New Roman" w:eastAsia="Arial" w:cs="Times New Roman"/>
        </w:rPr>
        <w:t xml:space="preserve"> </w:t>
      </w:r>
    </w:p>
    <w:p w14:paraId="3BF0D5D1">
      <w:pPr>
        <w:pStyle w:val="14"/>
        <w:spacing w:line="360" w:lineRule="auto"/>
        <w:rPr>
          <w:color w:val="000000"/>
        </w:rPr>
      </w:pPr>
    </w:p>
    <w:p w14:paraId="4EAB6700">
      <w:pPr>
        <w:pStyle w:val="14"/>
        <w:spacing w:line="360" w:lineRule="auto"/>
        <w:rPr>
          <w:color w:val="000000"/>
        </w:rPr>
      </w:pPr>
    </w:p>
    <w:p w14:paraId="7DE0D277">
      <w:pPr>
        <w:pStyle w:val="14"/>
        <w:spacing w:line="360" w:lineRule="auto"/>
        <w:rPr>
          <w:color w:val="000000"/>
        </w:rPr>
      </w:pPr>
    </w:p>
    <w:p w14:paraId="08806B6F">
      <w:pPr>
        <w:pStyle w:val="14"/>
        <w:spacing w:line="360" w:lineRule="auto"/>
        <w:rPr>
          <w:color w:val="000000"/>
        </w:rPr>
      </w:pPr>
    </w:p>
    <w:p w14:paraId="23272CE9">
      <w:pPr>
        <w:pStyle w:val="14"/>
        <w:spacing w:line="360" w:lineRule="auto"/>
        <w:rPr>
          <w:color w:val="000000"/>
        </w:rPr>
      </w:pPr>
    </w:p>
    <w:p w14:paraId="683FEFB6">
      <w:pPr>
        <w:pStyle w:val="14"/>
        <w:spacing w:line="360" w:lineRule="auto"/>
        <w:rPr>
          <w:color w:val="000000"/>
        </w:rPr>
      </w:pPr>
    </w:p>
    <w:p w14:paraId="52008DBF">
      <w:pPr>
        <w:pStyle w:val="14"/>
        <w:spacing w:line="360" w:lineRule="auto"/>
        <w:rPr>
          <w:color w:val="000000"/>
        </w:rPr>
      </w:pPr>
    </w:p>
    <w:p w14:paraId="1D1D3E55">
      <w:pPr>
        <w:pStyle w:val="14"/>
        <w:spacing w:line="360" w:lineRule="auto"/>
        <w:rPr>
          <w:color w:val="000000"/>
        </w:rPr>
      </w:pPr>
    </w:p>
    <w:p w14:paraId="7C071575">
      <w:pPr>
        <w:pStyle w:val="14"/>
        <w:spacing w:line="360" w:lineRule="auto"/>
        <w:rPr>
          <w:color w:val="000000"/>
        </w:rPr>
      </w:pPr>
    </w:p>
    <w:p w14:paraId="76039570">
      <w:pPr>
        <w:pStyle w:val="14"/>
        <w:spacing w:line="360" w:lineRule="auto"/>
        <w:rPr>
          <w:color w:val="000000"/>
        </w:rPr>
      </w:pPr>
    </w:p>
    <w:p w14:paraId="01D84687">
      <w:pPr>
        <w:pStyle w:val="14"/>
        <w:spacing w:line="360" w:lineRule="auto"/>
        <w:rPr>
          <w:color w:val="000000"/>
        </w:rPr>
      </w:pPr>
    </w:p>
    <w:p w14:paraId="2D840456">
      <w:pPr>
        <w:pStyle w:val="14"/>
        <w:spacing w:line="360" w:lineRule="auto"/>
        <w:rPr>
          <w:color w:val="000000"/>
        </w:rPr>
      </w:pPr>
      <w:r>
        <w:rPr>
          <w:color w:val="000000"/>
        </w:rPr>
        <w:t>In most of the modern companies, management is just all about leadership. The 21st century corporate world is clearly a very different place than the one my parents inhabited but, as old-fashioned as it may sound: leadership matters more now than ever. This research examines the role of leadership in new business through many theories and levels of approach. It analyses a number of leaders and organizations to understand how they address current issues by way of leadership. The article take a broad view of leadership and organizational performance, culture and employee engagement in order to provide the reader with an appreciation for how following recommendations can lead you towards successful leader practices.</w:t>
      </w:r>
    </w:p>
    <w:p w14:paraId="3CA7259E">
      <w:pPr>
        <w:pStyle w:val="14"/>
        <w:spacing w:line="360" w:lineRule="auto"/>
        <w:rPr>
          <w:color w:val="000000"/>
        </w:rPr>
      </w:pPr>
      <w:r>
        <w:rPr>
          <w:color w:val="000000"/>
        </w:rPr>
        <w:t>Leadership theories form the basis of core understanding about how leaders impact their organizations. This part talks about the main characteristics of some well-known ideas, then reframes each into a contemporary leadership challenge.</w:t>
      </w:r>
    </w:p>
    <w:p w14:paraId="735AF816">
      <w:pPr>
        <w:pStyle w:val="14"/>
        <w:spacing w:line="360" w:lineRule="auto"/>
        <w:rPr>
          <w:color w:val="000000"/>
        </w:rPr>
      </w:pPr>
      <w:r>
        <w:rPr>
          <w:color w:val="000000"/>
        </w:rPr>
        <w:t>Bass and Riggio [2006] articulated transformational leadership as a: " series of behaviours designed to awaken the moral lacerations among the followers, which in turn produces exceptionally refuses (p. 79). Transformational leaders establish a creative and adaptable environment which positively affects both the overall organizational culture as well individual productivity. Leaders such as the ex PepsiCo CEO Indra Nooyi demonstrate it by working according to sustainable business practices and supporting workers for diversity &amp; inclusion. It is instructive that her "Performance with Purpose" initiative came at a time when there was an increasing realization of the need for businesses to not just be successful but do so in ways which are beneficial and responsible for society.</w:t>
      </w:r>
    </w:p>
    <w:p w14:paraId="03EC4E18">
      <w:pPr>
        <w:pStyle w:val="14"/>
        <w:spacing w:line="360" w:lineRule="auto"/>
        <w:rPr>
          <w:color w:val="000000"/>
        </w:rPr>
      </w:pPr>
      <w:r>
        <w:rPr>
          <w:color w:val="000000"/>
        </w:rPr>
        <w:t>As for transactional leadership it is unlike transformational leadership, a transactional leader uses more of a traditional managerial approach through rewards and punishments (Burns 1978). Within this group of leaders are those such as Jack Welch from General Electric (GE) that have used performance management systems to align, motivate and mobilize their people towards the achievement of stretch objectives through disciplined incentives. Welch's performance management was brutal, making GE an extremely competitive place to work; however, leadership too narrow of this kind can demoralize when people believe their value is stripped away or unfairly measured.</w:t>
      </w:r>
    </w:p>
    <w:p w14:paraId="1B7CA9FD">
      <w:pPr>
        <w:pStyle w:val="14"/>
        <w:spacing w:line="360" w:lineRule="auto"/>
        <w:rPr>
          <w:color w:val="000000"/>
        </w:rPr>
      </w:pPr>
      <w:r>
        <w:rPr>
          <w:color w:val="000000"/>
        </w:rPr>
        <w:t>First introduced by Greenleaf (1970), the concept of servant leadership serves staff members and stakeholders in contrast to self-interest, thus emphasizing their growth and well-being. This is a function well-exemplified by leaders such as Howard Schultz at Starbucks who make it something real and palpable through building culture founded on employee input and commitment to the community. Schultz's approach has been to maintain Happy Employee Scores, which have improved the Starbucks customer experience and loyalty – a dedication to social responsibility (ethical sourcing/ community outreach etc) is how servant leadership can really work in companies today.</w:t>
      </w:r>
    </w:p>
    <w:p w14:paraId="18921C64">
      <w:pPr>
        <w:pStyle w:val="14"/>
        <w:spacing w:line="360" w:lineRule="auto"/>
        <w:rPr>
          <w:color w:val="000000"/>
        </w:rPr>
      </w:pPr>
      <w:r>
        <w:rPr>
          <w:color w:val="000000"/>
        </w:rPr>
        <w:t>Ultimately, Hersey and Blanchard's 1969 situational leadership theory states that teamwork brings successful or not contestable to leaders' abilities will depend on the preparedness of team members based on these two variables. This flexibleness enables leaders to adapt their response based on the requirements of those they lead. A great example is Bill Gates from Microsoft who modified his leadership style as the business grew. Gates had started his company very focused on technical innovation and creativity but then changed focus to empower instead of do in a corporately growing nineties culture, which illustrates the importance situational awareness for leadership effectiveness.</w:t>
      </w:r>
    </w:p>
    <w:p w14:paraId="3857D4C3">
      <w:pPr>
        <w:pStyle w:val="14"/>
        <w:spacing w:line="360" w:lineRule="auto"/>
        <w:rPr>
          <w:color w:val="000000"/>
        </w:rPr>
      </w:pPr>
      <w:r>
        <w:rPr>
          <w:color w:val="000000"/>
        </w:rPr>
        <w:t>Genuine leadership accentuates on transparent, self-conscious untainted angularities behaviour. This is the kind of leadership you see at Microsoft with Satya Nadella, where they encourage candid communication and working together. Nadella's leadership style — guided by empathy and inclusivity has led to a seismic shift in corporate culture at Microsoft. Microsoft, under his (Gates) leadership has developed a growth attitude to embed employee and invention engagement in the team spirit style of management practices. Authenticity of leadership is a critical requirement in the corporate environment now, especially to nurture organisational unity and trust.</w:t>
      </w:r>
    </w:p>
    <w:p w14:paraId="1C8A0BAB">
      <w:pPr>
        <w:pStyle w:val="14"/>
        <w:spacing w:line="360" w:lineRule="auto"/>
        <w:rPr>
          <w:color w:val="000000"/>
        </w:rPr>
      </w:pPr>
      <w:r>
        <w:rPr>
          <w:color w:val="000000"/>
        </w:rPr>
        <w:t>Charismatic leadership appeals to the emotional aspects of a leader with his vision. In fact, it's that magnetic personality which power magnet executives like Steve Jobs (Apple) used to motivate the level of organizations their employees). One of the critical factors leading to Apple´s innovation was. In addition to this persuasive power, hence reducing sustainability (Conger &amp; Kanungo 1998).</w:t>
      </w:r>
    </w:p>
    <w:p w14:paraId="76EE55E4">
      <w:pPr>
        <w:pStyle w:val="14"/>
        <w:spacing w:line="360" w:lineRule="auto"/>
        <w:rPr>
          <w:color w:val="000000"/>
        </w:rPr>
      </w:pPr>
      <w:r>
        <w:rPr>
          <w:color w:val="000000"/>
        </w:rPr>
        <w:t>Distributed leadership models emphasise on the shared influence and cooperation of team members. This is perhaps relevant to the modern day where companies which rely on dedicated teams or even cross functional groups when confronting tough problems. Business like Google get personnel to develop into task leaders and be innovative, making way for an honest culture of innovation and entrepreneurism (Gronn 2002). Besides strengthening employee involvement, distributed leadership encompasses the diversity of perspectives as well as knowledge which in turn increases organizational performance.</w:t>
      </w:r>
    </w:p>
    <w:p w14:paraId="30620391">
      <w:pPr>
        <w:pStyle w:val="14"/>
        <w:spacing w:line="360" w:lineRule="auto"/>
        <w:rPr>
          <w:color w:val="000000"/>
        </w:rPr>
      </w:pPr>
      <w:r>
        <w:rPr>
          <w:color w:val="000000"/>
        </w:rPr>
        <w:t>Adaptive leadership, influenced by Heifetz's work (1994), focuses on thriving in the uncertain and fluid. In the world of fast technological development and evaluating consumer preferences this leadership is a must. General Motors CEO Mary Barra enables adaptive leadership in her business, leading the transition to electric car. The boldness of Barra s decisions and her commitment to sustainability are indicative of the fluidity necessary in today's business environment, all important glimmers into how skilled an adaptive CEO can actually be when it comes to aligning their businesses properly within a changeful arena.</w:t>
      </w:r>
    </w:p>
    <w:p w14:paraId="3B2F8F31">
      <w:pPr>
        <w:pStyle w:val="14"/>
        <w:spacing w:line="360" w:lineRule="auto"/>
        <w:rPr>
          <w:color w:val="000000"/>
        </w:rPr>
      </w:pPr>
      <w:r>
        <w:rPr>
          <w:color w:val="000000"/>
        </w:rPr>
        <w:t>True leadership indeed as we know from the days of Goleman (1995) hinge much on emotional intelligence(EI). Leaders with high emotional intelligence can recognize and manage emotions, both their own and those of others to create a healthy working environment. Oprah Winfrey is a great example of this, as she builds empathy and camaraderie by engaging directly with her staff members and audience on our own journey. Leaders with empathy can enhance employee engagement, team work-ability and overall organizational productivity.</w:t>
      </w:r>
    </w:p>
    <w:p w14:paraId="2A952983">
      <w:pPr>
        <w:pStyle w:val="14"/>
        <w:spacing w:line="360" w:lineRule="auto"/>
        <w:rPr>
          <w:color w:val="000000"/>
        </w:rPr>
      </w:pPr>
      <w:r>
        <w:rPr>
          <w:color w:val="000000"/>
        </w:rPr>
        <w:t>Are you team-leader is different from leading individuals, in that it involves managing the dynamics and functioning of a TEAM. Leaders like former Google CEO Eric Schmidt are championing team leadership, giving discretion and project owner accountability to their teams. In this cooperative environment creativity and innovation flourishes, which is fundamental to remain competitive in a scenario of ever faster change.</w:t>
      </w:r>
    </w:p>
    <w:p w14:paraId="376650D8">
      <w:pPr>
        <w:pStyle w:val="14"/>
        <w:spacing w:line="360" w:lineRule="auto"/>
        <w:rPr>
          <w:color w:val="000000"/>
        </w:rPr>
      </w:pPr>
      <w:r>
        <w:rPr>
          <w:color w:val="000000"/>
        </w:rPr>
        <w:t>This section will analyse specific leaders and their organizations to demonstrate how they practice the theories we have been discussing, making clear which leadership theory is relevant in this type of approach.</w:t>
      </w:r>
    </w:p>
    <w:p w14:paraId="6B384888">
      <w:pPr>
        <w:pStyle w:val="14"/>
        <w:spacing w:line="360" w:lineRule="auto"/>
        <w:rPr>
          <w:color w:val="000000"/>
        </w:rPr>
      </w:pPr>
      <w:r>
        <w:rPr>
          <w:color w:val="000000"/>
        </w:rPr>
        <w:t>Indra Nooyi in PepsiCo is the epitome of transformational leadership With the "Performance with Purpose" program, she aligned societal responsibility to the economic plan. By emphasizing sustainability and improving offerings, Nooyi helped turn around PepsiCo's image even as she inspired employees to take on meaningful work.</w:t>
      </w:r>
    </w:p>
    <w:p w14:paraId="69436FFB">
      <w:pPr>
        <w:pStyle w:val="14"/>
        <w:spacing w:line="360" w:lineRule="auto"/>
        <w:rPr>
          <w:color w:val="000000"/>
        </w:rPr>
      </w:pPr>
      <w:r>
        <w:rPr>
          <w:color w:val="000000"/>
        </w:rPr>
        <w:t>The approach taken by Nooyi is an example of transformational leadership at its best and it very well fits with the current perspective on work ethics!!! The employers embracing diversity and inclusion practices in their organizations helped to create a surprisingly massive increment than the employees, at this particular example of inclusive leadership facilitated by her further elucidation.</w:t>
      </w:r>
    </w:p>
    <w:p w14:paraId="5B2BE3A6">
      <w:pPr>
        <w:pStyle w:val="14"/>
        <w:spacing w:line="360" w:lineRule="auto"/>
        <w:rPr>
          <w:color w:val="000000"/>
        </w:rPr>
      </w:pPr>
      <w:r>
        <w:rPr>
          <w:color w:val="000000"/>
        </w:rPr>
        <w:t>Transactional or not business management changed with Jack Welch and General Electric Welch ensured that responsibility and results were at the heart of GE company performance by running a tough „rank-and-yank? system, to help keep the business competitive. His "rank and yank" approach, in which the worst 10 percent of performers are unceremoniously jettison every year for non-performance mainly demonstrates just how result-oriented a transactional leadership method can be.</w:t>
      </w:r>
    </w:p>
    <w:p w14:paraId="3DC92D9F">
      <w:pPr>
        <w:pStyle w:val="14"/>
        <w:spacing w:line="360" w:lineRule="auto"/>
        <w:rPr>
          <w:color w:val="000000"/>
        </w:rPr>
      </w:pPr>
      <w:r>
        <w:rPr>
          <w:color w:val="000000"/>
        </w:rPr>
        <w:t>But while Welch's method led to some short-term wins, it more importantly set a precedent for an overworked environment—and one that turned persons rapidly into burnt-out employees. This case shows the potential negative consequences of transactional leadership (Burns, 1998) and stresses the importance to achieve a trade-off between performance management and employee well-being.</w:t>
      </w:r>
    </w:p>
    <w:p w14:paraId="69E81030">
      <w:pPr>
        <w:pStyle w:val="14"/>
        <w:spacing w:line="360" w:lineRule="auto"/>
        <w:rPr>
          <w:color w:val="000000"/>
        </w:rPr>
      </w:pPr>
      <w:r>
        <w:rPr>
          <w:color w:val="000000"/>
        </w:rPr>
        <w:t>Howard Schultz's servant leadership, on the other hand, has had a profound influence upon the culture and success of Starbucks. By putting employee engagement and giving back to community at the forefront, Schultz built a loyal team of fans. Under his regime, Starbucks was among a number of big companies to expand its benefits towards part-time workers with the likes healthcare and education aid.</w:t>
      </w:r>
    </w:p>
    <w:p w14:paraId="06C20311">
      <w:pPr>
        <w:pStyle w:val="14"/>
        <w:spacing w:line="360" w:lineRule="auto"/>
        <w:rPr>
          <w:color w:val="000000"/>
        </w:rPr>
      </w:pPr>
      <w:r>
        <w:rPr>
          <w:color w:val="000000"/>
        </w:rPr>
        <w:t>Schultz's approach provided excellent customer service and brand loyalty that Schultz achieved with high levels of employee satisfaction. One of the strategies that Starbuck uses to emphasize its commitment towards sustainability and ethical sourcing has positioned itself as key player in ‘coffee business with a conscious' hence illustrating value associated being servant leader within present day organizations (Pérez &amp; De la Torre, 2016).</w:t>
      </w:r>
    </w:p>
    <w:p w14:paraId="5BFC5FCB">
      <w:pPr>
        <w:pStyle w:val="14"/>
        <w:spacing w:line="360" w:lineRule="auto"/>
        <w:rPr>
          <w:color w:val="000000"/>
        </w:rPr>
      </w:pPr>
      <w:r>
        <w:rPr>
          <w:color w:val="000000"/>
        </w:rPr>
        <w:t>Satya Nadella's true leadership has propelled Microsoft to change the culture, much larger than any game of nerf darts ever could have. He was all about getting people to a growth mindset and making them believe that learning, development were core values of the company. His empathetic, trusting and inclusive leadership style mandates a more collective work environment.</w:t>
      </w:r>
    </w:p>
    <w:p w14:paraId="7BF3C68F">
      <w:pPr>
        <w:pStyle w:val="14"/>
        <w:spacing w:line="360" w:lineRule="auto"/>
        <w:rPr>
          <w:color w:val="000000"/>
        </w:rPr>
      </w:pPr>
      <w:r>
        <w:rPr>
          <w:color w:val="000000"/>
        </w:rPr>
        <w:t>Nadella, for his part, has loosened Microsoft up to new technology and business models -- doing more than ever in cloud computing and artificial intelligence. Microsoft turnaround was not only about Zinnger but however it is unquestionably true that his focus on real leadership radically altered the corporate culture and situated Microsoft to either survive or succeed in a market changing environment (George, 2015).</w:t>
      </w:r>
    </w:p>
    <w:p w14:paraId="521557A8">
      <w:pPr>
        <w:pStyle w:val="14"/>
        <w:spacing w:line="360" w:lineRule="auto"/>
        <w:rPr>
          <w:color w:val="000000"/>
        </w:rPr>
      </w:pPr>
      <w:r>
        <w:rPr>
          <w:color w:val="000000"/>
        </w:rPr>
        <w:t>Mary Barra has effectively led General Motors through messy transformation in the automotive industry to electrification and sustainable practices based on her variety of leadership approach. Barra's strategy for GM reflects the agility required in an industry rapidly as dealers rewind cars and buyers change tastes: innovative, safe and sustainable.</w:t>
      </w:r>
    </w:p>
    <w:p w14:paraId="17D09DAD">
      <w:pPr>
        <w:pStyle w:val="14"/>
        <w:spacing w:line="360" w:lineRule="auto"/>
        <w:rPr>
          <w:color w:val="000000"/>
        </w:rPr>
      </w:pPr>
      <w:r>
        <w:rPr>
          <w:color w:val="000000"/>
        </w:rPr>
        <w:t>The fact that she is so eager to introduce change and invest in electric technology (and driverless cars) underlines how adaptive leadership will need be at the fore of increasingly leading companies through uncertain times. Barra's leadership has succeeded in positioning GM as an innovative leader within the automotive industry (Ruggs &amp; Gorman, 2018), demonstrating adaptiveness which is a critical component of leading through challenging problems.</w:t>
      </w:r>
    </w:p>
    <w:p w14:paraId="393DC0ED">
      <w:pPr>
        <w:pStyle w:val="14"/>
        <w:spacing w:line="360" w:lineRule="auto"/>
        <w:rPr>
          <w:color w:val="000000"/>
        </w:rPr>
      </w:pPr>
      <w:r>
        <w:rPr>
          <w:color w:val="000000"/>
        </w:rPr>
        <w:t>Apple's rise to fame was helped by the charisma of Steve Jobs. His creative thinking and ability to inspire fierce loyalty among employees (and customers) helped create a culture of innovation at Apple. Focusing primarily on design innovation and consumer-perception, Jobs manufactured revolutionary products such as the famous iPad and iPhone.</w:t>
      </w:r>
    </w:p>
    <w:p w14:paraId="111F1E17">
      <w:pPr>
        <w:pStyle w:val="14"/>
        <w:spacing w:line="360" w:lineRule="auto"/>
        <w:rPr>
          <w:color w:val="000000"/>
        </w:rPr>
      </w:pPr>
      <w:r>
        <w:rPr>
          <w:color w:val="000000"/>
        </w:rPr>
        <w:t>On the other side, his style of leadership too had adverse impacts this way or in that it indicates a pressurised work environment thus might result into forcing employee substitution &amp; stress. Nevertheless, Jobs' history proves how an attractive leadership calls on the apparition to progress of organization achievement and innovation (Isaacson, 2011).</w:t>
      </w:r>
    </w:p>
    <w:p w14:paraId="71D21199">
      <w:pPr>
        <w:pStyle w:val="14"/>
        <w:spacing w:line="360" w:lineRule="auto"/>
        <w:rPr>
          <w:color w:val="000000"/>
        </w:rPr>
      </w:pPr>
      <w:r>
        <w:rPr>
          <w:color w:val="000000"/>
        </w:rPr>
        <w:t>Eric Schmidt team leadership at Google an epitome of the way companies behave today He created a culture of innovation and creativity by allowing executives to drive decision making or, as he likes to say “a true adult in the room” form of open source management. By giving teams the ability to respond quickly and enacting group problem-solving, Google has always kept their business on top technologically.</w:t>
      </w:r>
    </w:p>
    <w:p w14:paraId="22FA1218">
      <w:pPr>
        <w:pStyle w:val="14"/>
        <w:spacing w:line="360" w:lineRule="auto"/>
        <w:rPr>
          <w:color w:val="000000"/>
        </w:rPr>
      </w:pPr>
      <w:r>
        <w:rPr>
          <w:color w:val="000000"/>
        </w:rPr>
        <w:t>This focus on team helps the organization to respond faster in dynamic market situations besides ensuring employee participation (motivation). Schmidt puts forward teamwork and empowerment in new corporate environment as examples for his leadership oriented practice (Yukl, 2010).</w:t>
      </w:r>
    </w:p>
    <w:p w14:paraId="6E94F1C4">
      <w:pPr>
        <w:pStyle w:val="14"/>
        <w:spacing w:line="360" w:lineRule="auto"/>
        <w:rPr>
          <w:color w:val="000000"/>
        </w:rPr>
      </w:pPr>
      <w:r>
        <w:rPr>
          <w:color w:val="000000"/>
        </w:rPr>
        <w:t>In a nutshell, retention of employees and engagement essential for the performance of any organization largely rests on good leadership. It is always a positive sign, that when the leaders involve their people in making and feel more secure if he creates an environment for them which makes easy to work. Research indicates that companies with highly engaged employees require less management, have more loyal customers and also outperform the competition in productivity and financial performance (Harter et al., 2002).</w:t>
      </w:r>
    </w:p>
    <w:p w14:paraId="630BDE3E">
      <w:pPr>
        <w:pStyle w:val="14"/>
        <w:spacing w:line="360" w:lineRule="auto"/>
        <w:rPr>
          <w:color w:val="000000"/>
        </w:rPr>
      </w:pPr>
      <w:r>
        <w:rPr>
          <w:color w:val="000000"/>
        </w:rPr>
        <w:t>The leadership has a very significant role in shaping the organizational culture and thereby impinge upon what values, beliefs or activities get performed by its workers. For instance, transformational and servant leaders are focused more towards fostering a culture of innovation adopting diversity and social responsibility as integral components. Organizations that adopt contemporary ideas select leadership styles to create settings for collaboration, creativity and adaptation. Having a strong company culture boosts employee morale and assists in aligning organizational goals with individual ones.</w:t>
      </w:r>
    </w:p>
    <w:p w14:paraId="5959DBE5">
      <w:pPr>
        <w:pStyle w:val="14"/>
        <w:spacing w:line="360" w:lineRule="auto"/>
        <w:rPr>
          <w:color w:val="000000"/>
        </w:rPr>
      </w:pPr>
      <w:r>
        <w:rPr>
          <w:color w:val="000000"/>
        </w:rPr>
        <w:t>His ability to adapt and focus on the market will determine if there is a happy ending in store for this story. CEOs that are adaptable and transformative, run companies which are well-suited to handle changes in their sector as opposed those of a silo or combinatorial nature. Places that foster willingness to learn and experiment in turn provide the setting for risks which begets creativity, and then innovation.</w:t>
      </w:r>
    </w:p>
    <w:p w14:paraId="6755C531">
      <w:pPr>
        <w:pStyle w:val="14"/>
        <w:spacing w:line="360" w:lineRule="auto"/>
        <w:rPr>
          <w:color w:val="000000"/>
        </w:rPr>
      </w:pPr>
      <w:r>
        <w:rPr>
          <w:color w:val="000000"/>
        </w:rPr>
        <w:t>Numerous studies point to the fact that good leadership enables superior financial performance. Organizations with strong leadership will demonstrate now improved levels of profitability and growth. Especially transformational leaders stimulate the commitment and devotion of employees to improve organizational performance. Effective leadership aligns staff activities with strategic goals, and that alignment is a competitive advantage which leads to financial success.</w:t>
      </w:r>
    </w:p>
    <w:p w14:paraId="607AE34F">
      <w:pPr>
        <w:pStyle w:val="14"/>
        <w:spacing w:line="360" w:lineRule="auto"/>
        <w:rPr>
          <w:color w:val="000000"/>
        </w:rPr>
      </w:pPr>
      <w:r>
        <w:rPr>
          <w:color w:val="000000"/>
        </w:rPr>
        <w:t>Nevertheless, while good leadership is key to the success of any organization in this modern era there are a lot of challenges facing leaders that can limit their ability. Indeed, modern workers come in all shapes and sizes  different generations, backgrounds, cultures etc. In these differences, leaders must set a way to bring people together and create environments that honour diversity of perspective. When people feel as if they are a part of something, engagement and output increases.</w:t>
      </w:r>
    </w:p>
    <w:p w14:paraId="656F26DD">
      <w:pPr>
        <w:pStyle w:val="14"/>
        <w:spacing w:line="360" w:lineRule="auto"/>
        <w:rPr>
          <w:color w:val="000000"/>
        </w:rPr>
      </w:pPr>
      <w:r>
        <w:rPr>
          <w:color w:val="000000"/>
        </w:rPr>
        <w:t>Hence, with rapidly evolving technology leaders have to keep on revising their plans. Leaders should embrace technology and utilize it to better his/her customer experience as well as the Organization. As such, it is vital for the communication to take place as well as change management since staff members may feel uncertain or resistant due to rapid change.</w:t>
      </w:r>
    </w:p>
    <w:p w14:paraId="7432CBF7">
      <w:pPr>
        <w:pStyle w:val="14"/>
        <w:spacing w:line="360" w:lineRule="auto"/>
        <w:rPr>
          <w:color w:val="000000"/>
        </w:rPr>
      </w:pPr>
      <w:r>
        <w:rPr>
          <w:color w:val="000000"/>
        </w:rPr>
        <w:t>As far as contemporary leaders are concerned, globalization is a double-edged sword. The challenges that leaders in such organisation face are much more complex, which includes diverse cultures and regulatory environment of those countries. Strong global leadership requires cultural sensitivity, adaptability and the ability to form relationships across multiple contexts.</w:t>
      </w:r>
    </w:p>
    <w:p w14:paraId="5BC7C135">
      <w:pPr>
        <w:pStyle w:val="14"/>
        <w:spacing w:line="360" w:lineRule="auto"/>
        <w:rPr>
          <w:color w:val="000000"/>
        </w:rPr>
      </w:pPr>
      <w:r>
        <w:rPr>
          <w:color w:val="000000"/>
        </w:rPr>
        <w:t>Amidst the increasing responsibility and attention, ethical leadership is even more important. Leaders have to find an ethical balance between what is good for the company and what needs to be done right with societal responsibility. The more honest and transparent you are in your leadership style, the easier it is for stakeholders to have faith that everyone involved will be treated fairly.</w:t>
      </w:r>
    </w:p>
    <w:p w14:paraId="194BFF79">
      <w:pPr>
        <w:pStyle w:val="14"/>
        <w:spacing w:line="360" w:lineRule="auto"/>
        <w:rPr>
          <w:color w:val="000000"/>
        </w:rPr>
      </w:pPr>
      <w:r>
        <w:rPr>
          <w:color w:val="000000"/>
        </w:rPr>
        <w:t>Fostering leadership in Modern Companies? The firms must invest in programs for continuous leadership development focusing on enhancing emotional intelligence, flexibility and communication skills etc. Programs for development should be created to serve the specific needs of leaders in their organization which fosters growth and innovation.</w:t>
      </w:r>
    </w:p>
    <w:p w14:paraId="13948A0B">
      <w:pPr>
        <w:pStyle w:val="14"/>
        <w:spacing w:line="360" w:lineRule="auto"/>
        <w:rPr>
          <w:color w:val="000000"/>
        </w:rPr>
      </w:pPr>
      <w:r>
        <w:rPr>
          <w:color w:val="000000"/>
        </w:rPr>
        <w:t>For Leadership to Grow: When leadership is candid and conversation, society in general should also be. Leaders are open to feedback and relentlessly seek ways that assure they can continuously improve their approach. Feedback mechanisms could take the form of either formal (eg: anonymous questionnaires) or informal systems, such as regular meetings.</w:t>
      </w:r>
    </w:p>
    <w:p w14:paraId="53F6B2ED">
      <w:pPr>
        <w:pStyle w:val="14"/>
        <w:spacing w:line="360" w:lineRule="auto"/>
        <w:rPr>
          <w:color w:val="000000"/>
        </w:rPr>
      </w:pPr>
      <w:r>
        <w:rPr>
          <w:color w:val="000000"/>
        </w:rPr>
        <w:t>Organizations take the wheel on diversity and inclusion in leadership roles. A more varied leadership team results in a wider set of insights and means you have different ways to build your decisions, therefore encouraging creativity. Leaders must actively champion inclusive policies and ensure that every employee has equitable opportunities for growth.</w:t>
      </w:r>
    </w:p>
    <w:p w14:paraId="12C54356">
      <w:pPr>
        <w:pStyle w:val="14"/>
        <w:spacing w:line="360" w:lineRule="auto"/>
        <w:rPr>
          <w:color w:val="000000"/>
        </w:rPr>
      </w:pPr>
      <w:r>
        <w:rPr>
          <w:color w:val="000000"/>
        </w:rPr>
        <w:t>The new normal a reality that makes resilience and adaptability core skills to navigate changes should be emphasised during leadership programs. It Is the uncertainty that leaders must manage and lead their teams through challenging actions. Leaders have a responsibility to change with the times, and they can be actively supported by good training in resilience, mentoring from experienced managers and opportunities for experiential learning.</w:t>
      </w:r>
    </w:p>
    <w:p w14:paraId="34B4ED6B">
      <w:pPr>
        <w:pStyle w:val="14"/>
        <w:spacing w:line="360" w:lineRule="auto"/>
        <w:rPr>
          <w:color w:val="000000"/>
        </w:rPr>
      </w:pPr>
      <w:r>
        <w:rPr>
          <w:color w:val="000000"/>
        </w:rPr>
        <w:t>Promote cooperative leadership models that facilitate groups in making decisions and engaging creativity dont drive it out. By fostering an environment of collaborative problem-solving and teamwork, leaders can inspire staff to find opportunities for improvement that will move the company forward.</w:t>
      </w:r>
    </w:p>
    <w:p w14:paraId="1C04FE09">
      <w:pPr>
        <w:pStyle w:val="14"/>
        <w:spacing w:line="360" w:lineRule="auto"/>
        <w:rPr>
          <w:color w:val="000000"/>
        </w:rPr>
      </w:pPr>
      <w:r>
        <w:rPr>
          <w:color w:val="000000"/>
        </w:rPr>
        <w:t>So much about the way modern business is put together today has to do with its leadership, which affects everything from profitability and employee morale. Through examining multiple leadership theories and real-case studies, this study demonstrated that good leadership is both complicated yet important to being successful today. The need for adaptive and ethical leadership is immense, as firms navigate the constant change brought about by technology advances, globalization and changing labour dynamics. Inclusive and resilient cultures, combined with strategies for leadership development, may enable organizations to develop successful leaders who champion innovation and sustain lasting success.</w:t>
      </w:r>
    </w:p>
    <w:p w14:paraId="6A03F47E">
      <w:pPr>
        <w:pStyle w:val="14"/>
        <w:spacing w:line="360" w:lineRule="auto"/>
        <w:rPr>
          <w:color w:val="000000"/>
        </w:rPr>
      </w:pPr>
      <w:r>
        <w:rPr>
          <w:color w:val="000000"/>
        </w:rPr>
        <w:t>Companies will have to achieve a never-before-heard opportunity and, as they navigate unforeseen challenges into new markets where leadership development immense value differentiator for success. There are tectonic shifts in leadership, driven by a surge of remote work, artificial intelligence and data-driven decision-making. Leaderships must adopt tech in their plan and the human-centric process as well. Everywhere work is getting proliferated fostering hybrid patterns and digital tools for communication &amp; collaboration are backbones to keep the teams engaged and productive. There will also be a wider which leaders are pushing corporate social responsibility at the core of their business through integrating ethical behaviour and sustainability in all its operations.</w:t>
      </w:r>
    </w:p>
    <w:p w14:paraId="16644398">
      <w:pPr>
        <w:pStyle w:val="14"/>
        <w:spacing w:line="360" w:lineRule="auto"/>
        <w:rPr>
          <w:color w:val="000000"/>
        </w:rPr>
      </w:pPr>
      <w:r>
        <w:t>References :</w:t>
      </w:r>
    </w:p>
    <w:p w14:paraId="775D84AF">
      <w:pPr>
        <w:pStyle w:val="14"/>
        <w:numPr>
          <w:ilvl w:val="0"/>
          <w:numId w:val="1"/>
        </w:numPr>
        <w:spacing w:line="360" w:lineRule="auto"/>
        <w:rPr>
          <w:color w:val="000000"/>
        </w:rPr>
      </w:pPr>
      <w:r>
        <w:rPr>
          <w:color w:val="000000"/>
        </w:rPr>
        <w:t>Bass, B. M., &amp; Riggio, R. E. (2006).</w:t>
      </w:r>
      <w:r>
        <w:rPr>
          <w:rStyle w:val="35"/>
          <w:rFonts w:eastAsiaTheme="majorEastAsia"/>
          <w:color w:val="000000"/>
        </w:rPr>
        <w:t> </w:t>
      </w:r>
      <w:r>
        <w:rPr>
          <w:rStyle w:val="13"/>
          <w:rFonts w:eastAsiaTheme="majorEastAsia"/>
          <w:color w:val="000000"/>
        </w:rPr>
        <w:t>Transformational leadership</w:t>
      </w:r>
      <w:r>
        <w:rPr>
          <w:rStyle w:val="35"/>
          <w:rFonts w:eastAsiaTheme="majorEastAsia"/>
          <w:color w:val="000000"/>
        </w:rPr>
        <w:t> </w:t>
      </w:r>
      <w:r>
        <w:rPr>
          <w:color w:val="000000"/>
        </w:rPr>
        <w:t>(2nd ed.). Psychology Press.</w:t>
      </w:r>
    </w:p>
    <w:p w14:paraId="59B837BE">
      <w:pPr>
        <w:pStyle w:val="14"/>
        <w:numPr>
          <w:ilvl w:val="0"/>
          <w:numId w:val="1"/>
        </w:numPr>
        <w:spacing w:line="360" w:lineRule="auto"/>
        <w:rPr>
          <w:color w:val="000000"/>
        </w:rPr>
      </w:pPr>
      <w:r>
        <w:rPr>
          <w:color w:val="000000"/>
        </w:rPr>
        <w:t>Burns, J. M. (1978).</w:t>
      </w:r>
      <w:r>
        <w:rPr>
          <w:rStyle w:val="35"/>
          <w:rFonts w:eastAsiaTheme="majorEastAsia"/>
          <w:color w:val="000000"/>
        </w:rPr>
        <w:t> </w:t>
      </w:r>
      <w:r>
        <w:rPr>
          <w:rStyle w:val="13"/>
          <w:rFonts w:eastAsiaTheme="majorEastAsia"/>
          <w:color w:val="000000"/>
        </w:rPr>
        <w:t>Leadership</w:t>
      </w:r>
      <w:r>
        <w:rPr>
          <w:color w:val="000000"/>
        </w:rPr>
        <w:t>. Harper &amp; Row.</w:t>
      </w:r>
    </w:p>
    <w:p w14:paraId="0B3F4BC5">
      <w:pPr>
        <w:pStyle w:val="14"/>
        <w:numPr>
          <w:ilvl w:val="0"/>
          <w:numId w:val="1"/>
        </w:numPr>
        <w:spacing w:line="360" w:lineRule="auto"/>
        <w:rPr>
          <w:color w:val="000000"/>
        </w:rPr>
      </w:pPr>
      <w:r>
        <w:rPr>
          <w:color w:val="000000"/>
        </w:rPr>
        <w:t>Greenleaf, R. K. (1970).</w:t>
      </w:r>
      <w:r>
        <w:rPr>
          <w:rStyle w:val="35"/>
          <w:rFonts w:eastAsiaTheme="majorEastAsia"/>
          <w:color w:val="000000"/>
        </w:rPr>
        <w:t> </w:t>
      </w:r>
      <w:r>
        <w:rPr>
          <w:rStyle w:val="13"/>
          <w:rFonts w:eastAsiaTheme="majorEastAsia"/>
          <w:color w:val="000000"/>
        </w:rPr>
        <w:t>The servant as leader</w:t>
      </w:r>
      <w:r>
        <w:rPr>
          <w:color w:val="000000"/>
        </w:rPr>
        <w:t>. Center for Servant Leadership.</w:t>
      </w:r>
    </w:p>
    <w:p w14:paraId="164A6C95">
      <w:pPr>
        <w:pStyle w:val="14"/>
        <w:numPr>
          <w:ilvl w:val="0"/>
          <w:numId w:val="1"/>
        </w:numPr>
        <w:spacing w:line="360" w:lineRule="auto"/>
        <w:rPr>
          <w:color w:val="000000"/>
        </w:rPr>
      </w:pPr>
      <w:r>
        <w:rPr>
          <w:color w:val="000000"/>
        </w:rPr>
        <w:t>Hersey, P., &amp; Blanchard, K. H. (1969).</w:t>
      </w:r>
      <w:r>
        <w:rPr>
          <w:rStyle w:val="35"/>
          <w:rFonts w:eastAsiaTheme="majorEastAsia"/>
          <w:color w:val="000000"/>
        </w:rPr>
        <w:t> </w:t>
      </w:r>
      <w:r>
        <w:rPr>
          <w:rStyle w:val="13"/>
          <w:rFonts w:eastAsiaTheme="majorEastAsia"/>
          <w:color w:val="000000"/>
        </w:rPr>
        <w:t>Management of organizational behavior: Utilizing human resources</w:t>
      </w:r>
      <w:r>
        <w:rPr>
          <w:color w:val="000000"/>
        </w:rPr>
        <w:t>. Prentice-Hall.</w:t>
      </w:r>
    </w:p>
    <w:p w14:paraId="40344375">
      <w:pPr>
        <w:pStyle w:val="14"/>
        <w:numPr>
          <w:ilvl w:val="0"/>
          <w:numId w:val="1"/>
        </w:numPr>
        <w:spacing w:line="360" w:lineRule="auto"/>
        <w:rPr>
          <w:color w:val="000000"/>
        </w:rPr>
      </w:pPr>
      <w:r>
        <w:rPr>
          <w:color w:val="000000"/>
        </w:rPr>
        <w:t>Conger, J. A., &amp; Kanungo, R. N. (1998).</w:t>
      </w:r>
      <w:r>
        <w:rPr>
          <w:rStyle w:val="35"/>
          <w:rFonts w:eastAsiaTheme="majorEastAsia"/>
          <w:color w:val="000000"/>
        </w:rPr>
        <w:t> </w:t>
      </w:r>
      <w:r>
        <w:rPr>
          <w:rStyle w:val="13"/>
          <w:rFonts w:eastAsiaTheme="majorEastAsia"/>
          <w:color w:val="000000"/>
        </w:rPr>
        <w:t>Charismatic leadership in organizations</w:t>
      </w:r>
      <w:r>
        <w:rPr>
          <w:color w:val="000000"/>
        </w:rPr>
        <w:t>. Sage Publications.</w:t>
      </w:r>
    </w:p>
    <w:p w14:paraId="300CA33E">
      <w:pPr>
        <w:pStyle w:val="14"/>
        <w:numPr>
          <w:ilvl w:val="0"/>
          <w:numId w:val="1"/>
        </w:numPr>
        <w:spacing w:line="360" w:lineRule="auto"/>
        <w:rPr>
          <w:color w:val="000000"/>
        </w:rPr>
      </w:pPr>
      <w:r>
        <w:rPr>
          <w:color w:val="000000"/>
        </w:rPr>
        <w:t>Gronn, P. (2002). Distributed leadership.</w:t>
      </w:r>
      <w:r>
        <w:rPr>
          <w:rStyle w:val="35"/>
          <w:rFonts w:eastAsiaTheme="majorEastAsia"/>
          <w:color w:val="000000"/>
        </w:rPr>
        <w:t> </w:t>
      </w:r>
      <w:r>
        <w:rPr>
          <w:rStyle w:val="13"/>
          <w:rFonts w:eastAsiaTheme="majorEastAsia"/>
          <w:color w:val="000000"/>
        </w:rPr>
        <w:t>Research Papers in Education, 17</w:t>
      </w:r>
      <w:r>
        <w:rPr>
          <w:color w:val="000000"/>
        </w:rPr>
        <w:t>(3), 325-345.</w:t>
      </w:r>
      <w:r>
        <w:rPr>
          <w:rStyle w:val="35"/>
          <w:rFonts w:eastAsiaTheme="majorEastAsia"/>
          <w:color w:val="000000"/>
        </w:rPr>
        <w:t> </w:t>
      </w:r>
      <w:r>
        <w:rPr>
          <w:color w:val="000000"/>
        </w:rPr>
        <w:t>https://doi.org/10.1080/0267152022000009387</w:t>
      </w:r>
    </w:p>
    <w:p w14:paraId="6FDF3CCA">
      <w:pPr>
        <w:pStyle w:val="14"/>
        <w:numPr>
          <w:ilvl w:val="0"/>
          <w:numId w:val="1"/>
        </w:numPr>
        <w:spacing w:line="360" w:lineRule="auto"/>
        <w:rPr>
          <w:color w:val="000000"/>
        </w:rPr>
      </w:pPr>
      <w:r>
        <w:rPr>
          <w:color w:val="000000"/>
        </w:rPr>
        <w:t>Heifetz, R. A. (1994).</w:t>
      </w:r>
      <w:r>
        <w:rPr>
          <w:rStyle w:val="35"/>
          <w:rFonts w:eastAsiaTheme="majorEastAsia"/>
          <w:color w:val="000000"/>
        </w:rPr>
        <w:t> </w:t>
      </w:r>
      <w:r>
        <w:rPr>
          <w:rStyle w:val="13"/>
          <w:rFonts w:eastAsiaTheme="majorEastAsia"/>
          <w:color w:val="000000"/>
        </w:rPr>
        <w:t>Leadership without easy answers</w:t>
      </w:r>
      <w:r>
        <w:rPr>
          <w:color w:val="000000"/>
        </w:rPr>
        <w:t>. Belknap Press.</w:t>
      </w:r>
    </w:p>
    <w:p w14:paraId="622C0538">
      <w:pPr>
        <w:pStyle w:val="14"/>
        <w:numPr>
          <w:ilvl w:val="0"/>
          <w:numId w:val="1"/>
        </w:numPr>
        <w:spacing w:line="360" w:lineRule="auto"/>
        <w:rPr>
          <w:color w:val="000000"/>
        </w:rPr>
      </w:pPr>
      <w:r>
        <w:rPr>
          <w:color w:val="000000"/>
        </w:rPr>
        <w:t>Goleman, D. (1995).</w:t>
      </w:r>
      <w:r>
        <w:rPr>
          <w:rStyle w:val="35"/>
          <w:rFonts w:eastAsiaTheme="majorEastAsia"/>
          <w:color w:val="000000"/>
        </w:rPr>
        <w:t> </w:t>
      </w:r>
      <w:r>
        <w:rPr>
          <w:rStyle w:val="13"/>
          <w:rFonts w:eastAsiaTheme="majorEastAsia"/>
          <w:color w:val="000000"/>
        </w:rPr>
        <w:t>Emotional intelligence: Why it can matter more than IQ</w:t>
      </w:r>
      <w:r>
        <w:rPr>
          <w:color w:val="000000"/>
        </w:rPr>
        <w:t>. Bantam Books.</w:t>
      </w:r>
    </w:p>
    <w:p w14:paraId="4DD12E81">
      <w:pPr>
        <w:pStyle w:val="14"/>
        <w:numPr>
          <w:ilvl w:val="0"/>
          <w:numId w:val="1"/>
        </w:numPr>
        <w:spacing w:line="360" w:lineRule="auto"/>
        <w:rPr>
          <w:color w:val="000000"/>
        </w:rPr>
      </w:pPr>
      <w:r>
        <w:rPr>
          <w:color w:val="000000"/>
        </w:rPr>
        <w:t>Pérez, M., &amp; De la Torre, J. (2016). Starbucks Corporation: A case study.</w:t>
      </w:r>
      <w:r>
        <w:rPr>
          <w:rStyle w:val="35"/>
          <w:rFonts w:eastAsiaTheme="majorEastAsia"/>
          <w:color w:val="000000"/>
        </w:rPr>
        <w:t> </w:t>
      </w:r>
      <w:r>
        <w:rPr>
          <w:rStyle w:val="13"/>
          <w:rFonts w:eastAsiaTheme="majorEastAsia"/>
          <w:color w:val="000000"/>
        </w:rPr>
        <w:t>Journal of Business Cases and Applications, 17</w:t>
      </w:r>
      <w:r>
        <w:rPr>
          <w:color w:val="000000"/>
        </w:rPr>
        <w:t>, 1-15.</w:t>
      </w:r>
    </w:p>
    <w:p w14:paraId="6CF1D9AF">
      <w:pPr>
        <w:pStyle w:val="14"/>
        <w:numPr>
          <w:ilvl w:val="0"/>
          <w:numId w:val="1"/>
        </w:numPr>
        <w:spacing w:line="360" w:lineRule="auto"/>
        <w:rPr>
          <w:color w:val="000000"/>
        </w:rPr>
      </w:pPr>
      <w:r>
        <w:rPr>
          <w:color w:val="000000"/>
        </w:rPr>
        <w:t>George, B. (2015).</w:t>
      </w:r>
      <w:r>
        <w:rPr>
          <w:rStyle w:val="35"/>
          <w:rFonts w:eastAsiaTheme="majorEastAsia"/>
          <w:color w:val="000000"/>
        </w:rPr>
        <w:t> </w:t>
      </w:r>
      <w:r>
        <w:rPr>
          <w:rStyle w:val="13"/>
          <w:rFonts w:eastAsiaTheme="majorEastAsia"/>
          <w:color w:val="000000"/>
        </w:rPr>
        <w:t>Discover your true north</w:t>
      </w:r>
      <w:r>
        <w:rPr>
          <w:color w:val="000000"/>
        </w:rPr>
        <w:t>. Jossey-Bass.</w:t>
      </w:r>
    </w:p>
    <w:p w14:paraId="15391214">
      <w:pPr>
        <w:pStyle w:val="14"/>
        <w:numPr>
          <w:ilvl w:val="0"/>
          <w:numId w:val="1"/>
        </w:numPr>
        <w:spacing w:line="360" w:lineRule="auto"/>
        <w:rPr>
          <w:color w:val="000000"/>
        </w:rPr>
      </w:pPr>
      <w:r>
        <w:rPr>
          <w:color w:val="000000"/>
        </w:rPr>
        <w:t>Isaacson, W. (2011).</w:t>
      </w:r>
      <w:r>
        <w:rPr>
          <w:rStyle w:val="35"/>
          <w:rFonts w:eastAsiaTheme="majorEastAsia"/>
          <w:color w:val="000000"/>
        </w:rPr>
        <w:t> </w:t>
      </w:r>
      <w:r>
        <w:rPr>
          <w:rStyle w:val="13"/>
          <w:rFonts w:eastAsiaTheme="majorEastAsia"/>
          <w:color w:val="000000"/>
        </w:rPr>
        <w:t>Steve Jobs</w:t>
      </w:r>
      <w:r>
        <w:rPr>
          <w:color w:val="000000"/>
        </w:rPr>
        <w:t>. Simon &amp; Schuster.</w:t>
      </w:r>
    </w:p>
    <w:p w14:paraId="49773459">
      <w:pPr>
        <w:pStyle w:val="14"/>
        <w:numPr>
          <w:ilvl w:val="0"/>
          <w:numId w:val="1"/>
        </w:numPr>
        <w:spacing w:line="360" w:lineRule="auto"/>
        <w:rPr>
          <w:color w:val="000000"/>
        </w:rPr>
      </w:pPr>
      <w:r>
        <w:rPr>
          <w:color w:val="000000"/>
        </w:rPr>
        <w:t>Ruggs, E. N., &amp; Gorman, C. A. (2018). Mary Barra and General Motors: Leading the transformation.</w:t>
      </w:r>
      <w:r>
        <w:rPr>
          <w:rStyle w:val="35"/>
          <w:rFonts w:eastAsiaTheme="majorEastAsia"/>
          <w:color w:val="000000"/>
        </w:rPr>
        <w:t> </w:t>
      </w:r>
      <w:r>
        <w:rPr>
          <w:rStyle w:val="13"/>
          <w:rFonts w:eastAsiaTheme="majorEastAsia"/>
          <w:color w:val="000000"/>
        </w:rPr>
        <w:t>Journal of Business Leadership, 13</w:t>
      </w:r>
      <w:r>
        <w:rPr>
          <w:color w:val="000000"/>
        </w:rPr>
        <w:t>(1), 29-45.</w:t>
      </w:r>
    </w:p>
    <w:p w14:paraId="7D20252D">
      <w:pPr>
        <w:pStyle w:val="14"/>
        <w:numPr>
          <w:ilvl w:val="0"/>
          <w:numId w:val="1"/>
        </w:numPr>
        <w:spacing w:line="360" w:lineRule="auto"/>
        <w:rPr>
          <w:color w:val="000000"/>
        </w:rPr>
      </w:pPr>
      <w:r>
        <w:rPr>
          <w:color w:val="000000"/>
        </w:rPr>
        <w:t>Yukl, G. (2010).</w:t>
      </w:r>
      <w:r>
        <w:rPr>
          <w:rStyle w:val="35"/>
          <w:rFonts w:eastAsiaTheme="majorEastAsia"/>
          <w:color w:val="000000"/>
        </w:rPr>
        <w:t> </w:t>
      </w:r>
      <w:r>
        <w:rPr>
          <w:rStyle w:val="13"/>
          <w:rFonts w:eastAsiaTheme="majorEastAsia"/>
          <w:color w:val="000000"/>
        </w:rPr>
        <w:t>Leadership in organizations</w:t>
      </w:r>
      <w:r>
        <w:rPr>
          <w:rStyle w:val="35"/>
          <w:rFonts w:eastAsiaTheme="majorEastAsia"/>
          <w:color w:val="000000"/>
        </w:rPr>
        <w:t> </w:t>
      </w:r>
      <w:r>
        <w:rPr>
          <w:color w:val="000000"/>
        </w:rPr>
        <w:t>(7th ed.). Pearson.</w:t>
      </w:r>
    </w:p>
    <w:p w14:paraId="553F304C">
      <w:pPr>
        <w:pStyle w:val="14"/>
        <w:numPr>
          <w:ilvl w:val="0"/>
          <w:numId w:val="1"/>
        </w:numPr>
        <w:spacing w:line="360" w:lineRule="auto"/>
        <w:rPr>
          <w:color w:val="000000"/>
        </w:rPr>
      </w:pPr>
      <w:r>
        <w:rPr>
          <w:color w:val="000000"/>
        </w:rPr>
        <w:t>Harter, J. K., Schmidt, F. L., &amp; Hayes, T. L. (2002). Business-unit-level relationship between employee satisfaction, employee engagement, and business outcomes: A meta-analysis.</w:t>
      </w:r>
      <w:r>
        <w:rPr>
          <w:rStyle w:val="35"/>
          <w:rFonts w:eastAsiaTheme="majorEastAsia"/>
          <w:color w:val="000000"/>
        </w:rPr>
        <w:t> </w:t>
      </w:r>
      <w:r>
        <w:rPr>
          <w:rStyle w:val="13"/>
          <w:rFonts w:eastAsiaTheme="majorEastAsia"/>
          <w:color w:val="000000"/>
        </w:rPr>
        <w:t>Journal of Applied Psychology, 87</w:t>
      </w:r>
      <w:r>
        <w:rPr>
          <w:color w:val="000000"/>
        </w:rPr>
        <w:t>(2), 268-279.</w:t>
      </w:r>
      <w:r>
        <w:rPr>
          <w:rStyle w:val="35"/>
          <w:rFonts w:eastAsiaTheme="majorEastAsia"/>
          <w:color w:val="000000"/>
        </w:rPr>
        <w:t> </w:t>
      </w:r>
      <w:r>
        <w:rPr>
          <w:color w:val="000000"/>
        </w:rPr>
        <w:t>https://doi.org/10.1037/0021-9010.87.2.268</w:t>
      </w:r>
    </w:p>
    <w:p w14:paraId="742CC4AC">
      <w:pPr>
        <w:pStyle w:val="14"/>
        <w:numPr>
          <w:ilvl w:val="0"/>
          <w:numId w:val="1"/>
        </w:numPr>
        <w:spacing w:line="360" w:lineRule="auto"/>
        <w:rPr>
          <w:color w:val="000000"/>
        </w:rPr>
      </w:pPr>
      <w:r>
        <w:rPr>
          <w:color w:val="000000"/>
        </w:rPr>
        <w:t>Northouse, P. G. (2018).</w:t>
      </w:r>
      <w:r>
        <w:rPr>
          <w:rStyle w:val="35"/>
          <w:rFonts w:eastAsiaTheme="majorEastAsia"/>
          <w:color w:val="000000"/>
        </w:rPr>
        <w:t> </w:t>
      </w:r>
      <w:r>
        <w:rPr>
          <w:rStyle w:val="13"/>
          <w:rFonts w:eastAsiaTheme="majorEastAsia"/>
          <w:color w:val="000000"/>
        </w:rPr>
        <w:t>Leadership: Theory and practice</w:t>
      </w:r>
      <w:r>
        <w:rPr>
          <w:rStyle w:val="35"/>
          <w:rFonts w:eastAsiaTheme="majorEastAsia"/>
          <w:color w:val="000000"/>
        </w:rPr>
        <w:t> </w:t>
      </w:r>
      <w:r>
        <w:rPr>
          <w:color w:val="000000"/>
        </w:rPr>
        <w:t>(8th ed.). Sage Publications.</w:t>
      </w:r>
    </w:p>
    <w:p w14:paraId="7481FE5B">
      <w:pPr>
        <w:pStyle w:val="14"/>
        <w:numPr>
          <w:ilvl w:val="0"/>
          <w:numId w:val="1"/>
        </w:numPr>
        <w:spacing w:line="360" w:lineRule="auto"/>
        <w:rPr>
          <w:color w:val="000000"/>
        </w:rPr>
      </w:pPr>
      <w:r>
        <w:rPr>
          <w:color w:val="000000"/>
        </w:rPr>
        <w:t>Collins, J. (2001).</w:t>
      </w:r>
      <w:r>
        <w:rPr>
          <w:rStyle w:val="35"/>
          <w:rFonts w:eastAsiaTheme="majorEastAsia"/>
          <w:color w:val="000000"/>
        </w:rPr>
        <w:t> </w:t>
      </w:r>
      <w:r>
        <w:rPr>
          <w:rStyle w:val="13"/>
          <w:rFonts w:eastAsiaTheme="majorEastAsia"/>
          <w:color w:val="000000"/>
        </w:rPr>
        <w:t>Good to great: Why some companies make the leap... and others don’t</w:t>
      </w:r>
      <w:r>
        <w:rPr>
          <w:color w:val="000000"/>
        </w:rPr>
        <w:t>. HarperBusiness.</w:t>
      </w:r>
    </w:p>
    <w:p w14:paraId="3A07DD46">
      <w:pPr>
        <w:pStyle w:val="14"/>
        <w:numPr>
          <w:ilvl w:val="0"/>
          <w:numId w:val="1"/>
        </w:numPr>
        <w:spacing w:line="360" w:lineRule="auto"/>
        <w:rPr>
          <w:color w:val="000000"/>
        </w:rPr>
      </w:pPr>
      <w:r>
        <w:rPr>
          <w:color w:val="000000"/>
        </w:rPr>
        <w:t>Schein, E. H. (2010).</w:t>
      </w:r>
      <w:r>
        <w:rPr>
          <w:rStyle w:val="35"/>
          <w:rFonts w:eastAsiaTheme="majorEastAsia"/>
          <w:color w:val="000000"/>
        </w:rPr>
        <w:t> </w:t>
      </w:r>
      <w:r>
        <w:rPr>
          <w:rStyle w:val="13"/>
          <w:rFonts w:eastAsiaTheme="majorEastAsia"/>
          <w:color w:val="000000"/>
        </w:rPr>
        <w:t>Organizational culture and leadership</w:t>
      </w:r>
      <w:r>
        <w:rPr>
          <w:rStyle w:val="35"/>
          <w:rFonts w:eastAsiaTheme="majorEastAsia"/>
          <w:color w:val="000000"/>
        </w:rPr>
        <w:t> </w:t>
      </w:r>
      <w:r>
        <w:rPr>
          <w:color w:val="000000"/>
        </w:rPr>
        <w:t>(4th ed.). Jossey-Bass.</w:t>
      </w:r>
    </w:p>
    <w:p w14:paraId="5AC095C7">
      <w:pPr>
        <w:pStyle w:val="14"/>
        <w:numPr>
          <w:ilvl w:val="0"/>
          <w:numId w:val="1"/>
        </w:numPr>
        <w:spacing w:line="360" w:lineRule="auto"/>
        <w:rPr>
          <w:color w:val="000000"/>
        </w:rPr>
      </w:pPr>
      <w:r>
        <w:rPr>
          <w:color w:val="000000"/>
        </w:rPr>
        <w:t>Kotter, J. P. (1996).</w:t>
      </w:r>
      <w:r>
        <w:rPr>
          <w:rStyle w:val="35"/>
          <w:rFonts w:eastAsiaTheme="majorEastAsia"/>
          <w:color w:val="000000"/>
        </w:rPr>
        <w:t> </w:t>
      </w:r>
      <w:r>
        <w:rPr>
          <w:rStyle w:val="13"/>
          <w:rFonts w:eastAsiaTheme="majorEastAsia"/>
          <w:color w:val="000000"/>
        </w:rPr>
        <w:t>Leading change</w:t>
      </w:r>
      <w:r>
        <w:rPr>
          <w:color w:val="000000"/>
        </w:rPr>
        <w:t>. Harvard Business Review Press.</w:t>
      </w:r>
    </w:p>
    <w:p w14:paraId="293EDAD8">
      <w:pPr>
        <w:pStyle w:val="14"/>
        <w:numPr>
          <w:ilvl w:val="0"/>
          <w:numId w:val="1"/>
        </w:numPr>
        <w:spacing w:line="360" w:lineRule="auto"/>
        <w:rPr>
          <w:color w:val="000000"/>
        </w:rPr>
      </w:pPr>
      <w:r>
        <w:rPr>
          <w:color w:val="000000"/>
        </w:rPr>
        <w:t>Avolio, B. J., &amp; Bass, B. M. (2004).</w:t>
      </w:r>
      <w:r>
        <w:rPr>
          <w:rStyle w:val="35"/>
          <w:rFonts w:eastAsiaTheme="majorEastAsia"/>
          <w:color w:val="000000"/>
        </w:rPr>
        <w:t> </w:t>
      </w:r>
      <w:r>
        <w:rPr>
          <w:rStyle w:val="13"/>
          <w:rFonts w:eastAsiaTheme="majorEastAsia"/>
          <w:color w:val="000000"/>
        </w:rPr>
        <w:t>Multifactor leadership questionnaire</w:t>
      </w:r>
      <w:r>
        <w:rPr>
          <w:color w:val="000000"/>
        </w:rPr>
        <w:t>. Mind Garden.</w:t>
      </w:r>
    </w:p>
    <w:p w14:paraId="6B5E6B5B">
      <w:pPr>
        <w:pStyle w:val="14"/>
        <w:numPr>
          <w:ilvl w:val="0"/>
          <w:numId w:val="1"/>
        </w:numPr>
        <w:spacing w:line="360" w:lineRule="auto"/>
        <w:rPr>
          <w:color w:val="000000"/>
        </w:rPr>
      </w:pPr>
      <w:r>
        <w:rPr>
          <w:color w:val="000000"/>
        </w:rPr>
        <w:t>Kouzes, J. M., &amp; Posner, B. Z. (2017).</w:t>
      </w:r>
      <w:r>
        <w:rPr>
          <w:rStyle w:val="35"/>
          <w:rFonts w:eastAsiaTheme="majorEastAsia"/>
          <w:color w:val="000000"/>
        </w:rPr>
        <w:t> </w:t>
      </w:r>
      <w:r>
        <w:rPr>
          <w:rStyle w:val="13"/>
          <w:rFonts w:eastAsiaTheme="majorEastAsia"/>
          <w:color w:val="000000"/>
        </w:rPr>
        <w:t>The leadership challenge: How to make extraordinary things happen in organizations</w:t>
      </w:r>
      <w:r>
        <w:rPr>
          <w:rStyle w:val="35"/>
          <w:rFonts w:eastAsiaTheme="majorEastAsia"/>
          <w:color w:val="000000"/>
        </w:rPr>
        <w:t> </w:t>
      </w:r>
      <w:r>
        <w:rPr>
          <w:color w:val="000000"/>
        </w:rPr>
        <w:t>(6th ed.). Jossey-Bass.</w:t>
      </w:r>
    </w:p>
    <w:p w14:paraId="738EB2CE">
      <w:pPr>
        <w:tabs>
          <w:tab w:val="left" w:pos="8066"/>
        </w:tabs>
        <w:spacing w:line="360" w:lineRule="auto"/>
        <w:rPr>
          <w:rFonts w:ascii="Times New Roman" w:hAnsi="Times New Roman" w:cs="Times New Roman"/>
        </w:rPr>
      </w:pPr>
    </w:p>
    <w:p w14:paraId="10907B44">
      <w:pPr>
        <w:spacing w:line="360" w:lineRule="auto"/>
        <w:rPr>
          <w:rFonts w:ascii="Times New Roman" w:hAnsi="Times New Roman" w:cs="Times New Roman"/>
        </w:rPr>
      </w:pPr>
    </w:p>
    <w:p w14:paraId="4AF78C50">
      <w:pPr>
        <w:spacing w:line="360" w:lineRule="auto"/>
        <w:rPr>
          <w:rFonts w:ascii="Times New Roman" w:hAnsi="Times New Roman" w:cs="Times New Roman"/>
        </w:rPr>
      </w:pPr>
    </w:p>
    <w:p w14:paraId="34986644">
      <w:pPr>
        <w:spacing w:line="360" w:lineRule="auto"/>
        <w:rPr>
          <w:rFonts w:ascii="Times New Roman" w:hAnsi="Times New Roman" w:cs="Times New Roman"/>
        </w:rPr>
      </w:pPr>
    </w:p>
    <w:p w14:paraId="44297E3E">
      <w:pPr>
        <w:spacing w:line="360" w:lineRule="auto"/>
        <w:rPr>
          <w:rFonts w:ascii="Times New Roman" w:hAnsi="Times New Roman" w:cs="Times New Roman"/>
        </w:rPr>
      </w:pPr>
    </w:p>
    <w:p w14:paraId="61F59C07">
      <w:pPr>
        <w:spacing w:line="360" w:lineRule="auto"/>
        <w:rPr>
          <w:rFonts w:ascii="Times New Roman" w:hAnsi="Times New Roman" w:cs="Times New Roman"/>
        </w:rPr>
      </w:pPr>
    </w:p>
    <w:p w14:paraId="2399F0E5">
      <w:pPr>
        <w:spacing w:line="360" w:lineRule="auto"/>
        <w:rPr>
          <w:rFonts w:ascii="Times New Roman" w:hAnsi="Times New Roman" w:cs="Times New Roman"/>
        </w:rPr>
      </w:pPr>
    </w:p>
    <w:p w14:paraId="204D90E1">
      <w:pPr>
        <w:spacing w:line="360" w:lineRule="auto"/>
        <w:rPr>
          <w:rFonts w:ascii="Times New Roman" w:hAnsi="Times New Roman" w:cs="Times New Roman"/>
        </w:rPr>
      </w:pPr>
    </w:p>
    <w:p w14:paraId="743FC2A4">
      <w:pPr>
        <w:spacing w:line="360" w:lineRule="auto"/>
        <w:rPr>
          <w:rFonts w:ascii="Times New Roman" w:hAnsi="Times New Roman" w:cs="Times New Roman"/>
        </w:rPr>
      </w:pPr>
    </w:p>
    <w:p w14:paraId="22C139D6">
      <w:pPr>
        <w:spacing w:line="360" w:lineRule="auto"/>
        <w:rPr>
          <w:rFonts w:ascii="Times New Roman" w:hAnsi="Times New Roman" w:cs="Times New Roman"/>
        </w:rPr>
      </w:pPr>
    </w:p>
    <w:p w14:paraId="18A65968">
      <w:pPr>
        <w:spacing w:line="360" w:lineRule="auto"/>
        <w:rPr>
          <w:rFonts w:ascii="Times New Roman" w:hAnsi="Times New Roman" w:cs="Times New Roman"/>
        </w:rPr>
      </w:pPr>
    </w:p>
    <w:p w14:paraId="37A6C59B">
      <w:pPr>
        <w:spacing w:line="360" w:lineRule="auto"/>
        <w:rPr>
          <w:rFonts w:ascii="Times New Roman" w:hAnsi="Times New Roman" w:cs="Times New Roman"/>
        </w:rPr>
      </w:pPr>
    </w:p>
    <w:p w14:paraId="1D972F55">
      <w:pPr>
        <w:spacing w:line="360" w:lineRule="auto"/>
        <w:rPr>
          <w:rFonts w:ascii="Times New Roman" w:hAnsi="Times New Roman" w:cs="Times New Roman"/>
        </w:rPr>
      </w:pPr>
    </w:p>
    <w:sectPr>
      <w:pgSz w:w="11906" w:h="16838"/>
      <w:pgMar w:top="1440" w:right="1440" w:bottom="1440" w:left="144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Aptos">
    <w:altName w:val="SimSun"/>
    <w:panose1 w:val="020B0004020202020204"/>
    <w:charset w:val="86"/>
    <w:family w:val="swiss"/>
    <w:pitch w:val="default"/>
    <w:sig w:usb0="00000000" w:usb1="00000000" w:usb2="00000000" w:usb3="00000000" w:csb0="0000019F" w:csb1="00000000"/>
  </w:font>
  <w:font w:name="Aptos">
    <w:altName w:val="Segoe Print"/>
    <w:panose1 w:val="00000000000000000000"/>
    <w:charset w:val="00"/>
    <w:family w:val="auto"/>
    <w:pitch w:val="default"/>
    <w:sig w:usb0="00000000" w:usb1="00000000" w:usb2="00000000" w:usb3="00000000" w:csb0="00000000" w:csb1="00000000"/>
  </w:font>
  <w:font w:name="Aptos Display">
    <w:altName w:val="Segoe Print"/>
    <w:panose1 w:val="020B0004020202020204"/>
    <w:charset w:val="00"/>
    <w:family w:val="swiss"/>
    <w:pitch w:val="default"/>
    <w:sig w:usb0="00000000" w:usb1="00000000" w:usb2="00000000" w:usb3="00000000" w:csb0="0000019F" w:csb1="00000000"/>
  </w:font>
  <w:font w:name="等线 Light">
    <w:altName w:val="Segoe Print"/>
    <w:panose1 w:val="00000000000000000000"/>
    <w:charset w:val="00"/>
    <w:family w:val="auto"/>
    <w:pitch w:val="default"/>
    <w:sig w:usb0="00000000" w:usb1="00000000" w:usb2="00000000" w:usb3="00000000" w:csb0="00000000" w:csb1="00000000"/>
  </w:font>
  <w:font w:name="Segoe UI Symbol">
    <w:panose1 w:val="020B0502040204020203"/>
    <w:charset w:val="00"/>
    <w:family w:val="swiss"/>
    <w:pitch w:val="default"/>
    <w:sig w:usb0="800001E3" w:usb1="1200FFEF" w:usb2="00040000" w:usb3="04000000" w:csb0="00000001" w:csb1="40000000"/>
  </w:font>
  <w:font w:name="Segoe Print">
    <w:panose1 w:val="02000600000000000000"/>
    <w:charset w:val="00"/>
    <w:family w:val="auto"/>
    <w:pitch w:val="default"/>
    <w:sig w:usb0="0000028F" w:usb1="00000000" w:usb2="00000000" w:usb3="00000000" w:csb0="2000009F" w:csb1="47010000"/>
  </w:font>
  <w:font w:name="Microsoft YaHei">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5F54FF2"/>
    <w:multiLevelType w:val="multilevel"/>
    <w:tmpl w:val="55F54FF2"/>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7622"/>
    <w:rsid w:val="00070063"/>
    <w:rsid w:val="00112FF5"/>
    <w:rsid w:val="00146116"/>
    <w:rsid w:val="00183B43"/>
    <w:rsid w:val="002C4DE2"/>
    <w:rsid w:val="00376270"/>
    <w:rsid w:val="00401AA0"/>
    <w:rsid w:val="004421AB"/>
    <w:rsid w:val="004E4765"/>
    <w:rsid w:val="0053305F"/>
    <w:rsid w:val="005D3A84"/>
    <w:rsid w:val="007A7487"/>
    <w:rsid w:val="00930BF9"/>
    <w:rsid w:val="00A466A3"/>
    <w:rsid w:val="00AA2876"/>
    <w:rsid w:val="00C54863"/>
    <w:rsid w:val="00CB5077"/>
    <w:rsid w:val="00D363FC"/>
    <w:rsid w:val="00D50F2F"/>
    <w:rsid w:val="00DF287B"/>
    <w:rsid w:val="00EA526A"/>
    <w:rsid w:val="00F524B3"/>
    <w:rsid w:val="00FD7622"/>
    <w:rsid w:val="0B846854"/>
    <w:rsid w:val="430D7192"/>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HAnsi" w:cstheme="minorBidi"/>
      <w:kern w:val="2"/>
      <w:sz w:val="24"/>
      <w:szCs w:val="24"/>
      <w:lang w:val="en-MY" w:eastAsia="en-US" w:bidi="ar-SA"/>
      <w14:ligatures w14:val="standardContextual"/>
    </w:rPr>
  </w:style>
  <w:style w:type="paragraph" w:styleId="2">
    <w:name w:val="heading 1"/>
    <w:basedOn w:val="1"/>
    <w:next w:val="1"/>
    <w:link w:val="17"/>
    <w:qFormat/>
    <w:uiPriority w:val="9"/>
    <w:pPr>
      <w:keepNext/>
      <w:keepLines/>
      <w:spacing w:before="360" w:after="80"/>
      <w:outlineLvl w:val="0"/>
    </w:pPr>
    <w:rPr>
      <w:rFonts w:asciiTheme="majorHAnsi" w:hAnsiTheme="majorHAnsi" w:eastAsiaTheme="majorEastAsia" w:cstheme="majorBidi"/>
      <w:color w:val="104862" w:themeColor="accent1" w:themeShade="BF"/>
      <w:sz w:val="40"/>
      <w:szCs w:val="40"/>
    </w:rPr>
  </w:style>
  <w:style w:type="paragraph" w:styleId="3">
    <w:name w:val="heading 2"/>
    <w:basedOn w:val="1"/>
    <w:next w:val="1"/>
    <w:link w:val="18"/>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32"/>
      <w:szCs w:val="32"/>
    </w:rPr>
  </w:style>
  <w:style w:type="paragraph" w:styleId="4">
    <w:name w:val="heading 3"/>
    <w:basedOn w:val="1"/>
    <w:next w:val="1"/>
    <w:link w:val="19"/>
    <w:semiHidden/>
    <w:unhideWhenUsed/>
    <w:qFormat/>
    <w:uiPriority w:val="9"/>
    <w:pPr>
      <w:keepNext/>
      <w:keepLines/>
      <w:spacing w:before="160" w:after="80"/>
      <w:outlineLvl w:val="2"/>
    </w:pPr>
    <w:rPr>
      <w:rFonts w:eastAsiaTheme="majorEastAsia" w:cstheme="majorBidi"/>
      <w:color w:val="104862" w:themeColor="accent1" w:themeShade="BF"/>
      <w:sz w:val="28"/>
      <w:szCs w:val="28"/>
    </w:rPr>
  </w:style>
  <w:style w:type="paragraph" w:styleId="5">
    <w:name w:val="heading 4"/>
    <w:basedOn w:val="1"/>
    <w:next w:val="1"/>
    <w:link w:val="20"/>
    <w:semiHidden/>
    <w:unhideWhenUsed/>
    <w:qFormat/>
    <w:uiPriority w:val="9"/>
    <w:pPr>
      <w:keepNext/>
      <w:keepLines/>
      <w:spacing w:before="80" w:after="40"/>
      <w:outlineLvl w:val="3"/>
    </w:pPr>
    <w:rPr>
      <w:rFonts w:eastAsiaTheme="majorEastAsia" w:cstheme="majorBidi"/>
      <w:i/>
      <w:iCs/>
      <w:color w:val="104862" w:themeColor="accent1" w:themeShade="BF"/>
    </w:rPr>
  </w:style>
  <w:style w:type="paragraph" w:styleId="6">
    <w:name w:val="heading 5"/>
    <w:basedOn w:val="1"/>
    <w:next w:val="1"/>
    <w:link w:val="21"/>
    <w:semiHidden/>
    <w:unhideWhenUsed/>
    <w:qFormat/>
    <w:uiPriority w:val="9"/>
    <w:pPr>
      <w:keepNext/>
      <w:keepLines/>
      <w:spacing w:before="80" w:after="40"/>
      <w:outlineLvl w:val="4"/>
    </w:pPr>
    <w:rPr>
      <w:rFonts w:eastAsiaTheme="majorEastAsia" w:cstheme="majorBidi"/>
      <w:color w:val="104862" w:themeColor="accent1" w:themeShade="BF"/>
    </w:rPr>
  </w:style>
  <w:style w:type="paragraph" w:styleId="7">
    <w:name w:val="heading 6"/>
    <w:basedOn w:val="1"/>
    <w:next w:val="1"/>
    <w:link w:val="22"/>
    <w:semiHidden/>
    <w:unhideWhenUsed/>
    <w:qFormat/>
    <w:uiPriority w:val="9"/>
    <w:pPr>
      <w:keepNext/>
      <w:keepLines/>
      <w:spacing w:before="4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3"/>
    <w:semiHidden/>
    <w:unhideWhenUsed/>
    <w:qFormat/>
    <w:uiPriority w:val="9"/>
    <w:pPr>
      <w:keepNext/>
      <w:keepLines/>
      <w:spacing w:before="4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4"/>
    <w:semiHidden/>
    <w:unhideWhenUsed/>
    <w:qFormat/>
    <w:uiPriority w:val="9"/>
    <w:pPr>
      <w:keepNext/>
      <w:keepLines/>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25"/>
    <w:semiHidden/>
    <w:unhideWhenUsed/>
    <w:qFormat/>
    <w:uiPriority w:val="9"/>
    <w:pPr>
      <w:keepNext/>
      <w:keepLines/>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styleId="13">
    <w:name w:val="Emphasis"/>
    <w:basedOn w:val="11"/>
    <w:qFormat/>
    <w:uiPriority w:val="20"/>
    <w:rPr>
      <w:i/>
      <w:iCs/>
    </w:rPr>
  </w:style>
  <w:style w:type="paragraph" w:styleId="14">
    <w:name w:val="Normal (Web)"/>
    <w:basedOn w:val="1"/>
    <w:unhideWhenUsed/>
    <w:qFormat/>
    <w:uiPriority w:val="99"/>
    <w:pPr>
      <w:spacing w:before="100" w:beforeAutospacing="1" w:after="100" w:afterAutospacing="1"/>
    </w:pPr>
    <w:rPr>
      <w:rFonts w:ascii="Times New Roman" w:hAnsi="Times New Roman" w:eastAsia="Times New Roman" w:cs="Times New Roman"/>
      <w:kern w:val="0"/>
      <w:lang w:eastAsia="en-GB"/>
      <w14:ligatures w14:val="none"/>
    </w:rPr>
  </w:style>
  <w:style w:type="paragraph" w:styleId="15">
    <w:name w:val="Subtitle"/>
    <w:basedOn w:val="1"/>
    <w:next w:val="1"/>
    <w:link w:val="27"/>
    <w:qFormat/>
    <w:uiPriority w:val="11"/>
    <w:pPr>
      <w:spacing w:after="160"/>
    </w:pPr>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6">
    <w:name w:val="Title"/>
    <w:basedOn w:val="1"/>
    <w:next w:val="1"/>
    <w:link w:val="26"/>
    <w:qFormat/>
    <w:uiPriority w:val="10"/>
    <w:pPr>
      <w:spacing w:after="80"/>
      <w:contextualSpacing/>
    </w:pPr>
    <w:rPr>
      <w:rFonts w:asciiTheme="majorHAnsi" w:hAnsiTheme="majorHAnsi" w:eastAsiaTheme="majorEastAsia" w:cstheme="majorBidi"/>
      <w:spacing w:val="-10"/>
      <w:kern w:val="28"/>
      <w:sz w:val="56"/>
      <w:szCs w:val="56"/>
    </w:rPr>
  </w:style>
  <w:style w:type="character" w:customStyle="1" w:styleId="17">
    <w:name w:val="Heading 1 Char"/>
    <w:basedOn w:val="11"/>
    <w:link w:val="2"/>
    <w:qFormat/>
    <w:uiPriority w:val="0"/>
    <w:rPr>
      <w:rFonts w:asciiTheme="majorHAnsi" w:hAnsiTheme="majorHAnsi" w:eastAsiaTheme="majorEastAsia" w:cstheme="majorBidi"/>
      <w:color w:val="104862" w:themeColor="accent1" w:themeShade="BF"/>
      <w:sz w:val="40"/>
      <w:szCs w:val="40"/>
    </w:rPr>
  </w:style>
  <w:style w:type="character" w:customStyle="1" w:styleId="18">
    <w:name w:val="Heading 2 Char"/>
    <w:basedOn w:val="11"/>
    <w:link w:val="3"/>
    <w:uiPriority w:val="0"/>
    <w:rPr>
      <w:rFonts w:asciiTheme="majorHAnsi" w:hAnsiTheme="majorHAnsi" w:eastAsiaTheme="majorEastAsia" w:cstheme="majorBidi"/>
      <w:color w:val="104862" w:themeColor="accent1" w:themeShade="BF"/>
      <w:sz w:val="32"/>
      <w:szCs w:val="32"/>
    </w:rPr>
  </w:style>
  <w:style w:type="character" w:customStyle="1" w:styleId="19">
    <w:name w:val="Heading 3 Char"/>
    <w:basedOn w:val="11"/>
    <w:link w:val="4"/>
    <w:semiHidden/>
    <w:qFormat/>
    <w:uiPriority w:val="9"/>
    <w:rPr>
      <w:rFonts w:eastAsiaTheme="majorEastAsia" w:cstheme="majorBidi"/>
      <w:color w:val="104862" w:themeColor="accent1" w:themeShade="BF"/>
      <w:sz w:val="28"/>
      <w:szCs w:val="28"/>
    </w:rPr>
  </w:style>
  <w:style w:type="character" w:customStyle="1" w:styleId="20">
    <w:name w:val="Heading 4 Char"/>
    <w:basedOn w:val="11"/>
    <w:link w:val="5"/>
    <w:semiHidden/>
    <w:qFormat/>
    <w:uiPriority w:val="9"/>
    <w:rPr>
      <w:rFonts w:eastAsiaTheme="majorEastAsia" w:cstheme="majorBidi"/>
      <w:i/>
      <w:iCs/>
      <w:color w:val="104862" w:themeColor="accent1" w:themeShade="BF"/>
    </w:rPr>
  </w:style>
  <w:style w:type="character" w:customStyle="1" w:styleId="21">
    <w:name w:val="Heading 5 Char"/>
    <w:basedOn w:val="11"/>
    <w:link w:val="6"/>
    <w:semiHidden/>
    <w:qFormat/>
    <w:uiPriority w:val="9"/>
    <w:rPr>
      <w:rFonts w:eastAsiaTheme="majorEastAsia" w:cstheme="majorBidi"/>
      <w:color w:val="104862" w:themeColor="accent1" w:themeShade="BF"/>
    </w:rPr>
  </w:style>
  <w:style w:type="character" w:customStyle="1" w:styleId="22">
    <w:name w:val="Heading 6 Char"/>
    <w:basedOn w:val="11"/>
    <w:link w:val="7"/>
    <w:semiHidden/>
    <w:qFormat/>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3">
    <w:name w:val="Heading 7 Char"/>
    <w:basedOn w:val="11"/>
    <w:link w:val="8"/>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4">
    <w:name w:val="Heading 8 Char"/>
    <w:basedOn w:val="11"/>
    <w:link w:val="9"/>
    <w:semiHidden/>
    <w:qFormat/>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25">
    <w:name w:val="Heading 9 Char"/>
    <w:basedOn w:val="11"/>
    <w:link w:val="10"/>
    <w:semiHidden/>
    <w:qFormat/>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26">
    <w:name w:val="Title Char"/>
    <w:basedOn w:val="11"/>
    <w:link w:val="16"/>
    <w:qFormat/>
    <w:uiPriority w:val="10"/>
    <w:rPr>
      <w:rFonts w:asciiTheme="majorHAnsi" w:hAnsiTheme="majorHAnsi" w:eastAsiaTheme="majorEastAsia" w:cstheme="majorBidi"/>
      <w:spacing w:val="-10"/>
      <w:kern w:val="28"/>
      <w:sz w:val="56"/>
      <w:szCs w:val="56"/>
    </w:rPr>
  </w:style>
  <w:style w:type="character" w:customStyle="1" w:styleId="27">
    <w:name w:val="Subtitle Char"/>
    <w:basedOn w:val="11"/>
    <w:link w:val="15"/>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8">
    <w:name w:val="Quote"/>
    <w:basedOn w:val="1"/>
    <w:next w:val="1"/>
    <w:link w:val="29"/>
    <w:qFormat/>
    <w:uiPriority w:val="29"/>
    <w:pPr>
      <w:spacing w:before="160" w:after="160"/>
      <w:jc w:val="center"/>
    </w:pPr>
    <w:rPr>
      <w:i/>
      <w:iCs/>
      <w:color w:val="404040" w:themeColor="text1" w:themeTint="BF"/>
      <w14:textFill>
        <w14:solidFill>
          <w14:schemeClr w14:val="tx1">
            <w14:lumMod w14:val="75000"/>
            <w14:lumOff w14:val="25000"/>
          </w14:schemeClr>
        </w14:solidFill>
      </w14:textFill>
    </w:rPr>
  </w:style>
  <w:style w:type="character" w:customStyle="1" w:styleId="29">
    <w:name w:val="Quote Char"/>
    <w:basedOn w:val="11"/>
    <w:link w:val="28"/>
    <w:qFormat/>
    <w:uiPriority w:val="29"/>
    <w:rPr>
      <w:i/>
      <w:iCs/>
      <w:color w:val="404040" w:themeColor="text1" w:themeTint="BF"/>
      <w14:textFill>
        <w14:solidFill>
          <w14:schemeClr w14:val="tx1">
            <w14:lumMod w14:val="75000"/>
            <w14:lumOff w14:val="25000"/>
          </w14:schemeClr>
        </w14:solidFill>
      </w14:textFill>
    </w:rPr>
  </w:style>
  <w:style w:type="paragraph" w:styleId="30">
    <w:name w:val="List Paragraph"/>
    <w:basedOn w:val="1"/>
    <w:qFormat/>
    <w:uiPriority w:val="34"/>
    <w:pPr>
      <w:ind w:left="720"/>
      <w:contextualSpacing/>
    </w:pPr>
  </w:style>
  <w:style w:type="character" w:customStyle="1" w:styleId="31">
    <w:name w:val="Intense Emphasis"/>
    <w:basedOn w:val="11"/>
    <w:qFormat/>
    <w:uiPriority w:val="21"/>
    <w:rPr>
      <w:i/>
      <w:iCs/>
      <w:color w:val="104862" w:themeColor="accent1" w:themeShade="BF"/>
    </w:rPr>
  </w:style>
  <w:style w:type="paragraph" w:styleId="32">
    <w:name w:val="Intense Quote"/>
    <w:basedOn w:val="1"/>
    <w:next w:val="1"/>
    <w:link w:val="33"/>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3">
    <w:name w:val="Intense Quote Char"/>
    <w:basedOn w:val="11"/>
    <w:link w:val="32"/>
    <w:qFormat/>
    <w:uiPriority w:val="30"/>
    <w:rPr>
      <w:i/>
      <w:iCs/>
      <w:color w:val="104862" w:themeColor="accent1" w:themeShade="BF"/>
    </w:rPr>
  </w:style>
  <w:style w:type="character" w:customStyle="1" w:styleId="34">
    <w:name w:val="Intense Reference"/>
    <w:basedOn w:val="11"/>
    <w:qFormat/>
    <w:uiPriority w:val="32"/>
    <w:rPr>
      <w:b/>
      <w:bCs/>
      <w:smallCaps/>
      <w:color w:val="104862" w:themeColor="accent1" w:themeShade="BF"/>
      <w:spacing w:val="5"/>
    </w:rPr>
  </w:style>
  <w:style w:type="character" w:customStyle="1" w:styleId="35">
    <w:name w:val="apple-converted-space"/>
    <w:basedOn w:val="11"/>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3479</Words>
  <Characters>19836</Characters>
  <Lines>165</Lines>
  <Paragraphs>46</Paragraphs>
  <TotalTime>83</TotalTime>
  <ScaleCrop>false</ScaleCrop>
  <LinksUpToDate>false</LinksUpToDate>
  <CharactersWithSpaces>23269</CharactersWithSpaces>
  <Application>WPS Office_12.2.0.17153_F1E327BC-269C-435d-A152-05C5408002CA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2024-08-16T15:08:00Z</dcterms:created>
  <dc:creator>Nantha Kumar</dc:creator>
  <cp:lastModifiedBy>Vaishnavi Devi Nanthakumar</cp:lastModifiedBy>
  <dcterms:modified xsi:type="dcterms:W3CDTF">2024-08-19T01:38:37Z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1033-12.2.0.17153</vt:lpwstr>
  </property>
  <property fmtid="{D5CDD505-2E9C-101B-9397-08002B2CF9AE}" pid="3" name="ICV">
    <vt:lpwstr>7F4A9083CFD04923945123273F240933_13</vt:lpwstr>
  </property>
</Properties>
</file>