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13BED312" w14:textId="77777777" w:rsidR="00E74C31" w:rsidRPr="006C4158" w:rsidRDefault="00E74C31" w:rsidP="00E74C31">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Learner’s name: </w:t>
            </w:r>
            <w:r>
              <w:rPr>
                <w:rFonts w:ascii="Times New Roman" w:hAnsi="Times New Roman" w:cs="Times New Roman"/>
                <w:color w:val="auto"/>
                <w:sz w:val="48"/>
              </w:rPr>
              <w:t>Rebecca Bartle</w:t>
            </w:r>
          </w:p>
          <w:p w14:paraId="1AB42299" w14:textId="77777777" w:rsidR="00E74C31" w:rsidRDefault="00E74C31" w:rsidP="00E74C31">
            <w:pPr>
              <w:overflowPunct/>
              <w:autoSpaceDE/>
              <w:autoSpaceDN/>
              <w:adjustRightInd/>
              <w:ind w:right="-957"/>
              <w:textAlignment w:val="auto"/>
              <w:rPr>
                <w:rFonts w:ascii="Times New Roman" w:hAnsi="Times New Roman" w:cs="Times New Roman"/>
                <w:b/>
                <w:color w:val="auto"/>
                <w:sz w:val="48"/>
              </w:rPr>
            </w:pPr>
          </w:p>
          <w:p w14:paraId="0B9FFEE2" w14:textId="77777777" w:rsidR="00E74C31" w:rsidRDefault="00E74C31" w:rsidP="00E74C3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p>
          <w:p w14:paraId="1401D987" w14:textId="77777777" w:rsidR="00E74C31" w:rsidRDefault="00177A79" w:rsidP="00E74C31">
            <w:pPr>
              <w:overflowPunct/>
              <w:autoSpaceDE/>
              <w:autoSpaceDN/>
              <w:adjustRightInd/>
              <w:ind w:right="-957"/>
              <w:textAlignment w:val="auto"/>
              <w:rPr>
                <w:rFonts w:ascii="Times New Roman" w:hAnsi="Times New Roman" w:cs="Times New Roman"/>
                <w:color w:val="auto"/>
                <w:sz w:val="48"/>
              </w:rPr>
            </w:pPr>
            <w:hyperlink r:id="rId11" w:history="1">
              <w:r w:rsidR="00E74C31" w:rsidRPr="00F612AE">
                <w:rPr>
                  <w:rStyle w:val="Hyperlink"/>
                  <w:rFonts w:ascii="Times New Roman" w:hAnsi="Times New Roman" w:cs="Times New Roman"/>
                  <w:sz w:val="48"/>
                </w:rPr>
                <w:t>Becca.bartle@googlemail.com</w:t>
              </w:r>
            </w:hyperlink>
          </w:p>
          <w:p w14:paraId="2602D714" w14:textId="77777777" w:rsidR="00E74C31" w:rsidRDefault="00177A79" w:rsidP="00E74C31">
            <w:pPr>
              <w:overflowPunct/>
              <w:autoSpaceDE/>
              <w:autoSpaceDN/>
              <w:adjustRightInd/>
              <w:ind w:right="-957"/>
              <w:textAlignment w:val="auto"/>
              <w:rPr>
                <w:rFonts w:ascii="Times New Roman" w:hAnsi="Times New Roman" w:cs="Times New Roman"/>
                <w:color w:val="auto"/>
                <w:sz w:val="48"/>
              </w:rPr>
            </w:pPr>
            <w:hyperlink r:id="rId12" w:history="1">
              <w:r w:rsidR="00E74C31" w:rsidRPr="00F612AE">
                <w:rPr>
                  <w:rStyle w:val="Hyperlink"/>
                  <w:rFonts w:ascii="Times New Roman" w:hAnsi="Times New Roman" w:cs="Times New Roman"/>
                  <w:sz w:val="48"/>
                </w:rPr>
                <w:t>1500035@student.uwtsd.ac.uk</w:t>
              </w:r>
            </w:hyperlink>
          </w:p>
          <w:p w14:paraId="5601D53C" w14:textId="77777777" w:rsidR="00E74C31" w:rsidRPr="006C4158" w:rsidRDefault="00E74C31" w:rsidP="00E74C31">
            <w:pPr>
              <w:overflowPunct/>
              <w:autoSpaceDE/>
              <w:autoSpaceDN/>
              <w:adjustRightInd/>
              <w:ind w:right="-957"/>
              <w:textAlignment w:val="auto"/>
              <w:rPr>
                <w:rFonts w:ascii="Times New Roman" w:hAnsi="Times New Roman" w:cs="Times New Roman"/>
                <w:color w:val="auto"/>
                <w:sz w:val="48"/>
              </w:rPr>
            </w:pPr>
          </w:p>
          <w:p w14:paraId="1F5E36C4" w14:textId="77777777" w:rsidR="00E74C31" w:rsidRDefault="00E74C31" w:rsidP="00E74C31">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7C67BA1E" w14:textId="77777777" w:rsidR="00E74C31" w:rsidRPr="006C4158" w:rsidRDefault="00E74C31" w:rsidP="00E74C31">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 </w:t>
            </w:r>
            <w:r>
              <w:rPr>
                <w:rFonts w:ascii="Times New Roman" w:hAnsi="Times New Roman" w:cs="Times New Roman"/>
                <w:color w:val="auto"/>
                <w:sz w:val="48"/>
              </w:rPr>
              <w:t>1500035</w:t>
            </w:r>
          </w:p>
          <w:p w14:paraId="325C0497" w14:textId="77777777" w:rsidR="00E74C31" w:rsidRPr="005D3F07" w:rsidRDefault="00E74C31" w:rsidP="00E74C31">
            <w:pPr>
              <w:overflowPunct/>
              <w:autoSpaceDE/>
              <w:autoSpaceDN/>
              <w:adjustRightInd/>
              <w:ind w:right="-957"/>
              <w:textAlignment w:val="auto"/>
              <w:rPr>
                <w:rFonts w:ascii="Times New Roman" w:hAnsi="Times New Roman" w:cs="Times New Roman"/>
                <w:b/>
                <w:color w:val="auto"/>
                <w:sz w:val="48"/>
              </w:rPr>
            </w:pPr>
          </w:p>
          <w:p w14:paraId="5F84129B" w14:textId="0F28D9B8" w:rsidR="0085230E" w:rsidRPr="00BC145A" w:rsidRDefault="00E74C31" w:rsidP="00E74C31">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 xml:space="preserve">Cohort: </w:t>
            </w:r>
            <w:r>
              <w:rPr>
                <w:rFonts w:ascii="Times New Roman" w:hAnsi="Times New Roman" w:cs="Times New Roman"/>
                <w:color w:val="auto"/>
                <w:sz w:val="48"/>
              </w:rPr>
              <w:t>18</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AC5C4B8" w14:textId="22055A0F" w:rsidR="00E74C31" w:rsidRDefault="00E74C31" w:rsidP="00E74C31">
            <w:pPr>
              <w:spacing w:line="360" w:lineRule="auto"/>
              <w:jc w:val="both"/>
              <w:rPr>
                <w:sz w:val="24"/>
                <w:szCs w:val="24"/>
              </w:rPr>
            </w:pPr>
            <w:r w:rsidRPr="00C81EB5">
              <w:rPr>
                <w:sz w:val="24"/>
                <w:szCs w:val="24"/>
              </w:rPr>
              <w:t xml:space="preserve">Within adult safeguarding, the Social Services and Well-being (Wales) Act 2014 (SSWBA) remains the primary piece of safeguarding legislation as it provides under </w:t>
            </w:r>
            <w:r w:rsidR="00F81F56">
              <w:rPr>
                <w:sz w:val="24"/>
                <w:szCs w:val="24"/>
              </w:rPr>
              <w:t xml:space="preserve">part 7, </w:t>
            </w:r>
            <w:r w:rsidRPr="00C81EB5">
              <w:rPr>
                <w:sz w:val="24"/>
                <w:szCs w:val="24"/>
              </w:rPr>
              <w:t>Section 126 (1) the definition of an adult at risk as ‘an adult who is experiencing or is at risk of abuse or neglect’. Pa</w:t>
            </w:r>
            <w:r w:rsidR="00430F3E">
              <w:rPr>
                <w:sz w:val="24"/>
                <w:szCs w:val="24"/>
              </w:rPr>
              <w:t xml:space="preserve">rt 10 of the SSWBA (2014) is another example of how the legislation highlights </w:t>
            </w:r>
            <w:r w:rsidRPr="00C81EB5">
              <w:rPr>
                <w:sz w:val="24"/>
                <w:szCs w:val="24"/>
              </w:rPr>
              <w:t xml:space="preserve">the need to work in cooperation with professionals </w:t>
            </w:r>
            <w:r w:rsidR="00430F3E">
              <w:rPr>
                <w:sz w:val="24"/>
                <w:szCs w:val="24"/>
              </w:rPr>
              <w:t xml:space="preserve">as well as the code of practice for social workers within Wales. </w:t>
            </w:r>
            <w:r w:rsidR="00F81F56">
              <w:rPr>
                <w:sz w:val="24"/>
                <w:szCs w:val="24"/>
              </w:rPr>
              <w:t xml:space="preserve">The SSWBA (2014) is used in conjunction with the Wales Safeguarding Procedures (2019) which replaced the All Wales Child Protection Procedures and the Wales Interim Policy and Procedures for the Protection of Vulnerable Adults from Abuse. These procedures ensure that professionals working alongside adults at risk can </w:t>
            </w:r>
            <w:r w:rsidR="00691BF5">
              <w:rPr>
                <w:sz w:val="24"/>
                <w:szCs w:val="24"/>
              </w:rPr>
              <w:t>instigate</w:t>
            </w:r>
            <w:r w:rsidR="00F81F56">
              <w:rPr>
                <w:sz w:val="24"/>
                <w:szCs w:val="24"/>
              </w:rPr>
              <w:t xml:space="preserve"> any immediate action needed to ensure that the adult is safe from significant risk or harm (Wales Safeguarding Procedures, 2019). </w:t>
            </w:r>
          </w:p>
          <w:p w14:paraId="5018A28E" w14:textId="77777777" w:rsidR="00E74C31" w:rsidRDefault="00E74C31" w:rsidP="00E74C31">
            <w:pPr>
              <w:spacing w:line="360" w:lineRule="auto"/>
              <w:jc w:val="both"/>
              <w:rPr>
                <w:sz w:val="24"/>
                <w:szCs w:val="24"/>
              </w:rPr>
            </w:pPr>
          </w:p>
          <w:p w14:paraId="76F5DE52" w14:textId="09CEC9EB" w:rsidR="00F81F56" w:rsidRDefault="00F81F56" w:rsidP="00E74C31">
            <w:pPr>
              <w:spacing w:line="360" w:lineRule="auto"/>
              <w:jc w:val="both"/>
              <w:rPr>
                <w:sz w:val="24"/>
                <w:szCs w:val="24"/>
              </w:rPr>
            </w:pPr>
            <w:r>
              <w:rPr>
                <w:sz w:val="24"/>
                <w:szCs w:val="24"/>
              </w:rPr>
              <w:t xml:space="preserve">As opposed to children’s services, </w:t>
            </w:r>
            <w:r w:rsidRPr="00C81EB5">
              <w:rPr>
                <w:sz w:val="24"/>
                <w:szCs w:val="24"/>
              </w:rPr>
              <w:t xml:space="preserve">The Mental Capacity Act 2005 and the Mental Health Act 1983 are more so used in adult safeguarding due to the need for professionals to be able to step in and safeguard an adult at risk. </w:t>
            </w:r>
            <w:r>
              <w:rPr>
                <w:sz w:val="24"/>
                <w:szCs w:val="24"/>
              </w:rPr>
              <w:t xml:space="preserve">In the first instance, capacity should be assumed in line with the Act’s five principles as stated in </w:t>
            </w:r>
            <w:r w:rsidRPr="00C81EB5">
              <w:rPr>
                <w:sz w:val="24"/>
                <w:szCs w:val="24"/>
              </w:rPr>
              <w:t>Section 1 (2) ‘A person must be deemed to have capacity unless it is established that</w:t>
            </w:r>
            <w:r w:rsidR="006D45BF">
              <w:rPr>
                <w:sz w:val="24"/>
                <w:szCs w:val="24"/>
              </w:rPr>
              <w:t xml:space="preserve"> he lacks capacity’. </w:t>
            </w:r>
            <w:r>
              <w:rPr>
                <w:sz w:val="24"/>
                <w:szCs w:val="24"/>
              </w:rPr>
              <w:t xml:space="preserve">If an adult deemed at risk does have capacity then a significant difference between adult and children’s </w:t>
            </w:r>
            <w:r w:rsidR="00430F3E">
              <w:rPr>
                <w:sz w:val="24"/>
                <w:szCs w:val="24"/>
              </w:rPr>
              <w:t xml:space="preserve">services is that adults have </w:t>
            </w:r>
            <w:r w:rsidR="00430F3E">
              <w:rPr>
                <w:sz w:val="24"/>
                <w:szCs w:val="24"/>
              </w:rPr>
              <w:lastRenderedPageBreak/>
              <w:t>the</w:t>
            </w:r>
            <w:r>
              <w:rPr>
                <w:sz w:val="24"/>
                <w:szCs w:val="24"/>
              </w:rPr>
              <w:t xml:space="preserve"> right to decline any assessment or support offered to them (Nicholson, Cutter and </w:t>
            </w:r>
            <w:proofErr w:type="spellStart"/>
            <w:r>
              <w:rPr>
                <w:sz w:val="24"/>
                <w:szCs w:val="24"/>
              </w:rPr>
              <w:t>Hotopf</w:t>
            </w:r>
            <w:proofErr w:type="spellEnd"/>
            <w:r>
              <w:rPr>
                <w:sz w:val="24"/>
                <w:szCs w:val="24"/>
              </w:rPr>
              <w:t xml:space="preserve">, 2008). </w:t>
            </w:r>
          </w:p>
          <w:p w14:paraId="652CF97E" w14:textId="7DB7BC49" w:rsidR="00F81F56" w:rsidRDefault="00F81F56" w:rsidP="00F81F56">
            <w:pPr>
              <w:spacing w:line="360" w:lineRule="auto"/>
              <w:jc w:val="both"/>
              <w:rPr>
                <w:sz w:val="24"/>
                <w:szCs w:val="24"/>
                <w:shd w:val="clear" w:color="auto" w:fill="FFFFFF"/>
              </w:rPr>
            </w:pPr>
          </w:p>
          <w:p w14:paraId="0CBF372E" w14:textId="69582346" w:rsidR="00691BF5" w:rsidRDefault="00691BF5" w:rsidP="00F81F56">
            <w:pPr>
              <w:spacing w:line="360" w:lineRule="auto"/>
              <w:jc w:val="both"/>
              <w:rPr>
                <w:sz w:val="24"/>
                <w:szCs w:val="24"/>
                <w:shd w:val="clear" w:color="auto" w:fill="FFFFFF"/>
              </w:rPr>
            </w:pPr>
            <w:r>
              <w:rPr>
                <w:sz w:val="24"/>
                <w:szCs w:val="24"/>
                <w:shd w:val="clear" w:color="auto" w:fill="FFFFFF"/>
              </w:rPr>
              <w:t>If an adult does lack capacity then under Section 2 of the MCA 2005 this states that they are unable to make a decision in their own best interest</w:t>
            </w:r>
            <w:r w:rsidR="00430F3E">
              <w:rPr>
                <w:sz w:val="24"/>
                <w:szCs w:val="24"/>
                <w:shd w:val="clear" w:color="auto" w:fill="FFFFFF"/>
              </w:rPr>
              <w:t>s</w:t>
            </w:r>
            <w:r>
              <w:rPr>
                <w:sz w:val="24"/>
                <w:szCs w:val="24"/>
                <w:shd w:val="clear" w:color="auto" w:fill="FFFFFF"/>
              </w:rPr>
              <w:t xml:space="preserve">. This is assessed in terms of a specific decision that needs to be made as opposed to a general sense of decision making such as in terms of Finance, living arrangements or relationships. An assessment is undertaken and if the person cannot understand, retain and then reiterate or use the information explained to them then this results in deeming the individual to lack capacity and considerations must be made as to who can support that individual in best interest decisions moving forward. </w:t>
            </w:r>
          </w:p>
          <w:p w14:paraId="572B5049" w14:textId="77777777" w:rsidR="00691BF5" w:rsidRPr="00C81EB5" w:rsidRDefault="00691BF5" w:rsidP="00F81F56">
            <w:pPr>
              <w:spacing w:line="360" w:lineRule="auto"/>
              <w:jc w:val="both"/>
              <w:rPr>
                <w:sz w:val="24"/>
                <w:szCs w:val="24"/>
                <w:shd w:val="clear" w:color="auto" w:fill="FFFFFF"/>
              </w:rPr>
            </w:pPr>
          </w:p>
          <w:p w14:paraId="096C478B" w14:textId="28CE7BEF" w:rsidR="00F81F56" w:rsidRPr="00C81EB5" w:rsidRDefault="00F81F56" w:rsidP="00F81F56">
            <w:pPr>
              <w:spacing w:line="360" w:lineRule="auto"/>
              <w:jc w:val="both"/>
              <w:rPr>
                <w:color w:val="212529"/>
                <w:sz w:val="24"/>
                <w:szCs w:val="24"/>
                <w:shd w:val="clear" w:color="auto" w:fill="FFFFFF"/>
              </w:rPr>
            </w:pPr>
            <w:r>
              <w:rPr>
                <w:sz w:val="24"/>
                <w:szCs w:val="24"/>
                <w:shd w:val="clear" w:color="auto" w:fill="FFFFFF"/>
              </w:rPr>
              <w:t>Specifically, w</w:t>
            </w:r>
            <w:r w:rsidRPr="00C81EB5">
              <w:rPr>
                <w:sz w:val="24"/>
                <w:szCs w:val="24"/>
                <w:shd w:val="clear" w:color="auto" w:fill="FFFFFF"/>
              </w:rPr>
              <w:t xml:space="preserve">ithin our organisational local authority, the local authority state under safeguarding adults and children that ‘everyone has the right to live in safety, free from abuse’ and the organisation uses the above policies and procedures to assess adults reported to be at risk or in need of care and support via initial assessments and often through the use of Mental Capacity Assessments guided by the Lord Chancellor under Section 42 Codes of Practice of the Mental Capacity Act 2005. The Local Authority also hold a ‘Corporate Safeguarding Policy’ where they state ‘that ‘equality’ lies at the heart of everything we do’ and that the council is ‘committed to practices that protect adults and children from harm </w:t>
            </w:r>
            <w:r w:rsidRPr="00C81EB5">
              <w:rPr>
                <w:color w:val="212529"/>
                <w:sz w:val="24"/>
                <w:szCs w:val="24"/>
                <w:shd w:val="clear" w:color="auto" w:fill="FFFFFF"/>
              </w:rPr>
              <w:t>regardless of age, sex, disability, racial heritage, religious belief, sexual orientation or any other protected characteristic as covered</w:t>
            </w:r>
            <w:r>
              <w:rPr>
                <w:color w:val="212529"/>
                <w:sz w:val="24"/>
                <w:szCs w:val="24"/>
                <w:shd w:val="clear" w:color="auto" w:fill="FFFFFF"/>
              </w:rPr>
              <w:t xml:space="preserve"> by the Equality Act 2010.’ (XXX</w:t>
            </w:r>
            <w:r w:rsidRPr="00C81EB5">
              <w:rPr>
                <w:color w:val="212529"/>
                <w:sz w:val="24"/>
                <w:szCs w:val="24"/>
                <w:shd w:val="clear" w:color="auto" w:fill="FFFFFF"/>
              </w:rPr>
              <w:t xml:space="preserve">.gov.uk, 2022). </w:t>
            </w:r>
          </w:p>
          <w:p w14:paraId="3BDF900B" w14:textId="31D7BCB2" w:rsidR="00E74C31" w:rsidRPr="00C81EB5" w:rsidRDefault="00E74C31" w:rsidP="00E74C31">
            <w:pPr>
              <w:jc w:val="both"/>
              <w:rPr>
                <w:sz w:val="24"/>
                <w:szCs w:val="24"/>
                <w:shd w:val="clear" w:color="auto" w:fill="FFFFFF"/>
              </w:rPr>
            </w:pPr>
          </w:p>
          <w:p w14:paraId="0AA5C2CD" w14:textId="77777777" w:rsidR="00E74C31" w:rsidRDefault="00E74C31" w:rsidP="00E74C31">
            <w:pPr>
              <w:jc w:val="both"/>
              <w:rPr>
                <w:sz w:val="24"/>
                <w:szCs w:val="24"/>
              </w:rPr>
            </w:pPr>
          </w:p>
          <w:p w14:paraId="142EECEB" w14:textId="5615AE35" w:rsidR="00E74C31" w:rsidRPr="003276EC" w:rsidRDefault="006D45BF" w:rsidP="00E74C31">
            <w:pPr>
              <w:jc w:val="both"/>
              <w:rPr>
                <w:sz w:val="24"/>
                <w:szCs w:val="24"/>
              </w:rPr>
            </w:pPr>
            <w:r>
              <w:rPr>
                <w:sz w:val="24"/>
                <w:szCs w:val="24"/>
              </w:rPr>
              <w:t>Word Count: 520</w:t>
            </w:r>
            <w:bookmarkStart w:id="0" w:name="_GoBack"/>
            <w:bookmarkEnd w:id="0"/>
          </w:p>
          <w:p w14:paraId="75DF59E2" w14:textId="7F04C458"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263CDB16" w14:textId="77777777" w:rsidR="007A628F" w:rsidRDefault="007A628F" w:rsidP="00FF7EBB">
            <w:pPr>
              <w:jc w:val="both"/>
              <w:rPr>
                <w:b/>
                <w:sz w:val="24"/>
                <w:szCs w:val="24"/>
              </w:rPr>
            </w:pPr>
          </w:p>
          <w:p w14:paraId="03BD6D93" w14:textId="51A0F0A5" w:rsidR="00310881" w:rsidRPr="008B28E7" w:rsidRDefault="00310881"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4BD43A36" w14:textId="77777777" w:rsidR="00E74C31" w:rsidRDefault="00E74C31" w:rsidP="00E74C31">
            <w:pPr>
              <w:spacing w:line="360" w:lineRule="auto"/>
              <w:jc w:val="both"/>
              <w:rPr>
                <w:sz w:val="24"/>
                <w:szCs w:val="24"/>
                <w:lang w:val="en-US"/>
              </w:rPr>
            </w:pPr>
          </w:p>
          <w:p w14:paraId="7D0A1FAD" w14:textId="19725FDF" w:rsidR="00310881" w:rsidRPr="00C81EB5" w:rsidRDefault="00E74C31" w:rsidP="00310881">
            <w:pPr>
              <w:spacing w:line="360" w:lineRule="auto"/>
              <w:jc w:val="both"/>
              <w:rPr>
                <w:sz w:val="24"/>
                <w:szCs w:val="24"/>
              </w:rPr>
            </w:pPr>
            <w:r>
              <w:rPr>
                <w:sz w:val="24"/>
                <w:szCs w:val="24"/>
                <w:lang w:val="en-US"/>
              </w:rPr>
              <w:t>If a child is deemed at risk of significant harm from abuse and neglect then the local authority have a range of powers to remove that child if deemed appropriate to do</w:t>
            </w:r>
            <w:r w:rsidR="00310881">
              <w:rPr>
                <w:sz w:val="24"/>
                <w:szCs w:val="24"/>
                <w:lang w:val="en-US"/>
              </w:rPr>
              <w:t xml:space="preserve"> so under the Children Act 1989 and Wales Safeguarding Procedures 2019. Both adult and children’s services are governed by the Social Services and Well-being (Wales) Act 2014. </w:t>
            </w:r>
            <w:r>
              <w:rPr>
                <w:sz w:val="24"/>
                <w:szCs w:val="24"/>
                <w:lang w:val="en-US"/>
              </w:rPr>
              <w:t xml:space="preserve"> Whereas in adult safeguarding</w:t>
            </w:r>
            <w:r w:rsidR="00310881">
              <w:rPr>
                <w:sz w:val="24"/>
                <w:szCs w:val="24"/>
                <w:lang w:val="en-US"/>
              </w:rPr>
              <w:t xml:space="preserve"> the regulations use section 126, children’s safeguarding uses section 130. </w:t>
            </w:r>
            <w:r w:rsidR="00310881">
              <w:rPr>
                <w:sz w:val="24"/>
                <w:szCs w:val="24"/>
              </w:rPr>
              <w:t xml:space="preserve"> Within Wales and within the other countries in the United Kingdom, to safeguard adults and children social workers also use </w:t>
            </w:r>
            <w:r w:rsidR="00310881" w:rsidRPr="00C81EB5">
              <w:rPr>
                <w:sz w:val="24"/>
                <w:szCs w:val="24"/>
              </w:rPr>
              <w:t xml:space="preserve">the Equality Act 2010 </w:t>
            </w:r>
            <w:r w:rsidR="00310881">
              <w:rPr>
                <w:sz w:val="24"/>
                <w:szCs w:val="24"/>
              </w:rPr>
              <w:t xml:space="preserve">which </w:t>
            </w:r>
            <w:r w:rsidR="00310881" w:rsidRPr="00C81EB5">
              <w:rPr>
                <w:color w:val="0B0C0C"/>
                <w:sz w:val="24"/>
                <w:szCs w:val="24"/>
                <w:shd w:val="clear" w:color="auto" w:fill="FFFFFF"/>
              </w:rPr>
              <w:t xml:space="preserve">legally protects people from discrimination in the workplace and in wider society </w:t>
            </w:r>
            <w:r w:rsidR="00310881" w:rsidRPr="00C81EB5">
              <w:rPr>
                <w:sz w:val="24"/>
                <w:szCs w:val="24"/>
              </w:rPr>
              <w:t xml:space="preserve">and Human Rights Act 1998 ensures that not only children but that adults are not discriminated against for their age, race, culture, disability </w:t>
            </w:r>
            <w:proofErr w:type="spellStart"/>
            <w:r w:rsidR="00310881" w:rsidRPr="00C81EB5">
              <w:rPr>
                <w:sz w:val="24"/>
                <w:szCs w:val="24"/>
              </w:rPr>
              <w:t>etc</w:t>
            </w:r>
            <w:proofErr w:type="spellEnd"/>
            <w:r w:rsidR="00310881" w:rsidRPr="00C81EB5">
              <w:rPr>
                <w:sz w:val="24"/>
                <w:szCs w:val="24"/>
              </w:rPr>
              <w:t xml:space="preserve"> and that they are all entitled to be treated fairly such as Article 2 the ‘Right to </w:t>
            </w:r>
            <w:r w:rsidR="00310881">
              <w:rPr>
                <w:sz w:val="24"/>
                <w:szCs w:val="24"/>
              </w:rPr>
              <w:t>life</w:t>
            </w:r>
            <w:r w:rsidR="006D45BF">
              <w:rPr>
                <w:sz w:val="24"/>
                <w:szCs w:val="24"/>
              </w:rPr>
              <w:t xml:space="preserve">’. </w:t>
            </w:r>
          </w:p>
          <w:p w14:paraId="0B0A9BA8" w14:textId="77777777" w:rsidR="00E74C31" w:rsidRDefault="00E74C31" w:rsidP="00E74C31">
            <w:pPr>
              <w:spacing w:line="360" w:lineRule="auto"/>
              <w:jc w:val="both"/>
              <w:rPr>
                <w:rFonts w:ascii="Open Sans" w:hAnsi="Open Sans"/>
                <w:shd w:val="clear" w:color="auto" w:fill="FFFFFF"/>
              </w:rPr>
            </w:pPr>
          </w:p>
          <w:p w14:paraId="6148BE1A" w14:textId="3785B08A" w:rsidR="00A80BE2" w:rsidRDefault="00310881" w:rsidP="00E74C31">
            <w:pPr>
              <w:spacing w:line="360" w:lineRule="auto"/>
              <w:jc w:val="both"/>
              <w:rPr>
                <w:sz w:val="24"/>
                <w:szCs w:val="24"/>
                <w:lang w:val="en-US"/>
              </w:rPr>
            </w:pPr>
            <w:r>
              <w:rPr>
                <w:sz w:val="24"/>
                <w:szCs w:val="24"/>
                <w:lang w:val="en-US"/>
              </w:rPr>
              <w:t>If a social worker is to assess an adult at risk then under section 126 of the SSWBA (2014) then the local authority should make enquiries as to whether any further action should be taken whilst taking into account an adults</w:t>
            </w:r>
            <w:r w:rsidR="00E74C31">
              <w:rPr>
                <w:sz w:val="24"/>
                <w:szCs w:val="24"/>
                <w:lang w:val="en-US"/>
              </w:rPr>
              <w:t xml:space="preserve"> ‘right to protection and the right to take ri</w:t>
            </w:r>
            <w:r w:rsidR="007811C4">
              <w:rPr>
                <w:sz w:val="24"/>
                <w:szCs w:val="24"/>
                <w:lang w:val="en-US"/>
              </w:rPr>
              <w:t>sks…(via) risk assessments’ (</w:t>
            </w:r>
            <w:proofErr w:type="spellStart"/>
            <w:r w:rsidR="007811C4">
              <w:rPr>
                <w:sz w:val="24"/>
                <w:szCs w:val="24"/>
                <w:lang w:val="en-US"/>
              </w:rPr>
              <w:t>Kem</w:t>
            </w:r>
            <w:r w:rsidR="00E74C31">
              <w:rPr>
                <w:sz w:val="24"/>
                <w:szCs w:val="24"/>
                <w:lang w:val="en-US"/>
              </w:rPr>
              <w:t>shall</w:t>
            </w:r>
            <w:proofErr w:type="spellEnd"/>
            <w:r w:rsidR="00E74C31">
              <w:rPr>
                <w:sz w:val="24"/>
                <w:szCs w:val="24"/>
                <w:lang w:val="en-US"/>
              </w:rPr>
              <w:t xml:space="preserve"> &amp; Pritchard, 1997: 10). </w:t>
            </w:r>
            <w:r w:rsidR="00A80BE2">
              <w:rPr>
                <w:sz w:val="24"/>
                <w:szCs w:val="24"/>
                <w:lang w:val="en-US"/>
              </w:rPr>
              <w:t xml:space="preserve">This differs from under Section 47 of the Children Act 1989 which states that social workers must follow a protocol to ensure that a child is safe from risk even if they are initially deemed to be safe from initial enquiries. </w:t>
            </w:r>
          </w:p>
          <w:p w14:paraId="0DE7307F" w14:textId="77777777" w:rsidR="00A80BE2" w:rsidRDefault="00A80BE2" w:rsidP="00E74C31">
            <w:pPr>
              <w:spacing w:line="360" w:lineRule="auto"/>
              <w:jc w:val="both"/>
              <w:rPr>
                <w:sz w:val="24"/>
                <w:szCs w:val="24"/>
                <w:lang w:val="en-US"/>
              </w:rPr>
            </w:pPr>
          </w:p>
          <w:p w14:paraId="31022398" w14:textId="2EDCCBAF" w:rsidR="00E74C31" w:rsidRDefault="00A80BE2" w:rsidP="00E74C31">
            <w:pPr>
              <w:spacing w:line="360" w:lineRule="auto"/>
              <w:jc w:val="both"/>
              <w:rPr>
                <w:sz w:val="24"/>
                <w:szCs w:val="24"/>
                <w:lang w:val="en-US"/>
              </w:rPr>
            </w:pPr>
            <w:r>
              <w:rPr>
                <w:sz w:val="24"/>
                <w:szCs w:val="24"/>
                <w:lang w:val="en-US"/>
              </w:rPr>
              <w:t xml:space="preserve">Mental Capacity Assessments can be used in both adults and children’s safeguarding due to the need to at times ensure that 16 year olds and over have capacity to make ‘unwise’ decisions that at times lead to safeguarding concerns. This is particularly </w:t>
            </w:r>
            <w:r w:rsidR="00FE596E">
              <w:rPr>
                <w:sz w:val="24"/>
                <w:szCs w:val="24"/>
                <w:lang w:val="en-US"/>
              </w:rPr>
              <w:t>prevalent</w:t>
            </w:r>
            <w:r>
              <w:rPr>
                <w:sz w:val="24"/>
                <w:szCs w:val="24"/>
                <w:lang w:val="en-US"/>
              </w:rPr>
              <w:t xml:space="preserve"> in the escalation of risk that children face in terms of ‘county lines’ bringing into question whether if adults at risk were provided the same rigid safeguarding procedures that children are subject to under the Children Act 1989 then would more vulnerable adults be protected against </w:t>
            </w:r>
            <w:r w:rsidR="00FE596E">
              <w:rPr>
                <w:sz w:val="24"/>
                <w:szCs w:val="24"/>
                <w:lang w:val="en-US"/>
              </w:rPr>
              <w:t>crime and possible prosecution?</w:t>
            </w:r>
          </w:p>
          <w:p w14:paraId="3A1C5476" w14:textId="77777777" w:rsidR="00E74C31" w:rsidRDefault="00E74C31" w:rsidP="00E74C31">
            <w:pPr>
              <w:spacing w:line="360" w:lineRule="auto"/>
              <w:jc w:val="both"/>
              <w:rPr>
                <w:rFonts w:ascii="Open Sans" w:hAnsi="Open Sans"/>
                <w:shd w:val="clear" w:color="auto" w:fill="FFFFFF"/>
              </w:rPr>
            </w:pPr>
          </w:p>
          <w:p w14:paraId="6BE10F54" w14:textId="77777777" w:rsidR="00E74C31" w:rsidRDefault="00E74C31" w:rsidP="00E74C31">
            <w:pPr>
              <w:spacing w:line="360" w:lineRule="auto"/>
              <w:jc w:val="both"/>
              <w:rPr>
                <w:sz w:val="24"/>
                <w:szCs w:val="24"/>
                <w:lang w:val="en-US"/>
              </w:rPr>
            </w:pPr>
          </w:p>
          <w:p w14:paraId="3415E8E7" w14:textId="7B71D8B9" w:rsidR="00E74C31" w:rsidRPr="00912B76" w:rsidRDefault="00E74C31" w:rsidP="00E74C31">
            <w:pPr>
              <w:spacing w:line="360" w:lineRule="auto"/>
              <w:jc w:val="both"/>
              <w:rPr>
                <w:sz w:val="24"/>
                <w:szCs w:val="24"/>
                <w:shd w:val="clear" w:color="auto" w:fill="FFFFFF"/>
              </w:rPr>
            </w:pPr>
            <w:r w:rsidRPr="00912B76">
              <w:rPr>
                <w:sz w:val="24"/>
                <w:szCs w:val="24"/>
                <w:lang w:val="en-US"/>
              </w:rPr>
              <w:lastRenderedPageBreak/>
              <w:t xml:space="preserve">Finally, in </w:t>
            </w:r>
            <w:r w:rsidRPr="00912B76">
              <w:rPr>
                <w:sz w:val="24"/>
                <w:szCs w:val="24"/>
                <w:shd w:val="clear" w:color="auto" w:fill="FFFFFF"/>
              </w:rPr>
              <w:t>‘Using the Law in Social Work’, the physical, developmental and emotional needs that have been developed ‘for the application to children’</w:t>
            </w:r>
            <w:r w:rsidR="00430F3E">
              <w:rPr>
                <w:sz w:val="24"/>
                <w:szCs w:val="24"/>
                <w:shd w:val="clear" w:color="auto" w:fill="FFFFFF"/>
              </w:rPr>
              <w:t xml:space="preserve"> </w:t>
            </w:r>
            <w:r w:rsidRPr="00912B76">
              <w:rPr>
                <w:sz w:val="24"/>
                <w:szCs w:val="24"/>
                <w:shd w:val="clear" w:color="auto" w:fill="FFFFFF"/>
              </w:rPr>
              <w:t xml:space="preserve">(Johns, 2005: 42) can be used in reference to adults in need as well. Both children and adults have the right to having their physical, developmental and emotional needs met but the difference is that in children this lies with the person with ‘parental responsibility’ and with adults there is greater complexity in assessing whether they are able to meet their own needs or need to have these met by another.  </w:t>
            </w:r>
            <w:r>
              <w:rPr>
                <w:sz w:val="24"/>
                <w:szCs w:val="24"/>
                <w:shd w:val="clear" w:color="auto" w:fill="FFFFFF"/>
              </w:rPr>
              <w:t>This is indicated in the fact that both adult and children’s safeguarding is covered</w:t>
            </w:r>
            <w:r w:rsidR="00430F3E">
              <w:rPr>
                <w:sz w:val="24"/>
                <w:szCs w:val="24"/>
                <w:shd w:val="clear" w:color="auto" w:fill="FFFFFF"/>
              </w:rPr>
              <w:t xml:space="preserve"> and works in conjunction</w:t>
            </w:r>
            <w:r>
              <w:rPr>
                <w:sz w:val="24"/>
                <w:szCs w:val="24"/>
                <w:shd w:val="clear" w:color="auto" w:fill="FFFFFF"/>
              </w:rPr>
              <w:t xml:space="preserve"> within an overarching Social Services and Well-being (Wales) 2014 Act as the needs differ but are equally as essential in safeguarding. </w:t>
            </w:r>
          </w:p>
          <w:p w14:paraId="4794A23C" w14:textId="77777777" w:rsidR="00E74C31" w:rsidRDefault="00E74C31" w:rsidP="00E74C31">
            <w:pPr>
              <w:jc w:val="both"/>
              <w:rPr>
                <w:sz w:val="24"/>
                <w:szCs w:val="24"/>
              </w:rPr>
            </w:pPr>
          </w:p>
          <w:p w14:paraId="2C20BA1B" w14:textId="77777777" w:rsidR="00E74C31" w:rsidRDefault="00E74C31" w:rsidP="00E74C31">
            <w:pPr>
              <w:jc w:val="both"/>
              <w:rPr>
                <w:sz w:val="24"/>
                <w:szCs w:val="24"/>
              </w:rPr>
            </w:pPr>
          </w:p>
          <w:p w14:paraId="478D2F84" w14:textId="2E13672F"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309B64B8" w:rsidR="00FC0334" w:rsidRDefault="006D45BF" w:rsidP="00FC0334">
            <w:pPr>
              <w:jc w:val="both"/>
              <w:rPr>
                <w:sz w:val="24"/>
                <w:szCs w:val="24"/>
              </w:rPr>
            </w:pPr>
            <w:r>
              <w:rPr>
                <w:sz w:val="24"/>
                <w:szCs w:val="24"/>
              </w:rPr>
              <w:t>Word Count: 476</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7C9896" w14:textId="77777777" w:rsidR="00177A79" w:rsidRDefault="00177A79">
      <w:r>
        <w:separator/>
      </w:r>
    </w:p>
  </w:endnote>
  <w:endnote w:type="continuationSeparator" w:id="0">
    <w:p w14:paraId="6320A744" w14:textId="77777777" w:rsidR="00177A79" w:rsidRDefault="00177A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6483349" w:rsidR="00A5656A" w:rsidRDefault="00A5656A">
    <w:pPr>
      <w:pStyle w:val="Footer"/>
      <w:jc w:val="right"/>
    </w:pPr>
    <w:r>
      <w:fldChar w:fldCharType="begin"/>
    </w:r>
    <w:r>
      <w:instrText xml:space="preserve"> PAGE   \* MERGEFORMAT </w:instrText>
    </w:r>
    <w:r>
      <w:fldChar w:fldCharType="separate"/>
    </w:r>
    <w:r w:rsidR="006D45BF">
      <w:rPr>
        <w:noProof/>
      </w:rPr>
      <w:t>6</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E75533" w14:textId="77777777" w:rsidR="00177A79" w:rsidRDefault="00177A79">
      <w:r>
        <w:separator/>
      </w:r>
    </w:p>
  </w:footnote>
  <w:footnote w:type="continuationSeparator" w:id="0">
    <w:p w14:paraId="00FD0958" w14:textId="77777777" w:rsidR="00177A79" w:rsidRDefault="00177A7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A79"/>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B7D"/>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0881"/>
    <w:rsid w:val="0031350A"/>
    <w:rsid w:val="00316815"/>
    <w:rsid w:val="003168CA"/>
    <w:rsid w:val="00321255"/>
    <w:rsid w:val="0032230D"/>
    <w:rsid w:val="00322A0B"/>
    <w:rsid w:val="00330881"/>
    <w:rsid w:val="00331CD2"/>
    <w:rsid w:val="00332426"/>
    <w:rsid w:val="00335C41"/>
    <w:rsid w:val="00335FC5"/>
    <w:rsid w:val="0033771E"/>
    <w:rsid w:val="00337FEF"/>
    <w:rsid w:val="003464E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0F3E"/>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BF5"/>
    <w:rsid w:val="0069625A"/>
    <w:rsid w:val="00696A88"/>
    <w:rsid w:val="00696F65"/>
    <w:rsid w:val="00697572"/>
    <w:rsid w:val="006B4496"/>
    <w:rsid w:val="006B5E67"/>
    <w:rsid w:val="006B6612"/>
    <w:rsid w:val="006C2EB5"/>
    <w:rsid w:val="006D18A3"/>
    <w:rsid w:val="006D45BF"/>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11C4"/>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762"/>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BE2"/>
    <w:rsid w:val="00A85039"/>
    <w:rsid w:val="00A906AA"/>
    <w:rsid w:val="00A91791"/>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45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4596"/>
    <w:rsid w:val="00E50821"/>
    <w:rsid w:val="00E51F91"/>
    <w:rsid w:val="00E5498A"/>
    <w:rsid w:val="00E559CE"/>
    <w:rsid w:val="00E60F42"/>
    <w:rsid w:val="00E6746C"/>
    <w:rsid w:val="00E7086E"/>
    <w:rsid w:val="00E71248"/>
    <w:rsid w:val="00E73C41"/>
    <w:rsid w:val="00E74C3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56"/>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96E"/>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1500035@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Becca.bartle@googlemail.co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FCE9486-D627-4B13-841C-9288B69DD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6</Pages>
  <Words>1126</Words>
  <Characters>6421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Bartle</cp:lastModifiedBy>
  <cp:revision>9</cp:revision>
  <cp:lastPrinted>2020-02-11T19:20:00Z</cp:lastPrinted>
  <dcterms:created xsi:type="dcterms:W3CDTF">2022-10-07T15:59:00Z</dcterms:created>
  <dcterms:modified xsi:type="dcterms:W3CDTF">2023-02-26T19:50:00Z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