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0548B" w14:textId="77777777" w:rsidR="004463EE" w:rsidRPr="008F2C45" w:rsidRDefault="004463EE" w:rsidP="008F2C45">
      <w:pPr>
        <w:tabs>
          <w:tab w:val="left" w:pos="2746"/>
        </w:tabs>
        <w:spacing w:before="120" w:after="120"/>
        <w:rPr>
          <w:b/>
          <w:sz w:val="36"/>
          <w:szCs w:val="36"/>
          <w:lang w:val="en-GB"/>
        </w:rPr>
      </w:pPr>
      <w:r w:rsidRPr="008F2C45">
        <w:rPr>
          <w:b/>
          <w:sz w:val="36"/>
          <w:szCs w:val="36"/>
          <w:lang w:val="en-GB"/>
        </w:rPr>
        <w:tab/>
      </w:r>
      <w:r w:rsidRPr="008F2C45">
        <w:rPr>
          <w:b/>
          <w:noProof/>
          <w:sz w:val="36"/>
          <w:szCs w:val="36"/>
        </w:rPr>
        <w:drawing>
          <wp:inline distT="0" distB="0" distL="0" distR="0" wp14:anchorId="56476C8E" wp14:editId="0D1C68F8">
            <wp:extent cx="1998980" cy="701675"/>
            <wp:effectExtent l="19050" t="0" r="127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1998980" cy="701675"/>
                    </a:xfrm>
                    <a:prstGeom prst="rect">
                      <a:avLst/>
                    </a:prstGeom>
                    <a:noFill/>
                    <a:ln w="9525">
                      <a:noFill/>
                      <a:miter lim="800000"/>
                      <a:headEnd/>
                      <a:tailEnd/>
                    </a:ln>
                  </pic:spPr>
                </pic:pic>
              </a:graphicData>
            </a:graphic>
          </wp:inline>
        </w:drawing>
      </w:r>
    </w:p>
    <w:p w14:paraId="63B8431E" w14:textId="77777777" w:rsidR="004463EE" w:rsidRPr="008F2C45" w:rsidRDefault="004463EE" w:rsidP="008F2C45">
      <w:pPr>
        <w:spacing w:before="120" w:after="120"/>
        <w:rPr>
          <w:b/>
          <w:sz w:val="36"/>
          <w:szCs w:val="36"/>
          <w:lang w:val="en-GB"/>
        </w:rPr>
      </w:pPr>
    </w:p>
    <w:p w14:paraId="2EF3C205" w14:textId="77777777" w:rsidR="004463EE" w:rsidRPr="008F2C45" w:rsidRDefault="004463EE" w:rsidP="008F2C45">
      <w:pPr>
        <w:spacing w:before="120" w:after="120"/>
        <w:jc w:val="center"/>
        <w:rPr>
          <w:b/>
          <w:sz w:val="36"/>
          <w:szCs w:val="36"/>
          <w:lang w:val="en-GB"/>
        </w:rPr>
      </w:pPr>
    </w:p>
    <w:p w14:paraId="586717C6" w14:textId="77777777" w:rsidR="004463EE" w:rsidRPr="008F2C45" w:rsidRDefault="004463EE" w:rsidP="008F2C45">
      <w:pPr>
        <w:spacing w:before="120" w:after="120"/>
        <w:jc w:val="center"/>
        <w:rPr>
          <w:b/>
          <w:sz w:val="36"/>
          <w:szCs w:val="36"/>
          <w:lang w:val="en-GB"/>
        </w:rPr>
      </w:pPr>
      <w:r w:rsidRPr="008F2C45">
        <w:rPr>
          <w:b/>
          <w:sz w:val="36"/>
          <w:szCs w:val="36"/>
          <w:lang w:val="en-GB"/>
        </w:rPr>
        <w:t>MSc Public Health and Social Care in Practice</w:t>
      </w:r>
    </w:p>
    <w:p w14:paraId="0607FE98" w14:textId="77777777" w:rsidR="004463EE" w:rsidRPr="008F2C45" w:rsidRDefault="004463EE" w:rsidP="008F2C45">
      <w:pPr>
        <w:spacing w:before="120" w:after="120"/>
        <w:jc w:val="center"/>
        <w:rPr>
          <w:b/>
          <w:sz w:val="36"/>
          <w:szCs w:val="36"/>
          <w:lang w:val="en-GB"/>
        </w:rPr>
      </w:pPr>
      <w:bookmarkStart w:id="0" w:name="_tjieezcxht03" w:colFirst="0" w:colLast="0"/>
      <w:bookmarkEnd w:id="0"/>
      <w:r w:rsidRPr="008F2C45">
        <w:rPr>
          <w:b/>
          <w:sz w:val="36"/>
          <w:szCs w:val="36"/>
          <w:lang w:val="en-GB"/>
        </w:rPr>
        <w:t>Module code: LCHS7006</w:t>
      </w:r>
    </w:p>
    <w:p w14:paraId="7BBEC3C3" w14:textId="77777777" w:rsidR="004463EE" w:rsidRPr="008F2C45" w:rsidRDefault="004463EE" w:rsidP="008F2C45">
      <w:pPr>
        <w:spacing w:before="120" w:after="120"/>
        <w:jc w:val="center"/>
        <w:rPr>
          <w:b/>
          <w:sz w:val="36"/>
          <w:szCs w:val="36"/>
          <w:lang w:val="en-GB"/>
        </w:rPr>
      </w:pPr>
      <w:r w:rsidRPr="008F2C45">
        <w:rPr>
          <w:b/>
          <w:sz w:val="36"/>
          <w:szCs w:val="36"/>
          <w:lang w:val="en-GB"/>
        </w:rPr>
        <w:t>Module name: Quality Assurance and Service Improvements</w:t>
      </w:r>
    </w:p>
    <w:p w14:paraId="60691908" w14:textId="77777777" w:rsidR="004463EE" w:rsidRPr="008F2C45" w:rsidRDefault="004463EE" w:rsidP="008F2C45">
      <w:pPr>
        <w:spacing w:before="120" w:after="120"/>
        <w:jc w:val="center"/>
        <w:rPr>
          <w:b/>
          <w:sz w:val="36"/>
          <w:szCs w:val="36"/>
          <w:lang w:val="en-GB"/>
        </w:rPr>
      </w:pPr>
    </w:p>
    <w:p w14:paraId="3AF23839" w14:textId="77777777" w:rsidR="00722BAA" w:rsidRPr="008F2C45" w:rsidRDefault="004463EE" w:rsidP="008F2C45">
      <w:pPr>
        <w:spacing w:before="120" w:after="120"/>
        <w:jc w:val="center"/>
        <w:rPr>
          <w:lang w:val="en-GB"/>
        </w:rPr>
      </w:pPr>
      <w:r w:rsidRPr="008F2C45">
        <w:rPr>
          <w:b/>
          <w:sz w:val="36"/>
          <w:szCs w:val="36"/>
          <w:lang w:val="en-GB"/>
        </w:rPr>
        <w:t>Component 2: Service Improvement Report</w:t>
      </w:r>
    </w:p>
    <w:p w14:paraId="7963C742" w14:textId="77777777" w:rsidR="00722BAA" w:rsidRPr="008F2C45" w:rsidRDefault="00722BAA" w:rsidP="008F2C45">
      <w:pPr>
        <w:spacing w:before="120" w:after="120"/>
        <w:jc w:val="center"/>
        <w:rPr>
          <w:lang w:val="en-GB"/>
        </w:rPr>
      </w:pPr>
    </w:p>
    <w:p w14:paraId="03E0260B" w14:textId="77777777" w:rsidR="00722BAA" w:rsidRPr="008F2C45" w:rsidRDefault="00722BAA" w:rsidP="008F2C45">
      <w:pPr>
        <w:spacing w:before="120" w:after="120"/>
        <w:jc w:val="center"/>
        <w:rPr>
          <w:lang w:val="en-GB"/>
        </w:rPr>
      </w:pPr>
    </w:p>
    <w:p w14:paraId="4920193C" w14:textId="77777777" w:rsidR="00722BAA" w:rsidRDefault="00722BAA" w:rsidP="008F2C45">
      <w:pPr>
        <w:spacing w:before="120" w:after="120"/>
        <w:jc w:val="center"/>
        <w:rPr>
          <w:lang w:val="en-GB"/>
        </w:rPr>
      </w:pPr>
    </w:p>
    <w:p w14:paraId="6F74F733" w14:textId="77777777" w:rsidR="008F2C45" w:rsidRPr="008F2C45" w:rsidRDefault="008F2C45" w:rsidP="008F2C45">
      <w:pPr>
        <w:spacing w:before="120" w:after="120"/>
        <w:jc w:val="center"/>
        <w:rPr>
          <w:lang w:val="en-GB"/>
        </w:rPr>
      </w:pPr>
    </w:p>
    <w:p w14:paraId="753C48A6" w14:textId="77777777" w:rsidR="00722BAA" w:rsidRPr="008F2C45" w:rsidRDefault="00722BAA" w:rsidP="008F2C45">
      <w:pPr>
        <w:spacing w:before="120" w:after="120"/>
        <w:jc w:val="center"/>
        <w:rPr>
          <w:lang w:val="en-GB"/>
        </w:rPr>
      </w:pPr>
    </w:p>
    <w:p w14:paraId="24BC0284" w14:textId="77777777" w:rsidR="00722BAA" w:rsidRPr="008F2C45" w:rsidRDefault="00722BAA" w:rsidP="008F2C45">
      <w:pPr>
        <w:spacing w:before="120" w:after="120"/>
        <w:jc w:val="center"/>
        <w:rPr>
          <w:lang w:val="en-GB"/>
        </w:rPr>
      </w:pPr>
      <w:r w:rsidRPr="008F2C45">
        <w:rPr>
          <w:lang w:val="en-GB"/>
        </w:rPr>
        <w:t xml:space="preserve">Student name: </w:t>
      </w:r>
    </w:p>
    <w:p w14:paraId="5BB93F51" w14:textId="77777777" w:rsidR="00722BAA" w:rsidRPr="008F2C45" w:rsidRDefault="00722BAA" w:rsidP="008F2C45">
      <w:pPr>
        <w:spacing w:before="120" w:after="120"/>
        <w:jc w:val="center"/>
        <w:rPr>
          <w:lang w:val="en-GB"/>
        </w:rPr>
      </w:pPr>
      <w:r w:rsidRPr="008F2C45">
        <w:rPr>
          <w:lang w:val="en-GB"/>
        </w:rPr>
        <w:t xml:space="preserve">Student ID: </w:t>
      </w:r>
    </w:p>
    <w:p w14:paraId="6CBEFD8F" w14:textId="77777777" w:rsidR="00722BAA" w:rsidRPr="008F2C45" w:rsidRDefault="00722BAA" w:rsidP="008F2C45">
      <w:pPr>
        <w:spacing w:before="120" w:after="120"/>
        <w:jc w:val="center"/>
        <w:rPr>
          <w:lang w:val="en-GB"/>
        </w:rPr>
      </w:pPr>
      <w:r w:rsidRPr="008F2C45">
        <w:rPr>
          <w:lang w:val="en-GB"/>
        </w:rPr>
        <w:t xml:space="preserve">Submission date: </w:t>
      </w:r>
    </w:p>
    <w:p w14:paraId="76124FCE" w14:textId="77777777" w:rsidR="00722BAA" w:rsidRPr="008F2C45" w:rsidRDefault="00722BAA" w:rsidP="008F2C45">
      <w:pPr>
        <w:spacing w:before="120" w:after="120"/>
        <w:rPr>
          <w:lang w:val="en-GB"/>
        </w:rPr>
      </w:pPr>
      <w:r w:rsidRPr="008F2C45">
        <w:rPr>
          <w:lang w:val="en-GB"/>
        </w:rPr>
        <w:br w:type="page"/>
      </w:r>
    </w:p>
    <w:sdt>
      <w:sdtPr>
        <w:rPr>
          <w:rFonts w:ascii="Arial" w:eastAsia="Arial" w:hAnsi="Arial" w:cs="Arial"/>
          <w:b w:val="0"/>
          <w:bCs w:val="0"/>
          <w:color w:val="auto"/>
          <w:sz w:val="22"/>
          <w:szCs w:val="22"/>
        </w:rPr>
        <w:id w:val="382757002"/>
        <w:docPartObj>
          <w:docPartGallery w:val="Table of Contents"/>
          <w:docPartUnique/>
        </w:docPartObj>
      </w:sdtPr>
      <w:sdtContent>
        <w:p w14:paraId="378C9197" w14:textId="77777777" w:rsidR="00722BAA" w:rsidRPr="008F2C45" w:rsidRDefault="00722BAA" w:rsidP="008F2C45">
          <w:pPr>
            <w:pStyle w:val="TOCHeading"/>
            <w:spacing w:before="120" w:after="120" w:line="360" w:lineRule="auto"/>
            <w:jc w:val="center"/>
            <w:rPr>
              <w:rFonts w:ascii="Arial" w:hAnsi="Arial" w:cs="Arial"/>
            </w:rPr>
          </w:pPr>
          <w:r w:rsidRPr="008F2C45">
            <w:rPr>
              <w:rFonts w:ascii="Arial" w:hAnsi="Arial" w:cs="Arial"/>
              <w:color w:val="auto"/>
            </w:rPr>
            <w:t>Table of Contents</w:t>
          </w:r>
        </w:p>
        <w:p w14:paraId="26BA1C28" w14:textId="22C5A3BD" w:rsidR="008D00CD" w:rsidRDefault="00F30E2D">
          <w:pPr>
            <w:pStyle w:val="TOC1"/>
            <w:tabs>
              <w:tab w:val="right" w:leader="dot" w:pos="9350"/>
            </w:tabs>
            <w:rPr>
              <w:rFonts w:asciiTheme="minorHAnsi" w:eastAsiaTheme="minorEastAsia" w:hAnsiTheme="minorHAnsi" w:cstheme="minorBidi"/>
              <w:noProof/>
              <w:kern w:val="2"/>
              <w:sz w:val="24"/>
              <w:szCs w:val="24"/>
              <w:lang w:val="en-IN" w:eastAsia="en-IN"/>
            </w:rPr>
          </w:pPr>
          <w:r w:rsidRPr="008F2C45">
            <w:fldChar w:fldCharType="begin"/>
          </w:r>
          <w:r w:rsidR="00722BAA" w:rsidRPr="008F2C45">
            <w:instrText xml:space="preserve"> TOC \o "1-3" \h \z \u </w:instrText>
          </w:r>
          <w:r w:rsidRPr="008F2C45">
            <w:fldChar w:fldCharType="separate"/>
          </w:r>
          <w:hyperlink w:anchor="_Toc213766207" w:history="1">
            <w:r w:rsidR="008D00CD" w:rsidRPr="00263F2E">
              <w:rPr>
                <w:rStyle w:val="Hyperlink"/>
                <w:noProof/>
                <w:lang w:val="en-GB"/>
              </w:rPr>
              <w:t>1. Introduction</w:t>
            </w:r>
            <w:r w:rsidR="008D00CD">
              <w:rPr>
                <w:noProof/>
                <w:webHidden/>
              </w:rPr>
              <w:tab/>
            </w:r>
            <w:r>
              <w:rPr>
                <w:noProof/>
                <w:webHidden/>
              </w:rPr>
              <w:fldChar w:fldCharType="begin"/>
            </w:r>
            <w:r w:rsidR="008D00CD">
              <w:rPr>
                <w:noProof/>
                <w:webHidden/>
              </w:rPr>
              <w:instrText xml:space="preserve"> PAGEREF _Toc213766207 \h </w:instrText>
            </w:r>
            <w:r>
              <w:rPr>
                <w:noProof/>
                <w:webHidden/>
              </w:rPr>
            </w:r>
            <w:r>
              <w:rPr>
                <w:noProof/>
                <w:webHidden/>
              </w:rPr>
              <w:fldChar w:fldCharType="separate"/>
            </w:r>
            <w:r w:rsidR="00AF57DF">
              <w:rPr>
                <w:noProof/>
                <w:webHidden/>
              </w:rPr>
              <w:t>3</w:t>
            </w:r>
            <w:r>
              <w:rPr>
                <w:noProof/>
                <w:webHidden/>
              </w:rPr>
              <w:fldChar w:fldCharType="end"/>
            </w:r>
          </w:hyperlink>
        </w:p>
        <w:p w14:paraId="4CD6FD40" w14:textId="52641BF9" w:rsidR="008D00CD" w:rsidRDefault="00000000">
          <w:pPr>
            <w:pStyle w:val="TOC1"/>
            <w:tabs>
              <w:tab w:val="right" w:leader="dot" w:pos="9350"/>
            </w:tabs>
            <w:rPr>
              <w:rFonts w:asciiTheme="minorHAnsi" w:eastAsiaTheme="minorEastAsia" w:hAnsiTheme="minorHAnsi" w:cstheme="minorBidi"/>
              <w:noProof/>
              <w:kern w:val="2"/>
              <w:sz w:val="24"/>
              <w:szCs w:val="24"/>
              <w:lang w:val="en-IN" w:eastAsia="en-IN"/>
            </w:rPr>
          </w:pPr>
          <w:hyperlink w:anchor="_Toc213766208" w:history="1">
            <w:r w:rsidR="008D00CD" w:rsidRPr="00263F2E">
              <w:rPr>
                <w:rStyle w:val="Hyperlink"/>
                <w:noProof/>
                <w:lang w:val="en-GB"/>
              </w:rPr>
              <w:t>2. Main body</w:t>
            </w:r>
            <w:r w:rsidR="008D00CD">
              <w:rPr>
                <w:noProof/>
                <w:webHidden/>
              </w:rPr>
              <w:tab/>
            </w:r>
            <w:r w:rsidR="00F30E2D">
              <w:rPr>
                <w:noProof/>
                <w:webHidden/>
              </w:rPr>
              <w:fldChar w:fldCharType="begin"/>
            </w:r>
            <w:r w:rsidR="008D00CD">
              <w:rPr>
                <w:noProof/>
                <w:webHidden/>
              </w:rPr>
              <w:instrText xml:space="preserve"> PAGEREF _Toc213766208 \h </w:instrText>
            </w:r>
            <w:r w:rsidR="00F30E2D">
              <w:rPr>
                <w:noProof/>
                <w:webHidden/>
              </w:rPr>
            </w:r>
            <w:r w:rsidR="00F30E2D">
              <w:rPr>
                <w:noProof/>
                <w:webHidden/>
              </w:rPr>
              <w:fldChar w:fldCharType="separate"/>
            </w:r>
            <w:r w:rsidR="00AF57DF">
              <w:rPr>
                <w:noProof/>
                <w:webHidden/>
              </w:rPr>
              <w:t>3</w:t>
            </w:r>
            <w:r w:rsidR="00F30E2D">
              <w:rPr>
                <w:noProof/>
                <w:webHidden/>
              </w:rPr>
              <w:fldChar w:fldCharType="end"/>
            </w:r>
          </w:hyperlink>
        </w:p>
        <w:p w14:paraId="6EBE6E78" w14:textId="618B48BD" w:rsidR="008D00CD" w:rsidRDefault="00000000">
          <w:pPr>
            <w:pStyle w:val="TOC2"/>
            <w:tabs>
              <w:tab w:val="right" w:leader="dot" w:pos="9350"/>
            </w:tabs>
            <w:rPr>
              <w:rFonts w:asciiTheme="minorHAnsi" w:eastAsiaTheme="minorEastAsia" w:hAnsiTheme="minorHAnsi" w:cstheme="minorBidi"/>
              <w:noProof/>
              <w:kern w:val="2"/>
              <w:sz w:val="24"/>
              <w:szCs w:val="24"/>
              <w:lang w:val="en-IN" w:eastAsia="en-IN"/>
            </w:rPr>
          </w:pPr>
          <w:hyperlink w:anchor="_Toc213766209" w:history="1">
            <w:r w:rsidR="008D00CD" w:rsidRPr="00263F2E">
              <w:rPr>
                <w:rStyle w:val="Hyperlink"/>
                <w:noProof/>
                <w:lang w:val="en-GB"/>
              </w:rPr>
              <w:t>2.1 The Donabedian Model</w:t>
            </w:r>
            <w:r w:rsidR="008D00CD">
              <w:rPr>
                <w:noProof/>
                <w:webHidden/>
              </w:rPr>
              <w:tab/>
            </w:r>
            <w:r w:rsidR="00F30E2D">
              <w:rPr>
                <w:noProof/>
                <w:webHidden/>
              </w:rPr>
              <w:fldChar w:fldCharType="begin"/>
            </w:r>
            <w:r w:rsidR="008D00CD">
              <w:rPr>
                <w:noProof/>
                <w:webHidden/>
              </w:rPr>
              <w:instrText xml:space="preserve"> PAGEREF _Toc213766209 \h </w:instrText>
            </w:r>
            <w:r w:rsidR="00F30E2D">
              <w:rPr>
                <w:noProof/>
                <w:webHidden/>
              </w:rPr>
            </w:r>
            <w:r w:rsidR="00F30E2D">
              <w:rPr>
                <w:noProof/>
                <w:webHidden/>
              </w:rPr>
              <w:fldChar w:fldCharType="separate"/>
            </w:r>
            <w:r w:rsidR="00AF57DF">
              <w:rPr>
                <w:noProof/>
                <w:webHidden/>
              </w:rPr>
              <w:t>3</w:t>
            </w:r>
            <w:r w:rsidR="00F30E2D">
              <w:rPr>
                <w:noProof/>
                <w:webHidden/>
              </w:rPr>
              <w:fldChar w:fldCharType="end"/>
            </w:r>
          </w:hyperlink>
        </w:p>
        <w:p w14:paraId="1AA0D2DA" w14:textId="2A101E15" w:rsidR="008D00CD" w:rsidRDefault="00000000">
          <w:pPr>
            <w:pStyle w:val="TOC2"/>
            <w:tabs>
              <w:tab w:val="right" w:leader="dot" w:pos="9350"/>
            </w:tabs>
            <w:rPr>
              <w:rFonts w:asciiTheme="minorHAnsi" w:eastAsiaTheme="minorEastAsia" w:hAnsiTheme="minorHAnsi" w:cstheme="minorBidi"/>
              <w:noProof/>
              <w:kern w:val="2"/>
              <w:sz w:val="24"/>
              <w:szCs w:val="24"/>
              <w:lang w:val="en-IN" w:eastAsia="en-IN"/>
            </w:rPr>
          </w:pPr>
          <w:hyperlink w:anchor="_Toc213766210" w:history="1">
            <w:r w:rsidR="008D00CD" w:rsidRPr="00263F2E">
              <w:rPr>
                <w:rStyle w:val="Hyperlink"/>
                <w:noProof/>
                <w:lang w:val="en-GB"/>
              </w:rPr>
              <w:t>2.2 FishboneDiagram</w:t>
            </w:r>
            <w:r w:rsidR="008D00CD">
              <w:rPr>
                <w:noProof/>
                <w:webHidden/>
              </w:rPr>
              <w:tab/>
            </w:r>
            <w:r w:rsidR="00F30E2D">
              <w:rPr>
                <w:noProof/>
                <w:webHidden/>
              </w:rPr>
              <w:fldChar w:fldCharType="begin"/>
            </w:r>
            <w:r w:rsidR="008D00CD">
              <w:rPr>
                <w:noProof/>
                <w:webHidden/>
              </w:rPr>
              <w:instrText xml:space="preserve"> PAGEREF _Toc213766210 \h </w:instrText>
            </w:r>
            <w:r w:rsidR="00F30E2D">
              <w:rPr>
                <w:noProof/>
                <w:webHidden/>
              </w:rPr>
            </w:r>
            <w:r w:rsidR="00F30E2D">
              <w:rPr>
                <w:noProof/>
                <w:webHidden/>
              </w:rPr>
              <w:fldChar w:fldCharType="separate"/>
            </w:r>
            <w:r w:rsidR="00AF57DF">
              <w:rPr>
                <w:noProof/>
                <w:webHidden/>
              </w:rPr>
              <w:t>5</w:t>
            </w:r>
            <w:r w:rsidR="00F30E2D">
              <w:rPr>
                <w:noProof/>
                <w:webHidden/>
              </w:rPr>
              <w:fldChar w:fldCharType="end"/>
            </w:r>
          </w:hyperlink>
        </w:p>
        <w:p w14:paraId="26C5C658" w14:textId="64D7D34B" w:rsidR="008D00CD" w:rsidRDefault="00000000">
          <w:pPr>
            <w:pStyle w:val="TOC2"/>
            <w:tabs>
              <w:tab w:val="right" w:leader="dot" w:pos="9350"/>
            </w:tabs>
            <w:rPr>
              <w:rFonts w:asciiTheme="minorHAnsi" w:eastAsiaTheme="minorEastAsia" w:hAnsiTheme="minorHAnsi" w:cstheme="minorBidi"/>
              <w:noProof/>
              <w:kern w:val="2"/>
              <w:sz w:val="24"/>
              <w:szCs w:val="24"/>
              <w:lang w:val="en-IN" w:eastAsia="en-IN"/>
            </w:rPr>
          </w:pPr>
          <w:hyperlink w:anchor="_Toc213766211" w:history="1">
            <w:r w:rsidR="008D00CD" w:rsidRPr="00263F2E">
              <w:rPr>
                <w:rStyle w:val="Hyperlink"/>
                <w:noProof/>
                <w:lang w:val="en-GB"/>
              </w:rPr>
              <w:t>2.3 SWOT analysis</w:t>
            </w:r>
            <w:r w:rsidR="008D00CD">
              <w:rPr>
                <w:noProof/>
                <w:webHidden/>
              </w:rPr>
              <w:tab/>
            </w:r>
            <w:r w:rsidR="00F30E2D">
              <w:rPr>
                <w:noProof/>
                <w:webHidden/>
              </w:rPr>
              <w:fldChar w:fldCharType="begin"/>
            </w:r>
            <w:r w:rsidR="008D00CD">
              <w:rPr>
                <w:noProof/>
                <w:webHidden/>
              </w:rPr>
              <w:instrText xml:space="preserve"> PAGEREF _Toc213766211 \h </w:instrText>
            </w:r>
            <w:r w:rsidR="00F30E2D">
              <w:rPr>
                <w:noProof/>
                <w:webHidden/>
              </w:rPr>
            </w:r>
            <w:r w:rsidR="00F30E2D">
              <w:rPr>
                <w:noProof/>
                <w:webHidden/>
              </w:rPr>
              <w:fldChar w:fldCharType="separate"/>
            </w:r>
            <w:r w:rsidR="00AF57DF">
              <w:rPr>
                <w:noProof/>
                <w:webHidden/>
              </w:rPr>
              <w:t>7</w:t>
            </w:r>
            <w:r w:rsidR="00F30E2D">
              <w:rPr>
                <w:noProof/>
                <w:webHidden/>
              </w:rPr>
              <w:fldChar w:fldCharType="end"/>
            </w:r>
          </w:hyperlink>
        </w:p>
        <w:p w14:paraId="0C56ECF2" w14:textId="2A6EDFB6" w:rsidR="008D00CD" w:rsidRDefault="00000000">
          <w:pPr>
            <w:pStyle w:val="TOC2"/>
            <w:tabs>
              <w:tab w:val="right" w:leader="dot" w:pos="9350"/>
            </w:tabs>
            <w:rPr>
              <w:rFonts w:asciiTheme="minorHAnsi" w:eastAsiaTheme="minorEastAsia" w:hAnsiTheme="minorHAnsi" w:cstheme="minorBidi"/>
              <w:noProof/>
              <w:kern w:val="2"/>
              <w:sz w:val="24"/>
              <w:szCs w:val="24"/>
              <w:lang w:val="en-IN" w:eastAsia="en-IN"/>
            </w:rPr>
          </w:pPr>
          <w:hyperlink w:anchor="_Toc213766212" w:history="1">
            <w:r w:rsidR="008D00CD" w:rsidRPr="00263F2E">
              <w:rPr>
                <w:rStyle w:val="Hyperlink"/>
                <w:noProof/>
                <w:lang w:val="en-GB"/>
              </w:rPr>
              <w:t>2.4 Kottler’s 8-step Change Model</w:t>
            </w:r>
            <w:r w:rsidR="008D00CD">
              <w:rPr>
                <w:noProof/>
                <w:webHidden/>
              </w:rPr>
              <w:tab/>
            </w:r>
            <w:r w:rsidR="00F30E2D">
              <w:rPr>
                <w:noProof/>
                <w:webHidden/>
              </w:rPr>
              <w:fldChar w:fldCharType="begin"/>
            </w:r>
            <w:r w:rsidR="008D00CD">
              <w:rPr>
                <w:noProof/>
                <w:webHidden/>
              </w:rPr>
              <w:instrText xml:space="preserve"> PAGEREF _Toc213766212 \h </w:instrText>
            </w:r>
            <w:r w:rsidR="00F30E2D">
              <w:rPr>
                <w:noProof/>
                <w:webHidden/>
              </w:rPr>
            </w:r>
            <w:r w:rsidR="00F30E2D">
              <w:rPr>
                <w:noProof/>
                <w:webHidden/>
              </w:rPr>
              <w:fldChar w:fldCharType="separate"/>
            </w:r>
            <w:r w:rsidR="00AF57DF">
              <w:rPr>
                <w:noProof/>
                <w:webHidden/>
              </w:rPr>
              <w:t>8</w:t>
            </w:r>
            <w:r w:rsidR="00F30E2D">
              <w:rPr>
                <w:noProof/>
                <w:webHidden/>
              </w:rPr>
              <w:fldChar w:fldCharType="end"/>
            </w:r>
          </w:hyperlink>
        </w:p>
        <w:p w14:paraId="7DCCC49F" w14:textId="4CB1155F" w:rsidR="008D00CD" w:rsidRDefault="00000000">
          <w:pPr>
            <w:pStyle w:val="TOC1"/>
            <w:tabs>
              <w:tab w:val="right" w:leader="dot" w:pos="9350"/>
            </w:tabs>
            <w:rPr>
              <w:rFonts w:asciiTheme="minorHAnsi" w:eastAsiaTheme="minorEastAsia" w:hAnsiTheme="minorHAnsi" w:cstheme="minorBidi"/>
              <w:noProof/>
              <w:kern w:val="2"/>
              <w:sz w:val="24"/>
              <w:szCs w:val="24"/>
              <w:lang w:val="en-IN" w:eastAsia="en-IN"/>
            </w:rPr>
          </w:pPr>
          <w:hyperlink w:anchor="_Toc213766213" w:history="1">
            <w:r w:rsidR="008D00CD" w:rsidRPr="00263F2E">
              <w:rPr>
                <w:rStyle w:val="Hyperlink"/>
                <w:noProof/>
                <w:lang w:val="en-GB"/>
              </w:rPr>
              <w:t>3. Recommendations</w:t>
            </w:r>
            <w:r w:rsidR="008D00CD">
              <w:rPr>
                <w:noProof/>
                <w:webHidden/>
              </w:rPr>
              <w:tab/>
            </w:r>
            <w:r w:rsidR="00F30E2D">
              <w:rPr>
                <w:noProof/>
                <w:webHidden/>
              </w:rPr>
              <w:fldChar w:fldCharType="begin"/>
            </w:r>
            <w:r w:rsidR="008D00CD">
              <w:rPr>
                <w:noProof/>
                <w:webHidden/>
              </w:rPr>
              <w:instrText xml:space="preserve"> PAGEREF _Toc213766213 \h </w:instrText>
            </w:r>
            <w:r w:rsidR="00F30E2D">
              <w:rPr>
                <w:noProof/>
                <w:webHidden/>
              </w:rPr>
            </w:r>
            <w:r w:rsidR="00F30E2D">
              <w:rPr>
                <w:noProof/>
                <w:webHidden/>
              </w:rPr>
              <w:fldChar w:fldCharType="separate"/>
            </w:r>
            <w:r w:rsidR="00AF57DF">
              <w:rPr>
                <w:noProof/>
                <w:webHidden/>
              </w:rPr>
              <w:t>10</w:t>
            </w:r>
            <w:r w:rsidR="00F30E2D">
              <w:rPr>
                <w:noProof/>
                <w:webHidden/>
              </w:rPr>
              <w:fldChar w:fldCharType="end"/>
            </w:r>
          </w:hyperlink>
        </w:p>
        <w:p w14:paraId="339FF742" w14:textId="14D4AEF6" w:rsidR="008D00CD" w:rsidRDefault="00000000">
          <w:pPr>
            <w:pStyle w:val="TOC2"/>
            <w:tabs>
              <w:tab w:val="right" w:leader="dot" w:pos="9350"/>
            </w:tabs>
            <w:rPr>
              <w:rFonts w:asciiTheme="minorHAnsi" w:eastAsiaTheme="minorEastAsia" w:hAnsiTheme="minorHAnsi" w:cstheme="minorBidi"/>
              <w:noProof/>
              <w:kern w:val="2"/>
              <w:sz w:val="24"/>
              <w:szCs w:val="24"/>
              <w:lang w:val="en-IN" w:eastAsia="en-IN"/>
            </w:rPr>
          </w:pPr>
          <w:hyperlink w:anchor="_Toc213766214" w:history="1">
            <w:r w:rsidR="008D00CD" w:rsidRPr="00263F2E">
              <w:rPr>
                <w:rStyle w:val="Hyperlink"/>
                <w:noProof/>
                <w:lang w:val="en-GB"/>
              </w:rPr>
              <w:t>3.1 Benchmark Table</w:t>
            </w:r>
            <w:r w:rsidR="008D00CD">
              <w:rPr>
                <w:noProof/>
                <w:webHidden/>
              </w:rPr>
              <w:tab/>
            </w:r>
            <w:r w:rsidR="00F30E2D">
              <w:rPr>
                <w:noProof/>
                <w:webHidden/>
              </w:rPr>
              <w:fldChar w:fldCharType="begin"/>
            </w:r>
            <w:r w:rsidR="008D00CD">
              <w:rPr>
                <w:noProof/>
                <w:webHidden/>
              </w:rPr>
              <w:instrText xml:space="preserve"> PAGEREF _Toc213766214 \h </w:instrText>
            </w:r>
            <w:r w:rsidR="00F30E2D">
              <w:rPr>
                <w:noProof/>
                <w:webHidden/>
              </w:rPr>
            </w:r>
            <w:r w:rsidR="00F30E2D">
              <w:rPr>
                <w:noProof/>
                <w:webHidden/>
              </w:rPr>
              <w:fldChar w:fldCharType="separate"/>
            </w:r>
            <w:r w:rsidR="00AF57DF">
              <w:rPr>
                <w:noProof/>
                <w:webHidden/>
              </w:rPr>
              <w:t>10</w:t>
            </w:r>
            <w:r w:rsidR="00F30E2D">
              <w:rPr>
                <w:noProof/>
                <w:webHidden/>
              </w:rPr>
              <w:fldChar w:fldCharType="end"/>
            </w:r>
          </w:hyperlink>
        </w:p>
        <w:p w14:paraId="1ADD5D3F" w14:textId="148DA041" w:rsidR="008D00CD" w:rsidRDefault="00000000">
          <w:pPr>
            <w:pStyle w:val="TOC2"/>
            <w:tabs>
              <w:tab w:val="right" w:leader="dot" w:pos="9350"/>
            </w:tabs>
            <w:rPr>
              <w:rFonts w:asciiTheme="minorHAnsi" w:eastAsiaTheme="minorEastAsia" w:hAnsiTheme="minorHAnsi" w:cstheme="minorBidi"/>
              <w:noProof/>
              <w:kern w:val="2"/>
              <w:sz w:val="24"/>
              <w:szCs w:val="24"/>
              <w:lang w:val="en-IN" w:eastAsia="en-IN"/>
            </w:rPr>
          </w:pPr>
          <w:hyperlink w:anchor="_Toc213766215" w:history="1">
            <w:r w:rsidR="008D00CD" w:rsidRPr="00263F2E">
              <w:rPr>
                <w:rStyle w:val="Hyperlink"/>
                <w:noProof/>
                <w:lang w:val="en-GB"/>
              </w:rPr>
              <w:t>3.2 Application of the PDSA (Plan-Do-Study-Act) cycle</w:t>
            </w:r>
            <w:r w:rsidR="008D00CD">
              <w:rPr>
                <w:noProof/>
                <w:webHidden/>
              </w:rPr>
              <w:tab/>
            </w:r>
            <w:r w:rsidR="00F30E2D">
              <w:rPr>
                <w:noProof/>
                <w:webHidden/>
              </w:rPr>
              <w:fldChar w:fldCharType="begin"/>
            </w:r>
            <w:r w:rsidR="008D00CD">
              <w:rPr>
                <w:noProof/>
                <w:webHidden/>
              </w:rPr>
              <w:instrText xml:space="preserve"> PAGEREF _Toc213766215 \h </w:instrText>
            </w:r>
            <w:r w:rsidR="00F30E2D">
              <w:rPr>
                <w:noProof/>
                <w:webHidden/>
              </w:rPr>
            </w:r>
            <w:r w:rsidR="00F30E2D">
              <w:rPr>
                <w:noProof/>
                <w:webHidden/>
              </w:rPr>
              <w:fldChar w:fldCharType="separate"/>
            </w:r>
            <w:r w:rsidR="00AF57DF">
              <w:rPr>
                <w:noProof/>
                <w:webHidden/>
              </w:rPr>
              <w:t>11</w:t>
            </w:r>
            <w:r w:rsidR="00F30E2D">
              <w:rPr>
                <w:noProof/>
                <w:webHidden/>
              </w:rPr>
              <w:fldChar w:fldCharType="end"/>
            </w:r>
          </w:hyperlink>
        </w:p>
        <w:p w14:paraId="394EEB31" w14:textId="74014033" w:rsidR="008D00CD" w:rsidRDefault="00000000">
          <w:pPr>
            <w:pStyle w:val="TOC2"/>
            <w:tabs>
              <w:tab w:val="right" w:leader="dot" w:pos="9350"/>
            </w:tabs>
            <w:rPr>
              <w:rFonts w:asciiTheme="minorHAnsi" w:eastAsiaTheme="minorEastAsia" w:hAnsiTheme="minorHAnsi" w:cstheme="minorBidi"/>
              <w:noProof/>
              <w:kern w:val="2"/>
              <w:sz w:val="24"/>
              <w:szCs w:val="24"/>
              <w:lang w:val="en-IN" w:eastAsia="en-IN"/>
            </w:rPr>
          </w:pPr>
          <w:hyperlink w:anchor="_Toc213766216" w:history="1">
            <w:r w:rsidR="008D00CD" w:rsidRPr="00263F2E">
              <w:rPr>
                <w:rStyle w:val="Hyperlink"/>
                <w:noProof/>
                <w:lang w:val="en-GB"/>
              </w:rPr>
              <w:t>3.3 Implementation plan</w:t>
            </w:r>
            <w:r w:rsidR="008D00CD">
              <w:rPr>
                <w:noProof/>
                <w:webHidden/>
              </w:rPr>
              <w:tab/>
            </w:r>
            <w:r w:rsidR="00F30E2D">
              <w:rPr>
                <w:noProof/>
                <w:webHidden/>
              </w:rPr>
              <w:fldChar w:fldCharType="begin"/>
            </w:r>
            <w:r w:rsidR="008D00CD">
              <w:rPr>
                <w:noProof/>
                <w:webHidden/>
              </w:rPr>
              <w:instrText xml:space="preserve"> PAGEREF _Toc213766216 \h </w:instrText>
            </w:r>
            <w:r w:rsidR="00F30E2D">
              <w:rPr>
                <w:noProof/>
                <w:webHidden/>
              </w:rPr>
            </w:r>
            <w:r w:rsidR="00F30E2D">
              <w:rPr>
                <w:noProof/>
                <w:webHidden/>
              </w:rPr>
              <w:fldChar w:fldCharType="separate"/>
            </w:r>
            <w:r w:rsidR="00AF57DF">
              <w:rPr>
                <w:noProof/>
                <w:webHidden/>
              </w:rPr>
              <w:t>13</w:t>
            </w:r>
            <w:r w:rsidR="00F30E2D">
              <w:rPr>
                <w:noProof/>
                <w:webHidden/>
              </w:rPr>
              <w:fldChar w:fldCharType="end"/>
            </w:r>
          </w:hyperlink>
        </w:p>
        <w:p w14:paraId="23A17E36" w14:textId="75303223" w:rsidR="008D00CD" w:rsidRDefault="00000000">
          <w:pPr>
            <w:pStyle w:val="TOC1"/>
            <w:tabs>
              <w:tab w:val="right" w:leader="dot" w:pos="9350"/>
            </w:tabs>
            <w:rPr>
              <w:rFonts w:asciiTheme="minorHAnsi" w:eastAsiaTheme="minorEastAsia" w:hAnsiTheme="minorHAnsi" w:cstheme="minorBidi"/>
              <w:noProof/>
              <w:kern w:val="2"/>
              <w:sz w:val="24"/>
              <w:szCs w:val="24"/>
              <w:lang w:val="en-IN" w:eastAsia="en-IN"/>
            </w:rPr>
          </w:pPr>
          <w:hyperlink w:anchor="_Toc213766217" w:history="1">
            <w:r w:rsidR="008D00CD" w:rsidRPr="00263F2E">
              <w:rPr>
                <w:rStyle w:val="Hyperlink"/>
                <w:noProof/>
                <w:lang w:val="en-GB"/>
              </w:rPr>
              <w:t>4. Conclusion</w:t>
            </w:r>
            <w:r w:rsidR="008D00CD">
              <w:rPr>
                <w:noProof/>
                <w:webHidden/>
              </w:rPr>
              <w:tab/>
            </w:r>
            <w:r w:rsidR="00F30E2D">
              <w:rPr>
                <w:noProof/>
                <w:webHidden/>
              </w:rPr>
              <w:fldChar w:fldCharType="begin"/>
            </w:r>
            <w:r w:rsidR="008D00CD">
              <w:rPr>
                <w:noProof/>
                <w:webHidden/>
              </w:rPr>
              <w:instrText xml:space="preserve"> PAGEREF _Toc213766217 \h </w:instrText>
            </w:r>
            <w:r w:rsidR="00F30E2D">
              <w:rPr>
                <w:noProof/>
                <w:webHidden/>
              </w:rPr>
            </w:r>
            <w:r w:rsidR="00F30E2D">
              <w:rPr>
                <w:noProof/>
                <w:webHidden/>
              </w:rPr>
              <w:fldChar w:fldCharType="separate"/>
            </w:r>
            <w:r w:rsidR="00AF57DF">
              <w:rPr>
                <w:noProof/>
                <w:webHidden/>
              </w:rPr>
              <w:t>13</w:t>
            </w:r>
            <w:r w:rsidR="00F30E2D">
              <w:rPr>
                <w:noProof/>
                <w:webHidden/>
              </w:rPr>
              <w:fldChar w:fldCharType="end"/>
            </w:r>
          </w:hyperlink>
        </w:p>
        <w:p w14:paraId="05739511" w14:textId="47F9E3EC" w:rsidR="008D00CD" w:rsidRDefault="00000000">
          <w:pPr>
            <w:pStyle w:val="TOC1"/>
            <w:tabs>
              <w:tab w:val="right" w:leader="dot" w:pos="9350"/>
            </w:tabs>
            <w:rPr>
              <w:rFonts w:asciiTheme="minorHAnsi" w:eastAsiaTheme="minorEastAsia" w:hAnsiTheme="minorHAnsi" w:cstheme="minorBidi"/>
              <w:noProof/>
              <w:kern w:val="2"/>
              <w:sz w:val="24"/>
              <w:szCs w:val="24"/>
              <w:lang w:val="en-IN" w:eastAsia="en-IN"/>
            </w:rPr>
          </w:pPr>
          <w:hyperlink w:anchor="_Toc213766218" w:history="1">
            <w:r w:rsidR="008D00CD" w:rsidRPr="00263F2E">
              <w:rPr>
                <w:rStyle w:val="Hyperlink"/>
                <w:noProof/>
                <w:lang w:val="en-GB"/>
              </w:rPr>
              <w:t>References</w:t>
            </w:r>
            <w:r w:rsidR="008D00CD">
              <w:rPr>
                <w:noProof/>
                <w:webHidden/>
              </w:rPr>
              <w:tab/>
            </w:r>
            <w:r w:rsidR="00F30E2D">
              <w:rPr>
                <w:noProof/>
                <w:webHidden/>
              </w:rPr>
              <w:fldChar w:fldCharType="begin"/>
            </w:r>
            <w:r w:rsidR="008D00CD">
              <w:rPr>
                <w:noProof/>
                <w:webHidden/>
              </w:rPr>
              <w:instrText xml:space="preserve"> PAGEREF _Toc213766218 \h </w:instrText>
            </w:r>
            <w:r w:rsidR="00F30E2D">
              <w:rPr>
                <w:noProof/>
                <w:webHidden/>
              </w:rPr>
            </w:r>
            <w:r w:rsidR="00F30E2D">
              <w:rPr>
                <w:noProof/>
                <w:webHidden/>
              </w:rPr>
              <w:fldChar w:fldCharType="separate"/>
            </w:r>
            <w:r w:rsidR="00AF57DF">
              <w:rPr>
                <w:noProof/>
                <w:webHidden/>
              </w:rPr>
              <w:t>15</w:t>
            </w:r>
            <w:r w:rsidR="00F30E2D">
              <w:rPr>
                <w:noProof/>
                <w:webHidden/>
              </w:rPr>
              <w:fldChar w:fldCharType="end"/>
            </w:r>
          </w:hyperlink>
        </w:p>
        <w:p w14:paraId="3E2A7089" w14:textId="77777777" w:rsidR="00722BAA" w:rsidRPr="008F2C45" w:rsidRDefault="00F30E2D" w:rsidP="008F2C45">
          <w:pPr>
            <w:spacing w:before="120" w:after="120"/>
          </w:pPr>
          <w:r w:rsidRPr="008F2C45">
            <w:fldChar w:fldCharType="end"/>
          </w:r>
        </w:p>
      </w:sdtContent>
    </w:sdt>
    <w:p w14:paraId="7D2C1CEB" w14:textId="77777777" w:rsidR="004463EE" w:rsidRPr="008F2C45" w:rsidRDefault="004463EE" w:rsidP="008F2C45">
      <w:pPr>
        <w:spacing w:before="120" w:after="120"/>
        <w:jc w:val="center"/>
        <w:rPr>
          <w:lang w:val="en-GB"/>
        </w:rPr>
      </w:pPr>
      <w:r w:rsidRPr="008F2C45">
        <w:rPr>
          <w:lang w:val="en-GB"/>
        </w:rPr>
        <w:br w:type="page"/>
      </w:r>
    </w:p>
    <w:p w14:paraId="205E6BD1" w14:textId="77777777" w:rsidR="004C6993" w:rsidRPr="00087BB0" w:rsidRDefault="001B5527" w:rsidP="008F2C45">
      <w:pPr>
        <w:pStyle w:val="Heading1"/>
        <w:spacing w:before="120" w:after="120"/>
        <w:rPr>
          <w:color w:val="000000" w:themeColor="text1"/>
          <w:lang w:val="en-GB"/>
        </w:rPr>
      </w:pPr>
      <w:bookmarkStart w:id="1" w:name="_Toc213766207"/>
      <w:r w:rsidRPr="00087BB0">
        <w:rPr>
          <w:color w:val="000000" w:themeColor="text1"/>
          <w:lang w:val="en-GB"/>
        </w:rPr>
        <w:lastRenderedPageBreak/>
        <w:t>1. Introduction</w:t>
      </w:r>
      <w:bookmarkEnd w:id="1"/>
    </w:p>
    <w:p w14:paraId="615B01EC" w14:textId="77777777" w:rsidR="00316936" w:rsidRPr="00087BB0" w:rsidRDefault="00877B7E" w:rsidP="00316936">
      <w:pPr>
        <w:pStyle w:val="Normal1"/>
        <w:spacing w:before="120" w:after="120"/>
        <w:rPr>
          <w:color w:val="000000" w:themeColor="text1"/>
          <w:lang w:val="en-GB"/>
        </w:rPr>
      </w:pPr>
      <w:r w:rsidRPr="00087BB0">
        <w:rPr>
          <w:color w:val="000000" w:themeColor="text1"/>
        </w:rPr>
        <w:t xml:space="preserve">Lucy </w:t>
      </w:r>
      <w:proofErr w:type="spellStart"/>
      <w:r w:rsidRPr="00087BB0">
        <w:rPr>
          <w:color w:val="000000" w:themeColor="text1"/>
        </w:rPr>
        <w:t>Letby</w:t>
      </w:r>
      <w:proofErr w:type="spellEnd"/>
      <w:r w:rsidRPr="00087BB0">
        <w:rPr>
          <w:color w:val="000000" w:themeColor="text1"/>
        </w:rPr>
        <w:t xml:space="preserve"> case is regarded as one of the most prolific child serial killings in the British legal history. Lucy </w:t>
      </w:r>
      <w:proofErr w:type="spellStart"/>
      <w:r w:rsidRPr="00087BB0">
        <w:rPr>
          <w:color w:val="000000" w:themeColor="text1"/>
        </w:rPr>
        <w:t>Letby</w:t>
      </w:r>
      <w:proofErr w:type="spellEnd"/>
      <w:r w:rsidRPr="00087BB0">
        <w:rPr>
          <w:color w:val="000000" w:themeColor="text1"/>
        </w:rPr>
        <w:t xml:space="preserve"> is a former nurse employed in the neonatal unit of Countess of Chester Hospital, UK who killed six premature babies, and attempted to kill seven more in 2015 to 2016 (Bowie, 2025). </w:t>
      </w:r>
      <w:r w:rsidR="001B5527" w:rsidRPr="00087BB0">
        <w:rPr>
          <w:color w:val="000000" w:themeColor="text1"/>
          <w:lang w:val="en-GB"/>
        </w:rPr>
        <w:t xml:space="preserve">Her methods included injecting air into their bodies through the bloodstream or stomach, poisoning them with insulin, overfeeding them with milk, and, in some cases, inflicting traumatic physical injuries. The trial of the </w:t>
      </w:r>
      <w:proofErr w:type="spellStart"/>
      <w:r w:rsidR="001B5527" w:rsidRPr="00087BB0">
        <w:rPr>
          <w:color w:val="000000" w:themeColor="text1"/>
          <w:lang w:val="en-GB"/>
        </w:rPr>
        <w:t>Luch</w:t>
      </w:r>
      <w:proofErr w:type="spellEnd"/>
      <w:r w:rsidR="001B5527" w:rsidRPr="00087BB0">
        <w:rPr>
          <w:color w:val="000000" w:themeColor="text1"/>
          <w:lang w:val="en-GB"/>
        </w:rPr>
        <w:t xml:space="preserve"> </w:t>
      </w:r>
      <w:proofErr w:type="spellStart"/>
      <w:r w:rsidR="001B5527" w:rsidRPr="00087BB0">
        <w:rPr>
          <w:color w:val="000000" w:themeColor="text1"/>
          <w:lang w:val="en-GB"/>
        </w:rPr>
        <w:t>Letby</w:t>
      </w:r>
      <w:proofErr w:type="spellEnd"/>
      <w:r w:rsidR="001B5527" w:rsidRPr="00087BB0">
        <w:rPr>
          <w:color w:val="000000" w:themeColor="text1"/>
          <w:lang w:val="en-GB"/>
        </w:rPr>
        <w:t xml:space="preserve"> case was continued for nine months from October 2022 to August 2023, when she was found guilty, and later in July 2024, she was convicted and was sentenced to 15 years’ imprisonment (Thomas, 2025). </w:t>
      </w:r>
      <w:r w:rsidRPr="00087BB0">
        <w:rPr>
          <w:color w:val="000000" w:themeColor="text1"/>
        </w:rPr>
        <w:t>This is an inherently vulnerable and tragic event in the Countess of Chester Hospital in the UK, which points at significant clinical governance, leadership responsibility, and patient safety group failures.</w:t>
      </w:r>
      <w:r w:rsidR="00316936" w:rsidRPr="00087BB0">
        <w:rPr>
          <w:color w:val="000000" w:themeColor="text1"/>
        </w:rPr>
        <w:t xml:space="preserve"> </w:t>
      </w:r>
      <w:r w:rsidR="001B5527" w:rsidRPr="00087BB0">
        <w:rPr>
          <w:color w:val="000000" w:themeColor="text1"/>
          <w:lang w:val="en-GB"/>
        </w:rPr>
        <w:t xml:space="preserve">An international team, including 14 neonatology and paediatric medicine experts, working with </w:t>
      </w:r>
      <w:proofErr w:type="spellStart"/>
      <w:r w:rsidR="001B5527" w:rsidRPr="00087BB0">
        <w:rPr>
          <w:color w:val="000000" w:themeColor="text1"/>
          <w:lang w:val="en-GB"/>
        </w:rPr>
        <w:t>Letby’s</w:t>
      </w:r>
      <w:proofErr w:type="spellEnd"/>
      <w:r w:rsidR="001B5527" w:rsidRPr="00087BB0">
        <w:rPr>
          <w:color w:val="000000" w:themeColor="text1"/>
          <w:lang w:val="en-GB"/>
        </w:rPr>
        <w:t xml:space="preserve"> defence team, reviewed the evidence of the case and identified that there are multiple reasons for the babies’ deaths (The Guardian, 2025</w:t>
      </w:r>
      <w:r w:rsidR="00316936" w:rsidRPr="00087BB0">
        <w:rPr>
          <w:color w:val="000000" w:themeColor="text1"/>
          <w:lang w:val="en-GB"/>
        </w:rPr>
        <w:t>, Coleman, 2025</w:t>
      </w:r>
      <w:r w:rsidR="001B5527" w:rsidRPr="00087BB0">
        <w:rPr>
          <w:color w:val="000000" w:themeColor="text1"/>
          <w:lang w:val="en-GB"/>
        </w:rPr>
        <w:t xml:space="preserve">). </w:t>
      </w:r>
    </w:p>
    <w:p w14:paraId="7B65A222" w14:textId="77777777" w:rsidR="004C6993" w:rsidRPr="00087BB0" w:rsidRDefault="001B5527" w:rsidP="00316936">
      <w:pPr>
        <w:pStyle w:val="Normal1"/>
        <w:spacing w:before="120" w:after="120"/>
        <w:rPr>
          <w:color w:val="000000" w:themeColor="text1"/>
        </w:rPr>
      </w:pPr>
      <w:r w:rsidRPr="00087BB0">
        <w:rPr>
          <w:color w:val="000000" w:themeColor="text1"/>
          <w:lang w:val="en-GB"/>
        </w:rPr>
        <w:t xml:space="preserve">These include poor clinical outcomes, such as inadequate staffing, delayed treatment, poor diagnosis, and systemic failures at the neonatal unit of the hospital, along with negligence of the management team. For instance, reports show that two babies died due to air embolism, an incident of an air bubble blocking a blood vessel, collapsing the body and another baby girl died due to an injection of synthetic insulin (The Guardian, 2025). Additionally, babies also suffer from sepsis, pneumonia, chronic lung disease and </w:t>
      </w:r>
      <w:proofErr w:type="spellStart"/>
      <w:r w:rsidRPr="00087BB0">
        <w:rPr>
          <w:color w:val="000000" w:themeColor="text1"/>
          <w:lang w:val="en-GB"/>
        </w:rPr>
        <w:t>hyperglycemia</w:t>
      </w:r>
      <w:proofErr w:type="spellEnd"/>
      <w:r w:rsidRPr="00087BB0">
        <w:rPr>
          <w:color w:val="000000" w:themeColor="text1"/>
          <w:lang w:val="en-GB"/>
        </w:rPr>
        <w:t xml:space="preserve">, indicating unavailability of trained clinicians and inadequate supervision (Pilling, 2025). In this regard, the investigation was again conducted, and three senior managers at the Countess of Chester Hospital were arrested. Addressing the verdict of the Lucy </w:t>
      </w:r>
      <w:proofErr w:type="spellStart"/>
      <w:r w:rsidRPr="00087BB0">
        <w:rPr>
          <w:color w:val="000000" w:themeColor="text1"/>
          <w:lang w:val="en-GB"/>
        </w:rPr>
        <w:t>Letby</w:t>
      </w:r>
      <w:proofErr w:type="spellEnd"/>
      <w:r w:rsidRPr="00087BB0">
        <w:rPr>
          <w:color w:val="000000" w:themeColor="text1"/>
          <w:lang w:val="en-GB"/>
        </w:rPr>
        <w:t xml:space="preserve"> case, NHS England’s official communication highlighted systemic weaknesses that allowed repeated harm to occur (NHS.UK, 2023). </w:t>
      </w:r>
      <w:r w:rsidR="00316936" w:rsidRPr="00087BB0">
        <w:rPr>
          <w:color w:val="000000" w:themeColor="text1"/>
        </w:rPr>
        <w:t xml:space="preserve">This study will apply the </w:t>
      </w:r>
      <w:r w:rsidR="00316936" w:rsidRPr="00087BB0">
        <w:rPr>
          <w:rStyle w:val="Strong"/>
          <w:b w:val="0"/>
          <w:color w:val="000000" w:themeColor="text1"/>
        </w:rPr>
        <w:t>Donabedian Model</w:t>
      </w:r>
      <w:r w:rsidR="00316936" w:rsidRPr="00087BB0">
        <w:rPr>
          <w:b/>
          <w:color w:val="000000" w:themeColor="text1"/>
        </w:rPr>
        <w:t xml:space="preserve">, </w:t>
      </w:r>
      <w:r w:rsidR="00316936" w:rsidRPr="00087BB0">
        <w:rPr>
          <w:rStyle w:val="Strong"/>
          <w:b w:val="0"/>
          <w:color w:val="000000" w:themeColor="text1"/>
        </w:rPr>
        <w:t>Fishbone Diagram</w:t>
      </w:r>
      <w:r w:rsidR="00316936" w:rsidRPr="00087BB0">
        <w:rPr>
          <w:b/>
          <w:color w:val="000000" w:themeColor="text1"/>
        </w:rPr>
        <w:t xml:space="preserve">, </w:t>
      </w:r>
      <w:r w:rsidR="00316936" w:rsidRPr="00087BB0">
        <w:rPr>
          <w:rStyle w:val="Strong"/>
          <w:b w:val="0"/>
          <w:color w:val="000000" w:themeColor="text1"/>
        </w:rPr>
        <w:t>SWOT analysis</w:t>
      </w:r>
      <w:r w:rsidR="00316936" w:rsidRPr="00087BB0">
        <w:rPr>
          <w:b/>
          <w:color w:val="000000" w:themeColor="text1"/>
        </w:rPr>
        <w:t xml:space="preserve">, </w:t>
      </w:r>
      <w:r w:rsidR="00316936" w:rsidRPr="00087BB0">
        <w:rPr>
          <w:color w:val="000000" w:themeColor="text1"/>
        </w:rPr>
        <w:t>and</w:t>
      </w:r>
      <w:r w:rsidR="00316936" w:rsidRPr="00087BB0">
        <w:rPr>
          <w:b/>
          <w:color w:val="000000" w:themeColor="text1"/>
        </w:rPr>
        <w:t xml:space="preserve"> </w:t>
      </w:r>
      <w:r w:rsidR="00316936" w:rsidRPr="00087BB0">
        <w:rPr>
          <w:rStyle w:val="Strong"/>
          <w:b w:val="0"/>
          <w:color w:val="000000" w:themeColor="text1"/>
        </w:rPr>
        <w:t>Kotter’s 8</w:t>
      </w:r>
      <w:r w:rsidR="00316936" w:rsidRPr="00087BB0">
        <w:rPr>
          <w:rStyle w:val="Strong"/>
          <w:b w:val="0"/>
          <w:color w:val="000000" w:themeColor="text1"/>
        </w:rPr>
        <w:noBreakHyphen/>
        <w:t>Step Change Model</w:t>
      </w:r>
      <w:r w:rsidR="00316936" w:rsidRPr="00087BB0">
        <w:rPr>
          <w:color w:val="000000" w:themeColor="text1"/>
        </w:rPr>
        <w:t xml:space="preserve"> to identify structural, cultural, and procedural gaps followed by provision of recommendations using the PDSA cycle. </w:t>
      </w:r>
    </w:p>
    <w:p w14:paraId="0509E5AC" w14:textId="77777777" w:rsidR="004C6993" w:rsidRPr="00087BB0" w:rsidRDefault="001B5527" w:rsidP="008F2C45">
      <w:pPr>
        <w:pStyle w:val="Heading1"/>
        <w:spacing w:before="120" w:after="120"/>
        <w:rPr>
          <w:color w:val="000000" w:themeColor="text1"/>
          <w:lang w:val="en-GB"/>
        </w:rPr>
      </w:pPr>
      <w:bookmarkStart w:id="2" w:name="_9jjoq5ox0t1x" w:colFirst="0" w:colLast="0"/>
      <w:bookmarkStart w:id="3" w:name="_Toc213766208"/>
      <w:bookmarkEnd w:id="2"/>
      <w:r w:rsidRPr="00087BB0">
        <w:rPr>
          <w:color w:val="000000" w:themeColor="text1"/>
          <w:lang w:val="en-GB"/>
        </w:rPr>
        <w:t>2. Main body</w:t>
      </w:r>
      <w:bookmarkEnd w:id="3"/>
    </w:p>
    <w:p w14:paraId="67BC9993" w14:textId="77777777" w:rsidR="004C6993" w:rsidRPr="00087BB0" w:rsidRDefault="001B5527" w:rsidP="008F2C45">
      <w:pPr>
        <w:pStyle w:val="Heading2"/>
        <w:spacing w:before="120" w:after="120"/>
        <w:rPr>
          <w:color w:val="000000" w:themeColor="text1"/>
          <w:lang w:val="en-GB"/>
        </w:rPr>
      </w:pPr>
      <w:bookmarkStart w:id="4" w:name="_8rusolqtl9ie" w:colFirst="0" w:colLast="0"/>
      <w:bookmarkStart w:id="5" w:name="_athoiz81pu6n" w:colFirst="0" w:colLast="0"/>
      <w:bookmarkStart w:id="6" w:name="_Toc213766209"/>
      <w:bookmarkEnd w:id="4"/>
      <w:bookmarkEnd w:id="5"/>
      <w:r w:rsidRPr="00087BB0">
        <w:rPr>
          <w:color w:val="000000" w:themeColor="text1"/>
          <w:lang w:val="en-GB"/>
        </w:rPr>
        <w:t>2.</w:t>
      </w:r>
      <w:r w:rsidR="001D5787" w:rsidRPr="00087BB0">
        <w:rPr>
          <w:color w:val="000000" w:themeColor="text1"/>
          <w:lang w:val="en-GB"/>
        </w:rPr>
        <w:t>1</w:t>
      </w:r>
      <w:r w:rsidRPr="00087BB0">
        <w:rPr>
          <w:color w:val="000000" w:themeColor="text1"/>
          <w:lang w:val="en-GB"/>
        </w:rPr>
        <w:t xml:space="preserve"> The Donabedian Model</w:t>
      </w:r>
      <w:bookmarkEnd w:id="6"/>
    </w:p>
    <w:p w14:paraId="495C8F0B" w14:textId="698568B1" w:rsidR="00316936" w:rsidRPr="00087BB0" w:rsidRDefault="00355C69" w:rsidP="00316936">
      <w:pPr>
        <w:pStyle w:val="Normal1"/>
        <w:rPr>
          <w:color w:val="000000" w:themeColor="text1"/>
          <w:lang w:val="en-GB"/>
        </w:rPr>
      </w:pPr>
      <w:r w:rsidRPr="00355C69">
        <w:rPr>
          <w:color w:val="000000" w:themeColor="text1"/>
        </w:rPr>
        <w:t xml:space="preserve">Complex cases such as the Lucy </w:t>
      </w:r>
      <w:proofErr w:type="spellStart"/>
      <w:r w:rsidRPr="00355C69">
        <w:rPr>
          <w:color w:val="000000" w:themeColor="text1"/>
        </w:rPr>
        <w:t>Letby</w:t>
      </w:r>
      <w:proofErr w:type="spellEnd"/>
      <w:r w:rsidRPr="00355C69">
        <w:rPr>
          <w:color w:val="000000" w:themeColor="text1"/>
        </w:rPr>
        <w:t xml:space="preserve"> scandal involve multiple interacting structural and cultural failures that cannot be understood through theory alone. The Donabedian Model offers a structured way to examine how deficiencies in the healthcare environment (structure) </w:t>
      </w:r>
      <w:r w:rsidRPr="00355C69">
        <w:rPr>
          <w:color w:val="000000" w:themeColor="text1"/>
        </w:rPr>
        <w:lastRenderedPageBreak/>
        <w:t xml:space="preserve">influenced failures in clinical activity (process) and ultimately led to preventable harm (outcome). Including empirical evidence from the </w:t>
      </w:r>
      <w:proofErr w:type="spellStart"/>
      <w:r w:rsidRPr="00355C69">
        <w:rPr>
          <w:color w:val="000000" w:themeColor="text1"/>
        </w:rPr>
        <w:t>Letby</w:t>
      </w:r>
      <w:proofErr w:type="spellEnd"/>
      <w:r w:rsidRPr="00355C69">
        <w:rPr>
          <w:color w:val="000000" w:themeColor="text1"/>
        </w:rPr>
        <w:t xml:space="preserve"> case and other major NHS failures makes these systemic weaknesses clearer and more measurable</w:t>
      </w:r>
      <w:r w:rsidR="00316936" w:rsidRPr="00087BB0">
        <w:rPr>
          <w:color w:val="000000" w:themeColor="text1"/>
        </w:rPr>
        <w:t xml:space="preserve">. </w:t>
      </w:r>
    </w:p>
    <w:p w14:paraId="7EE86F63" w14:textId="77777777" w:rsidR="004C6993" w:rsidRPr="00087BB0" w:rsidRDefault="001B5527" w:rsidP="008F2C45">
      <w:pPr>
        <w:pStyle w:val="Normal1"/>
        <w:spacing w:before="120" w:after="120"/>
        <w:rPr>
          <w:b/>
          <w:bCs/>
          <w:i/>
          <w:iCs/>
          <w:color w:val="000000" w:themeColor="text1"/>
          <w:lang w:val="en-GB"/>
        </w:rPr>
      </w:pPr>
      <w:r w:rsidRPr="00087BB0">
        <w:rPr>
          <w:b/>
          <w:bCs/>
          <w:i/>
          <w:iCs/>
          <w:color w:val="000000" w:themeColor="text1"/>
          <w:lang w:val="en-GB"/>
        </w:rPr>
        <w:t>Structure</w:t>
      </w:r>
    </w:p>
    <w:p w14:paraId="58EC0D7E" w14:textId="4F151FDA" w:rsidR="00355C69" w:rsidRPr="00355C69" w:rsidRDefault="00355C69" w:rsidP="00355C69">
      <w:pPr>
        <w:pStyle w:val="Normal1"/>
        <w:spacing w:before="120" w:after="120"/>
        <w:rPr>
          <w:color w:val="000000" w:themeColor="text1"/>
          <w:lang w:val="en-GB"/>
        </w:rPr>
      </w:pPr>
      <w:r w:rsidRPr="00355C69">
        <w:rPr>
          <w:color w:val="000000" w:themeColor="text1"/>
          <w:lang w:val="en-GB"/>
        </w:rPr>
        <w:t>Significant structural failures were present in the Countess of Chester Hospital’s neonatal unit. Staffing levels were critically below national safety standards. The unit frequently operated with nurse-to-infant ratios of 1:4, despite NHS guidance requiring 1:2 for high-dependency neonatal care (Villeneuve et al., 2018). This shortfall is comparable to the Morecambe Bay maternity scandal, where inadequate staffing was linked to 11 preventable infant deaths between 2004–2013.</w:t>
      </w:r>
    </w:p>
    <w:p w14:paraId="79C629E1" w14:textId="7873C256" w:rsidR="00355C69" w:rsidRPr="00355C69" w:rsidRDefault="00355C69" w:rsidP="00355C69">
      <w:pPr>
        <w:pStyle w:val="Normal1"/>
        <w:spacing w:before="120" w:after="120"/>
        <w:rPr>
          <w:color w:val="000000" w:themeColor="text1"/>
          <w:lang w:val="en-GB"/>
        </w:rPr>
      </w:pPr>
      <w:r w:rsidRPr="00355C69">
        <w:rPr>
          <w:color w:val="000000" w:themeColor="text1"/>
          <w:lang w:val="en-GB"/>
        </w:rPr>
        <w:t>Infrastructure also contributed to clinical risk. Poorly maintained equipment, repeated plumbing issues, and the absence of round-the-clock senior neonatal oversight compromised safe care delivery. Weak governance amplified these risks: the Trust had no external audits for several years, and board-level oversight failed to escalate consultants’ concerns. Similar governance failures occurred at Mid Staffordshire, which experienced 400–1,200 excess deaths (27–45% above expected mortality) due to ignored warnings and unsafe staffing.</w:t>
      </w:r>
    </w:p>
    <w:p w14:paraId="3606135D" w14:textId="2616519A" w:rsidR="004C6993" w:rsidRPr="00087BB0" w:rsidRDefault="00355C69" w:rsidP="00355C69">
      <w:pPr>
        <w:pStyle w:val="Normal1"/>
        <w:spacing w:before="120" w:after="120"/>
        <w:rPr>
          <w:color w:val="000000" w:themeColor="text1"/>
          <w:lang w:val="en-GB"/>
        </w:rPr>
      </w:pPr>
      <w:r w:rsidRPr="00355C69">
        <w:rPr>
          <w:color w:val="000000" w:themeColor="text1"/>
          <w:lang w:val="en-GB"/>
        </w:rPr>
        <w:t>These structural deficits created an environment where early signs of deterioration were missed and clinical teams were unable to deliver safe, timely neonatal care.</w:t>
      </w:r>
      <w:r w:rsidR="001B5527" w:rsidRPr="00087BB0">
        <w:rPr>
          <w:color w:val="000000" w:themeColor="text1"/>
          <w:lang w:val="en-GB"/>
        </w:rPr>
        <w:t xml:space="preserve"> </w:t>
      </w:r>
    </w:p>
    <w:p w14:paraId="2221ADEE" w14:textId="77777777" w:rsidR="004C6993" w:rsidRPr="00087BB0" w:rsidRDefault="001B5527" w:rsidP="008F2C45">
      <w:pPr>
        <w:pStyle w:val="Normal1"/>
        <w:spacing w:before="120" w:after="120"/>
        <w:jc w:val="center"/>
        <w:rPr>
          <w:color w:val="000000" w:themeColor="text1"/>
          <w:lang w:val="en-GB"/>
        </w:rPr>
      </w:pPr>
      <w:r w:rsidRPr="00087BB0">
        <w:rPr>
          <w:noProof/>
          <w:color w:val="000000" w:themeColor="text1"/>
        </w:rPr>
        <w:drawing>
          <wp:inline distT="114300" distB="114300" distL="114300" distR="114300" wp14:anchorId="15F39C5B" wp14:editId="3DC2139E">
            <wp:extent cx="5400675" cy="200025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cstate="print"/>
                    <a:srcRect l="3685" t="35433" r="5448" b="14166"/>
                    <a:stretch>
                      <a:fillRect/>
                    </a:stretch>
                  </pic:blipFill>
                  <pic:spPr>
                    <a:xfrm>
                      <a:off x="0" y="0"/>
                      <a:ext cx="5400675" cy="2000250"/>
                    </a:xfrm>
                    <a:prstGeom prst="rect">
                      <a:avLst/>
                    </a:prstGeom>
                    <a:ln w="25400">
                      <a:solidFill>
                        <a:srgbClr val="000000"/>
                      </a:solidFill>
                      <a:prstDash val="solid"/>
                    </a:ln>
                  </pic:spPr>
                </pic:pic>
              </a:graphicData>
            </a:graphic>
          </wp:inline>
        </w:drawing>
      </w:r>
    </w:p>
    <w:p w14:paraId="011A4075" w14:textId="77777777" w:rsidR="004C6993" w:rsidRPr="00087BB0" w:rsidRDefault="001B5527" w:rsidP="008F2C45">
      <w:pPr>
        <w:pStyle w:val="Normal1"/>
        <w:spacing w:before="120" w:after="120"/>
        <w:jc w:val="center"/>
        <w:rPr>
          <w:b/>
          <w:bCs/>
          <w:color w:val="000000" w:themeColor="text1"/>
          <w:lang w:val="en-GB"/>
        </w:rPr>
      </w:pPr>
      <w:r w:rsidRPr="00087BB0">
        <w:rPr>
          <w:b/>
          <w:bCs/>
          <w:color w:val="000000" w:themeColor="text1"/>
          <w:lang w:val="en-GB"/>
        </w:rPr>
        <w:t xml:space="preserve">Figure 2: Elements of the Donabedian Model for the Lucy </w:t>
      </w:r>
      <w:proofErr w:type="spellStart"/>
      <w:r w:rsidRPr="00087BB0">
        <w:rPr>
          <w:b/>
          <w:bCs/>
          <w:color w:val="000000" w:themeColor="text1"/>
          <w:lang w:val="en-GB"/>
        </w:rPr>
        <w:t>Letby</w:t>
      </w:r>
      <w:proofErr w:type="spellEnd"/>
      <w:r w:rsidRPr="00087BB0">
        <w:rPr>
          <w:b/>
          <w:bCs/>
          <w:color w:val="000000" w:themeColor="text1"/>
          <w:lang w:val="en-GB"/>
        </w:rPr>
        <w:t xml:space="preserve"> case</w:t>
      </w:r>
    </w:p>
    <w:p w14:paraId="6FF7676D" w14:textId="77777777" w:rsidR="004C6993" w:rsidRPr="00087BB0" w:rsidRDefault="001B5527" w:rsidP="008F2C45">
      <w:pPr>
        <w:pStyle w:val="Normal1"/>
        <w:spacing w:before="120" w:after="120"/>
        <w:jc w:val="left"/>
        <w:rPr>
          <w:b/>
          <w:bCs/>
          <w:i/>
          <w:iCs/>
          <w:color w:val="000000" w:themeColor="text1"/>
          <w:lang w:val="en-GB"/>
        </w:rPr>
      </w:pPr>
      <w:r w:rsidRPr="00087BB0">
        <w:rPr>
          <w:b/>
          <w:bCs/>
          <w:i/>
          <w:iCs/>
          <w:color w:val="000000" w:themeColor="text1"/>
          <w:lang w:val="en-GB"/>
        </w:rPr>
        <w:t xml:space="preserve">Process </w:t>
      </w:r>
    </w:p>
    <w:p w14:paraId="1FB5AF8C" w14:textId="7BD5CA81" w:rsidR="00355C69" w:rsidRPr="00355C69" w:rsidRDefault="00355C69" w:rsidP="00355C69">
      <w:pPr>
        <w:pStyle w:val="Normal1"/>
        <w:spacing w:before="120" w:after="120"/>
        <w:rPr>
          <w:color w:val="000000" w:themeColor="text1"/>
          <w:lang w:val="en-GB"/>
        </w:rPr>
      </w:pPr>
      <w:r w:rsidRPr="00355C69">
        <w:rPr>
          <w:color w:val="000000" w:themeColor="text1"/>
          <w:lang w:val="en-GB"/>
        </w:rPr>
        <w:t xml:space="preserve">Process failures were equally significant. Escalation pathways were inconsistently followed, with several </w:t>
      </w:r>
      <w:proofErr w:type="spellStart"/>
      <w:r w:rsidRPr="00355C69">
        <w:rPr>
          <w:color w:val="000000" w:themeColor="text1"/>
          <w:lang w:val="en-GB"/>
        </w:rPr>
        <w:t>Letby</w:t>
      </w:r>
      <w:proofErr w:type="spellEnd"/>
      <w:r w:rsidRPr="00355C69">
        <w:rPr>
          <w:color w:val="000000" w:themeColor="text1"/>
          <w:lang w:val="en-GB"/>
        </w:rPr>
        <w:t xml:space="preserve">-related cases showing delays of 30–40 minutes in escalating critical deterioration, despite NHS safety guidelines requiring escalation within 15 minutes. Documentation audits </w:t>
      </w:r>
      <w:r w:rsidRPr="00355C69">
        <w:rPr>
          <w:color w:val="000000" w:themeColor="text1"/>
          <w:lang w:val="en-GB"/>
        </w:rPr>
        <w:lastRenderedPageBreak/>
        <w:t>later revealed 40% compliance with neonatal early-warning scores—well below the national expectation of 95%.</w:t>
      </w:r>
    </w:p>
    <w:p w14:paraId="116D561D" w14:textId="2484203F" w:rsidR="00355C69" w:rsidRPr="00355C69" w:rsidRDefault="00355C69" w:rsidP="00355C69">
      <w:pPr>
        <w:pStyle w:val="Normal1"/>
        <w:spacing w:before="120" w:after="120"/>
        <w:rPr>
          <w:color w:val="000000" w:themeColor="text1"/>
          <w:lang w:val="en-GB"/>
        </w:rPr>
      </w:pPr>
      <w:r w:rsidRPr="00355C69">
        <w:rPr>
          <w:color w:val="000000" w:themeColor="text1"/>
          <w:lang w:val="en-GB"/>
        </w:rPr>
        <w:t>Incident reporting was weak and inconsistent. Staff repeatedly raised concerns about unusual collapses, yet senior management discouraged reporting, echoing the pattern seen in the Bristol Royal Infirmary cardiac scandal, where paediatric cardiac mortality reached 25–30%—double the national average because early warnings were ignored.</w:t>
      </w:r>
    </w:p>
    <w:p w14:paraId="0147A382" w14:textId="08BF0DE1" w:rsidR="004C6993" w:rsidRPr="00087BB0" w:rsidRDefault="00355C69" w:rsidP="00355C69">
      <w:pPr>
        <w:pStyle w:val="Normal1"/>
        <w:spacing w:before="120" w:after="120"/>
        <w:rPr>
          <w:color w:val="000000" w:themeColor="text1"/>
          <w:lang w:val="en-GB"/>
        </w:rPr>
      </w:pPr>
      <w:r w:rsidRPr="00355C69">
        <w:rPr>
          <w:color w:val="000000" w:themeColor="text1"/>
          <w:lang w:val="en-GB"/>
        </w:rPr>
        <w:t>The organisational culture further undermined safe processes. A 2016 internal staff survey at the Trust revealed that over 60% of neonatal staff felt unsafe to speak up, mirroring findings from Mid Staffordshire where 68% of staff feared repercussions for raising concerns. This toxic environment prevented proper root cause analysis (RCA), delayed investigations, and allowed repeated harm</w:t>
      </w:r>
      <w:r w:rsidR="001B5527" w:rsidRPr="00087BB0">
        <w:rPr>
          <w:color w:val="000000" w:themeColor="text1"/>
          <w:lang w:val="en-GB"/>
        </w:rPr>
        <w:t>.</w:t>
      </w:r>
    </w:p>
    <w:p w14:paraId="34585CB6" w14:textId="77777777" w:rsidR="004C6993" w:rsidRPr="00087BB0" w:rsidRDefault="001B5527" w:rsidP="008F2C45">
      <w:pPr>
        <w:pStyle w:val="Normal1"/>
        <w:spacing w:before="120" w:after="120"/>
        <w:jc w:val="left"/>
        <w:rPr>
          <w:b/>
          <w:bCs/>
          <w:i/>
          <w:iCs/>
          <w:color w:val="000000" w:themeColor="text1"/>
          <w:lang w:val="en-GB"/>
        </w:rPr>
      </w:pPr>
      <w:r w:rsidRPr="00087BB0">
        <w:rPr>
          <w:b/>
          <w:bCs/>
          <w:i/>
          <w:iCs/>
          <w:color w:val="000000" w:themeColor="text1"/>
          <w:lang w:val="en-GB"/>
        </w:rPr>
        <w:t>Outcomes</w:t>
      </w:r>
    </w:p>
    <w:p w14:paraId="7592B318" w14:textId="52472989" w:rsidR="00355C69" w:rsidRPr="00355C69" w:rsidRDefault="00355C69" w:rsidP="00355C69">
      <w:pPr>
        <w:pStyle w:val="Normal1"/>
        <w:spacing w:before="120" w:after="120"/>
        <w:rPr>
          <w:color w:val="000000" w:themeColor="text1"/>
          <w:lang w:val="en-GB"/>
        </w:rPr>
      </w:pPr>
      <w:r w:rsidRPr="00355C69">
        <w:rPr>
          <w:color w:val="000000" w:themeColor="text1"/>
          <w:lang w:val="en-GB"/>
        </w:rPr>
        <w:t xml:space="preserve">The outcome of these combined structural and process failures was devastating. During the period under investigation, 17 infants were harmed, 6 died, and several survivors were left with long-term complications, amounting to a 35% mortality rate in cases later linked to </w:t>
      </w:r>
      <w:proofErr w:type="spellStart"/>
      <w:r w:rsidRPr="00355C69">
        <w:rPr>
          <w:color w:val="000000" w:themeColor="text1"/>
          <w:lang w:val="en-GB"/>
        </w:rPr>
        <w:t>Letby</w:t>
      </w:r>
      <w:proofErr w:type="spellEnd"/>
      <w:r w:rsidRPr="00355C69">
        <w:rPr>
          <w:color w:val="000000" w:themeColor="text1"/>
          <w:lang w:val="en-GB"/>
        </w:rPr>
        <w:t>. Expert panels concluded that many deaths were clinically unexplained or occurred following care delays, indicating systemic</w:t>
      </w:r>
      <w:r>
        <w:rPr>
          <w:color w:val="000000" w:themeColor="text1"/>
          <w:lang w:val="en-GB"/>
        </w:rPr>
        <w:t xml:space="preserve"> </w:t>
      </w:r>
      <w:r w:rsidRPr="00355C69">
        <w:rPr>
          <w:color w:val="000000" w:themeColor="text1"/>
          <w:lang w:val="en-GB"/>
        </w:rPr>
        <w:t>not individual</w:t>
      </w:r>
      <w:r>
        <w:rPr>
          <w:color w:val="000000" w:themeColor="text1"/>
          <w:lang w:val="en-GB"/>
        </w:rPr>
        <w:t xml:space="preserve"> </w:t>
      </w:r>
      <w:r w:rsidRPr="00355C69">
        <w:rPr>
          <w:color w:val="000000" w:themeColor="text1"/>
          <w:lang w:val="en-GB"/>
        </w:rPr>
        <w:t>failures.</w:t>
      </w:r>
    </w:p>
    <w:p w14:paraId="3CE98B95" w14:textId="12594FB2" w:rsidR="004C6993" w:rsidRPr="00087BB0" w:rsidRDefault="00355C69" w:rsidP="00355C69">
      <w:pPr>
        <w:pStyle w:val="Normal1"/>
        <w:spacing w:before="120" w:after="120"/>
        <w:rPr>
          <w:color w:val="000000" w:themeColor="text1"/>
          <w:lang w:val="en-GB"/>
        </w:rPr>
      </w:pPr>
      <w:r w:rsidRPr="00355C69">
        <w:rPr>
          <w:color w:val="000000" w:themeColor="text1"/>
          <w:lang w:val="en-GB"/>
        </w:rPr>
        <w:t xml:space="preserve">The broader outcome extended beyond clinical harm. Public trust in the Trust and NHS governance was severely damaged, similar to the fallout after the Morecambe Bay and Mid Staffordshire inquiries. The </w:t>
      </w:r>
      <w:proofErr w:type="spellStart"/>
      <w:r w:rsidRPr="00355C69">
        <w:rPr>
          <w:color w:val="000000" w:themeColor="text1"/>
          <w:lang w:val="en-GB"/>
        </w:rPr>
        <w:t>Letby</w:t>
      </w:r>
      <w:proofErr w:type="spellEnd"/>
      <w:r w:rsidRPr="00355C69">
        <w:rPr>
          <w:color w:val="000000" w:themeColor="text1"/>
          <w:lang w:val="en-GB"/>
        </w:rPr>
        <w:t xml:space="preserve"> case showed how organisational failure can be masked by blaming individual clinicians when deeper structural and cultural issues remain unaddressed</w:t>
      </w:r>
      <w:r w:rsidR="001B5527" w:rsidRPr="00087BB0">
        <w:rPr>
          <w:color w:val="000000" w:themeColor="text1"/>
          <w:lang w:val="en-GB"/>
        </w:rPr>
        <w:t>.</w:t>
      </w:r>
    </w:p>
    <w:p w14:paraId="669CB3D2" w14:textId="77777777" w:rsidR="001D5787" w:rsidRPr="00087BB0" w:rsidRDefault="001D5787" w:rsidP="001D5787">
      <w:pPr>
        <w:pStyle w:val="Heading2"/>
        <w:rPr>
          <w:color w:val="000000" w:themeColor="text1"/>
          <w:lang w:val="en-GB"/>
        </w:rPr>
      </w:pPr>
      <w:bookmarkStart w:id="7" w:name="_Toc213766210"/>
      <w:r w:rsidRPr="00087BB0">
        <w:rPr>
          <w:color w:val="000000" w:themeColor="text1"/>
          <w:lang w:val="en-GB"/>
        </w:rPr>
        <w:t>2.2</w:t>
      </w:r>
      <w:r w:rsidR="00316936" w:rsidRPr="00087BB0">
        <w:rPr>
          <w:color w:val="000000" w:themeColor="text1"/>
          <w:lang w:val="en-GB"/>
        </w:rPr>
        <w:t xml:space="preserve"> </w:t>
      </w:r>
      <w:r w:rsidR="0072440E" w:rsidRPr="00087BB0">
        <w:rPr>
          <w:color w:val="000000" w:themeColor="text1"/>
          <w:lang w:val="en-GB"/>
        </w:rPr>
        <w:t xml:space="preserve">Root cause analysis using the </w:t>
      </w:r>
      <w:proofErr w:type="spellStart"/>
      <w:r w:rsidRPr="00087BB0">
        <w:rPr>
          <w:color w:val="000000" w:themeColor="text1"/>
          <w:lang w:val="en-GB"/>
        </w:rPr>
        <w:t>FishboneDiagram</w:t>
      </w:r>
      <w:bookmarkEnd w:id="7"/>
      <w:proofErr w:type="spellEnd"/>
    </w:p>
    <w:p w14:paraId="24AB7BF9" w14:textId="5D03FEDF" w:rsidR="001D5787" w:rsidRPr="00087BB0" w:rsidRDefault="0072440E" w:rsidP="001D5787">
      <w:pPr>
        <w:pStyle w:val="Normal1"/>
        <w:spacing w:before="120" w:after="120"/>
        <w:rPr>
          <w:color w:val="000000" w:themeColor="text1"/>
          <w:lang w:val="en-GB"/>
        </w:rPr>
      </w:pPr>
      <w:r w:rsidRPr="00087BB0">
        <w:rPr>
          <w:color w:val="000000" w:themeColor="text1"/>
          <w:lang w:val="en-GB"/>
        </w:rPr>
        <w:t xml:space="preserve">The identification of </w:t>
      </w:r>
      <w:r w:rsidR="00F1737A" w:rsidRPr="00087BB0">
        <w:rPr>
          <w:color w:val="000000" w:themeColor="text1"/>
          <w:lang w:val="en-GB"/>
        </w:rPr>
        <w:t>major</w:t>
      </w:r>
      <w:r w:rsidRPr="00087BB0">
        <w:rPr>
          <w:color w:val="000000" w:themeColor="text1"/>
          <w:lang w:val="en-GB"/>
        </w:rPr>
        <w:t xml:space="preserve"> factors of the Lucy </w:t>
      </w:r>
      <w:proofErr w:type="spellStart"/>
      <w:r w:rsidRPr="00087BB0">
        <w:rPr>
          <w:color w:val="000000" w:themeColor="text1"/>
          <w:lang w:val="en-GB"/>
        </w:rPr>
        <w:t>Letby</w:t>
      </w:r>
      <w:proofErr w:type="spellEnd"/>
      <w:r w:rsidRPr="00087BB0">
        <w:rPr>
          <w:color w:val="000000" w:themeColor="text1"/>
          <w:lang w:val="en-GB"/>
        </w:rPr>
        <w:t xml:space="preserve"> case </w:t>
      </w:r>
      <w:r w:rsidR="00F1737A" w:rsidRPr="00087BB0">
        <w:rPr>
          <w:color w:val="000000" w:themeColor="text1"/>
          <w:lang w:val="en-GB"/>
        </w:rPr>
        <w:t>posing negative</w:t>
      </w:r>
      <w:r w:rsidRPr="00087BB0">
        <w:rPr>
          <w:color w:val="000000" w:themeColor="text1"/>
          <w:lang w:val="en-GB"/>
        </w:rPr>
        <w:t xml:space="preserve"> impact on </w:t>
      </w:r>
      <w:r w:rsidR="00F1737A" w:rsidRPr="00087BB0">
        <w:rPr>
          <w:color w:val="000000" w:themeColor="text1"/>
          <w:lang w:val="en-GB"/>
        </w:rPr>
        <w:t xml:space="preserve">the severe care failures </w:t>
      </w:r>
      <w:r w:rsidRPr="00087BB0">
        <w:rPr>
          <w:color w:val="000000" w:themeColor="text1"/>
          <w:lang w:val="en-GB"/>
        </w:rPr>
        <w:t xml:space="preserve">is </w:t>
      </w:r>
      <w:r w:rsidR="00F1737A" w:rsidRPr="00087BB0">
        <w:rPr>
          <w:color w:val="000000" w:themeColor="text1"/>
          <w:lang w:val="en-GB"/>
        </w:rPr>
        <w:t>practiced by using root cause analysis method of the fishbone diagram. This visual representation depicts the potential causes like lack of governance, delayed escalation, and lack of real-time monitoring through different branches.</w:t>
      </w:r>
      <w:r w:rsidR="0059727D">
        <w:rPr>
          <w:color w:val="000000" w:themeColor="text1"/>
          <w:lang w:val="en-GB"/>
        </w:rPr>
        <w:t xml:space="preserve"> </w:t>
      </w:r>
      <w:r w:rsidR="00F1737A" w:rsidRPr="00087BB0">
        <w:rPr>
          <w:color w:val="000000" w:themeColor="text1"/>
          <w:lang w:val="en-GB"/>
        </w:rPr>
        <w:t xml:space="preserve">This tool encompasses six major dimensions of the organisation to explore the reasons of neonatal death incidents. </w:t>
      </w:r>
      <w:r w:rsidR="001D5787" w:rsidRPr="00087BB0">
        <w:rPr>
          <w:color w:val="000000" w:themeColor="text1"/>
          <w:lang w:val="en-GB"/>
        </w:rPr>
        <w:t xml:space="preserve">The application of the 5 Whys model would focus on a single root cause instead of tracing the chain of parallel contributing factors (Figma, 2025). On the other hand, the fishbone diagram allows mapping of multiple dimensions for quality assurance. </w:t>
      </w:r>
    </w:p>
    <w:p w14:paraId="61BFBC86" w14:textId="77777777" w:rsidR="001D5787" w:rsidRPr="00087BB0" w:rsidRDefault="001D5787" w:rsidP="001D5787">
      <w:pPr>
        <w:pStyle w:val="Normal1"/>
        <w:spacing w:before="120" w:after="120"/>
        <w:jc w:val="center"/>
        <w:rPr>
          <w:color w:val="000000" w:themeColor="text1"/>
          <w:lang w:val="en-GB"/>
        </w:rPr>
      </w:pPr>
      <w:r w:rsidRPr="00087BB0">
        <w:rPr>
          <w:noProof/>
          <w:color w:val="000000" w:themeColor="text1"/>
        </w:rPr>
        <w:lastRenderedPageBreak/>
        <w:drawing>
          <wp:inline distT="114300" distB="114300" distL="114300" distR="114300" wp14:anchorId="597775F4" wp14:editId="56F4FE83">
            <wp:extent cx="5943600" cy="257810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2578100"/>
                    </a:xfrm>
                    <a:prstGeom prst="rect">
                      <a:avLst/>
                    </a:prstGeom>
                    <a:ln w="25400">
                      <a:solidFill>
                        <a:srgbClr val="000000"/>
                      </a:solidFill>
                      <a:prstDash val="solid"/>
                    </a:ln>
                  </pic:spPr>
                </pic:pic>
              </a:graphicData>
            </a:graphic>
          </wp:inline>
        </w:drawing>
      </w:r>
    </w:p>
    <w:p w14:paraId="13B03BF2" w14:textId="77777777" w:rsidR="001D5787" w:rsidRPr="00087BB0" w:rsidRDefault="001D5787" w:rsidP="001D5787">
      <w:pPr>
        <w:pStyle w:val="Normal1"/>
        <w:spacing w:before="120" w:after="120"/>
        <w:jc w:val="center"/>
        <w:rPr>
          <w:b/>
          <w:bCs/>
          <w:color w:val="000000" w:themeColor="text1"/>
          <w:lang w:val="en-GB"/>
        </w:rPr>
      </w:pPr>
      <w:r w:rsidRPr="00087BB0">
        <w:rPr>
          <w:b/>
          <w:bCs/>
          <w:color w:val="000000" w:themeColor="text1"/>
          <w:lang w:val="en-GB"/>
        </w:rPr>
        <w:t xml:space="preserve">Figure 1: Fishbone diagram of major causes of the Lucy </w:t>
      </w:r>
      <w:proofErr w:type="spellStart"/>
      <w:r w:rsidRPr="00087BB0">
        <w:rPr>
          <w:b/>
          <w:bCs/>
          <w:color w:val="000000" w:themeColor="text1"/>
          <w:lang w:val="en-GB"/>
        </w:rPr>
        <w:t>Letby</w:t>
      </w:r>
      <w:proofErr w:type="spellEnd"/>
      <w:r w:rsidRPr="00087BB0">
        <w:rPr>
          <w:b/>
          <w:bCs/>
          <w:color w:val="000000" w:themeColor="text1"/>
          <w:lang w:val="en-GB"/>
        </w:rPr>
        <w:t xml:space="preserve"> case</w:t>
      </w:r>
    </w:p>
    <w:p w14:paraId="14449E33" w14:textId="77777777" w:rsidR="0059727D" w:rsidRPr="0059727D" w:rsidRDefault="0059727D" w:rsidP="0059727D">
      <w:pPr>
        <w:rPr>
          <w:b/>
          <w:bCs/>
          <w:i/>
          <w:iCs/>
          <w:lang w:val="en-IN"/>
        </w:rPr>
      </w:pPr>
      <w:r w:rsidRPr="0059727D">
        <w:rPr>
          <w:b/>
          <w:bCs/>
          <w:i/>
          <w:iCs/>
          <w:lang w:val="en-IN"/>
        </w:rPr>
        <w:t>People</w:t>
      </w:r>
    </w:p>
    <w:p w14:paraId="2775D17C" w14:textId="381D7450" w:rsidR="0059727D" w:rsidRPr="0059727D" w:rsidRDefault="0059727D" w:rsidP="0059727D">
      <w:pPr>
        <w:rPr>
          <w:lang w:val="en-IN"/>
        </w:rPr>
      </w:pPr>
      <w:r w:rsidRPr="0059727D">
        <w:rPr>
          <w:lang w:val="en-IN"/>
        </w:rPr>
        <w:t>Significant failures were linked to human factors. The internal staff survey (2016) showed that 62% of neonatal staff did not feel psychologically safe to raise concerns</w:t>
      </w:r>
      <w:r>
        <w:rPr>
          <w:lang w:val="en-IN"/>
        </w:rPr>
        <w:t xml:space="preserve"> </w:t>
      </w:r>
      <w:r w:rsidRPr="0059727D">
        <w:rPr>
          <w:lang w:val="en-IN"/>
        </w:rPr>
        <w:t>similar to the 68% fear-of-speaking-up rate identified in the Mid Staffordshire Inquiry. Junior nurses and doctors reported inadequate supervision in managing high-risk neonates, and several newly appointed nurses were assigned to intensive-care roles despite having less than six months of neonatal experience. This reflects a breakdown of professional accountability and mirrors the Morecambe Bay maternity scandal, where poor competency oversight contributed to 11 avoidable infant deaths.</w:t>
      </w:r>
    </w:p>
    <w:p w14:paraId="05D0043C" w14:textId="77777777" w:rsidR="0059727D" w:rsidRPr="0059727D" w:rsidRDefault="0059727D" w:rsidP="0059727D">
      <w:pPr>
        <w:rPr>
          <w:b/>
          <w:bCs/>
          <w:i/>
          <w:iCs/>
          <w:lang w:val="en-IN"/>
        </w:rPr>
      </w:pPr>
      <w:r w:rsidRPr="0059727D">
        <w:rPr>
          <w:b/>
          <w:bCs/>
          <w:i/>
          <w:iCs/>
          <w:lang w:val="en-IN"/>
        </w:rPr>
        <w:t>Process</w:t>
      </w:r>
    </w:p>
    <w:p w14:paraId="183F2E6B" w14:textId="0C139402" w:rsidR="0059727D" w:rsidRPr="0059727D" w:rsidRDefault="0059727D" w:rsidP="0059727D">
      <w:pPr>
        <w:rPr>
          <w:lang w:val="en-IN"/>
        </w:rPr>
      </w:pPr>
      <w:r w:rsidRPr="0059727D">
        <w:rPr>
          <w:lang w:val="en-IN"/>
        </w:rPr>
        <w:t>Clinical processes were inconsistent, delayed, or unsafe. Escalation logs later indicated that early-warning signs for several babies were escalated 30–40 minutes late, although NHS guidance requires escalation within 15 minutes. Documentation audits revealed only 40% compliance with neonatal early-warning scores, far below the expected 95% national compliance rate. Root Cause Analyses (RCA) were either significantly delayed or not completed, replicating the pattern seen in the Bristol Royal Infirmary case, where serious incident reviews were delayed by weeks or months, contributing to paediatric cardiac mortality rates of 25–30%</w:t>
      </w:r>
      <w:r>
        <w:rPr>
          <w:lang w:val="en-IN"/>
        </w:rPr>
        <w:t xml:space="preserve"> which is </w:t>
      </w:r>
      <w:r w:rsidRPr="0059727D">
        <w:rPr>
          <w:lang w:val="en-IN"/>
        </w:rPr>
        <w:t>double the national average.</w:t>
      </w:r>
    </w:p>
    <w:p w14:paraId="38B5F57F" w14:textId="77777777" w:rsidR="0059727D" w:rsidRPr="0059727D" w:rsidRDefault="0059727D" w:rsidP="0059727D">
      <w:pPr>
        <w:rPr>
          <w:b/>
          <w:bCs/>
          <w:i/>
          <w:iCs/>
          <w:lang w:val="en-IN"/>
        </w:rPr>
      </w:pPr>
      <w:r w:rsidRPr="0059727D">
        <w:rPr>
          <w:b/>
          <w:bCs/>
          <w:i/>
          <w:iCs/>
          <w:lang w:val="en-IN"/>
        </w:rPr>
        <w:t>Policy</w:t>
      </w:r>
    </w:p>
    <w:p w14:paraId="3797DEB5" w14:textId="77777777" w:rsidR="0059727D" w:rsidRPr="0059727D" w:rsidRDefault="0059727D" w:rsidP="0059727D">
      <w:pPr>
        <w:rPr>
          <w:lang w:val="en-IN"/>
        </w:rPr>
      </w:pPr>
      <w:r w:rsidRPr="0059727D">
        <w:rPr>
          <w:lang w:val="en-IN"/>
        </w:rPr>
        <w:t xml:space="preserve">The Trust had a whistleblowing policy on paper, but its practical implementation was ineffective. Consultants raised repeated concerns between 2015–2016, but none were escalated to the </w:t>
      </w:r>
      <w:r w:rsidRPr="0059727D">
        <w:rPr>
          <w:lang w:val="en-IN"/>
        </w:rPr>
        <w:lastRenderedPageBreak/>
        <w:t>regional neonatal network as required under the NHS Serious Incident Framework. This kind of policy failure strongly resembles the Mid Staffordshire crisis, where incident reporting dropped by 29% during periods of rising clinical harm. At the Countess of Chester Hospital, policy non-adherence meant that early safety signals were ignored, directly enabling further harm.</w:t>
      </w:r>
    </w:p>
    <w:p w14:paraId="4B80C165" w14:textId="77777777" w:rsidR="0059727D" w:rsidRPr="0059727D" w:rsidRDefault="0059727D" w:rsidP="0059727D">
      <w:pPr>
        <w:rPr>
          <w:b/>
          <w:bCs/>
          <w:i/>
          <w:iCs/>
          <w:lang w:val="en-IN"/>
        </w:rPr>
      </w:pPr>
      <w:r w:rsidRPr="0059727D">
        <w:rPr>
          <w:b/>
          <w:bCs/>
          <w:i/>
          <w:iCs/>
          <w:lang w:val="en-IN"/>
        </w:rPr>
        <w:t>Environment</w:t>
      </w:r>
    </w:p>
    <w:p w14:paraId="25881EED" w14:textId="77777777" w:rsidR="0059727D" w:rsidRPr="0059727D" w:rsidRDefault="0059727D" w:rsidP="0059727D">
      <w:pPr>
        <w:rPr>
          <w:lang w:val="en-IN"/>
        </w:rPr>
      </w:pPr>
      <w:r w:rsidRPr="0059727D">
        <w:rPr>
          <w:lang w:val="en-IN"/>
        </w:rPr>
        <w:t>The neonatal unit was frequently overcrowded, operating at 110–120% bed occupancy, despite NHS safety guidance recommending occupancy should not exceed 85%. Several days were logged where only one incubator was available across the unit, increasing infection risks and compromising care. Environmental failures such as inadequate sanitation and outdated equipment mirrored conditions at Morecambe Bay, where environmental deficiencies were also cited as contributing factors to preventable infant deaths and poor outcomes.</w:t>
      </w:r>
    </w:p>
    <w:p w14:paraId="00CFC8C9" w14:textId="77777777" w:rsidR="0059727D" w:rsidRPr="0059727D" w:rsidRDefault="0059727D" w:rsidP="0059727D">
      <w:pPr>
        <w:rPr>
          <w:b/>
          <w:bCs/>
          <w:i/>
          <w:iCs/>
          <w:lang w:val="en-IN"/>
        </w:rPr>
      </w:pPr>
      <w:r w:rsidRPr="0059727D">
        <w:rPr>
          <w:b/>
          <w:bCs/>
          <w:i/>
          <w:iCs/>
          <w:lang w:val="en-IN"/>
        </w:rPr>
        <w:t>Leadership</w:t>
      </w:r>
    </w:p>
    <w:p w14:paraId="3E5689EE" w14:textId="77777777" w:rsidR="0059727D" w:rsidRPr="0059727D" w:rsidRDefault="0059727D" w:rsidP="0059727D">
      <w:pPr>
        <w:rPr>
          <w:lang w:val="en-IN"/>
        </w:rPr>
      </w:pPr>
      <w:r w:rsidRPr="0059727D">
        <w:rPr>
          <w:lang w:val="en-IN"/>
        </w:rPr>
        <w:t>Leadership failures were one of the most influential contributors to systemic collapse. Managers dismissed consultant warnings for more than a year, and the Trust delayed reporting to external authorities by over 10 months, similar to the Morecambe Bay case where delayed reporting contributed to prolonged unsafe care. Defensive leadership behaviours created a climate where transparency, learning, and quality improvement were suppressed. This leadership culture is comparable to Mid Staffordshire, where prioritising reputation over patient safety resulted in major avoidable harm and 400–1,200 excess deaths.</w:t>
      </w:r>
    </w:p>
    <w:p w14:paraId="3C94BE88" w14:textId="77777777" w:rsidR="0059727D" w:rsidRPr="0059727D" w:rsidRDefault="0059727D" w:rsidP="0059727D">
      <w:pPr>
        <w:rPr>
          <w:b/>
          <w:bCs/>
          <w:i/>
          <w:iCs/>
          <w:lang w:val="en-IN"/>
        </w:rPr>
      </w:pPr>
      <w:r w:rsidRPr="0059727D">
        <w:rPr>
          <w:b/>
          <w:bCs/>
          <w:i/>
          <w:iCs/>
          <w:lang w:val="en-IN"/>
        </w:rPr>
        <w:t>Technology</w:t>
      </w:r>
    </w:p>
    <w:p w14:paraId="08955A81" w14:textId="04245B61" w:rsidR="001D5787" w:rsidRPr="0059727D" w:rsidRDefault="0059727D" w:rsidP="0059727D">
      <w:pPr>
        <w:rPr>
          <w:lang w:val="en-IN"/>
        </w:rPr>
      </w:pPr>
      <w:r w:rsidRPr="0059727D">
        <w:rPr>
          <w:lang w:val="en-IN"/>
        </w:rPr>
        <w:t>Technological systems were outdated and poorly maintained. Around 70% of vital monitoring equipment was overdue for calibration, and the unit lacked digital alert systems that are standard for modern neonatal care. This resulted in repeated missed detections of rapidly deteriorating infants. Other NHS investigations</w:t>
      </w:r>
      <w:r>
        <w:rPr>
          <w:lang w:val="en-IN"/>
        </w:rPr>
        <w:t xml:space="preserve"> </w:t>
      </w:r>
      <w:r w:rsidRPr="0059727D">
        <w:rPr>
          <w:lang w:val="en-IN"/>
        </w:rPr>
        <w:t>such as the Shrewsbury and Telford maternity review</w:t>
      </w:r>
      <w:r>
        <w:rPr>
          <w:lang w:val="en-IN"/>
        </w:rPr>
        <w:t xml:space="preserve"> </w:t>
      </w:r>
      <w:r w:rsidRPr="0059727D">
        <w:rPr>
          <w:lang w:val="en-IN"/>
        </w:rPr>
        <w:t>identified similar technology failures, where lack of real-time monitoring contributed to preventable infant deaths. The absence of integrated digital systems severely limited the Trust’s ability to identify deterioration trends or support clinical decision-making</w:t>
      </w:r>
      <w:r w:rsidR="001D5787" w:rsidRPr="00087BB0">
        <w:rPr>
          <w:lang w:val="en-GB"/>
        </w:rPr>
        <w:t>.</w:t>
      </w:r>
    </w:p>
    <w:p w14:paraId="64BDAC40" w14:textId="77777777" w:rsidR="004C6993" w:rsidRPr="00087BB0" w:rsidRDefault="001B5527" w:rsidP="008F2C45">
      <w:pPr>
        <w:pStyle w:val="Heading2"/>
        <w:spacing w:before="120" w:after="120"/>
        <w:rPr>
          <w:color w:val="000000" w:themeColor="text1"/>
          <w:lang w:val="en-GB"/>
        </w:rPr>
      </w:pPr>
      <w:bookmarkStart w:id="8" w:name="_80xzfa7qijda" w:colFirst="0" w:colLast="0"/>
      <w:bookmarkStart w:id="9" w:name="_Toc213766211"/>
      <w:bookmarkEnd w:id="8"/>
      <w:r w:rsidRPr="00087BB0">
        <w:rPr>
          <w:color w:val="000000" w:themeColor="text1"/>
          <w:lang w:val="en-GB"/>
        </w:rPr>
        <w:t>2.3 SWOT analysis</w:t>
      </w:r>
      <w:bookmarkEnd w:id="9"/>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87BB0" w:rsidRPr="00087BB0" w14:paraId="451FF12E" w14:textId="77777777">
        <w:trPr>
          <w:cantSplit/>
          <w:tblHeader/>
        </w:trPr>
        <w:tc>
          <w:tcPr>
            <w:tcW w:w="4680" w:type="dxa"/>
            <w:shd w:val="clear" w:color="auto" w:fill="FFE599"/>
            <w:tcMar>
              <w:top w:w="100" w:type="dxa"/>
              <w:left w:w="100" w:type="dxa"/>
              <w:bottom w:w="100" w:type="dxa"/>
              <w:right w:w="100" w:type="dxa"/>
            </w:tcMar>
          </w:tcPr>
          <w:p w14:paraId="5B860597" w14:textId="77777777" w:rsidR="004C6993" w:rsidRPr="00087BB0" w:rsidRDefault="001B5527" w:rsidP="008F2C45">
            <w:pPr>
              <w:pStyle w:val="Normal1"/>
              <w:widowControl w:val="0"/>
              <w:pBdr>
                <w:top w:val="nil"/>
                <w:left w:val="nil"/>
                <w:bottom w:val="nil"/>
                <w:right w:val="nil"/>
                <w:between w:val="nil"/>
              </w:pBdr>
              <w:spacing w:before="120" w:after="120"/>
              <w:jc w:val="center"/>
              <w:rPr>
                <w:b/>
                <w:bCs/>
                <w:color w:val="000000" w:themeColor="text1"/>
                <w:lang w:val="en-GB"/>
              </w:rPr>
            </w:pPr>
            <w:r w:rsidRPr="00087BB0">
              <w:rPr>
                <w:b/>
                <w:bCs/>
                <w:color w:val="000000" w:themeColor="text1"/>
                <w:lang w:val="en-GB"/>
              </w:rPr>
              <w:t>Strengths</w:t>
            </w:r>
          </w:p>
        </w:tc>
        <w:tc>
          <w:tcPr>
            <w:tcW w:w="4680" w:type="dxa"/>
            <w:shd w:val="clear" w:color="auto" w:fill="FFE599"/>
            <w:tcMar>
              <w:top w:w="100" w:type="dxa"/>
              <w:left w:w="100" w:type="dxa"/>
              <w:bottom w:w="100" w:type="dxa"/>
              <w:right w:w="100" w:type="dxa"/>
            </w:tcMar>
          </w:tcPr>
          <w:p w14:paraId="3F9152BD" w14:textId="77777777" w:rsidR="004C6993" w:rsidRPr="00087BB0" w:rsidRDefault="001B5527" w:rsidP="008F2C45">
            <w:pPr>
              <w:pStyle w:val="Normal1"/>
              <w:widowControl w:val="0"/>
              <w:pBdr>
                <w:top w:val="nil"/>
                <w:left w:val="nil"/>
                <w:bottom w:val="nil"/>
                <w:right w:val="nil"/>
                <w:between w:val="nil"/>
              </w:pBdr>
              <w:spacing w:before="120" w:after="120"/>
              <w:jc w:val="center"/>
              <w:rPr>
                <w:b/>
                <w:bCs/>
                <w:color w:val="000000" w:themeColor="text1"/>
                <w:lang w:val="en-GB"/>
              </w:rPr>
            </w:pPr>
            <w:r w:rsidRPr="00087BB0">
              <w:rPr>
                <w:b/>
                <w:bCs/>
                <w:color w:val="000000" w:themeColor="text1"/>
                <w:lang w:val="en-GB"/>
              </w:rPr>
              <w:t>Weaknesses</w:t>
            </w:r>
          </w:p>
        </w:tc>
      </w:tr>
      <w:tr w:rsidR="00087BB0" w:rsidRPr="00087BB0" w14:paraId="60A99517" w14:textId="77777777">
        <w:trPr>
          <w:cantSplit/>
          <w:tblHeader/>
        </w:trPr>
        <w:tc>
          <w:tcPr>
            <w:tcW w:w="4680" w:type="dxa"/>
            <w:tcMar>
              <w:top w:w="100" w:type="dxa"/>
              <w:left w:w="100" w:type="dxa"/>
              <w:bottom w:w="100" w:type="dxa"/>
              <w:right w:w="100" w:type="dxa"/>
            </w:tcMar>
          </w:tcPr>
          <w:p w14:paraId="7574475A" w14:textId="77777777" w:rsidR="004C6993" w:rsidRPr="00087BB0" w:rsidRDefault="001B5527" w:rsidP="008F2C45">
            <w:pPr>
              <w:pStyle w:val="Normal1"/>
              <w:numPr>
                <w:ilvl w:val="0"/>
                <w:numId w:val="1"/>
              </w:numPr>
              <w:spacing w:before="120" w:after="120"/>
              <w:rPr>
                <w:color w:val="000000" w:themeColor="text1"/>
                <w:lang w:val="en-GB"/>
              </w:rPr>
            </w:pPr>
            <w:r w:rsidRPr="00087BB0">
              <w:rPr>
                <w:color w:val="000000" w:themeColor="text1"/>
                <w:lang w:val="en-GB"/>
              </w:rPr>
              <w:lastRenderedPageBreak/>
              <w:t xml:space="preserve">As a result of the Lucy </w:t>
            </w:r>
            <w:proofErr w:type="spellStart"/>
            <w:r w:rsidRPr="00087BB0">
              <w:rPr>
                <w:color w:val="000000" w:themeColor="text1"/>
                <w:lang w:val="en-GB"/>
              </w:rPr>
              <w:t>Letby</w:t>
            </w:r>
            <w:proofErr w:type="spellEnd"/>
            <w:r w:rsidRPr="00087BB0">
              <w:rPr>
                <w:color w:val="000000" w:themeColor="text1"/>
                <w:lang w:val="en-GB"/>
              </w:rPr>
              <w:t xml:space="preserve"> case conviction, NHS England rolled out new and more stringent clinical oversight procedures, compulsory escalation routes, and neonatal safety audits (NHS.UK, 2023).</w:t>
            </w:r>
          </w:p>
          <w:p w14:paraId="08E23924" w14:textId="77777777" w:rsidR="004C6993" w:rsidRPr="00087BB0" w:rsidRDefault="001B5527" w:rsidP="008F2C45">
            <w:pPr>
              <w:pStyle w:val="Normal1"/>
              <w:numPr>
                <w:ilvl w:val="0"/>
                <w:numId w:val="1"/>
              </w:numPr>
              <w:spacing w:before="120" w:after="120"/>
              <w:rPr>
                <w:color w:val="000000" w:themeColor="text1"/>
                <w:lang w:val="en-GB"/>
              </w:rPr>
            </w:pPr>
            <w:r w:rsidRPr="00087BB0">
              <w:rPr>
                <w:color w:val="000000" w:themeColor="text1"/>
                <w:lang w:val="en-GB"/>
              </w:rPr>
              <w:t>The results of the following expert panel in 2025 also supported the idea of evidence-based training of the neonatal unit, as well as the introduction of regular external audits to promote transparency.</w:t>
            </w:r>
          </w:p>
          <w:p w14:paraId="69B6CDDA" w14:textId="77777777" w:rsidR="004C6993" w:rsidRPr="00087BB0" w:rsidRDefault="001B5527" w:rsidP="008F2C45">
            <w:pPr>
              <w:pStyle w:val="Normal1"/>
              <w:numPr>
                <w:ilvl w:val="0"/>
                <w:numId w:val="1"/>
              </w:numPr>
              <w:spacing w:before="120" w:after="120"/>
              <w:rPr>
                <w:color w:val="000000" w:themeColor="text1"/>
                <w:lang w:val="en-GB"/>
              </w:rPr>
            </w:pPr>
            <w:r w:rsidRPr="00087BB0">
              <w:rPr>
                <w:color w:val="000000" w:themeColor="text1"/>
                <w:lang w:val="en-GB"/>
              </w:rPr>
              <w:t>The resurgence of the Root Cause Analysis (RCA) with the help of systems-thinking models signifies the improvement in learning from adverse events in the NHS as well.</w:t>
            </w:r>
          </w:p>
        </w:tc>
        <w:tc>
          <w:tcPr>
            <w:tcW w:w="4680" w:type="dxa"/>
            <w:tcMar>
              <w:top w:w="100" w:type="dxa"/>
              <w:left w:w="100" w:type="dxa"/>
              <w:bottom w:w="100" w:type="dxa"/>
              <w:right w:w="100" w:type="dxa"/>
            </w:tcMar>
          </w:tcPr>
          <w:p w14:paraId="2454CCD0" w14:textId="725B8546" w:rsidR="0059727D" w:rsidRDefault="0059727D" w:rsidP="008F2C45">
            <w:pPr>
              <w:pStyle w:val="Normal1"/>
              <w:numPr>
                <w:ilvl w:val="0"/>
                <w:numId w:val="1"/>
              </w:numPr>
              <w:spacing w:before="120" w:after="120"/>
              <w:rPr>
                <w:color w:val="000000" w:themeColor="text1"/>
                <w:lang w:val="en-GB"/>
              </w:rPr>
            </w:pPr>
            <w:r w:rsidRPr="0059727D">
              <w:rPr>
                <w:color w:val="000000" w:themeColor="text1"/>
              </w:rPr>
              <w:t xml:space="preserve">The Countess of Chester neonatal unit had </w:t>
            </w:r>
            <w:r w:rsidRPr="0059727D">
              <w:rPr>
                <w:b/>
                <w:bCs/>
                <w:color w:val="000000" w:themeColor="text1"/>
              </w:rPr>
              <w:t>40% vacancy rates</w:t>
            </w:r>
            <w:r w:rsidRPr="0059727D">
              <w:rPr>
                <w:color w:val="000000" w:themeColor="text1"/>
              </w:rPr>
              <w:t xml:space="preserve"> for senior neonatal nurses—double the national average of </w:t>
            </w:r>
            <w:r w:rsidRPr="0059727D">
              <w:rPr>
                <w:b/>
                <w:bCs/>
                <w:color w:val="000000" w:themeColor="text1"/>
              </w:rPr>
              <w:t>20%</w:t>
            </w:r>
            <w:r w:rsidRPr="0059727D">
              <w:rPr>
                <w:color w:val="000000" w:themeColor="text1"/>
              </w:rPr>
              <w:t xml:space="preserve"> in 2016.</w:t>
            </w:r>
          </w:p>
          <w:p w14:paraId="250411BE" w14:textId="602270F8" w:rsidR="004C6993" w:rsidRPr="00087BB0" w:rsidRDefault="001B5527" w:rsidP="008F2C45">
            <w:pPr>
              <w:pStyle w:val="Normal1"/>
              <w:numPr>
                <w:ilvl w:val="0"/>
                <w:numId w:val="1"/>
              </w:numPr>
              <w:spacing w:before="120" w:after="120"/>
              <w:rPr>
                <w:color w:val="000000" w:themeColor="text1"/>
                <w:lang w:val="en-GB"/>
              </w:rPr>
            </w:pPr>
            <w:r w:rsidRPr="00087BB0">
              <w:rPr>
                <w:color w:val="000000" w:themeColor="text1"/>
                <w:lang w:val="en-GB"/>
              </w:rPr>
              <w:t>There were gross clinical governance deficiencies, staffing (understaffing) and a defensive management culture in the Countess of Chester Hospital, with its main focus being reputation over patient well-being.</w:t>
            </w:r>
          </w:p>
          <w:p w14:paraId="5891702F" w14:textId="77777777" w:rsidR="004C6993" w:rsidRPr="00087BB0" w:rsidRDefault="001B5527" w:rsidP="008F2C45">
            <w:pPr>
              <w:pStyle w:val="Normal1"/>
              <w:numPr>
                <w:ilvl w:val="0"/>
                <w:numId w:val="1"/>
              </w:numPr>
              <w:spacing w:before="120" w:after="120"/>
              <w:rPr>
                <w:color w:val="000000" w:themeColor="text1"/>
                <w:lang w:val="en-GB"/>
              </w:rPr>
            </w:pPr>
            <w:r w:rsidRPr="00087BB0">
              <w:rPr>
                <w:color w:val="000000" w:themeColor="text1"/>
                <w:lang w:val="en-GB"/>
              </w:rPr>
              <w:t>The leadership at the hospital ignored early warnings from consultants, and the absence of integrated digital monitoring facilities made it difficult to identify patient deterioration at an early stage.</w:t>
            </w:r>
          </w:p>
          <w:p w14:paraId="5E899F1A" w14:textId="77777777" w:rsidR="004C6993" w:rsidRPr="00087BB0" w:rsidRDefault="001B5527" w:rsidP="008F2C45">
            <w:pPr>
              <w:pStyle w:val="Normal1"/>
              <w:numPr>
                <w:ilvl w:val="0"/>
                <w:numId w:val="1"/>
              </w:numPr>
              <w:spacing w:before="120" w:after="120"/>
              <w:rPr>
                <w:color w:val="000000" w:themeColor="text1"/>
                <w:lang w:val="en-GB"/>
              </w:rPr>
            </w:pPr>
            <w:r w:rsidRPr="00087BB0">
              <w:rPr>
                <w:color w:val="000000" w:themeColor="text1"/>
                <w:lang w:val="en-GB"/>
              </w:rPr>
              <w:t>These vulnerabilities revealed long-term problems within the NHS Trusts, and especially in overwhelmed neonatal care units.</w:t>
            </w:r>
          </w:p>
        </w:tc>
      </w:tr>
      <w:tr w:rsidR="00087BB0" w:rsidRPr="00087BB0" w14:paraId="314371EC" w14:textId="77777777">
        <w:trPr>
          <w:cantSplit/>
          <w:tblHeader/>
        </w:trPr>
        <w:tc>
          <w:tcPr>
            <w:tcW w:w="4680" w:type="dxa"/>
            <w:shd w:val="clear" w:color="auto" w:fill="EAD1DC"/>
            <w:tcMar>
              <w:top w:w="100" w:type="dxa"/>
              <w:left w:w="100" w:type="dxa"/>
              <w:bottom w:w="100" w:type="dxa"/>
              <w:right w:w="100" w:type="dxa"/>
            </w:tcMar>
          </w:tcPr>
          <w:p w14:paraId="64C97BBB" w14:textId="77777777" w:rsidR="004C6993" w:rsidRPr="00087BB0" w:rsidRDefault="001B5527" w:rsidP="008F2C45">
            <w:pPr>
              <w:pStyle w:val="Normal1"/>
              <w:widowControl w:val="0"/>
              <w:pBdr>
                <w:top w:val="nil"/>
                <w:left w:val="nil"/>
                <w:bottom w:val="nil"/>
                <w:right w:val="nil"/>
                <w:between w:val="nil"/>
              </w:pBdr>
              <w:spacing w:before="120" w:after="120"/>
              <w:jc w:val="center"/>
              <w:rPr>
                <w:b/>
                <w:bCs/>
                <w:color w:val="000000" w:themeColor="text1"/>
                <w:lang w:val="en-GB"/>
              </w:rPr>
            </w:pPr>
            <w:r w:rsidRPr="00087BB0">
              <w:rPr>
                <w:b/>
                <w:bCs/>
                <w:color w:val="000000" w:themeColor="text1"/>
                <w:lang w:val="en-GB"/>
              </w:rPr>
              <w:t>Opportunities</w:t>
            </w:r>
          </w:p>
        </w:tc>
        <w:tc>
          <w:tcPr>
            <w:tcW w:w="4680" w:type="dxa"/>
            <w:shd w:val="clear" w:color="auto" w:fill="EAD1DC"/>
            <w:tcMar>
              <w:top w:w="100" w:type="dxa"/>
              <w:left w:w="100" w:type="dxa"/>
              <w:bottom w:w="100" w:type="dxa"/>
              <w:right w:w="100" w:type="dxa"/>
            </w:tcMar>
          </w:tcPr>
          <w:p w14:paraId="209C8FC0" w14:textId="77777777" w:rsidR="004C6993" w:rsidRPr="00087BB0" w:rsidRDefault="001B5527" w:rsidP="008F2C45">
            <w:pPr>
              <w:pStyle w:val="Normal1"/>
              <w:widowControl w:val="0"/>
              <w:pBdr>
                <w:top w:val="nil"/>
                <w:left w:val="nil"/>
                <w:bottom w:val="nil"/>
                <w:right w:val="nil"/>
                <w:between w:val="nil"/>
              </w:pBdr>
              <w:spacing w:before="120" w:after="120"/>
              <w:jc w:val="center"/>
              <w:rPr>
                <w:b/>
                <w:bCs/>
                <w:color w:val="000000" w:themeColor="text1"/>
                <w:lang w:val="en-GB"/>
              </w:rPr>
            </w:pPr>
            <w:r w:rsidRPr="00087BB0">
              <w:rPr>
                <w:b/>
                <w:bCs/>
                <w:color w:val="000000" w:themeColor="text1"/>
                <w:lang w:val="en-GB"/>
              </w:rPr>
              <w:t>Threats</w:t>
            </w:r>
          </w:p>
        </w:tc>
      </w:tr>
      <w:tr w:rsidR="00087BB0" w:rsidRPr="00087BB0" w14:paraId="62854A51" w14:textId="77777777">
        <w:trPr>
          <w:cantSplit/>
          <w:tblHeader/>
        </w:trPr>
        <w:tc>
          <w:tcPr>
            <w:tcW w:w="4680" w:type="dxa"/>
            <w:tcMar>
              <w:top w:w="100" w:type="dxa"/>
              <w:left w:w="100" w:type="dxa"/>
              <w:bottom w:w="100" w:type="dxa"/>
              <w:right w:w="100" w:type="dxa"/>
            </w:tcMar>
          </w:tcPr>
          <w:p w14:paraId="037634EB" w14:textId="77777777" w:rsidR="004C6993" w:rsidRPr="00087BB0" w:rsidRDefault="001B5527" w:rsidP="008F2C45">
            <w:pPr>
              <w:pStyle w:val="Normal1"/>
              <w:numPr>
                <w:ilvl w:val="0"/>
                <w:numId w:val="3"/>
              </w:numPr>
              <w:spacing w:before="120" w:after="120"/>
              <w:rPr>
                <w:color w:val="000000" w:themeColor="text1"/>
                <w:lang w:val="en-GB"/>
              </w:rPr>
            </w:pPr>
            <w:r w:rsidRPr="00087BB0">
              <w:rPr>
                <w:color w:val="000000" w:themeColor="text1"/>
                <w:lang w:val="en-GB"/>
              </w:rPr>
              <w:lastRenderedPageBreak/>
              <w:t xml:space="preserve">The Lucy </w:t>
            </w:r>
            <w:proofErr w:type="spellStart"/>
            <w:r w:rsidRPr="00087BB0">
              <w:rPr>
                <w:color w:val="000000" w:themeColor="text1"/>
                <w:lang w:val="en-GB"/>
              </w:rPr>
              <w:t>Letby</w:t>
            </w:r>
            <w:proofErr w:type="spellEnd"/>
            <w:r w:rsidRPr="00087BB0">
              <w:rPr>
                <w:color w:val="000000" w:themeColor="text1"/>
                <w:lang w:val="en-GB"/>
              </w:rPr>
              <w:t xml:space="preserve"> case has resulted in systemic changes in the NHS, such as the development of the Patient Safety Incident Response Framework (PSIRF) and increased standards of leadership accountability (NHS England, 2022).</w:t>
            </w:r>
          </w:p>
          <w:p w14:paraId="68D8C81A" w14:textId="77777777" w:rsidR="004C6993" w:rsidRPr="00087BB0" w:rsidRDefault="001B5527" w:rsidP="008F2C45">
            <w:pPr>
              <w:pStyle w:val="Normal1"/>
              <w:numPr>
                <w:ilvl w:val="0"/>
                <w:numId w:val="3"/>
              </w:numPr>
              <w:spacing w:before="120" w:after="120"/>
              <w:rPr>
                <w:color w:val="000000" w:themeColor="text1"/>
                <w:lang w:val="en-GB"/>
              </w:rPr>
            </w:pPr>
            <w:r w:rsidRPr="00087BB0">
              <w:rPr>
                <w:color w:val="000000" w:themeColor="text1"/>
                <w:lang w:val="en-GB"/>
              </w:rPr>
              <w:t>The innovative use of technologies (neonatal monitoring and data integration systems using AI) can offer new possibilities to reinforce QA.</w:t>
            </w:r>
          </w:p>
          <w:p w14:paraId="5F817824" w14:textId="77777777" w:rsidR="004C6993" w:rsidRPr="00087BB0" w:rsidRDefault="001B5527" w:rsidP="008F2C45">
            <w:pPr>
              <w:pStyle w:val="Normal1"/>
              <w:numPr>
                <w:ilvl w:val="0"/>
                <w:numId w:val="3"/>
              </w:numPr>
              <w:spacing w:before="120" w:after="120"/>
              <w:rPr>
                <w:color w:val="000000" w:themeColor="text1"/>
                <w:lang w:val="en-GB"/>
              </w:rPr>
            </w:pPr>
            <w:r w:rsidRPr="00087BB0">
              <w:rPr>
                <w:color w:val="000000" w:themeColor="text1"/>
                <w:lang w:val="en-GB"/>
              </w:rPr>
              <w:t>Improved social and governmental endorsement of transparency is reported, which enables healthcare professionals to voice safety issues without the risk of being reprimanded.</w:t>
            </w:r>
          </w:p>
        </w:tc>
        <w:tc>
          <w:tcPr>
            <w:tcW w:w="4680" w:type="dxa"/>
            <w:tcMar>
              <w:top w:w="100" w:type="dxa"/>
              <w:left w:w="100" w:type="dxa"/>
              <w:bottom w:w="100" w:type="dxa"/>
              <w:right w:w="100" w:type="dxa"/>
            </w:tcMar>
          </w:tcPr>
          <w:p w14:paraId="04EAF019" w14:textId="77777777" w:rsidR="004C6993" w:rsidRPr="00087BB0" w:rsidRDefault="001B5527" w:rsidP="008F2C45">
            <w:pPr>
              <w:pStyle w:val="Normal1"/>
              <w:numPr>
                <w:ilvl w:val="0"/>
                <w:numId w:val="3"/>
              </w:numPr>
              <w:spacing w:before="120" w:after="120"/>
              <w:rPr>
                <w:color w:val="000000" w:themeColor="text1"/>
                <w:lang w:val="en-GB"/>
              </w:rPr>
            </w:pPr>
            <w:r w:rsidRPr="00087BB0">
              <w:rPr>
                <w:color w:val="000000" w:themeColor="text1"/>
                <w:lang w:val="en-GB"/>
              </w:rPr>
              <w:t>NHS neonatal services have been severely impacted with respect to public trust, which is still challenging the services with respect to their reputational and psychological challenges.</w:t>
            </w:r>
          </w:p>
          <w:p w14:paraId="44099B97" w14:textId="01B3DF6A" w:rsidR="004C6993" w:rsidRPr="00087BB0" w:rsidRDefault="0059727D" w:rsidP="008F2C45">
            <w:pPr>
              <w:pStyle w:val="Normal1"/>
              <w:numPr>
                <w:ilvl w:val="0"/>
                <w:numId w:val="3"/>
              </w:numPr>
              <w:spacing w:before="120" w:after="120"/>
              <w:rPr>
                <w:color w:val="000000" w:themeColor="text1"/>
                <w:lang w:val="en-GB"/>
              </w:rPr>
            </w:pPr>
            <w:r w:rsidRPr="0059727D">
              <w:rPr>
                <w:color w:val="000000" w:themeColor="text1"/>
              </w:rPr>
              <w:t xml:space="preserve">Litigation costs for similar governance failures (e.g., Morecambe Bay) exceeded </w:t>
            </w:r>
            <w:r w:rsidRPr="0059727D">
              <w:rPr>
                <w:b/>
                <w:bCs/>
                <w:color w:val="000000" w:themeColor="text1"/>
              </w:rPr>
              <w:t>£76 million</w:t>
            </w:r>
            <w:r w:rsidRPr="0059727D">
              <w:rPr>
                <w:color w:val="000000" w:themeColor="text1"/>
              </w:rPr>
              <w:t>, posing a long-term financial threat for NHS Trusts</w:t>
            </w:r>
            <w:r w:rsidR="001B5527" w:rsidRPr="00087BB0">
              <w:rPr>
                <w:color w:val="000000" w:themeColor="text1"/>
                <w:lang w:val="en-GB"/>
              </w:rPr>
              <w:t>.</w:t>
            </w:r>
          </w:p>
          <w:p w14:paraId="3FA2C5A6" w14:textId="77777777" w:rsidR="004C6993" w:rsidRPr="00087BB0" w:rsidRDefault="001B5527" w:rsidP="008F2C45">
            <w:pPr>
              <w:pStyle w:val="Normal1"/>
              <w:numPr>
                <w:ilvl w:val="0"/>
                <w:numId w:val="3"/>
              </w:numPr>
              <w:spacing w:before="120" w:after="120"/>
              <w:rPr>
                <w:color w:val="000000" w:themeColor="text1"/>
                <w:lang w:val="en-GB"/>
              </w:rPr>
            </w:pPr>
            <w:r w:rsidRPr="00087BB0">
              <w:rPr>
                <w:color w:val="000000" w:themeColor="text1"/>
                <w:lang w:val="en-GB"/>
              </w:rPr>
              <w:t>The lack of a steady policy enforcement shows that the NHS will revert to the same mistakes of bad governance, which will endanger the lives of patients and demoralise employees.</w:t>
            </w:r>
          </w:p>
        </w:tc>
      </w:tr>
    </w:tbl>
    <w:p w14:paraId="2E80FD8A" w14:textId="77777777" w:rsidR="004C6993" w:rsidRPr="00087BB0" w:rsidRDefault="001B5527" w:rsidP="008F2C45">
      <w:pPr>
        <w:pStyle w:val="Normal1"/>
        <w:spacing w:before="120" w:after="120"/>
        <w:jc w:val="center"/>
        <w:rPr>
          <w:color w:val="000000" w:themeColor="text1"/>
          <w:lang w:val="en-GB"/>
        </w:rPr>
      </w:pPr>
      <w:r w:rsidRPr="00087BB0">
        <w:rPr>
          <w:b/>
          <w:bCs/>
          <w:color w:val="000000" w:themeColor="text1"/>
          <w:lang w:val="en-GB"/>
        </w:rPr>
        <w:t xml:space="preserve">Table 1: SWOT analysis table </w:t>
      </w:r>
    </w:p>
    <w:p w14:paraId="258B5121" w14:textId="77777777" w:rsidR="004C6993" w:rsidRPr="00087BB0" w:rsidRDefault="001B5527" w:rsidP="008F2C45">
      <w:pPr>
        <w:pStyle w:val="Normal1"/>
        <w:spacing w:before="120" w:after="120"/>
        <w:jc w:val="center"/>
        <w:rPr>
          <w:color w:val="000000" w:themeColor="text1"/>
          <w:lang w:val="en-GB"/>
        </w:rPr>
      </w:pPr>
      <w:r w:rsidRPr="00087BB0">
        <w:rPr>
          <w:color w:val="000000" w:themeColor="text1"/>
          <w:lang w:val="en-GB"/>
        </w:rPr>
        <w:t xml:space="preserve">(Source: Self-prepared)  </w:t>
      </w:r>
    </w:p>
    <w:p w14:paraId="6CB42917" w14:textId="77777777" w:rsidR="004C6993" w:rsidRPr="00087BB0" w:rsidRDefault="001B5527" w:rsidP="008F2C45">
      <w:pPr>
        <w:pStyle w:val="Heading2"/>
        <w:spacing w:before="120" w:after="120"/>
        <w:rPr>
          <w:color w:val="000000" w:themeColor="text1"/>
          <w:lang w:val="en-GB"/>
        </w:rPr>
      </w:pPr>
      <w:bookmarkStart w:id="10" w:name="_rlewb48ddbp3" w:colFirst="0" w:colLast="0"/>
      <w:bookmarkStart w:id="11" w:name="_Toc213766212"/>
      <w:bookmarkEnd w:id="10"/>
      <w:r w:rsidRPr="00087BB0">
        <w:rPr>
          <w:color w:val="000000" w:themeColor="text1"/>
          <w:lang w:val="en-GB"/>
        </w:rPr>
        <w:t>2.4 Kottler’s 8-step Change Model</w:t>
      </w:r>
      <w:bookmarkEnd w:id="11"/>
    </w:p>
    <w:p w14:paraId="569949D8" w14:textId="5DEECCB9" w:rsidR="004C6993" w:rsidRPr="00AE377D" w:rsidRDefault="00AE377D" w:rsidP="008F2C45">
      <w:pPr>
        <w:pStyle w:val="Normal1"/>
        <w:spacing w:before="120" w:after="120"/>
        <w:rPr>
          <w:color w:val="000000" w:themeColor="text1"/>
          <w:lang w:val="en-IN"/>
        </w:rPr>
      </w:pPr>
      <w:r w:rsidRPr="00AE377D">
        <w:rPr>
          <w:color w:val="000000" w:themeColor="text1"/>
          <w:lang w:val="en-IN"/>
        </w:rPr>
        <w:t xml:space="preserve">The Lucy </w:t>
      </w:r>
      <w:proofErr w:type="spellStart"/>
      <w:r w:rsidRPr="00AE377D">
        <w:rPr>
          <w:color w:val="000000" w:themeColor="text1"/>
          <w:lang w:val="en-IN"/>
        </w:rPr>
        <w:t>Letby</w:t>
      </w:r>
      <w:proofErr w:type="spellEnd"/>
      <w:r w:rsidRPr="00AE377D">
        <w:rPr>
          <w:color w:val="000000" w:themeColor="text1"/>
          <w:lang w:val="en-IN"/>
        </w:rPr>
        <w:t xml:space="preserve"> case exposed profound failures in governance, escalation processes, staffing, and safety culture. Applying Kotter’s 8-Step Change Model provides a structured and measurable pathway for transforming the neonatal safety environment (Sibanda et al., 2023). Unlike purely theoretical change frameworks, Kotter’s model enables quantifiable improvements</w:t>
      </w:r>
      <w:r>
        <w:rPr>
          <w:color w:val="000000" w:themeColor="text1"/>
          <w:lang w:val="en-IN"/>
        </w:rPr>
        <w:t xml:space="preserve"> </w:t>
      </w:r>
      <w:r w:rsidRPr="00AE377D">
        <w:rPr>
          <w:color w:val="000000" w:themeColor="text1"/>
          <w:lang w:val="en-IN"/>
        </w:rPr>
        <w:t xml:space="preserve">similar to reforms introduced after major NHS inquiries such as </w:t>
      </w:r>
      <w:r w:rsidRPr="00AE377D">
        <w:rPr>
          <w:b/>
          <w:bCs/>
          <w:color w:val="000000" w:themeColor="text1"/>
          <w:lang w:val="en-IN"/>
        </w:rPr>
        <w:t>Mid Staffordshire</w:t>
      </w:r>
      <w:r w:rsidRPr="00AE377D">
        <w:rPr>
          <w:color w:val="000000" w:themeColor="text1"/>
          <w:lang w:val="en-IN"/>
        </w:rPr>
        <w:t xml:space="preserve">, </w:t>
      </w:r>
      <w:r w:rsidRPr="00AE377D">
        <w:rPr>
          <w:b/>
          <w:bCs/>
          <w:color w:val="000000" w:themeColor="text1"/>
          <w:lang w:val="en-IN"/>
        </w:rPr>
        <w:t>Morecambe Bay</w:t>
      </w:r>
      <w:r w:rsidRPr="00AE377D">
        <w:rPr>
          <w:color w:val="000000" w:themeColor="text1"/>
          <w:lang w:val="en-IN"/>
        </w:rPr>
        <w:t xml:space="preserve">, and </w:t>
      </w:r>
      <w:r w:rsidRPr="00AE377D">
        <w:rPr>
          <w:b/>
          <w:bCs/>
          <w:color w:val="000000" w:themeColor="text1"/>
          <w:lang w:val="en-IN"/>
        </w:rPr>
        <w:t>Shrewsbury and Telford</w:t>
      </w:r>
      <w:r w:rsidRPr="00AE377D">
        <w:rPr>
          <w:color w:val="000000" w:themeColor="text1"/>
          <w:lang w:val="en-IN"/>
        </w:rPr>
        <w:t xml:space="preserve">, where targeted implementation reduced preventable harm by </w:t>
      </w:r>
      <w:r w:rsidRPr="00AE377D">
        <w:rPr>
          <w:b/>
          <w:bCs/>
          <w:color w:val="000000" w:themeColor="text1"/>
          <w:lang w:val="en-IN"/>
        </w:rPr>
        <w:t>30–50%</w:t>
      </w:r>
      <w:r w:rsidRPr="00AE377D">
        <w:rPr>
          <w:color w:val="000000" w:themeColor="text1"/>
          <w:lang w:val="en-IN"/>
        </w:rPr>
        <w:t xml:space="preserve"> in the first year of change</w:t>
      </w:r>
      <w:r w:rsidR="001B5527" w:rsidRPr="00087BB0">
        <w:rPr>
          <w:color w:val="000000" w:themeColor="text1"/>
          <w:lang w:val="en-GB"/>
        </w:rPr>
        <w:t>.</w:t>
      </w:r>
    </w:p>
    <w:p w14:paraId="51B2D249" w14:textId="08764A50" w:rsidR="004C6993" w:rsidRPr="00087BB0" w:rsidRDefault="001B5527" w:rsidP="008F2C45">
      <w:pPr>
        <w:pStyle w:val="Normal1"/>
        <w:spacing w:before="120" w:after="120"/>
        <w:rPr>
          <w:color w:val="000000" w:themeColor="text1"/>
          <w:lang w:val="en-GB"/>
        </w:rPr>
      </w:pPr>
      <w:r w:rsidRPr="00087BB0">
        <w:rPr>
          <w:b/>
          <w:bCs/>
          <w:i/>
          <w:iCs/>
          <w:color w:val="000000" w:themeColor="text1"/>
          <w:lang w:val="en-GB"/>
        </w:rPr>
        <w:t>1. Creates sense of urgency</w:t>
      </w:r>
    </w:p>
    <w:p w14:paraId="543A2D29" w14:textId="2B3E581B" w:rsidR="004C6993" w:rsidRPr="00087BB0" w:rsidRDefault="00BD3038" w:rsidP="008F2C45">
      <w:pPr>
        <w:pStyle w:val="Normal1"/>
        <w:spacing w:before="120" w:after="120"/>
        <w:rPr>
          <w:color w:val="000000" w:themeColor="text1"/>
          <w:lang w:val="en-GB"/>
        </w:rPr>
      </w:pPr>
      <w:r w:rsidRPr="00BD3038">
        <w:rPr>
          <w:color w:val="000000" w:themeColor="text1"/>
        </w:rPr>
        <w:t xml:space="preserve">The </w:t>
      </w:r>
      <w:proofErr w:type="spellStart"/>
      <w:r w:rsidRPr="00BD3038">
        <w:rPr>
          <w:color w:val="000000" w:themeColor="text1"/>
        </w:rPr>
        <w:t>Letby</w:t>
      </w:r>
      <w:proofErr w:type="spellEnd"/>
      <w:r w:rsidRPr="00BD3038">
        <w:rPr>
          <w:color w:val="000000" w:themeColor="text1"/>
        </w:rPr>
        <w:t xml:space="preserve"> case resulted in a </w:t>
      </w:r>
      <w:r w:rsidRPr="00BD3038">
        <w:rPr>
          <w:b/>
          <w:bCs/>
          <w:color w:val="000000" w:themeColor="text1"/>
        </w:rPr>
        <w:t>10–15% rise in neonatal mortality above expected rates</w:t>
      </w:r>
      <w:r w:rsidRPr="00BD3038">
        <w:rPr>
          <w:color w:val="000000" w:themeColor="text1"/>
        </w:rPr>
        <w:t xml:space="preserve">, creating a clear and measurable justification for urgent system-wide reform. As seen after Morecambe Bay (where 11 avoidable infant deaths occurred), establishing urgency helps shift </w:t>
      </w:r>
      <w:r w:rsidRPr="00BD3038">
        <w:rPr>
          <w:color w:val="000000" w:themeColor="text1"/>
        </w:rPr>
        <w:lastRenderedPageBreak/>
        <w:t xml:space="preserve">senior leaders from a defensive stance to proactive safety action. NHS England must explicitly </w:t>
      </w:r>
      <w:proofErr w:type="spellStart"/>
      <w:r w:rsidRPr="00BD3038">
        <w:rPr>
          <w:color w:val="000000" w:themeColor="text1"/>
        </w:rPr>
        <w:t>recognise</w:t>
      </w:r>
      <w:proofErr w:type="spellEnd"/>
      <w:r w:rsidRPr="00BD3038">
        <w:rPr>
          <w:color w:val="000000" w:themeColor="text1"/>
        </w:rPr>
        <w:t xml:space="preserve"> that the failures were systemic</w:t>
      </w:r>
      <w:r>
        <w:rPr>
          <w:color w:val="000000" w:themeColor="text1"/>
        </w:rPr>
        <w:t xml:space="preserve"> </w:t>
      </w:r>
      <w:r w:rsidRPr="00BD3038">
        <w:rPr>
          <w:color w:val="000000" w:themeColor="text1"/>
        </w:rPr>
        <w:t>not individual</w:t>
      </w:r>
      <w:r>
        <w:rPr>
          <w:color w:val="000000" w:themeColor="text1"/>
        </w:rPr>
        <w:t xml:space="preserve"> </w:t>
      </w:r>
      <w:r w:rsidRPr="00BD3038">
        <w:rPr>
          <w:color w:val="000000" w:themeColor="text1"/>
        </w:rPr>
        <w:t xml:space="preserve">to </w:t>
      </w:r>
      <w:proofErr w:type="spellStart"/>
      <w:r w:rsidRPr="00BD3038">
        <w:rPr>
          <w:color w:val="000000" w:themeColor="text1"/>
        </w:rPr>
        <w:t>mobilise</w:t>
      </w:r>
      <w:proofErr w:type="spellEnd"/>
      <w:r w:rsidRPr="00BD3038">
        <w:rPr>
          <w:color w:val="000000" w:themeColor="text1"/>
        </w:rPr>
        <w:t xml:space="preserve"> Trusts towards national neonatal safety reform</w:t>
      </w:r>
      <w:r w:rsidR="001B5527" w:rsidRPr="00087BB0">
        <w:rPr>
          <w:color w:val="000000" w:themeColor="text1"/>
          <w:lang w:val="en-GB"/>
        </w:rPr>
        <w:t>.</w:t>
      </w:r>
    </w:p>
    <w:p w14:paraId="56E35449" w14:textId="77777777" w:rsidR="004C6993" w:rsidRPr="00087BB0" w:rsidRDefault="001B5527" w:rsidP="008F2C45">
      <w:pPr>
        <w:pStyle w:val="Normal1"/>
        <w:spacing w:before="120" w:after="120"/>
        <w:rPr>
          <w:color w:val="000000" w:themeColor="text1"/>
          <w:lang w:val="en-GB"/>
        </w:rPr>
      </w:pPr>
      <w:r w:rsidRPr="00087BB0">
        <w:rPr>
          <w:b/>
          <w:bCs/>
          <w:i/>
          <w:iCs/>
          <w:color w:val="000000" w:themeColor="text1"/>
          <w:lang w:val="en-GB"/>
        </w:rPr>
        <w:t>2. Prepare a guiding coalition</w:t>
      </w:r>
    </w:p>
    <w:p w14:paraId="6A255EEA" w14:textId="7CEC1025" w:rsidR="004C6993" w:rsidRPr="008E4592" w:rsidRDefault="008E4592" w:rsidP="008F2C45">
      <w:pPr>
        <w:pStyle w:val="Normal1"/>
        <w:spacing w:before="120" w:after="120"/>
        <w:rPr>
          <w:color w:val="000000" w:themeColor="text1"/>
          <w:lang w:val="en-IN"/>
        </w:rPr>
      </w:pPr>
      <w:r w:rsidRPr="008E4592">
        <w:rPr>
          <w:color w:val="000000" w:themeColor="text1"/>
          <w:lang w:val="en-IN"/>
        </w:rPr>
        <w:t xml:space="preserve">A credible coalition must include clinical directors, senior neonatologists, governance leads, PSIRF (Patient Safety Incident Response Framework) officers, and CQC advisors. After Shrewsbury and Telford’s maternity inquiry, a multidisciplinary safety coalition helped reduce incident under-reporting by </w:t>
      </w:r>
      <w:r w:rsidRPr="008E4592">
        <w:rPr>
          <w:b/>
          <w:bCs/>
          <w:color w:val="000000" w:themeColor="text1"/>
          <w:lang w:val="en-IN"/>
        </w:rPr>
        <w:t>42%</w:t>
      </w:r>
      <w:r w:rsidRPr="008E4592">
        <w:rPr>
          <w:color w:val="000000" w:themeColor="text1"/>
          <w:lang w:val="en-IN"/>
        </w:rPr>
        <w:t xml:space="preserve"> within the first year. A similar coalition is required at the Countess of Chester to drive major cultural and operational change</w:t>
      </w:r>
      <w:r w:rsidR="001B5527" w:rsidRPr="00087BB0">
        <w:rPr>
          <w:color w:val="000000" w:themeColor="text1"/>
          <w:lang w:val="en-GB"/>
        </w:rPr>
        <w:t>.</w:t>
      </w:r>
    </w:p>
    <w:p w14:paraId="36B73483" w14:textId="77777777" w:rsidR="004C6993" w:rsidRPr="00087BB0" w:rsidRDefault="001B5527" w:rsidP="008F2C45">
      <w:pPr>
        <w:pStyle w:val="Normal1"/>
        <w:spacing w:before="120" w:after="120"/>
        <w:rPr>
          <w:color w:val="000000" w:themeColor="text1"/>
          <w:lang w:val="en-GB"/>
        </w:rPr>
      </w:pPr>
      <w:r w:rsidRPr="00087BB0">
        <w:rPr>
          <w:b/>
          <w:bCs/>
          <w:i/>
          <w:iCs/>
          <w:color w:val="000000" w:themeColor="text1"/>
          <w:lang w:val="en-GB"/>
        </w:rPr>
        <w:t>3. Create an effective vision for change</w:t>
      </w:r>
    </w:p>
    <w:p w14:paraId="2D6668F2" w14:textId="77777777" w:rsidR="004C6993" w:rsidRPr="00087BB0" w:rsidRDefault="001B5527" w:rsidP="008F2C45">
      <w:pPr>
        <w:pStyle w:val="Normal1"/>
        <w:spacing w:before="120" w:after="120"/>
        <w:rPr>
          <w:color w:val="000000" w:themeColor="text1"/>
          <w:lang w:val="en-GB"/>
        </w:rPr>
      </w:pPr>
      <w:r w:rsidRPr="00087BB0">
        <w:rPr>
          <w:color w:val="000000" w:themeColor="text1"/>
          <w:lang w:val="en-GB"/>
        </w:rPr>
        <w:t>The entire improvement process must have a clear vision, which should be a safe, transparent, and accountable neonatal care, and it should focus on staffing, incident reporting, and culture.</w:t>
      </w:r>
    </w:p>
    <w:p w14:paraId="4CD4E035" w14:textId="77777777" w:rsidR="004C6993" w:rsidRPr="00087BB0" w:rsidRDefault="001B5527" w:rsidP="008F2C45">
      <w:pPr>
        <w:pStyle w:val="Normal1"/>
        <w:spacing w:before="120" w:after="120"/>
        <w:jc w:val="center"/>
        <w:rPr>
          <w:color w:val="000000" w:themeColor="text1"/>
          <w:lang w:val="en-GB"/>
        </w:rPr>
      </w:pPr>
      <w:r w:rsidRPr="00087BB0">
        <w:rPr>
          <w:noProof/>
          <w:color w:val="000000" w:themeColor="text1"/>
        </w:rPr>
        <w:drawing>
          <wp:inline distT="114300" distB="114300" distL="114300" distR="114300" wp14:anchorId="0FD4BE83" wp14:editId="6F9D4FAD">
            <wp:extent cx="5142971" cy="2869341"/>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cstate="print"/>
                    <a:srcRect/>
                    <a:stretch>
                      <a:fillRect/>
                    </a:stretch>
                  </pic:blipFill>
                  <pic:spPr>
                    <a:xfrm>
                      <a:off x="0" y="0"/>
                      <a:ext cx="5142971" cy="2869341"/>
                    </a:xfrm>
                    <a:prstGeom prst="rect">
                      <a:avLst/>
                    </a:prstGeom>
                    <a:ln w="25400">
                      <a:solidFill>
                        <a:srgbClr val="000000"/>
                      </a:solidFill>
                      <a:prstDash val="solid"/>
                    </a:ln>
                  </pic:spPr>
                </pic:pic>
              </a:graphicData>
            </a:graphic>
          </wp:inline>
        </w:drawing>
      </w:r>
    </w:p>
    <w:p w14:paraId="1DAA385C" w14:textId="77777777" w:rsidR="004C6993" w:rsidRPr="00087BB0" w:rsidRDefault="001B5527" w:rsidP="008F2C45">
      <w:pPr>
        <w:pStyle w:val="Normal1"/>
        <w:spacing w:before="120" w:after="120"/>
        <w:jc w:val="center"/>
        <w:rPr>
          <w:b/>
          <w:bCs/>
          <w:color w:val="000000" w:themeColor="text1"/>
          <w:lang w:val="en-GB"/>
        </w:rPr>
      </w:pPr>
      <w:r w:rsidRPr="00087BB0">
        <w:rPr>
          <w:b/>
          <w:bCs/>
          <w:color w:val="000000" w:themeColor="text1"/>
          <w:lang w:val="en-GB"/>
        </w:rPr>
        <w:t>Figure 3: 8 steps of Kottler’s 8-step Change Model</w:t>
      </w:r>
    </w:p>
    <w:p w14:paraId="2640D280" w14:textId="77777777" w:rsidR="004C6993" w:rsidRPr="00087BB0" w:rsidRDefault="001B5527" w:rsidP="008F2C45">
      <w:pPr>
        <w:pStyle w:val="Normal1"/>
        <w:spacing w:before="120" w:after="120"/>
        <w:jc w:val="center"/>
        <w:rPr>
          <w:color w:val="000000" w:themeColor="text1"/>
          <w:lang w:val="en-GB"/>
        </w:rPr>
      </w:pPr>
      <w:r w:rsidRPr="00087BB0">
        <w:rPr>
          <w:color w:val="000000" w:themeColor="text1"/>
          <w:lang w:val="en-GB"/>
        </w:rPr>
        <w:t xml:space="preserve">(Source: </w:t>
      </w:r>
      <w:proofErr w:type="spellStart"/>
      <w:r w:rsidRPr="00087BB0">
        <w:rPr>
          <w:color w:val="000000" w:themeColor="text1"/>
          <w:lang w:val="en-GB"/>
        </w:rPr>
        <w:t>BiteSize</w:t>
      </w:r>
      <w:proofErr w:type="spellEnd"/>
      <w:r w:rsidRPr="00087BB0">
        <w:rPr>
          <w:color w:val="000000" w:themeColor="text1"/>
          <w:lang w:val="en-GB"/>
        </w:rPr>
        <w:t xml:space="preserve"> Learning, 2024)</w:t>
      </w:r>
    </w:p>
    <w:p w14:paraId="1FD8515E" w14:textId="77777777" w:rsidR="004C6993" w:rsidRPr="00087BB0" w:rsidRDefault="001B5527" w:rsidP="008F2C45">
      <w:pPr>
        <w:pStyle w:val="Normal1"/>
        <w:spacing w:before="120" w:after="120"/>
        <w:rPr>
          <w:color w:val="000000" w:themeColor="text1"/>
          <w:lang w:val="en-GB"/>
        </w:rPr>
      </w:pPr>
      <w:r w:rsidRPr="00087BB0">
        <w:rPr>
          <w:b/>
          <w:bCs/>
          <w:i/>
          <w:iCs/>
          <w:color w:val="000000" w:themeColor="text1"/>
          <w:lang w:val="en-GB"/>
        </w:rPr>
        <w:t>4. Communicate the vision</w:t>
      </w:r>
    </w:p>
    <w:p w14:paraId="48B646F5" w14:textId="77777777" w:rsidR="004C6993" w:rsidRPr="00087BB0" w:rsidRDefault="001B5527" w:rsidP="008F2C45">
      <w:pPr>
        <w:pStyle w:val="Normal1"/>
        <w:spacing w:before="120" w:after="120"/>
        <w:rPr>
          <w:color w:val="000000" w:themeColor="text1"/>
          <w:lang w:val="en-GB"/>
        </w:rPr>
      </w:pPr>
      <w:r w:rsidRPr="00087BB0">
        <w:rPr>
          <w:color w:val="000000" w:themeColor="text1"/>
          <w:lang w:val="en-GB"/>
        </w:rPr>
        <w:t xml:space="preserve">Share activity objectives through internal newsletters, training and online dashboards. The Countess of Chester Hospital may provide monthly updates on the RCA compliance performance and </w:t>
      </w:r>
      <w:r w:rsidR="00F5336B" w:rsidRPr="00087BB0">
        <w:rPr>
          <w:color w:val="000000" w:themeColor="text1"/>
          <w:lang w:val="en-GB"/>
        </w:rPr>
        <w:t>whistle blowing</w:t>
      </w:r>
      <w:r w:rsidRPr="00087BB0">
        <w:rPr>
          <w:color w:val="000000" w:themeColor="text1"/>
          <w:lang w:val="en-GB"/>
        </w:rPr>
        <w:t xml:space="preserve"> performance, as an example.</w:t>
      </w:r>
    </w:p>
    <w:p w14:paraId="13CD0D9B" w14:textId="77777777" w:rsidR="004C6993" w:rsidRPr="00087BB0" w:rsidRDefault="001B5527" w:rsidP="008F2C45">
      <w:pPr>
        <w:pStyle w:val="Normal1"/>
        <w:spacing w:before="120" w:after="120"/>
        <w:rPr>
          <w:b/>
          <w:bCs/>
          <w:i/>
          <w:iCs/>
          <w:color w:val="000000" w:themeColor="text1"/>
          <w:lang w:val="en-GB"/>
        </w:rPr>
      </w:pPr>
      <w:r w:rsidRPr="00087BB0">
        <w:rPr>
          <w:b/>
          <w:bCs/>
          <w:i/>
          <w:iCs/>
          <w:color w:val="000000" w:themeColor="text1"/>
          <w:lang w:val="en-GB"/>
        </w:rPr>
        <w:lastRenderedPageBreak/>
        <w:t>5. Omit obstacles</w:t>
      </w:r>
    </w:p>
    <w:p w14:paraId="1FB853EF" w14:textId="5D2011D6" w:rsidR="00CA5922" w:rsidRPr="00CA5922" w:rsidRDefault="00CA5922" w:rsidP="00CA5922">
      <w:pPr>
        <w:pStyle w:val="Normal1"/>
        <w:spacing w:before="120" w:after="120"/>
        <w:rPr>
          <w:color w:val="000000" w:themeColor="text1"/>
          <w:lang w:val="en-IN"/>
        </w:rPr>
      </w:pPr>
      <w:r w:rsidRPr="00CA5922">
        <w:rPr>
          <w:color w:val="000000" w:themeColor="text1"/>
          <w:lang w:val="en-IN"/>
        </w:rPr>
        <w:t xml:space="preserve">Barriers such as retaliation fears, lack of senior clinical oversight, and outdated infrastructure must be actively removed. At Countess of Chester, staff reporting safety concerns increased only after </w:t>
      </w:r>
      <w:proofErr w:type="spellStart"/>
      <w:r w:rsidRPr="00CA5922">
        <w:rPr>
          <w:color w:val="000000" w:themeColor="text1"/>
          <w:lang w:val="en-IN"/>
        </w:rPr>
        <w:t>Letby’s</w:t>
      </w:r>
      <w:proofErr w:type="spellEnd"/>
      <w:r w:rsidRPr="00CA5922">
        <w:rPr>
          <w:color w:val="000000" w:themeColor="text1"/>
          <w:lang w:val="en-IN"/>
        </w:rPr>
        <w:t xml:space="preserve"> arrest</w:t>
      </w:r>
      <w:r>
        <w:rPr>
          <w:color w:val="000000" w:themeColor="text1"/>
          <w:lang w:val="en-IN"/>
        </w:rPr>
        <w:t xml:space="preserve"> </w:t>
      </w:r>
      <w:r w:rsidRPr="00CA5922">
        <w:rPr>
          <w:color w:val="000000" w:themeColor="text1"/>
          <w:lang w:val="en-IN"/>
        </w:rPr>
        <w:t>indicating significant cultural suppression. Removing barriers may involve:</w:t>
      </w:r>
    </w:p>
    <w:p w14:paraId="7D78B988" w14:textId="77777777" w:rsidR="00CA5922" w:rsidRPr="00CA5922" w:rsidRDefault="00CA5922" w:rsidP="00CA5922">
      <w:pPr>
        <w:pStyle w:val="Normal1"/>
        <w:numPr>
          <w:ilvl w:val="0"/>
          <w:numId w:val="4"/>
        </w:numPr>
        <w:spacing w:before="120" w:after="120"/>
        <w:rPr>
          <w:color w:val="000000" w:themeColor="text1"/>
          <w:lang w:val="en-IN"/>
        </w:rPr>
      </w:pPr>
      <w:r w:rsidRPr="00CA5922">
        <w:rPr>
          <w:color w:val="000000" w:themeColor="text1"/>
          <w:lang w:val="en-IN"/>
        </w:rPr>
        <w:t>anonymous digital reporting systems</w:t>
      </w:r>
    </w:p>
    <w:p w14:paraId="1B72A213" w14:textId="77777777" w:rsidR="00CA5922" w:rsidRPr="00CA5922" w:rsidRDefault="00CA5922" w:rsidP="00CA5922">
      <w:pPr>
        <w:pStyle w:val="Normal1"/>
        <w:numPr>
          <w:ilvl w:val="0"/>
          <w:numId w:val="4"/>
        </w:numPr>
        <w:spacing w:before="120" w:after="120"/>
        <w:rPr>
          <w:color w:val="000000" w:themeColor="text1"/>
          <w:lang w:val="en-IN"/>
        </w:rPr>
      </w:pPr>
      <w:r w:rsidRPr="00CA5922">
        <w:rPr>
          <w:color w:val="000000" w:themeColor="text1"/>
          <w:lang w:val="en-IN"/>
        </w:rPr>
        <w:t>psychological safety training</w:t>
      </w:r>
    </w:p>
    <w:p w14:paraId="17C07C8F" w14:textId="77777777" w:rsidR="00CA5922" w:rsidRPr="00CA5922" w:rsidRDefault="00CA5922" w:rsidP="00CA5922">
      <w:pPr>
        <w:pStyle w:val="Normal1"/>
        <w:numPr>
          <w:ilvl w:val="0"/>
          <w:numId w:val="4"/>
        </w:numPr>
        <w:spacing w:before="120" w:after="120"/>
        <w:rPr>
          <w:color w:val="000000" w:themeColor="text1"/>
          <w:lang w:val="en-IN"/>
        </w:rPr>
      </w:pPr>
      <w:r w:rsidRPr="00CA5922">
        <w:rPr>
          <w:color w:val="000000" w:themeColor="text1"/>
          <w:lang w:val="en-IN"/>
        </w:rPr>
        <w:t>adding senior neonatal consultant cover (24/7)</w:t>
      </w:r>
    </w:p>
    <w:p w14:paraId="4E7742A1" w14:textId="77777777" w:rsidR="00CA5922" w:rsidRPr="00CA5922" w:rsidRDefault="00CA5922" w:rsidP="00CA5922">
      <w:pPr>
        <w:pStyle w:val="Normal1"/>
        <w:numPr>
          <w:ilvl w:val="0"/>
          <w:numId w:val="4"/>
        </w:numPr>
        <w:spacing w:before="120" w:after="120"/>
        <w:rPr>
          <w:color w:val="000000" w:themeColor="text1"/>
          <w:lang w:val="en-IN"/>
        </w:rPr>
      </w:pPr>
      <w:r w:rsidRPr="00CA5922">
        <w:rPr>
          <w:color w:val="000000" w:themeColor="text1"/>
          <w:lang w:val="en-IN"/>
        </w:rPr>
        <w:t xml:space="preserve">replacing equipment that is </w:t>
      </w:r>
      <w:r w:rsidRPr="00CA5922">
        <w:rPr>
          <w:b/>
          <w:bCs/>
          <w:color w:val="000000" w:themeColor="text1"/>
          <w:lang w:val="en-IN"/>
        </w:rPr>
        <w:t>70% overdue for calibration</w:t>
      </w:r>
    </w:p>
    <w:p w14:paraId="3C8FBCAA" w14:textId="7AF93F99" w:rsidR="004C6993" w:rsidRPr="00CA5922" w:rsidRDefault="00CA5922" w:rsidP="008F2C45">
      <w:pPr>
        <w:pStyle w:val="Normal1"/>
        <w:spacing w:before="120" w:after="120"/>
        <w:rPr>
          <w:color w:val="000000" w:themeColor="text1"/>
          <w:lang w:val="en-IN"/>
        </w:rPr>
      </w:pPr>
      <w:r w:rsidRPr="00CA5922">
        <w:rPr>
          <w:color w:val="000000" w:themeColor="text1"/>
          <w:lang w:val="en-IN"/>
        </w:rPr>
        <w:t xml:space="preserve">These actions parallel the Shrewsbury reforms, where installing new escalation pathways reduced delayed responses by </w:t>
      </w:r>
      <w:r w:rsidRPr="00CA5922">
        <w:rPr>
          <w:b/>
          <w:bCs/>
          <w:color w:val="000000" w:themeColor="text1"/>
          <w:lang w:val="en-IN"/>
        </w:rPr>
        <w:t>32%</w:t>
      </w:r>
      <w:r w:rsidRPr="00CA5922">
        <w:rPr>
          <w:color w:val="000000" w:themeColor="text1"/>
          <w:lang w:val="en-IN"/>
        </w:rPr>
        <w:t xml:space="preserve"> within one year</w:t>
      </w:r>
      <w:r w:rsidR="001B5527" w:rsidRPr="00087BB0">
        <w:rPr>
          <w:color w:val="000000" w:themeColor="text1"/>
          <w:lang w:val="en-GB"/>
        </w:rPr>
        <w:t xml:space="preserve">. </w:t>
      </w:r>
    </w:p>
    <w:p w14:paraId="714598ED" w14:textId="77777777" w:rsidR="004C6993" w:rsidRPr="00087BB0" w:rsidRDefault="001B5527" w:rsidP="008F2C45">
      <w:pPr>
        <w:pStyle w:val="Normal1"/>
        <w:spacing w:before="120" w:after="120"/>
        <w:rPr>
          <w:b/>
          <w:bCs/>
          <w:i/>
          <w:iCs/>
          <w:color w:val="000000" w:themeColor="text1"/>
          <w:lang w:val="en-GB"/>
        </w:rPr>
      </w:pPr>
      <w:r w:rsidRPr="00087BB0">
        <w:rPr>
          <w:b/>
          <w:bCs/>
          <w:i/>
          <w:iCs/>
          <w:color w:val="000000" w:themeColor="text1"/>
          <w:lang w:val="en-GB"/>
        </w:rPr>
        <w:t>6. Design short-term wins</w:t>
      </w:r>
    </w:p>
    <w:p w14:paraId="1608ADC4" w14:textId="77777777" w:rsidR="004C6993" w:rsidRPr="00087BB0" w:rsidRDefault="001B5527" w:rsidP="008F2C45">
      <w:pPr>
        <w:pStyle w:val="Normal1"/>
        <w:spacing w:before="120" w:after="120"/>
        <w:rPr>
          <w:color w:val="000000" w:themeColor="text1"/>
          <w:lang w:val="en-GB"/>
        </w:rPr>
      </w:pPr>
      <w:r w:rsidRPr="00087BB0">
        <w:rPr>
          <w:color w:val="000000" w:themeColor="text1"/>
          <w:lang w:val="en-GB"/>
        </w:rPr>
        <w:t>Reward accomplishments such as 95 per cent of incident reporting compliance or hiring 10 new neonatal nurses. Fame increases self-esteem and momentum.</w:t>
      </w:r>
    </w:p>
    <w:p w14:paraId="65FF00CF" w14:textId="77777777" w:rsidR="004C6993" w:rsidRPr="00087BB0" w:rsidRDefault="001B5527" w:rsidP="008F2C45">
      <w:pPr>
        <w:pStyle w:val="Normal1"/>
        <w:spacing w:before="120" w:after="120"/>
        <w:rPr>
          <w:b/>
          <w:bCs/>
          <w:i/>
          <w:iCs/>
          <w:color w:val="000000" w:themeColor="text1"/>
          <w:lang w:val="en-GB"/>
        </w:rPr>
      </w:pPr>
      <w:r w:rsidRPr="00087BB0">
        <w:rPr>
          <w:b/>
          <w:bCs/>
          <w:i/>
          <w:iCs/>
          <w:color w:val="000000" w:themeColor="text1"/>
          <w:lang w:val="en-GB"/>
        </w:rPr>
        <w:t>7. Build on the change</w:t>
      </w:r>
    </w:p>
    <w:p w14:paraId="02CEDF6B" w14:textId="3F670FC3" w:rsidR="004C6993" w:rsidRPr="00087BB0" w:rsidRDefault="00CA5922" w:rsidP="008F2C45">
      <w:pPr>
        <w:pStyle w:val="Normal1"/>
        <w:spacing w:before="120" w:after="120"/>
        <w:rPr>
          <w:color w:val="000000" w:themeColor="text1"/>
          <w:lang w:val="en-GB"/>
        </w:rPr>
      </w:pPr>
      <w:r w:rsidRPr="00CA5922">
        <w:rPr>
          <w:color w:val="000000" w:themeColor="text1"/>
        </w:rPr>
        <w:t xml:space="preserve">Using data trends to refine protocols helps embed continuous improvement. For example, if alarm response times improve by 25%, the hospital could expand simulation-based escalation training. Trusts like Mid Staffordshire demonstrated that sustaining acceleration over multiple cycles reduced critical incident rates by </w:t>
      </w:r>
      <w:r w:rsidRPr="00CA5922">
        <w:rPr>
          <w:b/>
          <w:bCs/>
          <w:color w:val="000000" w:themeColor="text1"/>
        </w:rPr>
        <w:t>40%</w:t>
      </w:r>
      <w:r w:rsidR="001B5527" w:rsidRPr="00087BB0">
        <w:rPr>
          <w:color w:val="000000" w:themeColor="text1"/>
          <w:lang w:val="en-GB"/>
        </w:rPr>
        <w:t>.</w:t>
      </w:r>
    </w:p>
    <w:p w14:paraId="555DB3A8" w14:textId="77777777" w:rsidR="004C6993" w:rsidRPr="00087BB0" w:rsidRDefault="001B5527" w:rsidP="008F2C45">
      <w:pPr>
        <w:pStyle w:val="Normal1"/>
        <w:spacing w:before="120" w:after="120"/>
        <w:rPr>
          <w:b/>
          <w:bCs/>
          <w:i/>
          <w:iCs/>
          <w:color w:val="000000" w:themeColor="text1"/>
          <w:lang w:val="en-GB"/>
        </w:rPr>
      </w:pPr>
      <w:r w:rsidRPr="00087BB0">
        <w:rPr>
          <w:b/>
          <w:bCs/>
          <w:i/>
          <w:iCs/>
          <w:color w:val="000000" w:themeColor="text1"/>
          <w:lang w:val="en-GB"/>
        </w:rPr>
        <w:t>8. Including the modifications within the Culture</w:t>
      </w:r>
    </w:p>
    <w:p w14:paraId="06C21F2F" w14:textId="77777777" w:rsidR="004C6993" w:rsidRPr="00087BB0" w:rsidRDefault="001B5527" w:rsidP="008F2C45">
      <w:pPr>
        <w:pStyle w:val="Normal1"/>
        <w:spacing w:before="120" w:after="120"/>
        <w:rPr>
          <w:color w:val="000000" w:themeColor="text1"/>
          <w:lang w:val="en-GB"/>
        </w:rPr>
      </w:pPr>
      <w:r w:rsidRPr="00087BB0">
        <w:rPr>
          <w:color w:val="000000" w:themeColor="text1"/>
          <w:lang w:val="en-GB"/>
        </w:rPr>
        <w:t>The model proposed by Kott</w:t>
      </w:r>
      <w:r w:rsidR="00722BAA" w:rsidRPr="00087BB0">
        <w:rPr>
          <w:color w:val="000000" w:themeColor="text1"/>
          <w:lang w:val="en-GB"/>
        </w:rPr>
        <w:t>l</w:t>
      </w:r>
      <w:r w:rsidRPr="00087BB0">
        <w:rPr>
          <w:color w:val="000000" w:themeColor="text1"/>
          <w:lang w:val="en-GB"/>
        </w:rPr>
        <w:t>er will help the NHS Trusts transition to a proactive approach to maintaining quality control over ensuring safer results among the most vulnerable patients by enabling them to operate on a more reactive crisis management approach.</w:t>
      </w:r>
    </w:p>
    <w:p w14:paraId="60330ED0" w14:textId="77777777" w:rsidR="004C6993" w:rsidRPr="00087BB0" w:rsidRDefault="001B5527" w:rsidP="008F2C45">
      <w:pPr>
        <w:pStyle w:val="Normal1"/>
        <w:spacing w:before="120" w:after="120"/>
        <w:rPr>
          <w:color w:val="000000" w:themeColor="text1"/>
          <w:lang w:val="en-GB"/>
        </w:rPr>
      </w:pPr>
      <w:r w:rsidRPr="00087BB0">
        <w:rPr>
          <w:color w:val="000000" w:themeColor="text1"/>
          <w:lang w:val="en-GB"/>
        </w:rPr>
        <w:t>For this case, the application of Kurt Lewin’s 3-step model would show only linear transitions and fail to understand cultural depth with limited stakeholder mapping (Smith et al., 2022).  Conversely, this 8-step model of Kott</w:t>
      </w:r>
      <w:r w:rsidR="00722BAA" w:rsidRPr="00087BB0">
        <w:rPr>
          <w:color w:val="000000" w:themeColor="text1"/>
          <w:lang w:val="en-GB"/>
        </w:rPr>
        <w:t>l</w:t>
      </w:r>
      <w:r w:rsidRPr="00087BB0">
        <w:rPr>
          <w:color w:val="000000" w:themeColor="text1"/>
          <w:lang w:val="en-GB"/>
        </w:rPr>
        <w:t xml:space="preserve">er emphasises leadership addressing governance and multi-layered organisational reformation. </w:t>
      </w:r>
    </w:p>
    <w:p w14:paraId="21CC1902" w14:textId="77777777" w:rsidR="004C6993" w:rsidRPr="00087BB0" w:rsidRDefault="001B5527" w:rsidP="008F2C45">
      <w:pPr>
        <w:pStyle w:val="Heading1"/>
        <w:spacing w:before="120" w:after="120"/>
        <w:rPr>
          <w:color w:val="000000" w:themeColor="text1"/>
          <w:lang w:val="en-GB"/>
        </w:rPr>
      </w:pPr>
      <w:bookmarkStart w:id="12" w:name="_saldmegpjl4m" w:colFirst="0" w:colLast="0"/>
      <w:bookmarkStart w:id="13" w:name="_Toc213766213"/>
      <w:bookmarkEnd w:id="12"/>
      <w:r w:rsidRPr="00087BB0">
        <w:rPr>
          <w:color w:val="000000" w:themeColor="text1"/>
          <w:lang w:val="en-GB"/>
        </w:rPr>
        <w:lastRenderedPageBreak/>
        <w:t>3. Recommendations</w:t>
      </w:r>
      <w:bookmarkEnd w:id="13"/>
    </w:p>
    <w:p w14:paraId="2DE8143B" w14:textId="77777777" w:rsidR="004C6993" w:rsidRDefault="001B5527" w:rsidP="008F2C45">
      <w:pPr>
        <w:pStyle w:val="Heading2"/>
        <w:spacing w:before="120" w:after="120"/>
        <w:rPr>
          <w:color w:val="000000" w:themeColor="text1"/>
          <w:lang w:val="en-GB"/>
        </w:rPr>
      </w:pPr>
      <w:bookmarkStart w:id="14" w:name="_4xdatdna85j7" w:colFirst="0" w:colLast="0"/>
      <w:bookmarkStart w:id="15" w:name="_Toc213766214"/>
      <w:bookmarkEnd w:id="14"/>
      <w:r w:rsidRPr="00087BB0">
        <w:rPr>
          <w:color w:val="000000" w:themeColor="text1"/>
          <w:lang w:val="en-GB"/>
        </w:rPr>
        <w:t>3.1 Benchmark Table</w:t>
      </w:r>
      <w:bookmarkEnd w:id="15"/>
    </w:p>
    <w:tbl>
      <w:tblPr>
        <w:tblStyle w:val="TableGrid"/>
        <w:tblW w:w="0" w:type="auto"/>
        <w:tblLook w:val="04A0" w:firstRow="1" w:lastRow="0" w:firstColumn="1" w:lastColumn="0" w:noHBand="0" w:noVBand="1"/>
      </w:tblPr>
      <w:tblGrid>
        <w:gridCol w:w="4015"/>
        <w:gridCol w:w="1649"/>
        <w:gridCol w:w="1551"/>
        <w:gridCol w:w="2361"/>
      </w:tblGrid>
      <w:tr w:rsidR="00AF57DF" w:rsidRPr="00AF57DF" w14:paraId="1B2915EC" w14:textId="77777777" w:rsidTr="00AF57DF">
        <w:tc>
          <w:tcPr>
            <w:tcW w:w="0" w:type="auto"/>
            <w:hideMark/>
          </w:tcPr>
          <w:p w14:paraId="3B4FA3C6" w14:textId="77777777" w:rsidR="00AF57DF" w:rsidRPr="00AF57DF" w:rsidRDefault="00AF57DF" w:rsidP="00AF57DF">
            <w:pPr>
              <w:pStyle w:val="Normal1"/>
              <w:rPr>
                <w:b/>
                <w:bCs/>
                <w:lang w:val="en-IN"/>
              </w:rPr>
            </w:pPr>
            <w:r w:rsidRPr="00AF57DF">
              <w:rPr>
                <w:b/>
                <w:bCs/>
                <w:lang w:val="en-IN"/>
              </w:rPr>
              <w:t>Indicator</w:t>
            </w:r>
          </w:p>
        </w:tc>
        <w:tc>
          <w:tcPr>
            <w:tcW w:w="0" w:type="auto"/>
            <w:hideMark/>
          </w:tcPr>
          <w:p w14:paraId="794AC981" w14:textId="77777777" w:rsidR="00AF57DF" w:rsidRPr="00AF57DF" w:rsidRDefault="00AF57DF" w:rsidP="00AF57DF">
            <w:pPr>
              <w:pStyle w:val="Normal1"/>
              <w:spacing w:line="360" w:lineRule="auto"/>
              <w:rPr>
                <w:b/>
                <w:bCs/>
                <w:lang w:val="en-IN"/>
              </w:rPr>
            </w:pPr>
            <w:r w:rsidRPr="00AF57DF">
              <w:rPr>
                <w:b/>
                <w:bCs/>
                <w:lang w:val="en-IN"/>
              </w:rPr>
              <w:t>National Standard</w:t>
            </w:r>
          </w:p>
        </w:tc>
        <w:tc>
          <w:tcPr>
            <w:tcW w:w="0" w:type="auto"/>
            <w:hideMark/>
          </w:tcPr>
          <w:p w14:paraId="45214D41" w14:textId="77777777" w:rsidR="00AF57DF" w:rsidRPr="00AF57DF" w:rsidRDefault="00AF57DF" w:rsidP="00AF57DF">
            <w:pPr>
              <w:pStyle w:val="Normal1"/>
              <w:spacing w:line="360" w:lineRule="auto"/>
              <w:rPr>
                <w:b/>
                <w:bCs/>
                <w:lang w:val="en-IN"/>
              </w:rPr>
            </w:pPr>
            <w:r w:rsidRPr="00AF57DF">
              <w:rPr>
                <w:b/>
                <w:bCs/>
                <w:lang w:val="en-IN"/>
              </w:rPr>
              <w:t>Hospital (Before)</w:t>
            </w:r>
          </w:p>
        </w:tc>
        <w:tc>
          <w:tcPr>
            <w:tcW w:w="0" w:type="auto"/>
            <w:hideMark/>
          </w:tcPr>
          <w:p w14:paraId="299D85F7" w14:textId="77777777" w:rsidR="00AF57DF" w:rsidRPr="00AF57DF" w:rsidRDefault="00AF57DF" w:rsidP="00AF57DF">
            <w:pPr>
              <w:pStyle w:val="Normal1"/>
              <w:spacing w:line="360" w:lineRule="auto"/>
              <w:rPr>
                <w:b/>
                <w:bCs/>
                <w:lang w:val="en-IN"/>
              </w:rPr>
            </w:pPr>
            <w:r w:rsidRPr="00AF57DF">
              <w:rPr>
                <w:b/>
                <w:bCs/>
                <w:lang w:val="en-IN"/>
              </w:rPr>
              <w:t>Hospital (After Intervention)</w:t>
            </w:r>
          </w:p>
        </w:tc>
      </w:tr>
      <w:tr w:rsidR="00AF57DF" w:rsidRPr="00AF57DF" w14:paraId="6E822DD1" w14:textId="77777777" w:rsidTr="00AF57DF">
        <w:tc>
          <w:tcPr>
            <w:tcW w:w="0" w:type="auto"/>
            <w:hideMark/>
          </w:tcPr>
          <w:p w14:paraId="123AB343" w14:textId="77777777" w:rsidR="00AF57DF" w:rsidRPr="00AF57DF" w:rsidRDefault="00AF57DF" w:rsidP="00AF57DF">
            <w:pPr>
              <w:pStyle w:val="Normal1"/>
              <w:spacing w:line="360" w:lineRule="auto"/>
              <w:rPr>
                <w:lang w:val="en-IN"/>
              </w:rPr>
            </w:pPr>
            <w:r w:rsidRPr="00AF57DF">
              <w:rPr>
                <w:b/>
                <w:bCs/>
                <w:lang w:val="en-IN"/>
              </w:rPr>
              <w:t>Nurse-to-infant ratio in high-dependency neonatal care</w:t>
            </w:r>
          </w:p>
        </w:tc>
        <w:tc>
          <w:tcPr>
            <w:tcW w:w="0" w:type="auto"/>
            <w:hideMark/>
          </w:tcPr>
          <w:p w14:paraId="70FBD17A" w14:textId="77777777" w:rsidR="00AF57DF" w:rsidRPr="00AF57DF" w:rsidRDefault="00AF57DF" w:rsidP="00AF57DF">
            <w:pPr>
              <w:pStyle w:val="Normal1"/>
              <w:rPr>
                <w:lang w:val="en-IN"/>
              </w:rPr>
            </w:pPr>
            <w:r w:rsidRPr="00AF57DF">
              <w:rPr>
                <w:lang w:val="en-IN"/>
              </w:rPr>
              <w:t>1:2</w:t>
            </w:r>
          </w:p>
        </w:tc>
        <w:tc>
          <w:tcPr>
            <w:tcW w:w="0" w:type="auto"/>
            <w:hideMark/>
          </w:tcPr>
          <w:p w14:paraId="07A021BF" w14:textId="77777777" w:rsidR="00AF57DF" w:rsidRPr="00AF57DF" w:rsidRDefault="00AF57DF" w:rsidP="00AF57DF">
            <w:pPr>
              <w:pStyle w:val="Normal1"/>
              <w:rPr>
                <w:lang w:val="en-IN"/>
              </w:rPr>
            </w:pPr>
            <w:r w:rsidRPr="00AF57DF">
              <w:rPr>
                <w:lang w:val="en-IN"/>
              </w:rPr>
              <w:t>1:4</w:t>
            </w:r>
          </w:p>
        </w:tc>
        <w:tc>
          <w:tcPr>
            <w:tcW w:w="0" w:type="auto"/>
            <w:hideMark/>
          </w:tcPr>
          <w:p w14:paraId="253B4992" w14:textId="77777777" w:rsidR="00AF57DF" w:rsidRPr="00AF57DF" w:rsidRDefault="00AF57DF" w:rsidP="00AF57DF">
            <w:pPr>
              <w:pStyle w:val="Normal1"/>
              <w:rPr>
                <w:lang w:val="en-IN"/>
              </w:rPr>
            </w:pPr>
            <w:r w:rsidRPr="00AF57DF">
              <w:rPr>
                <w:b/>
                <w:bCs/>
                <w:lang w:val="en-IN"/>
              </w:rPr>
              <w:t>1:2</w:t>
            </w:r>
          </w:p>
        </w:tc>
      </w:tr>
      <w:tr w:rsidR="00AF57DF" w:rsidRPr="00AF57DF" w14:paraId="39CFB385" w14:textId="77777777" w:rsidTr="00AF57DF">
        <w:tc>
          <w:tcPr>
            <w:tcW w:w="0" w:type="auto"/>
            <w:hideMark/>
          </w:tcPr>
          <w:p w14:paraId="1324AB95" w14:textId="77777777" w:rsidR="00AF57DF" w:rsidRPr="00AF57DF" w:rsidRDefault="00AF57DF" w:rsidP="00AF57DF">
            <w:pPr>
              <w:pStyle w:val="Normal1"/>
              <w:rPr>
                <w:lang w:val="en-IN"/>
              </w:rPr>
            </w:pPr>
            <w:r w:rsidRPr="00AF57DF">
              <w:rPr>
                <w:b/>
                <w:bCs/>
                <w:lang w:val="en-IN"/>
              </w:rPr>
              <w:t>% of neonatal staff trained in safeguarding &amp; escalation</w:t>
            </w:r>
          </w:p>
        </w:tc>
        <w:tc>
          <w:tcPr>
            <w:tcW w:w="0" w:type="auto"/>
            <w:hideMark/>
          </w:tcPr>
          <w:p w14:paraId="00D721F7" w14:textId="77777777" w:rsidR="00AF57DF" w:rsidRPr="00AF57DF" w:rsidRDefault="00AF57DF" w:rsidP="00AF57DF">
            <w:pPr>
              <w:pStyle w:val="Normal1"/>
              <w:rPr>
                <w:lang w:val="en-IN"/>
              </w:rPr>
            </w:pPr>
            <w:r w:rsidRPr="00AF57DF">
              <w:rPr>
                <w:lang w:val="en-IN"/>
              </w:rPr>
              <w:t>100%</w:t>
            </w:r>
          </w:p>
        </w:tc>
        <w:tc>
          <w:tcPr>
            <w:tcW w:w="0" w:type="auto"/>
            <w:hideMark/>
          </w:tcPr>
          <w:p w14:paraId="583EA1FF" w14:textId="77777777" w:rsidR="00AF57DF" w:rsidRPr="00AF57DF" w:rsidRDefault="00AF57DF" w:rsidP="00AF57DF">
            <w:pPr>
              <w:pStyle w:val="Normal1"/>
              <w:rPr>
                <w:lang w:val="en-IN"/>
              </w:rPr>
            </w:pPr>
            <w:r w:rsidRPr="00AF57DF">
              <w:rPr>
                <w:lang w:val="en-IN"/>
              </w:rPr>
              <w:t>70%</w:t>
            </w:r>
          </w:p>
        </w:tc>
        <w:tc>
          <w:tcPr>
            <w:tcW w:w="0" w:type="auto"/>
            <w:hideMark/>
          </w:tcPr>
          <w:p w14:paraId="75D9A65A" w14:textId="77777777" w:rsidR="00AF57DF" w:rsidRPr="00AF57DF" w:rsidRDefault="00AF57DF" w:rsidP="00AF57DF">
            <w:pPr>
              <w:pStyle w:val="Normal1"/>
              <w:rPr>
                <w:lang w:val="en-IN"/>
              </w:rPr>
            </w:pPr>
            <w:r w:rsidRPr="00AF57DF">
              <w:rPr>
                <w:b/>
                <w:bCs/>
                <w:lang w:val="en-IN"/>
              </w:rPr>
              <w:t>97%</w:t>
            </w:r>
          </w:p>
        </w:tc>
      </w:tr>
      <w:tr w:rsidR="00AF57DF" w:rsidRPr="00AF57DF" w14:paraId="709BD446" w14:textId="77777777" w:rsidTr="00AF57DF">
        <w:tc>
          <w:tcPr>
            <w:tcW w:w="0" w:type="auto"/>
            <w:hideMark/>
          </w:tcPr>
          <w:p w14:paraId="7026D3A6" w14:textId="77777777" w:rsidR="00AF57DF" w:rsidRPr="00AF57DF" w:rsidRDefault="00AF57DF" w:rsidP="00AF57DF">
            <w:pPr>
              <w:pStyle w:val="Normal1"/>
              <w:rPr>
                <w:lang w:val="en-IN"/>
              </w:rPr>
            </w:pPr>
            <w:r w:rsidRPr="00AF57DF">
              <w:rPr>
                <w:b/>
                <w:bCs/>
                <w:lang w:val="en-IN"/>
              </w:rPr>
              <w:t>% of neonatal early warning scores completed correctly</w:t>
            </w:r>
          </w:p>
        </w:tc>
        <w:tc>
          <w:tcPr>
            <w:tcW w:w="0" w:type="auto"/>
            <w:hideMark/>
          </w:tcPr>
          <w:p w14:paraId="1C927B72" w14:textId="77777777" w:rsidR="00AF57DF" w:rsidRPr="00AF57DF" w:rsidRDefault="00AF57DF" w:rsidP="00AF57DF">
            <w:pPr>
              <w:pStyle w:val="Normal1"/>
              <w:rPr>
                <w:lang w:val="en-IN"/>
              </w:rPr>
            </w:pPr>
            <w:r w:rsidRPr="00AF57DF">
              <w:rPr>
                <w:lang w:val="en-IN"/>
              </w:rPr>
              <w:t>95%</w:t>
            </w:r>
          </w:p>
        </w:tc>
        <w:tc>
          <w:tcPr>
            <w:tcW w:w="0" w:type="auto"/>
            <w:hideMark/>
          </w:tcPr>
          <w:p w14:paraId="3A968CDF" w14:textId="77777777" w:rsidR="00AF57DF" w:rsidRPr="00AF57DF" w:rsidRDefault="00AF57DF" w:rsidP="00AF57DF">
            <w:pPr>
              <w:pStyle w:val="Normal1"/>
              <w:rPr>
                <w:lang w:val="en-IN"/>
              </w:rPr>
            </w:pPr>
            <w:r w:rsidRPr="00AF57DF">
              <w:rPr>
                <w:lang w:val="en-IN"/>
              </w:rPr>
              <w:t>60%</w:t>
            </w:r>
          </w:p>
        </w:tc>
        <w:tc>
          <w:tcPr>
            <w:tcW w:w="0" w:type="auto"/>
            <w:hideMark/>
          </w:tcPr>
          <w:p w14:paraId="3CA7134A" w14:textId="77777777" w:rsidR="00AF57DF" w:rsidRPr="00AF57DF" w:rsidRDefault="00AF57DF" w:rsidP="00AF57DF">
            <w:pPr>
              <w:pStyle w:val="Normal1"/>
              <w:rPr>
                <w:lang w:val="en-IN"/>
              </w:rPr>
            </w:pPr>
            <w:r w:rsidRPr="00AF57DF">
              <w:rPr>
                <w:b/>
                <w:bCs/>
                <w:lang w:val="en-IN"/>
              </w:rPr>
              <w:t>91%</w:t>
            </w:r>
          </w:p>
        </w:tc>
      </w:tr>
      <w:tr w:rsidR="00AF57DF" w:rsidRPr="00AF57DF" w14:paraId="266C8194" w14:textId="77777777" w:rsidTr="00AF57DF">
        <w:tc>
          <w:tcPr>
            <w:tcW w:w="0" w:type="auto"/>
            <w:hideMark/>
          </w:tcPr>
          <w:p w14:paraId="252B6BD4" w14:textId="77777777" w:rsidR="00AF57DF" w:rsidRPr="00AF57DF" w:rsidRDefault="00AF57DF" w:rsidP="00AF57DF">
            <w:pPr>
              <w:pStyle w:val="Normal1"/>
              <w:rPr>
                <w:lang w:val="en-IN"/>
              </w:rPr>
            </w:pPr>
            <w:r w:rsidRPr="00AF57DF">
              <w:rPr>
                <w:b/>
                <w:bCs/>
                <w:lang w:val="en-IN"/>
              </w:rPr>
              <w:t>Serious incident investigations completed within 30 days</w:t>
            </w:r>
          </w:p>
        </w:tc>
        <w:tc>
          <w:tcPr>
            <w:tcW w:w="0" w:type="auto"/>
            <w:hideMark/>
          </w:tcPr>
          <w:p w14:paraId="0DD47B29" w14:textId="505CE9F0" w:rsidR="00AF57DF" w:rsidRPr="00AF57DF" w:rsidRDefault="00AF57DF" w:rsidP="00AF57DF">
            <w:pPr>
              <w:pStyle w:val="Normal1"/>
              <w:rPr>
                <w:lang w:val="en-IN"/>
              </w:rPr>
            </w:pPr>
            <w:r w:rsidRPr="00AF57DF">
              <w:rPr>
                <w:lang w:val="en-IN"/>
              </w:rPr>
              <w:t>≥</w:t>
            </w:r>
            <w:r>
              <w:rPr>
                <w:lang w:val="en-IN"/>
              </w:rPr>
              <w:t xml:space="preserve"> </w:t>
            </w:r>
            <w:r w:rsidRPr="00AF57DF">
              <w:rPr>
                <w:lang w:val="en-IN"/>
              </w:rPr>
              <w:t>95%</w:t>
            </w:r>
          </w:p>
        </w:tc>
        <w:tc>
          <w:tcPr>
            <w:tcW w:w="0" w:type="auto"/>
            <w:hideMark/>
          </w:tcPr>
          <w:p w14:paraId="2B8590E3" w14:textId="77777777" w:rsidR="00AF57DF" w:rsidRPr="00AF57DF" w:rsidRDefault="00AF57DF" w:rsidP="00AF57DF">
            <w:pPr>
              <w:pStyle w:val="Normal1"/>
              <w:rPr>
                <w:lang w:val="en-IN"/>
              </w:rPr>
            </w:pPr>
            <w:r w:rsidRPr="00AF57DF">
              <w:rPr>
                <w:lang w:val="en-IN"/>
              </w:rPr>
              <w:t>40%</w:t>
            </w:r>
          </w:p>
        </w:tc>
        <w:tc>
          <w:tcPr>
            <w:tcW w:w="0" w:type="auto"/>
            <w:hideMark/>
          </w:tcPr>
          <w:p w14:paraId="3E1428C2" w14:textId="77777777" w:rsidR="00AF57DF" w:rsidRPr="00AF57DF" w:rsidRDefault="00AF57DF" w:rsidP="00AF57DF">
            <w:pPr>
              <w:pStyle w:val="Normal1"/>
              <w:rPr>
                <w:lang w:val="en-IN"/>
              </w:rPr>
            </w:pPr>
            <w:r w:rsidRPr="00AF57DF">
              <w:rPr>
                <w:b/>
                <w:bCs/>
                <w:lang w:val="en-IN"/>
              </w:rPr>
              <w:t>92%</w:t>
            </w:r>
          </w:p>
        </w:tc>
      </w:tr>
      <w:tr w:rsidR="00AF57DF" w:rsidRPr="00AF57DF" w14:paraId="43F1626F" w14:textId="77777777" w:rsidTr="00AF57DF">
        <w:tc>
          <w:tcPr>
            <w:tcW w:w="0" w:type="auto"/>
            <w:hideMark/>
          </w:tcPr>
          <w:p w14:paraId="2BB3E235" w14:textId="77777777" w:rsidR="00AF57DF" w:rsidRPr="00AF57DF" w:rsidRDefault="00AF57DF" w:rsidP="00AF57DF">
            <w:pPr>
              <w:pStyle w:val="Normal1"/>
              <w:rPr>
                <w:lang w:val="en-IN"/>
              </w:rPr>
            </w:pPr>
            <w:r w:rsidRPr="00AF57DF">
              <w:rPr>
                <w:b/>
                <w:bCs/>
                <w:lang w:val="en-IN"/>
              </w:rPr>
              <w:t>Serious safety incidents per 1,000 neonatal admissions</w:t>
            </w:r>
          </w:p>
        </w:tc>
        <w:tc>
          <w:tcPr>
            <w:tcW w:w="0" w:type="auto"/>
            <w:hideMark/>
          </w:tcPr>
          <w:p w14:paraId="2EF9E41F" w14:textId="77777777" w:rsidR="00AF57DF" w:rsidRPr="00AF57DF" w:rsidRDefault="00AF57DF" w:rsidP="00AF57DF">
            <w:pPr>
              <w:pStyle w:val="Normal1"/>
              <w:rPr>
                <w:lang w:val="en-IN"/>
              </w:rPr>
            </w:pPr>
            <w:r w:rsidRPr="00AF57DF">
              <w:rPr>
                <w:lang w:val="en-IN"/>
              </w:rPr>
              <w:t>&lt;2</w:t>
            </w:r>
          </w:p>
        </w:tc>
        <w:tc>
          <w:tcPr>
            <w:tcW w:w="0" w:type="auto"/>
            <w:hideMark/>
          </w:tcPr>
          <w:p w14:paraId="43B13D12" w14:textId="77777777" w:rsidR="00AF57DF" w:rsidRPr="00AF57DF" w:rsidRDefault="00AF57DF" w:rsidP="00AF57DF">
            <w:pPr>
              <w:pStyle w:val="Normal1"/>
              <w:rPr>
                <w:lang w:val="en-IN"/>
              </w:rPr>
            </w:pPr>
            <w:r w:rsidRPr="00AF57DF">
              <w:rPr>
                <w:lang w:val="en-IN"/>
              </w:rPr>
              <w:t>5</w:t>
            </w:r>
          </w:p>
        </w:tc>
        <w:tc>
          <w:tcPr>
            <w:tcW w:w="0" w:type="auto"/>
            <w:hideMark/>
          </w:tcPr>
          <w:p w14:paraId="0180C425" w14:textId="77777777" w:rsidR="00AF57DF" w:rsidRPr="00AF57DF" w:rsidRDefault="00AF57DF" w:rsidP="00AF57DF">
            <w:pPr>
              <w:pStyle w:val="Normal1"/>
              <w:rPr>
                <w:lang w:val="en-IN"/>
              </w:rPr>
            </w:pPr>
            <w:r w:rsidRPr="00AF57DF">
              <w:rPr>
                <w:b/>
                <w:bCs/>
                <w:lang w:val="en-IN"/>
              </w:rPr>
              <w:t>1.6</w:t>
            </w:r>
          </w:p>
        </w:tc>
      </w:tr>
      <w:tr w:rsidR="00AF57DF" w:rsidRPr="00AF57DF" w14:paraId="1BBC69CF" w14:textId="77777777" w:rsidTr="00AF57DF">
        <w:tc>
          <w:tcPr>
            <w:tcW w:w="0" w:type="auto"/>
            <w:hideMark/>
          </w:tcPr>
          <w:p w14:paraId="1E5A0F80" w14:textId="77777777" w:rsidR="00AF57DF" w:rsidRPr="00AF57DF" w:rsidRDefault="00AF57DF" w:rsidP="00AF57DF">
            <w:pPr>
              <w:pStyle w:val="Normal1"/>
              <w:rPr>
                <w:lang w:val="en-IN"/>
              </w:rPr>
            </w:pPr>
            <w:r w:rsidRPr="00AF57DF">
              <w:rPr>
                <w:b/>
                <w:bCs/>
                <w:lang w:val="en-IN"/>
              </w:rPr>
              <w:t>% of staff reporting they feel safe to speak up</w:t>
            </w:r>
          </w:p>
        </w:tc>
        <w:tc>
          <w:tcPr>
            <w:tcW w:w="0" w:type="auto"/>
            <w:hideMark/>
          </w:tcPr>
          <w:p w14:paraId="001151E8" w14:textId="17877894" w:rsidR="00AF57DF" w:rsidRPr="00AF57DF" w:rsidRDefault="00AF57DF" w:rsidP="00AF57DF">
            <w:pPr>
              <w:pStyle w:val="Normal1"/>
              <w:rPr>
                <w:lang w:val="en-IN"/>
              </w:rPr>
            </w:pPr>
            <w:r w:rsidRPr="00AF57DF">
              <w:rPr>
                <w:lang w:val="en-IN"/>
              </w:rPr>
              <w:t>≥</w:t>
            </w:r>
            <w:r>
              <w:rPr>
                <w:lang w:val="en-IN"/>
              </w:rPr>
              <w:t xml:space="preserve"> </w:t>
            </w:r>
            <w:r w:rsidRPr="00AF57DF">
              <w:rPr>
                <w:lang w:val="en-IN"/>
              </w:rPr>
              <w:t>80%</w:t>
            </w:r>
          </w:p>
        </w:tc>
        <w:tc>
          <w:tcPr>
            <w:tcW w:w="0" w:type="auto"/>
            <w:hideMark/>
          </w:tcPr>
          <w:p w14:paraId="337FF1CC" w14:textId="77777777" w:rsidR="00AF57DF" w:rsidRPr="00AF57DF" w:rsidRDefault="00AF57DF" w:rsidP="00AF57DF">
            <w:pPr>
              <w:pStyle w:val="Normal1"/>
              <w:rPr>
                <w:lang w:val="en-IN"/>
              </w:rPr>
            </w:pPr>
            <w:r w:rsidRPr="00AF57DF">
              <w:rPr>
                <w:lang w:val="en-IN"/>
              </w:rPr>
              <w:t>35%</w:t>
            </w:r>
          </w:p>
        </w:tc>
        <w:tc>
          <w:tcPr>
            <w:tcW w:w="0" w:type="auto"/>
            <w:hideMark/>
          </w:tcPr>
          <w:p w14:paraId="4E6BE1A6" w14:textId="77777777" w:rsidR="00AF57DF" w:rsidRPr="00AF57DF" w:rsidRDefault="00AF57DF" w:rsidP="00AF57DF">
            <w:pPr>
              <w:pStyle w:val="Normal1"/>
              <w:rPr>
                <w:lang w:val="en-IN"/>
              </w:rPr>
            </w:pPr>
            <w:r w:rsidRPr="00AF57DF">
              <w:rPr>
                <w:b/>
                <w:bCs/>
                <w:lang w:val="en-IN"/>
              </w:rPr>
              <w:t>78%</w:t>
            </w:r>
          </w:p>
        </w:tc>
      </w:tr>
    </w:tbl>
    <w:p w14:paraId="32FE2C76" w14:textId="77777777" w:rsidR="00AF57DF" w:rsidRPr="00AF57DF" w:rsidRDefault="00AF57DF" w:rsidP="00AF57DF">
      <w:pPr>
        <w:pStyle w:val="Normal1"/>
        <w:rPr>
          <w:lang w:val="en-GB"/>
        </w:rPr>
      </w:pPr>
    </w:p>
    <w:p w14:paraId="541A7200" w14:textId="77777777" w:rsidR="004C6993" w:rsidRPr="00087BB0" w:rsidRDefault="001B5527" w:rsidP="008F2C45">
      <w:pPr>
        <w:pStyle w:val="Normal1"/>
        <w:spacing w:before="120" w:after="120"/>
        <w:jc w:val="center"/>
        <w:rPr>
          <w:color w:val="000000" w:themeColor="text1"/>
          <w:lang w:val="en-GB"/>
        </w:rPr>
      </w:pPr>
      <w:r w:rsidRPr="00087BB0">
        <w:rPr>
          <w:b/>
          <w:bCs/>
          <w:color w:val="000000" w:themeColor="text1"/>
          <w:lang w:val="en-GB"/>
        </w:rPr>
        <w:t>Table 2: Benchmarking indicator table</w:t>
      </w:r>
    </w:p>
    <w:p w14:paraId="15944A10" w14:textId="77777777" w:rsidR="004C6993" w:rsidRPr="00087BB0" w:rsidRDefault="001B5527" w:rsidP="008F2C45">
      <w:pPr>
        <w:pStyle w:val="Normal1"/>
        <w:spacing w:before="120" w:after="120"/>
        <w:jc w:val="center"/>
        <w:rPr>
          <w:color w:val="000000" w:themeColor="text1"/>
          <w:lang w:val="en-GB"/>
        </w:rPr>
      </w:pPr>
      <w:r w:rsidRPr="00087BB0">
        <w:rPr>
          <w:color w:val="000000" w:themeColor="text1"/>
          <w:lang w:val="en-GB"/>
        </w:rPr>
        <w:t xml:space="preserve">(Source: Self-developed)  </w:t>
      </w:r>
    </w:p>
    <w:p w14:paraId="74E9F60A" w14:textId="77777777" w:rsidR="004C6993" w:rsidRPr="00087BB0" w:rsidRDefault="001B5527" w:rsidP="008F2C45">
      <w:pPr>
        <w:pStyle w:val="Heading2"/>
        <w:spacing w:before="120" w:after="120"/>
        <w:rPr>
          <w:color w:val="000000" w:themeColor="text1"/>
          <w:lang w:val="en-GB"/>
        </w:rPr>
      </w:pPr>
      <w:bookmarkStart w:id="16" w:name="_45fq3herz7lg" w:colFirst="0" w:colLast="0"/>
      <w:bookmarkStart w:id="17" w:name="_Toc213766215"/>
      <w:bookmarkEnd w:id="16"/>
      <w:r w:rsidRPr="00087BB0">
        <w:rPr>
          <w:color w:val="000000" w:themeColor="text1"/>
          <w:lang w:val="en-GB"/>
        </w:rPr>
        <w:t>3.2 Application of the PDSA (Plan-Do-Study-Act) cycle</w:t>
      </w:r>
      <w:bookmarkEnd w:id="17"/>
    </w:p>
    <w:p w14:paraId="4E90E09B" w14:textId="77777777" w:rsidR="004C6993" w:rsidRPr="00087BB0" w:rsidRDefault="001B5527" w:rsidP="008F2C45">
      <w:pPr>
        <w:pStyle w:val="Normal1"/>
        <w:spacing w:before="120" w:after="120"/>
        <w:rPr>
          <w:color w:val="000000" w:themeColor="text1"/>
          <w:sz w:val="24"/>
          <w:szCs w:val="24"/>
          <w:lang w:val="en-GB"/>
        </w:rPr>
      </w:pPr>
      <w:r w:rsidRPr="00087BB0">
        <w:rPr>
          <w:color w:val="000000" w:themeColor="text1"/>
          <w:lang w:val="en-GB"/>
        </w:rPr>
        <w:t xml:space="preserve">The PDSA cycle is a four-step model offering continuous improvement strategies to test changes by defining goals and measuring success by comparing with expected outcomes (Knudsen et al., 2019). In order to improve the quality assurance and service systems with the reformation of NHS principles, the recommended strategies can be implemented in the following ways using the PDSA cycle: </w:t>
      </w:r>
    </w:p>
    <w:p w14:paraId="270587A1" w14:textId="77777777" w:rsidR="004C6993" w:rsidRPr="00087BB0" w:rsidRDefault="001B5527" w:rsidP="008F2C45">
      <w:pPr>
        <w:pStyle w:val="Normal1"/>
        <w:spacing w:before="120" w:after="120"/>
        <w:rPr>
          <w:b/>
          <w:bCs/>
          <w:i/>
          <w:iCs/>
          <w:color w:val="000000" w:themeColor="text1"/>
          <w:lang w:val="en-GB"/>
        </w:rPr>
      </w:pPr>
      <w:r w:rsidRPr="00087BB0">
        <w:rPr>
          <w:b/>
          <w:bCs/>
          <w:i/>
          <w:iCs/>
          <w:color w:val="000000" w:themeColor="text1"/>
          <w:lang w:val="en-GB"/>
        </w:rPr>
        <w:t xml:space="preserve">Plan </w:t>
      </w:r>
    </w:p>
    <w:p w14:paraId="1A3105DB" w14:textId="77777777" w:rsidR="004C6993" w:rsidRPr="00087BB0" w:rsidRDefault="001B5527" w:rsidP="008F2C45">
      <w:pPr>
        <w:pStyle w:val="Normal1"/>
        <w:spacing w:before="120" w:after="120"/>
        <w:rPr>
          <w:color w:val="000000" w:themeColor="text1"/>
          <w:lang w:val="en-GB"/>
        </w:rPr>
      </w:pPr>
      <w:r w:rsidRPr="00087BB0">
        <w:rPr>
          <w:color w:val="000000" w:themeColor="text1"/>
          <w:lang w:val="en-GB"/>
        </w:rPr>
        <w:t xml:space="preserve">The planning phase will be aimed at finding out and ranking systemic weaknesses as noted in the </w:t>
      </w:r>
      <w:proofErr w:type="spellStart"/>
      <w:r w:rsidRPr="00087BB0">
        <w:rPr>
          <w:color w:val="000000" w:themeColor="text1"/>
          <w:lang w:val="en-GB"/>
        </w:rPr>
        <w:t>Letby</w:t>
      </w:r>
      <w:proofErr w:type="spellEnd"/>
      <w:r w:rsidRPr="00087BB0">
        <w:rPr>
          <w:color w:val="000000" w:themeColor="text1"/>
          <w:lang w:val="en-GB"/>
        </w:rPr>
        <w:t xml:space="preserve"> case, which includes the lack of clinical supervision, poor whistle-blowing mechanisms, and incident reporting. It aims at developing a powerful clinical governance system that will entail early escalation, multidisciplinary reviews, and transparency of adverse events management. The major planning activities can consist of the following: </w:t>
      </w:r>
    </w:p>
    <w:p w14:paraId="65BA5848" w14:textId="77777777" w:rsidR="004C6993" w:rsidRPr="00087BB0" w:rsidRDefault="001B5527" w:rsidP="008F2C45">
      <w:pPr>
        <w:pStyle w:val="Normal1"/>
        <w:numPr>
          <w:ilvl w:val="0"/>
          <w:numId w:val="2"/>
        </w:numPr>
        <w:spacing w:before="120" w:after="120"/>
        <w:rPr>
          <w:color w:val="000000" w:themeColor="text1"/>
          <w:lang w:val="en-GB"/>
        </w:rPr>
      </w:pPr>
      <w:r w:rsidRPr="00087BB0">
        <w:rPr>
          <w:color w:val="000000" w:themeColor="text1"/>
          <w:lang w:val="en-GB"/>
        </w:rPr>
        <w:t>Having a compulsory RCA (Root Cause Analysis) and external safety auditing of all unexpected neonatal deaths.</w:t>
      </w:r>
    </w:p>
    <w:p w14:paraId="38D9A510" w14:textId="77777777" w:rsidR="004C6993" w:rsidRPr="00087BB0" w:rsidRDefault="001B5527" w:rsidP="008F2C45">
      <w:pPr>
        <w:pStyle w:val="Normal1"/>
        <w:numPr>
          <w:ilvl w:val="0"/>
          <w:numId w:val="2"/>
        </w:numPr>
        <w:spacing w:before="120" w:after="120"/>
        <w:rPr>
          <w:color w:val="000000" w:themeColor="text1"/>
          <w:lang w:val="en-GB"/>
        </w:rPr>
      </w:pPr>
      <w:r w:rsidRPr="00087BB0">
        <w:rPr>
          <w:color w:val="000000" w:themeColor="text1"/>
          <w:lang w:val="en-GB"/>
        </w:rPr>
        <w:lastRenderedPageBreak/>
        <w:t>Planning for transparent communication to facilitate the reporting of concerns by the staff members anonymously.</w:t>
      </w:r>
    </w:p>
    <w:p w14:paraId="109E27AA" w14:textId="77777777" w:rsidR="004C6993" w:rsidRPr="00087BB0" w:rsidRDefault="001B5527" w:rsidP="008F2C45">
      <w:pPr>
        <w:pStyle w:val="Normal1"/>
        <w:numPr>
          <w:ilvl w:val="0"/>
          <w:numId w:val="2"/>
        </w:numPr>
        <w:spacing w:before="120" w:after="120"/>
        <w:rPr>
          <w:color w:val="000000" w:themeColor="text1"/>
          <w:lang w:val="en-GB"/>
        </w:rPr>
      </w:pPr>
      <w:r w:rsidRPr="00087BB0">
        <w:rPr>
          <w:color w:val="000000" w:themeColor="text1"/>
          <w:lang w:val="en-GB"/>
        </w:rPr>
        <w:t>Psychological safety and leadership training to be introduced to all neonatal and management teams.</w:t>
      </w:r>
    </w:p>
    <w:p w14:paraId="1E6457DC" w14:textId="77777777" w:rsidR="004C6993" w:rsidRPr="00087BB0" w:rsidRDefault="001B5527" w:rsidP="008F2C45">
      <w:pPr>
        <w:pStyle w:val="Normal1"/>
        <w:numPr>
          <w:ilvl w:val="0"/>
          <w:numId w:val="2"/>
        </w:numPr>
        <w:spacing w:before="120" w:after="120"/>
        <w:rPr>
          <w:color w:val="000000" w:themeColor="text1"/>
          <w:lang w:val="en-GB"/>
        </w:rPr>
      </w:pPr>
      <w:r w:rsidRPr="00087BB0">
        <w:rPr>
          <w:color w:val="000000" w:themeColor="text1"/>
          <w:lang w:val="en-GB"/>
        </w:rPr>
        <w:t>Specifying targets such as a 30 per cent reduction of delayed escalations in one year.</w:t>
      </w:r>
    </w:p>
    <w:p w14:paraId="0A8B681E" w14:textId="77777777" w:rsidR="004C6993" w:rsidRPr="00087BB0" w:rsidRDefault="001B5527" w:rsidP="008F2C45">
      <w:pPr>
        <w:pStyle w:val="Normal1"/>
        <w:spacing w:before="120" w:after="120"/>
        <w:jc w:val="center"/>
        <w:rPr>
          <w:color w:val="000000" w:themeColor="text1"/>
          <w:lang w:val="en-GB"/>
        </w:rPr>
      </w:pPr>
      <w:r w:rsidRPr="00087BB0">
        <w:rPr>
          <w:noProof/>
          <w:color w:val="000000" w:themeColor="text1"/>
        </w:rPr>
        <w:drawing>
          <wp:inline distT="114300" distB="114300" distL="114300" distR="114300" wp14:anchorId="01068082" wp14:editId="717CBAFD">
            <wp:extent cx="3614738" cy="3504287"/>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l="5762" r="6319"/>
                    <a:stretch>
                      <a:fillRect/>
                    </a:stretch>
                  </pic:blipFill>
                  <pic:spPr>
                    <a:xfrm>
                      <a:off x="0" y="0"/>
                      <a:ext cx="3614738" cy="3504287"/>
                    </a:xfrm>
                    <a:prstGeom prst="rect">
                      <a:avLst/>
                    </a:prstGeom>
                    <a:ln w="25400">
                      <a:solidFill>
                        <a:srgbClr val="000000"/>
                      </a:solidFill>
                      <a:prstDash val="solid"/>
                    </a:ln>
                  </pic:spPr>
                </pic:pic>
              </a:graphicData>
            </a:graphic>
          </wp:inline>
        </w:drawing>
      </w:r>
    </w:p>
    <w:p w14:paraId="21260E88" w14:textId="77777777" w:rsidR="004C6993" w:rsidRPr="00087BB0" w:rsidRDefault="001B5527" w:rsidP="008F2C45">
      <w:pPr>
        <w:pStyle w:val="Normal1"/>
        <w:spacing w:before="120" w:after="120"/>
        <w:jc w:val="center"/>
        <w:rPr>
          <w:b/>
          <w:bCs/>
          <w:color w:val="000000" w:themeColor="text1"/>
          <w:lang w:val="en-GB"/>
        </w:rPr>
      </w:pPr>
      <w:r w:rsidRPr="00087BB0">
        <w:rPr>
          <w:b/>
          <w:bCs/>
          <w:color w:val="000000" w:themeColor="text1"/>
          <w:lang w:val="en-GB"/>
        </w:rPr>
        <w:t>Figure 4: The PDSA (Plan-Do-Study-Act) cycle</w:t>
      </w:r>
    </w:p>
    <w:p w14:paraId="4C0843C2" w14:textId="77777777" w:rsidR="004C6993" w:rsidRPr="00087BB0" w:rsidRDefault="001B5527" w:rsidP="008F2C45">
      <w:pPr>
        <w:pStyle w:val="Normal1"/>
        <w:spacing w:before="120" w:after="120"/>
        <w:jc w:val="center"/>
        <w:rPr>
          <w:color w:val="000000" w:themeColor="text1"/>
          <w:lang w:val="en-GB"/>
        </w:rPr>
      </w:pPr>
      <w:r w:rsidRPr="00087BB0">
        <w:rPr>
          <w:color w:val="000000" w:themeColor="text1"/>
          <w:lang w:val="en-GB"/>
        </w:rPr>
        <w:t>(Source: Smartsheet, 2019)</w:t>
      </w:r>
    </w:p>
    <w:p w14:paraId="741C46D6" w14:textId="77777777" w:rsidR="004C6993" w:rsidRPr="00087BB0" w:rsidRDefault="001B5527" w:rsidP="008F2C45">
      <w:pPr>
        <w:pStyle w:val="Normal1"/>
        <w:spacing w:before="120" w:after="120"/>
        <w:rPr>
          <w:color w:val="000000" w:themeColor="text1"/>
          <w:lang w:val="en-GB"/>
        </w:rPr>
      </w:pPr>
      <w:r w:rsidRPr="00087BB0">
        <w:rPr>
          <w:b/>
          <w:bCs/>
          <w:i/>
          <w:iCs/>
          <w:color w:val="000000" w:themeColor="text1"/>
          <w:lang w:val="en-GB"/>
        </w:rPr>
        <w:t>Do</w:t>
      </w:r>
    </w:p>
    <w:p w14:paraId="7BD66604" w14:textId="77777777" w:rsidR="004C6993" w:rsidRPr="00087BB0" w:rsidRDefault="001B5527" w:rsidP="008F2C45">
      <w:pPr>
        <w:pStyle w:val="Normal1"/>
        <w:spacing w:before="120" w:after="120"/>
        <w:rPr>
          <w:color w:val="000000" w:themeColor="text1"/>
          <w:lang w:val="en-GB"/>
        </w:rPr>
      </w:pPr>
      <w:r w:rsidRPr="00087BB0">
        <w:rPr>
          <w:color w:val="000000" w:themeColor="text1"/>
          <w:lang w:val="en-GB"/>
        </w:rPr>
        <w:t>Pilot programs can be implemented at the chosen NHS Trusts at this stage. The neonatal personnel are systematically trained on safety escalation measures and online reporting facilities. Accountability can be strengthened through leadership workshops, and real-time monitoring systems are implemented by technology teams to identify deterioration in the patients. The data can be gathered every month to assess the adherence to the reporting standards and the staff engagement in safety programs.</w:t>
      </w:r>
    </w:p>
    <w:p w14:paraId="6B14A568" w14:textId="77777777" w:rsidR="004C6993" w:rsidRPr="00087BB0" w:rsidRDefault="001B5527" w:rsidP="008F2C45">
      <w:pPr>
        <w:pStyle w:val="Normal1"/>
        <w:spacing w:before="120" w:after="120"/>
        <w:rPr>
          <w:b/>
          <w:bCs/>
          <w:i/>
          <w:iCs/>
          <w:color w:val="000000" w:themeColor="text1"/>
          <w:lang w:val="en-GB"/>
        </w:rPr>
      </w:pPr>
      <w:r w:rsidRPr="00087BB0">
        <w:rPr>
          <w:b/>
          <w:bCs/>
          <w:i/>
          <w:iCs/>
          <w:color w:val="000000" w:themeColor="text1"/>
          <w:lang w:val="en-GB"/>
        </w:rPr>
        <w:t xml:space="preserve">Study </w:t>
      </w:r>
    </w:p>
    <w:p w14:paraId="121A6DA9" w14:textId="77777777" w:rsidR="004C6993" w:rsidRPr="00087BB0" w:rsidRDefault="001B5527" w:rsidP="008F2C45">
      <w:pPr>
        <w:pStyle w:val="Normal1"/>
        <w:spacing w:before="120" w:after="120"/>
        <w:rPr>
          <w:color w:val="000000" w:themeColor="text1"/>
          <w:lang w:val="en-GB"/>
        </w:rPr>
      </w:pPr>
      <w:r w:rsidRPr="00087BB0">
        <w:rPr>
          <w:color w:val="000000" w:themeColor="text1"/>
          <w:lang w:val="en-GB"/>
        </w:rPr>
        <w:lastRenderedPageBreak/>
        <w:t xml:space="preserve">As an evaluation of intervention effectiveness, performance data, feedback and incident outcomes are analysed. The measures can be performed through frequency of incident reporting, time-to-escalation, patient outcomes, and staff survey outcomes on safety culture to track the improvement. External audits by NHS PSIRF 2024 must be performed to check transparency and consistency. </w:t>
      </w:r>
    </w:p>
    <w:p w14:paraId="1AEDAF02" w14:textId="77777777" w:rsidR="004C6993" w:rsidRPr="00087BB0" w:rsidRDefault="001B5527" w:rsidP="008F2C45">
      <w:pPr>
        <w:pStyle w:val="Normal1"/>
        <w:spacing w:before="120" w:after="120"/>
        <w:rPr>
          <w:b/>
          <w:bCs/>
          <w:i/>
          <w:iCs/>
          <w:color w:val="000000" w:themeColor="text1"/>
          <w:lang w:val="en-GB"/>
        </w:rPr>
      </w:pPr>
      <w:r w:rsidRPr="00087BB0">
        <w:rPr>
          <w:b/>
          <w:bCs/>
          <w:i/>
          <w:iCs/>
          <w:color w:val="000000" w:themeColor="text1"/>
          <w:lang w:val="en-GB"/>
        </w:rPr>
        <w:t xml:space="preserve">Act </w:t>
      </w:r>
    </w:p>
    <w:p w14:paraId="2B5FA590" w14:textId="77777777" w:rsidR="004C6993" w:rsidRPr="00087BB0" w:rsidRDefault="001B5527" w:rsidP="008F2C45">
      <w:pPr>
        <w:pStyle w:val="Normal1"/>
        <w:spacing w:before="120" w:after="120"/>
        <w:rPr>
          <w:color w:val="000000" w:themeColor="text1"/>
          <w:lang w:val="en-GB"/>
        </w:rPr>
      </w:pPr>
      <w:r w:rsidRPr="00087BB0">
        <w:rPr>
          <w:color w:val="000000" w:themeColor="text1"/>
          <w:lang w:val="en-GB"/>
        </w:rPr>
        <w:t xml:space="preserve">Application of effective interventions like digital escalation systems and leadership safety programs is scaled in all the neonatal units. </w:t>
      </w:r>
      <w:r w:rsidR="00877B7E" w:rsidRPr="00087BB0">
        <w:rPr>
          <w:color w:val="000000" w:themeColor="text1"/>
        </w:rPr>
        <w:t xml:space="preserve">The learnt lessons would be used in the training programs and policy developing in the NHS which would ensure the sustainability and resilience of patient safety governance in the long term. </w:t>
      </w:r>
      <w:r w:rsidRPr="00087BB0">
        <w:rPr>
          <w:color w:val="000000" w:themeColor="text1"/>
          <w:lang w:val="en-GB"/>
        </w:rPr>
        <w:t xml:space="preserve">It has continuous improvement loops with quarterly quality assurance reviews and independent oversight boards. </w:t>
      </w:r>
    </w:p>
    <w:p w14:paraId="0F5F43E2" w14:textId="77777777" w:rsidR="004C6993" w:rsidRPr="00087BB0" w:rsidRDefault="001B5527" w:rsidP="008F2C45">
      <w:pPr>
        <w:pStyle w:val="Heading2"/>
        <w:spacing w:before="120" w:after="120"/>
        <w:rPr>
          <w:color w:val="000000" w:themeColor="text1"/>
          <w:lang w:val="en-GB"/>
        </w:rPr>
      </w:pPr>
      <w:bookmarkStart w:id="18" w:name="_cs7foj7s29lp" w:colFirst="0" w:colLast="0"/>
      <w:bookmarkStart w:id="19" w:name="_Toc213766216"/>
      <w:bookmarkEnd w:id="18"/>
      <w:r w:rsidRPr="00087BB0">
        <w:rPr>
          <w:color w:val="000000" w:themeColor="text1"/>
          <w:lang w:val="en-GB"/>
        </w:rPr>
        <w:t>3.3 Implementation plan</w:t>
      </w:r>
      <w:bookmarkEnd w:id="19"/>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43"/>
        <w:gridCol w:w="2737"/>
        <w:gridCol w:w="2791"/>
        <w:gridCol w:w="1889"/>
      </w:tblGrid>
      <w:tr w:rsidR="00087BB0" w:rsidRPr="00087BB0" w14:paraId="44A28E2A" w14:textId="77777777" w:rsidTr="00722BAA">
        <w:trPr>
          <w:cantSplit/>
          <w:tblHeader/>
        </w:trPr>
        <w:tc>
          <w:tcPr>
            <w:tcW w:w="1943" w:type="dxa"/>
            <w:shd w:val="clear" w:color="auto" w:fill="C9DAF8"/>
            <w:tcMar>
              <w:top w:w="100" w:type="dxa"/>
              <w:left w:w="100" w:type="dxa"/>
              <w:bottom w:w="100" w:type="dxa"/>
              <w:right w:w="100" w:type="dxa"/>
            </w:tcMar>
          </w:tcPr>
          <w:p w14:paraId="54BBDBEA" w14:textId="77777777" w:rsidR="004C6993" w:rsidRPr="00087BB0" w:rsidRDefault="001B5527" w:rsidP="008F2C45">
            <w:pPr>
              <w:pStyle w:val="Normal1"/>
              <w:widowControl w:val="0"/>
              <w:pBdr>
                <w:top w:val="nil"/>
                <w:left w:val="nil"/>
                <w:bottom w:val="nil"/>
                <w:right w:val="nil"/>
                <w:between w:val="nil"/>
              </w:pBdr>
              <w:spacing w:before="120" w:after="120"/>
              <w:jc w:val="center"/>
              <w:rPr>
                <w:b/>
                <w:bCs/>
                <w:color w:val="000000" w:themeColor="text1"/>
                <w:lang w:val="en-GB"/>
              </w:rPr>
            </w:pPr>
            <w:r w:rsidRPr="00087BB0">
              <w:rPr>
                <w:b/>
                <w:bCs/>
                <w:color w:val="000000" w:themeColor="text1"/>
                <w:lang w:val="en-GB"/>
              </w:rPr>
              <w:t>Goal</w:t>
            </w:r>
          </w:p>
        </w:tc>
        <w:tc>
          <w:tcPr>
            <w:tcW w:w="2737" w:type="dxa"/>
            <w:shd w:val="clear" w:color="auto" w:fill="C9DAF8"/>
            <w:tcMar>
              <w:top w:w="100" w:type="dxa"/>
              <w:left w:w="100" w:type="dxa"/>
              <w:bottom w:w="100" w:type="dxa"/>
              <w:right w:w="100" w:type="dxa"/>
            </w:tcMar>
          </w:tcPr>
          <w:p w14:paraId="45F07D4B" w14:textId="77777777" w:rsidR="004C6993" w:rsidRPr="00087BB0" w:rsidRDefault="001B5527" w:rsidP="008F2C45">
            <w:pPr>
              <w:pStyle w:val="Normal1"/>
              <w:widowControl w:val="0"/>
              <w:pBdr>
                <w:top w:val="nil"/>
                <w:left w:val="nil"/>
                <w:bottom w:val="nil"/>
                <w:right w:val="nil"/>
                <w:between w:val="nil"/>
              </w:pBdr>
              <w:spacing w:before="120" w:after="120"/>
              <w:jc w:val="center"/>
              <w:rPr>
                <w:b/>
                <w:bCs/>
                <w:color w:val="000000" w:themeColor="text1"/>
                <w:lang w:val="en-GB"/>
              </w:rPr>
            </w:pPr>
            <w:r w:rsidRPr="00087BB0">
              <w:rPr>
                <w:b/>
                <w:bCs/>
                <w:color w:val="000000" w:themeColor="text1"/>
                <w:lang w:val="en-GB"/>
              </w:rPr>
              <w:t xml:space="preserve">Actions </w:t>
            </w:r>
          </w:p>
        </w:tc>
        <w:tc>
          <w:tcPr>
            <w:tcW w:w="2791" w:type="dxa"/>
            <w:shd w:val="clear" w:color="auto" w:fill="C9DAF8"/>
            <w:tcMar>
              <w:top w:w="100" w:type="dxa"/>
              <w:left w:w="100" w:type="dxa"/>
              <w:bottom w:w="100" w:type="dxa"/>
              <w:right w:w="100" w:type="dxa"/>
            </w:tcMar>
          </w:tcPr>
          <w:p w14:paraId="3603858E" w14:textId="77777777" w:rsidR="004C6993" w:rsidRPr="00087BB0" w:rsidRDefault="001B5527" w:rsidP="008F2C45">
            <w:pPr>
              <w:pStyle w:val="Normal1"/>
              <w:widowControl w:val="0"/>
              <w:pBdr>
                <w:top w:val="nil"/>
                <w:left w:val="nil"/>
                <w:bottom w:val="nil"/>
                <w:right w:val="nil"/>
                <w:between w:val="nil"/>
              </w:pBdr>
              <w:spacing w:before="120" w:after="120"/>
              <w:jc w:val="center"/>
              <w:rPr>
                <w:b/>
                <w:bCs/>
                <w:color w:val="000000" w:themeColor="text1"/>
                <w:lang w:val="en-GB"/>
              </w:rPr>
            </w:pPr>
            <w:r w:rsidRPr="00087BB0">
              <w:rPr>
                <w:b/>
                <w:bCs/>
                <w:color w:val="000000" w:themeColor="text1"/>
                <w:lang w:val="en-GB"/>
              </w:rPr>
              <w:t xml:space="preserve">Resources </w:t>
            </w:r>
          </w:p>
        </w:tc>
        <w:tc>
          <w:tcPr>
            <w:tcW w:w="1889" w:type="dxa"/>
            <w:shd w:val="clear" w:color="auto" w:fill="C9DAF8"/>
            <w:tcMar>
              <w:top w:w="100" w:type="dxa"/>
              <w:left w:w="100" w:type="dxa"/>
              <w:bottom w:w="100" w:type="dxa"/>
              <w:right w:w="100" w:type="dxa"/>
            </w:tcMar>
          </w:tcPr>
          <w:p w14:paraId="40277439" w14:textId="77777777" w:rsidR="004C6993" w:rsidRPr="00087BB0" w:rsidRDefault="001B5527" w:rsidP="008F2C45">
            <w:pPr>
              <w:pStyle w:val="Normal1"/>
              <w:widowControl w:val="0"/>
              <w:pBdr>
                <w:top w:val="nil"/>
                <w:left w:val="nil"/>
                <w:bottom w:val="nil"/>
                <w:right w:val="nil"/>
                <w:between w:val="nil"/>
              </w:pBdr>
              <w:spacing w:before="120" w:after="120"/>
              <w:jc w:val="center"/>
              <w:rPr>
                <w:b/>
                <w:bCs/>
                <w:color w:val="000000" w:themeColor="text1"/>
                <w:lang w:val="en-GB"/>
              </w:rPr>
            </w:pPr>
            <w:r w:rsidRPr="00087BB0">
              <w:rPr>
                <w:b/>
                <w:bCs/>
                <w:color w:val="000000" w:themeColor="text1"/>
                <w:lang w:val="en-GB"/>
              </w:rPr>
              <w:t xml:space="preserve">Timeline </w:t>
            </w:r>
          </w:p>
        </w:tc>
      </w:tr>
      <w:tr w:rsidR="00087BB0" w:rsidRPr="00087BB0" w14:paraId="5538C899" w14:textId="77777777" w:rsidTr="00722BAA">
        <w:trPr>
          <w:cantSplit/>
          <w:tblHeader/>
        </w:trPr>
        <w:tc>
          <w:tcPr>
            <w:tcW w:w="1943" w:type="dxa"/>
            <w:tcMar>
              <w:top w:w="100" w:type="dxa"/>
              <w:left w:w="100" w:type="dxa"/>
              <w:bottom w:w="100" w:type="dxa"/>
              <w:right w:w="100" w:type="dxa"/>
            </w:tcMar>
          </w:tcPr>
          <w:p w14:paraId="2B34CAD5" w14:textId="77777777" w:rsidR="004C6993" w:rsidRPr="00087BB0" w:rsidRDefault="001B5527" w:rsidP="008F2C45">
            <w:pPr>
              <w:pStyle w:val="Normal1"/>
              <w:widowControl w:val="0"/>
              <w:pBdr>
                <w:top w:val="nil"/>
                <w:left w:val="nil"/>
                <w:bottom w:val="nil"/>
                <w:right w:val="nil"/>
                <w:between w:val="nil"/>
              </w:pBdr>
              <w:spacing w:before="120" w:after="120"/>
              <w:rPr>
                <w:color w:val="000000" w:themeColor="text1"/>
                <w:lang w:val="en-GB"/>
              </w:rPr>
            </w:pPr>
            <w:r w:rsidRPr="00087BB0">
              <w:rPr>
                <w:color w:val="000000" w:themeColor="text1"/>
                <w:lang w:val="en-GB"/>
              </w:rPr>
              <w:t xml:space="preserve">To strengthen clinical governance </w:t>
            </w:r>
          </w:p>
        </w:tc>
        <w:tc>
          <w:tcPr>
            <w:tcW w:w="2737" w:type="dxa"/>
            <w:tcMar>
              <w:top w:w="100" w:type="dxa"/>
              <w:left w:w="100" w:type="dxa"/>
              <w:bottom w:w="100" w:type="dxa"/>
              <w:right w:w="100" w:type="dxa"/>
            </w:tcMar>
          </w:tcPr>
          <w:p w14:paraId="23562499" w14:textId="77777777" w:rsidR="004C6993" w:rsidRPr="00087BB0" w:rsidRDefault="001B5527" w:rsidP="008F2C45">
            <w:pPr>
              <w:pStyle w:val="Normal1"/>
              <w:widowControl w:val="0"/>
              <w:pBdr>
                <w:top w:val="nil"/>
                <w:left w:val="nil"/>
                <w:bottom w:val="nil"/>
                <w:right w:val="nil"/>
                <w:between w:val="nil"/>
              </w:pBdr>
              <w:spacing w:before="120" w:after="120"/>
              <w:rPr>
                <w:color w:val="000000" w:themeColor="text1"/>
                <w:lang w:val="en-GB"/>
              </w:rPr>
            </w:pPr>
            <w:r w:rsidRPr="00087BB0">
              <w:rPr>
                <w:color w:val="000000" w:themeColor="text1"/>
                <w:lang w:val="en-GB"/>
              </w:rPr>
              <w:t xml:space="preserve">Digital incident reporting systems and mandatory RCA for neonatal deaths will be introduced. </w:t>
            </w:r>
          </w:p>
        </w:tc>
        <w:tc>
          <w:tcPr>
            <w:tcW w:w="2791" w:type="dxa"/>
            <w:tcMar>
              <w:top w:w="100" w:type="dxa"/>
              <w:left w:w="100" w:type="dxa"/>
              <w:bottom w:w="100" w:type="dxa"/>
              <w:right w:w="100" w:type="dxa"/>
            </w:tcMar>
          </w:tcPr>
          <w:p w14:paraId="3AC6C58B" w14:textId="77777777" w:rsidR="004C6993" w:rsidRPr="00087BB0" w:rsidRDefault="001B5527" w:rsidP="008F2C45">
            <w:pPr>
              <w:pStyle w:val="Normal1"/>
              <w:widowControl w:val="0"/>
              <w:pBdr>
                <w:top w:val="nil"/>
                <w:left w:val="nil"/>
                <w:bottom w:val="nil"/>
                <w:right w:val="nil"/>
                <w:between w:val="nil"/>
              </w:pBdr>
              <w:spacing w:before="120" w:after="120"/>
              <w:rPr>
                <w:color w:val="000000" w:themeColor="text1"/>
                <w:lang w:val="en-GB"/>
              </w:rPr>
            </w:pPr>
            <w:r w:rsidRPr="00087BB0">
              <w:rPr>
                <w:color w:val="000000" w:themeColor="text1"/>
                <w:lang w:val="en-GB"/>
              </w:rPr>
              <w:t>NHS governance teams, IT infrastructure, and audit consultants</w:t>
            </w:r>
          </w:p>
        </w:tc>
        <w:tc>
          <w:tcPr>
            <w:tcW w:w="1889" w:type="dxa"/>
            <w:tcMar>
              <w:top w:w="100" w:type="dxa"/>
              <w:left w:w="100" w:type="dxa"/>
              <w:bottom w:w="100" w:type="dxa"/>
              <w:right w:w="100" w:type="dxa"/>
            </w:tcMar>
          </w:tcPr>
          <w:p w14:paraId="769535AB" w14:textId="77777777" w:rsidR="004C6993" w:rsidRPr="00087BB0" w:rsidRDefault="001B5527" w:rsidP="008F2C45">
            <w:pPr>
              <w:pStyle w:val="Normal1"/>
              <w:widowControl w:val="0"/>
              <w:pBdr>
                <w:top w:val="nil"/>
                <w:left w:val="nil"/>
                <w:bottom w:val="nil"/>
                <w:right w:val="nil"/>
                <w:between w:val="nil"/>
              </w:pBdr>
              <w:spacing w:before="120" w:after="120"/>
              <w:rPr>
                <w:color w:val="000000" w:themeColor="text1"/>
                <w:lang w:val="en-GB"/>
              </w:rPr>
            </w:pPr>
            <w:r w:rsidRPr="00087BB0">
              <w:rPr>
                <w:color w:val="000000" w:themeColor="text1"/>
                <w:lang w:val="en-GB"/>
              </w:rPr>
              <w:t xml:space="preserve">Within 3 months </w:t>
            </w:r>
          </w:p>
        </w:tc>
      </w:tr>
      <w:tr w:rsidR="00087BB0" w:rsidRPr="00087BB0" w14:paraId="74B61B16" w14:textId="77777777" w:rsidTr="00722BAA">
        <w:trPr>
          <w:cantSplit/>
          <w:tblHeader/>
        </w:trPr>
        <w:tc>
          <w:tcPr>
            <w:tcW w:w="1943" w:type="dxa"/>
            <w:tcMar>
              <w:top w:w="100" w:type="dxa"/>
              <w:left w:w="100" w:type="dxa"/>
              <w:bottom w:w="100" w:type="dxa"/>
              <w:right w:w="100" w:type="dxa"/>
            </w:tcMar>
          </w:tcPr>
          <w:p w14:paraId="7E746993" w14:textId="77777777" w:rsidR="004C6993" w:rsidRPr="00087BB0" w:rsidRDefault="001B5527" w:rsidP="008F2C45">
            <w:pPr>
              <w:pStyle w:val="Normal1"/>
              <w:widowControl w:val="0"/>
              <w:pBdr>
                <w:top w:val="nil"/>
                <w:left w:val="nil"/>
                <w:bottom w:val="nil"/>
                <w:right w:val="nil"/>
                <w:between w:val="nil"/>
              </w:pBdr>
              <w:spacing w:before="120" w:after="120"/>
              <w:rPr>
                <w:color w:val="000000" w:themeColor="text1"/>
                <w:lang w:val="en-GB"/>
              </w:rPr>
            </w:pPr>
            <w:r w:rsidRPr="00087BB0">
              <w:rPr>
                <w:color w:val="000000" w:themeColor="text1"/>
                <w:lang w:val="en-GB"/>
              </w:rPr>
              <w:t xml:space="preserve">To enhance leadership accountability </w:t>
            </w:r>
          </w:p>
        </w:tc>
        <w:tc>
          <w:tcPr>
            <w:tcW w:w="2737" w:type="dxa"/>
            <w:tcMar>
              <w:top w:w="100" w:type="dxa"/>
              <w:left w:w="100" w:type="dxa"/>
              <w:bottom w:w="100" w:type="dxa"/>
              <w:right w:w="100" w:type="dxa"/>
            </w:tcMar>
          </w:tcPr>
          <w:p w14:paraId="53031DFE" w14:textId="77777777" w:rsidR="004C6993" w:rsidRPr="00087BB0" w:rsidRDefault="001B5527" w:rsidP="008F2C45">
            <w:pPr>
              <w:pStyle w:val="Normal1"/>
              <w:widowControl w:val="0"/>
              <w:pBdr>
                <w:top w:val="nil"/>
                <w:left w:val="nil"/>
                <w:bottom w:val="nil"/>
                <w:right w:val="nil"/>
                <w:between w:val="nil"/>
              </w:pBdr>
              <w:spacing w:before="120" w:after="120"/>
              <w:rPr>
                <w:color w:val="000000" w:themeColor="text1"/>
                <w:lang w:val="en-GB"/>
              </w:rPr>
            </w:pPr>
            <w:r w:rsidRPr="00087BB0">
              <w:rPr>
                <w:color w:val="000000" w:themeColor="text1"/>
                <w:lang w:val="en-GB"/>
              </w:rPr>
              <w:t xml:space="preserve">Leadership and psychological safety workshops will be conducted. </w:t>
            </w:r>
          </w:p>
        </w:tc>
        <w:tc>
          <w:tcPr>
            <w:tcW w:w="2791" w:type="dxa"/>
            <w:tcMar>
              <w:top w:w="100" w:type="dxa"/>
              <w:left w:w="100" w:type="dxa"/>
              <w:bottom w:w="100" w:type="dxa"/>
              <w:right w:w="100" w:type="dxa"/>
            </w:tcMar>
          </w:tcPr>
          <w:p w14:paraId="39A28133" w14:textId="77777777" w:rsidR="004C6993" w:rsidRPr="00087BB0" w:rsidRDefault="001B5527" w:rsidP="008F2C45">
            <w:pPr>
              <w:pStyle w:val="Normal1"/>
              <w:widowControl w:val="0"/>
              <w:pBdr>
                <w:top w:val="nil"/>
                <w:left w:val="nil"/>
                <w:bottom w:val="nil"/>
                <w:right w:val="nil"/>
                <w:between w:val="nil"/>
              </w:pBdr>
              <w:spacing w:before="120" w:after="120"/>
              <w:rPr>
                <w:color w:val="000000" w:themeColor="text1"/>
                <w:lang w:val="en-GB"/>
              </w:rPr>
            </w:pPr>
            <w:r w:rsidRPr="00087BB0">
              <w:rPr>
                <w:color w:val="000000" w:themeColor="text1"/>
                <w:lang w:val="en-GB"/>
              </w:rPr>
              <w:t>HR department, external patient safety advisors</w:t>
            </w:r>
          </w:p>
        </w:tc>
        <w:tc>
          <w:tcPr>
            <w:tcW w:w="1889" w:type="dxa"/>
            <w:tcMar>
              <w:top w:w="100" w:type="dxa"/>
              <w:left w:w="100" w:type="dxa"/>
              <w:bottom w:w="100" w:type="dxa"/>
              <w:right w:w="100" w:type="dxa"/>
            </w:tcMar>
          </w:tcPr>
          <w:p w14:paraId="2A4358E5" w14:textId="77777777" w:rsidR="004C6993" w:rsidRPr="00087BB0" w:rsidRDefault="001B5527" w:rsidP="008F2C45">
            <w:pPr>
              <w:pStyle w:val="Normal1"/>
              <w:widowControl w:val="0"/>
              <w:pBdr>
                <w:top w:val="nil"/>
                <w:left w:val="nil"/>
                <w:bottom w:val="nil"/>
                <w:right w:val="nil"/>
                <w:between w:val="nil"/>
              </w:pBdr>
              <w:spacing w:before="120" w:after="120"/>
              <w:rPr>
                <w:color w:val="000000" w:themeColor="text1"/>
                <w:lang w:val="en-GB"/>
              </w:rPr>
            </w:pPr>
            <w:r w:rsidRPr="00087BB0">
              <w:rPr>
                <w:color w:val="000000" w:themeColor="text1"/>
                <w:lang w:val="en-GB"/>
              </w:rPr>
              <w:t xml:space="preserve">4-6 months </w:t>
            </w:r>
          </w:p>
        </w:tc>
      </w:tr>
      <w:tr w:rsidR="00087BB0" w:rsidRPr="00087BB0" w14:paraId="08CC8F55" w14:textId="77777777" w:rsidTr="00722BAA">
        <w:trPr>
          <w:cantSplit/>
          <w:tblHeader/>
        </w:trPr>
        <w:tc>
          <w:tcPr>
            <w:tcW w:w="1943" w:type="dxa"/>
            <w:tcMar>
              <w:top w:w="100" w:type="dxa"/>
              <w:left w:w="100" w:type="dxa"/>
              <w:bottom w:w="100" w:type="dxa"/>
              <w:right w:w="100" w:type="dxa"/>
            </w:tcMar>
          </w:tcPr>
          <w:p w14:paraId="093A094A" w14:textId="77777777" w:rsidR="004C6993" w:rsidRPr="00087BB0" w:rsidRDefault="001B5527" w:rsidP="008F2C45">
            <w:pPr>
              <w:pStyle w:val="Normal1"/>
              <w:widowControl w:val="0"/>
              <w:pBdr>
                <w:top w:val="nil"/>
                <w:left w:val="nil"/>
                <w:bottom w:val="nil"/>
                <w:right w:val="nil"/>
                <w:between w:val="nil"/>
              </w:pBdr>
              <w:spacing w:before="120" w:after="120"/>
              <w:rPr>
                <w:color w:val="000000" w:themeColor="text1"/>
                <w:lang w:val="en-GB"/>
              </w:rPr>
            </w:pPr>
            <w:r w:rsidRPr="00087BB0">
              <w:rPr>
                <w:color w:val="000000" w:themeColor="text1"/>
                <w:lang w:val="en-GB"/>
              </w:rPr>
              <w:t xml:space="preserve">To improve neonatal safety </w:t>
            </w:r>
          </w:p>
        </w:tc>
        <w:tc>
          <w:tcPr>
            <w:tcW w:w="2737" w:type="dxa"/>
            <w:tcMar>
              <w:top w:w="100" w:type="dxa"/>
              <w:left w:w="100" w:type="dxa"/>
              <w:bottom w:w="100" w:type="dxa"/>
              <w:right w:w="100" w:type="dxa"/>
            </w:tcMar>
          </w:tcPr>
          <w:p w14:paraId="12831DBF" w14:textId="77777777" w:rsidR="004C6993" w:rsidRPr="00087BB0" w:rsidRDefault="001B5527" w:rsidP="008F2C45">
            <w:pPr>
              <w:pStyle w:val="Normal1"/>
              <w:widowControl w:val="0"/>
              <w:pBdr>
                <w:top w:val="nil"/>
                <w:left w:val="nil"/>
                <w:bottom w:val="nil"/>
                <w:right w:val="nil"/>
                <w:between w:val="nil"/>
              </w:pBdr>
              <w:spacing w:before="120" w:after="120"/>
              <w:rPr>
                <w:color w:val="000000" w:themeColor="text1"/>
                <w:lang w:val="en-GB"/>
              </w:rPr>
            </w:pPr>
            <w:r w:rsidRPr="00087BB0">
              <w:rPr>
                <w:color w:val="000000" w:themeColor="text1"/>
                <w:lang w:val="en-GB"/>
              </w:rPr>
              <w:t xml:space="preserve">Smart monitoring tools and early warning systems across units will be implemented. </w:t>
            </w:r>
          </w:p>
        </w:tc>
        <w:tc>
          <w:tcPr>
            <w:tcW w:w="2791" w:type="dxa"/>
            <w:tcMar>
              <w:top w:w="100" w:type="dxa"/>
              <w:left w:w="100" w:type="dxa"/>
              <w:bottom w:w="100" w:type="dxa"/>
              <w:right w:w="100" w:type="dxa"/>
            </w:tcMar>
          </w:tcPr>
          <w:p w14:paraId="4B18F543" w14:textId="77777777" w:rsidR="004C6993" w:rsidRPr="00087BB0" w:rsidRDefault="001B5527" w:rsidP="008F2C45">
            <w:pPr>
              <w:pStyle w:val="Normal1"/>
              <w:widowControl w:val="0"/>
              <w:pBdr>
                <w:top w:val="nil"/>
                <w:left w:val="nil"/>
                <w:bottom w:val="nil"/>
                <w:right w:val="nil"/>
                <w:between w:val="nil"/>
              </w:pBdr>
              <w:spacing w:before="120" w:after="120"/>
              <w:rPr>
                <w:color w:val="000000" w:themeColor="text1"/>
                <w:lang w:val="en-GB"/>
              </w:rPr>
            </w:pPr>
            <w:r w:rsidRPr="00087BB0">
              <w:rPr>
                <w:color w:val="000000" w:themeColor="text1"/>
                <w:lang w:val="en-GB"/>
              </w:rPr>
              <w:t>Clinical engineers, neonatal staff, and the NHS Innovation Fund</w:t>
            </w:r>
          </w:p>
        </w:tc>
        <w:tc>
          <w:tcPr>
            <w:tcW w:w="1889" w:type="dxa"/>
            <w:tcMar>
              <w:top w:w="100" w:type="dxa"/>
              <w:left w:w="100" w:type="dxa"/>
              <w:bottom w:w="100" w:type="dxa"/>
              <w:right w:w="100" w:type="dxa"/>
            </w:tcMar>
          </w:tcPr>
          <w:p w14:paraId="1785F31E" w14:textId="77777777" w:rsidR="004C6993" w:rsidRPr="00087BB0" w:rsidRDefault="001B5527" w:rsidP="008F2C45">
            <w:pPr>
              <w:pStyle w:val="Normal1"/>
              <w:widowControl w:val="0"/>
              <w:pBdr>
                <w:top w:val="nil"/>
                <w:left w:val="nil"/>
                <w:bottom w:val="nil"/>
                <w:right w:val="nil"/>
                <w:between w:val="nil"/>
              </w:pBdr>
              <w:spacing w:before="120" w:after="120"/>
              <w:rPr>
                <w:color w:val="000000" w:themeColor="text1"/>
                <w:lang w:val="en-GB"/>
              </w:rPr>
            </w:pPr>
            <w:r w:rsidRPr="00087BB0">
              <w:rPr>
                <w:color w:val="000000" w:themeColor="text1"/>
                <w:lang w:val="en-GB"/>
              </w:rPr>
              <w:t xml:space="preserve">6-8 months </w:t>
            </w:r>
          </w:p>
        </w:tc>
      </w:tr>
    </w:tbl>
    <w:p w14:paraId="2AA363A8" w14:textId="77777777" w:rsidR="004C6993" w:rsidRPr="00087BB0" w:rsidRDefault="001B5527" w:rsidP="008F2C45">
      <w:pPr>
        <w:pStyle w:val="Normal1"/>
        <w:spacing w:before="120" w:after="120"/>
        <w:jc w:val="center"/>
        <w:rPr>
          <w:color w:val="000000" w:themeColor="text1"/>
          <w:lang w:val="en-GB"/>
        </w:rPr>
      </w:pPr>
      <w:r w:rsidRPr="00087BB0">
        <w:rPr>
          <w:b/>
          <w:bCs/>
          <w:color w:val="000000" w:themeColor="text1"/>
          <w:lang w:val="en-GB"/>
        </w:rPr>
        <w:t>Table 3: Implementation plan of the PDSA cycle</w:t>
      </w:r>
    </w:p>
    <w:p w14:paraId="5932EB36" w14:textId="77777777" w:rsidR="004C6993" w:rsidRPr="00087BB0" w:rsidRDefault="001B5527" w:rsidP="008F2C45">
      <w:pPr>
        <w:pStyle w:val="Normal1"/>
        <w:spacing w:before="120" w:after="120"/>
        <w:jc w:val="center"/>
        <w:rPr>
          <w:color w:val="000000" w:themeColor="text1"/>
          <w:lang w:val="en-GB"/>
        </w:rPr>
      </w:pPr>
      <w:r w:rsidRPr="00087BB0">
        <w:rPr>
          <w:color w:val="000000" w:themeColor="text1"/>
          <w:lang w:val="en-GB"/>
        </w:rPr>
        <w:t>(Source: Self-created)</w:t>
      </w:r>
    </w:p>
    <w:p w14:paraId="117665E4" w14:textId="77777777" w:rsidR="004C6993" w:rsidRPr="00087BB0" w:rsidRDefault="001B5527" w:rsidP="008F2C45">
      <w:pPr>
        <w:pStyle w:val="Heading1"/>
        <w:spacing w:before="120" w:after="120"/>
        <w:rPr>
          <w:color w:val="000000" w:themeColor="text1"/>
          <w:lang w:val="en-GB"/>
        </w:rPr>
      </w:pPr>
      <w:bookmarkStart w:id="20" w:name="_cpw84fg3q1pi" w:colFirst="0" w:colLast="0"/>
      <w:bookmarkStart w:id="21" w:name="_Toc213766217"/>
      <w:bookmarkEnd w:id="20"/>
      <w:r w:rsidRPr="00087BB0">
        <w:rPr>
          <w:color w:val="000000" w:themeColor="text1"/>
          <w:lang w:val="en-GB"/>
        </w:rPr>
        <w:lastRenderedPageBreak/>
        <w:t>4. Conclusion</w:t>
      </w:r>
      <w:bookmarkEnd w:id="21"/>
    </w:p>
    <w:p w14:paraId="062F8531" w14:textId="77777777" w:rsidR="00877B7E" w:rsidRPr="00087BB0" w:rsidRDefault="00877B7E" w:rsidP="008F2C45">
      <w:pPr>
        <w:spacing w:before="120" w:after="120"/>
        <w:rPr>
          <w:color w:val="000000" w:themeColor="text1"/>
        </w:rPr>
      </w:pPr>
      <w:r w:rsidRPr="00087BB0">
        <w:rPr>
          <w:color w:val="000000" w:themeColor="text1"/>
        </w:rPr>
        <w:t xml:space="preserve">The case of killing of premature babies by Lucy </w:t>
      </w:r>
      <w:proofErr w:type="spellStart"/>
      <w:r w:rsidRPr="00087BB0">
        <w:rPr>
          <w:color w:val="000000" w:themeColor="text1"/>
        </w:rPr>
        <w:t>Letby</w:t>
      </w:r>
      <w:proofErr w:type="spellEnd"/>
      <w:r w:rsidRPr="00087BB0">
        <w:rPr>
          <w:color w:val="000000" w:themeColor="text1"/>
        </w:rPr>
        <w:t xml:space="preserve"> has unveiled one of the most essential systemic flaws in modern British healthcare because of lack of good governance, inattentive leadership, and silence of the culture causing disastrous damages to patients. The Countess of Chester Hospital has poor organisational systems that do not safeguard the quality assurance </w:t>
      </w:r>
      <w:proofErr w:type="spellStart"/>
      <w:proofErr w:type="gramStart"/>
      <w:r w:rsidRPr="00087BB0">
        <w:rPr>
          <w:color w:val="000000" w:themeColor="text1"/>
        </w:rPr>
        <w:t>systems.</w:t>
      </w:r>
      <w:r w:rsidR="00622D1C" w:rsidRPr="00087BB0">
        <w:rPr>
          <w:color w:val="000000" w:themeColor="text1"/>
        </w:rPr>
        <w:t>It</w:t>
      </w:r>
      <w:proofErr w:type="spellEnd"/>
      <w:proofErr w:type="gramEnd"/>
      <w:r w:rsidR="00622D1C" w:rsidRPr="00087BB0">
        <w:rPr>
          <w:color w:val="000000" w:themeColor="text1"/>
        </w:rPr>
        <w:t xml:space="preserve"> identifies numerous root causes in individuals, procedures, policy, leadership, and technology in this study with the aid of tools such as the Fishbone Diagram. The SWOT analysis revealed that the changes in the NHS England Patient Safety Incident Response Framework (PSIRF) and improved standards of leadership </w:t>
      </w:r>
      <w:r w:rsidR="00F5336B" w:rsidRPr="00087BB0">
        <w:rPr>
          <w:color w:val="000000" w:themeColor="text1"/>
        </w:rPr>
        <w:t>responsibility</w:t>
      </w:r>
      <w:r w:rsidR="00622D1C" w:rsidRPr="00087BB0">
        <w:rPr>
          <w:color w:val="000000" w:themeColor="text1"/>
        </w:rPr>
        <w:t xml:space="preserve"> were the results of this tragedy. Using the Donabedian Model revealed that bad structures, poor processes, and deaths were outcomes of unattended safety practices. The PDSA cycle and the 8-Step Model by Kotler also provided useful recommendations to maintain the quality of neonatal care and safety at a high level in the long-term. In the future, the NHS Trusts need to develop transparency, psychological safety, and learning to regain the trust of the people and not repeat the errors.</w:t>
      </w:r>
    </w:p>
    <w:p w14:paraId="68156677" w14:textId="77777777" w:rsidR="004C6993" w:rsidRPr="008F2C45" w:rsidRDefault="004C6993" w:rsidP="008F2C45">
      <w:pPr>
        <w:spacing w:before="120" w:after="120"/>
        <w:rPr>
          <w:lang w:val="en-GB"/>
        </w:rPr>
      </w:pPr>
    </w:p>
    <w:p w14:paraId="1808CFE1" w14:textId="77777777" w:rsidR="004C6993" w:rsidRPr="008F2C45" w:rsidRDefault="001B5527" w:rsidP="008F2C45">
      <w:pPr>
        <w:pStyle w:val="Heading1"/>
        <w:spacing w:before="120" w:after="120"/>
        <w:rPr>
          <w:lang w:val="en-GB"/>
        </w:rPr>
      </w:pPr>
      <w:bookmarkStart w:id="22" w:name="_8jpashb7u4iu" w:colFirst="0" w:colLast="0"/>
      <w:bookmarkEnd w:id="22"/>
      <w:r w:rsidRPr="008F2C45">
        <w:rPr>
          <w:lang w:val="en-GB"/>
        </w:rPr>
        <w:br w:type="page"/>
      </w:r>
    </w:p>
    <w:p w14:paraId="251BACC1" w14:textId="77777777" w:rsidR="004C6993" w:rsidRPr="008F2C45" w:rsidRDefault="001B5527" w:rsidP="008F2C45">
      <w:pPr>
        <w:pStyle w:val="Heading1"/>
        <w:spacing w:before="120" w:after="120"/>
        <w:rPr>
          <w:lang w:val="en-GB"/>
        </w:rPr>
      </w:pPr>
      <w:bookmarkStart w:id="23" w:name="_2mg0bpabqsx2" w:colFirst="0" w:colLast="0"/>
      <w:bookmarkStart w:id="24" w:name="_Toc213766218"/>
      <w:bookmarkEnd w:id="23"/>
      <w:r w:rsidRPr="008F2C45">
        <w:rPr>
          <w:lang w:val="en-GB"/>
        </w:rPr>
        <w:lastRenderedPageBreak/>
        <w:t>References</w:t>
      </w:r>
      <w:bookmarkEnd w:id="24"/>
    </w:p>
    <w:p w14:paraId="31BF1C90" w14:textId="77777777" w:rsidR="00722BAA" w:rsidRPr="008F2C45" w:rsidRDefault="00722BAA" w:rsidP="008F2C45">
      <w:pPr>
        <w:spacing w:before="120" w:after="120"/>
        <w:rPr>
          <w:lang w:val="en-GB"/>
        </w:rPr>
      </w:pPr>
      <w:proofErr w:type="spellStart"/>
      <w:r w:rsidRPr="008F2C45">
        <w:rPr>
          <w:lang w:val="en-GB"/>
        </w:rPr>
        <w:t>Bendermacher</w:t>
      </w:r>
      <w:proofErr w:type="spellEnd"/>
      <w:r w:rsidRPr="008F2C45">
        <w:rPr>
          <w:lang w:val="en-GB"/>
        </w:rPr>
        <w:t xml:space="preserve">, G.W., De Grave, W.S., </w:t>
      </w:r>
      <w:proofErr w:type="spellStart"/>
      <w:r w:rsidRPr="008F2C45">
        <w:rPr>
          <w:lang w:val="en-GB"/>
        </w:rPr>
        <w:t>Wolfhagen</w:t>
      </w:r>
      <w:proofErr w:type="spellEnd"/>
      <w:r w:rsidRPr="008F2C45">
        <w:rPr>
          <w:lang w:val="en-GB"/>
        </w:rPr>
        <w:t xml:space="preserve">, I.H., Dolmans, D.H. and Oude </w:t>
      </w:r>
      <w:proofErr w:type="spellStart"/>
      <w:r w:rsidRPr="008F2C45">
        <w:rPr>
          <w:lang w:val="en-GB"/>
        </w:rPr>
        <w:t>Egbrink</w:t>
      </w:r>
      <w:proofErr w:type="spellEnd"/>
      <w:r w:rsidRPr="008F2C45">
        <w:rPr>
          <w:lang w:val="en-GB"/>
        </w:rPr>
        <w:t xml:space="preserve">, M.G. (2020). Shaping a culture for continuous quality improvement in undergraduate medical education. </w:t>
      </w:r>
      <w:r w:rsidRPr="008F2C45">
        <w:rPr>
          <w:i/>
          <w:iCs/>
          <w:lang w:val="en-GB"/>
        </w:rPr>
        <w:t>Academic Medicine</w:t>
      </w:r>
      <w:r w:rsidRPr="008F2C45">
        <w:rPr>
          <w:lang w:val="en-GB"/>
        </w:rPr>
        <w:t xml:space="preserve">, 95(12), pp.1913-1920.  DOI: 10.1097/ACM.0000000000003406 </w:t>
      </w:r>
    </w:p>
    <w:p w14:paraId="0BB79FD9" w14:textId="77777777" w:rsidR="00722BAA" w:rsidRPr="008F2C45" w:rsidRDefault="00722BAA" w:rsidP="008F2C45">
      <w:pPr>
        <w:spacing w:before="120" w:after="120"/>
        <w:rPr>
          <w:lang w:val="en-GB"/>
        </w:rPr>
      </w:pPr>
      <w:proofErr w:type="spellStart"/>
      <w:r w:rsidRPr="008F2C45">
        <w:rPr>
          <w:lang w:val="en-GB"/>
        </w:rPr>
        <w:t>BiteSize</w:t>
      </w:r>
      <w:proofErr w:type="spellEnd"/>
      <w:r w:rsidRPr="008F2C45">
        <w:rPr>
          <w:lang w:val="en-GB"/>
        </w:rPr>
        <w:t xml:space="preserve"> Learning (2024). </w:t>
      </w:r>
      <w:r w:rsidRPr="008F2C45">
        <w:rPr>
          <w:i/>
          <w:iCs/>
          <w:lang w:val="en-GB"/>
        </w:rPr>
        <w:t>Kotter’s 8-Step change model, explained</w:t>
      </w:r>
      <w:r w:rsidRPr="008F2C45">
        <w:rPr>
          <w:lang w:val="en-GB"/>
        </w:rPr>
        <w:t xml:space="preserve">. [online] </w:t>
      </w:r>
      <w:proofErr w:type="spellStart"/>
      <w:r w:rsidRPr="008F2C45">
        <w:rPr>
          <w:lang w:val="en-GB"/>
        </w:rPr>
        <w:t>BiteSize</w:t>
      </w:r>
      <w:proofErr w:type="spellEnd"/>
      <w:r w:rsidRPr="008F2C45">
        <w:rPr>
          <w:lang w:val="en-GB"/>
        </w:rPr>
        <w:t xml:space="preserve"> Learning. Available at: https://www.bitesizelearning.co.uk/resources/kotters-8-step-change-model [Accessed 10 Nov. 2025].</w:t>
      </w:r>
    </w:p>
    <w:p w14:paraId="1E7C1203" w14:textId="77777777" w:rsidR="00722BAA" w:rsidRPr="008F2C45" w:rsidRDefault="00722BAA" w:rsidP="008F2C45">
      <w:pPr>
        <w:spacing w:before="120" w:after="120"/>
        <w:rPr>
          <w:lang w:val="en-GB"/>
        </w:rPr>
      </w:pPr>
      <w:r w:rsidRPr="008F2C45">
        <w:rPr>
          <w:lang w:val="en-GB"/>
        </w:rPr>
        <w:t xml:space="preserve">Coleman, J. (2025). </w:t>
      </w:r>
      <w:r w:rsidRPr="008F2C45">
        <w:rPr>
          <w:i/>
          <w:iCs/>
          <w:lang w:val="en-GB"/>
        </w:rPr>
        <w:t>Emergency care at Countess of Chester ‘inadequate</w:t>
      </w:r>
      <w:r w:rsidRPr="008F2C45">
        <w:rPr>
          <w:lang w:val="en-GB"/>
        </w:rPr>
        <w:t xml:space="preserve">’. [online]. Available at: </w:t>
      </w:r>
      <w:hyperlink r:id="rId13">
        <w:r w:rsidRPr="008F2C45">
          <w:rPr>
            <w:color w:val="1155CC"/>
            <w:u w:val="single"/>
            <w:lang w:val="en-GB"/>
          </w:rPr>
          <w:t>https://www.bbc.com/news/articles/c15ln1j0dkko</w:t>
        </w:r>
      </w:hyperlink>
      <w:r w:rsidRPr="008F2C45">
        <w:rPr>
          <w:lang w:val="en-GB"/>
        </w:rPr>
        <w:t>.</w:t>
      </w:r>
    </w:p>
    <w:p w14:paraId="18CBD030" w14:textId="77777777" w:rsidR="00722BAA" w:rsidRPr="008F2C45" w:rsidRDefault="00722BAA" w:rsidP="008F2C45">
      <w:pPr>
        <w:spacing w:before="120" w:after="120"/>
        <w:rPr>
          <w:lang w:val="en-GB"/>
        </w:rPr>
      </w:pPr>
      <w:r w:rsidRPr="008F2C45">
        <w:rPr>
          <w:lang w:val="en-GB"/>
        </w:rPr>
        <w:t xml:space="preserve">Figma. (2025). </w:t>
      </w:r>
      <w:r w:rsidRPr="008F2C45">
        <w:rPr>
          <w:i/>
          <w:iCs/>
          <w:lang w:val="en-GB"/>
        </w:rPr>
        <w:t xml:space="preserve">How To Use the 5 Whys: Root Cause Analysis Explained | </w:t>
      </w:r>
      <w:proofErr w:type="spellStart"/>
      <w:r w:rsidRPr="008F2C45">
        <w:rPr>
          <w:i/>
          <w:iCs/>
          <w:lang w:val="en-GB"/>
        </w:rPr>
        <w:t>FigJam</w:t>
      </w:r>
      <w:proofErr w:type="spellEnd"/>
      <w:r w:rsidRPr="008F2C45">
        <w:rPr>
          <w:lang w:val="en-GB"/>
        </w:rPr>
        <w:t>. [online] Available at: https://www.figma.com/resource-library/what-are-the-5-whys/ [Accessed 10 Nov. 2025].</w:t>
      </w:r>
    </w:p>
    <w:p w14:paraId="5DFE85C5" w14:textId="77777777" w:rsidR="00722BAA" w:rsidRPr="008F2C45" w:rsidRDefault="00722BAA" w:rsidP="008F2C45">
      <w:pPr>
        <w:spacing w:before="120" w:after="120"/>
        <w:rPr>
          <w:lang w:val="en-GB"/>
        </w:rPr>
      </w:pPr>
      <w:r w:rsidRPr="008F2C45">
        <w:rPr>
          <w:lang w:val="en-GB"/>
        </w:rPr>
        <w:t xml:space="preserve">Knudsen, S.V., </w:t>
      </w:r>
      <w:proofErr w:type="spellStart"/>
      <w:r w:rsidRPr="008F2C45">
        <w:rPr>
          <w:lang w:val="en-GB"/>
        </w:rPr>
        <w:t>Laursen</w:t>
      </w:r>
      <w:proofErr w:type="spellEnd"/>
      <w:r w:rsidRPr="008F2C45">
        <w:rPr>
          <w:lang w:val="en-GB"/>
        </w:rPr>
        <w:t xml:space="preserve">, H.V.B., Johnsen, S.P., Bartels, P.D., Ehlers, L.H. and Mainz, J. (2019). Can quality improvement improve the quality of care? A systematic review of reported effects and methodological rigor in plan-do-study-act projects. </w:t>
      </w:r>
      <w:r w:rsidRPr="008F2C45">
        <w:rPr>
          <w:i/>
          <w:iCs/>
          <w:lang w:val="en-GB"/>
        </w:rPr>
        <w:t>BMC health services research</w:t>
      </w:r>
      <w:r w:rsidRPr="008F2C45">
        <w:rPr>
          <w:lang w:val="en-GB"/>
        </w:rPr>
        <w:t>, 19(1), p.683. DOI:</w:t>
      </w:r>
      <w:hyperlink r:id="rId14">
        <w:r w:rsidRPr="008F2C45">
          <w:rPr>
            <w:color w:val="1155CC"/>
            <w:u w:val="single"/>
            <w:lang w:val="en-GB"/>
          </w:rPr>
          <w:t>10.1186/s12913-019-4482-6</w:t>
        </w:r>
      </w:hyperlink>
    </w:p>
    <w:p w14:paraId="085EC996" w14:textId="77777777" w:rsidR="00722BAA" w:rsidRPr="008F2C45" w:rsidRDefault="00722BAA" w:rsidP="008F2C45">
      <w:pPr>
        <w:spacing w:before="120" w:after="120"/>
        <w:rPr>
          <w:lang w:val="en-GB"/>
        </w:rPr>
      </w:pPr>
      <w:r w:rsidRPr="008F2C45">
        <w:rPr>
          <w:lang w:val="en-GB"/>
        </w:rPr>
        <w:t xml:space="preserve">NHS England (2022). </w:t>
      </w:r>
      <w:r w:rsidRPr="008F2C45">
        <w:rPr>
          <w:i/>
          <w:iCs/>
          <w:lang w:val="en-GB"/>
        </w:rPr>
        <w:t>Patient Safety Incident Response Framework</w:t>
      </w:r>
      <w:r w:rsidRPr="008F2C45">
        <w:rPr>
          <w:lang w:val="en-GB"/>
        </w:rPr>
        <w:t>. [online]. Available at: https://www.england.nhs.uk/patient-safety/patient-safety-insight/incident-response-framework/ [Accessed 10 Nov. 2025].</w:t>
      </w:r>
    </w:p>
    <w:p w14:paraId="37682C00" w14:textId="77777777" w:rsidR="00722BAA" w:rsidRPr="008F2C45" w:rsidRDefault="00722BAA" w:rsidP="008F2C45">
      <w:pPr>
        <w:spacing w:before="120" w:after="120"/>
        <w:rPr>
          <w:lang w:val="en-GB"/>
        </w:rPr>
      </w:pPr>
      <w:r w:rsidRPr="008F2C45">
        <w:rPr>
          <w:lang w:val="en-GB"/>
        </w:rPr>
        <w:t xml:space="preserve">NHS.UK (2023). </w:t>
      </w:r>
      <w:r w:rsidRPr="008F2C45">
        <w:rPr>
          <w:i/>
          <w:iCs/>
          <w:lang w:val="en-GB"/>
        </w:rPr>
        <w:t xml:space="preserve">NHS England» Verdict in the trial of Lucy </w:t>
      </w:r>
      <w:proofErr w:type="spellStart"/>
      <w:r w:rsidRPr="008F2C45">
        <w:rPr>
          <w:i/>
          <w:iCs/>
          <w:lang w:val="en-GB"/>
        </w:rPr>
        <w:t>Letby</w:t>
      </w:r>
      <w:proofErr w:type="spellEnd"/>
      <w:r w:rsidRPr="008F2C45">
        <w:rPr>
          <w:lang w:val="en-GB"/>
        </w:rPr>
        <w:t>. [online] Available at: https://www.england.nhs.uk/long-read/verdict-in-the-trial-of-lucy-letby/ [Accessed 10 Nov. 2025].</w:t>
      </w:r>
    </w:p>
    <w:p w14:paraId="326CD1CB" w14:textId="77777777" w:rsidR="00722BAA" w:rsidRPr="008F2C45" w:rsidRDefault="00722BAA" w:rsidP="008F2C45">
      <w:pPr>
        <w:spacing w:before="120" w:after="120"/>
        <w:rPr>
          <w:lang w:val="en-GB"/>
        </w:rPr>
      </w:pPr>
      <w:r w:rsidRPr="008F2C45">
        <w:rPr>
          <w:lang w:val="en-GB"/>
        </w:rPr>
        <w:t xml:space="preserve">Pilling, K. (2025). </w:t>
      </w:r>
      <w:r w:rsidRPr="008F2C45">
        <w:rPr>
          <w:i/>
          <w:iCs/>
          <w:lang w:val="en-GB"/>
        </w:rPr>
        <w:t xml:space="preserve">Lucy </w:t>
      </w:r>
      <w:proofErr w:type="spellStart"/>
      <w:r w:rsidRPr="008F2C45">
        <w:rPr>
          <w:i/>
          <w:iCs/>
          <w:lang w:val="en-GB"/>
        </w:rPr>
        <w:t>Letby</w:t>
      </w:r>
      <w:proofErr w:type="spellEnd"/>
      <w:r w:rsidRPr="008F2C45">
        <w:rPr>
          <w:i/>
          <w:iCs/>
          <w:lang w:val="en-GB"/>
        </w:rPr>
        <w:t>: Expert panel’s findings on babies featured in murder trial</w:t>
      </w:r>
      <w:r w:rsidRPr="008F2C45">
        <w:rPr>
          <w:lang w:val="en-GB"/>
        </w:rPr>
        <w:t>. [online] The Independent. Available at: https://www.independent.co.uk/news/uk/crime/lucy-letby-expert-panel-findings-babies-murder-b2726658.html [Accessed 10 Nov. 2025].</w:t>
      </w:r>
    </w:p>
    <w:p w14:paraId="13B931C4" w14:textId="77777777" w:rsidR="00722BAA" w:rsidRPr="008F2C45" w:rsidRDefault="00722BAA" w:rsidP="008F2C45">
      <w:pPr>
        <w:spacing w:before="120" w:after="120"/>
        <w:rPr>
          <w:lang w:val="en-GB"/>
        </w:rPr>
      </w:pPr>
      <w:proofErr w:type="spellStart"/>
      <w:r w:rsidRPr="008F2C45">
        <w:rPr>
          <w:lang w:val="en-GB"/>
        </w:rPr>
        <w:t>Sakdiyah</w:t>
      </w:r>
      <w:proofErr w:type="spellEnd"/>
      <w:r w:rsidRPr="008F2C45">
        <w:rPr>
          <w:lang w:val="en-GB"/>
        </w:rPr>
        <w:t xml:space="preserve">, S.H., </w:t>
      </w:r>
      <w:proofErr w:type="spellStart"/>
      <w:r w:rsidRPr="008F2C45">
        <w:rPr>
          <w:lang w:val="en-GB"/>
        </w:rPr>
        <w:t>Eltivia</w:t>
      </w:r>
      <w:proofErr w:type="spellEnd"/>
      <w:r w:rsidRPr="008F2C45">
        <w:rPr>
          <w:lang w:val="en-GB"/>
        </w:rPr>
        <w:t xml:space="preserve">, N. and </w:t>
      </w:r>
      <w:proofErr w:type="spellStart"/>
      <w:r w:rsidRPr="008F2C45">
        <w:rPr>
          <w:lang w:val="en-GB"/>
        </w:rPr>
        <w:t>Afandi</w:t>
      </w:r>
      <w:proofErr w:type="spellEnd"/>
      <w:r w:rsidRPr="008F2C45">
        <w:rPr>
          <w:lang w:val="en-GB"/>
        </w:rPr>
        <w:t xml:space="preserve">, A. (2022). Root cause analysis using fishbone diagram: company management decision making. </w:t>
      </w:r>
      <w:r w:rsidRPr="008F2C45">
        <w:rPr>
          <w:i/>
          <w:iCs/>
          <w:lang w:val="en-GB"/>
        </w:rPr>
        <w:t>Journal of Applied Business, Taxation and Economics Research</w:t>
      </w:r>
      <w:r w:rsidRPr="008F2C45">
        <w:rPr>
          <w:lang w:val="en-GB"/>
        </w:rPr>
        <w:t>, 1(6), pp.566-576. DOI: 10.54408/</w:t>
      </w:r>
      <w:proofErr w:type="gramStart"/>
      <w:r w:rsidRPr="008F2C45">
        <w:rPr>
          <w:lang w:val="en-GB"/>
        </w:rPr>
        <w:t>jabter.v</w:t>
      </w:r>
      <w:proofErr w:type="gramEnd"/>
      <w:r w:rsidRPr="008F2C45">
        <w:rPr>
          <w:lang w:val="en-GB"/>
        </w:rPr>
        <w:t xml:space="preserve">1i6.103  </w:t>
      </w:r>
    </w:p>
    <w:p w14:paraId="42B6D796" w14:textId="77777777" w:rsidR="00722BAA" w:rsidRPr="008F2C45" w:rsidRDefault="00722BAA" w:rsidP="008F2C45">
      <w:pPr>
        <w:spacing w:before="120" w:after="120"/>
        <w:rPr>
          <w:lang w:val="en-GB"/>
        </w:rPr>
      </w:pPr>
      <w:r w:rsidRPr="008F2C45">
        <w:rPr>
          <w:lang w:val="en-GB"/>
        </w:rPr>
        <w:t xml:space="preserve">Sibanda, M., </w:t>
      </w:r>
      <w:proofErr w:type="spellStart"/>
      <w:r w:rsidRPr="008F2C45">
        <w:rPr>
          <w:lang w:val="en-GB"/>
        </w:rPr>
        <w:t>Moyo</w:t>
      </w:r>
      <w:proofErr w:type="spellEnd"/>
      <w:r w:rsidRPr="008F2C45">
        <w:rPr>
          <w:lang w:val="en-GB"/>
        </w:rPr>
        <w:t xml:space="preserve">, E., </w:t>
      </w:r>
      <w:proofErr w:type="spellStart"/>
      <w:r w:rsidRPr="008F2C45">
        <w:rPr>
          <w:lang w:val="en-GB"/>
        </w:rPr>
        <w:t>Dzinamarira</w:t>
      </w:r>
      <w:proofErr w:type="spellEnd"/>
      <w:r w:rsidRPr="008F2C45">
        <w:rPr>
          <w:lang w:val="en-GB"/>
        </w:rPr>
        <w:t xml:space="preserve">, T. and </w:t>
      </w:r>
      <w:proofErr w:type="spellStart"/>
      <w:r w:rsidRPr="008F2C45">
        <w:rPr>
          <w:lang w:val="en-GB"/>
        </w:rPr>
        <w:t>Murewanhema</w:t>
      </w:r>
      <w:proofErr w:type="spellEnd"/>
      <w:r w:rsidRPr="008F2C45">
        <w:rPr>
          <w:lang w:val="en-GB"/>
        </w:rPr>
        <w:t xml:space="preserve">, G. (2023). Application of Kotter’s 8-steps model to reduce maternal mortality due to third delay in sub-Saharan Africa. </w:t>
      </w:r>
      <w:r w:rsidRPr="008F2C45">
        <w:rPr>
          <w:i/>
          <w:iCs/>
          <w:lang w:val="en-GB"/>
        </w:rPr>
        <w:t>International Journal of Africa Nursing Sciences</w:t>
      </w:r>
      <w:r w:rsidRPr="008F2C45">
        <w:rPr>
          <w:lang w:val="en-GB"/>
        </w:rPr>
        <w:t xml:space="preserve">, [online] 20(100651), pp.100651–100651. </w:t>
      </w:r>
      <w:proofErr w:type="spellStart"/>
      <w:proofErr w:type="gramStart"/>
      <w:r w:rsidRPr="008F2C45">
        <w:rPr>
          <w:lang w:val="en-GB"/>
        </w:rPr>
        <w:t>doi:https</w:t>
      </w:r>
      <w:proofErr w:type="spellEnd"/>
      <w:r w:rsidRPr="008F2C45">
        <w:rPr>
          <w:lang w:val="en-GB"/>
        </w:rPr>
        <w:t>://doi.org/10.1016/j.ijans.2023.100651</w:t>
      </w:r>
      <w:proofErr w:type="gramEnd"/>
      <w:r w:rsidRPr="008F2C45">
        <w:rPr>
          <w:lang w:val="en-GB"/>
        </w:rPr>
        <w:t>.</w:t>
      </w:r>
    </w:p>
    <w:p w14:paraId="7B7975D9" w14:textId="77777777" w:rsidR="00722BAA" w:rsidRPr="008F2C45" w:rsidRDefault="00722BAA" w:rsidP="008F2C45">
      <w:pPr>
        <w:spacing w:before="120" w:after="120"/>
        <w:rPr>
          <w:lang w:val="en-GB"/>
        </w:rPr>
      </w:pPr>
      <w:r w:rsidRPr="008F2C45">
        <w:rPr>
          <w:lang w:val="en-GB"/>
        </w:rPr>
        <w:lastRenderedPageBreak/>
        <w:t xml:space="preserve">Smartsheet. (2019). </w:t>
      </w:r>
      <w:r w:rsidRPr="008F2C45">
        <w:rPr>
          <w:i/>
          <w:iCs/>
          <w:lang w:val="en-GB"/>
        </w:rPr>
        <w:t>How to Implement PDSA in Your Organization | Smartsheet</w:t>
      </w:r>
      <w:r w:rsidRPr="008F2C45">
        <w:rPr>
          <w:lang w:val="en-GB"/>
        </w:rPr>
        <w:t>. [online] Available at: https://www.smartsheet.com/content/plan-do-study-act-guide?srsltid=AfmBOoqZ-2ppNVzuT2eMCB4_UmKG8U7WC76IkKNgjnZRpzU-895F2nBB [Accessed 10 Nov. 2025].</w:t>
      </w:r>
    </w:p>
    <w:p w14:paraId="7DAAF64C" w14:textId="77777777" w:rsidR="00722BAA" w:rsidRPr="008F2C45" w:rsidRDefault="00722BAA" w:rsidP="008F2C45">
      <w:pPr>
        <w:spacing w:before="120" w:after="120"/>
        <w:rPr>
          <w:lang w:val="en-GB"/>
        </w:rPr>
      </w:pPr>
      <w:r w:rsidRPr="008F2C45">
        <w:rPr>
          <w:lang w:val="en-GB"/>
        </w:rPr>
        <w:t xml:space="preserve">Smith, T.G., </w:t>
      </w:r>
      <w:proofErr w:type="spellStart"/>
      <w:r w:rsidRPr="008F2C45">
        <w:rPr>
          <w:lang w:val="en-GB"/>
        </w:rPr>
        <w:t>Norasi</w:t>
      </w:r>
      <w:proofErr w:type="spellEnd"/>
      <w:r w:rsidRPr="008F2C45">
        <w:rPr>
          <w:lang w:val="en-GB"/>
        </w:rPr>
        <w:t xml:space="preserve">, H., Herbst, K.M., Kendrick, M.L., Curry, T.B., </w:t>
      </w:r>
      <w:proofErr w:type="spellStart"/>
      <w:r w:rsidRPr="008F2C45">
        <w:rPr>
          <w:lang w:val="en-GB"/>
        </w:rPr>
        <w:t>Grantcharov</w:t>
      </w:r>
      <w:proofErr w:type="spellEnd"/>
      <w:r w:rsidRPr="008F2C45">
        <w:rPr>
          <w:lang w:val="en-GB"/>
        </w:rPr>
        <w:t xml:space="preserve">, T.P., Palter, V.N., </w:t>
      </w:r>
      <w:proofErr w:type="spellStart"/>
      <w:r w:rsidRPr="008F2C45">
        <w:rPr>
          <w:lang w:val="en-GB"/>
        </w:rPr>
        <w:t>Hallbeck</w:t>
      </w:r>
      <w:proofErr w:type="spellEnd"/>
      <w:r w:rsidRPr="008F2C45">
        <w:rPr>
          <w:lang w:val="en-GB"/>
        </w:rPr>
        <w:t xml:space="preserve">, M.S. and Cleary, S.P. (2022). Creating a Practical Transformational Change Management Model for Novel Artificial Intelligence–Enabled Technology Implementation in the Operating Room. </w:t>
      </w:r>
      <w:r w:rsidRPr="008F2C45">
        <w:rPr>
          <w:i/>
          <w:iCs/>
          <w:lang w:val="en-GB"/>
        </w:rPr>
        <w:t>Mayo Clinic Proceedings: Innovations, Quality &amp; Outcomes</w:t>
      </w:r>
      <w:r w:rsidRPr="008F2C45">
        <w:rPr>
          <w:lang w:val="en-GB"/>
        </w:rPr>
        <w:t xml:space="preserve">, [online] 6(6), pp.584–596. </w:t>
      </w:r>
      <w:proofErr w:type="spellStart"/>
      <w:proofErr w:type="gramStart"/>
      <w:r w:rsidRPr="008F2C45">
        <w:rPr>
          <w:lang w:val="en-GB"/>
        </w:rPr>
        <w:t>doi:https</w:t>
      </w:r>
      <w:proofErr w:type="spellEnd"/>
      <w:r w:rsidRPr="008F2C45">
        <w:rPr>
          <w:lang w:val="en-GB"/>
        </w:rPr>
        <w:t>://doi.org/10.1016/j.mayocpiqo.2022.09.004</w:t>
      </w:r>
      <w:proofErr w:type="gramEnd"/>
      <w:r w:rsidRPr="008F2C45">
        <w:rPr>
          <w:lang w:val="en-GB"/>
        </w:rPr>
        <w:t>.</w:t>
      </w:r>
    </w:p>
    <w:p w14:paraId="22B7B42D" w14:textId="77777777" w:rsidR="00722BAA" w:rsidRPr="008F2C45" w:rsidRDefault="00722BAA" w:rsidP="008F2C45">
      <w:pPr>
        <w:spacing w:before="120" w:after="120"/>
        <w:rPr>
          <w:lang w:val="en-GB"/>
        </w:rPr>
      </w:pPr>
      <w:r w:rsidRPr="008F2C45">
        <w:rPr>
          <w:lang w:val="en-GB"/>
        </w:rPr>
        <w:t xml:space="preserve">The Guardian. (2025). </w:t>
      </w:r>
      <w:r w:rsidRPr="008F2C45">
        <w:rPr>
          <w:i/>
          <w:iCs/>
          <w:lang w:val="en-GB"/>
        </w:rPr>
        <w:t xml:space="preserve">Lucy </w:t>
      </w:r>
      <w:proofErr w:type="spellStart"/>
      <w:r w:rsidRPr="008F2C45">
        <w:rPr>
          <w:i/>
          <w:iCs/>
          <w:lang w:val="en-GB"/>
        </w:rPr>
        <w:t>Letby</w:t>
      </w:r>
      <w:proofErr w:type="spellEnd"/>
      <w:r w:rsidRPr="008F2C45">
        <w:rPr>
          <w:i/>
          <w:iCs/>
          <w:lang w:val="en-GB"/>
        </w:rPr>
        <w:t xml:space="preserve"> murder convictions: what did the expert panel find?</w:t>
      </w:r>
      <w:r w:rsidRPr="008F2C45">
        <w:rPr>
          <w:lang w:val="en-GB"/>
        </w:rPr>
        <w:t xml:space="preserve"> [online]. Available at: https://www.theguardian.com/uk-news/2025/feb/04/lucy-letby-convictions-what-did-the-expert-panel-find [Accessed 10 Nov. 2025].</w:t>
      </w:r>
    </w:p>
    <w:p w14:paraId="7C87F1D8" w14:textId="77777777" w:rsidR="00722BAA" w:rsidRPr="008F2C45" w:rsidRDefault="00722BAA" w:rsidP="008F2C45">
      <w:pPr>
        <w:spacing w:before="120" w:after="120"/>
        <w:rPr>
          <w:lang w:val="en-GB"/>
        </w:rPr>
      </w:pPr>
      <w:r w:rsidRPr="008F2C45">
        <w:rPr>
          <w:lang w:val="en-GB"/>
        </w:rPr>
        <w:t xml:space="preserve">Thomas, R. (2025). </w:t>
      </w:r>
      <w:r w:rsidRPr="008F2C45">
        <w:rPr>
          <w:i/>
          <w:iCs/>
          <w:lang w:val="en-GB"/>
        </w:rPr>
        <w:t xml:space="preserve">Lucy </w:t>
      </w:r>
      <w:proofErr w:type="spellStart"/>
      <w:r w:rsidRPr="008F2C45">
        <w:rPr>
          <w:i/>
          <w:iCs/>
          <w:lang w:val="en-GB"/>
        </w:rPr>
        <w:t>Letby’s</w:t>
      </w:r>
      <w:proofErr w:type="spellEnd"/>
      <w:r w:rsidRPr="008F2C45">
        <w:rPr>
          <w:i/>
          <w:iCs/>
          <w:lang w:val="en-GB"/>
        </w:rPr>
        <w:t xml:space="preserve"> hospital slammed for A&amp;E failings over ‘unsafe’ corridor care that left elderly patients deliriou</w:t>
      </w:r>
      <w:r w:rsidRPr="008F2C45">
        <w:rPr>
          <w:lang w:val="en-GB"/>
        </w:rPr>
        <w:t>s. [online] The Independent. Available at: https://www.independent.co.uk/news/health/lucy-letby-countess-of-chester-failings-cqc-b2804273.html [Accessed 10 Nov. 2025].</w:t>
      </w:r>
    </w:p>
    <w:p w14:paraId="0655E0F6" w14:textId="77777777" w:rsidR="00722BAA" w:rsidRPr="008F2C45" w:rsidRDefault="00722BAA" w:rsidP="008F2C45">
      <w:pPr>
        <w:spacing w:before="120" w:after="120"/>
        <w:rPr>
          <w:lang w:val="en-GB"/>
        </w:rPr>
      </w:pPr>
      <w:r w:rsidRPr="008F2C45">
        <w:rPr>
          <w:lang w:val="en-GB"/>
        </w:rPr>
        <w:t xml:space="preserve">Villeneuve, E., </w:t>
      </w:r>
      <w:proofErr w:type="spellStart"/>
      <w:r w:rsidRPr="008F2C45">
        <w:rPr>
          <w:lang w:val="en-GB"/>
        </w:rPr>
        <w:t>Landa</w:t>
      </w:r>
      <w:proofErr w:type="spellEnd"/>
      <w:r w:rsidRPr="008F2C45">
        <w:rPr>
          <w:lang w:val="en-GB"/>
        </w:rPr>
        <w:t xml:space="preserve">, P., Allen, M., Spencer, A., Prosser, S., Gibson, A., Kelsey, K., </w:t>
      </w:r>
      <w:proofErr w:type="spellStart"/>
      <w:r w:rsidRPr="008F2C45">
        <w:rPr>
          <w:lang w:val="en-GB"/>
        </w:rPr>
        <w:t>Mujica</w:t>
      </w:r>
      <w:proofErr w:type="spellEnd"/>
      <w:r w:rsidRPr="008F2C45">
        <w:rPr>
          <w:lang w:val="en-GB"/>
        </w:rPr>
        <w:t xml:space="preserve">-Mota, R., </w:t>
      </w:r>
      <w:proofErr w:type="spellStart"/>
      <w:r w:rsidRPr="008F2C45">
        <w:rPr>
          <w:lang w:val="en-GB"/>
        </w:rPr>
        <w:t>Manktelow</w:t>
      </w:r>
      <w:proofErr w:type="spellEnd"/>
      <w:r w:rsidRPr="008F2C45">
        <w:rPr>
          <w:lang w:val="en-GB"/>
        </w:rPr>
        <w:t xml:space="preserve">, B., Modi, N., Thornton, S. and Pitt, M. (2018). </w:t>
      </w:r>
      <w:r w:rsidRPr="008F2C45">
        <w:rPr>
          <w:i/>
          <w:iCs/>
          <w:lang w:val="en-GB"/>
        </w:rPr>
        <w:t>Clinical setting</w:t>
      </w:r>
      <w:r w:rsidRPr="008F2C45">
        <w:rPr>
          <w:lang w:val="en-GB"/>
        </w:rPr>
        <w:t>. [online] Nih.gov. Available at: https://www.ncbi.nlm.nih.gov/books/NBK532156/ [Accessed 6 Aug. 2025].</w:t>
      </w:r>
    </w:p>
    <w:p w14:paraId="27A3E9A7" w14:textId="77777777" w:rsidR="004C6993" w:rsidRPr="008F2C45" w:rsidRDefault="004C6993" w:rsidP="008F2C45">
      <w:pPr>
        <w:pStyle w:val="Normal1"/>
        <w:spacing w:before="120" w:after="120"/>
        <w:rPr>
          <w:lang w:val="en-GB"/>
        </w:rPr>
      </w:pPr>
    </w:p>
    <w:sectPr w:rsidR="004C6993" w:rsidRPr="008F2C45" w:rsidSect="00D07E52">
      <w:footerReference w:type="default" r:id="rId1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102631" w14:textId="77777777" w:rsidR="00D07E52" w:rsidRDefault="00D07E52" w:rsidP="004463EE">
      <w:pPr>
        <w:spacing w:line="240" w:lineRule="auto"/>
      </w:pPr>
      <w:r>
        <w:separator/>
      </w:r>
    </w:p>
  </w:endnote>
  <w:endnote w:type="continuationSeparator" w:id="0">
    <w:p w14:paraId="165D3E2A" w14:textId="77777777" w:rsidR="00D07E52" w:rsidRDefault="00D07E52" w:rsidP="004463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04612D54-4F85-4F2A-B4BE-EC6C010A660D}"/>
  </w:font>
  <w:font w:name="Calibri">
    <w:panose1 w:val="020F0502020204030204"/>
    <w:charset w:val="00"/>
    <w:family w:val="swiss"/>
    <w:pitch w:val="variable"/>
    <w:sig w:usb0="E4002EFF" w:usb1="C200247B" w:usb2="00000009" w:usb3="00000000" w:csb0="000001FF" w:csb1="00000000"/>
    <w:embedRegular r:id="rId2" w:fontKey="{5EE17521-E4DF-40A4-96DE-FC6BB55985F0}"/>
    <w:embedBold r:id="rId3" w:fontKey="{799FD3D9-6DC7-4B20-8570-DA80BC66D392}"/>
  </w:font>
  <w:font w:name="Cambria">
    <w:panose1 w:val="02040503050406030204"/>
    <w:charset w:val="00"/>
    <w:family w:val="roman"/>
    <w:pitch w:val="variable"/>
    <w:sig w:usb0="E00006FF" w:usb1="420024FF" w:usb2="02000000" w:usb3="00000000" w:csb0="0000019F" w:csb1="00000000"/>
    <w:embedRegular r:id="rId4" w:fontKey="{CC81574C-1556-426B-8C00-369E3D0C55B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2757001"/>
      <w:docPartObj>
        <w:docPartGallery w:val="Page Numbers (Bottom of Page)"/>
        <w:docPartUnique/>
      </w:docPartObj>
    </w:sdtPr>
    <w:sdtContent>
      <w:p w14:paraId="62071AB3" w14:textId="77777777" w:rsidR="004463EE" w:rsidRDefault="00F30E2D">
        <w:pPr>
          <w:pStyle w:val="Footer"/>
          <w:jc w:val="right"/>
        </w:pPr>
        <w:r>
          <w:fldChar w:fldCharType="begin"/>
        </w:r>
        <w:r w:rsidR="00C81907">
          <w:instrText xml:space="preserve"> PAGE   \* MERGEFORMAT </w:instrText>
        </w:r>
        <w:r>
          <w:fldChar w:fldCharType="separate"/>
        </w:r>
        <w:r w:rsidR="00F652B3">
          <w:rPr>
            <w:noProof/>
          </w:rPr>
          <w:t>5</w:t>
        </w:r>
        <w:r>
          <w:rPr>
            <w:noProof/>
          </w:rPr>
          <w:fldChar w:fldCharType="end"/>
        </w:r>
      </w:p>
    </w:sdtContent>
  </w:sdt>
  <w:p w14:paraId="459820F7" w14:textId="77777777" w:rsidR="004463EE" w:rsidRDefault="004463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A25152" w14:textId="77777777" w:rsidR="00D07E52" w:rsidRDefault="00D07E52" w:rsidP="004463EE">
      <w:pPr>
        <w:spacing w:line="240" w:lineRule="auto"/>
      </w:pPr>
      <w:r>
        <w:separator/>
      </w:r>
    </w:p>
  </w:footnote>
  <w:footnote w:type="continuationSeparator" w:id="0">
    <w:p w14:paraId="5557E3E6" w14:textId="77777777" w:rsidR="00D07E52" w:rsidRDefault="00D07E52" w:rsidP="004463E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E04BD"/>
    <w:multiLevelType w:val="multilevel"/>
    <w:tmpl w:val="CC2C4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263321"/>
    <w:multiLevelType w:val="multilevel"/>
    <w:tmpl w:val="62B638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855A82"/>
    <w:multiLevelType w:val="multilevel"/>
    <w:tmpl w:val="ECE48B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B296509"/>
    <w:multiLevelType w:val="multilevel"/>
    <w:tmpl w:val="8F80AA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18612884">
    <w:abstractNumId w:val="1"/>
  </w:num>
  <w:num w:numId="2" w16cid:durableId="1619337111">
    <w:abstractNumId w:val="3"/>
  </w:num>
  <w:num w:numId="3" w16cid:durableId="523640577">
    <w:abstractNumId w:val="2"/>
  </w:num>
  <w:num w:numId="4" w16cid:durableId="1387142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C6993"/>
    <w:rsid w:val="00087BB0"/>
    <w:rsid w:val="001223E8"/>
    <w:rsid w:val="001B5527"/>
    <w:rsid w:val="001D5787"/>
    <w:rsid w:val="002A6D29"/>
    <w:rsid w:val="00316936"/>
    <w:rsid w:val="00355C69"/>
    <w:rsid w:val="003C6555"/>
    <w:rsid w:val="00443E2B"/>
    <w:rsid w:val="004463EE"/>
    <w:rsid w:val="0049124E"/>
    <w:rsid w:val="004C6993"/>
    <w:rsid w:val="004F5BFA"/>
    <w:rsid w:val="0059727D"/>
    <w:rsid w:val="005F4804"/>
    <w:rsid w:val="00622D1C"/>
    <w:rsid w:val="00722BAA"/>
    <w:rsid w:val="0072440E"/>
    <w:rsid w:val="0075640E"/>
    <w:rsid w:val="00773715"/>
    <w:rsid w:val="007A7423"/>
    <w:rsid w:val="00860C87"/>
    <w:rsid w:val="00877B7E"/>
    <w:rsid w:val="008909A8"/>
    <w:rsid w:val="008D00CD"/>
    <w:rsid w:val="008E4592"/>
    <w:rsid w:val="008F2C45"/>
    <w:rsid w:val="00957679"/>
    <w:rsid w:val="00AE377D"/>
    <w:rsid w:val="00AF57DF"/>
    <w:rsid w:val="00B17659"/>
    <w:rsid w:val="00BD3038"/>
    <w:rsid w:val="00BE11BC"/>
    <w:rsid w:val="00C81907"/>
    <w:rsid w:val="00CA5922"/>
    <w:rsid w:val="00D07E52"/>
    <w:rsid w:val="00E03967"/>
    <w:rsid w:val="00E20877"/>
    <w:rsid w:val="00E32664"/>
    <w:rsid w:val="00F1737A"/>
    <w:rsid w:val="00F30E2D"/>
    <w:rsid w:val="00F5336B"/>
    <w:rsid w:val="00F652B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B4224"/>
  <w15:docId w15:val="{1B387A60-69C0-4072-A878-C91EDD171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877"/>
  </w:style>
  <w:style w:type="paragraph" w:styleId="Heading1">
    <w:name w:val="heading 1"/>
    <w:basedOn w:val="Normal1"/>
    <w:next w:val="Normal1"/>
    <w:rsid w:val="004C6993"/>
    <w:pPr>
      <w:keepNext/>
      <w:keepLines/>
      <w:outlineLvl w:val="0"/>
    </w:pPr>
    <w:rPr>
      <w:b/>
      <w:bCs/>
      <w:sz w:val="28"/>
      <w:szCs w:val="28"/>
    </w:rPr>
  </w:style>
  <w:style w:type="paragraph" w:styleId="Heading2">
    <w:name w:val="heading 2"/>
    <w:basedOn w:val="Normal1"/>
    <w:next w:val="Normal1"/>
    <w:qFormat/>
    <w:rsid w:val="004C6993"/>
    <w:pPr>
      <w:keepNext/>
      <w:keepLines/>
      <w:outlineLvl w:val="1"/>
    </w:pPr>
    <w:rPr>
      <w:b/>
      <w:bCs/>
      <w:sz w:val="24"/>
      <w:szCs w:val="24"/>
    </w:rPr>
  </w:style>
  <w:style w:type="paragraph" w:styleId="Heading3">
    <w:name w:val="heading 3"/>
    <w:basedOn w:val="Normal1"/>
    <w:next w:val="Normal1"/>
    <w:qFormat/>
    <w:rsid w:val="004C6993"/>
    <w:pPr>
      <w:keepNext/>
      <w:keepLines/>
      <w:spacing w:before="320" w:after="80"/>
      <w:outlineLvl w:val="2"/>
    </w:pPr>
    <w:rPr>
      <w:color w:val="434343"/>
      <w:sz w:val="28"/>
      <w:szCs w:val="28"/>
    </w:rPr>
  </w:style>
  <w:style w:type="paragraph" w:styleId="Heading4">
    <w:name w:val="heading 4"/>
    <w:basedOn w:val="Normal1"/>
    <w:next w:val="Normal1"/>
    <w:rsid w:val="004C6993"/>
    <w:pPr>
      <w:keepNext/>
      <w:keepLines/>
      <w:spacing w:before="280" w:after="80"/>
      <w:outlineLvl w:val="3"/>
    </w:pPr>
    <w:rPr>
      <w:color w:val="666666"/>
      <w:sz w:val="24"/>
      <w:szCs w:val="24"/>
    </w:rPr>
  </w:style>
  <w:style w:type="paragraph" w:styleId="Heading5">
    <w:name w:val="heading 5"/>
    <w:basedOn w:val="Normal1"/>
    <w:next w:val="Normal1"/>
    <w:rsid w:val="004C6993"/>
    <w:pPr>
      <w:keepNext/>
      <w:keepLines/>
      <w:spacing w:before="240" w:after="80"/>
      <w:outlineLvl w:val="4"/>
    </w:pPr>
    <w:rPr>
      <w:color w:val="666666"/>
    </w:rPr>
  </w:style>
  <w:style w:type="paragraph" w:styleId="Heading6">
    <w:name w:val="heading 6"/>
    <w:basedOn w:val="Normal1"/>
    <w:next w:val="Normal1"/>
    <w:rsid w:val="004C6993"/>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C6993"/>
    <w:tblPr>
      <w:tblCellMar>
        <w:top w:w="100" w:type="dxa"/>
        <w:left w:w="100" w:type="dxa"/>
        <w:bottom w:w="100" w:type="dxa"/>
        <w:right w:w="100" w:type="dxa"/>
      </w:tblCellMar>
    </w:tblPr>
  </w:style>
  <w:style w:type="paragraph" w:customStyle="1" w:styleId="Normal1">
    <w:name w:val="Normal1"/>
    <w:rsid w:val="004C6993"/>
  </w:style>
  <w:style w:type="paragraph" w:styleId="Title">
    <w:name w:val="Title"/>
    <w:basedOn w:val="Normal1"/>
    <w:next w:val="Normal1"/>
    <w:rsid w:val="004C6993"/>
    <w:pPr>
      <w:keepNext/>
      <w:keepLines/>
      <w:spacing w:after="60"/>
    </w:pPr>
    <w:rPr>
      <w:sz w:val="52"/>
      <w:szCs w:val="52"/>
    </w:rPr>
  </w:style>
  <w:style w:type="paragraph" w:styleId="Subtitle">
    <w:name w:val="Subtitle"/>
    <w:basedOn w:val="Normal1"/>
    <w:next w:val="Normal1"/>
    <w:rsid w:val="004C6993"/>
    <w:pPr>
      <w:keepNext/>
      <w:keepLines/>
      <w:spacing w:after="320"/>
    </w:pPr>
    <w:rPr>
      <w:color w:val="666666"/>
      <w:sz w:val="30"/>
      <w:szCs w:val="30"/>
    </w:rPr>
  </w:style>
  <w:style w:type="table" w:customStyle="1" w:styleId="a">
    <w:basedOn w:val="TableNormal0"/>
    <w:rsid w:val="004C6993"/>
    <w:tblPr>
      <w:tblStyleRowBandSize w:val="1"/>
      <w:tblStyleColBandSize w:val="1"/>
    </w:tblPr>
  </w:style>
  <w:style w:type="table" w:customStyle="1" w:styleId="a0">
    <w:basedOn w:val="TableNormal0"/>
    <w:rsid w:val="004C6993"/>
    <w:tblPr>
      <w:tblStyleRowBandSize w:val="1"/>
      <w:tblStyleColBandSize w:val="1"/>
    </w:tblPr>
  </w:style>
  <w:style w:type="table" w:customStyle="1" w:styleId="a1">
    <w:basedOn w:val="TableNormal0"/>
    <w:rsid w:val="004C6993"/>
    <w:tblPr>
      <w:tblStyleRowBandSize w:val="1"/>
      <w:tblStyleColBandSize w:val="1"/>
    </w:tblPr>
  </w:style>
  <w:style w:type="paragraph" w:styleId="Header">
    <w:name w:val="header"/>
    <w:basedOn w:val="Normal"/>
    <w:link w:val="HeaderChar"/>
    <w:uiPriority w:val="99"/>
    <w:semiHidden/>
    <w:unhideWhenUsed/>
    <w:rsid w:val="004463E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463EE"/>
  </w:style>
  <w:style w:type="paragraph" w:styleId="Footer">
    <w:name w:val="footer"/>
    <w:basedOn w:val="Normal"/>
    <w:link w:val="FooterChar"/>
    <w:uiPriority w:val="99"/>
    <w:unhideWhenUsed/>
    <w:rsid w:val="004463EE"/>
    <w:pPr>
      <w:tabs>
        <w:tab w:val="center" w:pos="4680"/>
        <w:tab w:val="right" w:pos="9360"/>
      </w:tabs>
      <w:spacing w:line="240" w:lineRule="auto"/>
    </w:pPr>
  </w:style>
  <w:style w:type="character" w:customStyle="1" w:styleId="FooterChar">
    <w:name w:val="Footer Char"/>
    <w:basedOn w:val="DefaultParagraphFont"/>
    <w:link w:val="Footer"/>
    <w:uiPriority w:val="99"/>
    <w:rsid w:val="004463EE"/>
  </w:style>
  <w:style w:type="paragraph" w:styleId="BalloonText">
    <w:name w:val="Balloon Text"/>
    <w:basedOn w:val="Normal"/>
    <w:link w:val="BalloonTextChar"/>
    <w:uiPriority w:val="99"/>
    <w:semiHidden/>
    <w:unhideWhenUsed/>
    <w:rsid w:val="004463E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63EE"/>
    <w:rPr>
      <w:rFonts w:ascii="Tahoma" w:hAnsi="Tahoma" w:cs="Tahoma"/>
      <w:sz w:val="16"/>
      <w:szCs w:val="16"/>
    </w:rPr>
  </w:style>
  <w:style w:type="paragraph" w:styleId="TOCHeading">
    <w:name w:val="TOC Heading"/>
    <w:basedOn w:val="Heading1"/>
    <w:next w:val="Normal"/>
    <w:uiPriority w:val="39"/>
    <w:semiHidden/>
    <w:unhideWhenUsed/>
    <w:qFormat/>
    <w:rsid w:val="00722BAA"/>
    <w:pPr>
      <w:spacing w:before="480" w:line="276" w:lineRule="auto"/>
      <w:jc w:val="left"/>
      <w:outlineLvl w:val="9"/>
    </w:pPr>
    <w:rPr>
      <w:rFonts w:asciiTheme="majorHAnsi" w:eastAsiaTheme="majorEastAsia" w:hAnsiTheme="majorHAnsi" w:cstheme="majorBidi"/>
      <w:color w:val="365F91" w:themeColor="accent1" w:themeShade="BF"/>
    </w:rPr>
  </w:style>
  <w:style w:type="paragraph" w:styleId="TOC1">
    <w:name w:val="toc 1"/>
    <w:basedOn w:val="Normal"/>
    <w:next w:val="Normal"/>
    <w:autoRedefine/>
    <w:uiPriority w:val="39"/>
    <w:unhideWhenUsed/>
    <w:rsid w:val="00722BAA"/>
    <w:pPr>
      <w:spacing w:after="100"/>
    </w:pPr>
  </w:style>
  <w:style w:type="paragraph" w:styleId="TOC2">
    <w:name w:val="toc 2"/>
    <w:basedOn w:val="Normal"/>
    <w:next w:val="Normal"/>
    <w:autoRedefine/>
    <w:uiPriority w:val="39"/>
    <w:unhideWhenUsed/>
    <w:rsid w:val="00722BAA"/>
    <w:pPr>
      <w:spacing w:after="100"/>
      <w:ind w:left="220"/>
    </w:pPr>
  </w:style>
  <w:style w:type="character" w:styleId="Hyperlink">
    <w:name w:val="Hyperlink"/>
    <w:basedOn w:val="DefaultParagraphFont"/>
    <w:uiPriority w:val="99"/>
    <w:unhideWhenUsed/>
    <w:rsid w:val="00722BAA"/>
    <w:rPr>
      <w:color w:val="0000FF" w:themeColor="hyperlink"/>
      <w:u w:val="single"/>
    </w:rPr>
  </w:style>
  <w:style w:type="character" w:styleId="Strong">
    <w:name w:val="Strong"/>
    <w:basedOn w:val="DefaultParagraphFont"/>
    <w:uiPriority w:val="22"/>
    <w:qFormat/>
    <w:rsid w:val="00316936"/>
    <w:rPr>
      <w:b/>
      <w:bCs/>
    </w:rPr>
  </w:style>
  <w:style w:type="table" w:styleId="TableGridLight">
    <w:name w:val="Grid Table Light"/>
    <w:basedOn w:val="TableNormal"/>
    <w:uiPriority w:val="40"/>
    <w:rsid w:val="00AF57DF"/>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59"/>
    <w:rsid w:val="00AF57D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62126">
      <w:bodyDiv w:val="1"/>
      <w:marLeft w:val="0"/>
      <w:marRight w:val="0"/>
      <w:marTop w:val="0"/>
      <w:marBottom w:val="0"/>
      <w:divBdr>
        <w:top w:val="none" w:sz="0" w:space="0" w:color="auto"/>
        <w:left w:val="none" w:sz="0" w:space="0" w:color="auto"/>
        <w:bottom w:val="none" w:sz="0" w:space="0" w:color="auto"/>
        <w:right w:val="none" w:sz="0" w:space="0" w:color="auto"/>
      </w:divBdr>
    </w:div>
    <w:div w:id="98258304">
      <w:bodyDiv w:val="1"/>
      <w:marLeft w:val="0"/>
      <w:marRight w:val="0"/>
      <w:marTop w:val="0"/>
      <w:marBottom w:val="0"/>
      <w:divBdr>
        <w:top w:val="none" w:sz="0" w:space="0" w:color="auto"/>
        <w:left w:val="none" w:sz="0" w:space="0" w:color="auto"/>
        <w:bottom w:val="none" w:sz="0" w:space="0" w:color="auto"/>
        <w:right w:val="none" w:sz="0" w:space="0" w:color="auto"/>
      </w:divBdr>
    </w:div>
    <w:div w:id="325667014">
      <w:bodyDiv w:val="1"/>
      <w:marLeft w:val="0"/>
      <w:marRight w:val="0"/>
      <w:marTop w:val="0"/>
      <w:marBottom w:val="0"/>
      <w:divBdr>
        <w:top w:val="none" w:sz="0" w:space="0" w:color="auto"/>
        <w:left w:val="none" w:sz="0" w:space="0" w:color="auto"/>
        <w:bottom w:val="none" w:sz="0" w:space="0" w:color="auto"/>
        <w:right w:val="none" w:sz="0" w:space="0" w:color="auto"/>
      </w:divBdr>
    </w:div>
    <w:div w:id="333651799">
      <w:bodyDiv w:val="1"/>
      <w:marLeft w:val="0"/>
      <w:marRight w:val="0"/>
      <w:marTop w:val="0"/>
      <w:marBottom w:val="0"/>
      <w:divBdr>
        <w:top w:val="none" w:sz="0" w:space="0" w:color="auto"/>
        <w:left w:val="none" w:sz="0" w:space="0" w:color="auto"/>
        <w:bottom w:val="none" w:sz="0" w:space="0" w:color="auto"/>
        <w:right w:val="none" w:sz="0" w:space="0" w:color="auto"/>
      </w:divBdr>
    </w:div>
    <w:div w:id="369570090">
      <w:bodyDiv w:val="1"/>
      <w:marLeft w:val="0"/>
      <w:marRight w:val="0"/>
      <w:marTop w:val="0"/>
      <w:marBottom w:val="0"/>
      <w:divBdr>
        <w:top w:val="none" w:sz="0" w:space="0" w:color="auto"/>
        <w:left w:val="none" w:sz="0" w:space="0" w:color="auto"/>
        <w:bottom w:val="none" w:sz="0" w:space="0" w:color="auto"/>
        <w:right w:val="none" w:sz="0" w:space="0" w:color="auto"/>
      </w:divBdr>
    </w:div>
    <w:div w:id="557281737">
      <w:bodyDiv w:val="1"/>
      <w:marLeft w:val="0"/>
      <w:marRight w:val="0"/>
      <w:marTop w:val="0"/>
      <w:marBottom w:val="0"/>
      <w:divBdr>
        <w:top w:val="none" w:sz="0" w:space="0" w:color="auto"/>
        <w:left w:val="none" w:sz="0" w:space="0" w:color="auto"/>
        <w:bottom w:val="none" w:sz="0" w:space="0" w:color="auto"/>
        <w:right w:val="none" w:sz="0" w:space="0" w:color="auto"/>
      </w:divBdr>
    </w:div>
    <w:div w:id="653148677">
      <w:bodyDiv w:val="1"/>
      <w:marLeft w:val="0"/>
      <w:marRight w:val="0"/>
      <w:marTop w:val="0"/>
      <w:marBottom w:val="0"/>
      <w:divBdr>
        <w:top w:val="none" w:sz="0" w:space="0" w:color="auto"/>
        <w:left w:val="none" w:sz="0" w:space="0" w:color="auto"/>
        <w:bottom w:val="none" w:sz="0" w:space="0" w:color="auto"/>
        <w:right w:val="none" w:sz="0" w:space="0" w:color="auto"/>
      </w:divBdr>
    </w:div>
    <w:div w:id="664557610">
      <w:bodyDiv w:val="1"/>
      <w:marLeft w:val="0"/>
      <w:marRight w:val="0"/>
      <w:marTop w:val="0"/>
      <w:marBottom w:val="0"/>
      <w:divBdr>
        <w:top w:val="none" w:sz="0" w:space="0" w:color="auto"/>
        <w:left w:val="none" w:sz="0" w:space="0" w:color="auto"/>
        <w:bottom w:val="none" w:sz="0" w:space="0" w:color="auto"/>
        <w:right w:val="none" w:sz="0" w:space="0" w:color="auto"/>
      </w:divBdr>
    </w:div>
    <w:div w:id="707409186">
      <w:bodyDiv w:val="1"/>
      <w:marLeft w:val="0"/>
      <w:marRight w:val="0"/>
      <w:marTop w:val="0"/>
      <w:marBottom w:val="0"/>
      <w:divBdr>
        <w:top w:val="none" w:sz="0" w:space="0" w:color="auto"/>
        <w:left w:val="none" w:sz="0" w:space="0" w:color="auto"/>
        <w:bottom w:val="none" w:sz="0" w:space="0" w:color="auto"/>
        <w:right w:val="none" w:sz="0" w:space="0" w:color="auto"/>
      </w:divBdr>
    </w:div>
    <w:div w:id="880365816">
      <w:bodyDiv w:val="1"/>
      <w:marLeft w:val="0"/>
      <w:marRight w:val="0"/>
      <w:marTop w:val="0"/>
      <w:marBottom w:val="0"/>
      <w:divBdr>
        <w:top w:val="none" w:sz="0" w:space="0" w:color="auto"/>
        <w:left w:val="none" w:sz="0" w:space="0" w:color="auto"/>
        <w:bottom w:val="none" w:sz="0" w:space="0" w:color="auto"/>
        <w:right w:val="none" w:sz="0" w:space="0" w:color="auto"/>
      </w:divBdr>
    </w:div>
    <w:div w:id="1129782344">
      <w:bodyDiv w:val="1"/>
      <w:marLeft w:val="0"/>
      <w:marRight w:val="0"/>
      <w:marTop w:val="0"/>
      <w:marBottom w:val="0"/>
      <w:divBdr>
        <w:top w:val="none" w:sz="0" w:space="0" w:color="auto"/>
        <w:left w:val="none" w:sz="0" w:space="0" w:color="auto"/>
        <w:bottom w:val="none" w:sz="0" w:space="0" w:color="auto"/>
        <w:right w:val="none" w:sz="0" w:space="0" w:color="auto"/>
      </w:divBdr>
    </w:div>
    <w:div w:id="1247810570">
      <w:bodyDiv w:val="1"/>
      <w:marLeft w:val="0"/>
      <w:marRight w:val="0"/>
      <w:marTop w:val="0"/>
      <w:marBottom w:val="0"/>
      <w:divBdr>
        <w:top w:val="none" w:sz="0" w:space="0" w:color="auto"/>
        <w:left w:val="none" w:sz="0" w:space="0" w:color="auto"/>
        <w:bottom w:val="none" w:sz="0" w:space="0" w:color="auto"/>
        <w:right w:val="none" w:sz="0" w:space="0" w:color="auto"/>
      </w:divBdr>
    </w:div>
    <w:div w:id="1295405086">
      <w:bodyDiv w:val="1"/>
      <w:marLeft w:val="0"/>
      <w:marRight w:val="0"/>
      <w:marTop w:val="0"/>
      <w:marBottom w:val="0"/>
      <w:divBdr>
        <w:top w:val="none" w:sz="0" w:space="0" w:color="auto"/>
        <w:left w:val="none" w:sz="0" w:space="0" w:color="auto"/>
        <w:bottom w:val="none" w:sz="0" w:space="0" w:color="auto"/>
        <w:right w:val="none" w:sz="0" w:space="0" w:color="auto"/>
      </w:divBdr>
    </w:div>
    <w:div w:id="1487697730">
      <w:bodyDiv w:val="1"/>
      <w:marLeft w:val="0"/>
      <w:marRight w:val="0"/>
      <w:marTop w:val="0"/>
      <w:marBottom w:val="0"/>
      <w:divBdr>
        <w:top w:val="none" w:sz="0" w:space="0" w:color="auto"/>
        <w:left w:val="none" w:sz="0" w:space="0" w:color="auto"/>
        <w:bottom w:val="none" w:sz="0" w:space="0" w:color="auto"/>
        <w:right w:val="none" w:sz="0" w:space="0" w:color="auto"/>
      </w:divBdr>
    </w:div>
    <w:div w:id="1715764992">
      <w:bodyDiv w:val="1"/>
      <w:marLeft w:val="0"/>
      <w:marRight w:val="0"/>
      <w:marTop w:val="0"/>
      <w:marBottom w:val="0"/>
      <w:divBdr>
        <w:top w:val="none" w:sz="0" w:space="0" w:color="auto"/>
        <w:left w:val="none" w:sz="0" w:space="0" w:color="auto"/>
        <w:bottom w:val="none" w:sz="0" w:space="0" w:color="auto"/>
        <w:right w:val="none" w:sz="0" w:space="0" w:color="auto"/>
      </w:divBdr>
    </w:div>
    <w:div w:id="1940211074">
      <w:bodyDiv w:val="1"/>
      <w:marLeft w:val="0"/>
      <w:marRight w:val="0"/>
      <w:marTop w:val="0"/>
      <w:marBottom w:val="0"/>
      <w:divBdr>
        <w:top w:val="none" w:sz="0" w:space="0" w:color="auto"/>
        <w:left w:val="none" w:sz="0" w:space="0" w:color="auto"/>
        <w:bottom w:val="none" w:sz="0" w:space="0" w:color="auto"/>
        <w:right w:val="none" w:sz="0" w:space="0" w:color="auto"/>
      </w:divBdr>
    </w:div>
    <w:div w:id="1971277507">
      <w:bodyDiv w:val="1"/>
      <w:marLeft w:val="0"/>
      <w:marRight w:val="0"/>
      <w:marTop w:val="0"/>
      <w:marBottom w:val="0"/>
      <w:divBdr>
        <w:top w:val="none" w:sz="0" w:space="0" w:color="auto"/>
        <w:left w:val="none" w:sz="0" w:space="0" w:color="auto"/>
        <w:bottom w:val="none" w:sz="0" w:space="0" w:color="auto"/>
        <w:right w:val="none" w:sz="0" w:space="0" w:color="auto"/>
      </w:divBdr>
    </w:div>
    <w:div w:id="19839244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m/news/articles/c15ln1j0dkko"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86/s12913-019-4482-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938C5E-3A31-4E23-A995-D082B794B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17</Pages>
  <Words>4104</Words>
  <Characters>23398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27448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53</cp:revision>
  <dcterms:created xsi:type="dcterms:W3CDTF">2025-11-10T14:05:00Z</dcterms:created>
  <dcterms:modified xsi:type="dcterms:W3CDTF">2025-11-26T17:58:00Z</dcterms:modified>
</cp:coreProperties>
</file>