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64FA2" w14:textId="77777777" w:rsidR="00604FDC" w:rsidRPr="0010020C" w:rsidRDefault="00604FDC" w:rsidP="00604FDC">
      <w:pPr>
        <w:widowControl/>
        <w:spacing w:after="160" w:line="276" w:lineRule="auto"/>
        <w:jc w:val="left"/>
        <w:rPr>
          <w:rFonts w:ascii="Aptos" w:eastAsia="Aptos" w:hAnsi="Aptos" w:cs="Times New Roman"/>
          <w:kern w:val="2"/>
          <w:szCs w:val="24"/>
          <w14:ligatures w14:val="standardContextual"/>
        </w:rPr>
      </w:pPr>
    </w:p>
    <w:p w14:paraId="3289BC04" w14:textId="77777777" w:rsidR="00604FDC" w:rsidRPr="0010020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r w:rsidRPr="0010020C">
        <w:rPr>
          <w:rFonts w:ascii="Aptos" w:eastAsia="Aptos" w:hAnsi="Aptos" w:cs="Times New Roman"/>
          <w:noProof/>
          <w:kern w:val="2"/>
          <w:szCs w:val="24"/>
          <w14:ligatures w14:val="standardContextual"/>
        </w:rPr>
        <w:drawing>
          <wp:inline distT="0" distB="0" distL="0" distR="0" wp14:anchorId="5E5681AA" wp14:editId="37B94BF3">
            <wp:extent cx="3657600" cy="2028825"/>
            <wp:effectExtent l="0" t="0" r="0"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57600" cy="2028825"/>
                    </a:xfrm>
                    <a:prstGeom prst="rect">
                      <a:avLst/>
                    </a:prstGeom>
                    <a:noFill/>
                    <a:ln>
                      <a:noFill/>
                    </a:ln>
                  </pic:spPr>
                </pic:pic>
              </a:graphicData>
            </a:graphic>
          </wp:inline>
        </w:drawing>
      </w:r>
    </w:p>
    <w:p w14:paraId="68FEA7D6" w14:textId="77777777" w:rsidR="00604FDC" w:rsidRPr="0010020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r w:rsidRPr="0010020C">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Module Title: Finance for Business Managers</w:t>
      </w:r>
    </w:p>
    <w:p w14:paraId="0C79BA67" w14:textId="77777777" w:rsidR="00604FDC" w:rsidRPr="0010020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r w:rsidRPr="0010020C">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Module Code: BMMB7005D</w:t>
      </w:r>
    </w:p>
    <w:p w14:paraId="34F0A5FC" w14:textId="77777777" w:rsidR="00604FDC" w:rsidRPr="0010020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r w:rsidRPr="0010020C">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Assignment: Westward Plc</w:t>
      </w:r>
    </w:p>
    <w:p w14:paraId="0F1C809A" w14:textId="77777777" w:rsidR="00604FD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p>
    <w:p w14:paraId="537E556F" w14:textId="77777777" w:rsidR="00604FD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p>
    <w:p w14:paraId="30A053B9" w14:textId="77777777" w:rsidR="00604FDC" w:rsidRPr="0010020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r w:rsidRPr="0010020C">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 xml:space="preserve">Student Name: </w:t>
      </w:r>
      <w: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Md Muzahid Khan</w:t>
      </w:r>
    </w:p>
    <w:p w14:paraId="11B8B63A" w14:textId="77777777" w:rsidR="00604FDC" w:rsidRPr="0010020C" w:rsidRDefault="00604FDC" w:rsidP="00604FDC">
      <w:pPr>
        <w:widowControl/>
        <w:spacing w:after="160"/>
        <w:jc w:val="center"/>
        <w:rPr>
          <w:rFonts w:ascii="Aptos" w:eastAsia="Aptos" w:hAnsi="Aptos" w:cs="Times New Roman"/>
          <w:color w:val="000000"/>
          <w:kern w:val="2"/>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r w:rsidRPr="0010020C">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 xml:space="preserve">Student ID: </w:t>
      </w:r>
      <w: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2434352</w:t>
      </w:r>
    </w:p>
    <w:p w14:paraId="763396A0" w14:textId="77777777" w:rsidR="00604FDC" w:rsidRPr="0010020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p>
    <w:p w14:paraId="342663DF" w14:textId="5E9CF11C" w:rsidR="00604FDC" w:rsidRPr="0010020C" w:rsidRDefault="00604FDC" w:rsidP="00604FDC">
      <w:pPr>
        <w:widowControl/>
        <w:spacing w:after="160"/>
        <w:jc w:val="cente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pPr>
      <w:r w:rsidRPr="0010020C">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 xml:space="preserve">Word Count: </w:t>
      </w:r>
      <w:r>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5442</w:t>
      </w:r>
      <w:r w:rsidRPr="0010020C">
        <w:rPr>
          <w:rFonts w:eastAsia="Aptos" w:cs="Times New Roman"/>
          <w:color w:val="000000"/>
          <w:kern w:val="2"/>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14:ligatures w14:val="standardContextual"/>
        </w:rPr>
        <w:t xml:space="preserve"> Words</w:t>
      </w:r>
    </w:p>
    <w:p w14:paraId="3FD243A5" w14:textId="5D010768" w:rsidR="00604FDC" w:rsidRDefault="00604FDC" w:rsidP="00604FDC">
      <w:pPr>
        <w:jc w:val="center"/>
        <w:rPr>
          <w:rFonts w:eastAsia="Aptos" w:cs="Times New Roman"/>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10020C">
        <w:rPr>
          <w:rFonts w:eastAsia="Aptos" w:cs="Times New Roman"/>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Submission Date: </w:t>
      </w:r>
      <w:r>
        <w:rPr>
          <w:rFonts w:eastAsia="Aptos" w:cs="Times New Roman"/>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20</w:t>
      </w:r>
      <w:r w:rsidRPr="00604FDC">
        <w:rPr>
          <w:rFonts w:eastAsia="Aptos" w:cs="Times New Roman"/>
          <w:color w:val="000000"/>
          <w:sz w:val="32"/>
          <w:szCs w:val="32"/>
          <w:vertAlign w:val="superscript"/>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w:t>
      </w:r>
      <w:r w:rsidRPr="0010020C">
        <w:rPr>
          <w:rFonts w:eastAsia="Aptos" w:cs="Times New Roman"/>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w:t>
      </w:r>
      <w:r>
        <w:rPr>
          <w:rFonts w:eastAsia="Aptos" w:cs="Times New Roman"/>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March</w:t>
      </w:r>
      <w:r w:rsidRPr="0010020C">
        <w:rPr>
          <w:rFonts w:eastAsia="Aptos" w:cs="Times New Roman"/>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 xml:space="preserve"> 2026</w:t>
      </w:r>
    </w:p>
    <w:p w14:paraId="0079DE6C" w14:textId="77777777" w:rsidR="00604FDC" w:rsidRDefault="00604FDC" w:rsidP="00604FDC">
      <w:pPr>
        <w:jc w:val="center"/>
      </w:pPr>
    </w:p>
    <w:p w14:paraId="06E998B8" w14:textId="489E2CDB" w:rsidR="00604FDC" w:rsidRDefault="00604FDC">
      <w:pPr>
        <w:spacing w:line="240" w:lineRule="auto"/>
        <w:jc w:val="left"/>
      </w:pPr>
      <w:r>
        <w:br w:type="page"/>
      </w:r>
    </w:p>
    <w:p w14:paraId="34F3E44C" w14:textId="30CEC1B2" w:rsidR="00DF11DE" w:rsidRPr="00141A3C" w:rsidRDefault="00000000" w:rsidP="008E2985">
      <w:pPr>
        <w:pStyle w:val="Heading1"/>
      </w:pPr>
      <w:bookmarkStart w:id="0" w:name="_Toc224863285"/>
      <w:r w:rsidRPr="00141A3C">
        <w:lastRenderedPageBreak/>
        <w:t>Executive Summary</w:t>
      </w:r>
      <w:bookmarkEnd w:id="0"/>
    </w:p>
    <w:p w14:paraId="21321AB5" w14:textId="02DFB050" w:rsidR="00423571" w:rsidRPr="00141A3C" w:rsidRDefault="00423571"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This report conduct</w:t>
      </w:r>
      <w:r w:rsidR="00617F85">
        <w:rPr>
          <w:rFonts w:eastAsia="Google Sans" w:cs="Times New Roman"/>
          <w:color w:val="1F1F1F"/>
        </w:rPr>
        <w:t>s</w:t>
      </w:r>
      <w:r w:rsidRPr="00141A3C">
        <w:rPr>
          <w:rFonts w:eastAsia="Google Sans" w:cs="Times New Roman"/>
          <w:color w:val="1F1F1F"/>
        </w:rPr>
        <w:t xml:space="preserve"> a </w:t>
      </w:r>
      <w:r w:rsidR="00617F85">
        <w:rPr>
          <w:rFonts w:eastAsia="Google Sans" w:cs="Times New Roman"/>
          <w:color w:val="1F1F1F"/>
        </w:rPr>
        <w:t xml:space="preserve">comprehensive </w:t>
      </w:r>
      <w:r w:rsidRPr="00141A3C">
        <w:rPr>
          <w:rFonts w:eastAsia="Google Sans" w:cs="Times New Roman"/>
          <w:color w:val="1F1F1F"/>
        </w:rPr>
        <w:t xml:space="preserve">financial analysis of two different corporate scenarios in order to make strategic management decision-making. Task 1 entails a critical analysis of the financial performance of Tesco PLC as of 2024 and 2025 on the basis of their year ending. </w:t>
      </w:r>
      <w:r w:rsidR="00617F85">
        <w:rPr>
          <w:rFonts w:eastAsia="Google Sans" w:cs="Times New Roman"/>
          <w:color w:val="1F1F1F"/>
        </w:rPr>
        <w:t>Based on</w:t>
      </w:r>
      <w:r w:rsidRPr="00141A3C">
        <w:rPr>
          <w:rFonts w:eastAsia="Google Sans" w:cs="Times New Roman"/>
          <w:color w:val="1F1F1F"/>
        </w:rPr>
        <w:t xml:space="preserve"> the ratio analysis, the results show that Tesco has been able to secure a strong financial position against a backdrop of harsh macroeconomic headwinds such as inflation and supply chain disruptions. Tesco only has a slight decrease in the operating margin to 3.88% and a stable gross profit margin of 7.22%, with inflationary costs being strategically absorbed to secure its market share against the small </w:t>
      </w:r>
      <w:r w:rsidR="008E2985" w:rsidRPr="00141A3C">
        <w:rPr>
          <w:rFonts w:eastAsia="Google Sans" w:cs="Times New Roman"/>
          <w:color w:val="1F1F1F"/>
        </w:rPr>
        <w:t>assortment’s</w:t>
      </w:r>
      <w:r w:rsidRPr="00141A3C">
        <w:rPr>
          <w:rFonts w:eastAsia="Google Sans" w:cs="Times New Roman"/>
          <w:color w:val="1F1F1F"/>
        </w:rPr>
        <w:t xml:space="preserve"> discounters. The decision to dispose of Tesco Bank brought about major changes in the liquidity and the gearing measures of the company but this is a strategic shift to the capital light retail model and not financial distress. Such recommendations as Retail Media to leverage on higher margins and artificial intelligence to optimi</w:t>
      </w:r>
      <w:r w:rsidR="0021492A" w:rsidRPr="00141A3C">
        <w:rPr>
          <w:rFonts w:eastAsia="Google Sans" w:cs="Times New Roman"/>
          <w:color w:val="1F1F1F"/>
        </w:rPr>
        <w:t>s</w:t>
      </w:r>
      <w:r w:rsidRPr="00141A3C">
        <w:rPr>
          <w:rFonts w:eastAsia="Google Sans" w:cs="Times New Roman"/>
          <w:color w:val="1F1F1F"/>
        </w:rPr>
        <w:t>e working capital are encouraged.</w:t>
      </w:r>
    </w:p>
    <w:p w14:paraId="474882EE" w14:textId="449605B5" w:rsidR="00DF11DE" w:rsidRPr="00141A3C" w:rsidRDefault="00423571"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Task 2 examines three capital expansion alternatives of Westward Plc through techniques of investment appraisal. After accounting 25% corporation tax and 20% straight-line capital allowances; Net Present Value (NPV) analysis at a discount rate of 6% will show that the most viable individual project is Option B (developing internet sales) that will yield an absolute NPV of </w:t>
      </w:r>
      <w:r w:rsidR="0021492A" w:rsidRPr="00141A3C">
        <w:rPr>
          <w:rFonts w:eastAsia="Google Sans" w:cs="Times New Roman"/>
          <w:color w:val="1F1F1F"/>
        </w:rPr>
        <w:t>£</w:t>
      </w:r>
      <w:r w:rsidRPr="00141A3C">
        <w:rPr>
          <w:rFonts w:eastAsia="Google Sans" w:cs="Times New Roman"/>
          <w:color w:val="1F1F1F"/>
        </w:rPr>
        <w:t xml:space="preserve">792,231, an Internal Rate of Return (IRR) of 32.14%, and a discounted payback period of 2.66 years. Both C and A produced NPVs of </w:t>
      </w:r>
      <w:r w:rsidR="0021492A" w:rsidRPr="00141A3C">
        <w:rPr>
          <w:rFonts w:eastAsia="Google Sans" w:cs="Times New Roman"/>
          <w:color w:val="1F1F1F"/>
        </w:rPr>
        <w:t>£</w:t>
      </w:r>
      <w:r w:rsidRPr="00141A3C">
        <w:rPr>
          <w:rFonts w:eastAsia="Google Sans" w:cs="Times New Roman"/>
          <w:color w:val="1F1F1F"/>
        </w:rPr>
        <w:t xml:space="preserve">742,480 (discounted payback 3.04 years) and </w:t>
      </w:r>
      <w:r w:rsidR="0021492A" w:rsidRPr="00141A3C">
        <w:rPr>
          <w:rFonts w:eastAsia="Google Sans" w:cs="Times New Roman"/>
          <w:color w:val="1F1F1F"/>
        </w:rPr>
        <w:t>£</w:t>
      </w:r>
      <w:r w:rsidRPr="00141A3C">
        <w:rPr>
          <w:rFonts w:eastAsia="Google Sans" w:cs="Times New Roman"/>
          <w:color w:val="1F1F1F"/>
        </w:rPr>
        <w:t xml:space="preserve">643,168 (discounted payback 2.40 years), respectively. But taking other conditions such as hard capital rationing restricted up to </w:t>
      </w:r>
      <w:r w:rsidR="0021492A" w:rsidRPr="00141A3C">
        <w:rPr>
          <w:rFonts w:eastAsia="Google Sans" w:cs="Times New Roman"/>
          <w:color w:val="1F1F1F"/>
        </w:rPr>
        <w:t>£</w:t>
      </w:r>
      <w:r w:rsidRPr="00141A3C">
        <w:rPr>
          <w:rFonts w:eastAsia="Google Sans" w:cs="Times New Roman"/>
          <w:color w:val="1F1F1F"/>
        </w:rPr>
        <w:t xml:space="preserve">2,500,000, Profitability Index (PI) analysis shows that the best investment strategy is </w:t>
      </w:r>
      <w:r w:rsidR="008E2985" w:rsidRPr="00141A3C">
        <w:rPr>
          <w:rFonts w:eastAsia="Google Sans" w:cs="Times New Roman"/>
          <w:color w:val="1F1F1F"/>
        </w:rPr>
        <w:t>full funding</w:t>
      </w:r>
      <w:r w:rsidRPr="00141A3C">
        <w:rPr>
          <w:rFonts w:eastAsia="Google Sans" w:cs="Times New Roman"/>
          <w:color w:val="1F1F1F"/>
        </w:rPr>
        <w:t xml:space="preserve"> on Option A (PI: 2.072) and option B (PI: 1.792) and partially funding option C (PI: 1.464) with the rest of the capital. This particular portfolio will maximise shareholder wealth producing an overall NPV of </w:t>
      </w:r>
      <w:r w:rsidR="0021492A" w:rsidRPr="00141A3C">
        <w:rPr>
          <w:rFonts w:eastAsia="Google Sans" w:cs="Times New Roman"/>
          <w:color w:val="1F1F1F"/>
        </w:rPr>
        <w:t>£</w:t>
      </w:r>
      <w:r w:rsidRPr="00141A3C">
        <w:rPr>
          <w:rFonts w:eastAsia="Google Sans" w:cs="Times New Roman"/>
          <w:color w:val="1F1F1F"/>
        </w:rPr>
        <w:t>1,853,044. It is advised that Westward Plc should use the Pecking Order Theory to finance this expansion using retained earnings and long-term debt such that they can enjoy the interest tax shields and reduce the Weighted Average Cost of Capital (WACC).</w:t>
      </w:r>
    </w:p>
    <w:p w14:paraId="19463A80" w14:textId="6B5A5120" w:rsidR="00423571" w:rsidRPr="00141A3C" w:rsidRDefault="00423571">
      <w:pPr>
        <w:spacing w:line="240" w:lineRule="auto"/>
        <w:jc w:val="left"/>
        <w:rPr>
          <w:rFonts w:eastAsia="Google Sans" w:cs="Times New Roman"/>
          <w:color w:val="1F1F1F"/>
        </w:rPr>
      </w:pPr>
      <w:r w:rsidRPr="00141A3C">
        <w:rPr>
          <w:rFonts w:eastAsia="Google Sans" w:cs="Times New Roman"/>
          <w:color w:val="1F1F1F"/>
        </w:rPr>
        <w:br w:type="page"/>
      </w:r>
    </w:p>
    <w:sdt>
      <w:sdtPr>
        <w:rPr>
          <w:rFonts w:ascii="Times New Roman" w:eastAsia="Arial" w:hAnsi="Times New Roman" w:cs="Arial"/>
          <w:color w:val="auto"/>
          <w:sz w:val="24"/>
          <w:szCs w:val="22"/>
        </w:rPr>
        <w:id w:val="669219576"/>
        <w:docPartObj>
          <w:docPartGallery w:val="Table of Contents"/>
          <w:docPartUnique/>
        </w:docPartObj>
      </w:sdtPr>
      <w:sdtEndPr>
        <w:rPr>
          <w:b/>
          <w:bCs/>
        </w:rPr>
      </w:sdtEndPr>
      <w:sdtContent>
        <w:p w14:paraId="4B89D5C3" w14:textId="2120AD43" w:rsidR="00423571" w:rsidRPr="000E7869" w:rsidRDefault="00423571" w:rsidP="000E7869">
          <w:pPr>
            <w:pStyle w:val="TOCHeading"/>
            <w:jc w:val="center"/>
            <w:rPr>
              <w:rFonts w:ascii="Times New Roman" w:hAnsi="Times New Roman" w:cs="Times New Roman"/>
              <w:b/>
              <w:bCs/>
              <w:color w:val="000000" w:themeColor="text1"/>
            </w:rPr>
          </w:pPr>
          <w:r w:rsidRPr="000E7869">
            <w:rPr>
              <w:rFonts w:ascii="Times New Roman" w:hAnsi="Times New Roman" w:cs="Times New Roman"/>
              <w:b/>
              <w:bCs/>
              <w:color w:val="000000" w:themeColor="text1"/>
            </w:rPr>
            <w:t>Table of Contents</w:t>
          </w:r>
        </w:p>
        <w:p w14:paraId="4EC56886" w14:textId="698CBD0D" w:rsidR="00350BB0" w:rsidRDefault="00423571">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r w:rsidRPr="00141A3C">
            <w:fldChar w:fldCharType="begin"/>
          </w:r>
          <w:r w:rsidRPr="00141A3C">
            <w:instrText xml:space="preserve"> TOC \o "1-3" \h \z \u </w:instrText>
          </w:r>
          <w:r w:rsidRPr="00141A3C">
            <w:fldChar w:fldCharType="separate"/>
          </w:r>
          <w:hyperlink w:anchor="_Toc224863285" w:history="1">
            <w:r w:rsidR="00350BB0" w:rsidRPr="005115B1">
              <w:rPr>
                <w:rStyle w:val="Hyperlink"/>
                <w:noProof/>
              </w:rPr>
              <w:t>1.</w:t>
            </w:r>
            <w:r w:rsidR="00350BB0">
              <w:rPr>
                <w:rFonts w:asciiTheme="minorHAnsi" w:eastAsiaTheme="minorEastAsia" w:hAnsiTheme="minorHAnsi" w:cstheme="minorBidi"/>
                <w:noProof/>
                <w:kern w:val="2"/>
                <w:szCs w:val="24"/>
                <w:lang w:val="en-US"/>
                <w14:ligatures w14:val="standardContextual"/>
              </w:rPr>
              <w:tab/>
            </w:r>
            <w:r w:rsidR="00350BB0" w:rsidRPr="005115B1">
              <w:rPr>
                <w:rStyle w:val="Hyperlink"/>
                <w:noProof/>
              </w:rPr>
              <w:t>Executive Summary</w:t>
            </w:r>
            <w:r w:rsidR="00350BB0">
              <w:rPr>
                <w:noProof/>
                <w:webHidden/>
              </w:rPr>
              <w:tab/>
            </w:r>
            <w:r w:rsidR="00350BB0">
              <w:rPr>
                <w:noProof/>
                <w:webHidden/>
              </w:rPr>
              <w:fldChar w:fldCharType="begin"/>
            </w:r>
            <w:r w:rsidR="00350BB0">
              <w:rPr>
                <w:noProof/>
                <w:webHidden/>
              </w:rPr>
              <w:instrText xml:space="preserve"> PAGEREF _Toc224863285 \h </w:instrText>
            </w:r>
            <w:r w:rsidR="00350BB0">
              <w:rPr>
                <w:noProof/>
                <w:webHidden/>
              </w:rPr>
            </w:r>
            <w:r w:rsidR="00350BB0">
              <w:rPr>
                <w:noProof/>
                <w:webHidden/>
              </w:rPr>
              <w:fldChar w:fldCharType="separate"/>
            </w:r>
            <w:r w:rsidR="00350BB0">
              <w:rPr>
                <w:noProof/>
                <w:webHidden/>
              </w:rPr>
              <w:t>2</w:t>
            </w:r>
            <w:r w:rsidR="00350BB0">
              <w:rPr>
                <w:noProof/>
                <w:webHidden/>
              </w:rPr>
              <w:fldChar w:fldCharType="end"/>
            </w:r>
          </w:hyperlink>
        </w:p>
        <w:p w14:paraId="0647BFF7" w14:textId="6D1E8393" w:rsidR="00350BB0" w:rsidRDefault="00350BB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4863286" w:history="1">
            <w:r w:rsidRPr="005115B1">
              <w:rPr>
                <w:rStyle w:val="Hyperlink"/>
                <w:noProof/>
              </w:rPr>
              <w:t>3.</w:t>
            </w:r>
            <w:r>
              <w:rPr>
                <w:rFonts w:asciiTheme="minorHAnsi" w:eastAsiaTheme="minorEastAsia" w:hAnsiTheme="minorHAnsi" w:cstheme="minorBidi"/>
                <w:noProof/>
                <w:kern w:val="2"/>
                <w:szCs w:val="24"/>
                <w:lang w:val="en-US"/>
                <w14:ligatures w14:val="standardContextual"/>
              </w:rPr>
              <w:tab/>
            </w:r>
            <w:r w:rsidRPr="005115B1">
              <w:rPr>
                <w:rStyle w:val="Hyperlink"/>
                <w:noProof/>
              </w:rPr>
              <w:t>List of Tables</w:t>
            </w:r>
            <w:r>
              <w:rPr>
                <w:noProof/>
                <w:webHidden/>
              </w:rPr>
              <w:tab/>
            </w:r>
            <w:r>
              <w:rPr>
                <w:noProof/>
                <w:webHidden/>
              </w:rPr>
              <w:fldChar w:fldCharType="begin"/>
            </w:r>
            <w:r>
              <w:rPr>
                <w:noProof/>
                <w:webHidden/>
              </w:rPr>
              <w:instrText xml:space="preserve"> PAGEREF _Toc224863286 \h </w:instrText>
            </w:r>
            <w:r>
              <w:rPr>
                <w:noProof/>
                <w:webHidden/>
              </w:rPr>
            </w:r>
            <w:r>
              <w:rPr>
                <w:noProof/>
                <w:webHidden/>
              </w:rPr>
              <w:fldChar w:fldCharType="separate"/>
            </w:r>
            <w:r>
              <w:rPr>
                <w:noProof/>
                <w:webHidden/>
              </w:rPr>
              <w:t>5</w:t>
            </w:r>
            <w:r>
              <w:rPr>
                <w:noProof/>
                <w:webHidden/>
              </w:rPr>
              <w:fldChar w:fldCharType="end"/>
            </w:r>
          </w:hyperlink>
        </w:p>
        <w:p w14:paraId="099C0DB2" w14:textId="17465814" w:rsidR="00350BB0" w:rsidRDefault="00350BB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4863287" w:history="1">
            <w:r w:rsidRPr="005115B1">
              <w:rPr>
                <w:rStyle w:val="Hyperlink"/>
                <w:noProof/>
              </w:rPr>
              <w:t>1.</w:t>
            </w:r>
            <w:r>
              <w:rPr>
                <w:rFonts w:asciiTheme="minorHAnsi" w:eastAsiaTheme="minorEastAsia" w:hAnsiTheme="minorHAnsi" w:cstheme="minorBidi"/>
                <w:noProof/>
                <w:kern w:val="2"/>
                <w:szCs w:val="24"/>
                <w:lang w:val="en-US"/>
                <w14:ligatures w14:val="standardContextual"/>
              </w:rPr>
              <w:tab/>
            </w:r>
            <w:r w:rsidRPr="005115B1">
              <w:rPr>
                <w:rStyle w:val="Hyperlink"/>
                <w:noProof/>
              </w:rPr>
              <w:t>Introduction</w:t>
            </w:r>
            <w:r>
              <w:rPr>
                <w:noProof/>
                <w:webHidden/>
              </w:rPr>
              <w:tab/>
            </w:r>
            <w:r>
              <w:rPr>
                <w:noProof/>
                <w:webHidden/>
              </w:rPr>
              <w:fldChar w:fldCharType="begin"/>
            </w:r>
            <w:r>
              <w:rPr>
                <w:noProof/>
                <w:webHidden/>
              </w:rPr>
              <w:instrText xml:space="preserve"> PAGEREF _Toc224863287 \h </w:instrText>
            </w:r>
            <w:r>
              <w:rPr>
                <w:noProof/>
                <w:webHidden/>
              </w:rPr>
            </w:r>
            <w:r>
              <w:rPr>
                <w:noProof/>
                <w:webHidden/>
              </w:rPr>
              <w:fldChar w:fldCharType="separate"/>
            </w:r>
            <w:r>
              <w:rPr>
                <w:noProof/>
                <w:webHidden/>
              </w:rPr>
              <w:t>6</w:t>
            </w:r>
            <w:r>
              <w:rPr>
                <w:noProof/>
                <w:webHidden/>
              </w:rPr>
              <w:fldChar w:fldCharType="end"/>
            </w:r>
          </w:hyperlink>
        </w:p>
        <w:p w14:paraId="42C62A86" w14:textId="25CEBAE8" w:rsidR="00350BB0" w:rsidRDefault="00350BB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4863288" w:history="1">
            <w:r w:rsidRPr="005115B1">
              <w:rPr>
                <w:rStyle w:val="Hyperlink"/>
                <w:noProof/>
              </w:rPr>
              <w:t>2.</w:t>
            </w:r>
            <w:r>
              <w:rPr>
                <w:rFonts w:asciiTheme="minorHAnsi" w:eastAsiaTheme="minorEastAsia" w:hAnsiTheme="minorHAnsi" w:cstheme="minorBidi"/>
                <w:noProof/>
                <w:kern w:val="2"/>
                <w:szCs w:val="24"/>
                <w:lang w:val="en-US"/>
                <w14:ligatures w14:val="standardContextual"/>
              </w:rPr>
              <w:tab/>
            </w:r>
            <w:r w:rsidRPr="005115B1">
              <w:rPr>
                <w:rStyle w:val="Hyperlink"/>
                <w:noProof/>
              </w:rPr>
              <w:t>Main Findings</w:t>
            </w:r>
            <w:r>
              <w:rPr>
                <w:noProof/>
                <w:webHidden/>
              </w:rPr>
              <w:tab/>
            </w:r>
            <w:r>
              <w:rPr>
                <w:noProof/>
                <w:webHidden/>
              </w:rPr>
              <w:fldChar w:fldCharType="begin"/>
            </w:r>
            <w:r>
              <w:rPr>
                <w:noProof/>
                <w:webHidden/>
              </w:rPr>
              <w:instrText xml:space="preserve"> PAGEREF _Toc224863288 \h </w:instrText>
            </w:r>
            <w:r>
              <w:rPr>
                <w:noProof/>
                <w:webHidden/>
              </w:rPr>
            </w:r>
            <w:r>
              <w:rPr>
                <w:noProof/>
                <w:webHidden/>
              </w:rPr>
              <w:fldChar w:fldCharType="separate"/>
            </w:r>
            <w:r>
              <w:rPr>
                <w:noProof/>
                <w:webHidden/>
              </w:rPr>
              <w:t>7</w:t>
            </w:r>
            <w:r>
              <w:rPr>
                <w:noProof/>
                <w:webHidden/>
              </w:rPr>
              <w:fldChar w:fldCharType="end"/>
            </w:r>
          </w:hyperlink>
        </w:p>
        <w:p w14:paraId="475A2DBF" w14:textId="1F54AAE1" w:rsidR="00350BB0" w:rsidRDefault="00350BB0">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4863289" w:history="1">
            <w:r w:rsidRPr="005115B1">
              <w:rPr>
                <w:rStyle w:val="Hyperlink"/>
                <w:noProof/>
              </w:rPr>
              <w:t>2.1</w:t>
            </w:r>
            <w:r>
              <w:rPr>
                <w:rFonts w:asciiTheme="minorHAnsi" w:eastAsiaTheme="minorEastAsia" w:hAnsiTheme="minorHAnsi" w:cstheme="minorBidi"/>
                <w:noProof/>
                <w:kern w:val="2"/>
                <w:szCs w:val="24"/>
                <w:lang w:val="en-US"/>
                <w14:ligatures w14:val="standardContextual"/>
              </w:rPr>
              <w:tab/>
            </w:r>
            <w:r w:rsidRPr="005115B1">
              <w:rPr>
                <w:rStyle w:val="Hyperlink"/>
                <w:noProof/>
              </w:rPr>
              <w:t>Task 1 - Financial Analysis of Tesco PLC</w:t>
            </w:r>
            <w:r>
              <w:rPr>
                <w:noProof/>
                <w:webHidden/>
              </w:rPr>
              <w:tab/>
            </w:r>
            <w:r>
              <w:rPr>
                <w:noProof/>
                <w:webHidden/>
              </w:rPr>
              <w:fldChar w:fldCharType="begin"/>
            </w:r>
            <w:r>
              <w:rPr>
                <w:noProof/>
                <w:webHidden/>
              </w:rPr>
              <w:instrText xml:space="preserve"> PAGEREF _Toc224863289 \h </w:instrText>
            </w:r>
            <w:r>
              <w:rPr>
                <w:noProof/>
                <w:webHidden/>
              </w:rPr>
            </w:r>
            <w:r>
              <w:rPr>
                <w:noProof/>
                <w:webHidden/>
              </w:rPr>
              <w:fldChar w:fldCharType="separate"/>
            </w:r>
            <w:r>
              <w:rPr>
                <w:noProof/>
                <w:webHidden/>
              </w:rPr>
              <w:t>7</w:t>
            </w:r>
            <w:r>
              <w:rPr>
                <w:noProof/>
                <w:webHidden/>
              </w:rPr>
              <w:fldChar w:fldCharType="end"/>
            </w:r>
          </w:hyperlink>
        </w:p>
        <w:p w14:paraId="6999D4C5" w14:textId="53ADAC19"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0" w:history="1">
            <w:r w:rsidRPr="005115B1">
              <w:rPr>
                <w:rStyle w:val="Hyperlink"/>
                <w:noProof/>
              </w:rPr>
              <w:t>2.1.1</w:t>
            </w:r>
            <w:r>
              <w:rPr>
                <w:rFonts w:asciiTheme="minorHAnsi" w:eastAsiaTheme="minorEastAsia" w:hAnsiTheme="minorHAnsi" w:cstheme="minorBidi"/>
                <w:noProof/>
                <w:kern w:val="2"/>
                <w:szCs w:val="24"/>
                <w:lang w:val="en-US"/>
                <w14:ligatures w14:val="standardContextual"/>
              </w:rPr>
              <w:tab/>
            </w:r>
            <w:r w:rsidRPr="005115B1">
              <w:rPr>
                <w:rStyle w:val="Hyperlink"/>
                <w:noProof/>
              </w:rPr>
              <w:t>Profitability Ratios</w:t>
            </w:r>
            <w:r>
              <w:rPr>
                <w:noProof/>
                <w:webHidden/>
              </w:rPr>
              <w:tab/>
            </w:r>
            <w:r>
              <w:rPr>
                <w:noProof/>
                <w:webHidden/>
              </w:rPr>
              <w:fldChar w:fldCharType="begin"/>
            </w:r>
            <w:r>
              <w:rPr>
                <w:noProof/>
                <w:webHidden/>
              </w:rPr>
              <w:instrText xml:space="preserve"> PAGEREF _Toc224863290 \h </w:instrText>
            </w:r>
            <w:r>
              <w:rPr>
                <w:noProof/>
                <w:webHidden/>
              </w:rPr>
            </w:r>
            <w:r>
              <w:rPr>
                <w:noProof/>
                <w:webHidden/>
              </w:rPr>
              <w:fldChar w:fldCharType="separate"/>
            </w:r>
            <w:r>
              <w:rPr>
                <w:noProof/>
                <w:webHidden/>
              </w:rPr>
              <w:t>7</w:t>
            </w:r>
            <w:r>
              <w:rPr>
                <w:noProof/>
                <w:webHidden/>
              </w:rPr>
              <w:fldChar w:fldCharType="end"/>
            </w:r>
          </w:hyperlink>
        </w:p>
        <w:p w14:paraId="4D848858" w14:textId="28E4037E"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1" w:history="1">
            <w:r w:rsidRPr="005115B1">
              <w:rPr>
                <w:rStyle w:val="Hyperlink"/>
                <w:noProof/>
              </w:rPr>
              <w:t>2.1.2</w:t>
            </w:r>
            <w:r>
              <w:rPr>
                <w:rFonts w:asciiTheme="minorHAnsi" w:eastAsiaTheme="minorEastAsia" w:hAnsiTheme="minorHAnsi" w:cstheme="minorBidi"/>
                <w:noProof/>
                <w:kern w:val="2"/>
                <w:szCs w:val="24"/>
                <w:lang w:val="en-US"/>
                <w14:ligatures w14:val="standardContextual"/>
              </w:rPr>
              <w:tab/>
            </w:r>
            <w:r w:rsidRPr="005115B1">
              <w:rPr>
                <w:rStyle w:val="Hyperlink"/>
                <w:noProof/>
              </w:rPr>
              <w:t>Liquidity Ratios</w:t>
            </w:r>
            <w:r>
              <w:rPr>
                <w:noProof/>
                <w:webHidden/>
              </w:rPr>
              <w:tab/>
            </w:r>
            <w:r>
              <w:rPr>
                <w:noProof/>
                <w:webHidden/>
              </w:rPr>
              <w:fldChar w:fldCharType="begin"/>
            </w:r>
            <w:r>
              <w:rPr>
                <w:noProof/>
                <w:webHidden/>
              </w:rPr>
              <w:instrText xml:space="preserve"> PAGEREF _Toc224863291 \h </w:instrText>
            </w:r>
            <w:r>
              <w:rPr>
                <w:noProof/>
                <w:webHidden/>
              </w:rPr>
            </w:r>
            <w:r>
              <w:rPr>
                <w:noProof/>
                <w:webHidden/>
              </w:rPr>
              <w:fldChar w:fldCharType="separate"/>
            </w:r>
            <w:r>
              <w:rPr>
                <w:noProof/>
                <w:webHidden/>
              </w:rPr>
              <w:t>9</w:t>
            </w:r>
            <w:r>
              <w:rPr>
                <w:noProof/>
                <w:webHidden/>
              </w:rPr>
              <w:fldChar w:fldCharType="end"/>
            </w:r>
          </w:hyperlink>
        </w:p>
        <w:p w14:paraId="706F7EB1" w14:textId="5652093F"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2" w:history="1">
            <w:r w:rsidRPr="005115B1">
              <w:rPr>
                <w:rStyle w:val="Hyperlink"/>
                <w:noProof/>
              </w:rPr>
              <w:t>2.1.3</w:t>
            </w:r>
            <w:r>
              <w:rPr>
                <w:rFonts w:asciiTheme="minorHAnsi" w:eastAsiaTheme="minorEastAsia" w:hAnsiTheme="minorHAnsi" w:cstheme="minorBidi"/>
                <w:noProof/>
                <w:kern w:val="2"/>
                <w:szCs w:val="24"/>
                <w:lang w:val="en-US"/>
                <w14:ligatures w14:val="standardContextual"/>
              </w:rPr>
              <w:tab/>
            </w:r>
            <w:r w:rsidRPr="005115B1">
              <w:rPr>
                <w:rStyle w:val="Hyperlink"/>
                <w:noProof/>
              </w:rPr>
              <w:t>Efficiency Ratios</w:t>
            </w:r>
            <w:r>
              <w:rPr>
                <w:noProof/>
                <w:webHidden/>
              </w:rPr>
              <w:tab/>
            </w:r>
            <w:r>
              <w:rPr>
                <w:noProof/>
                <w:webHidden/>
              </w:rPr>
              <w:fldChar w:fldCharType="begin"/>
            </w:r>
            <w:r>
              <w:rPr>
                <w:noProof/>
                <w:webHidden/>
              </w:rPr>
              <w:instrText xml:space="preserve"> PAGEREF _Toc224863292 \h </w:instrText>
            </w:r>
            <w:r>
              <w:rPr>
                <w:noProof/>
                <w:webHidden/>
              </w:rPr>
            </w:r>
            <w:r>
              <w:rPr>
                <w:noProof/>
                <w:webHidden/>
              </w:rPr>
              <w:fldChar w:fldCharType="separate"/>
            </w:r>
            <w:r>
              <w:rPr>
                <w:noProof/>
                <w:webHidden/>
              </w:rPr>
              <w:t>10</w:t>
            </w:r>
            <w:r>
              <w:rPr>
                <w:noProof/>
                <w:webHidden/>
              </w:rPr>
              <w:fldChar w:fldCharType="end"/>
            </w:r>
          </w:hyperlink>
        </w:p>
        <w:p w14:paraId="005C4DA2" w14:textId="4F4BA43E"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3" w:history="1">
            <w:r w:rsidRPr="005115B1">
              <w:rPr>
                <w:rStyle w:val="Hyperlink"/>
                <w:noProof/>
              </w:rPr>
              <w:t>2.1.4</w:t>
            </w:r>
            <w:r>
              <w:rPr>
                <w:rFonts w:asciiTheme="minorHAnsi" w:eastAsiaTheme="minorEastAsia" w:hAnsiTheme="minorHAnsi" w:cstheme="minorBidi"/>
                <w:noProof/>
                <w:kern w:val="2"/>
                <w:szCs w:val="24"/>
                <w:lang w:val="en-US"/>
                <w14:ligatures w14:val="standardContextual"/>
              </w:rPr>
              <w:tab/>
            </w:r>
            <w:r w:rsidRPr="005115B1">
              <w:rPr>
                <w:rStyle w:val="Hyperlink"/>
                <w:noProof/>
              </w:rPr>
              <w:t>Solvency (Gearing) Ratios</w:t>
            </w:r>
            <w:r>
              <w:rPr>
                <w:noProof/>
                <w:webHidden/>
              </w:rPr>
              <w:tab/>
            </w:r>
            <w:r>
              <w:rPr>
                <w:noProof/>
                <w:webHidden/>
              </w:rPr>
              <w:fldChar w:fldCharType="begin"/>
            </w:r>
            <w:r>
              <w:rPr>
                <w:noProof/>
                <w:webHidden/>
              </w:rPr>
              <w:instrText xml:space="preserve"> PAGEREF _Toc224863293 \h </w:instrText>
            </w:r>
            <w:r>
              <w:rPr>
                <w:noProof/>
                <w:webHidden/>
              </w:rPr>
            </w:r>
            <w:r>
              <w:rPr>
                <w:noProof/>
                <w:webHidden/>
              </w:rPr>
              <w:fldChar w:fldCharType="separate"/>
            </w:r>
            <w:r>
              <w:rPr>
                <w:noProof/>
                <w:webHidden/>
              </w:rPr>
              <w:t>12</w:t>
            </w:r>
            <w:r>
              <w:rPr>
                <w:noProof/>
                <w:webHidden/>
              </w:rPr>
              <w:fldChar w:fldCharType="end"/>
            </w:r>
          </w:hyperlink>
        </w:p>
        <w:p w14:paraId="701AE0BE" w14:textId="31E45A3C"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4" w:history="1">
            <w:r w:rsidRPr="005115B1">
              <w:rPr>
                <w:rStyle w:val="Hyperlink"/>
                <w:noProof/>
              </w:rPr>
              <w:t>2.1.5</w:t>
            </w:r>
            <w:r>
              <w:rPr>
                <w:rFonts w:asciiTheme="minorHAnsi" w:eastAsiaTheme="minorEastAsia" w:hAnsiTheme="minorHAnsi" w:cstheme="minorBidi"/>
                <w:noProof/>
                <w:kern w:val="2"/>
                <w:szCs w:val="24"/>
                <w:lang w:val="en-US"/>
                <w14:ligatures w14:val="standardContextual"/>
              </w:rPr>
              <w:tab/>
            </w:r>
            <w:r w:rsidRPr="005115B1">
              <w:rPr>
                <w:rStyle w:val="Hyperlink"/>
                <w:noProof/>
              </w:rPr>
              <w:t>Investor Ratios</w:t>
            </w:r>
            <w:r>
              <w:rPr>
                <w:noProof/>
                <w:webHidden/>
              </w:rPr>
              <w:tab/>
            </w:r>
            <w:r>
              <w:rPr>
                <w:noProof/>
                <w:webHidden/>
              </w:rPr>
              <w:fldChar w:fldCharType="begin"/>
            </w:r>
            <w:r>
              <w:rPr>
                <w:noProof/>
                <w:webHidden/>
              </w:rPr>
              <w:instrText xml:space="preserve"> PAGEREF _Toc224863294 \h </w:instrText>
            </w:r>
            <w:r>
              <w:rPr>
                <w:noProof/>
                <w:webHidden/>
              </w:rPr>
            </w:r>
            <w:r>
              <w:rPr>
                <w:noProof/>
                <w:webHidden/>
              </w:rPr>
              <w:fldChar w:fldCharType="separate"/>
            </w:r>
            <w:r>
              <w:rPr>
                <w:noProof/>
                <w:webHidden/>
              </w:rPr>
              <w:t>13</w:t>
            </w:r>
            <w:r>
              <w:rPr>
                <w:noProof/>
                <w:webHidden/>
              </w:rPr>
              <w:fldChar w:fldCharType="end"/>
            </w:r>
          </w:hyperlink>
        </w:p>
        <w:p w14:paraId="522CCF43" w14:textId="169E9C34"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5" w:history="1">
            <w:r w:rsidRPr="005115B1">
              <w:rPr>
                <w:rStyle w:val="Hyperlink"/>
                <w:noProof/>
              </w:rPr>
              <w:t>2.1.6</w:t>
            </w:r>
            <w:r>
              <w:rPr>
                <w:rFonts w:asciiTheme="minorHAnsi" w:eastAsiaTheme="minorEastAsia" w:hAnsiTheme="minorHAnsi" w:cstheme="minorBidi"/>
                <w:noProof/>
                <w:kern w:val="2"/>
                <w:szCs w:val="24"/>
                <w:lang w:val="en-US"/>
                <w14:ligatures w14:val="standardContextual"/>
              </w:rPr>
              <w:tab/>
            </w:r>
            <w:r w:rsidRPr="005115B1">
              <w:rPr>
                <w:rStyle w:val="Hyperlink"/>
                <w:noProof/>
              </w:rPr>
              <w:t>Limitations of Ratio Analysis</w:t>
            </w:r>
            <w:r>
              <w:rPr>
                <w:noProof/>
                <w:webHidden/>
              </w:rPr>
              <w:tab/>
            </w:r>
            <w:r>
              <w:rPr>
                <w:noProof/>
                <w:webHidden/>
              </w:rPr>
              <w:fldChar w:fldCharType="begin"/>
            </w:r>
            <w:r>
              <w:rPr>
                <w:noProof/>
                <w:webHidden/>
              </w:rPr>
              <w:instrText xml:space="preserve"> PAGEREF _Toc224863295 \h </w:instrText>
            </w:r>
            <w:r>
              <w:rPr>
                <w:noProof/>
                <w:webHidden/>
              </w:rPr>
            </w:r>
            <w:r>
              <w:rPr>
                <w:noProof/>
                <w:webHidden/>
              </w:rPr>
              <w:fldChar w:fldCharType="separate"/>
            </w:r>
            <w:r>
              <w:rPr>
                <w:noProof/>
                <w:webHidden/>
              </w:rPr>
              <w:t>14</w:t>
            </w:r>
            <w:r>
              <w:rPr>
                <w:noProof/>
                <w:webHidden/>
              </w:rPr>
              <w:fldChar w:fldCharType="end"/>
            </w:r>
          </w:hyperlink>
        </w:p>
        <w:p w14:paraId="1C181755" w14:textId="3D035DAA"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6" w:history="1">
            <w:r w:rsidRPr="005115B1">
              <w:rPr>
                <w:rStyle w:val="Hyperlink"/>
                <w:noProof/>
              </w:rPr>
              <w:t>2.1.7</w:t>
            </w:r>
            <w:r>
              <w:rPr>
                <w:rFonts w:asciiTheme="minorHAnsi" w:eastAsiaTheme="minorEastAsia" w:hAnsiTheme="minorHAnsi" w:cstheme="minorBidi"/>
                <w:noProof/>
                <w:kern w:val="2"/>
                <w:szCs w:val="24"/>
                <w:lang w:val="en-US"/>
                <w14:ligatures w14:val="standardContextual"/>
              </w:rPr>
              <w:tab/>
            </w:r>
            <w:r w:rsidRPr="005115B1">
              <w:rPr>
                <w:rStyle w:val="Hyperlink"/>
                <w:noProof/>
              </w:rPr>
              <w:t>Strategic Recommendations</w:t>
            </w:r>
            <w:r>
              <w:rPr>
                <w:noProof/>
                <w:webHidden/>
              </w:rPr>
              <w:tab/>
            </w:r>
            <w:r>
              <w:rPr>
                <w:noProof/>
                <w:webHidden/>
              </w:rPr>
              <w:fldChar w:fldCharType="begin"/>
            </w:r>
            <w:r>
              <w:rPr>
                <w:noProof/>
                <w:webHidden/>
              </w:rPr>
              <w:instrText xml:space="preserve"> PAGEREF _Toc224863296 \h </w:instrText>
            </w:r>
            <w:r>
              <w:rPr>
                <w:noProof/>
                <w:webHidden/>
              </w:rPr>
            </w:r>
            <w:r>
              <w:rPr>
                <w:noProof/>
                <w:webHidden/>
              </w:rPr>
              <w:fldChar w:fldCharType="separate"/>
            </w:r>
            <w:r>
              <w:rPr>
                <w:noProof/>
                <w:webHidden/>
              </w:rPr>
              <w:t>14</w:t>
            </w:r>
            <w:r>
              <w:rPr>
                <w:noProof/>
                <w:webHidden/>
              </w:rPr>
              <w:fldChar w:fldCharType="end"/>
            </w:r>
          </w:hyperlink>
        </w:p>
        <w:p w14:paraId="6343D11F" w14:textId="6E0DF27E" w:rsidR="00350BB0" w:rsidRDefault="00350BB0">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4863297" w:history="1">
            <w:r w:rsidRPr="005115B1">
              <w:rPr>
                <w:rStyle w:val="Hyperlink"/>
                <w:noProof/>
              </w:rPr>
              <w:t>2.2</w:t>
            </w:r>
            <w:r>
              <w:rPr>
                <w:rFonts w:asciiTheme="minorHAnsi" w:eastAsiaTheme="minorEastAsia" w:hAnsiTheme="minorHAnsi" w:cstheme="minorBidi"/>
                <w:noProof/>
                <w:kern w:val="2"/>
                <w:szCs w:val="24"/>
                <w:lang w:val="en-US"/>
                <w14:ligatures w14:val="standardContextual"/>
              </w:rPr>
              <w:tab/>
            </w:r>
            <w:r w:rsidRPr="005115B1">
              <w:rPr>
                <w:rStyle w:val="Hyperlink"/>
                <w:noProof/>
              </w:rPr>
              <w:t>Task 2 - Strategic Investment Appraisal for Westward Plc</w:t>
            </w:r>
            <w:r>
              <w:rPr>
                <w:noProof/>
                <w:webHidden/>
              </w:rPr>
              <w:tab/>
            </w:r>
            <w:r>
              <w:rPr>
                <w:noProof/>
                <w:webHidden/>
              </w:rPr>
              <w:fldChar w:fldCharType="begin"/>
            </w:r>
            <w:r>
              <w:rPr>
                <w:noProof/>
                <w:webHidden/>
              </w:rPr>
              <w:instrText xml:space="preserve"> PAGEREF _Toc224863297 \h </w:instrText>
            </w:r>
            <w:r>
              <w:rPr>
                <w:noProof/>
                <w:webHidden/>
              </w:rPr>
            </w:r>
            <w:r>
              <w:rPr>
                <w:noProof/>
                <w:webHidden/>
              </w:rPr>
              <w:fldChar w:fldCharType="separate"/>
            </w:r>
            <w:r>
              <w:rPr>
                <w:noProof/>
                <w:webHidden/>
              </w:rPr>
              <w:t>15</w:t>
            </w:r>
            <w:r>
              <w:rPr>
                <w:noProof/>
                <w:webHidden/>
              </w:rPr>
              <w:fldChar w:fldCharType="end"/>
            </w:r>
          </w:hyperlink>
        </w:p>
        <w:p w14:paraId="3BBA89C6" w14:textId="73CFC74E"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8" w:history="1">
            <w:r w:rsidRPr="005115B1">
              <w:rPr>
                <w:rStyle w:val="Hyperlink"/>
                <w:noProof/>
              </w:rPr>
              <w:t>2.2.1</w:t>
            </w:r>
            <w:r>
              <w:rPr>
                <w:rFonts w:asciiTheme="minorHAnsi" w:eastAsiaTheme="minorEastAsia" w:hAnsiTheme="minorHAnsi" w:cstheme="minorBidi"/>
                <w:noProof/>
                <w:kern w:val="2"/>
                <w:szCs w:val="24"/>
                <w:lang w:val="en-US"/>
                <w14:ligatures w14:val="standardContextual"/>
              </w:rPr>
              <w:tab/>
            </w:r>
            <w:r w:rsidRPr="005115B1">
              <w:rPr>
                <w:rStyle w:val="Hyperlink"/>
                <w:noProof/>
              </w:rPr>
              <w:t>Investment Appraisal Analysis (NPV &amp; Payback)</w:t>
            </w:r>
            <w:r>
              <w:rPr>
                <w:noProof/>
                <w:webHidden/>
              </w:rPr>
              <w:tab/>
            </w:r>
            <w:r>
              <w:rPr>
                <w:noProof/>
                <w:webHidden/>
              </w:rPr>
              <w:fldChar w:fldCharType="begin"/>
            </w:r>
            <w:r>
              <w:rPr>
                <w:noProof/>
                <w:webHidden/>
              </w:rPr>
              <w:instrText xml:space="preserve"> PAGEREF _Toc224863298 \h </w:instrText>
            </w:r>
            <w:r>
              <w:rPr>
                <w:noProof/>
                <w:webHidden/>
              </w:rPr>
            </w:r>
            <w:r>
              <w:rPr>
                <w:noProof/>
                <w:webHidden/>
              </w:rPr>
              <w:fldChar w:fldCharType="separate"/>
            </w:r>
            <w:r>
              <w:rPr>
                <w:noProof/>
                <w:webHidden/>
              </w:rPr>
              <w:t>15</w:t>
            </w:r>
            <w:r>
              <w:rPr>
                <w:noProof/>
                <w:webHidden/>
              </w:rPr>
              <w:fldChar w:fldCharType="end"/>
            </w:r>
          </w:hyperlink>
        </w:p>
        <w:p w14:paraId="7E443FE7" w14:textId="6A0591C7"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299" w:history="1">
            <w:r w:rsidRPr="005115B1">
              <w:rPr>
                <w:rStyle w:val="Hyperlink"/>
                <w:noProof/>
              </w:rPr>
              <w:t>2.2.2</w:t>
            </w:r>
            <w:r>
              <w:rPr>
                <w:rFonts w:asciiTheme="minorHAnsi" w:eastAsiaTheme="minorEastAsia" w:hAnsiTheme="minorHAnsi" w:cstheme="minorBidi"/>
                <w:noProof/>
                <w:kern w:val="2"/>
                <w:szCs w:val="24"/>
                <w:lang w:val="en-US"/>
                <w14:ligatures w14:val="standardContextual"/>
              </w:rPr>
              <w:tab/>
            </w:r>
            <w:r w:rsidRPr="005115B1">
              <w:rPr>
                <w:rStyle w:val="Hyperlink"/>
                <w:noProof/>
              </w:rPr>
              <w:t>Internal Rate of Return (IRR)</w:t>
            </w:r>
            <w:r>
              <w:rPr>
                <w:noProof/>
                <w:webHidden/>
              </w:rPr>
              <w:tab/>
            </w:r>
            <w:r>
              <w:rPr>
                <w:noProof/>
                <w:webHidden/>
              </w:rPr>
              <w:fldChar w:fldCharType="begin"/>
            </w:r>
            <w:r>
              <w:rPr>
                <w:noProof/>
                <w:webHidden/>
              </w:rPr>
              <w:instrText xml:space="preserve"> PAGEREF _Toc224863299 \h </w:instrText>
            </w:r>
            <w:r>
              <w:rPr>
                <w:noProof/>
                <w:webHidden/>
              </w:rPr>
            </w:r>
            <w:r>
              <w:rPr>
                <w:noProof/>
                <w:webHidden/>
              </w:rPr>
              <w:fldChar w:fldCharType="separate"/>
            </w:r>
            <w:r>
              <w:rPr>
                <w:noProof/>
                <w:webHidden/>
              </w:rPr>
              <w:t>19</w:t>
            </w:r>
            <w:r>
              <w:rPr>
                <w:noProof/>
                <w:webHidden/>
              </w:rPr>
              <w:fldChar w:fldCharType="end"/>
            </w:r>
          </w:hyperlink>
        </w:p>
        <w:p w14:paraId="1B546BFE" w14:textId="5B29C0A1"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00" w:history="1">
            <w:r w:rsidRPr="005115B1">
              <w:rPr>
                <w:rStyle w:val="Hyperlink"/>
                <w:noProof/>
              </w:rPr>
              <w:t>2.2.3</w:t>
            </w:r>
            <w:r>
              <w:rPr>
                <w:rFonts w:asciiTheme="minorHAnsi" w:eastAsiaTheme="minorEastAsia" w:hAnsiTheme="minorHAnsi" w:cstheme="minorBidi"/>
                <w:noProof/>
                <w:kern w:val="2"/>
                <w:szCs w:val="24"/>
                <w:lang w:val="en-US"/>
                <w14:ligatures w14:val="standardContextual"/>
              </w:rPr>
              <w:tab/>
            </w:r>
            <w:r w:rsidRPr="005115B1">
              <w:rPr>
                <w:rStyle w:val="Hyperlink"/>
                <w:noProof/>
              </w:rPr>
              <w:t>Theoretical Evaluation of Appraisal Methods</w:t>
            </w:r>
            <w:r>
              <w:rPr>
                <w:noProof/>
                <w:webHidden/>
              </w:rPr>
              <w:tab/>
            </w:r>
            <w:r>
              <w:rPr>
                <w:noProof/>
                <w:webHidden/>
              </w:rPr>
              <w:fldChar w:fldCharType="begin"/>
            </w:r>
            <w:r>
              <w:rPr>
                <w:noProof/>
                <w:webHidden/>
              </w:rPr>
              <w:instrText xml:space="preserve"> PAGEREF _Toc224863300 \h </w:instrText>
            </w:r>
            <w:r>
              <w:rPr>
                <w:noProof/>
                <w:webHidden/>
              </w:rPr>
            </w:r>
            <w:r>
              <w:rPr>
                <w:noProof/>
                <w:webHidden/>
              </w:rPr>
              <w:fldChar w:fldCharType="separate"/>
            </w:r>
            <w:r>
              <w:rPr>
                <w:noProof/>
                <w:webHidden/>
              </w:rPr>
              <w:t>20</w:t>
            </w:r>
            <w:r>
              <w:rPr>
                <w:noProof/>
                <w:webHidden/>
              </w:rPr>
              <w:fldChar w:fldCharType="end"/>
            </w:r>
          </w:hyperlink>
        </w:p>
        <w:p w14:paraId="10BFB87B" w14:textId="1F7608CA"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01" w:history="1">
            <w:r w:rsidRPr="005115B1">
              <w:rPr>
                <w:rStyle w:val="Hyperlink"/>
                <w:noProof/>
              </w:rPr>
              <w:t>2.2.4</w:t>
            </w:r>
            <w:r>
              <w:rPr>
                <w:rFonts w:asciiTheme="minorHAnsi" w:eastAsiaTheme="minorEastAsia" w:hAnsiTheme="minorHAnsi" w:cstheme="minorBidi"/>
                <w:noProof/>
                <w:kern w:val="2"/>
                <w:szCs w:val="24"/>
                <w:lang w:val="en-US"/>
                <w14:ligatures w14:val="standardContextual"/>
              </w:rPr>
              <w:tab/>
            </w:r>
            <w:r w:rsidRPr="005115B1">
              <w:rPr>
                <w:rStyle w:val="Hyperlink"/>
                <w:noProof/>
              </w:rPr>
              <w:t>Capital Rationing and Optimal Investment Policy</w:t>
            </w:r>
            <w:r>
              <w:rPr>
                <w:noProof/>
                <w:webHidden/>
              </w:rPr>
              <w:tab/>
            </w:r>
            <w:r>
              <w:rPr>
                <w:noProof/>
                <w:webHidden/>
              </w:rPr>
              <w:fldChar w:fldCharType="begin"/>
            </w:r>
            <w:r>
              <w:rPr>
                <w:noProof/>
                <w:webHidden/>
              </w:rPr>
              <w:instrText xml:space="preserve"> PAGEREF _Toc224863301 \h </w:instrText>
            </w:r>
            <w:r>
              <w:rPr>
                <w:noProof/>
                <w:webHidden/>
              </w:rPr>
            </w:r>
            <w:r>
              <w:rPr>
                <w:noProof/>
                <w:webHidden/>
              </w:rPr>
              <w:fldChar w:fldCharType="separate"/>
            </w:r>
            <w:r>
              <w:rPr>
                <w:noProof/>
                <w:webHidden/>
              </w:rPr>
              <w:t>23</w:t>
            </w:r>
            <w:r>
              <w:rPr>
                <w:noProof/>
                <w:webHidden/>
              </w:rPr>
              <w:fldChar w:fldCharType="end"/>
            </w:r>
          </w:hyperlink>
        </w:p>
        <w:p w14:paraId="26150BEB" w14:textId="29E92CB3"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02" w:history="1">
            <w:r w:rsidRPr="005115B1">
              <w:rPr>
                <w:rStyle w:val="Hyperlink"/>
                <w:noProof/>
              </w:rPr>
              <w:t>2.2.5</w:t>
            </w:r>
            <w:r>
              <w:rPr>
                <w:rFonts w:asciiTheme="minorHAnsi" w:eastAsiaTheme="minorEastAsia" w:hAnsiTheme="minorHAnsi" w:cstheme="minorBidi"/>
                <w:noProof/>
                <w:kern w:val="2"/>
                <w:szCs w:val="24"/>
                <w:lang w:val="en-US"/>
                <w14:ligatures w14:val="standardContextual"/>
              </w:rPr>
              <w:tab/>
            </w:r>
            <w:r w:rsidRPr="005115B1">
              <w:rPr>
                <w:rStyle w:val="Hyperlink"/>
                <w:noProof/>
              </w:rPr>
              <w:t>Sources of Finance Recommendations</w:t>
            </w:r>
            <w:r>
              <w:rPr>
                <w:noProof/>
                <w:webHidden/>
              </w:rPr>
              <w:tab/>
            </w:r>
            <w:r>
              <w:rPr>
                <w:noProof/>
                <w:webHidden/>
              </w:rPr>
              <w:fldChar w:fldCharType="begin"/>
            </w:r>
            <w:r>
              <w:rPr>
                <w:noProof/>
                <w:webHidden/>
              </w:rPr>
              <w:instrText xml:space="preserve"> PAGEREF _Toc224863302 \h </w:instrText>
            </w:r>
            <w:r>
              <w:rPr>
                <w:noProof/>
                <w:webHidden/>
              </w:rPr>
            </w:r>
            <w:r>
              <w:rPr>
                <w:noProof/>
                <w:webHidden/>
              </w:rPr>
              <w:fldChar w:fldCharType="separate"/>
            </w:r>
            <w:r>
              <w:rPr>
                <w:noProof/>
                <w:webHidden/>
              </w:rPr>
              <w:t>24</w:t>
            </w:r>
            <w:r>
              <w:rPr>
                <w:noProof/>
                <w:webHidden/>
              </w:rPr>
              <w:fldChar w:fldCharType="end"/>
            </w:r>
          </w:hyperlink>
        </w:p>
        <w:p w14:paraId="107709EB" w14:textId="3B30FB08" w:rsidR="00350BB0" w:rsidRDefault="00350BB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4863303" w:history="1">
            <w:r w:rsidRPr="005115B1">
              <w:rPr>
                <w:rStyle w:val="Hyperlink"/>
                <w:noProof/>
              </w:rPr>
              <w:t>3.</w:t>
            </w:r>
            <w:r>
              <w:rPr>
                <w:rFonts w:asciiTheme="minorHAnsi" w:eastAsiaTheme="minorEastAsia" w:hAnsiTheme="minorHAnsi" w:cstheme="minorBidi"/>
                <w:noProof/>
                <w:kern w:val="2"/>
                <w:szCs w:val="24"/>
                <w:lang w:val="en-US"/>
                <w14:ligatures w14:val="standardContextual"/>
              </w:rPr>
              <w:tab/>
            </w:r>
            <w:r w:rsidRPr="005115B1">
              <w:rPr>
                <w:rStyle w:val="Hyperlink"/>
                <w:noProof/>
              </w:rPr>
              <w:t>Conclusion</w:t>
            </w:r>
            <w:r>
              <w:rPr>
                <w:noProof/>
                <w:webHidden/>
              </w:rPr>
              <w:tab/>
            </w:r>
            <w:r>
              <w:rPr>
                <w:noProof/>
                <w:webHidden/>
              </w:rPr>
              <w:fldChar w:fldCharType="begin"/>
            </w:r>
            <w:r>
              <w:rPr>
                <w:noProof/>
                <w:webHidden/>
              </w:rPr>
              <w:instrText xml:space="preserve"> PAGEREF _Toc224863303 \h </w:instrText>
            </w:r>
            <w:r>
              <w:rPr>
                <w:noProof/>
                <w:webHidden/>
              </w:rPr>
            </w:r>
            <w:r>
              <w:rPr>
                <w:noProof/>
                <w:webHidden/>
              </w:rPr>
              <w:fldChar w:fldCharType="separate"/>
            </w:r>
            <w:r>
              <w:rPr>
                <w:noProof/>
                <w:webHidden/>
              </w:rPr>
              <w:t>25</w:t>
            </w:r>
            <w:r>
              <w:rPr>
                <w:noProof/>
                <w:webHidden/>
              </w:rPr>
              <w:fldChar w:fldCharType="end"/>
            </w:r>
          </w:hyperlink>
        </w:p>
        <w:p w14:paraId="41C44427" w14:textId="6BDE6AEB" w:rsidR="00350BB0" w:rsidRDefault="00350BB0">
          <w:pPr>
            <w:pStyle w:val="TOC1"/>
            <w:tabs>
              <w:tab w:val="left" w:pos="480"/>
              <w:tab w:val="right" w:leader="dot" w:pos="9350"/>
            </w:tabs>
            <w:rPr>
              <w:rFonts w:asciiTheme="minorHAnsi" w:eastAsiaTheme="minorEastAsia" w:hAnsiTheme="minorHAnsi" w:cstheme="minorBidi"/>
              <w:noProof/>
              <w:kern w:val="2"/>
              <w:szCs w:val="24"/>
              <w:lang w:val="en-US"/>
              <w14:ligatures w14:val="standardContextual"/>
            </w:rPr>
          </w:pPr>
          <w:hyperlink w:anchor="_Toc224863304" w:history="1">
            <w:r w:rsidRPr="005115B1">
              <w:rPr>
                <w:rStyle w:val="Hyperlink"/>
                <w:noProof/>
              </w:rPr>
              <w:t>4.</w:t>
            </w:r>
            <w:r>
              <w:rPr>
                <w:rFonts w:asciiTheme="minorHAnsi" w:eastAsiaTheme="minorEastAsia" w:hAnsiTheme="minorHAnsi" w:cstheme="minorBidi"/>
                <w:noProof/>
                <w:kern w:val="2"/>
                <w:szCs w:val="24"/>
                <w:lang w:val="en-US"/>
                <w14:ligatures w14:val="standardContextual"/>
              </w:rPr>
              <w:tab/>
            </w:r>
            <w:r w:rsidRPr="005115B1">
              <w:rPr>
                <w:rStyle w:val="Hyperlink"/>
                <w:noProof/>
              </w:rPr>
              <w:t>Bibliography</w:t>
            </w:r>
            <w:r>
              <w:rPr>
                <w:noProof/>
                <w:webHidden/>
              </w:rPr>
              <w:tab/>
            </w:r>
            <w:r>
              <w:rPr>
                <w:noProof/>
                <w:webHidden/>
              </w:rPr>
              <w:fldChar w:fldCharType="begin"/>
            </w:r>
            <w:r>
              <w:rPr>
                <w:noProof/>
                <w:webHidden/>
              </w:rPr>
              <w:instrText xml:space="preserve"> PAGEREF _Toc224863304 \h </w:instrText>
            </w:r>
            <w:r>
              <w:rPr>
                <w:noProof/>
                <w:webHidden/>
              </w:rPr>
            </w:r>
            <w:r>
              <w:rPr>
                <w:noProof/>
                <w:webHidden/>
              </w:rPr>
              <w:fldChar w:fldCharType="separate"/>
            </w:r>
            <w:r>
              <w:rPr>
                <w:noProof/>
                <w:webHidden/>
              </w:rPr>
              <w:t>27</w:t>
            </w:r>
            <w:r>
              <w:rPr>
                <w:noProof/>
                <w:webHidden/>
              </w:rPr>
              <w:fldChar w:fldCharType="end"/>
            </w:r>
          </w:hyperlink>
        </w:p>
        <w:p w14:paraId="21776675" w14:textId="1FC54D60" w:rsidR="00350BB0" w:rsidRDefault="00350BB0">
          <w:pPr>
            <w:pStyle w:val="TOC2"/>
            <w:tabs>
              <w:tab w:val="left" w:pos="960"/>
              <w:tab w:val="right" w:leader="dot" w:pos="9350"/>
            </w:tabs>
            <w:rPr>
              <w:rFonts w:asciiTheme="minorHAnsi" w:eastAsiaTheme="minorEastAsia" w:hAnsiTheme="minorHAnsi" w:cstheme="minorBidi"/>
              <w:noProof/>
              <w:kern w:val="2"/>
              <w:szCs w:val="24"/>
              <w:lang w:val="en-US"/>
              <w14:ligatures w14:val="standardContextual"/>
            </w:rPr>
          </w:pPr>
          <w:hyperlink w:anchor="_Toc224863305" w:history="1">
            <w:r w:rsidRPr="005115B1">
              <w:rPr>
                <w:rStyle w:val="Hyperlink"/>
                <w:noProof/>
              </w:rPr>
              <w:t>4.1</w:t>
            </w:r>
            <w:r>
              <w:rPr>
                <w:rFonts w:asciiTheme="minorHAnsi" w:eastAsiaTheme="minorEastAsia" w:hAnsiTheme="minorHAnsi" w:cstheme="minorBidi"/>
                <w:noProof/>
                <w:kern w:val="2"/>
                <w:szCs w:val="24"/>
                <w:lang w:val="en-US"/>
                <w14:ligatures w14:val="standardContextual"/>
              </w:rPr>
              <w:tab/>
            </w:r>
            <w:r w:rsidRPr="005115B1">
              <w:rPr>
                <w:rStyle w:val="Hyperlink"/>
                <w:noProof/>
              </w:rPr>
              <w:t>Appendix A: Financial Statements Data (Summarized) and Ratio Calculations</w:t>
            </w:r>
            <w:r>
              <w:rPr>
                <w:noProof/>
                <w:webHidden/>
              </w:rPr>
              <w:tab/>
            </w:r>
            <w:r>
              <w:rPr>
                <w:noProof/>
                <w:webHidden/>
              </w:rPr>
              <w:fldChar w:fldCharType="begin"/>
            </w:r>
            <w:r>
              <w:rPr>
                <w:noProof/>
                <w:webHidden/>
              </w:rPr>
              <w:instrText xml:space="preserve"> PAGEREF _Toc224863305 \h </w:instrText>
            </w:r>
            <w:r>
              <w:rPr>
                <w:noProof/>
                <w:webHidden/>
              </w:rPr>
            </w:r>
            <w:r>
              <w:rPr>
                <w:noProof/>
                <w:webHidden/>
              </w:rPr>
              <w:fldChar w:fldCharType="separate"/>
            </w:r>
            <w:r>
              <w:rPr>
                <w:noProof/>
                <w:webHidden/>
              </w:rPr>
              <w:t>34</w:t>
            </w:r>
            <w:r>
              <w:rPr>
                <w:noProof/>
                <w:webHidden/>
              </w:rPr>
              <w:fldChar w:fldCharType="end"/>
            </w:r>
          </w:hyperlink>
        </w:p>
        <w:p w14:paraId="7CA26B9E" w14:textId="0AFCFE95"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06" w:history="1">
            <w:r w:rsidRPr="005115B1">
              <w:rPr>
                <w:rStyle w:val="Hyperlink"/>
                <w:noProof/>
              </w:rPr>
              <w:t>4.1.1</w:t>
            </w:r>
            <w:r>
              <w:rPr>
                <w:rFonts w:asciiTheme="minorHAnsi" w:eastAsiaTheme="minorEastAsia" w:hAnsiTheme="minorHAnsi" w:cstheme="minorBidi"/>
                <w:noProof/>
                <w:kern w:val="2"/>
                <w:szCs w:val="24"/>
                <w:lang w:val="en-US"/>
                <w14:ligatures w14:val="standardContextual"/>
              </w:rPr>
              <w:tab/>
            </w:r>
            <w:r w:rsidRPr="005115B1">
              <w:rPr>
                <w:rStyle w:val="Hyperlink"/>
                <w:noProof/>
              </w:rPr>
              <w:t>Profitability Ratios</w:t>
            </w:r>
            <w:r>
              <w:rPr>
                <w:noProof/>
                <w:webHidden/>
              </w:rPr>
              <w:tab/>
            </w:r>
            <w:r>
              <w:rPr>
                <w:noProof/>
                <w:webHidden/>
              </w:rPr>
              <w:fldChar w:fldCharType="begin"/>
            </w:r>
            <w:r>
              <w:rPr>
                <w:noProof/>
                <w:webHidden/>
              </w:rPr>
              <w:instrText xml:space="preserve"> PAGEREF _Toc224863306 \h </w:instrText>
            </w:r>
            <w:r>
              <w:rPr>
                <w:noProof/>
                <w:webHidden/>
              </w:rPr>
            </w:r>
            <w:r>
              <w:rPr>
                <w:noProof/>
                <w:webHidden/>
              </w:rPr>
              <w:fldChar w:fldCharType="separate"/>
            </w:r>
            <w:r>
              <w:rPr>
                <w:noProof/>
                <w:webHidden/>
              </w:rPr>
              <w:t>34</w:t>
            </w:r>
            <w:r>
              <w:rPr>
                <w:noProof/>
                <w:webHidden/>
              </w:rPr>
              <w:fldChar w:fldCharType="end"/>
            </w:r>
          </w:hyperlink>
        </w:p>
        <w:p w14:paraId="7E0799C9" w14:textId="149AFEC7"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07" w:history="1">
            <w:r w:rsidRPr="005115B1">
              <w:rPr>
                <w:rStyle w:val="Hyperlink"/>
                <w:noProof/>
              </w:rPr>
              <w:t>4.1.2</w:t>
            </w:r>
            <w:r>
              <w:rPr>
                <w:rFonts w:asciiTheme="minorHAnsi" w:eastAsiaTheme="minorEastAsia" w:hAnsiTheme="minorHAnsi" w:cstheme="minorBidi"/>
                <w:noProof/>
                <w:kern w:val="2"/>
                <w:szCs w:val="24"/>
                <w:lang w:val="en-US"/>
                <w14:ligatures w14:val="standardContextual"/>
              </w:rPr>
              <w:tab/>
            </w:r>
            <w:r w:rsidRPr="005115B1">
              <w:rPr>
                <w:rStyle w:val="Hyperlink"/>
                <w:noProof/>
              </w:rPr>
              <w:t>Liquidity Ratios</w:t>
            </w:r>
            <w:r>
              <w:rPr>
                <w:noProof/>
                <w:webHidden/>
              </w:rPr>
              <w:tab/>
            </w:r>
            <w:r>
              <w:rPr>
                <w:noProof/>
                <w:webHidden/>
              </w:rPr>
              <w:fldChar w:fldCharType="begin"/>
            </w:r>
            <w:r>
              <w:rPr>
                <w:noProof/>
                <w:webHidden/>
              </w:rPr>
              <w:instrText xml:space="preserve"> PAGEREF _Toc224863307 \h </w:instrText>
            </w:r>
            <w:r>
              <w:rPr>
                <w:noProof/>
                <w:webHidden/>
              </w:rPr>
            </w:r>
            <w:r>
              <w:rPr>
                <w:noProof/>
                <w:webHidden/>
              </w:rPr>
              <w:fldChar w:fldCharType="separate"/>
            </w:r>
            <w:r>
              <w:rPr>
                <w:noProof/>
                <w:webHidden/>
              </w:rPr>
              <w:t>34</w:t>
            </w:r>
            <w:r>
              <w:rPr>
                <w:noProof/>
                <w:webHidden/>
              </w:rPr>
              <w:fldChar w:fldCharType="end"/>
            </w:r>
          </w:hyperlink>
        </w:p>
        <w:p w14:paraId="04A3AAEF" w14:textId="659AE15C"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08" w:history="1">
            <w:r w:rsidRPr="005115B1">
              <w:rPr>
                <w:rStyle w:val="Hyperlink"/>
                <w:noProof/>
              </w:rPr>
              <w:t>4.1.3</w:t>
            </w:r>
            <w:r>
              <w:rPr>
                <w:rFonts w:asciiTheme="minorHAnsi" w:eastAsiaTheme="minorEastAsia" w:hAnsiTheme="minorHAnsi" w:cstheme="minorBidi"/>
                <w:noProof/>
                <w:kern w:val="2"/>
                <w:szCs w:val="24"/>
                <w:lang w:val="en-US"/>
                <w14:ligatures w14:val="standardContextual"/>
              </w:rPr>
              <w:tab/>
            </w:r>
            <w:r w:rsidRPr="005115B1">
              <w:rPr>
                <w:rStyle w:val="Hyperlink"/>
                <w:noProof/>
              </w:rPr>
              <w:t>Efficiency Ratios</w:t>
            </w:r>
            <w:r>
              <w:rPr>
                <w:noProof/>
                <w:webHidden/>
              </w:rPr>
              <w:tab/>
            </w:r>
            <w:r>
              <w:rPr>
                <w:noProof/>
                <w:webHidden/>
              </w:rPr>
              <w:fldChar w:fldCharType="begin"/>
            </w:r>
            <w:r>
              <w:rPr>
                <w:noProof/>
                <w:webHidden/>
              </w:rPr>
              <w:instrText xml:space="preserve"> PAGEREF _Toc224863308 \h </w:instrText>
            </w:r>
            <w:r>
              <w:rPr>
                <w:noProof/>
                <w:webHidden/>
              </w:rPr>
            </w:r>
            <w:r>
              <w:rPr>
                <w:noProof/>
                <w:webHidden/>
              </w:rPr>
              <w:fldChar w:fldCharType="separate"/>
            </w:r>
            <w:r>
              <w:rPr>
                <w:noProof/>
                <w:webHidden/>
              </w:rPr>
              <w:t>35</w:t>
            </w:r>
            <w:r>
              <w:rPr>
                <w:noProof/>
                <w:webHidden/>
              </w:rPr>
              <w:fldChar w:fldCharType="end"/>
            </w:r>
          </w:hyperlink>
        </w:p>
        <w:p w14:paraId="15E1507E" w14:textId="66FB2D02"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09" w:history="1">
            <w:r w:rsidRPr="005115B1">
              <w:rPr>
                <w:rStyle w:val="Hyperlink"/>
                <w:noProof/>
              </w:rPr>
              <w:t>4.1.4</w:t>
            </w:r>
            <w:r>
              <w:rPr>
                <w:rFonts w:asciiTheme="minorHAnsi" w:eastAsiaTheme="minorEastAsia" w:hAnsiTheme="minorHAnsi" w:cstheme="minorBidi"/>
                <w:noProof/>
                <w:kern w:val="2"/>
                <w:szCs w:val="24"/>
                <w:lang w:val="en-US"/>
                <w14:ligatures w14:val="standardContextual"/>
              </w:rPr>
              <w:tab/>
            </w:r>
            <w:r w:rsidRPr="005115B1">
              <w:rPr>
                <w:rStyle w:val="Hyperlink"/>
                <w:noProof/>
              </w:rPr>
              <w:t>Solvency / Gearing Ratios</w:t>
            </w:r>
            <w:r>
              <w:rPr>
                <w:noProof/>
                <w:webHidden/>
              </w:rPr>
              <w:tab/>
            </w:r>
            <w:r>
              <w:rPr>
                <w:noProof/>
                <w:webHidden/>
              </w:rPr>
              <w:fldChar w:fldCharType="begin"/>
            </w:r>
            <w:r>
              <w:rPr>
                <w:noProof/>
                <w:webHidden/>
              </w:rPr>
              <w:instrText xml:space="preserve"> PAGEREF _Toc224863309 \h </w:instrText>
            </w:r>
            <w:r>
              <w:rPr>
                <w:noProof/>
                <w:webHidden/>
              </w:rPr>
            </w:r>
            <w:r>
              <w:rPr>
                <w:noProof/>
                <w:webHidden/>
              </w:rPr>
              <w:fldChar w:fldCharType="separate"/>
            </w:r>
            <w:r>
              <w:rPr>
                <w:noProof/>
                <w:webHidden/>
              </w:rPr>
              <w:t>36</w:t>
            </w:r>
            <w:r>
              <w:rPr>
                <w:noProof/>
                <w:webHidden/>
              </w:rPr>
              <w:fldChar w:fldCharType="end"/>
            </w:r>
          </w:hyperlink>
        </w:p>
        <w:p w14:paraId="7FD9B80D" w14:textId="4404E36F"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10" w:history="1">
            <w:r w:rsidRPr="005115B1">
              <w:rPr>
                <w:rStyle w:val="Hyperlink"/>
                <w:noProof/>
              </w:rPr>
              <w:t>4.1.5</w:t>
            </w:r>
            <w:r>
              <w:rPr>
                <w:rFonts w:asciiTheme="minorHAnsi" w:eastAsiaTheme="minorEastAsia" w:hAnsiTheme="minorHAnsi" w:cstheme="minorBidi"/>
                <w:noProof/>
                <w:kern w:val="2"/>
                <w:szCs w:val="24"/>
                <w:lang w:val="en-US"/>
                <w14:ligatures w14:val="standardContextual"/>
              </w:rPr>
              <w:tab/>
            </w:r>
            <w:r w:rsidRPr="005115B1">
              <w:rPr>
                <w:rStyle w:val="Hyperlink"/>
                <w:noProof/>
              </w:rPr>
              <w:t>Investor Ratios</w:t>
            </w:r>
            <w:r>
              <w:rPr>
                <w:noProof/>
                <w:webHidden/>
              </w:rPr>
              <w:tab/>
            </w:r>
            <w:r>
              <w:rPr>
                <w:noProof/>
                <w:webHidden/>
              </w:rPr>
              <w:fldChar w:fldCharType="begin"/>
            </w:r>
            <w:r>
              <w:rPr>
                <w:noProof/>
                <w:webHidden/>
              </w:rPr>
              <w:instrText xml:space="preserve"> PAGEREF _Toc224863310 \h </w:instrText>
            </w:r>
            <w:r>
              <w:rPr>
                <w:noProof/>
                <w:webHidden/>
              </w:rPr>
            </w:r>
            <w:r>
              <w:rPr>
                <w:noProof/>
                <w:webHidden/>
              </w:rPr>
              <w:fldChar w:fldCharType="separate"/>
            </w:r>
            <w:r>
              <w:rPr>
                <w:noProof/>
                <w:webHidden/>
              </w:rPr>
              <w:t>36</w:t>
            </w:r>
            <w:r>
              <w:rPr>
                <w:noProof/>
                <w:webHidden/>
              </w:rPr>
              <w:fldChar w:fldCharType="end"/>
            </w:r>
          </w:hyperlink>
        </w:p>
        <w:p w14:paraId="5E76D976" w14:textId="342B949D" w:rsidR="00350BB0" w:rsidRDefault="00350BB0">
          <w:pPr>
            <w:pStyle w:val="TOC3"/>
            <w:tabs>
              <w:tab w:val="left" w:pos="1440"/>
              <w:tab w:val="right" w:leader="dot" w:pos="9350"/>
            </w:tabs>
            <w:rPr>
              <w:rFonts w:asciiTheme="minorHAnsi" w:eastAsiaTheme="minorEastAsia" w:hAnsiTheme="minorHAnsi" w:cstheme="minorBidi"/>
              <w:noProof/>
              <w:kern w:val="2"/>
              <w:szCs w:val="24"/>
              <w:lang w:val="en-US"/>
              <w14:ligatures w14:val="standardContextual"/>
            </w:rPr>
          </w:pPr>
          <w:hyperlink w:anchor="_Toc224863311" w:history="1">
            <w:r w:rsidRPr="005115B1">
              <w:rPr>
                <w:rStyle w:val="Hyperlink"/>
                <w:noProof/>
              </w:rPr>
              <w:t>4.1.6</w:t>
            </w:r>
            <w:r>
              <w:rPr>
                <w:rFonts w:asciiTheme="minorHAnsi" w:eastAsiaTheme="minorEastAsia" w:hAnsiTheme="minorHAnsi" w:cstheme="minorBidi"/>
                <w:noProof/>
                <w:kern w:val="2"/>
                <w:szCs w:val="24"/>
                <w:lang w:val="en-US"/>
                <w14:ligatures w14:val="standardContextual"/>
              </w:rPr>
              <w:tab/>
            </w:r>
            <w:r w:rsidRPr="005115B1">
              <w:rPr>
                <w:rStyle w:val="Hyperlink"/>
                <w:noProof/>
              </w:rPr>
              <w:t>Financial Statements</w:t>
            </w:r>
            <w:r>
              <w:rPr>
                <w:noProof/>
                <w:webHidden/>
              </w:rPr>
              <w:tab/>
            </w:r>
            <w:r>
              <w:rPr>
                <w:noProof/>
                <w:webHidden/>
              </w:rPr>
              <w:fldChar w:fldCharType="begin"/>
            </w:r>
            <w:r>
              <w:rPr>
                <w:noProof/>
                <w:webHidden/>
              </w:rPr>
              <w:instrText xml:space="preserve"> PAGEREF _Toc224863311 \h </w:instrText>
            </w:r>
            <w:r>
              <w:rPr>
                <w:noProof/>
                <w:webHidden/>
              </w:rPr>
            </w:r>
            <w:r>
              <w:rPr>
                <w:noProof/>
                <w:webHidden/>
              </w:rPr>
              <w:fldChar w:fldCharType="separate"/>
            </w:r>
            <w:r>
              <w:rPr>
                <w:noProof/>
                <w:webHidden/>
              </w:rPr>
              <w:t>36</w:t>
            </w:r>
            <w:r>
              <w:rPr>
                <w:noProof/>
                <w:webHidden/>
              </w:rPr>
              <w:fldChar w:fldCharType="end"/>
            </w:r>
          </w:hyperlink>
        </w:p>
        <w:p w14:paraId="59A75F51" w14:textId="10815EC2" w:rsidR="00423571" w:rsidRPr="00141A3C" w:rsidRDefault="00423571" w:rsidP="00423571">
          <w:r w:rsidRPr="00141A3C">
            <w:rPr>
              <w:b/>
              <w:bCs/>
            </w:rPr>
            <w:fldChar w:fldCharType="end"/>
          </w:r>
        </w:p>
      </w:sdtContent>
    </w:sdt>
    <w:p w14:paraId="02051080" w14:textId="77777777" w:rsidR="00617F85" w:rsidRDefault="00617F85">
      <w:pPr>
        <w:spacing w:line="240" w:lineRule="auto"/>
        <w:jc w:val="left"/>
      </w:pPr>
      <w:r>
        <w:br w:type="page"/>
      </w:r>
    </w:p>
    <w:p w14:paraId="3B76B6AA" w14:textId="77777777" w:rsidR="00617F85" w:rsidRDefault="00617F85" w:rsidP="00617F85">
      <w:pPr>
        <w:pStyle w:val="Heading1"/>
      </w:pPr>
      <w:bookmarkStart w:id="1" w:name="_Toc224863286"/>
      <w:r>
        <w:lastRenderedPageBreak/>
        <w:t>List of Tables</w:t>
      </w:r>
      <w:bookmarkEnd w:id="1"/>
    </w:p>
    <w:p w14:paraId="0E3CFF9A" w14:textId="316B22A0" w:rsidR="00350BB0" w:rsidRDefault="00617F85">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r>
        <w:fldChar w:fldCharType="begin"/>
      </w:r>
      <w:r>
        <w:instrText xml:space="preserve"> TOC \h \z \c "Table" </w:instrText>
      </w:r>
      <w:r>
        <w:fldChar w:fldCharType="separate"/>
      </w:r>
      <w:hyperlink w:anchor="_Toc224863312" w:history="1">
        <w:r w:rsidR="00350BB0" w:rsidRPr="00BE370B">
          <w:rPr>
            <w:rStyle w:val="Hyperlink"/>
            <w:noProof/>
          </w:rPr>
          <w:t>Table 1: Profitability Ratios</w:t>
        </w:r>
        <w:r w:rsidR="00350BB0">
          <w:rPr>
            <w:noProof/>
            <w:webHidden/>
          </w:rPr>
          <w:tab/>
        </w:r>
        <w:r w:rsidR="00350BB0">
          <w:rPr>
            <w:noProof/>
            <w:webHidden/>
          </w:rPr>
          <w:fldChar w:fldCharType="begin"/>
        </w:r>
        <w:r w:rsidR="00350BB0">
          <w:rPr>
            <w:noProof/>
            <w:webHidden/>
          </w:rPr>
          <w:instrText xml:space="preserve"> PAGEREF _Toc224863312 \h </w:instrText>
        </w:r>
        <w:r w:rsidR="00350BB0">
          <w:rPr>
            <w:noProof/>
            <w:webHidden/>
          </w:rPr>
        </w:r>
        <w:r w:rsidR="00350BB0">
          <w:rPr>
            <w:noProof/>
            <w:webHidden/>
          </w:rPr>
          <w:fldChar w:fldCharType="separate"/>
        </w:r>
        <w:r w:rsidR="00350BB0">
          <w:rPr>
            <w:noProof/>
            <w:webHidden/>
          </w:rPr>
          <w:t>8</w:t>
        </w:r>
        <w:r w:rsidR="00350BB0">
          <w:rPr>
            <w:noProof/>
            <w:webHidden/>
          </w:rPr>
          <w:fldChar w:fldCharType="end"/>
        </w:r>
      </w:hyperlink>
    </w:p>
    <w:p w14:paraId="55266374" w14:textId="2F5ECDF6"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13" w:history="1">
        <w:r w:rsidRPr="00BE370B">
          <w:rPr>
            <w:rStyle w:val="Hyperlink"/>
            <w:noProof/>
          </w:rPr>
          <w:t>Table 2: Liquidity Ratios</w:t>
        </w:r>
        <w:r>
          <w:rPr>
            <w:noProof/>
            <w:webHidden/>
          </w:rPr>
          <w:tab/>
        </w:r>
        <w:r>
          <w:rPr>
            <w:noProof/>
            <w:webHidden/>
          </w:rPr>
          <w:fldChar w:fldCharType="begin"/>
        </w:r>
        <w:r>
          <w:rPr>
            <w:noProof/>
            <w:webHidden/>
          </w:rPr>
          <w:instrText xml:space="preserve"> PAGEREF _Toc224863313 \h </w:instrText>
        </w:r>
        <w:r>
          <w:rPr>
            <w:noProof/>
            <w:webHidden/>
          </w:rPr>
        </w:r>
        <w:r>
          <w:rPr>
            <w:noProof/>
            <w:webHidden/>
          </w:rPr>
          <w:fldChar w:fldCharType="separate"/>
        </w:r>
        <w:r>
          <w:rPr>
            <w:noProof/>
            <w:webHidden/>
          </w:rPr>
          <w:t>9</w:t>
        </w:r>
        <w:r>
          <w:rPr>
            <w:noProof/>
            <w:webHidden/>
          </w:rPr>
          <w:fldChar w:fldCharType="end"/>
        </w:r>
      </w:hyperlink>
    </w:p>
    <w:p w14:paraId="3CC22EEF" w14:textId="7A8167B0"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14" w:history="1">
        <w:r w:rsidRPr="00BE370B">
          <w:rPr>
            <w:rStyle w:val="Hyperlink"/>
            <w:noProof/>
          </w:rPr>
          <w:t>Table 3: Efficiency Ratios</w:t>
        </w:r>
        <w:r>
          <w:rPr>
            <w:noProof/>
            <w:webHidden/>
          </w:rPr>
          <w:tab/>
        </w:r>
        <w:r>
          <w:rPr>
            <w:noProof/>
            <w:webHidden/>
          </w:rPr>
          <w:fldChar w:fldCharType="begin"/>
        </w:r>
        <w:r>
          <w:rPr>
            <w:noProof/>
            <w:webHidden/>
          </w:rPr>
          <w:instrText xml:space="preserve"> PAGEREF _Toc224863314 \h </w:instrText>
        </w:r>
        <w:r>
          <w:rPr>
            <w:noProof/>
            <w:webHidden/>
          </w:rPr>
        </w:r>
        <w:r>
          <w:rPr>
            <w:noProof/>
            <w:webHidden/>
          </w:rPr>
          <w:fldChar w:fldCharType="separate"/>
        </w:r>
        <w:r>
          <w:rPr>
            <w:noProof/>
            <w:webHidden/>
          </w:rPr>
          <w:t>11</w:t>
        </w:r>
        <w:r>
          <w:rPr>
            <w:noProof/>
            <w:webHidden/>
          </w:rPr>
          <w:fldChar w:fldCharType="end"/>
        </w:r>
      </w:hyperlink>
    </w:p>
    <w:p w14:paraId="008F5FD8" w14:textId="6136C1FB"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15" w:history="1">
        <w:r w:rsidRPr="00BE370B">
          <w:rPr>
            <w:rStyle w:val="Hyperlink"/>
            <w:noProof/>
          </w:rPr>
          <w:t>Table 4: Solvency (Gearing) Ratios</w:t>
        </w:r>
        <w:r>
          <w:rPr>
            <w:noProof/>
            <w:webHidden/>
          </w:rPr>
          <w:tab/>
        </w:r>
        <w:r>
          <w:rPr>
            <w:noProof/>
            <w:webHidden/>
          </w:rPr>
          <w:fldChar w:fldCharType="begin"/>
        </w:r>
        <w:r>
          <w:rPr>
            <w:noProof/>
            <w:webHidden/>
          </w:rPr>
          <w:instrText xml:space="preserve"> PAGEREF _Toc224863315 \h </w:instrText>
        </w:r>
        <w:r>
          <w:rPr>
            <w:noProof/>
            <w:webHidden/>
          </w:rPr>
        </w:r>
        <w:r>
          <w:rPr>
            <w:noProof/>
            <w:webHidden/>
          </w:rPr>
          <w:fldChar w:fldCharType="separate"/>
        </w:r>
        <w:r>
          <w:rPr>
            <w:noProof/>
            <w:webHidden/>
          </w:rPr>
          <w:t>12</w:t>
        </w:r>
        <w:r>
          <w:rPr>
            <w:noProof/>
            <w:webHidden/>
          </w:rPr>
          <w:fldChar w:fldCharType="end"/>
        </w:r>
      </w:hyperlink>
    </w:p>
    <w:p w14:paraId="175C8CDB" w14:textId="3B114A22"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16" w:history="1">
        <w:r w:rsidRPr="00BE370B">
          <w:rPr>
            <w:rStyle w:val="Hyperlink"/>
            <w:noProof/>
          </w:rPr>
          <w:t>Table 5: Investor Ratios</w:t>
        </w:r>
        <w:r>
          <w:rPr>
            <w:noProof/>
            <w:webHidden/>
          </w:rPr>
          <w:tab/>
        </w:r>
        <w:r>
          <w:rPr>
            <w:noProof/>
            <w:webHidden/>
          </w:rPr>
          <w:fldChar w:fldCharType="begin"/>
        </w:r>
        <w:r>
          <w:rPr>
            <w:noProof/>
            <w:webHidden/>
          </w:rPr>
          <w:instrText xml:space="preserve"> PAGEREF _Toc224863316 \h </w:instrText>
        </w:r>
        <w:r>
          <w:rPr>
            <w:noProof/>
            <w:webHidden/>
          </w:rPr>
        </w:r>
        <w:r>
          <w:rPr>
            <w:noProof/>
            <w:webHidden/>
          </w:rPr>
          <w:fldChar w:fldCharType="separate"/>
        </w:r>
        <w:r>
          <w:rPr>
            <w:noProof/>
            <w:webHidden/>
          </w:rPr>
          <w:t>13</w:t>
        </w:r>
        <w:r>
          <w:rPr>
            <w:noProof/>
            <w:webHidden/>
          </w:rPr>
          <w:fldChar w:fldCharType="end"/>
        </w:r>
      </w:hyperlink>
    </w:p>
    <w:p w14:paraId="5494678E" w14:textId="7649BB7E"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17" w:history="1">
        <w:r w:rsidRPr="00BE370B">
          <w:rPr>
            <w:rStyle w:val="Hyperlink"/>
            <w:noProof/>
          </w:rPr>
          <w:t>Table 6: NPV of Option A</w:t>
        </w:r>
        <w:r>
          <w:rPr>
            <w:noProof/>
            <w:webHidden/>
          </w:rPr>
          <w:tab/>
        </w:r>
        <w:r>
          <w:rPr>
            <w:noProof/>
            <w:webHidden/>
          </w:rPr>
          <w:fldChar w:fldCharType="begin"/>
        </w:r>
        <w:r>
          <w:rPr>
            <w:noProof/>
            <w:webHidden/>
          </w:rPr>
          <w:instrText xml:space="preserve"> PAGEREF _Toc224863317 \h </w:instrText>
        </w:r>
        <w:r>
          <w:rPr>
            <w:noProof/>
            <w:webHidden/>
          </w:rPr>
        </w:r>
        <w:r>
          <w:rPr>
            <w:noProof/>
            <w:webHidden/>
          </w:rPr>
          <w:fldChar w:fldCharType="separate"/>
        </w:r>
        <w:r>
          <w:rPr>
            <w:noProof/>
            <w:webHidden/>
          </w:rPr>
          <w:t>16</w:t>
        </w:r>
        <w:r>
          <w:rPr>
            <w:noProof/>
            <w:webHidden/>
          </w:rPr>
          <w:fldChar w:fldCharType="end"/>
        </w:r>
      </w:hyperlink>
    </w:p>
    <w:p w14:paraId="5C558831" w14:textId="057334BF"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18" w:history="1">
        <w:r w:rsidRPr="00BE370B">
          <w:rPr>
            <w:rStyle w:val="Hyperlink"/>
            <w:noProof/>
          </w:rPr>
          <w:t>Table 7: NPV of Option B</w:t>
        </w:r>
        <w:r>
          <w:rPr>
            <w:noProof/>
            <w:webHidden/>
          </w:rPr>
          <w:tab/>
        </w:r>
        <w:r>
          <w:rPr>
            <w:noProof/>
            <w:webHidden/>
          </w:rPr>
          <w:fldChar w:fldCharType="begin"/>
        </w:r>
        <w:r>
          <w:rPr>
            <w:noProof/>
            <w:webHidden/>
          </w:rPr>
          <w:instrText xml:space="preserve"> PAGEREF _Toc224863318 \h </w:instrText>
        </w:r>
        <w:r>
          <w:rPr>
            <w:noProof/>
            <w:webHidden/>
          </w:rPr>
        </w:r>
        <w:r>
          <w:rPr>
            <w:noProof/>
            <w:webHidden/>
          </w:rPr>
          <w:fldChar w:fldCharType="separate"/>
        </w:r>
        <w:r>
          <w:rPr>
            <w:noProof/>
            <w:webHidden/>
          </w:rPr>
          <w:t>17</w:t>
        </w:r>
        <w:r>
          <w:rPr>
            <w:noProof/>
            <w:webHidden/>
          </w:rPr>
          <w:fldChar w:fldCharType="end"/>
        </w:r>
      </w:hyperlink>
    </w:p>
    <w:p w14:paraId="58569A9D" w14:textId="3B79B65D"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19" w:history="1">
        <w:r w:rsidRPr="00BE370B">
          <w:rPr>
            <w:rStyle w:val="Hyperlink"/>
            <w:noProof/>
          </w:rPr>
          <w:t>Table 8: NPV of Option C</w:t>
        </w:r>
        <w:r>
          <w:rPr>
            <w:noProof/>
            <w:webHidden/>
          </w:rPr>
          <w:tab/>
        </w:r>
        <w:r>
          <w:rPr>
            <w:noProof/>
            <w:webHidden/>
          </w:rPr>
          <w:fldChar w:fldCharType="begin"/>
        </w:r>
        <w:r>
          <w:rPr>
            <w:noProof/>
            <w:webHidden/>
          </w:rPr>
          <w:instrText xml:space="preserve"> PAGEREF _Toc224863319 \h </w:instrText>
        </w:r>
        <w:r>
          <w:rPr>
            <w:noProof/>
            <w:webHidden/>
          </w:rPr>
        </w:r>
        <w:r>
          <w:rPr>
            <w:noProof/>
            <w:webHidden/>
          </w:rPr>
          <w:fldChar w:fldCharType="separate"/>
        </w:r>
        <w:r>
          <w:rPr>
            <w:noProof/>
            <w:webHidden/>
          </w:rPr>
          <w:t>18</w:t>
        </w:r>
        <w:r>
          <w:rPr>
            <w:noProof/>
            <w:webHidden/>
          </w:rPr>
          <w:fldChar w:fldCharType="end"/>
        </w:r>
      </w:hyperlink>
    </w:p>
    <w:p w14:paraId="0D765892" w14:textId="457898BD"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20" w:history="1">
        <w:r w:rsidRPr="00BE370B">
          <w:rPr>
            <w:rStyle w:val="Hyperlink"/>
            <w:noProof/>
          </w:rPr>
          <w:t>Table 9: Internal Rate of Return (IRR) Calculations</w:t>
        </w:r>
        <w:r>
          <w:rPr>
            <w:noProof/>
            <w:webHidden/>
          </w:rPr>
          <w:tab/>
        </w:r>
        <w:r>
          <w:rPr>
            <w:noProof/>
            <w:webHidden/>
          </w:rPr>
          <w:fldChar w:fldCharType="begin"/>
        </w:r>
        <w:r>
          <w:rPr>
            <w:noProof/>
            <w:webHidden/>
          </w:rPr>
          <w:instrText xml:space="preserve"> PAGEREF _Toc224863320 \h </w:instrText>
        </w:r>
        <w:r>
          <w:rPr>
            <w:noProof/>
            <w:webHidden/>
          </w:rPr>
        </w:r>
        <w:r>
          <w:rPr>
            <w:noProof/>
            <w:webHidden/>
          </w:rPr>
          <w:fldChar w:fldCharType="separate"/>
        </w:r>
        <w:r>
          <w:rPr>
            <w:noProof/>
            <w:webHidden/>
          </w:rPr>
          <w:t>19</w:t>
        </w:r>
        <w:r>
          <w:rPr>
            <w:noProof/>
            <w:webHidden/>
          </w:rPr>
          <w:fldChar w:fldCharType="end"/>
        </w:r>
      </w:hyperlink>
    </w:p>
    <w:p w14:paraId="1030A339" w14:textId="0F370EB0"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21" w:history="1">
        <w:r w:rsidRPr="00BE370B">
          <w:rPr>
            <w:rStyle w:val="Hyperlink"/>
            <w:noProof/>
          </w:rPr>
          <w:t>Table 10: Profitability Index (PI) Project Ranking</w:t>
        </w:r>
        <w:r>
          <w:rPr>
            <w:noProof/>
            <w:webHidden/>
          </w:rPr>
          <w:tab/>
        </w:r>
        <w:r>
          <w:rPr>
            <w:noProof/>
            <w:webHidden/>
          </w:rPr>
          <w:fldChar w:fldCharType="begin"/>
        </w:r>
        <w:r>
          <w:rPr>
            <w:noProof/>
            <w:webHidden/>
          </w:rPr>
          <w:instrText xml:space="preserve"> PAGEREF _Toc224863321 \h </w:instrText>
        </w:r>
        <w:r>
          <w:rPr>
            <w:noProof/>
            <w:webHidden/>
          </w:rPr>
        </w:r>
        <w:r>
          <w:rPr>
            <w:noProof/>
            <w:webHidden/>
          </w:rPr>
          <w:fldChar w:fldCharType="separate"/>
        </w:r>
        <w:r>
          <w:rPr>
            <w:noProof/>
            <w:webHidden/>
          </w:rPr>
          <w:t>23</w:t>
        </w:r>
        <w:r>
          <w:rPr>
            <w:noProof/>
            <w:webHidden/>
          </w:rPr>
          <w:fldChar w:fldCharType="end"/>
        </w:r>
      </w:hyperlink>
    </w:p>
    <w:p w14:paraId="34F26E71" w14:textId="4EBEF888" w:rsidR="00350BB0" w:rsidRDefault="00350BB0">
      <w:pPr>
        <w:pStyle w:val="TableofFigures"/>
        <w:tabs>
          <w:tab w:val="right" w:leader="dot" w:pos="9350"/>
        </w:tabs>
        <w:rPr>
          <w:rFonts w:asciiTheme="minorHAnsi" w:eastAsiaTheme="minorEastAsia" w:hAnsiTheme="minorHAnsi" w:cstheme="minorBidi"/>
          <w:noProof/>
          <w:kern w:val="2"/>
          <w:szCs w:val="24"/>
          <w:lang w:val="en-US"/>
          <w14:ligatures w14:val="standardContextual"/>
        </w:rPr>
      </w:pPr>
      <w:hyperlink w:anchor="_Toc224863322" w:history="1">
        <w:r w:rsidRPr="00BE370B">
          <w:rPr>
            <w:rStyle w:val="Hyperlink"/>
            <w:noProof/>
          </w:rPr>
          <w:t>Table 11: Optimal Portfolio Allocation (Budget: £2,500,000)</w:t>
        </w:r>
        <w:r>
          <w:rPr>
            <w:noProof/>
            <w:webHidden/>
          </w:rPr>
          <w:tab/>
        </w:r>
        <w:r>
          <w:rPr>
            <w:noProof/>
            <w:webHidden/>
          </w:rPr>
          <w:fldChar w:fldCharType="begin"/>
        </w:r>
        <w:r>
          <w:rPr>
            <w:noProof/>
            <w:webHidden/>
          </w:rPr>
          <w:instrText xml:space="preserve"> PAGEREF _Toc224863322 \h </w:instrText>
        </w:r>
        <w:r>
          <w:rPr>
            <w:noProof/>
            <w:webHidden/>
          </w:rPr>
        </w:r>
        <w:r>
          <w:rPr>
            <w:noProof/>
            <w:webHidden/>
          </w:rPr>
          <w:fldChar w:fldCharType="separate"/>
        </w:r>
        <w:r>
          <w:rPr>
            <w:noProof/>
            <w:webHidden/>
          </w:rPr>
          <w:t>24</w:t>
        </w:r>
        <w:r>
          <w:rPr>
            <w:noProof/>
            <w:webHidden/>
          </w:rPr>
          <w:fldChar w:fldCharType="end"/>
        </w:r>
      </w:hyperlink>
    </w:p>
    <w:p w14:paraId="4D960341" w14:textId="5383A962" w:rsidR="00617F85" w:rsidRPr="00617F85" w:rsidRDefault="00617F85" w:rsidP="00617F85">
      <w:r>
        <w:fldChar w:fldCharType="end"/>
      </w:r>
    </w:p>
    <w:p w14:paraId="2550CBB4" w14:textId="4708E645" w:rsidR="00423571" w:rsidRPr="00141A3C" w:rsidRDefault="00423571">
      <w:pPr>
        <w:spacing w:line="240" w:lineRule="auto"/>
        <w:jc w:val="left"/>
      </w:pPr>
      <w:r w:rsidRPr="00141A3C">
        <w:br w:type="page"/>
      </w:r>
    </w:p>
    <w:p w14:paraId="4A54C915" w14:textId="7BD7EA9F" w:rsidR="00DF11DE" w:rsidRPr="00141A3C" w:rsidRDefault="00000000" w:rsidP="008E2985">
      <w:pPr>
        <w:pStyle w:val="Heading1"/>
        <w:numPr>
          <w:ilvl w:val="0"/>
          <w:numId w:val="23"/>
        </w:numPr>
      </w:pPr>
      <w:bookmarkStart w:id="2" w:name="_Toc224863287"/>
      <w:r w:rsidRPr="00141A3C">
        <w:lastRenderedPageBreak/>
        <w:t>Introduction</w:t>
      </w:r>
      <w:bookmarkEnd w:id="2"/>
    </w:p>
    <w:p w14:paraId="5A6458C4" w14:textId="77777777" w:rsidR="00423571" w:rsidRPr="00141A3C" w:rsidRDefault="00423571"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Financial assessment and investment evaluation are essential foundations of strategic planning that offers quantitative frameworks that make organisations to use limited capital effectively and systematically optimise shareholder wealth (</w:t>
      </w:r>
      <w:proofErr w:type="spellStart"/>
      <w:r w:rsidRPr="00141A3C">
        <w:rPr>
          <w:rFonts w:eastAsia="Google Sans" w:cs="Times New Roman"/>
          <w:color w:val="1F1F1F"/>
        </w:rPr>
        <w:t>Atrill</w:t>
      </w:r>
      <w:proofErr w:type="spellEnd"/>
      <w:r w:rsidRPr="00141A3C">
        <w:rPr>
          <w:rFonts w:eastAsia="Google Sans" w:cs="Times New Roman"/>
          <w:color w:val="1F1F1F"/>
        </w:rPr>
        <w:t>, 2020; Mollah et al., 2021). This report is an attempt to use those theories of fundamental financial theories to two specific corporate situations to close the gap between the theoretical model and the real-world executive practice.</w:t>
      </w:r>
    </w:p>
    <w:p w14:paraId="56AE3576" w14:textId="4D04E2A1" w:rsidR="00423571" w:rsidRPr="00141A3C" w:rsidRDefault="00423571"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The first part critically analy</w:t>
      </w:r>
      <w:r w:rsidR="0021492A" w:rsidRPr="00141A3C">
        <w:rPr>
          <w:rFonts w:eastAsia="Google Sans" w:cs="Times New Roman"/>
          <w:color w:val="1F1F1F"/>
        </w:rPr>
        <w:t>s</w:t>
      </w:r>
      <w:r w:rsidRPr="00141A3C">
        <w:rPr>
          <w:rFonts w:eastAsia="Google Sans" w:cs="Times New Roman"/>
          <w:color w:val="1F1F1F"/>
        </w:rPr>
        <w:t>es the financial status of the Tesco PLC which is the largest grocery retailer in the United Kingdom and uses the data provided in its 2024 and 2025 year-end reports. Although ratio analysis allows a background, quantitative base of historical performance (Lam, 2025; Walsh, 2008), traditional measurements are easily manipulated by corporate restructuring, changes in accounting standards and inflation (Laitinen et al., 2023). Thus, in order to do a thorough analysis, financial metrics of Tesco are assessed stringently concerning the existing macroeconomic context: a long-term cost-of-living crisis, food price inflation, fierce growth of limited assortment discounters (i.e. Aldi), and devastating supply chain shocks caused by discontinuous geopolitical events (Kauhanen et al., 2024; Wu et al., 2024). Most importantly, this discussion evaluates the effectiveness of Tesco strategy known as Save to Invest and the strategies of its transition back to pure-play retail model after the sale of the Tesco Bank.</w:t>
      </w:r>
    </w:p>
    <w:p w14:paraId="7445DD09" w14:textId="284AB58F" w:rsidR="00423571" w:rsidRPr="00141A3C" w:rsidRDefault="00423571"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The second part is an advisory report of the Board of Directors of Westward Plc, a manufacturer of quality curtains and appraised three mutually exclusive capital investments and foundations of expanding a physical retailing outlet (Option A), developing internet sales (Option B) or producing wooden and Roman blinds (Option C). Growth of corporations absolutely depends on healthy capital budgeting (Drury, 2021; Singh, 2024). These alternatives are analy</w:t>
      </w:r>
      <w:r w:rsidR="0021492A" w:rsidRPr="00141A3C">
        <w:rPr>
          <w:rFonts w:eastAsia="Google Sans" w:cs="Times New Roman"/>
          <w:color w:val="1F1F1F"/>
        </w:rPr>
        <w:t>s</w:t>
      </w:r>
      <w:r w:rsidRPr="00141A3C">
        <w:rPr>
          <w:rFonts w:eastAsia="Google Sans" w:cs="Times New Roman"/>
          <w:color w:val="1F1F1F"/>
        </w:rPr>
        <w:t>ed in this report in the approach of the discounted cash flow (DCF), namely Net Present Value (NPV) and Internal Rate of Return (IRR). The financial theory contends that NPV is the best methodology because it clearly uses the Time Value of Money (TVM) and accounts for risk (</w:t>
      </w:r>
      <w:proofErr w:type="spellStart"/>
      <w:r w:rsidRPr="00141A3C">
        <w:rPr>
          <w:rFonts w:eastAsia="Google Sans" w:cs="Times New Roman"/>
          <w:color w:val="1F1F1F"/>
        </w:rPr>
        <w:t>Eleba</w:t>
      </w:r>
      <w:proofErr w:type="spellEnd"/>
      <w:r w:rsidRPr="00141A3C">
        <w:rPr>
          <w:rFonts w:eastAsia="Google Sans" w:cs="Times New Roman"/>
          <w:color w:val="1F1F1F"/>
        </w:rPr>
        <w:t xml:space="preserve"> and </w:t>
      </w:r>
      <w:proofErr w:type="spellStart"/>
      <w:r w:rsidRPr="00141A3C">
        <w:rPr>
          <w:rFonts w:eastAsia="Google Sans" w:cs="Times New Roman"/>
          <w:color w:val="1F1F1F"/>
        </w:rPr>
        <w:t>Tubotamuno</w:t>
      </w:r>
      <w:proofErr w:type="spellEnd"/>
      <w:r w:rsidRPr="00141A3C">
        <w:rPr>
          <w:rFonts w:eastAsia="Google Sans" w:cs="Times New Roman"/>
          <w:color w:val="1F1F1F"/>
        </w:rPr>
        <w:t>-Ojas, 2024). The report compares this theoretical soundness with the practical long-term popularity of non-discounting models, reporting the behavioural motivators and agency theories of managerial choices in favour of short-term liquidity (Hoang et al., 2024).</w:t>
      </w:r>
    </w:p>
    <w:p w14:paraId="2DD71531" w14:textId="3B421FC8" w:rsidR="00DF11DE" w:rsidRPr="00141A3C" w:rsidRDefault="00423571"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And, lastly, due to the nature of Westward Plc where it operates on hard capital rationing and is </w:t>
      </w:r>
      <w:r w:rsidRPr="00141A3C">
        <w:rPr>
          <w:rFonts w:eastAsia="Google Sans" w:cs="Times New Roman"/>
          <w:color w:val="1F1F1F"/>
        </w:rPr>
        <w:lastRenderedPageBreak/>
        <w:t xml:space="preserve">limited to a strict </w:t>
      </w:r>
      <w:r w:rsidR="0021492A" w:rsidRPr="00141A3C">
        <w:rPr>
          <w:rFonts w:eastAsia="Google Sans" w:cs="Times New Roman"/>
          <w:color w:val="1F1F1F"/>
        </w:rPr>
        <w:t>£</w:t>
      </w:r>
      <w:r w:rsidRPr="00141A3C">
        <w:rPr>
          <w:rFonts w:eastAsia="Google Sans" w:cs="Times New Roman"/>
          <w:color w:val="1F1F1F"/>
        </w:rPr>
        <w:t xml:space="preserve">250,000,000 budget, absolute NPV becomes theoretically inadequate to select a project. The company needs to take advantage of Profitability Index (PI), to determine the best project portfolio capable of creating the highest payoff using the limited capital. By strictly adopting the models, this report will mathematically prove that full-finance of Options A and B and part-finance of Option C would result in a value-maximising aggregate NPV of </w:t>
      </w:r>
      <w:r w:rsidR="0021492A" w:rsidRPr="00141A3C">
        <w:rPr>
          <w:rFonts w:eastAsia="Google Sans" w:cs="Times New Roman"/>
          <w:color w:val="1F1F1F"/>
        </w:rPr>
        <w:t>£</w:t>
      </w:r>
      <w:r w:rsidRPr="00141A3C">
        <w:rPr>
          <w:rFonts w:eastAsia="Google Sans" w:cs="Times New Roman"/>
          <w:color w:val="1F1F1F"/>
        </w:rPr>
        <w:t xml:space="preserve">1,853,044. At the end of the report, the recommendation will be to adopt an effective financing scheme in accordance with the Pecking Order Theory in order to maximise the cost of capital of the firm and risk financial distress (Bhimani, 2022; Moussa and </w:t>
      </w:r>
      <w:proofErr w:type="spellStart"/>
      <w:r w:rsidRPr="00141A3C">
        <w:rPr>
          <w:rFonts w:eastAsia="Google Sans" w:cs="Times New Roman"/>
          <w:color w:val="1F1F1F"/>
        </w:rPr>
        <w:t>Elmarzouky</w:t>
      </w:r>
      <w:proofErr w:type="spellEnd"/>
      <w:r w:rsidRPr="00141A3C">
        <w:rPr>
          <w:rFonts w:eastAsia="Google Sans" w:cs="Times New Roman"/>
          <w:color w:val="1F1F1F"/>
        </w:rPr>
        <w:t>, 2024).</w:t>
      </w:r>
    </w:p>
    <w:p w14:paraId="163FB57F" w14:textId="77777777" w:rsidR="0067672C" w:rsidRDefault="00000000" w:rsidP="008E2985">
      <w:pPr>
        <w:pStyle w:val="Heading1"/>
      </w:pPr>
      <w:bookmarkStart w:id="3" w:name="_Toc224863288"/>
      <w:r w:rsidRPr="00141A3C">
        <w:t>Main Findings</w:t>
      </w:r>
      <w:bookmarkEnd w:id="3"/>
    </w:p>
    <w:p w14:paraId="2F54B292" w14:textId="6E177DBD" w:rsidR="00DF11DE" w:rsidRPr="00141A3C" w:rsidRDefault="00000000" w:rsidP="0067672C">
      <w:pPr>
        <w:pStyle w:val="Heading2"/>
      </w:pPr>
      <w:bookmarkStart w:id="4" w:name="_Toc224863289"/>
      <w:r w:rsidRPr="00141A3C">
        <w:t>Task 1 - Financial Analysis of Tesco PLC</w:t>
      </w:r>
      <w:bookmarkEnd w:id="4"/>
    </w:p>
    <w:p w14:paraId="5F53669A" w14:textId="37C47658" w:rsidR="00DF11DE" w:rsidRPr="00141A3C" w:rsidRDefault="004B1472"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Financial ratios are important analytical aspects that assess the efficiency of a firm in terms of its operation, its liquidity and its stability. Ratio analysis allows meaningful comparisons across cross-sectional benchmarking of industry players and longitudinal analysis through the passage of time by mathematically normalising complex, absolute financial values based on income statement and balance sheet (</w:t>
      </w:r>
      <w:proofErr w:type="spellStart"/>
      <w:r w:rsidRPr="00141A3C">
        <w:rPr>
          <w:rFonts w:eastAsia="Google Sans" w:cs="Times New Roman"/>
          <w:color w:val="1F1F1F"/>
        </w:rPr>
        <w:t>Atrill</w:t>
      </w:r>
      <w:proofErr w:type="spellEnd"/>
      <w:r w:rsidRPr="00141A3C">
        <w:rPr>
          <w:rFonts w:eastAsia="Google Sans" w:cs="Times New Roman"/>
          <w:color w:val="1F1F1F"/>
        </w:rPr>
        <w:t xml:space="preserve"> and McLaney, 2021; </w:t>
      </w:r>
      <w:proofErr w:type="spellStart"/>
      <w:r w:rsidRPr="00141A3C">
        <w:rPr>
          <w:rFonts w:eastAsia="Google Sans" w:cs="Times New Roman"/>
          <w:color w:val="1F1F1F"/>
        </w:rPr>
        <w:t>Gazilas</w:t>
      </w:r>
      <w:proofErr w:type="spellEnd"/>
      <w:r w:rsidRPr="00141A3C">
        <w:rPr>
          <w:rFonts w:eastAsia="Google Sans" w:cs="Times New Roman"/>
          <w:color w:val="1F1F1F"/>
        </w:rPr>
        <w:t xml:space="preserve"> and </w:t>
      </w:r>
      <w:proofErr w:type="spellStart"/>
      <w:r w:rsidRPr="00141A3C">
        <w:rPr>
          <w:rFonts w:eastAsia="Google Sans" w:cs="Times New Roman"/>
          <w:color w:val="1F1F1F"/>
        </w:rPr>
        <w:t>Vozikis</w:t>
      </w:r>
      <w:proofErr w:type="spellEnd"/>
      <w:r w:rsidRPr="00141A3C">
        <w:rPr>
          <w:rFonts w:eastAsia="Google Sans" w:cs="Times New Roman"/>
          <w:color w:val="1F1F1F"/>
        </w:rPr>
        <w:t>, 2024).</w:t>
      </w:r>
    </w:p>
    <w:p w14:paraId="1D93FA70" w14:textId="1F5C3986" w:rsidR="00DF11DE" w:rsidRPr="00141A3C" w:rsidRDefault="00000000" w:rsidP="0067672C">
      <w:pPr>
        <w:pStyle w:val="Heading3"/>
      </w:pPr>
      <w:bookmarkStart w:id="5" w:name="_Toc224863290"/>
      <w:r w:rsidRPr="00141A3C">
        <w:t>Profitability Ratios</w:t>
      </w:r>
      <w:bookmarkEnd w:id="5"/>
    </w:p>
    <w:p w14:paraId="50FB6205" w14:textId="3B42D25E" w:rsidR="00DF11DE" w:rsidRDefault="004B1472"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Profitability ratios are of paramount importance in evaluating the very ability of a given firm to generate excess economic returns in comparison to its revenue generation and cost base of operations and capital used (Walsh, 2008). These measures in the framework of the UK grocery industry, which is a mature market with strong price competition and essentially slim margins, could assess the effectiveness with which a retailer can reconcile strategies of volume-driven pricing process and strict control over overhead costs (</w:t>
      </w:r>
      <w:proofErr w:type="spellStart"/>
      <w:r w:rsidRPr="00141A3C">
        <w:rPr>
          <w:rFonts w:eastAsia="Google Sans" w:cs="Times New Roman"/>
          <w:color w:val="1F1F1F"/>
        </w:rPr>
        <w:t>Goić</w:t>
      </w:r>
      <w:proofErr w:type="spellEnd"/>
      <w:r w:rsidRPr="00141A3C">
        <w:rPr>
          <w:rFonts w:eastAsia="Google Sans" w:cs="Times New Roman"/>
          <w:color w:val="1F1F1F"/>
        </w:rPr>
        <w:t xml:space="preserve"> et al., 2021). Investors especially focus on ROCE, which compares the efficiency with which the management utilises both debt and equity capital to provide operating profit (EBIT) and is the final gauge of corporate strategy implementation and long-term sustainability (Drury, 2021; Zsigmond et al., 2024).</w:t>
      </w:r>
    </w:p>
    <w:p w14:paraId="01291948" w14:textId="47053692" w:rsidR="007C1D9D" w:rsidRDefault="007C1D9D" w:rsidP="007C1D9D">
      <w:pPr>
        <w:pStyle w:val="Caption"/>
        <w:keepNext/>
        <w:jc w:val="center"/>
      </w:pPr>
      <w:bookmarkStart w:id="6" w:name="_Toc224863312"/>
      <w:r>
        <w:lastRenderedPageBreak/>
        <w:t xml:space="preserve">Table </w:t>
      </w:r>
      <w:r>
        <w:fldChar w:fldCharType="begin"/>
      </w:r>
      <w:r>
        <w:instrText xml:space="preserve"> SEQ Table \* ARABIC </w:instrText>
      </w:r>
      <w:r>
        <w:fldChar w:fldCharType="separate"/>
      </w:r>
      <w:r>
        <w:rPr>
          <w:noProof/>
        </w:rPr>
        <w:t>1</w:t>
      </w:r>
      <w:r>
        <w:fldChar w:fldCharType="end"/>
      </w:r>
      <w:r>
        <w:t xml:space="preserve">: </w:t>
      </w:r>
      <w:r w:rsidRPr="00A426C1">
        <w:t>Profitability Ratios</w:t>
      </w:r>
      <w:bookmarkEnd w:id="6"/>
    </w:p>
    <w:tbl>
      <w:tblPr>
        <w:tblStyle w:val="GridTable5Dark-Accent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2"/>
        <w:gridCol w:w="1872"/>
        <w:gridCol w:w="1872"/>
        <w:gridCol w:w="1872"/>
        <w:gridCol w:w="1872"/>
      </w:tblGrid>
      <w:tr w:rsidR="00DF3746" w:rsidRPr="00994331" w14:paraId="5B15BA2D" w14:textId="77777777" w:rsidTr="00FE19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top w:val="none" w:sz="0" w:space="0" w:color="auto"/>
              <w:left w:val="none" w:sz="0" w:space="0" w:color="auto"/>
              <w:right w:val="none" w:sz="0" w:space="0" w:color="auto"/>
            </w:tcBorders>
          </w:tcPr>
          <w:p w14:paraId="447191BD" w14:textId="77777777" w:rsidR="00DF3746" w:rsidRPr="00994331" w:rsidRDefault="00DF3746" w:rsidP="00FE19C9">
            <w:pPr>
              <w:pBdr>
                <w:top w:val="nil"/>
                <w:left w:val="nil"/>
                <w:bottom w:val="nil"/>
                <w:right w:val="nil"/>
                <w:between w:val="nil"/>
              </w:pBdr>
              <w:spacing w:before="120" w:after="120"/>
              <w:rPr>
                <w:rFonts w:eastAsia="Google Sans Text" w:cs="Times New Roman"/>
                <w:b w:val="0"/>
                <w:bCs w:val="0"/>
              </w:rPr>
            </w:pPr>
            <w:r w:rsidRPr="00994331">
              <w:rPr>
                <w:rFonts w:eastAsia="Google Sans Text" w:cs="Times New Roman"/>
              </w:rPr>
              <w:t>Ratio</w:t>
            </w:r>
          </w:p>
        </w:tc>
        <w:tc>
          <w:tcPr>
            <w:tcW w:w="1872" w:type="dxa"/>
            <w:tcBorders>
              <w:top w:val="none" w:sz="0" w:space="0" w:color="auto"/>
              <w:left w:val="none" w:sz="0" w:space="0" w:color="auto"/>
              <w:right w:val="none" w:sz="0" w:space="0" w:color="auto"/>
            </w:tcBorders>
          </w:tcPr>
          <w:p w14:paraId="53F0E4AA"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Formula</w:t>
            </w:r>
          </w:p>
        </w:tc>
        <w:tc>
          <w:tcPr>
            <w:tcW w:w="1872" w:type="dxa"/>
            <w:tcBorders>
              <w:top w:val="none" w:sz="0" w:space="0" w:color="auto"/>
              <w:left w:val="none" w:sz="0" w:space="0" w:color="auto"/>
              <w:right w:val="none" w:sz="0" w:space="0" w:color="auto"/>
            </w:tcBorders>
          </w:tcPr>
          <w:p w14:paraId="5B8121E7"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2024/25</w:t>
            </w:r>
          </w:p>
        </w:tc>
        <w:tc>
          <w:tcPr>
            <w:tcW w:w="1872" w:type="dxa"/>
            <w:tcBorders>
              <w:top w:val="none" w:sz="0" w:space="0" w:color="auto"/>
              <w:left w:val="none" w:sz="0" w:space="0" w:color="auto"/>
              <w:right w:val="none" w:sz="0" w:space="0" w:color="auto"/>
            </w:tcBorders>
          </w:tcPr>
          <w:p w14:paraId="03FE7416"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2023/24</w:t>
            </w:r>
          </w:p>
        </w:tc>
        <w:tc>
          <w:tcPr>
            <w:tcW w:w="1872" w:type="dxa"/>
            <w:tcBorders>
              <w:top w:val="none" w:sz="0" w:space="0" w:color="auto"/>
              <w:left w:val="none" w:sz="0" w:space="0" w:color="auto"/>
              <w:right w:val="none" w:sz="0" w:space="0" w:color="auto"/>
            </w:tcBorders>
          </w:tcPr>
          <w:p w14:paraId="53B82950"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Change</w:t>
            </w:r>
          </w:p>
        </w:tc>
      </w:tr>
      <w:tr w:rsidR="00DF3746" w:rsidRPr="00994331" w14:paraId="64622E66" w14:textId="77777777" w:rsidTr="00FE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tcBorders>
          </w:tcPr>
          <w:p w14:paraId="6B944190"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Gross Profit Margin</w:t>
            </w:r>
          </w:p>
        </w:tc>
        <w:tc>
          <w:tcPr>
            <w:tcW w:w="1872" w:type="dxa"/>
          </w:tcPr>
          <w:p w14:paraId="31A41CC3"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(Gross Profit / Revenue) × 100</w:t>
            </w:r>
          </w:p>
        </w:tc>
        <w:tc>
          <w:tcPr>
            <w:tcW w:w="1872" w:type="dxa"/>
          </w:tcPr>
          <w:p w14:paraId="7FF02A98"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(5,051 / 69,916) = </w:t>
            </w:r>
            <w:r w:rsidRPr="00994331">
              <w:rPr>
                <w:rFonts w:eastAsia="Google Sans Text" w:cs="Times New Roman"/>
                <w:b/>
                <w:bCs/>
                <w:color w:val="1F1F1F"/>
              </w:rPr>
              <w:t>7.22%</w:t>
            </w:r>
          </w:p>
        </w:tc>
        <w:tc>
          <w:tcPr>
            <w:tcW w:w="1872" w:type="dxa"/>
          </w:tcPr>
          <w:p w14:paraId="3B9F0D8B"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(4,849 / 68,187) = </w:t>
            </w:r>
            <w:r w:rsidRPr="00994331">
              <w:rPr>
                <w:rFonts w:eastAsia="Google Sans Text" w:cs="Times New Roman"/>
                <w:b/>
                <w:bCs/>
                <w:color w:val="1F1F1F"/>
              </w:rPr>
              <w:t>7.11%</w:t>
            </w:r>
          </w:p>
        </w:tc>
        <w:tc>
          <w:tcPr>
            <w:tcW w:w="1872" w:type="dxa"/>
          </w:tcPr>
          <w:p w14:paraId="5FD75EF1"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+11 bps</w:t>
            </w:r>
          </w:p>
        </w:tc>
      </w:tr>
      <w:tr w:rsidR="00DF3746" w:rsidRPr="00994331" w14:paraId="49A38A13" w14:textId="77777777" w:rsidTr="00FE19C9">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tcBorders>
          </w:tcPr>
          <w:p w14:paraId="259AD9A5"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Operating Profit Margin</w:t>
            </w:r>
          </w:p>
        </w:tc>
        <w:tc>
          <w:tcPr>
            <w:tcW w:w="1872" w:type="dxa"/>
          </w:tcPr>
          <w:p w14:paraId="409C5992"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(Operating Profit / Revenue) × 100</w:t>
            </w:r>
          </w:p>
        </w:tc>
        <w:tc>
          <w:tcPr>
            <w:tcW w:w="1872" w:type="dxa"/>
          </w:tcPr>
          <w:p w14:paraId="49250C95"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(2,711 / 69,916) = </w:t>
            </w:r>
            <w:r w:rsidRPr="00994331">
              <w:rPr>
                <w:rFonts w:eastAsia="Google Sans Text" w:cs="Times New Roman"/>
                <w:b/>
                <w:bCs/>
                <w:color w:val="1F1F1F"/>
              </w:rPr>
              <w:t>3.88%</w:t>
            </w:r>
          </w:p>
        </w:tc>
        <w:tc>
          <w:tcPr>
            <w:tcW w:w="1872" w:type="dxa"/>
          </w:tcPr>
          <w:p w14:paraId="2D60821A"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(2,821 / 68,187) = </w:t>
            </w:r>
            <w:r w:rsidRPr="00994331">
              <w:rPr>
                <w:rFonts w:eastAsia="Google Sans Text" w:cs="Times New Roman"/>
                <w:b/>
                <w:bCs/>
                <w:color w:val="1F1F1F"/>
              </w:rPr>
              <w:t>4.14%</w:t>
            </w:r>
          </w:p>
        </w:tc>
        <w:tc>
          <w:tcPr>
            <w:tcW w:w="1872" w:type="dxa"/>
          </w:tcPr>
          <w:p w14:paraId="6A6BEE58"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-26 bps</w:t>
            </w:r>
          </w:p>
        </w:tc>
      </w:tr>
      <w:tr w:rsidR="00DF3746" w:rsidRPr="00994331" w14:paraId="6D48889E" w14:textId="77777777" w:rsidTr="00FE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tcBorders>
          </w:tcPr>
          <w:p w14:paraId="21F4C828"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Return on Capital Employed (ROCE)</w:t>
            </w:r>
          </w:p>
        </w:tc>
        <w:tc>
          <w:tcPr>
            <w:tcW w:w="1872" w:type="dxa"/>
          </w:tcPr>
          <w:p w14:paraId="46AF646C"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 xml:space="preserve">EBIT / (Total Assets - Current </w:t>
            </w:r>
            <w:proofErr w:type="spellStart"/>
            <w:r w:rsidRPr="00994331">
              <w:rPr>
                <w:rFonts w:eastAsia="Google Sans Text" w:cs="Times New Roman"/>
                <w:color w:val="1F1F1F"/>
              </w:rPr>
              <w:t>Liab</w:t>
            </w:r>
            <w:proofErr w:type="spellEnd"/>
            <w:r w:rsidRPr="00994331">
              <w:rPr>
                <w:rFonts w:eastAsia="Google Sans Text" w:cs="Times New Roman"/>
                <w:color w:val="1F1F1F"/>
              </w:rPr>
              <w:t>.)</w:t>
            </w:r>
          </w:p>
        </w:tc>
        <w:tc>
          <w:tcPr>
            <w:tcW w:w="1872" w:type="dxa"/>
          </w:tcPr>
          <w:p w14:paraId="51AC5E6C"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2,711 / 25,070 = </w:t>
            </w:r>
            <w:r w:rsidRPr="00994331">
              <w:rPr>
                <w:rFonts w:eastAsia="Google Sans Text" w:cs="Times New Roman"/>
                <w:b/>
                <w:bCs/>
                <w:color w:val="1F1F1F"/>
              </w:rPr>
              <w:t>10.81%</w:t>
            </w:r>
          </w:p>
        </w:tc>
        <w:tc>
          <w:tcPr>
            <w:tcW w:w="1872" w:type="dxa"/>
          </w:tcPr>
          <w:p w14:paraId="5CAF313F"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2,821 / 26,567 = </w:t>
            </w:r>
            <w:r w:rsidRPr="00994331">
              <w:rPr>
                <w:rFonts w:eastAsia="Google Sans Text" w:cs="Times New Roman"/>
                <w:b/>
                <w:bCs/>
                <w:color w:val="1F1F1F"/>
              </w:rPr>
              <w:t>10.62%</w:t>
            </w:r>
          </w:p>
        </w:tc>
        <w:tc>
          <w:tcPr>
            <w:tcW w:w="1872" w:type="dxa"/>
          </w:tcPr>
          <w:p w14:paraId="480119D3"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+19 bps</w:t>
            </w:r>
          </w:p>
        </w:tc>
      </w:tr>
      <w:tr w:rsidR="00DF3746" w:rsidRPr="00994331" w14:paraId="7BB146E0" w14:textId="77777777" w:rsidTr="00FE19C9">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bottom w:val="none" w:sz="0" w:space="0" w:color="auto"/>
            </w:tcBorders>
          </w:tcPr>
          <w:p w14:paraId="12AE14DB"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Return on Equity (ROE)</w:t>
            </w:r>
          </w:p>
        </w:tc>
        <w:tc>
          <w:tcPr>
            <w:tcW w:w="1872" w:type="dxa"/>
          </w:tcPr>
          <w:p w14:paraId="3B62C7FC"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(Net Income / Total Equity) × 100</w:t>
            </w:r>
          </w:p>
        </w:tc>
        <w:tc>
          <w:tcPr>
            <w:tcW w:w="1872" w:type="dxa"/>
          </w:tcPr>
          <w:p w14:paraId="579EF1C0"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(1,630 / 11,662) = </w:t>
            </w:r>
            <w:r w:rsidRPr="00994331">
              <w:rPr>
                <w:rFonts w:eastAsia="Google Sans Text" w:cs="Times New Roman"/>
                <w:b/>
                <w:bCs/>
                <w:color w:val="1F1F1F"/>
              </w:rPr>
              <w:t>13.98%</w:t>
            </w:r>
          </w:p>
        </w:tc>
        <w:tc>
          <w:tcPr>
            <w:tcW w:w="1872" w:type="dxa"/>
          </w:tcPr>
          <w:p w14:paraId="07AD3F7A"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(1,192 / 11,665) = </w:t>
            </w:r>
            <w:r w:rsidRPr="00994331">
              <w:rPr>
                <w:rFonts w:eastAsia="Google Sans Text" w:cs="Times New Roman"/>
                <w:b/>
                <w:bCs/>
                <w:color w:val="1F1F1F"/>
              </w:rPr>
              <w:t>10.22%</w:t>
            </w:r>
          </w:p>
        </w:tc>
        <w:tc>
          <w:tcPr>
            <w:tcW w:w="1872" w:type="dxa"/>
          </w:tcPr>
          <w:p w14:paraId="1C68CDF1"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+376 bps</w:t>
            </w:r>
          </w:p>
        </w:tc>
      </w:tr>
    </w:tbl>
    <w:p w14:paraId="7B2642CD" w14:textId="77777777" w:rsidR="00DF3746" w:rsidRPr="00141A3C" w:rsidRDefault="00DF3746" w:rsidP="00423571">
      <w:pPr>
        <w:pBdr>
          <w:top w:val="nil"/>
          <w:left w:val="nil"/>
          <w:bottom w:val="nil"/>
          <w:right w:val="nil"/>
          <w:between w:val="nil"/>
        </w:pBdr>
        <w:spacing w:after="240"/>
        <w:rPr>
          <w:rFonts w:eastAsia="Google Sans" w:cs="Times New Roman"/>
          <w:color w:val="1F1F1F"/>
        </w:rPr>
      </w:pPr>
    </w:p>
    <w:p w14:paraId="2DC190CC" w14:textId="1F2E32FC" w:rsidR="004B1472" w:rsidRPr="00141A3C" w:rsidRDefault="004B1472" w:rsidP="004B1472">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 xml:space="preserve">Although the global supply chains were encountering very high inflation pressures that severely affected the cost of the goods sold, Tesco gross profit margin was very resilient that it slightly improved to 7.11% to 7.22%. But the operating profit margin also decreased by 26 basis points and stood at 3.88%. </w:t>
      </w:r>
      <w:r w:rsidR="00617F85" w:rsidRPr="00617F85">
        <w:rPr>
          <w:rFonts w:eastAsia="Google Sans" w:cs="Times New Roman"/>
          <w:color w:val="1F1F1F"/>
        </w:rPr>
        <w:t>This divergence between gross and operating margins requires deeper contextual analysis</w:t>
      </w:r>
      <w:r w:rsidRPr="00141A3C">
        <w:rPr>
          <w:rFonts w:eastAsia="Google Sans" w:cs="Times New Roman"/>
          <w:color w:val="1F1F1F"/>
        </w:rPr>
        <w:t>. The recent popular argument around the concept of the so-called greedflation has often implied that major companies have particularly increased their retail prices to inflate their margin through the cost-of-living crisis (Beresford and Hirst, 2020; Taylor et al., 2024). This story is actively refuted by the contracting operating margin of Tesco. Rather, it shows through an empirical execution of their corporate strategy (Save to Invest).</w:t>
      </w:r>
    </w:p>
    <w:p w14:paraId="75DCAB50" w14:textId="6F316DB2" w:rsidR="004B1472" w:rsidRPr="00141A3C" w:rsidRDefault="004B1472" w:rsidP="004B1472">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 xml:space="preserve">According to Musanovic and </w:t>
      </w:r>
      <w:proofErr w:type="spellStart"/>
      <w:r w:rsidR="009225EB" w:rsidRPr="009225EB">
        <w:rPr>
          <w:rFonts w:eastAsia="Google Sans" w:cs="Times New Roman"/>
          <w:color w:val="1F1F1F"/>
        </w:rPr>
        <w:t>Halilbegović</w:t>
      </w:r>
      <w:proofErr w:type="spellEnd"/>
      <w:r w:rsidR="009225EB" w:rsidRPr="009225EB">
        <w:rPr>
          <w:rFonts w:eastAsia="Google Sans" w:cs="Times New Roman"/>
          <w:color w:val="1F1F1F"/>
        </w:rPr>
        <w:t xml:space="preserve"> </w:t>
      </w:r>
      <w:r w:rsidRPr="00141A3C">
        <w:rPr>
          <w:rFonts w:eastAsia="Google Sans" w:cs="Times New Roman"/>
          <w:color w:val="1F1F1F"/>
        </w:rPr>
        <w:t xml:space="preserve">(2021), high inflation may easily blur operational reality, Tesco continued to absorb large structural increments in operational expenses in administration and distribution, including high-energy tariffs, logistic costs, and the impact of a minimum pay raise enforced by law, instead of fully transferring it to the final consumer. </w:t>
      </w:r>
      <w:r w:rsidR="00617F85" w:rsidRPr="00617F85">
        <w:rPr>
          <w:rFonts w:eastAsia="Google Sans" w:cs="Times New Roman"/>
          <w:color w:val="1F1F1F"/>
        </w:rPr>
        <w:t>Management deliberately sacrificed short-term operating profit margins to maintain price parity</w:t>
      </w:r>
      <w:r w:rsidRPr="00141A3C">
        <w:rPr>
          <w:rFonts w:eastAsia="Google Sans" w:cs="Times New Roman"/>
          <w:color w:val="1F1F1F"/>
        </w:rPr>
        <w:t xml:space="preserve"> </w:t>
      </w:r>
      <w:r w:rsidRPr="00141A3C">
        <w:rPr>
          <w:rFonts w:eastAsia="Google Sans" w:cs="Times New Roman"/>
          <w:color w:val="1F1F1F"/>
        </w:rPr>
        <w:lastRenderedPageBreak/>
        <w:t>by being proactive in terms of such programs as the Aldi Price Match, thus protecting their market share volume against aggressive limited-assortment discounters (Kauhanen et al., 2024).</w:t>
      </w:r>
    </w:p>
    <w:p w14:paraId="4838A3F0" w14:textId="0F49CEF6" w:rsidR="00DF11DE" w:rsidRPr="00141A3C" w:rsidRDefault="004B1472" w:rsidP="004B1472">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Compared to its closest listed competitor, J Sainsbury plc, which recorded a underlying operating margin of about 3.1% in late 2024, a 3.88% margin actually indicates better cost control, scale economies of scale and the supplier bargaining power in the UK market structure which is oligopolistic</w:t>
      </w:r>
      <w:r w:rsidR="007C1D9D">
        <w:rPr>
          <w:rFonts w:eastAsia="Google Sans" w:cs="Times New Roman"/>
          <w:color w:val="1F1F1F"/>
        </w:rPr>
        <w:t xml:space="preserve"> (</w:t>
      </w:r>
      <w:r w:rsidR="007C1D9D" w:rsidRPr="007C1D9D">
        <w:rPr>
          <w:rFonts w:eastAsia="Google Sans" w:cs="Times New Roman"/>
          <w:color w:val="1F1F1F"/>
        </w:rPr>
        <w:t>J Sainsbury plc</w:t>
      </w:r>
      <w:r w:rsidR="007C1D9D">
        <w:rPr>
          <w:rFonts w:eastAsia="Google Sans" w:cs="Times New Roman"/>
          <w:color w:val="1F1F1F"/>
        </w:rPr>
        <w:t>, 202</w:t>
      </w:r>
      <w:r w:rsidR="007C1D9D">
        <w:rPr>
          <w:rFonts w:ascii="Nirmala UI" w:eastAsia="Google Sans" w:hAnsi="Nirmala UI" w:cs="Nirmala UI"/>
          <w:color w:val="1F1F1F"/>
        </w:rPr>
        <w:t>5)</w:t>
      </w:r>
      <w:r w:rsidRPr="00141A3C">
        <w:rPr>
          <w:rFonts w:eastAsia="Google Sans" w:cs="Times New Roman"/>
          <w:color w:val="1F1F1F"/>
        </w:rPr>
        <w:t>. Also, the Return on Capital Employed (ROCE) improved slightly, by 10.62% to 10.81% showing the efficient use of capital and asset utilisation after the strategic decision of divesting the banking division. Moreover, the taken above impressive growth in the Return on Equity (ROE) of 10.22% to 13.98% is shown to lead to the inference that despite the compressed operating margins, the capital structure of the firm is well geared to yield high-quality net returns to its shareholders.</w:t>
      </w:r>
    </w:p>
    <w:p w14:paraId="3FF6052E" w14:textId="2DFF8C33" w:rsidR="00DF11DE" w:rsidRPr="00141A3C" w:rsidRDefault="00000000" w:rsidP="0067672C">
      <w:pPr>
        <w:pStyle w:val="Heading3"/>
      </w:pPr>
      <w:bookmarkStart w:id="7" w:name="_Toc224863291"/>
      <w:r w:rsidRPr="00141A3C">
        <w:t>Liquidity Ratios</w:t>
      </w:r>
      <w:bookmarkEnd w:id="7"/>
    </w:p>
    <w:p w14:paraId="5C318B21" w14:textId="6EB5A95B" w:rsidR="00DF11DE" w:rsidRPr="00141A3C" w:rsidRDefault="00423571"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Liquidity ratios measure short-term financial strength of a firm, in particular, whether a firm can cover future short-term obligations in relation to the most liquid assets (cash, equivalents and receivables). According to traditional financial theory, a Current Ratio that is less than 1.0 is an indicator of distress, which points to potential technical insolvency and extreme liquidity shortage (</w:t>
      </w:r>
      <w:proofErr w:type="spellStart"/>
      <w:r w:rsidRPr="00141A3C">
        <w:rPr>
          <w:rFonts w:eastAsia="Google Sans" w:cs="Times New Roman"/>
          <w:color w:val="1F1F1F"/>
        </w:rPr>
        <w:t>Atrill</w:t>
      </w:r>
      <w:proofErr w:type="spellEnd"/>
      <w:r w:rsidRPr="00141A3C">
        <w:rPr>
          <w:rFonts w:eastAsia="Google Sans" w:cs="Times New Roman"/>
          <w:color w:val="1F1F1F"/>
        </w:rPr>
        <w:t xml:space="preserve">, 2020). However, there is a modern financial literature, which states that sector-specific operational movements and especially cash conversion cycles often call and break this classical and severe presumption (Laitinen et al., 2023; </w:t>
      </w:r>
      <w:proofErr w:type="spellStart"/>
      <w:r w:rsidRPr="00141A3C">
        <w:rPr>
          <w:rFonts w:eastAsia="Google Sans" w:cs="Times New Roman"/>
          <w:color w:val="1F1F1F"/>
        </w:rPr>
        <w:t>Seretidou</w:t>
      </w:r>
      <w:proofErr w:type="spellEnd"/>
      <w:r w:rsidRPr="00141A3C">
        <w:rPr>
          <w:rFonts w:eastAsia="Google Sans" w:cs="Times New Roman"/>
          <w:color w:val="1F1F1F"/>
        </w:rPr>
        <w:t xml:space="preserve"> et al., 2025).</w:t>
      </w:r>
    </w:p>
    <w:p w14:paraId="383663CF" w14:textId="5A177F2F" w:rsidR="007C1D9D" w:rsidRDefault="007C1D9D" w:rsidP="007C1D9D">
      <w:pPr>
        <w:pStyle w:val="Caption"/>
        <w:keepNext/>
        <w:jc w:val="center"/>
      </w:pPr>
      <w:bookmarkStart w:id="8" w:name="_Toc224863313"/>
      <w:r>
        <w:t xml:space="preserve">Table </w:t>
      </w:r>
      <w:r>
        <w:fldChar w:fldCharType="begin"/>
      </w:r>
      <w:r>
        <w:instrText xml:space="preserve"> SEQ Table \* ARABIC </w:instrText>
      </w:r>
      <w:r>
        <w:fldChar w:fldCharType="separate"/>
      </w:r>
      <w:r>
        <w:rPr>
          <w:noProof/>
        </w:rPr>
        <w:t>2</w:t>
      </w:r>
      <w:r>
        <w:fldChar w:fldCharType="end"/>
      </w:r>
      <w:r>
        <w:t xml:space="preserve">: </w:t>
      </w:r>
      <w:r w:rsidRPr="00280340">
        <w:t>Liquidity Ratios</w:t>
      </w:r>
      <w:bookmarkEnd w:id="8"/>
    </w:p>
    <w:tbl>
      <w:tblPr>
        <w:tblStyle w:val="GridTable5Dark-Accent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2"/>
        <w:gridCol w:w="1872"/>
        <w:gridCol w:w="1872"/>
        <w:gridCol w:w="1872"/>
        <w:gridCol w:w="1872"/>
      </w:tblGrid>
      <w:tr w:rsidR="00DF3746" w:rsidRPr="00994331" w14:paraId="6E3674AE" w14:textId="77777777" w:rsidTr="00FE19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top w:val="none" w:sz="0" w:space="0" w:color="auto"/>
              <w:left w:val="none" w:sz="0" w:space="0" w:color="auto"/>
              <w:right w:val="none" w:sz="0" w:space="0" w:color="auto"/>
            </w:tcBorders>
          </w:tcPr>
          <w:p w14:paraId="10AA0D30" w14:textId="77777777" w:rsidR="00DF3746" w:rsidRPr="00994331" w:rsidRDefault="00DF3746" w:rsidP="00FE19C9">
            <w:pPr>
              <w:pBdr>
                <w:top w:val="nil"/>
                <w:left w:val="nil"/>
                <w:bottom w:val="nil"/>
                <w:right w:val="nil"/>
                <w:between w:val="nil"/>
              </w:pBdr>
              <w:spacing w:before="120" w:after="120"/>
              <w:rPr>
                <w:rFonts w:eastAsia="Google Sans Text" w:cs="Times New Roman"/>
                <w:b w:val="0"/>
                <w:bCs w:val="0"/>
              </w:rPr>
            </w:pPr>
            <w:r w:rsidRPr="00994331">
              <w:rPr>
                <w:rFonts w:eastAsia="Google Sans Text" w:cs="Times New Roman"/>
              </w:rPr>
              <w:t>Ratio</w:t>
            </w:r>
          </w:p>
        </w:tc>
        <w:tc>
          <w:tcPr>
            <w:tcW w:w="1872" w:type="dxa"/>
            <w:tcBorders>
              <w:top w:val="none" w:sz="0" w:space="0" w:color="auto"/>
              <w:left w:val="none" w:sz="0" w:space="0" w:color="auto"/>
              <w:right w:val="none" w:sz="0" w:space="0" w:color="auto"/>
            </w:tcBorders>
          </w:tcPr>
          <w:p w14:paraId="66C896CB"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Formula</w:t>
            </w:r>
          </w:p>
        </w:tc>
        <w:tc>
          <w:tcPr>
            <w:tcW w:w="1872" w:type="dxa"/>
            <w:tcBorders>
              <w:top w:val="none" w:sz="0" w:space="0" w:color="auto"/>
              <w:left w:val="none" w:sz="0" w:space="0" w:color="auto"/>
              <w:right w:val="none" w:sz="0" w:space="0" w:color="auto"/>
            </w:tcBorders>
          </w:tcPr>
          <w:p w14:paraId="384DD7F7"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2024/25</w:t>
            </w:r>
          </w:p>
        </w:tc>
        <w:tc>
          <w:tcPr>
            <w:tcW w:w="1872" w:type="dxa"/>
            <w:tcBorders>
              <w:top w:val="none" w:sz="0" w:space="0" w:color="auto"/>
              <w:left w:val="none" w:sz="0" w:space="0" w:color="auto"/>
              <w:right w:val="none" w:sz="0" w:space="0" w:color="auto"/>
            </w:tcBorders>
          </w:tcPr>
          <w:p w14:paraId="1D62FFFD"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2023/24</w:t>
            </w:r>
          </w:p>
        </w:tc>
        <w:tc>
          <w:tcPr>
            <w:tcW w:w="1872" w:type="dxa"/>
            <w:tcBorders>
              <w:top w:val="none" w:sz="0" w:space="0" w:color="auto"/>
              <w:left w:val="none" w:sz="0" w:space="0" w:color="auto"/>
              <w:right w:val="none" w:sz="0" w:space="0" w:color="auto"/>
            </w:tcBorders>
          </w:tcPr>
          <w:p w14:paraId="7A035DE8"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Change</w:t>
            </w:r>
          </w:p>
        </w:tc>
      </w:tr>
      <w:tr w:rsidR="00DF3746" w:rsidRPr="00994331" w14:paraId="7653FD98" w14:textId="77777777" w:rsidTr="00FE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tcBorders>
          </w:tcPr>
          <w:p w14:paraId="3A272A87"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Current Ratio</w:t>
            </w:r>
          </w:p>
        </w:tc>
        <w:tc>
          <w:tcPr>
            <w:tcW w:w="1872" w:type="dxa"/>
          </w:tcPr>
          <w:p w14:paraId="0B974581"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Current Assets / Current Liabilities</w:t>
            </w:r>
          </w:p>
        </w:tc>
        <w:tc>
          <w:tcPr>
            <w:tcW w:w="1872" w:type="dxa"/>
          </w:tcPr>
          <w:p w14:paraId="45520BC7" w14:textId="6F293CCC"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8,8</w:t>
            </w:r>
            <w:r w:rsidR="00617F85">
              <w:rPr>
                <w:rFonts w:eastAsia="Google Sans Text" w:cs="Times New Roman"/>
                <w:color w:val="1F1F1F"/>
              </w:rPr>
              <w:t>5</w:t>
            </w:r>
            <w:r w:rsidRPr="00994331">
              <w:rPr>
                <w:rFonts w:eastAsia="Google Sans Text" w:cs="Times New Roman"/>
                <w:color w:val="1F1F1F"/>
              </w:rPr>
              <w:t xml:space="preserve">6 / 13,820 = </w:t>
            </w:r>
            <w:r w:rsidRPr="00994331">
              <w:rPr>
                <w:rFonts w:eastAsia="Google Sans Text" w:cs="Times New Roman"/>
                <w:b/>
                <w:bCs/>
                <w:color w:val="1F1F1F"/>
              </w:rPr>
              <w:t>0.64</w:t>
            </w:r>
          </w:p>
        </w:tc>
        <w:tc>
          <w:tcPr>
            <w:tcW w:w="1872" w:type="dxa"/>
          </w:tcPr>
          <w:p w14:paraId="779AA7AF"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16,606 / 20,472 = </w:t>
            </w:r>
            <w:r w:rsidRPr="00994331">
              <w:rPr>
                <w:rFonts w:eastAsia="Google Sans Text" w:cs="Times New Roman"/>
                <w:b/>
                <w:bCs/>
                <w:color w:val="1F1F1F"/>
              </w:rPr>
              <w:t>0.81</w:t>
            </w:r>
          </w:p>
        </w:tc>
        <w:tc>
          <w:tcPr>
            <w:tcW w:w="1872" w:type="dxa"/>
          </w:tcPr>
          <w:p w14:paraId="031FCEFA"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-0.17</w:t>
            </w:r>
          </w:p>
        </w:tc>
      </w:tr>
      <w:tr w:rsidR="00DF3746" w:rsidRPr="00994331" w14:paraId="5C58E7C2" w14:textId="77777777" w:rsidTr="00FE19C9">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bottom w:val="none" w:sz="0" w:space="0" w:color="auto"/>
            </w:tcBorders>
          </w:tcPr>
          <w:p w14:paraId="0F34B9F1"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Quick Ratio</w:t>
            </w:r>
          </w:p>
        </w:tc>
        <w:tc>
          <w:tcPr>
            <w:tcW w:w="1872" w:type="dxa"/>
          </w:tcPr>
          <w:p w14:paraId="74CE178F"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 xml:space="preserve">(Current Assets - Inventory) / Current </w:t>
            </w:r>
            <w:proofErr w:type="spellStart"/>
            <w:r w:rsidRPr="00994331">
              <w:rPr>
                <w:rFonts w:eastAsia="Google Sans Text" w:cs="Times New Roman"/>
                <w:color w:val="1F1F1F"/>
              </w:rPr>
              <w:t>Liab</w:t>
            </w:r>
            <w:proofErr w:type="spellEnd"/>
            <w:r w:rsidRPr="00994331">
              <w:rPr>
                <w:rFonts w:eastAsia="Google Sans Text" w:cs="Times New Roman"/>
                <w:color w:val="1F1F1F"/>
              </w:rPr>
              <w:t>.</w:t>
            </w:r>
          </w:p>
        </w:tc>
        <w:tc>
          <w:tcPr>
            <w:tcW w:w="1872" w:type="dxa"/>
          </w:tcPr>
          <w:p w14:paraId="216AADF4" w14:textId="5300A270"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(8,8</w:t>
            </w:r>
            <w:r w:rsidR="00617F85">
              <w:rPr>
                <w:rFonts w:eastAsia="Google Sans Text" w:cs="Times New Roman"/>
                <w:color w:val="1F1F1F"/>
              </w:rPr>
              <w:t>5</w:t>
            </w:r>
            <w:r w:rsidRPr="00994331">
              <w:rPr>
                <w:rFonts w:eastAsia="Google Sans Text" w:cs="Times New Roman"/>
                <w:color w:val="1F1F1F"/>
              </w:rPr>
              <w:t xml:space="preserve">6 - 2,768) / 13,820 = </w:t>
            </w:r>
            <w:r w:rsidRPr="00994331">
              <w:rPr>
                <w:rFonts w:eastAsia="Google Sans Text" w:cs="Times New Roman"/>
                <w:b/>
                <w:bCs/>
                <w:color w:val="1F1F1F"/>
              </w:rPr>
              <w:t>0.44</w:t>
            </w:r>
          </w:p>
        </w:tc>
        <w:tc>
          <w:tcPr>
            <w:tcW w:w="1872" w:type="dxa"/>
          </w:tcPr>
          <w:p w14:paraId="14A03DCA"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(16,606 - 2,635) / 20,472 = </w:t>
            </w:r>
            <w:r w:rsidRPr="00994331">
              <w:rPr>
                <w:rFonts w:eastAsia="Google Sans Text" w:cs="Times New Roman"/>
                <w:b/>
                <w:bCs/>
                <w:color w:val="1F1F1F"/>
              </w:rPr>
              <w:t>0.68</w:t>
            </w:r>
          </w:p>
        </w:tc>
        <w:tc>
          <w:tcPr>
            <w:tcW w:w="1872" w:type="dxa"/>
          </w:tcPr>
          <w:p w14:paraId="626F212F"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-0.24</w:t>
            </w:r>
          </w:p>
        </w:tc>
      </w:tr>
    </w:tbl>
    <w:p w14:paraId="79FD413B" w14:textId="376F7F6A" w:rsidR="00423571" w:rsidRPr="00141A3C" w:rsidRDefault="00423571" w:rsidP="00423571">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lastRenderedPageBreak/>
        <w:t>The sudden decrease in the Current Ratio of Tesco by 0.81 to 0.64 over the course of a year appears to be extremely concerning, at first. This, however, generates a very important constraint of quantitative ratio analysis alone in times of significant structural corporate change (Ak et al., 2013). The addition of a significant figure of £7.78 billion in banking assets (loans and advances) held under sale to the balance sheet grossly misrepresented the FY24 figures. This financial anomaly can be eliminated by the FY25 Current Ratio of 0.64, which represents the true position of Tesco on a normalised basis of a pure-play grocery retailer after the disposal of Tesco Bank.</w:t>
      </w:r>
    </w:p>
    <w:p w14:paraId="03BC7C35" w14:textId="2CAC1528" w:rsidR="00423571" w:rsidRPr="00141A3C" w:rsidRDefault="00423571" w:rsidP="00423571">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 xml:space="preserve">More importantly, the current ratio of 0.64 does not suggest the state of financial distress in the fast-moving consumer goods (FMCG) retail industry because of the structural advantage of the negative working capital cycle. The retail transactions that supermarkets make provide it with immediate, daily cash inflows but enables it to enjoy </w:t>
      </w:r>
      <w:r w:rsidR="008E2985" w:rsidRPr="00141A3C">
        <w:rPr>
          <w:rFonts w:eastAsia="Google Sans" w:cs="Times New Roman"/>
          <w:color w:val="1F1F1F"/>
        </w:rPr>
        <w:t>highly prolonged</w:t>
      </w:r>
      <w:r w:rsidRPr="00141A3C">
        <w:rPr>
          <w:rFonts w:eastAsia="Google Sans" w:cs="Times New Roman"/>
          <w:color w:val="1F1F1F"/>
        </w:rPr>
        <w:t xml:space="preserve"> credit terms which it negotiates with its suppliers (typically 45 to 60 days). They are also successfully exploiting trade payables as a source of short-term funds at no cost to operate day-to-day business (Bhimani, 2022). The J Sainsbury plc is routinely supported with a Current Ratio of 0.6x to 0.7x when benchmarked accordingly</w:t>
      </w:r>
      <w:r w:rsidR="007C1D9D">
        <w:rPr>
          <w:rFonts w:eastAsia="Google Sans" w:cs="Times New Roman"/>
          <w:color w:val="1F1F1F"/>
        </w:rPr>
        <w:t xml:space="preserve"> (</w:t>
      </w:r>
      <w:r w:rsidR="007C1D9D" w:rsidRPr="007C1D9D">
        <w:rPr>
          <w:rFonts w:eastAsia="Google Sans" w:cs="Times New Roman"/>
          <w:color w:val="1F1F1F"/>
        </w:rPr>
        <w:t>J Sainsbury plc</w:t>
      </w:r>
      <w:r w:rsidR="007C1D9D">
        <w:rPr>
          <w:rFonts w:eastAsia="Google Sans" w:cs="Times New Roman"/>
          <w:color w:val="1F1F1F"/>
        </w:rPr>
        <w:t>, 2025)</w:t>
      </w:r>
      <w:r w:rsidRPr="00141A3C">
        <w:rPr>
          <w:rFonts w:eastAsia="Google Sans" w:cs="Times New Roman"/>
          <w:color w:val="1F1F1F"/>
        </w:rPr>
        <w:t>. As a result, application of purely the conventional manufacturing liquidity status may result in disastrous errors in relating the financial viability within the retail industry since natural prediction of cash flow is much greater than it is supposed to be expressed in the standard models (</w:t>
      </w:r>
      <w:proofErr w:type="spellStart"/>
      <w:r w:rsidRPr="00141A3C">
        <w:rPr>
          <w:rFonts w:eastAsia="Google Sans" w:cs="Times New Roman"/>
          <w:color w:val="1F1F1F"/>
        </w:rPr>
        <w:t>Seretidou</w:t>
      </w:r>
      <w:proofErr w:type="spellEnd"/>
      <w:r w:rsidRPr="00141A3C">
        <w:rPr>
          <w:rFonts w:eastAsia="Google Sans" w:cs="Times New Roman"/>
          <w:color w:val="1F1F1F"/>
        </w:rPr>
        <w:t xml:space="preserve"> et al., 2025).</w:t>
      </w:r>
    </w:p>
    <w:p w14:paraId="64A605B2" w14:textId="70F5B5D2" w:rsidR="00DF11DE" w:rsidRPr="00141A3C" w:rsidRDefault="00423571" w:rsidP="00423571">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It is however important to note the Quick Ratio, which dropped to 0.44 as opposed to 0.68. Since this ratio does not include inventory, which cannot be sold at a discounted price in order to cover its current liabilities, the current ratio of 0.44 indicates that Tesco depends heavily on the daily sale velocity to cover its immediate liabilities, and that a strict process of managing its working capital should remain a crucial permanent priority.</w:t>
      </w:r>
    </w:p>
    <w:p w14:paraId="50355ED8" w14:textId="3E4FAB68" w:rsidR="00DF11DE" w:rsidRPr="00141A3C" w:rsidRDefault="00000000" w:rsidP="0067672C">
      <w:pPr>
        <w:pStyle w:val="Heading3"/>
      </w:pPr>
      <w:bookmarkStart w:id="9" w:name="_Toc224863292"/>
      <w:r w:rsidRPr="00141A3C">
        <w:t>Efficiency Ratios</w:t>
      </w:r>
      <w:bookmarkEnd w:id="9"/>
    </w:p>
    <w:p w14:paraId="2A8474DD" w14:textId="1FA3BCCA" w:rsidR="00DF11DE" w:rsidRPr="00141A3C" w:rsidRDefault="00423571"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The Efficiency, or activity, ratios are used to measure the competency of a business in terms of its agility of operations and its competency in its management of assets. They gauge the efficiency of the executive management in sweeping its assets and rotating its inventory to generate the highest </w:t>
      </w:r>
      <w:r w:rsidRPr="00141A3C">
        <w:rPr>
          <w:rFonts w:eastAsia="Google Sans" w:cs="Times New Roman"/>
          <w:color w:val="1F1F1F"/>
        </w:rPr>
        <w:lastRenderedPageBreak/>
        <w:t>revenue on the top line. It especially matters in the situation of FMCG retail where an accelerated speed of asset turnover has to compensate itself in an organic way to address the natural thin profit margins that are needed to sustain competitive prices (Marr, 2012; Wu and Lam, 2025).</w:t>
      </w:r>
    </w:p>
    <w:p w14:paraId="40F03ECD" w14:textId="6E8D332B" w:rsidR="007C1D9D" w:rsidRDefault="007C1D9D" w:rsidP="007C1D9D">
      <w:pPr>
        <w:pStyle w:val="Caption"/>
        <w:keepNext/>
        <w:jc w:val="center"/>
      </w:pPr>
      <w:bookmarkStart w:id="10" w:name="_Toc224863314"/>
      <w:r>
        <w:t xml:space="preserve">Table </w:t>
      </w:r>
      <w:r>
        <w:fldChar w:fldCharType="begin"/>
      </w:r>
      <w:r>
        <w:instrText xml:space="preserve"> SEQ Table \* ARABIC </w:instrText>
      </w:r>
      <w:r>
        <w:fldChar w:fldCharType="separate"/>
      </w:r>
      <w:r>
        <w:rPr>
          <w:noProof/>
        </w:rPr>
        <w:t>3</w:t>
      </w:r>
      <w:r>
        <w:fldChar w:fldCharType="end"/>
      </w:r>
      <w:r>
        <w:t xml:space="preserve">: </w:t>
      </w:r>
      <w:r w:rsidRPr="007C4749">
        <w:t>Efficiency Ratios</w:t>
      </w:r>
      <w:bookmarkEnd w:id="10"/>
    </w:p>
    <w:tbl>
      <w:tblPr>
        <w:tblStyle w:val="GridTable5Dark-Accent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2"/>
        <w:gridCol w:w="1872"/>
        <w:gridCol w:w="1872"/>
        <w:gridCol w:w="1872"/>
        <w:gridCol w:w="1872"/>
      </w:tblGrid>
      <w:tr w:rsidR="00DF3746" w:rsidRPr="00994331" w14:paraId="030EFC5C" w14:textId="77777777" w:rsidTr="00FE19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top w:val="none" w:sz="0" w:space="0" w:color="auto"/>
              <w:left w:val="none" w:sz="0" w:space="0" w:color="auto"/>
              <w:right w:val="none" w:sz="0" w:space="0" w:color="auto"/>
            </w:tcBorders>
          </w:tcPr>
          <w:p w14:paraId="4B9B75EB" w14:textId="77777777" w:rsidR="00DF3746" w:rsidRPr="00994331" w:rsidRDefault="00DF3746" w:rsidP="00FE19C9">
            <w:pPr>
              <w:pBdr>
                <w:top w:val="nil"/>
                <w:left w:val="nil"/>
                <w:bottom w:val="nil"/>
                <w:right w:val="nil"/>
                <w:between w:val="nil"/>
              </w:pBdr>
              <w:spacing w:before="120" w:after="120"/>
              <w:rPr>
                <w:rFonts w:eastAsia="Google Sans Text" w:cs="Times New Roman"/>
                <w:b w:val="0"/>
                <w:bCs w:val="0"/>
              </w:rPr>
            </w:pPr>
            <w:r w:rsidRPr="00994331">
              <w:rPr>
                <w:rFonts w:eastAsia="Google Sans Text" w:cs="Times New Roman"/>
              </w:rPr>
              <w:t>Ratio</w:t>
            </w:r>
          </w:p>
        </w:tc>
        <w:tc>
          <w:tcPr>
            <w:tcW w:w="1872" w:type="dxa"/>
            <w:tcBorders>
              <w:top w:val="none" w:sz="0" w:space="0" w:color="auto"/>
              <w:left w:val="none" w:sz="0" w:space="0" w:color="auto"/>
              <w:right w:val="none" w:sz="0" w:space="0" w:color="auto"/>
            </w:tcBorders>
          </w:tcPr>
          <w:p w14:paraId="2607834D"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Formula</w:t>
            </w:r>
          </w:p>
        </w:tc>
        <w:tc>
          <w:tcPr>
            <w:tcW w:w="1872" w:type="dxa"/>
            <w:tcBorders>
              <w:top w:val="none" w:sz="0" w:space="0" w:color="auto"/>
              <w:left w:val="none" w:sz="0" w:space="0" w:color="auto"/>
              <w:right w:val="none" w:sz="0" w:space="0" w:color="auto"/>
            </w:tcBorders>
          </w:tcPr>
          <w:p w14:paraId="0944ED07"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2024/25</w:t>
            </w:r>
          </w:p>
        </w:tc>
        <w:tc>
          <w:tcPr>
            <w:tcW w:w="1872" w:type="dxa"/>
            <w:tcBorders>
              <w:top w:val="none" w:sz="0" w:space="0" w:color="auto"/>
              <w:left w:val="none" w:sz="0" w:space="0" w:color="auto"/>
              <w:right w:val="none" w:sz="0" w:space="0" w:color="auto"/>
            </w:tcBorders>
          </w:tcPr>
          <w:p w14:paraId="3445E708"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2023/24</w:t>
            </w:r>
          </w:p>
        </w:tc>
        <w:tc>
          <w:tcPr>
            <w:tcW w:w="1872" w:type="dxa"/>
            <w:tcBorders>
              <w:top w:val="none" w:sz="0" w:space="0" w:color="auto"/>
              <w:left w:val="none" w:sz="0" w:space="0" w:color="auto"/>
              <w:right w:val="none" w:sz="0" w:space="0" w:color="auto"/>
            </w:tcBorders>
          </w:tcPr>
          <w:p w14:paraId="78BCEE4D"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Change</w:t>
            </w:r>
          </w:p>
        </w:tc>
      </w:tr>
      <w:tr w:rsidR="00DF3746" w:rsidRPr="00994331" w14:paraId="0E7DD338" w14:textId="77777777" w:rsidTr="00FE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tcBorders>
          </w:tcPr>
          <w:p w14:paraId="70F3F69D"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Inventory Turnover</w:t>
            </w:r>
          </w:p>
        </w:tc>
        <w:tc>
          <w:tcPr>
            <w:tcW w:w="1872" w:type="dxa"/>
          </w:tcPr>
          <w:p w14:paraId="5A48D0C8"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Cost of Sales / Average Inventory</w:t>
            </w:r>
          </w:p>
        </w:tc>
        <w:tc>
          <w:tcPr>
            <w:tcW w:w="1872" w:type="dxa"/>
          </w:tcPr>
          <w:p w14:paraId="367E8137" w14:textId="070CF89E"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64,205 / 2,701</w:t>
            </w:r>
            <w:r w:rsidR="00617F85">
              <w:rPr>
                <w:rFonts w:eastAsia="Google Sans Text" w:cs="Times New Roman"/>
                <w:color w:val="1F1F1F"/>
              </w:rPr>
              <w:t>.5</w:t>
            </w:r>
            <w:r w:rsidRPr="00994331">
              <w:rPr>
                <w:rFonts w:eastAsia="Google Sans Text" w:cs="Times New Roman"/>
                <w:color w:val="1F1F1F"/>
              </w:rPr>
              <w:t xml:space="preserve"> = </w:t>
            </w:r>
            <w:r w:rsidRPr="00994331">
              <w:rPr>
                <w:rFonts w:eastAsia="Google Sans Text" w:cs="Times New Roman"/>
                <w:b/>
                <w:bCs/>
                <w:color w:val="1F1F1F"/>
              </w:rPr>
              <w:t>23.77 times</w:t>
            </w:r>
          </w:p>
        </w:tc>
        <w:tc>
          <w:tcPr>
            <w:tcW w:w="1872" w:type="dxa"/>
          </w:tcPr>
          <w:p w14:paraId="2E2FFEC9"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62,836 / 2,490 = </w:t>
            </w:r>
            <w:r w:rsidRPr="00994331">
              <w:rPr>
                <w:rFonts w:eastAsia="Google Sans Text" w:cs="Times New Roman"/>
                <w:b/>
                <w:bCs/>
                <w:color w:val="1F1F1F"/>
              </w:rPr>
              <w:t>25.23 times</w:t>
            </w:r>
          </w:p>
        </w:tc>
        <w:tc>
          <w:tcPr>
            <w:tcW w:w="1872" w:type="dxa"/>
          </w:tcPr>
          <w:p w14:paraId="024E3CC4"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-1.46 times</w:t>
            </w:r>
          </w:p>
        </w:tc>
      </w:tr>
      <w:tr w:rsidR="00DF3746" w:rsidRPr="00994331" w14:paraId="16EC95E4" w14:textId="77777777" w:rsidTr="00FE19C9">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tcBorders>
          </w:tcPr>
          <w:p w14:paraId="0C1CBEAD"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Inventory Days</w:t>
            </w:r>
          </w:p>
        </w:tc>
        <w:tc>
          <w:tcPr>
            <w:tcW w:w="1872" w:type="dxa"/>
          </w:tcPr>
          <w:p w14:paraId="45CBA739"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365 / Inventory Turnover</w:t>
            </w:r>
          </w:p>
        </w:tc>
        <w:tc>
          <w:tcPr>
            <w:tcW w:w="1872" w:type="dxa"/>
          </w:tcPr>
          <w:p w14:paraId="30DB0E46"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365 / 23.77 = </w:t>
            </w:r>
            <w:r w:rsidRPr="00994331">
              <w:rPr>
                <w:rFonts w:eastAsia="Google Sans Text" w:cs="Times New Roman"/>
                <w:b/>
                <w:bCs/>
                <w:color w:val="1F1F1F"/>
              </w:rPr>
              <w:t>15.4 days</w:t>
            </w:r>
          </w:p>
        </w:tc>
        <w:tc>
          <w:tcPr>
            <w:tcW w:w="1872" w:type="dxa"/>
          </w:tcPr>
          <w:p w14:paraId="5EBF61BA"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365 / 25.23 = </w:t>
            </w:r>
            <w:r w:rsidRPr="00994331">
              <w:rPr>
                <w:rFonts w:eastAsia="Google Sans Text" w:cs="Times New Roman"/>
                <w:b/>
                <w:bCs/>
                <w:color w:val="1F1F1F"/>
              </w:rPr>
              <w:t>14.5 days</w:t>
            </w:r>
          </w:p>
        </w:tc>
        <w:tc>
          <w:tcPr>
            <w:tcW w:w="1872" w:type="dxa"/>
          </w:tcPr>
          <w:p w14:paraId="6F1515A7"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+0.9 days</w:t>
            </w:r>
          </w:p>
        </w:tc>
      </w:tr>
      <w:tr w:rsidR="00DF3746" w:rsidRPr="00994331" w14:paraId="0121BADD" w14:textId="77777777" w:rsidTr="00FE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bottom w:val="none" w:sz="0" w:space="0" w:color="auto"/>
            </w:tcBorders>
          </w:tcPr>
          <w:p w14:paraId="0D3F06CD"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Asset Turnover</w:t>
            </w:r>
          </w:p>
        </w:tc>
        <w:tc>
          <w:tcPr>
            <w:tcW w:w="1872" w:type="dxa"/>
          </w:tcPr>
          <w:p w14:paraId="45F49813"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Revenue / Total Assets</w:t>
            </w:r>
          </w:p>
        </w:tc>
        <w:tc>
          <w:tcPr>
            <w:tcW w:w="1872" w:type="dxa"/>
          </w:tcPr>
          <w:p w14:paraId="537AF42E"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69,916 / 38,890 = </w:t>
            </w:r>
            <w:r w:rsidRPr="00994331">
              <w:rPr>
                <w:rFonts w:eastAsia="Google Sans Text" w:cs="Times New Roman"/>
                <w:b/>
                <w:bCs/>
                <w:color w:val="1F1F1F"/>
              </w:rPr>
              <w:t>1.80 times</w:t>
            </w:r>
          </w:p>
        </w:tc>
        <w:tc>
          <w:tcPr>
            <w:tcW w:w="1872" w:type="dxa"/>
          </w:tcPr>
          <w:p w14:paraId="2EF67C67"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68,187 / 47,039 = </w:t>
            </w:r>
            <w:r w:rsidRPr="00994331">
              <w:rPr>
                <w:rFonts w:eastAsia="Google Sans Text" w:cs="Times New Roman"/>
                <w:b/>
                <w:bCs/>
                <w:color w:val="1F1F1F"/>
              </w:rPr>
              <w:t>1.45 times</w:t>
            </w:r>
          </w:p>
        </w:tc>
        <w:tc>
          <w:tcPr>
            <w:tcW w:w="1872" w:type="dxa"/>
          </w:tcPr>
          <w:p w14:paraId="410F4047"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+0.35 times</w:t>
            </w:r>
          </w:p>
        </w:tc>
      </w:tr>
    </w:tbl>
    <w:p w14:paraId="7B2BD776" w14:textId="2FBB4E8D" w:rsidR="00E506A2" w:rsidRPr="00141A3C" w:rsidRDefault="00E506A2" w:rsidP="00E506A2">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Asset Turnover registered a significant, very favo</w:t>
      </w:r>
      <w:r w:rsidR="0021492A" w:rsidRPr="00141A3C">
        <w:rPr>
          <w:rFonts w:eastAsia="Google Sans" w:cs="Times New Roman"/>
          <w:color w:val="1F1F1F"/>
        </w:rPr>
        <w:t>u</w:t>
      </w:r>
      <w:r w:rsidRPr="00141A3C">
        <w:rPr>
          <w:rFonts w:eastAsia="Google Sans" w:cs="Times New Roman"/>
          <w:color w:val="1F1F1F"/>
        </w:rPr>
        <w:t>rable gain, increasing to 1.80 times, compared to 1.45 times. This goes a long way to affirm that there was strategic and financial rationale to sell Tesco Bank. Tesco has essentially de-balanced its balance sheet by selling one of its most capital-intensive financial units which needed huge reserves of regulatory capital. It is currently reali</w:t>
      </w:r>
      <w:r w:rsidR="0021492A" w:rsidRPr="00141A3C">
        <w:rPr>
          <w:rFonts w:eastAsia="Google Sans" w:cs="Times New Roman"/>
          <w:color w:val="1F1F1F"/>
        </w:rPr>
        <w:t>s</w:t>
      </w:r>
      <w:r w:rsidRPr="00141A3C">
        <w:rPr>
          <w:rFonts w:eastAsia="Google Sans" w:cs="Times New Roman"/>
          <w:color w:val="1F1F1F"/>
        </w:rPr>
        <w:t>ing a lot higher sales per pound capital invested in the core retail infrastructure.</w:t>
      </w:r>
    </w:p>
    <w:p w14:paraId="5911B683" w14:textId="6EA2000B" w:rsidR="00DF11DE" w:rsidRPr="00141A3C" w:rsidRDefault="00E506A2" w:rsidP="00E506A2">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 xml:space="preserve">In contrast, Inventory Turnover rate decreased by 25.23 times to 23.77 times respectively, extending Inventory Days to 14.5 to 15.4 days. Although this may be traditionally considered on its own as loss of operational efficiency, it must be considered as calculated strategic reaction to dramatic macroeconomic volatility. The most notable issues in the realm of Global supply chains are the disruption of supply chains due to global political events, namely the geopolitical instability, and attacks in the Red Sea, which have significantly worsened transit time in shipping (Wang et al., 2025). The required yet expensive </w:t>
      </w:r>
      <w:r w:rsidR="00141A3C" w:rsidRPr="00141A3C">
        <w:rPr>
          <w:rFonts w:eastAsia="Google Sans" w:cs="Times New Roman"/>
          <w:color w:val="1F1F1F"/>
        </w:rPr>
        <w:t>trade-off</w:t>
      </w:r>
      <w:r w:rsidRPr="00141A3C">
        <w:rPr>
          <w:rFonts w:eastAsia="Google Sans" w:cs="Times New Roman"/>
          <w:color w:val="1F1F1F"/>
        </w:rPr>
        <w:t xml:space="preserve"> of holding larger physical inventory buffers in the UK distribution centres is necessary to guarantee product availability all the time and reduce the dire reputational risk of stockouts. This is fully reflective of contemporary literature on supply chain, which is trending here towards systemic resilience and contingency just-in-case buffering, rather than fragile, inflexible, and absolute just-in-time lean managing of inventory in </w:t>
      </w:r>
      <w:r w:rsidRPr="00141A3C">
        <w:rPr>
          <w:rFonts w:eastAsia="Google Sans" w:cs="Times New Roman"/>
          <w:color w:val="1F1F1F"/>
        </w:rPr>
        <w:lastRenderedPageBreak/>
        <w:t>the face of exogenous shocks (Karanam et al., 2024; Wu and Lam, 2025).</w:t>
      </w:r>
    </w:p>
    <w:p w14:paraId="17939D67" w14:textId="3FC142D3" w:rsidR="00DF11DE" w:rsidRPr="00141A3C" w:rsidRDefault="00000000" w:rsidP="0067672C">
      <w:pPr>
        <w:pStyle w:val="Heading3"/>
      </w:pPr>
      <w:bookmarkStart w:id="11" w:name="_Toc224863293"/>
      <w:r w:rsidRPr="00141A3C">
        <w:t>Solvency (Gearing) Ratios</w:t>
      </w:r>
      <w:bookmarkEnd w:id="11"/>
    </w:p>
    <w:p w14:paraId="150A3BC8" w14:textId="73D30967" w:rsidR="00DF11DE" w:rsidRPr="00141A3C" w:rsidRDefault="004B1472"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Solvency, or gearing ratios, assess the financial framework and capital structure of a company over the long-term, implying the mathematical percentage of the amount of debt capital capitalising the entire asset base of the company as compared to the amount of equity capital. The ratios are crucial in a company to learn about its financial leverage, its exposure to the macroeconomic fluctuations in interest rates, and its general risk of going bankrupt or defaulting on its debt covenants (Saunders et al., 2021; </w:t>
      </w:r>
      <w:proofErr w:type="spellStart"/>
      <w:r w:rsidRPr="00141A3C">
        <w:rPr>
          <w:rFonts w:eastAsia="Google Sans" w:cs="Times New Roman"/>
          <w:color w:val="1F1F1F"/>
        </w:rPr>
        <w:t>Thanathamathee</w:t>
      </w:r>
      <w:proofErr w:type="spellEnd"/>
      <w:r w:rsidRPr="00141A3C">
        <w:rPr>
          <w:rFonts w:eastAsia="Google Sans" w:cs="Times New Roman"/>
          <w:color w:val="1F1F1F"/>
        </w:rPr>
        <w:t xml:space="preserve"> et al., 2024).</w:t>
      </w:r>
    </w:p>
    <w:p w14:paraId="0AF6F8BF" w14:textId="366B737E" w:rsidR="007C1D9D" w:rsidRDefault="007C1D9D" w:rsidP="007C1D9D">
      <w:pPr>
        <w:pStyle w:val="Caption"/>
        <w:keepNext/>
        <w:jc w:val="center"/>
      </w:pPr>
      <w:bookmarkStart w:id="12" w:name="_Toc224863315"/>
      <w:r>
        <w:t xml:space="preserve">Table </w:t>
      </w:r>
      <w:r>
        <w:fldChar w:fldCharType="begin"/>
      </w:r>
      <w:r>
        <w:instrText xml:space="preserve"> SEQ Table \* ARABIC </w:instrText>
      </w:r>
      <w:r>
        <w:fldChar w:fldCharType="separate"/>
      </w:r>
      <w:r>
        <w:rPr>
          <w:noProof/>
        </w:rPr>
        <w:t>4</w:t>
      </w:r>
      <w:r>
        <w:fldChar w:fldCharType="end"/>
      </w:r>
      <w:r>
        <w:t xml:space="preserve">: </w:t>
      </w:r>
      <w:r w:rsidRPr="00D32F76">
        <w:t>Solvency (Gearing) Ratios</w:t>
      </w:r>
      <w:bookmarkEnd w:id="12"/>
    </w:p>
    <w:tbl>
      <w:tblPr>
        <w:tblStyle w:val="GridTable5Dark-Accent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72"/>
        <w:gridCol w:w="1872"/>
        <w:gridCol w:w="1872"/>
        <w:gridCol w:w="1872"/>
        <w:gridCol w:w="1872"/>
      </w:tblGrid>
      <w:tr w:rsidR="00DF3746" w:rsidRPr="00994331" w14:paraId="40D5460D" w14:textId="77777777" w:rsidTr="00FE19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top w:val="none" w:sz="0" w:space="0" w:color="auto"/>
              <w:left w:val="none" w:sz="0" w:space="0" w:color="auto"/>
              <w:right w:val="none" w:sz="0" w:space="0" w:color="auto"/>
            </w:tcBorders>
          </w:tcPr>
          <w:p w14:paraId="3838E050" w14:textId="77777777" w:rsidR="00DF3746" w:rsidRPr="00994331" w:rsidRDefault="00DF3746" w:rsidP="00FE19C9">
            <w:pPr>
              <w:pBdr>
                <w:top w:val="nil"/>
                <w:left w:val="nil"/>
                <w:bottom w:val="nil"/>
                <w:right w:val="nil"/>
                <w:between w:val="nil"/>
              </w:pBdr>
              <w:spacing w:before="120" w:after="120"/>
              <w:rPr>
                <w:rFonts w:eastAsia="Google Sans Text" w:cs="Times New Roman"/>
                <w:b w:val="0"/>
                <w:bCs w:val="0"/>
              </w:rPr>
            </w:pPr>
            <w:r w:rsidRPr="00994331">
              <w:rPr>
                <w:rFonts w:eastAsia="Google Sans Text" w:cs="Times New Roman"/>
              </w:rPr>
              <w:t>Ratio</w:t>
            </w:r>
          </w:p>
        </w:tc>
        <w:tc>
          <w:tcPr>
            <w:tcW w:w="1872" w:type="dxa"/>
            <w:tcBorders>
              <w:top w:val="none" w:sz="0" w:space="0" w:color="auto"/>
              <w:left w:val="none" w:sz="0" w:space="0" w:color="auto"/>
              <w:right w:val="none" w:sz="0" w:space="0" w:color="auto"/>
            </w:tcBorders>
          </w:tcPr>
          <w:p w14:paraId="79021FAC"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Formula</w:t>
            </w:r>
          </w:p>
        </w:tc>
        <w:tc>
          <w:tcPr>
            <w:tcW w:w="1872" w:type="dxa"/>
            <w:tcBorders>
              <w:top w:val="none" w:sz="0" w:space="0" w:color="auto"/>
              <w:left w:val="none" w:sz="0" w:space="0" w:color="auto"/>
              <w:right w:val="none" w:sz="0" w:space="0" w:color="auto"/>
            </w:tcBorders>
          </w:tcPr>
          <w:p w14:paraId="6185F5AE"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2024/25</w:t>
            </w:r>
          </w:p>
        </w:tc>
        <w:tc>
          <w:tcPr>
            <w:tcW w:w="1872" w:type="dxa"/>
            <w:tcBorders>
              <w:top w:val="none" w:sz="0" w:space="0" w:color="auto"/>
              <w:left w:val="none" w:sz="0" w:space="0" w:color="auto"/>
              <w:right w:val="none" w:sz="0" w:space="0" w:color="auto"/>
            </w:tcBorders>
          </w:tcPr>
          <w:p w14:paraId="6B2EF923"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2023/24</w:t>
            </w:r>
          </w:p>
        </w:tc>
        <w:tc>
          <w:tcPr>
            <w:tcW w:w="1872" w:type="dxa"/>
            <w:tcBorders>
              <w:top w:val="none" w:sz="0" w:space="0" w:color="auto"/>
              <w:left w:val="none" w:sz="0" w:space="0" w:color="auto"/>
              <w:right w:val="none" w:sz="0" w:space="0" w:color="auto"/>
            </w:tcBorders>
          </w:tcPr>
          <w:p w14:paraId="0418A742"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Change</w:t>
            </w:r>
          </w:p>
        </w:tc>
      </w:tr>
      <w:tr w:rsidR="00DF3746" w:rsidRPr="00994331" w14:paraId="50CCCCFD" w14:textId="77777777" w:rsidTr="00FE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tcBorders>
          </w:tcPr>
          <w:p w14:paraId="50ED279B"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Debt Ratio</w:t>
            </w:r>
          </w:p>
        </w:tc>
        <w:tc>
          <w:tcPr>
            <w:tcW w:w="1872" w:type="dxa"/>
          </w:tcPr>
          <w:p w14:paraId="351538B4"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Total Liabilities / Total Assets</w:t>
            </w:r>
          </w:p>
        </w:tc>
        <w:tc>
          <w:tcPr>
            <w:tcW w:w="1872" w:type="dxa"/>
          </w:tcPr>
          <w:p w14:paraId="0A2D319A"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27,228 / 38,890 = </w:t>
            </w:r>
            <w:r w:rsidRPr="00994331">
              <w:rPr>
                <w:rFonts w:eastAsia="Google Sans Text" w:cs="Times New Roman"/>
                <w:b/>
                <w:bCs/>
                <w:color w:val="1F1F1F"/>
              </w:rPr>
              <w:t>70.0%</w:t>
            </w:r>
          </w:p>
        </w:tc>
        <w:tc>
          <w:tcPr>
            <w:tcW w:w="1872" w:type="dxa"/>
          </w:tcPr>
          <w:p w14:paraId="02D49D1E"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35,374 / 47,039 = </w:t>
            </w:r>
            <w:r w:rsidRPr="00994331">
              <w:rPr>
                <w:rFonts w:eastAsia="Google Sans Text" w:cs="Times New Roman"/>
                <w:b/>
                <w:bCs/>
                <w:color w:val="1F1F1F"/>
              </w:rPr>
              <w:t>75.2%</w:t>
            </w:r>
          </w:p>
        </w:tc>
        <w:tc>
          <w:tcPr>
            <w:tcW w:w="1872" w:type="dxa"/>
          </w:tcPr>
          <w:p w14:paraId="319C35E8"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-5.2%</w:t>
            </w:r>
          </w:p>
        </w:tc>
      </w:tr>
      <w:tr w:rsidR="00DF3746" w:rsidRPr="00994331" w14:paraId="1D3D992D" w14:textId="77777777" w:rsidTr="00FE19C9">
        <w:tc>
          <w:tcPr>
            <w:cnfStyle w:val="001000000000" w:firstRow="0" w:lastRow="0" w:firstColumn="1" w:lastColumn="0" w:oddVBand="0" w:evenVBand="0" w:oddHBand="0" w:evenHBand="0" w:firstRowFirstColumn="0" w:firstRowLastColumn="0" w:lastRowFirstColumn="0" w:lastRowLastColumn="0"/>
            <w:tcW w:w="1872" w:type="dxa"/>
            <w:tcBorders>
              <w:left w:val="none" w:sz="0" w:space="0" w:color="auto"/>
              <w:bottom w:val="none" w:sz="0" w:space="0" w:color="auto"/>
            </w:tcBorders>
          </w:tcPr>
          <w:p w14:paraId="5BE0F03B"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Interest Coverage</w:t>
            </w:r>
          </w:p>
        </w:tc>
        <w:tc>
          <w:tcPr>
            <w:tcW w:w="1872" w:type="dxa"/>
          </w:tcPr>
          <w:p w14:paraId="5F6CFDF8"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Operating Profit / Net Finance Costs</w:t>
            </w:r>
          </w:p>
        </w:tc>
        <w:tc>
          <w:tcPr>
            <w:tcW w:w="1872" w:type="dxa"/>
          </w:tcPr>
          <w:p w14:paraId="7357FA91"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2,711 / 746 = </w:t>
            </w:r>
            <w:r w:rsidRPr="00994331">
              <w:rPr>
                <w:rFonts w:eastAsia="Google Sans Text" w:cs="Times New Roman"/>
                <w:b/>
                <w:bCs/>
                <w:color w:val="1F1F1F"/>
              </w:rPr>
              <w:t>3.63 times</w:t>
            </w:r>
          </w:p>
        </w:tc>
        <w:tc>
          <w:tcPr>
            <w:tcW w:w="1872" w:type="dxa"/>
          </w:tcPr>
          <w:p w14:paraId="113486F6"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2,821 / 805 = </w:t>
            </w:r>
            <w:r w:rsidRPr="00994331">
              <w:rPr>
                <w:rFonts w:eastAsia="Google Sans Text" w:cs="Times New Roman"/>
                <w:b/>
                <w:bCs/>
                <w:color w:val="1F1F1F"/>
              </w:rPr>
              <w:t>3.50 times</w:t>
            </w:r>
          </w:p>
        </w:tc>
        <w:tc>
          <w:tcPr>
            <w:tcW w:w="1872" w:type="dxa"/>
          </w:tcPr>
          <w:p w14:paraId="272A4FA1"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+0.13 times</w:t>
            </w:r>
          </w:p>
        </w:tc>
      </w:tr>
    </w:tbl>
    <w:p w14:paraId="26E7DD76" w14:textId="372ED75A" w:rsidR="004B1472" w:rsidRPr="00141A3C" w:rsidRDefault="004B1472" w:rsidP="004B1472">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 xml:space="preserve">Tesco was able to reduce its Debt Ratio to 70.0% by the elimination of </w:t>
      </w:r>
      <w:r w:rsidR="0021492A" w:rsidRPr="00141A3C">
        <w:rPr>
          <w:rFonts w:eastAsia="Google Sans" w:cs="Times New Roman"/>
          <w:color w:val="1F1F1F"/>
        </w:rPr>
        <w:t>£</w:t>
      </w:r>
      <w:r w:rsidRPr="00141A3C">
        <w:rPr>
          <w:rFonts w:eastAsia="Google Sans" w:cs="Times New Roman"/>
          <w:color w:val="1F1F1F"/>
        </w:rPr>
        <w:t>7.1 billion in the bank deposits liabilities of the customers. Nevertheless, the debt ratio is still optically high at 70% as compared to non-retail industries. This indicator demonstrates how significant modern accounting standards are in the interpretation of ratios. Under the IFRS 16 (Leases), retail companies must take as an on-balance-sheet liability the future payment of lease regarding their physical store playgrounds (</w:t>
      </w:r>
      <w:proofErr w:type="spellStart"/>
      <w:r w:rsidRPr="00141A3C">
        <w:rPr>
          <w:rFonts w:eastAsia="Google Sans" w:cs="Times New Roman"/>
          <w:color w:val="1F1F1F"/>
        </w:rPr>
        <w:t>Thanathamathee</w:t>
      </w:r>
      <w:proofErr w:type="spellEnd"/>
      <w:r w:rsidRPr="00141A3C">
        <w:rPr>
          <w:rFonts w:eastAsia="Google Sans" w:cs="Times New Roman"/>
          <w:color w:val="1F1F1F"/>
        </w:rPr>
        <w:t xml:space="preserve"> et al., 2024). This creates a "debt illusion." Although a liability technically, long-term store leases are a matter of operational necessity, and not subject to the same refinancing norm in the near term, catastrophic to the enterprise failures as the normal corporate bond debt, or bank loans.</w:t>
      </w:r>
    </w:p>
    <w:p w14:paraId="67C51AE2" w14:textId="03794787" w:rsidR="00DF11DE" w:rsidRPr="00141A3C" w:rsidRDefault="004B1472" w:rsidP="004B1472">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 xml:space="preserve">A much better, more dynamic and cash based indication of the true solvency of Tesco is that the Interest Coverage Ratio has increased to 3.63 times. The figure shows that the operating profit is </w:t>
      </w:r>
      <w:r w:rsidRPr="00141A3C">
        <w:rPr>
          <w:rFonts w:eastAsia="Google Sans" w:cs="Times New Roman"/>
          <w:color w:val="1F1F1F"/>
        </w:rPr>
        <w:lastRenderedPageBreak/>
        <w:t xml:space="preserve">more than enough to meet the yearly financing expenses of Tesco more than four times. This illustrates strong creditworthiness in the </w:t>
      </w:r>
      <w:r w:rsidR="008E2985" w:rsidRPr="00141A3C">
        <w:rPr>
          <w:rFonts w:eastAsia="Google Sans" w:cs="Times New Roman"/>
          <w:color w:val="1F1F1F"/>
        </w:rPr>
        <w:t>long-term</w:t>
      </w:r>
      <w:r w:rsidRPr="00141A3C">
        <w:rPr>
          <w:rFonts w:eastAsia="Google Sans" w:cs="Times New Roman"/>
          <w:color w:val="1F1F1F"/>
        </w:rPr>
        <w:t xml:space="preserve"> giving a lot of headroom and the protection of the firm against future increases in the hawkish interest rates by the Bank of England.</w:t>
      </w:r>
    </w:p>
    <w:p w14:paraId="0FA53FF9" w14:textId="15ECA126" w:rsidR="00DF11DE" w:rsidRPr="00141A3C" w:rsidRDefault="00000000" w:rsidP="0067672C">
      <w:pPr>
        <w:pStyle w:val="Heading3"/>
      </w:pPr>
      <w:bookmarkStart w:id="13" w:name="_Toc224863294"/>
      <w:r w:rsidRPr="00141A3C">
        <w:t>Investor Ratios</w:t>
      </w:r>
      <w:bookmarkEnd w:id="13"/>
    </w:p>
    <w:p w14:paraId="5193EE33" w14:textId="0B8A2BB7" w:rsidR="00DF11DE" w:rsidRPr="00141A3C" w:rsidRDefault="004B1472"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Investor, or market-based, ratios derive value of the underlying corporate financial performance into capital market values. Equity investors and institutional fund managers scrutinise them extensively to decide how well the firm can create distributable wealth in terms of cash dividends and capital appreciation and, therefore, act as a direct, real-time measure of their confidence in the strategy of management (Bekaert, 2017; Pasupuleti et al., 2024).</w:t>
      </w:r>
    </w:p>
    <w:p w14:paraId="2A9DF7E4" w14:textId="078F7654" w:rsidR="007C1D9D" w:rsidRDefault="007C1D9D" w:rsidP="007C1D9D">
      <w:pPr>
        <w:pStyle w:val="Caption"/>
        <w:keepNext/>
        <w:jc w:val="center"/>
      </w:pPr>
      <w:bookmarkStart w:id="14" w:name="_Toc224863316"/>
      <w:r>
        <w:t xml:space="preserve">Table </w:t>
      </w:r>
      <w:r>
        <w:fldChar w:fldCharType="begin"/>
      </w:r>
      <w:r>
        <w:instrText xml:space="preserve"> SEQ Table \* ARABIC </w:instrText>
      </w:r>
      <w:r>
        <w:fldChar w:fldCharType="separate"/>
      </w:r>
      <w:r>
        <w:rPr>
          <w:noProof/>
        </w:rPr>
        <w:t>5</w:t>
      </w:r>
      <w:r>
        <w:fldChar w:fldCharType="end"/>
      </w:r>
      <w:r>
        <w:t xml:space="preserve">: </w:t>
      </w:r>
      <w:r w:rsidRPr="000D2817">
        <w:t>Investor Ratios</w:t>
      </w:r>
      <w:bookmarkEnd w:id="14"/>
    </w:p>
    <w:tbl>
      <w:tblPr>
        <w:tblStyle w:val="GridTable5Dark-Accent1"/>
        <w:tblW w:w="9360" w:type="dxa"/>
        <w:tblLayout w:type="fixed"/>
        <w:tblLook w:val="04A0" w:firstRow="1" w:lastRow="0" w:firstColumn="1" w:lastColumn="0" w:noHBand="0" w:noVBand="1"/>
      </w:tblPr>
      <w:tblGrid>
        <w:gridCol w:w="1872"/>
        <w:gridCol w:w="1872"/>
        <w:gridCol w:w="1872"/>
        <w:gridCol w:w="1872"/>
        <w:gridCol w:w="1872"/>
      </w:tblGrid>
      <w:tr w:rsidR="00DF3746" w:rsidRPr="00994331" w14:paraId="48A74566" w14:textId="77777777" w:rsidTr="00FE19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15F9020D" w14:textId="77777777" w:rsidR="00DF3746" w:rsidRPr="00994331" w:rsidRDefault="00DF3746" w:rsidP="00FE19C9">
            <w:pPr>
              <w:pBdr>
                <w:top w:val="nil"/>
                <w:left w:val="nil"/>
                <w:bottom w:val="nil"/>
                <w:right w:val="nil"/>
                <w:between w:val="nil"/>
              </w:pBdr>
              <w:spacing w:before="120" w:after="120"/>
              <w:rPr>
                <w:rFonts w:eastAsia="Google Sans Text" w:cs="Times New Roman"/>
                <w:b w:val="0"/>
                <w:bCs w:val="0"/>
              </w:rPr>
            </w:pPr>
            <w:r w:rsidRPr="00994331">
              <w:rPr>
                <w:rFonts w:eastAsia="Google Sans Text" w:cs="Times New Roman"/>
              </w:rPr>
              <w:t>Ratio</w:t>
            </w:r>
          </w:p>
        </w:tc>
        <w:tc>
          <w:tcPr>
            <w:tcW w:w="1872" w:type="dxa"/>
          </w:tcPr>
          <w:p w14:paraId="0CD068BE"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Formula</w:t>
            </w:r>
          </w:p>
        </w:tc>
        <w:tc>
          <w:tcPr>
            <w:tcW w:w="1872" w:type="dxa"/>
          </w:tcPr>
          <w:p w14:paraId="324F0775"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2024/25</w:t>
            </w:r>
          </w:p>
        </w:tc>
        <w:tc>
          <w:tcPr>
            <w:tcW w:w="1872" w:type="dxa"/>
          </w:tcPr>
          <w:p w14:paraId="1CDDE374"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FY 2023/24</w:t>
            </w:r>
          </w:p>
        </w:tc>
        <w:tc>
          <w:tcPr>
            <w:tcW w:w="1872" w:type="dxa"/>
          </w:tcPr>
          <w:p w14:paraId="076BABB7" w14:textId="77777777" w:rsidR="00DF3746" w:rsidRPr="00994331" w:rsidRDefault="00DF3746" w:rsidP="00FE19C9">
            <w:pPr>
              <w:pBdr>
                <w:top w:val="nil"/>
                <w:left w:val="nil"/>
                <w:bottom w:val="nil"/>
                <w:right w:val="nil"/>
                <w:between w:val="nil"/>
              </w:pBdr>
              <w:spacing w:before="120" w:after="120"/>
              <w:cnfStyle w:val="100000000000" w:firstRow="1" w:lastRow="0" w:firstColumn="0" w:lastColumn="0" w:oddVBand="0" w:evenVBand="0" w:oddHBand="0" w:evenHBand="0" w:firstRowFirstColumn="0" w:firstRowLastColumn="0" w:lastRowFirstColumn="0" w:lastRowLastColumn="0"/>
              <w:rPr>
                <w:rFonts w:eastAsia="Google Sans Text" w:cs="Times New Roman"/>
                <w:b w:val="0"/>
                <w:bCs w:val="0"/>
              </w:rPr>
            </w:pPr>
            <w:r w:rsidRPr="00994331">
              <w:rPr>
                <w:rFonts w:eastAsia="Google Sans Text" w:cs="Times New Roman"/>
              </w:rPr>
              <w:t>Change</w:t>
            </w:r>
          </w:p>
        </w:tc>
      </w:tr>
      <w:tr w:rsidR="00DF3746" w:rsidRPr="00994331" w14:paraId="7190CB74" w14:textId="77777777" w:rsidTr="00FE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541E438E"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Earnings Per Share (EPS)</w:t>
            </w:r>
          </w:p>
        </w:tc>
        <w:tc>
          <w:tcPr>
            <w:tcW w:w="1872" w:type="dxa"/>
          </w:tcPr>
          <w:p w14:paraId="28126ED6"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 xml:space="preserve">Profit for year / </w:t>
            </w:r>
            <w:proofErr w:type="spellStart"/>
            <w:r w:rsidRPr="00994331">
              <w:rPr>
                <w:rFonts w:eastAsia="Google Sans Text" w:cs="Times New Roman"/>
                <w:color w:val="1F1F1F"/>
              </w:rPr>
              <w:t>Avg</w:t>
            </w:r>
            <w:proofErr w:type="spellEnd"/>
            <w:r w:rsidRPr="00994331">
              <w:rPr>
                <w:rFonts w:eastAsia="Google Sans Text" w:cs="Times New Roman"/>
                <w:color w:val="1F1F1F"/>
              </w:rPr>
              <w:t xml:space="preserve"> Shares</w:t>
            </w:r>
          </w:p>
        </w:tc>
        <w:tc>
          <w:tcPr>
            <w:tcW w:w="1872" w:type="dxa"/>
          </w:tcPr>
          <w:p w14:paraId="6632CFD2"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b/>
                <w:bCs/>
                <w:color w:val="1F1F1F"/>
              </w:rPr>
              <w:t>23.13p</w:t>
            </w:r>
          </w:p>
        </w:tc>
        <w:tc>
          <w:tcPr>
            <w:tcW w:w="1872" w:type="dxa"/>
          </w:tcPr>
          <w:p w14:paraId="465BA173"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b/>
                <w:bCs/>
                <w:color w:val="1F1F1F"/>
              </w:rPr>
              <w:t>16.63p</w:t>
            </w:r>
          </w:p>
        </w:tc>
        <w:tc>
          <w:tcPr>
            <w:tcW w:w="1872" w:type="dxa"/>
          </w:tcPr>
          <w:p w14:paraId="444DA3C6"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+39.1%</w:t>
            </w:r>
          </w:p>
        </w:tc>
      </w:tr>
      <w:tr w:rsidR="00DF3746" w:rsidRPr="00994331" w14:paraId="1063083A" w14:textId="77777777" w:rsidTr="00FE19C9">
        <w:tc>
          <w:tcPr>
            <w:cnfStyle w:val="001000000000" w:firstRow="0" w:lastRow="0" w:firstColumn="1" w:lastColumn="0" w:oddVBand="0" w:evenVBand="0" w:oddHBand="0" w:evenHBand="0" w:firstRowFirstColumn="0" w:firstRowLastColumn="0" w:lastRowFirstColumn="0" w:lastRowLastColumn="0"/>
            <w:tcW w:w="1872" w:type="dxa"/>
          </w:tcPr>
          <w:p w14:paraId="5ADA09E4"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Price/Earnings (P/E) Ratio</w:t>
            </w:r>
          </w:p>
        </w:tc>
        <w:tc>
          <w:tcPr>
            <w:tcW w:w="1872" w:type="dxa"/>
          </w:tcPr>
          <w:p w14:paraId="79BA4744"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Share Price / EPS</w:t>
            </w:r>
          </w:p>
        </w:tc>
        <w:tc>
          <w:tcPr>
            <w:tcW w:w="1872" w:type="dxa"/>
          </w:tcPr>
          <w:p w14:paraId="7A4CFAEE"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290p / 23.13 = </w:t>
            </w:r>
            <w:r w:rsidRPr="00994331">
              <w:rPr>
                <w:rFonts w:eastAsia="Google Sans Text" w:cs="Times New Roman"/>
                <w:b/>
                <w:bCs/>
                <w:color w:val="1F1F1F"/>
              </w:rPr>
              <w:t>12.54</w:t>
            </w:r>
          </w:p>
        </w:tc>
        <w:tc>
          <w:tcPr>
            <w:tcW w:w="1872" w:type="dxa"/>
          </w:tcPr>
          <w:p w14:paraId="764366C8"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275p / 16.63 = </w:t>
            </w:r>
            <w:r w:rsidRPr="00994331">
              <w:rPr>
                <w:rFonts w:eastAsia="Google Sans Text" w:cs="Times New Roman"/>
                <w:b/>
                <w:bCs/>
                <w:color w:val="1F1F1F"/>
              </w:rPr>
              <w:t>16.53</w:t>
            </w:r>
          </w:p>
        </w:tc>
        <w:tc>
          <w:tcPr>
            <w:tcW w:w="1872" w:type="dxa"/>
          </w:tcPr>
          <w:p w14:paraId="12CAFD45" w14:textId="77777777" w:rsidR="00DF3746" w:rsidRPr="00994331" w:rsidRDefault="00DF3746" w:rsidP="00FE19C9">
            <w:pPr>
              <w:pBdr>
                <w:top w:val="nil"/>
                <w:left w:val="nil"/>
                <w:bottom w:val="nil"/>
                <w:right w:val="nil"/>
                <w:between w:val="nil"/>
              </w:pBdr>
              <w:cnfStyle w:val="000000000000" w:firstRow="0" w:lastRow="0" w:firstColumn="0" w:lastColumn="0" w:oddVBand="0" w:evenVBand="0" w:oddHBand="0"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-3.99</w:t>
            </w:r>
          </w:p>
        </w:tc>
      </w:tr>
      <w:tr w:rsidR="00DF3746" w:rsidRPr="00994331" w14:paraId="28F3EB74" w14:textId="77777777" w:rsidTr="00FE19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423F4979" w14:textId="77777777" w:rsidR="00DF3746" w:rsidRPr="00994331" w:rsidRDefault="00DF3746" w:rsidP="00FE19C9">
            <w:pPr>
              <w:pBdr>
                <w:top w:val="nil"/>
                <w:left w:val="nil"/>
                <w:bottom w:val="nil"/>
                <w:right w:val="nil"/>
                <w:between w:val="nil"/>
              </w:pBdr>
              <w:rPr>
                <w:rFonts w:eastAsia="Google Sans Text" w:cs="Times New Roman"/>
                <w:b w:val="0"/>
                <w:bCs w:val="0"/>
              </w:rPr>
            </w:pPr>
            <w:r w:rsidRPr="00994331">
              <w:rPr>
                <w:rFonts w:eastAsia="Google Sans Text" w:cs="Times New Roman"/>
              </w:rPr>
              <w:t>Dividend Yield</w:t>
            </w:r>
          </w:p>
        </w:tc>
        <w:tc>
          <w:tcPr>
            <w:tcW w:w="1872" w:type="dxa"/>
          </w:tcPr>
          <w:p w14:paraId="10F28DD6"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Dividend per Share / Share Price</w:t>
            </w:r>
          </w:p>
        </w:tc>
        <w:tc>
          <w:tcPr>
            <w:tcW w:w="1872" w:type="dxa"/>
          </w:tcPr>
          <w:p w14:paraId="44380D47"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13.70p / 290p = </w:t>
            </w:r>
            <w:r w:rsidRPr="00994331">
              <w:rPr>
                <w:rFonts w:eastAsia="Google Sans Text" w:cs="Times New Roman"/>
                <w:b/>
                <w:bCs/>
                <w:color w:val="1F1F1F"/>
              </w:rPr>
              <w:t>4.72%</w:t>
            </w:r>
          </w:p>
        </w:tc>
        <w:tc>
          <w:tcPr>
            <w:tcW w:w="1872" w:type="dxa"/>
          </w:tcPr>
          <w:p w14:paraId="35624206"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b/>
                <w:bCs/>
                <w:color w:val="1F1F1F"/>
              </w:rPr>
            </w:pPr>
            <w:r w:rsidRPr="00994331">
              <w:rPr>
                <w:rFonts w:eastAsia="Google Sans Text" w:cs="Times New Roman"/>
                <w:color w:val="1F1F1F"/>
              </w:rPr>
              <w:t xml:space="preserve">12.10p / 275p = </w:t>
            </w:r>
            <w:r w:rsidRPr="00994331">
              <w:rPr>
                <w:rFonts w:eastAsia="Google Sans Text" w:cs="Times New Roman"/>
                <w:b/>
                <w:bCs/>
                <w:color w:val="1F1F1F"/>
              </w:rPr>
              <w:t>4.40%</w:t>
            </w:r>
          </w:p>
        </w:tc>
        <w:tc>
          <w:tcPr>
            <w:tcW w:w="1872" w:type="dxa"/>
          </w:tcPr>
          <w:p w14:paraId="158BA2DE" w14:textId="77777777" w:rsidR="00DF3746" w:rsidRPr="00994331" w:rsidRDefault="00DF3746" w:rsidP="00FE19C9">
            <w:pPr>
              <w:pBdr>
                <w:top w:val="nil"/>
                <w:left w:val="nil"/>
                <w:bottom w:val="nil"/>
                <w:right w:val="nil"/>
                <w:between w:val="nil"/>
              </w:pBdr>
              <w:cnfStyle w:val="000000100000" w:firstRow="0" w:lastRow="0" w:firstColumn="0" w:lastColumn="0" w:oddVBand="0" w:evenVBand="0" w:oddHBand="1" w:evenHBand="0" w:firstRowFirstColumn="0" w:firstRowLastColumn="0" w:lastRowFirstColumn="0" w:lastRowLastColumn="0"/>
              <w:rPr>
                <w:rFonts w:eastAsia="Google Sans Text" w:cs="Times New Roman"/>
                <w:color w:val="1F1F1F"/>
              </w:rPr>
            </w:pPr>
            <w:r w:rsidRPr="00994331">
              <w:rPr>
                <w:rFonts w:eastAsia="Google Sans Text" w:cs="Times New Roman"/>
                <w:color w:val="1F1F1F"/>
              </w:rPr>
              <w:t>+32 bps</w:t>
            </w:r>
          </w:p>
        </w:tc>
      </w:tr>
    </w:tbl>
    <w:p w14:paraId="54CA40DB" w14:textId="170EC97B" w:rsidR="00DF11DE" w:rsidRPr="00141A3C" w:rsidRDefault="004B1472" w:rsidP="00423571">
      <w:pPr>
        <w:pBdr>
          <w:top w:val="nil"/>
          <w:left w:val="nil"/>
          <w:bottom w:val="nil"/>
          <w:right w:val="nil"/>
          <w:between w:val="nil"/>
        </w:pBdr>
        <w:spacing w:before="480" w:after="240"/>
        <w:rPr>
          <w:rFonts w:eastAsia="Google Sans" w:cs="Times New Roman"/>
          <w:color w:val="1F1F1F"/>
        </w:rPr>
      </w:pPr>
      <w:r w:rsidRPr="00141A3C">
        <w:rPr>
          <w:rFonts w:eastAsia="Google Sans" w:cs="Times New Roman"/>
          <w:color w:val="1F1F1F"/>
        </w:rPr>
        <w:t xml:space="preserve">The shareholder returns were outstanding, and the Earnings Per Share (EPS) had soared by a staggering 39% to 23.13p. This indicator highlights the effectiveness of the cost discipline and capital efficiency initiatives used by the management after the restructuring. At the same time, Tesco is strongly positioned as a blue-chip defensive stock with a dividend yield standing at 4.72%. This is very competitive yield in the macroeconomic environment where investors are aggressively trying to find safe havens against inflation and economic stagnation at the established risk-free UK Gilt yields. This solid cash flow is the direct indication that the management had placed a lot of confidence on the long-term underlying profitability of the firm after the bank </w:t>
      </w:r>
      <w:r w:rsidR="008E2985" w:rsidRPr="00141A3C">
        <w:rPr>
          <w:rFonts w:eastAsia="Google Sans" w:cs="Times New Roman"/>
          <w:color w:val="1F1F1F"/>
        </w:rPr>
        <w:t>disposal and</w:t>
      </w:r>
      <w:r w:rsidRPr="00141A3C">
        <w:rPr>
          <w:rFonts w:eastAsia="Google Sans" w:cs="Times New Roman"/>
          <w:color w:val="1F1F1F"/>
        </w:rPr>
        <w:t xml:space="preserve"> demonstrates that the company can be able to generate value of shareholders despite operating in </w:t>
      </w:r>
      <w:r w:rsidRPr="00141A3C">
        <w:rPr>
          <w:rFonts w:eastAsia="Google Sans" w:cs="Times New Roman"/>
          <w:color w:val="1F1F1F"/>
        </w:rPr>
        <w:lastRenderedPageBreak/>
        <w:t>a highly competitive consumer market that is saturated too.</w:t>
      </w:r>
    </w:p>
    <w:p w14:paraId="6E26F55C" w14:textId="4C9EEBC3" w:rsidR="00DF11DE" w:rsidRPr="00141A3C" w:rsidRDefault="00000000" w:rsidP="0067672C">
      <w:pPr>
        <w:pStyle w:val="Heading3"/>
      </w:pPr>
      <w:bookmarkStart w:id="15" w:name="_Toc224863295"/>
      <w:r w:rsidRPr="00141A3C">
        <w:t>Limitations of Ratio Analysis</w:t>
      </w:r>
      <w:bookmarkEnd w:id="15"/>
    </w:p>
    <w:p w14:paraId="19318F62" w14:textId="04873367" w:rsidR="004B1472" w:rsidRPr="00141A3C" w:rsidRDefault="004B1472" w:rsidP="004B1472">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Although the above financial analysis offers invaluable diagnostic information, the theoretical shortcomings of ratio analysis should be strictly reali</w:t>
      </w:r>
      <w:r w:rsidR="0021492A" w:rsidRPr="00141A3C">
        <w:rPr>
          <w:rFonts w:eastAsia="Google Sans" w:cs="Times New Roman"/>
          <w:color w:val="1F1F1F"/>
        </w:rPr>
        <w:t>s</w:t>
      </w:r>
      <w:r w:rsidRPr="00141A3C">
        <w:rPr>
          <w:rFonts w:eastAsia="Google Sans" w:cs="Times New Roman"/>
          <w:color w:val="1F1F1F"/>
        </w:rPr>
        <w:t>ed to avoid faulty decision making.</w:t>
      </w:r>
    </w:p>
    <w:p w14:paraId="1D565DCC" w14:textId="77777777" w:rsidR="004B1472" w:rsidRPr="00141A3C" w:rsidRDefault="004B1472" w:rsidP="004B1472">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To start with, ratios are backward looking in nature and structure. They purely use historical accounting information which often is incapable of monitoring sudden changes in consumer behaviour, new competitive technological threats, or future macroeconomic shocks (Akhtar et al., 2025; </w:t>
      </w:r>
      <w:proofErr w:type="spellStart"/>
      <w:r w:rsidRPr="00141A3C">
        <w:rPr>
          <w:rFonts w:eastAsia="Google Sans" w:cs="Times New Roman"/>
          <w:color w:val="1F1F1F"/>
        </w:rPr>
        <w:t>Dasilas</w:t>
      </w:r>
      <w:proofErr w:type="spellEnd"/>
      <w:r w:rsidRPr="00141A3C">
        <w:rPr>
          <w:rFonts w:eastAsia="Google Sans" w:cs="Times New Roman"/>
          <w:color w:val="1F1F1F"/>
        </w:rPr>
        <w:t xml:space="preserve"> and </w:t>
      </w:r>
      <w:proofErr w:type="spellStart"/>
      <w:r w:rsidRPr="00141A3C">
        <w:rPr>
          <w:rFonts w:eastAsia="Google Sans" w:cs="Times New Roman"/>
          <w:color w:val="1F1F1F"/>
        </w:rPr>
        <w:t>Rigani</w:t>
      </w:r>
      <w:proofErr w:type="spellEnd"/>
      <w:r w:rsidRPr="00141A3C">
        <w:rPr>
          <w:rFonts w:eastAsia="Google Sans" w:cs="Times New Roman"/>
          <w:color w:val="1F1F1F"/>
        </w:rPr>
        <w:t xml:space="preserve">, 2024). The high historical ROCE is not an assurance that one </w:t>
      </w:r>
      <w:proofErr w:type="spellStart"/>
      <w:r w:rsidRPr="00141A3C">
        <w:rPr>
          <w:rFonts w:eastAsia="Google Sans" w:cs="Times New Roman"/>
          <w:color w:val="1F1F1F"/>
        </w:rPr>
        <w:t>can not</w:t>
      </w:r>
      <w:proofErr w:type="spellEnd"/>
      <w:r w:rsidRPr="00141A3C">
        <w:rPr>
          <w:rFonts w:eastAsia="Google Sans" w:cs="Times New Roman"/>
          <w:color w:val="1F1F1F"/>
        </w:rPr>
        <w:t xml:space="preserve"> be disrupted in the market in the future.</w:t>
      </w:r>
    </w:p>
    <w:p w14:paraId="1559219F" w14:textId="77777777" w:rsidR="004B1472" w:rsidRPr="00141A3C" w:rsidRDefault="004B1472" w:rsidP="004B1472">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Secondly, differing corporate accounting policies, aggressive repositioning, and the window dressing of results at the end of a period can be disastrous in terms of their effects on longitudinal trend study, as well, as on cross-sectional inter-firm comparability, as demonstrated by Tesco banking disposal as well as the structural, balance-sheet-inflating effects of IFRS 16 (Dey et al., 2018; Walsh, 2008).</w:t>
      </w:r>
    </w:p>
    <w:p w14:paraId="4666D517" w14:textId="7FA8E309" w:rsidR="00DF11DE" w:rsidRPr="00141A3C" w:rsidRDefault="004B1472" w:rsidP="004B1472">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Lastly, general quantitative ratio analysis completely disregards critical non- financial qualitative measures, i.e. retention of employees, commitment to ESG (Environmental, Social and Governance) actions, brand equity and quality of corporate governance measures. These unquantifiable qualitative factors are now becoming the main, long-range contributors to the sustainability of the corporate and its financial resilience that is fundamentally not reflected or appreciated by traditional and unchanging balance sheets </w:t>
      </w:r>
      <w:r w:rsidR="009225EB" w:rsidRPr="009225EB">
        <w:rPr>
          <w:rFonts w:eastAsia="Google Sans" w:cs="Times New Roman"/>
          <w:color w:val="1F1F1F"/>
        </w:rPr>
        <w:t>(</w:t>
      </w:r>
      <w:proofErr w:type="spellStart"/>
      <w:r w:rsidR="009225EB" w:rsidRPr="009225EB">
        <w:rPr>
          <w:rFonts w:eastAsia="Google Sans" w:cs="Times New Roman"/>
          <w:color w:val="1F1F1F"/>
        </w:rPr>
        <w:t>Minutiello</w:t>
      </w:r>
      <w:proofErr w:type="spellEnd"/>
      <w:r w:rsidR="009225EB" w:rsidRPr="009225EB">
        <w:rPr>
          <w:rFonts w:eastAsia="Google Sans" w:cs="Times New Roman"/>
          <w:color w:val="1F1F1F"/>
        </w:rPr>
        <w:t xml:space="preserve"> et al., 2025; </w:t>
      </w:r>
      <w:proofErr w:type="spellStart"/>
      <w:r w:rsidR="009225EB" w:rsidRPr="009225EB">
        <w:rPr>
          <w:rFonts w:eastAsia="Google Sans" w:cs="Times New Roman"/>
          <w:color w:val="1F1F1F"/>
        </w:rPr>
        <w:t>Toumeh</w:t>
      </w:r>
      <w:proofErr w:type="spellEnd"/>
      <w:r w:rsidR="009225EB" w:rsidRPr="009225EB">
        <w:rPr>
          <w:rFonts w:eastAsia="Google Sans" w:cs="Times New Roman"/>
          <w:color w:val="1F1F1F"/>
        </w:rPr>
        <w:t>, 2024)</w:t>
      </w:r>
      <w:r w:rsidRPr="00141A3C">
        <w:rPr>
          <w:rFonts w:eastAsia="Google Sans" w:cs="Times New Roman"/>
          <w:color w:val="1F1F1F"/>
        </w:rPr>
        <w:t>.</w:t>
      </w:r>
    </w:p>
    <w:p w14:paraId="72099CEF" w14:textId="7E380AAF" w:rsidR="00DF11DE" w:rsidRPr="00141A3C" w:rsidRDefault="00000000" w:rsidP="0067672C">
      <w:pPr>
        <w:pStyle w:val="Heading3"/>
      </w:pPr>
      <w:bookmarkStart w:id="16" w:name="_Toc224863296"/>
      <w:r w:rsidRPr="00141A3C">
        <w:t>Strategic Recommendations</w:t>
      </w:r>
      <w:bookmarkEnd w:id="16"/>
    </w:p>
    <w:p w14:paraId="0B761545" w14:textId="77777777" w:rsidR="004B1472" w:rsidRPr="00141A3C" w:rsidRDefault="004B1472" w:rsidP="004B1472">
      <w:pPr>
        <w:pBdr>
          <w:top w:val="nil"/>
          <w:left w:val="nil"/>
          <w:bottom w:val="nil"/>
          <w:right w:val="nil"/>
          <w:between w:val="nil"/>
        </w:pBdr>
        <w:rPr>
          <w:rFonts w:eastAsia="Google Sans" w:cs="Times New Roman"/>
          <w:color w:val="1F1F1F"/>
        </w:rPr>
      </w:pPr>
      <w:r w:rsidRPr="00141A3C">
        <w:rPr>
          <w:rFonts w:eastAsia="Google Sans" w:cs="Times New Roman"/>
          <w:color w:val="1F1F1F"/>
        </w:rPr>
        <w:t>Drawing up the analysis of the financial analysis and in terms of the macroeconomic environment, the following strategic recommendations are offered to Tesco PLC:</w:t>
      </w:r>
    </w:p>
    <w:p w14:paraId="4C1AC1F2" w14:textId="04E4CFA0" w:rsidR="004B1472" w:rsidRPr="00141A3C" w:rsidRDefault="004B1472" w:rsidP="004B1472">
      <w:pPr>
        <w:pBdr>
          <w:top w:val="nil"/>
          <w:left w:val="nil"/>
          <w:bottom w:val="nil"/>
          <w:right w:val="nil"/>
          <w:between w:val="nil"/>
        </w:pBdr>
        <w:rPr>
          <w:rFonts w:eastAsia="Google Sans" w:cs="Times New Roman"/>
          <w:color w:val="1F1F1F"/>
        </w:rPr>
      </w:pPr>
      <w:r w:rsidRPr="00141A3C">
        <w:rPr>
          <w:rFonts w:eastAsia="Google Sans" w:cs="Times New Roman"/>
          <w:b/>
          <w:bCs/>
          <w:color w:val="1F1F1F"/>
        </w:rPr>
        <w:t>Increase Accelerate Retail Media Growth:</w:t>
      </w:r>
      <w:r w:rsidRPr="00141A3C">
        <w:rPr>
          <w:rFonts w:eastAsia="Google Sans" w:cs="Times New Roman"/>
          <w:color w:val="1F1F1F"/>
        </w:rPr>
        <w:t xml:space="preserve"> Traditional retail operating margins are structurali</w:t>
      </w:r>
      <w:r w:rsidR="0021492A" w:rsidRPr="00141A3C">
        <w:rPr>
          <w:rFonts w:eastAsia="Google Sans" w:cs="Times New Roman"/>
          <w:color w:val="1F1F1F"/>
        </w:rPr>
        <w:t>s</w:t>
      </w:r>
      <w:r w:rsidRPr="00141A3C">
        <w:rPr>
          <w:rFonts w:eastAsia="Google Sans" w:cs="Times New Roman"/>
          <w:color w:val="1F1F1F"/>
        </w:rPr>
        <w:t>ed to less than 4% as a result of the discou</w:t>
      </w:r>
      <w:r w:rsidR="0021492A" w:rsidRPr="00141A3C">
        <w:rPr>
          <w:rFonts w:eastAsia="Google Sans" w:cs="Times New Roman"/>
          <w:color w:val="1F1F1F"/>
        </w:rPr>
        <w:t>n</w:t>
      </w:r>
      <w:r w:rsidRPr="00141A3C">
        <w:rPr>
          <w:rFonts w:eastAsia="Google Sans" w:cs="Times New Roman"/>
          <w:color w:val="1F1F1F"/>
        </w:rPr>
        <w:t xml:space="preserve">ter price war and Tesco needs to expand its profit pool vigorously. The idea of massive expansion of the Tesco Media &amp; Insight Platform, which is the commercialisation of the Clubcard information to sell targeted advertising to FMCG </w:t>
      </w:r>
      <w:r w:rsidRPr="00141A3C">
        <w:rPr>
          <w:rFonts w:eastAsia="Google Sans" w:cs="Times New Roman"/>
          <w:color w:val="1F1F1F"/>
        </w:rPr>
        <w:lastRenderedPageBreak/>
        <w:t>suppliers is recommended (Apergis, 2021). This creates high-margin streams of revenue (frequently more than 60% gross margin) which will be completely immune to inflation in global food supply chains.</w:t>
      </w:r>
    </w:p>
    <w:p w14:paraId="6C359185" w14:textId="26A7BE49" w:rsidR="00DF11DE" w:rsidRPr="00141A3C" w:rsidRDefault="004B1472" w:rsidP="004B1472">
      <w:pPr>
        <w:pBdr>
          <w:top w:val="nil"/>
          <w:left w:val="nil"/>
          <w:bottom w:val="nil"/>
          <w:right w:val="nil"/>
          <w:between w:val="nil"/>
        </w:pBdr>
        <w:rPr>
          <w:rFonts w:cs="Times New Roman"/>
        </w:rPr>
      </w:pPr>
      <w:r w:rsidRPr="00141A3C">
        <w:rPr>
          <w:rFonts w:eastAsia="Google Sans" w:cs="Times New Roman"/>
          <w:b/>
          <w:bCs/>
          <w:color w:val="1F1F1F"/>
        </w:rPr>
        <w:t>AI-Based Working Capital Optimisation:</w:t>
      </w:r>
      <w:r w:rsidRPr="00141A3C">
        <w:rPr>
          <w:rFonts w:eastAsia="Google Sans" w:cs="Times New Roman"/>
          <w:color w:val="1F1F1F"/>
        </w:rPr>
        <w:t xml:space="preserve"> Tesco must use Artificial Intelligence (AI) and advanced predictive analytics in supply chain forecasting to overcome the reduced liquidity ratios (Quick Ratio of 0.44) (Chen et al., 2024; </w:t>
      </w:r>
      <w:proofErr w:type="spellStart"/>
      <w:r w:rsidRPr="00141A3C">
        <w:rPr>
          <w:rFonts w:eastAsia="Google Sans" w:cs="Times New Roman"/>
          <w:color w:val="1F1F1F"/>
        </w:rPr>
        <w:t>Enyejo</w:t>
      </w:r>
      <w:proofErr w:type="spellEnd"/>
      <w:r w:rsidRPr="00141A3C">
        <w:rPr>
          <w:rFonts w:eastAsia="Google Sans" w:cs="Times New Roman"/>
          <w:color w:val="1F1F1F"/>
        </w:rPr>
        <w:t xml:space="preserve"> et al., 2024). By fine tuning the subtle decision of balancing between inventory buffers and holding costs in the Red Sea this may release millions of trapped working capitals without jeopardising availability on shelves.</w:t>
      </w:r>
    </w:p>
    <w:p w14:paraId="5E1C8D35" w14:textId="729E6F78" w:rsidR="00DF11DE" w:rsidRPr="00141A3C" w:rsidRDefault="00000000" w:rsidP="004B1472">
      <w:pPr>
        <w:pBdr>
          <w:top w:val="nil"/>
          <w:left w:val="nil"/>
          <w:bottom w:val="nil"/>
          <w:right w:val="nil"/>
          <w:between w:val="nil"/>
        </w:pBdr>
        <w:spacing w:after="120"/>
        <w:rPr>
          <w:rFonts w:cs="Times New Roman"/>
        </w:rPr>
      </w:pPr>
      <w:r w:rsidRPr="00141A3C">
        <w:rPr>
          <w:rFonts w:eastAsia="Google Sans" w:cs="Times New Roman"/>
          <w:b/>
          <w:bCs/>
          <w:color w:val="1F1F1F"/>
        </w:rPr>
        <w:t>Optimise Capital Allocation via Share Buybacks:</w:t>
      </w:r>
      <w:r w:rsidRPr="00141A3C">
        <w:rPr>
          <w:rFonts w:eastAsia="Google Sans" w:cs="Times New Roman"/>
          <w:color w:val="1F1F1F"/>
        </w:rPr>
        <w:t xml:space="preserve"> </w:t>
      </w:r>
      <w:r w:rsidR="005E38CE" w:rsidRPr="00141A3C">
        <w:rPr>
          <w:rFonts w:eastAsia="Google Sans" w:cs="Times New Roman"/>
          <w:color w:val="1F1F1F"/>
        </w:rPr>
        <w:t>Considering the excellent free cash flow and high ROE caused by the bank disposal, the fact that the excess capital will be returned to shareholders through share buybacks will perpetually raise EPS measures and be a tremendous endorsement of the market confidence in the new pure-play retail-focused bank that is lean and efficient.</w:t>
      </w:r>
    </w:p>
    <w:p w14:paraId="086207B1" w14:textId="2F1354BA" w:rsidR="00DF11DE" w:rsidRPr="00141A3C" w:rsidRDefault="00000000" w:rsidP="0067672C">
      <w:pPr>
        <w:pStyle w:val="Heading2"/>
      </w:pPr>
      <w:bookmarkStart w:id="17" w:name="_Toc224863297"/>
      <w:r w:rsidRPr="00141A3C">
        <w:t>Task 2 - Strategic Investment Appraisal for Westward Plc</w:t>
      </w:r>
      <w:bookmarkEnd w:id="17"/>
    </w:p>
    <w:p w14:paraId="33CDD82F" w14:textId="00B3A6B2" w:rsidR="00DF11DE" w:rsidRPr="00141A3C" w:rsidRDefault="005E38CE"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Westward Plc is considering three possible capital investment opportunities to spearhead its 4-year growth strategy: (A) growing its retail store, (B) creating an online sales platform and (C) manufacturing wooden and Roman blinds. Determination of the absolute best capital allocation is done through discounted cash flow (DCF) methods.</w:t>
      </w:r>
    </w:p>
    <w:p w14:paraId="7AEB5677" w14:textId="73786548" w:rsidR="00DF11DE" w:rsidRPr="00141A3C" w:rsidRDefault="00000000" w:rsidP="00423571">
      <w:pPr>
        <w:pBdr>
          <w:top w:val="nil"/>
          <w:left w:val="nil"/>
          <w:bottom w:val="nil"/>
          <w:right w:val="nil"/>
          <w:between w:val="nil"/>
        </w:pBdr>
        <w:spacing w:after="120"/>
        <w:rPr>
          <w:rFonts w:eastAsia="Google Sans" w:cs="Times New Roman"/>
          <w:color w:val="1F1F1F"/>
        </w:rPr>
      </w:pPr>
      <w:r w:rsidRPr="00141A3C">
        <w:rPr>
          <w:rFonts w:eastAsia="Google Sans" w:cs="Times New Roman"/>
          <w:b/>
          <w:bCs/>
          <w:color w:val="1F1F1F"/>
        </w:rPr>
        <w:t>Appraisal Assumptions &amp; Tax Adjustments Applied:</w:t>
      </w:r>
      <w:r w:rsidRPr="00141A3C">
        <w:rPr>
          <w:rFonts w:eastAsia="Google Sans" w:cs="Times New Roman"/>
          <w:color w:val="1F1F1F"/>
        </w:rPr>
        <w:t xml:space="preserve"> </w:t>
      </w:r>
      <w:r w:rsidR="00E506A2" w:rsidRPr="00141A3C">
        <w:rPr>
          <w:rFonts w:eastAsia="Google Sans" w:cs="Times New Roman"/>
          <w:color w:val="1F1F1F"/>
        </w:rPr>
        <w:t xml:space="preserve">By capital budgeting theory, post-tax cash flows should be assessed as a true reflection of an economic reality of a project (Drury, 2021). Precise compounding </w:t>
      </w:r>
      <m:oMath>
        <m:d>
          <m:dPr>
            <m:ctrlPr>
              <w:rPr>
                <w:rFonts w:ascii="Cambria Math" w:eastAsia="Google Sans" w:hAnsi="Cambria Math" w:cs="Times New Roman"/>
                <w:i/>
                <w:color w:val="1F1F1F"/>
              </w:rPr>
            </m:ctrlPr>
          </m:dPr>
          <m:e>
            <m:f>
              <m:fPr>
                <m:ctrlPr>
                  <w:rPr>
                    <w:rFonts w:ascii="Cambria Math" w:eastAsia="Google Sans" w:hAnsi="Cambria Math" w:cs="Times New Roman"/>
                    <w:i/>
                    <w:color w:val="1F1F1F"/>
                  </w:rPr>
                </m:ctrlPr>
              </m:fPr>
              <m:num>
                <m:r>
                  <w:rPr>
                    <w:rFonts w:ascii="Cambria Math" w:eastAsia="Google Sans" w:hAnsi="Cambria Math" w:cs="Times New Roman"/>
                    <w:color w:val="1F1F1F"/>
                  </w:rPr>
                  <m:t>1</m:t>
                </m:r>
              </m:num>
              <m:den>
                <m:sSup>
                  <m:sSupPr>
                    <m:ctrlPr>
                      <w:rPr>
                        <w:rFonts w:ascii="Cambria Math" w:eastAsia="Google Sans" w:hAnsi="Cambria Math" w:cs="Times New Roman"/>
                        <w:i/>
                        <w:color w:val="1F1F1F"/>
                      </w:rPr>
                    </m:ctrlPr>
                  </m:sSupPr>
                  <m:e>
                    <m:r>
                      <w:rPr>
                        <w:rFonts w:ascii="Cambria Math" w:eastAsia="Google Sans" w:hAnsi="Cambria Math" w:cs="Times New Roman"/>
                        <w:color w:val="1F1F1F"/>
                      </w:rPr>
                      <m:t>1.06</m:t>
                    </m:r>
                  </m:e>
                  <m:sup>
                    <m:r>
                      <w:rPr>
                        <w:rFonts w:ascii="Cambria Math" w:eastAsia="Google Sans" w:hAnsi="Cambria Math" w:cs="Times New Roman"/>
                        <w:color w:val="1F1F1F"/>
                      </w:rPr>
                      <m:t>n</m:t>
                    </m:r>
                  </m:sup>
                </m:sSup>
              </m:den>
            </m:f>
          </m:e>
        </m:d>
      </m:oMath>
      <w:r w:rsidR="00E506A2" w:rsidRPr="00141A3C">
        <w:rPr>
          <w:rFonts w:eastAsia="Google Sans" w:cs="Times New Roman"/>
          <w:color w:val="1F1F1F"/>
        </w:rPr>
        <w:t xml:space="preserve"> has been employed to capture the accurate reflective present values using the firm hurdle rate of 6%.</w:t>
      </w:r>
    </w:p>
    <w:p w14:paraId="316119CE" w14:textId="77777777" w:rsidR="00DF11DE" w:rsidRPr="00141A3C" w:rsidRDefault="00000000" w:rsidP="00423571">
      <w:pPr>
        <w:numPr>
          <w:ilvl w:val="0"/>
          <w:numId w:val="5"/>
        </w:numPr>
        <w:pBdr>
          <w:top w:val="nil"/>
          <w:left w:val="nil"/>
          <w:bottom w:val="nil"/>
          <w:right w:val="nil"/>
          <w:between w:val="nil"/>
        </w:pBdr>
        <w:rPr>
          <w:rFonts w:cs="Times New Roman"/>
        </w:rPr>
      </w:pPr>
      <w:r w:rsidRPr="00141A3C">
        <w:rPr>
          <w:rFonts w:eastAsia="Google Sans" w:cs="Times New Roman"/>
          <w:b/>
          <w:bCs/>
          <w:color w:val="1F1F1F"/>
        </w:rPr>
        <w:t>Cost of Capital (Discount Rate):</w:t>
      </w:r>
      <w:r w:rsidRPr="00141A3C">
        <w:rPr>
          <w:rFonts w:eastAsia="Google Sans" w:cs="Times New Roman"/>
          <w:color w:val="1F1F1F"/>
        </w:rPr>
        <w:t xml:space="preserve"> 6%</w:t>
      </w:r>
    </w:p>
    <w:p w14:paraId="7527B000" w14:textId="77777777" w:rsidR="00DF11DE" w:rsidRPr="00141A3C" w:rsidRDefault="00000000" w:rsidP="00423571">
      <w:pPr>
        <w:numPr>
          <w:ilvl w:val="0"/>
          <w:numId w:val="5"/>
        </w:numPr>
        <w:pBdr>
          <w:top w:val="nil"/>
          <w:left w:val="nil"/>
          <w:bottom w:val="nil"/>
          <w:right w:val="nil"/>
          <w:between w:val="nil"/>
        </w:pBdr>
        <w:rPr>
          <w:rFonts w:cs="Times New Roman"/>
        </w:rPr>
      </w:pPr>
      <w:r w:rsidRPr="00141A3C">
        <w:rPr>
          <w:rFonts w:eastAsia="Google Sans" w:cs="Times New Roman"/>
          <w:b/>
          <w:bCs/>
          <w:color w:val="1F1F1F"/>
        </w:rPr>
        <w:t>Corporation Tax:</w:t>
      </w:r>
      <w:r w:rsidRPr="00141A3C">
        <w:rPr>
          <w:rFonts w:eastAsia="Google Sans" w:cs="Times New Roman"/>
          <w:color w:val="1F1F1F"/>
        </w:rPr>
        <w:t xml:space="preserve"> 25% (Paid in the year it arises).</w:t>
      </w:r>
    </w:p>
    <w:p w14:paraId="0E97EABC" w14:textId="33D85B67" w:rsidR="00DF11DE" w:rsidRPr="00141A3C" w:rsidRDefault="00000000" w:rsidP="00423571">
      <w:pPr>
        <w:numPr>
          <w:ilvl w:val="0"/>
          <w:numId w:val="5"/>
        </w:numPr>
        <w:pBdr>
          <w:top w:val="nil"/>
          <w:left w:val="nil"/>
          <w:bottom w:val="nil"/>
          <w:right w:val="nil"/>
          <w:between w:val="nil"/>
        </w:pBdr>
        <w:spacing w:after="120"/>
        <w:rPr>
          <w:rFonts w:cs="Times New Roman"/>
        </w:rPr>
      </w:pPr>
      <w:r w:rsidRPr="00141A3C">
        <w:rPr>
          <w:rFonts w:eastAsia="Google Sans" w:cs="Times New Roman"/>
          <w:b/>
          <w:bCs/>
          <w:color w:val="1F1F1F"/>
        </w:rPr>
        <w:t>Capital Allowances:</w:t>
      </w:r>
      <w:r w:rsidRPr="00141A3C">
        <w:rPr>
          <w:rFonts w:eastAsia="Google Sans" w:cs="Times New Roman"/>
          <w:color w:val="1F1F1F"/>
        </w:rPr>
        <w:t xml:space="preserve"> </w:t>
      </w:r>
      <w:r w:rsidR="00E506A2" w:rsidRPr="00141A3C">
        <w:rPr>
          <w:rFonts w:eastAsia="Google Sans" w:cs="Times New Roman"/>
          <w:color w:val="1F1F1F"/>
        </w:rPr>
        <w:t>Straight Line (SL) 20% of initial investment. Capital allowances serve as a tax shield that is legit as it lowers profit subject to taxation prior to the 25% corporation tax and thereby enhances the net cash flow of the project (</w:t>
      </w:r>
      <w:proofErr w:type="spellStart"/>
      <w:r w:rsidR="00E506A2" w:rsidRPr="00141A3C">
        <w:rPr>
          <w:rFonts w:eastAsia="Google Sans" w:cs="Times New Roman"/>
          <w:color w:val="1F1F1F"/>
        </w:rPr>
        <w:t>Atrill</w:t>
      </w:r>
      <w:proofErr w:type="spellEnd"/>
      <w:r w:rsidR="00E506A2" w:rsidRPr="00141A3C">
        <w:rPr>
          <w:rFonts w:eastAsia="Google Sans" w:cs="Times New Roman"/>
          <w:color w:val="1F1F1F"/>
        </w:rPr>
        <w:t>, 2020).</w:t>
      </w:r>
    </w:p>
    <w:p w14:paraId="7514F626" w14:textId="3F9B9BE6" w:rsidR="00DF11DE" w:rsidRPr="00141A3C" w:rsidRDefault="00000000" w:rsidP="0067672C">
      <w:pPr>
        <w:pStyle w:val="Heading3"/>
      </w:pPr>
      <w:bookmarkStart w:id="18" w:name="_Toc224863298"/>
      <w:r w:rsidRPr="00141A3C">
        <w:t>Investment Appraisal Analysis (NPV &amp; Payback)</w:t>
      </w:r>
      <w:bookmarkEnd w:id="18"/>
    </w:p>
    <w:p w14:paraId="4034176D" w14:textId="77777777" w:rsidR="00DF11DE" w:rsidRPr="00141A3C" w:rsidRDefault="00000000" w:rsidP="00423571">
      <w:pPr>
        <w:pBdr>
          <w:top w:val="nil"/>
          <w:left w:val="nil"/>
          <w:bottom w:val="nil"/>
          <w:right w:val="nil"/>
          <w:between w:val="nil"/>
        </w:pBdr>
        <w:spacing w:after="120"/>
        <w:rPr>
          <w:rFonts w:eastAsia="Google Sans" w:cs="Times New Roman"/>
          <w:b/>
          <w:bCs/>
          <w:color w:val="1F1F1F"/>
        </w:rPr>
      </w:pPr>
      <w:r w:rsidRPr="00141A3C">
        <w:rPr>
          <w:rFonts w:eastAsia="Google Sans" w:cs="Times New Roman"/>
          <w:b/>
          <w:bCs/>
          <w:color w:val="1F1F1F"/>
        </w:rPr>
        <w:lastRenderedPageBreak/>
        <w:t>Option A: Expand Retail Outlet</w:t>
      </w:r>
    </w:p>
    <w:p w14:paraId="297381BF" w14:textId="77777777" w:rsidR="00DF11DE" w:rsidRPr="00141A3C" w:rsidRDefault="00000000" w:rsidP="00423571">
      <w:pPr>
        <w:numPr>
          <w:ilvl w:val="0"/>
          <w:numId w:val="6"/>
        </w:numPr>
        <w:pBdr>
          <w:top w:val="nil"/>
          <w:left w:val="nil"/>
          <w:bottom w:val="nil"/>
          <w:right w:val="nil"/>
          <w:between w:val="nil"/>
        </w:pBdr>
        <w:rPr>
          <w:rFonts w:cs="Times New Roman"/>
        </w:rPr>
      </w:pPr>
      <w:r w:rsidRPr="00141A3C">
        <w:rPr>
          <w:rFonts w:eastAsia="Google Sans" w:cs="Times New Roman"/>
          <w:b/>
          <w:bCs/>
          <w:color w:val="1F1F1F"/>
        </w:rPr>
        <w:t>Initial Investment:</w:t>
      </w:r>
      <w:r w:rsidRPr="00141A3C">
        <w:rPr>
          <w:rFonts w:eastAsia="Google Sans" w:cs="Times New Roman"/>
          <w:color w:val="1F1F1F"/>
        </w:rPr>
        <w:t xml:space="preserve"> £600,000</w:t>
      </w:r>
    </w:p>
    <w:p w14:paraId="4F454B5C" w14:textId="77777777" w:rsidR="00DF11DE" w:rsidRPr="00141A3C" w:rsidRDefault="00000000" w:rsidP="00423571">
      <w:pPr>
        <w:numPr>
          <w:ilvl w:val="0"/>
          <w:numId w:val="6"/>
        </w:numPr>
        <w:pBdr>
          <w:top w:val="nil"/>
          <w:left w:val="nil"/>
          <w:bottom w:val="nil"/>
          <w:right w:val="nil"/>
          <w:between w:val="nil"/>
        </w:pBdr>
        <w:spacing w:after="120"/>
        <w:rPr>
          <w:rFonts w:cs="Times New Roman"/>
        </w:rPr>
      </w:pPr>
      <w:r w:rsidRPr="00141A3C">
        <w:rPr>
          <w:rFonts w:eastAsia="Google Sans" w:cs="Times New Roman"/>
          <w:b/>
          <w:bCs/>
          <w:color w:val="1F1F1F"/>
        </w:rPr>
        <w:t>Capital Allowance:</w:t>
      </w:r>
      <w:r w:rsidRPr="00141A3C">
        <w:rPr>
          <w:rFonts w:eastAsia="Google Sans" w:cs="Times New Roman"/>
          <w:color w:val="1F1F1F"/>
        </w:rPr>
        <w:t xml:space="preserve"> £600,000 × 20% = £120,000 per year.</w:t>
      </w:r>
    </w:p>
    <w:p w14:paraId="74BD6C2E" w14:textId="3EB83469" w:rsidR="007C1D9D" w:rsidRDefault="007C1D9D" w:rsidP="007C1D9D">
      <w:pPr>
        <w:pStyle w:val="Caption"/>
        <w:keepNext/>
        <w:jc w:val="center"/>
      </w:pPr>
      <w:bookmarkStart w:id="19" w:name="_Toc224863317"/>
      <w:r>
        <w:t xml:space="preserve">Table </w:t>
      </w:r>
      <w:r>
        <w:fldChar w:fldCharType="begin"/>
      </w:r>
      <w:r>
        <w:instrText xml:space="preserve"> SEQ Table \* ARABIC </w:instrText>
      </w:r>
      <w:r>
        <w:fldChar w:fldCharType="separate"/>
      </w:r>
      <w:r>
        <w:rPr>
          <w:noProof/>
        </w:rPr>
        <w:t>6</w:t>
      </w:r>
      <w:r>
        <w:fldChar w:fldCharType="end"/>
      </w:r>
      <w:r>
        <w:t xml:space="preserve">: NPV of </w:t>
      </w:r>
      <w:r w:rsidRPr="005351F5">
        <w:t>Option A</w:t>
      </w:r>
      <w:bookmarkEnd w:id="19"/>
    </w:p>
    <w:tbl>
      <w:tblPr>
        <w:tblStyle w:val="GridTable5Dark-Accent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60" w:firstRow="1" w:lastRow="1" w:firstColumn="0" w:lastColumn="0" w:noHBand="0" w:noVBand="1"/>
      </w:tblPr>
      <w:tblGrid>
        <w:gridCol w:w="1170"/>
        <w:gridCol w:w="1170"/>
        <w:gridCol w:w="1170"/>
        <w:gridCol w:w="1170"/>
        <w:gridCol w:w="1170"/>
        <w:gridCol w:w="1170"/>
        <w:gridCol w:w="1170"/>
        <w:gridCol w:w="1170"/>
      </w:tblGrid>
      <w:tr w:rsidR="00DF11DE" w:rsidRPr="00141A3C" w14:paraId="727990BA" w14:textId="77777777" w:rsidTr="00DF3746">
        <w:trPr>
          <w:cnfStyle w:val="100000000000" w:firstRow="1" w:lastRow="0" w:firstColumn="0" w:lastColumn="0" w:oddVBand="0" w:evenVBand="0" w:oddHBand="0" w:evenHBand="0" w:firstRowFirstColumn="0" w:firstRowLastColumn="0" w:lastRowFirstColumn="0" w:lastRowLastColumn="0"/>
        </w:trPr>
        <w:tc>
          <w:tcPr>
            <w:tcW w:w="1170" w:type="dxa"/>
            <w:tcBorders>
              <w:top w:val="none" w:sz="0" w:space="0" w:color="auto"/>
              <w:left w:val="none" w:sz="0" w:space="0" w:color="auto"/>
              <w:right w:val="none" w:sz="0" w:space="0" w:color="auto"/>
            </w:tcBorders>
          </w:tcPr>
          <w:p w14:paraId="3068F37F"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Year</w:t>
            </w:r>
          </w:p>
        </w:tc>
        <w:tc>
          <w:tcPr>
            <w:tcW w:w="1170" w:type="dxa"/>
            <w:tcBorders>
              <w:top w:val="none" w:sz="0" w:space="0" w:color="auto"/>
              <w:left w:val="none" w:sz="0" w:space="0" w:color="auto"/>
              <w:right w:val="none" w:sz="0" w:space="0" w:color="auto"/>
            </w:tcBorders>
          </w:tcPr>
          <w:p w14:paraId="45521844"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Op. Cash Flow</w:t>
            </w:r>
          </w:p>
        </w:tc>
        <w:tc>
          <w:tcPr>
            <w:tcW w:w="1170" w:type="dxa"/>
            <w:tcBorders>
              <w:top w:val="none" w:sz="0" w:space="0" w:color="auto"/>
              <w:left w:val="none" w:sz="0" w:space="0" w:color="auto"/>
              <w:right w:val="none" w:sz="0" w:space="0" w:color="auto"/>
            </w:tcBorders>
          </w:tcPr>
          <w:p w14:paraId="7979CD54"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Cap Allowance</w:t>
            </w:r>
          </w:p>
        </w:tc>
        <w:tc>
          <w:tcPr>
            <w:tcW w:w="1170" w:type="dxa"/>
            <w:tcBorders>
              <w:top w:val="none" w:sz="0" w:space="0" w:color="auto"/>
              <w:left w:val="none" w:sz="0" w:space="0" w:color="auto"/>
              <w:right w:val="none" w:sz="0" w:space="0" w:color="auto"/>
            </w:tcBorders>
          </w:tcPr>
          <w:p w14:paraId="50C70D8B"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Taxable Profit</w:t>
            </w:r>
          </w:p>
        </w:tc>
        <w:tc>
          <w:tcPr>
            <w:tcW w:w="1170" w:type="dxa"/>
            <w:tcBorders>
              <w:top w:val="none" w:sz="0" w:space="0" w:color="auto"/>
              <w:left w:val="none" w:sz="0" w:space="0" w:color="auto"/>
              <w:right w:val="none" w:sz="0" w:space="0" w:color="auto"/>
            </w:tcBorders>
          </w:tcPr>
          <w:p w14:paraId="7F5F7B6A"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Tax (25%)</w:t>
            </w:r>
          </w:p>
        </w:tc>
        <w:tc>
          <w:tcPr>
            <w:tcW w:w="1170" w:type="dxa"/>
            <w:tcBorders>
              <w:top w:val="none" w:sz="0" w:space="0" w:color="auto"/>
              <w:left w:val="none" w:sz="0" w:space="0" w:color="auto"/>
              <w:right w:val="none" w:sz="0" w:space="0" w:color="auto"/>
            </w:tcBorders>
          </w:tcPr>
          <w:p w14:paraId="0D0E7D42"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Net Cash Flow</w:t>
            </w:r>
          </w:p>
        </w:tc>
        <w:tc>
          <w:tcPr>
            <w:tcW w:w="1170" w:type="dxa"/>
            <w:tcBorders>
              <w:top w:val="none" w:sz="0" w:space="0" w:color="auto"/>
              <w:left w:val="none" w:sz="0" w:space="0" w:color="auto"/>
              <w:right w:val="none" w:sz="0" w:space="0" w:color="auto"/>
            </w:tcBorders>
          </w:tcPr>
          <w:p w14:paraId="7FE8083E"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PV Factor (6%)</w:t>
            </w:r>
          </w:p>
        </w:tc>
        <w:tc>
          <w:tcPr>
            <w:tcW w:w="1170" w:type="dxa"/>
            <w:tcBorders>
              <w:top w:val="none" w:sz="0" w:space="0" w:color="auto"/>
              <w:left w:val="none" w:sz="0" w:space="0" w:color="auto"/>
              <w:right w:val="none" w:sz="0" w:space="0" w:color="auto"/>
            </w:tcBorders>
          </w:tcPr>
          <w:p w14:paraId="0391265E"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Present Value</w:t>
            </w:r>
          </w:p>
        </w:tc>
      </w:tr>
      <w:tr w:rsidR="00DF11DE" w:rsidRPr="00141A3C" w14:paraId="54863BE9"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3CB232B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w:t>
            </w:r>
          </w:p>
        </w:tc>
        <w:tc>
          <w:tcPr>
            <w:tcW w:w="1170" w:type="dxa"/>
          </w:tcPr>
          <w:p w14:paraId="1B4FABB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(£600,000)</w:t>
            </w:r>
          </w:p>
        </w:tc>
        <w:tc>
          <w:tcPr>
            <w:tcW w:w="1170" w:type="dxa"/>
          </w:tcPr>
          <w:p w14:paraId="5A7B1ED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4059E62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53DF692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3CD1776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(£600,000)</w:t>
            </w:r>
          </w:p>
        </w:tc>
        <w:tc>
          <w:tcPr>
            <w:tcW w:w="1170" w:type="dxa"/>
          </w:tcPr>
          <w:p w14:paraId="4ADE5E6B"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w:t>
            </w:r>
          </w:p>
        </w:tc>
        <w:tc>
          <w:tcPr>
            <w:tcW w:w="1170" w:type="dxa"/>
          </w:tcPr>
          <w:p w14:paraId="4FD90AF5"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(£600,000.00)</w:t>
            </w:r>
          </w:p>
        </w:tc>
      </w:tr>
      <w:tr w:rsidR="00DF11DE" w:rsidRPr="00141A3C" w14:paraId="7E010DAA" w14:textId="77777777" w:rsidTr="00DF3746">
        <w:tc>
          <w:tcPr>
            <w:tcW w:w="1170" w:type="dxa"/>
          </w:tcPr>
          <w:p w14:paraId="3CB52A7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w:t>
            </w:r>
          </w:p>
        </w:tc>
        <w:tc>
          <w:tcPr>
            <w:tcW w:w="1170" w:type="dxa"/>
          </w:tcPr>
          <w:p w14:paraId="0D2BFD3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£200,000</w:t>
            </w:r>
          </w:p>
        </w:tc>
        <w:tc>
          <w:tcPr>
            <w:tcW w:w="1170" w:type="dxa"/>
          </w:tcPr>
          <w:p w14:paraId="6B9EE25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(£120,000)</w:t>
            </w:r>
          </w:p>
        </w:tc>
        <w:tc>
          <w:tcPr>
            <w:tcW w:w="1170" w:type="dxa"/>
          </w:tcPr>
          <w:p w14:paraId="495E84B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£80,000</w:t>
            </w:r>
          </w:p>
        </w:tc>
        <w:tc>
          <w:tcPr>
            <w:tcW w:w="1170" w:type="dxa"/>
          </w:tcPr>
          <w:p w14:paraId="4A1546A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(£20,000)</w:t>
            </w:r>
          </w:p>
        </w:tc>
        <w:tc>
          <w:tcPr>
            <w:tcW w:w="1170" w:type="dxa"/>
          </w:tcPr>
          <w:p w14:paraId="2D44520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£180,000</w:t>
            </w:r>
          </w:p>
        </w:tc>
        <w:tc>
          <w:tcPr>
            <w:tcW w:w="1170" w:type="dxa"/>
          </w:tcPr>
          <w:p w14:paraId="310BBCD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0.943</w:t>
            </w:r>
          </w:p>
        </w:tc>
        <w:tc>
          <w:tcPr>
            <w:tcW w:w="1170" w:type="dxa"/>
          </w:tcPr>
          <w:p w14:paraId="2A579BC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£169,811.32</w:t>
            </w:r>
          </w:p>
        </w:tc>
      </w:tr>
      <w:tr w:rsidR="00DF11DE" w:rsidRPr="00141A3C" w14:paraId="372C0C07"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09763F2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w:t>
            </w:r>
          </w:p>
        </w:tc>
        <w:tc>
          <w:tcPr>
            <w:tcW w:w="1170" w:type="dxa"/>
          </w:tcPr>
          <w:p w14:paraId="1862641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£400,000</w:t>
            </w:r>
          </w:p>
        </w:tc>
        <w:tc>
          <w:tcPr>
            <w:tcW w:w="1170" w:type="dxa"/>
          </w:tcPr>
          <w:p w14:paraId="11A759F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(£120,000)</w:t>
            </w:r>
          </w:p>
        </w:tc>
        <w:tc>
          <w:tcPr>
            <w:tcW w:w="1170" w:type="dxa"/>
          </w:tcPr>
          <w:p w14:paraId="5C324F3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£280,000</w:t>
            </w:r>
          </w:p>
        </w:tc>
        <w:tc>
          <w:tcPr>
            <w:tcW w:w="1170" w:type="dxa"/>
          </w:tcPr>
          <w:p w14:paraId="1116A51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(£70,000)</w:t>
            </w:r>
          </w:p>
        </w:tc>
        <w:tc>
          <w:tcPr>
            <w:tcW w:w="1170" w:type="dxa"/>
          </w:tcPr>
          <w:p w14:paraId="2CC8133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£330,000</w:t>
            </w:r>
          </w:p>
        </w:tc>
        <w:tc>
          <w:tcPr>
            <w:tcW w:w="1170" w:type="dxa"/>
          </w:tcPr>
          <w:p w14:paraId="1296C14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0.890</w:t>
            </w:r>
          </w:p>
        </w:tc>
        <w:tc>
          <w:tcPr>
            <w:tcW w:w="1170" w:type="dxa"/>
          </w:tcPr>
          <w:p w14:paraId="3C80E05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£293,698.83</w:t>
            </w:r>
          </w:p>
        </w:tc>
      </w:tr>
      <w:tr w:rsidR="00DF11DE" w:rsidRPr="00141A3C" w14:paraId="25212804" w14:textId="77777777" w:rsidTr="00DF3746">
        <w:tc>
          <w:tcPr>
            <w:tcW w:w="1170" w:type="dxa"/>
          </w:tcPr>
          <w:p w14:paraId="2FD643E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w:t>
            </w:r>
          </w:p>
        </w:tc>
        <w:tc>
          <w:tcPr>
            <w:tcW w:w="1170" w:type="dxa"/>
          </w:tcPr>
          <w:p w14:paraId="49F6F8B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£500,000</w:t>
            </w:r>
          </w:p>
        </w:tc>
        <w:tc>
          <w:tcPr>
            <w:tcW w:w="1170" w:type="dxa"/>
          </w:tcPr>
          <w:p w14:paraId="22AF4BA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(£120,000)</w:t>
            </w:r>
          </w:p>
        </w:tc>
        <w:tc>
          <w:tcPr>
            <w:tcW w:w="1170" w:type="dxa"/>
          </w:tcPr>
          <w:p w14:paraId="39F55B9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£380,000</w:t>
            </w:r>
          </w:p>
        </w:tc>
        <w:tc>
          <w:tcPr>
            <w:tcW w:w="1170" w:type="dxa"/>
          </w:tcPr>
          <w:p w14:paraId="14C6C21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(£95,000)</w:t>
            </w:r>
          </w:p>
        </w:tc>
        <w:tc>
          <w:tcPr>
            <w:tcW w:w="1170" w:type="dxa"/>
          </w:tcPr>
          <w:p w14:paraId="28109BD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£405,000</w:t>
            </w:r>
          </w:p>
        </w:tc>
        <w:tc>
          <w:tcPr>
            <w:tcW w:w="1170" w:type="dxa"/>
          </w:tcPr>
          <w:p w14:paraId="203826E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0.840</w:t>
            </w:r>
          </w:p>
        </w:tc>
        <w:tc>
          <w:tcPr>
            <w:tcW w:w="1170" w:type="dxa"/>
          </w:tcPr>
          <w:p w14:paraId="25395FE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£340,045.81</w:t>
            </w:r>
          </w:p>
        </w:tc>
      </w:tr>
      <w:tr w:rsidR="00DF11DE" w:rsidRPr="00141A3C" w14:paraId="76CECE70"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0408E80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w:t>
            </w:r>
          </w:p>
        </w:tc>
        <w:tc>
          <w:tcPr>
            <w:tcW w:w="1170" w:type="dxa"/>
          </w:tcPr>
          <w:p w14:paraId="64BA7F2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£700,000</w:t>
            </w:r>
          </w:p>
        </w:tc>
        <w:tc>
          <w:tcPr>
            <w:tcW w:w="1170" w:type="dxa"/>
          </w:tcPr>
          <w:p w14:paraId="61ACEBD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(£120,000)</w:t>
            </w:r>
          </w:p>
        </w:tc>
        <w:tc>
          <w:tcPr>
            <w:tcW w:w="1170" w:type="dxa"/>
          </w:tcPr>
          <w:p w14:paraId="41E137F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£580,000</w:t>
            </w:r>
          </w:p>
        </w:tc>
        <w:tc>
          <w:tcPr>
            <w:tcW w:w="1170" w:type="dxa"/>
          </w:tcPr>
          <w:p w14:paraId="782C6E1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(£145,000)</w:t>
            </w:r>
          </w:p>
        </w:tc>
        <w:tc>
          <w:tcPr>
            <w:tcW w:w="1170" w:type="dxa"/>
          </w:tcPr>
          <w:p w14:paraId="5B88827B"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£555,000</w:t>
            </w:r>
          </w:p>
        </w:tc>
        <w:tc>
          <w:tcPr>
            <w:tcW w:w="1170" w:type="dxa"/>
          </w:tcPr>
          <w:p w14:paraId="1F029AF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0.792</w:t>
            </w:r>
          </w:p>
        </w:tc>
        <w:tc>
          <w:tcPr>
            <w:tcW w:w="1170" w:type="dxa"/>
          </w:tcPr>
          <w:p w14:paraId="41FF363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£439,611.98</w:t>
            </w:r>
          </w:p>
        </w:tc>
      </w:tr>
      <w:tr w:rsidR="00DF11DE" w:rsidRPr="00141A3C" w14:paraId="6C79243D" w14:textId="77777777" w:rsidTr="00DF3746">
        <w:trPr>
          <w:cnfStyle w:val="010000000000" w:firstRow="0" w:lastRow="1" w:firstColumn="0" w:lastColumn="0" w:oddVBand="0" w:evenVBand="0" w:oddHBand="0" w:evenHBand="0" w:firstRowFirstColumn="0" w:firstRowLastColumn="0" w:lastRowFirstColumn="0" w:lastRowLastColumn="0"/>
        </w:trPr>
        <w:tc>
          <w:tcPr>
            <w:tcW w:w="1170" w:type="dxa"/>
            <w:tcBorders>
              <w:left w:val="none" w:sz="0" w:space="0" w:color="auto"/>
              <w:bottom w:val="none" w:sz="0" w:space="0" w:color="auto"/>
              <w:right w:val="none" w:sz="0" w:space="0" w:color="auto"/>
            </w:tcBorders>
          </w:tcPr>
          <w:p w14:paraId="76D29A51"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Total</w:t>
            </w:r>
          </w:p>
        </w:tc>
        <w:tc>
          <w:tcPr>
            <w:tcW w:w="1170" w:type="dxa"/>
            <w:tcBorders>
              <w:left w:val="none" w:sz="0" w:space="0" w:color="auto"/>
              <w:bottom w:val="none" w:sz="0" w:space="0" w:color="auto"/>
              <w:right w:val="none" w:sz="0" w:space="0" w:color="auto"/>
            </w:tcBorders>
          </w:tcPr>
          <w:p w14:paraId="08770A8B"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59DC2660"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6DB90D56"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6F417BA0"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3E308BCE"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67704037"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NPV</w:t>
            </w:r>
          </w:p>
        </w:tc>
        <w:tc>
          <w:tcPr>
            <w:tcW w:w="1170" w:type="dxa"/>
            <w:tcBorders>
              <w:left w:val="none" w:sz="0" w:space="0" w:color="auto"/>
              <w:bottom w:val="none" w:sz="0" w:space="0" w:color="auto"/>
              <w:right w:val="none" w:sz="0" w:space="0" w:color="auto"/>
            </w:tcBorders>
          </w:tcPr>
          <w:p w14:paraId="585C6AC6"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£643,167.94</w:t>
            </w:r>
          </w:p>
        </w:tc>
      </w:tr>
    </w:tbl>
    <w:p w14:paraId="7E703117" w14:textId="73DBFB3C" w:rsidR="00DF11DE" w:rsidRPr="00141A3C" w:rsidRDefault="00000000" w:rsidP="00423571">
      <w:pPr>
        <w:pBdr>
          <w:top w:val="nil"/>
          <w:left w:val="nil"/>
          <w:bottom w:val="nil"/>
          <w:right w:val="nil"/>
          <w:between w:val="nil"/>
        </w:pBdr>
        <w:spacing w:before="480" w:after="120"/>
        <w:rPr>
          <w:rFonts w:eastAsia="Google Sans" w:cs="Times New Roman"/>
          <w:i/>
          <w:iCs/>
          <w:color w:val="1F1F1F"/>
        </w:rPr>
      </w:pPr>
      <w:r w:rsidRPr="00141A3C">
        <w:rPr>
          <w:rFonts w:eastAsia="Google Sans" w:cs="Times New Roman"/>
          <w:i/>
          <w:iCs/>
          <w:color w:val="1F1F1F"/>
        </w:rPr>
        <w:t xml:space="preserve">(Note: </w:t>
      </w:r>
      <w:r w:rsidR="00E506A2" w:rsidRPr="00141A3C">
        <w:rPr>
          <w:rFonts w:eastAsia="Google Sans" w:cs="Times New Roman"/>
          <w:i/>
          <w:iCs/>
          <w:color w:val="1F1F1F"/>
        </w:rPr>
        <w:t>This reasoning of tax saving is based on the assumption that any taxable losses can be legally offset against the other profitable segments of the broader Westward Plc group</w:t>
      </w:r>
      <w:r w:rsidRPr="00141A3C">
        <w:rPr>
          <w:rFonts w:eastAsia="Google Sans" w:cs="Times New Roman"/>
          <w:i/>
          <w:iCs/>
          <w:color w:val="1F1F1F"/>
        </w:rPr>
        <w:t>).</w:t>
      </w:r>
    </w:p>
    <w:p w14:paraId="31184627" w14:textId="77777777" w:rsidR="00DF11DE" w:rsidRPr="00141A3C" w:rsidRDefault="00000000" w:rsidP="00E506A2">
      <w:pPr>
        <w:pBdr>
          <w:top w:val="nil"/>
          <w:left w:val="nil"/>
          <w:bottom w:val="nil"/>
          <w:right w:val="nil"/>
          <w:between w:val="nil"/>
        </w:pBdr>
        <w:spacing w:after="120"/>
        <w:rPr>
          <w:rFonts w:cs="Times New Roman"/>
        </w:rPr>
      </w:pPr>
      <w:r w:rsidRPr="00141A3C">
        <w:rPr>
          <w:rFonts w:eastAsia="Google Sans" w:cs="Times New Roman"/>
          <w:b/>
          <w:bCs/>
          <w:color w:val="1F1F1F"/>
        </w:rPr>
        <w:t>Discounted Payback Period:</w:t>
      </w:r>
      <w:r w:rsidRPr="00141A3C">
        <w:rPr>
          <w:rFonts w:eastAsia="Google Sans" w:cs="Times New Roman"/>
          <w:color w:val="1F1F1F"/>
        </w:rPr>
        <w:t xml:space="preserve"> Cumulative discounted cash flows indicate the true time required to break even in present value terms. By the end of Year 2, £463,510.15 has been recovered. In Year 3, £340,045.81 is generated in present value. Discounted Payback = 2 years + (136,489.85 / 340,045.81) = </w:t>
      </w:r>
      <w:r w:rsidRPr="00141A3C">
        <w:rPr>
          <w:rFonts w:eastAsia="Google Sans" w:cs="Times New Roman"/>
          <w:b/>
          <w:bCs/>
          <w:color w:val="1F1F1F"/>
        </w:rPr>
        <w:t>2.40 Years</w:t>
      </w:r>
      <w:r w:rsidRPr="00141A3C">
        <w:rPr>
          <w:rFonts w:eastAsia="Google Sans" w:cs="Times New Roman"/>
          <w:color w:val="1F1F1F"/>
        </w:rPr>
        <w:t>.</w:t>
      </w:r>
    </w:p>
    <w:p w14:paraId="0B481752" w14:textId="12E4A53F" w:rsidR="00DF11DE" w:rsidRPr="00141A3C" w:rsidRDefault="00000000" w:rsidP="00423571">
      <w:pPr>
        <w:pBdr>
          <w:top w:val="nil"/>
          <w:left w:val="nil"/>
          <w:bottom w:val="nil"/>
          <w:right w:val="nil"/>
          <w:between w:val="nil"/>
        </w:pBdr>
        <w:spacing w:before="120" w:after="240"/>
        <w:rPr>
          <w:rFonts w:eastAsia="Google Sans" w:cs="Times New Roman"/>
          <w:color w:val="1F1F1F"/>
        </w:rPr>
      </w:pPr>
      <w:r w:rsidRPr="00141A3C">
        <w:rPr>
          <w:rFonts w:eastAsia="Google Sans" w:cs="Times New Roman"/>
          <w:b/>
          <w:bCs/>
          <w:color w:val="1F1F1F"/>
        </w:rPr>
        <w:t>Management Interpretation for Option A:</w:t>
      </w:r>
      <w:r w:rsidRPr="00141A3C">
        <w:rPr>
          <w:rFonts w:eastAsia="Google Sans" w:cs="Times New Roman"/>
          <w:color w:val="1F1F1F"/>
        </w:rPr>
        <w:t xml:space="preserve"> </w:t>
      </w:r>
      <w:r w:rsidR="00E506A2" w:rsidRPr="00141A3C">
        <w:rPr>
          <w:rFonts w:eastAsia="Google Sans" w:cs="Times New Roman"/>
          <w:color w:val="1F1F1F"/>
        </w:rPr>
        <w:t xml:space="preserve">The appraisal shows that the expansion of the retail outlet brings about strong shareholder wealth that gives it a very good NPV of </w:t>
      </w:r>
      <w:r w:rsidR="0021492A" w:rsidRPr="00141A3C">
        <w:rPr>
          <w:rFonts w:eastAsia="Google Sans" w:cs="Times New Roman"/>
          <w:color w:val="1F1F1F"/>
        </w:rPr>
        <w:t>£</w:t>
      </w:r>
      <w:r w:rsidR="00E506A2" w:rsidRPr="00141A3C">
        <w:rPr>
          <w:rFonts w:eastAsia="Google Sans" w:cs="Times New Roman"/>
          <w:color w:val="1F1F1F"/>
        </w:rPr>
        <w:t xml:space="preserve">643,168. Under the stringent Discounted Payback Period, the project will be able to recover the capital cost </w:t>
      </w:r>
      <w:r w:rsidR="00E506A2" w:rsidRPr="00141A3C">
        <w:rPr>
          <w:rFonts w:eastAsia="Google Sans" w:cs="Times New Roman"/>
          <w:color w:val="1F1F1F"/>
        </w:rPr>
        <w:lastRenderedPageBreak/>
        <w:t xml:space="preserve">invested in the project in a span of 2.40 years and this will limit the long-term liquidity risk of the firm. The derivative and conservative scaling cash flows indicate the </w:t>
      </w:r>
      <w:r w:rsidR="008E2985" w:rsidRPr="00141A3C">
        <w:rPr>
          <w:rFonts w:eastAsia="Google Sans" w:cs="Times New Roman"/>
          <w:color w:val="1F1F1F"/>
        </w:rPr>
        <w:t>low risk</w:t>
      </w:r>
      <w:r w:rsidR="00E506A2" w:rsidRPr="00141A3C">
        <w:rPr>
          <w:rFonts w:eastAsia="Google Sans" w:cs="Times New Roman"/>
          <w:color w:val="1F1F1F"/>
        </w:rPr>
        <w:t xml:space="preserve"> of capitali</w:t>
      </w:r>
      <w:r w:rsidR="0021492A" w:rsidRPr="00141A3C">
        <w:rPr>
          <w:rFonts w:eastAsia="Google Sans" w:cs="Times New Roman"/>
          <w:color w:val="1F1F1F"/>
        </w:rPr>
        <w:t>s</w:t>
      </w:r>
      <w:r w:rsidR="00E506A2" w:rsidRPr="00141A3C">
        <w:rPr>
          <w:rFonts w:eastAsia="Google Sans" w:cs="Times New Roman"/>
          <w:color w:val="1F1F1F"/>
        </w:rPr>
        <w:t>ing on an existing retail base.</w:t>
      </w:r>
    </w:p>
    <w:p w14:paraId="67B34D66" w14:textId="77777777" w:rsidR="00DF11DE" w:rsidRPr="00141A3C" w:rsidRDefault="00000000" w:rsidP="00423571">
      <w:pPr>
        <w:pBdr>
          <w:top w:val="nil"/>
          <w:left w:val="nil"/>
          <w:bottom w:val="nil"/>
          <w:right w:val="nil"/>
          <w:between w:val="nil"/>
        </w:pBdr>
        <w:spacing w:after="120"/>
        <w:rPr>
          <w:rFonts w:eastAsia="Google Sans" w:cs="Times New Roman"/>
          <w:b/>
          <w:bCs/>
          <w:color w:val="1F1F1F"/>
        </w:rPr>
      </w:pPr>
      <w:r w:rsidRPr="00141A3C">
        <w:rPr>
          <w:rFonts w:eastAsia="Google Sans" w:cs="Times New Roman"/>
          <w:b/>
          <w:bCs/>
          <w:color w:val="1F1F1F"/>
        </w:rPr>
        <w:t>Option B: Develop Internet Sales</w:t>
      </w:r>
    </w:p>
    <w:p w14:paraId="64AD2D20" w14:textId="77777777" w:rsidR="00DF11DE" w:rsidRPr="00141A3C" w:rsidRDefault="00000000" w:rsidP="00423571">
      <w:pPr>
        <w:numPr>
          <w:ilvl w:val="0"/>
          <w:numId w:val="8"/>
        </w:numPr>
        <w:pBdr>
          <w:top w:val="nil"/>
          <w:left w:val="nil"/>
          <w:bottom w:val="nil"/>
          <w:right w:val="nil"/>
          <w:between w:val="nil"/>
        </w:pBdr>
        <w:rPr>
          <w:rFonts w:cs="Times New Roman"/>
        </w:rPr>
      </w:pPr>
      <w:r w:rsidRPr="00141A3C">
        <w:rPr>
          <w:rFonts w:eastAsia="Google Sans" w:cs="Times New Roman"/>
          <w:b/>
          <w:bCs/>
          <w:color w:val="1F1F1F"/>
        </w:rPr>
        <w:t>Initial Investment:</w:t>
      </w:r>
      <w:r w:rsidRPr="00141A3C">
        <w:rPr>
          <w:rFonts w:eastAsia="Google Sans" w:cs="Times New Roman"/>
          <w:color w:val="1F1F1F"/>
        </w:rPr>
        <w:t xml:space="preserve"> £1,000,000</w:t>
      </w:r>
    </w:p>
    <w:p w14:paraId="62A9141E" w14:textId="77777777" w:rsidR="00DF11DE" w:rsidRPr="00141A3C" w:rsidRDefault="00000000" w:rsidP="00423571">
      <w:pPr>
        <w:numPr>
          <w:ilvl w:val="0"/>
          <w:numId w:val="8"/>
        </w:numPr>
        <w:pBdr>
          <w:top w:val="nil"/>
          <w:left w:val="nil"/>
          <w:bottom w:val="nil"/>
          <w:right w:val="nil"/>
          <w:between w:val="nil"/>
        </w:pBdr>
        <w:spacing w:after="120"/>
        <w:rPr>
          <w:rFonts w:cs="Times New Roman"/>
        </w:rPr>
      </w:pPr>
      <w:r w:rsidRPr="00141A3C">
        <w:rPr>
          <w:rFonts w:eastAsia="Google Sans" w:cs="Times New Roman"/>
          <w:b/>
          <w:bCs/>
          <w:color w:val="1F1F1F"/>
        </w:rPr>
        <w:t>Capital Allowance:</w:t>
      </w:r>
      <w:r w:rsidRPr="00141A3C">
        <w:rPr>
          <w:rFonts w:eastAsia="Google Sans" w:cs="Times New Roman"/>
          <w:color w:val="1F1F1F"/>
        </w:rPr>
        <w:t xml:space="preserve"> £1,000,000 × 20% = £200,000 per year.</w:t>
      </w:r>
    </w:p>
    <w:p w14:paraId="151736A2" w14:textId="608D44C8" w:rsidR="007C1D9D" w:rsidRDefault="007C1D9D" w:rsidP="007C1D9D">
      <w:pPr>
        <w:pStyle w:val="Caption"/>
        <w:keepNext/>
        <w:jc w:val="center"/>
      </w:pPr>
      <w:bookmarkStart w:id="20" w:name="_Toc224863318"/>
      <w:r>
        <w:t xml:space="preserve">Table </w:t>
      </w:r>
      <w:r>
        <w:fldChar w:fldCharType="begin"/>
      </w:r>
      <w:r>
        <w:instrText xml:space="preserve"> SEQ Table \* ARABIC </w:instrText>
      </w:r>
      <w:r>
        <w:fldChar w:fldCharType="separate"/>
      </w:r>
      <w:r>
        <w:rPr>
          <w:noProof/>
        </w:rPr>
        <w:t>7</w:t>
      </w:r>
      <w:r>
        <w:fldChar w:fldCharType="end"/>
      </w:r>
      <w:r>
        <w:t xml:space="preserve">: NPV of </w:t>
      </w:r>
      <w:r w:rsidRPr="005F6668">
        <w:t>Option B</w:t>
      </w:r>
      <w:bookmarkEnd w:id="20"/>
    </w:p>
    <w:tbl>
      <w:tblPr>
        <w:tblStyle w:val="GridTable5Dark-Accent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60" w:firstRow="1" w:lastRow="1" w:firstColumn="0" w:lastColumn="0" w:noHBand="0" w:noVBand="1"/>
      </w:tblPr>
      <w:tblGrid>
        <w:gridCol w:w="1170"/>
        <w:gridCol w:w="1170"/>
        <w:gridCol w:w="1170"/>
        <w:gridCol w:w="1170"/>
        <w:gridCol w:w="1170"/>
        <w:gridCol w:w="1170"/>
        <w:gridCol w:w="1170"/>
        <w:gridCol w:w="1170"/>
      </w:tblGrid>
      <w:tr w:rsidR="00DF11DE" w:rsidRPr="00141A3C" w14:paraId="7438122C" w14:textId="77777777" w:rsidTr="00DF3746">
        <w:trPr>
          <w:cnfStyle w:val="100000000000" w:firstRow="1" w:lastRow="0" w:firstColumn="0" w:lastColumn="0" w:oddVBand="0" w:evenVBand="0" w:oddHBand="0" w:evenHBand="0" w:firstRowFirstColumn="0" w:firstRowLastColumn="0" w:lastRowFirstColumn="0" w:lastRowLastColumn="0"/>
        </w:trPr>
        <w:tc>
          <w:tcPr>
            <w:tcW w:w="1170" w:type="dxa"/>
            <w:tcBorders>
              <w:top w:val="none" w:sz="0" w:space="0" w:color="auto"/>
              <w:left w:val="none" w:sz="0" w:space="0" w:color="auto"/>
              <w:right w:val="none" w:sz="0" w:space="0" w:color="auto"/>
            </w:tcBorders>
          </w:tcPr>
          <w:p w14:paraId="0B75A788"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Year</w:t>
            </w:r>
          </w:p>
        </w:tc>
        <w:tc>
          <w:tcPr>
            <w:tcW w:w="1170" w:type="dxa"/>
            <w:tcBorders>
              <w:top w:val="none" w:sz="0" w:space="0" w:color="auto"/>
              <w:left w:val="none" w:sz="0" w:space="0" w:color="auto"/>
              <w:right w:val="none" w:sz="0" w:space="0" w:color="auto"/>
            </w:tcBorders>
          </w:tcPr>
          <w:p w14:paraId="3BA8BDB6"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Op. Cash Flow</w:t>
            </w:r>
          </w:p>
        </w:tc>
        <w:tc>
          <w:tcPr>
            <w:tcW w:w="1170" w:type="dxa"/>
            <w:tcBorders>
              <w:top w:val="none" w:sz="0" w:space="0" w:color="auto"/>
              <w:left w:val="none" w:sz="0" w:space="0" w:color="auto"/>
              <w:right w:val="none" w:sz="0" w:space="0" w:color="auto"/>
            </w:tcBorders>
          </w:tcPr>
          <w:p w14:paraId="5382B686"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Cap Allowance</w:t>
            </w:r>
          </w:p>
        </w:tc>
        <w:tc>
          <w:tcPr>
            <w:tcW w:w="1170" w:type="dxa"/>
            <w:tcBorders>
              <w:top w:val="none" w:sz="0" w:space="0" w:color="auto"/>
              <w:left w:val="none" w:sz="0" w:space="0" w:color="auto"/>
              <w:right w:val="none" w:sz="0" w:space="0" w:color="auto"/>
            </w:tcBorders>
          </w:tcPr>
          <w:p w14:paraId="58A1107D"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Taxable Profit</w:t>
            </w:r>
          </w:p>
        </w:tc>
        <w:tc>
          <w:tcPr>
            <w:tcW w:w="1170" w:type="dxa"/>
            <w:tcBorders>
              <w:top w:val="none" w:sz="0" w:space="0" w:color="auto"/>
              <w:left w:val="none" w:sz="0" w:space="0" w:color="auto"/>
              <w:right w:val="none" w:sz="0" w:space="0" w:color="auto"/>
            </w:tcBorders>
          </w:tcPr>
          <w:p w14:paraId="36027523"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Tax (25%)</w:t>
            </w:r>
          </w:p>
        </w:tc>
        <w:tc>
          <w:tcPr>
            <w:tcW w:w="1170" w:type="dxa"/>
            <w:tcBorders>
              <w:top w:val="none" w:sz="0" w:space="0" w:color="auto"/>
              <w:left w:val="none" w:sz="0" w:space="0" w:color="auto"/>
              <w:right w:val="none" w:sz="0" w:space="0" w:color="auto"/>
            </w:tcBorders>
          </w:tcPr>
          <w:p w14:paraId="17547E82"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Net Cash Flow</w:t>
            </w:r>
          </w:p>
        </w:tc>
        <w:tc>
          <w:tcPr>
            <w:tcW w:w="1170" w:type="dxa"/>
            <w:tcBorders>
              <w:top w:val="none" w:sz="0" w:space="0" w:color="auto"/>
              <w:left w:val="none" w:sz="0" w:space="0" w:color="auto"/>
              <w:right w:val="none" w:sz="0" w:space="0" w:color="auto"/>
            </w:tcBorders>
          </w:tcPr>
          <w:p w14:paraId="1F85FCF2"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PV Factor (6%)</w:t>
            </w:r>
          </w:p>
        </w:tc>
        <w:tc>
          <w:tcPr>
            <w:tcW w:w="1170" w:type="dxa"/>
            <w:tcBorders>
              <w:top w:val="none" w:sz="0" w:space="0" w:color="auto"/>
              <w:left w:val="none" w:sz="0" w:space="0" w:color="auto"/>
              <w:right w:val="none" w:sz="0" w:space="0" w:color="auto"/>
            </w:tcBorders>
          </w:tcPr>
          <w:p w14:paraId="7245A0D5"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Present Value</w:t>
            </w:r>
          </w:p>
        </w:tc>
      </w:tr>
      <w:tr w:rsidR="00DF11DE" w:rsidRPr="00141A3C" w14:paraId="6237FE5F"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261E197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w:t>
            </w:r>
          </w:p>
        </w:tc>
        <w:tc>
          <w:tcPr>
            <w:tcW w:w="1170" w:type="dxa"/>
          </w:tcPr>
          <w:p w14:paraId="6BC4EC2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(£1,000,000)</w:t>
            </w:r>
          </w:p>
        </w:tc>
        <w:tc>
          <w:tcPr>
            <w:tcW w:w="1170" w:type="dxa"/>
          </w:tcPr>
          <w:p w14:paraId="7CA5B91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7CBB790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3F20011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49D7156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(£1,000,000)</w:t>
            </w:r>
          </w:p>
        </w:tc>
        <w:tc>
          <w:tcPr>
            <w:tcW w:w="1170" w:type="dxa"/>
          </w:tcPr>
          <w:p w14:paraId="5B5C7A1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w:t>
            </w:r>
          </w:p>
        </w:tc>
        <w:tc>
          <w:tcPr>
            <w:tcW w:w="1170" w:type="dxa"/>
          </w:tcPr>
          <w:p w14:paraId="05C4994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(£1,000,000.00)</w:t>
            </w:r>
          </w:p>
        </w:tc>
      </w:tr>
      <w:tr w:rsidR="00DF11DE" w:rsidRPr="00141A3C" w14:paraId="354AF3D9" w14:textId="77777777" w:rsidTr="00DF3746">
        <w:tc>
          <w:tcPr>
            <w:tcW w:w="1170" w:type="dxa"/>
          </w:tcPr>
          <w:p w14:paraId="19265F5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w:t>
            </w:r>
          </w:p>
        </w:tc>
        <w:tc>
          <w:tcPr>
            <w:tcW w:w="1170" w:type="dxa"/>
          </w:tcPr>
          <w:p w14:paraId="7024B53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£400,000</w:t>
            </w:r>
          </w:p>
        </w:tc>
        <w:tc>
          <w:tcPr>
            <w:tcW w:w="1170" w:type="dxa"/>
          </w:tcPr>
          <w:p w14:paraId="4B480D2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(£200,000)</w:t>
            </w:r>
          </w:p>
        </w:tc>
        <w:tc>
          <w:tcPr>
            <w:tcW w:w="1170" w:type="dxa"/>
          </w:tcPr>
          <w:p w14:paraId="262DE18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£200,000</w:t>
            </w:r>
          </w:p>
        </w:tc>
        <w:tc>
          <w:tcPr>
            <w:tcW w:w="1170" w:type="dxa"/>
          </w:tcPr>
          <w:p w14:paraId="493270C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(£50,000)</w:t>
            </w:r>
          </w:p>
        </w:tc>
        <w:tc>
          <w:tcPr>
            <w:tcW w:w="1170" w:type="dxa"/>
          </w:tcPr>
          <w:p w14:paraId="2F1E6A7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£350,000</w:t>
            </w:r>
          </w:p>
        </w:tc>
        <w:tc>
          <w:tcPr>
            <w:tcW w:w="1170" w:type="dxa"/>
          </w:tcPr>
          <w:p w14:paraId="3CE7836B"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0.943</w:t>
            </w:r>
          </w:p>
        </w:tc>
        <w:tc>
          <w:tcPr>
            <w:tcW w:w="1170" w:type="dxa"/>
          </w:tcPr>
          <w:p w14:paraId="18A9631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£330,188.68</w:t>
            </w:r>
          </w:p>
        </w:tc>
      </w:tr>
      <w:tr w:rsidR="00DF11DE" w:rsidRPr="00141A3C" w14:paraId="782AF8A1"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17798FCB"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w:t>
            </w:r>
          </w:p>
        </w:tc>
        <w:tc>
          <w:tcPr>
            <w:tcW w:w="1170" w:type="dxa"/>
          </w:tcPr>
          <w:p w14:paraId="2D8E2EE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£450,000</w:t>
            </w:r>
          </w:p>
        </w:tc>
        <w:tc>
          <w:tcPr>
            <w:tcW w:w="1170" w:type="dxa"/>
          </w:tcPr>
          <w:p w14:paraId="42AAD4D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(£200,000)</w:t>
            </w:r>
          </w:p>
        </w:tc>
        <w:tc>
          <w:tcPr>
            <w:tcW w:w="1170" w:type="dxa"/>
          </w:tcPr>
          <w:p w14:paraId="2EB45CC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£250,000</w:t>
            </w:r>
          </w:p>
        </w:tc>
        <w:tc>
          <w:tcPr>
            <w:tcW w:w="1170" w:type="dxa"/>
          </w:tcPr>
          <w:p w14:paraId="58571C5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(£62,500)</w:t>
            </w:r>
          </w:p>
        </w:tc>
        <w:tc>
          <w:tcPr>
            <w:tcW w:w="1170" w:type="dxa"/>
          </w:tcPr>
          <w:p w14:paraId="20E8548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£387,500</w:t>
            </w:r>
          </w:p>
        </w:tc>
        <w:tc>
          <w:tcPr>
            <w:tcW w:w="1170" w:type="dxa"/>
          </w:tcPr>
          <w:p w14:paraId="0C00C8F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0.890</w:t>
            </w:r>
          </w:p>
        </w:tc>
        <w:tc>
          <w:tcPr>
            <w:tcW w:w="1170" w:type="dxa"/>
          </w:tcPr>
          <w:p w14:paraId="15299AF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£344,873.62</w:t>
            </w:r>
          </w:p>
        </w:tc>
      </w:tr>
      <w:tr w:rsidR="00DF11DE" w:rsidRPr="00141A3C" w14:paraId="39AB6D56" w14:textId="77777777" w:rsidTr="00DF3746">
        <w:tc>
          <w:tcPr>
            <w:tcW w:w="1170" w:type="dxa"/>
          </w:tcPr>
          <w:p w14:paraId="23911ED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w:t>
            </w:r>
          </w:p>
        </w:tc>
        <w:tc>
          <w:tcPr>
            <w:tcW w:w="1170" w:type="dxa"/>
          </w:tcPr>
          <w:p w14:paraId="1158FCB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£720,000</w:t>
            </w:r>
          </w:p>
        </w:tc>
        <w:tc>
          <w:tcPr>
            <w:tcW w:w="1170" w:type="dxa"/>
          </w:tcPr>
          <w:p w14:paraId="1DE4C85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(£200,000)</w:t>
            </w:r>
          </w:p>
        </w:tc>
        <w:tc>
          <w:tcPr>
            <w:tcW w:w="1170" w:type="dxa"/>
          </w:tcPr>
          <w:p w14:paraId="6CE55CE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£520,000</w:t>
            </w:r>
          </w:p>
        </w:tc>
        <w:tc>
          <w:tcPr>
            <w:tcW w:w="1170" w:type="dxa"/>
          </w:tcPr>
          <w:p w14:paraId="3629304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(£130,000)</w:t>
            </w:r>
          </w:p>
        </w:tc>
        <w:tc>
          <w:tcPr>
            <w:tcW w:w="1170" w:type="dxa"/>
          </w:tcPr>
          <w:p w14:paraId="652EF0E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£590,000</w:t>
            </w:r>
          </w:p>
        </w:tc>
        <w:tc>
          <w:tcPr>
            <w:tcW w:w="1170" w:type="dxa"/>
          </w:tcPr>
          <w:p w14:paraId="54DBF20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0.840</w:t>
            </w:r>
          </w:p>
        </w:tc>
        <w:tc>
          <w:tcPr>
            <w:tcW w:w="1170" w:type="dxa"/>
          </w:tcPr>
          <w:p w14:paraId="14E1E8C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£495,375.38</w:t>
            </w:r>
          </w:p>
        </w:tc>
      </w:tr>
      <w:tr w:rsidR="00DF11DE" w:rsidRPr="00141A3C" w14:paraId="77F027E1"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008E56A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w:t>
            </w:r>
          </w:p>
        </w:tc>
        <w:tc>
          <w:tcPr>
            <w:tcW w:w="1170" w:type="dxa"/>
          </w:tcPr>
          <w:p w14:paraId="6FA0344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£980,000</w:t>
            </w:r>
          </w:p>
        </w:tc>
        <w:tc>
          <w:tcPr>
            <w:tcW w:w="1170" w:type="dxa"/>
          </w:tcPr>
          <w:p w14:paraId="7001F37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(£200,000)</w:t>
            </w:r>
          </w:p>
        </w:tc>
        <w:tc>
          <w:tcPr>
            <w:tcW w:w="1170" w:type="dxa"/>
          </w:tcPr>
          <w:p w14:paraId="15E6DF4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£780,000</w:t>
            </w:r>
          </w:p>
        </w:tc>
        <w:tc>
          <w:tcPr>
            <w:tcW w:w="1170" w:type="dxa"/>
          </w:tcPr>
          <w:p w14:paraId="550F4FD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(£195,000)</w:t>
            </w:r>
          </w:p>
        </w:tc>
        <w:tc>
          <w:tcPr>
            <w:tcW w:w="1170" w:type="dxa"/>
          </w:tcPr>
          <w:p w14:paraId="4776269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£785,000</w:t>
            </w:r>
          </w:p>
        </w:tc>
        <w:tc>
          <w:tcPr>
            <w:tcW w:w="1170" w:type="dxa"/>
          </w:tcPr>
          <w:p w14:paraId="1AB47ADB"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0.792</w:t>
            </w:r>
          </w:p>
        </w:tc>
        <w:tc>
          <w:tcPr>
            <w:tcW w:w="1170" w:type="dxa"/>
          </w:tcPr>
          <w:p w14:paraId="18D9D5E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£621,793.53</w:t>
            </w:r>
          </w:p>
        </w:tc>
      </w:tr>
      <w:tr w:rsidR="00DF11DE" w:rsidRPr="00141A3C" w14:paraId="4C5BB118" w14:textId="77777777" w:rsidTr="00DF3746">
        <w:trPr>
          <w:cnfStyle w:val="010000000000" w:firstRow="0" w:lastRow="1" w:firstColumn="0" w:lastColumn="0" w:oddVBand="0" w:evenVBand="0" w:oddHBand="0" w:evenHBand="0" w:firstRowFirstColumn="0" w:firstRowLastColumn="0" w:lastRowFirstColumn="0" w:lastRowLastColumn="0"/>
        </w:trPr>
        <w:tc>
          <w:tcPr>
            <w:tcW w:w="1170" w:type="dxa"/>
            <w:tcBorders>
              <w:left w:val="none" w:sz="0" w:space="0" w:color="auto"/>
              <w:bottom w:val="none" w:sz="0" w:space="0" w:color="auto"/>
              <w:right w:val="none" w:sz="0" w:space="0" w:color="auto"/>
            </w:tcBorders>
          </w:tcPr>
          <w:p w14:paraId="5336D394"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Total</w:t>
            </w:r>
          </w:p>
        </w:tc>
        <w:tc>
          <w:tcPr>
            <w:tcW w:w="1170" w:type="dxa"/>
            <w:tcBorders>
              <w:left w:val="none" w:sz="0" w:space="0" w:color="auto"/>
              <w:bottom w:val="none" w:sz="0" w:space="0" w:color="auto"/>
              <w:right w:val="none" w:sz="0" w:space="0" w:color="auto"/>
            </w:tcBorders>
          </w:tcPr>
          <w:p w14:paraId="795FC3E2"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69EA9D40"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689F8CAB"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4BE475F4"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168DF8D2"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Borders>
              <w:left w:val="none" w:sz="0" w:space="0" w:color="auto"/>
              <w:bottom w:val="none" w:sz="0" w:space="0" w:color="auto"/>
              <w:right w:val="none" w:sz="0" w:space="0" w:color="auto"/>
            </w:tcBorders>
          </w:tcPr>
          <w:p w14:paraId="5F8F4855"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NPV</w:t>
            </w:r>
          </w:p>
        </w:tc>
        <w:tc>
          <w:tcPr>
            <w:tcW w:w="1170" w:type="dxa"/>
            <w:tcBorders>
              <w:left w:val="none" w:sz="0" w:space="0" w:color="auto"/>
              <w:bottom w:val="none" w:sz="0" w:space="0" w:color="auto"/>
              <w:right w:val="none" w:sz="0" w:space="0" w:color="auto"/>
            </w:tcBorders>
          </w:tcPr>
          <w:p w14:paraId="16D6DFFD"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£792,231.21</w:t>
            </w:r>
          </w:p>
        </w:tc>
      </w:tr>
    </w:tbl>
    <w:p w14:paraId="74A5CACB" w14:textId="37AED40B" w:rsidR="00DF11DE" w:rsidRPr="00141A3C" w:rsidRDefault="00000000" w:rsidP="00E506A2">
      <w:pPr>
        <w:pBdr>
          <w:top w:val="nil"/>
          <w:left w:val="nil"/>
          <w:bottom w:val="nil"/>
          <w:right w:val="nil"/>
          <w:between w:val="nil"/>
        </w:pBdr>
        <w:spacing w:after="120"/>
        <w:rPr>
          <w:rFonts w:cs="Times New Roman"/>
        </w:rPr>
      </w:pPr>
      <w:r w:rsidRPr="00141A3C">
        <w:rPr>
          <w:rFonts w:eastAsia="Google Sans" w:cs="Times New Roman"/>
          <w:b/>
          <w:bCs/>
          <w:color w:val="1F1F1F"/>
        </w:rPr>
        <w:t>Discounted Payback Period:</w:t>
      </w:r>
      <w:r w:rsidRPr="00141A3C">
        <w:rPr>
          <w:rFonts w:eastAsia="Google Sans" w:cs="Times New Roman"/>
          <w:color w:val="1F1F1F"/>
        </w:rPr>
        <w:t xml:space="preserve"> Cumulative discounted cash flows. By the end of Year 2, £675,062.30 is recovered. In Year 3, £495,375.38 is generated in present value. Discounted Payback = 2 years + (324,937.70 / 495,375.38) = </w:t>
      </w:r>
      <w:r w:rsidRPr="00141A3C">
        <w:rPr>
          <w:rFonts w:eastAsia="Google Sans" w:cs="Times New Roman"/>
          <w:b/>
          <w:bCs/>
          <w:color w:val="1F1F1F"/>
        </w:rPr>
        <w:t>2.66 Years</w:t>
      </w:r>
      <w:r w:rsidRPr="00141A3C">
        <w:rPr>
          <w:rFonts w:eastAsia="Google Sans" w:cs="Times New Roman"/>
          <w:color w:val="1F1F1F"/>
        </w:rPr>
        <w:t>.</w:t>
      </w:r>
    </w:p>
    <w:p w14:paraId="1761CF3A" w14:textId="229D4BCB" w:rsidR="00DF11DE" w:rsidRPr="00141A3C" w:rsidRDefault="00000000" w:rsidP="00423571">
      <w:pPr>
        <w:pBdr>
          <w:top w:val="nil"/>
          <w:left w:val="nil"/>
          <w:bottom w:val="nil"/>
          <w:right w:val="nil"/>
          <w:between w:val="nil"/>
        </w:pBdr>
        <w:spacing w:before="120" w:after="240"/>
        <w:rPr>
          <w:rFonts w:eastAsia="Google Sans" w:cs="Times New Roman"/>
          <w:color w:val="1F1F1F"/>
        </w:rPr>
      </w:pPr>
      <w:r w:rsidRPr="00141A3C">
        <w:rPr>
          <w:rFonts w:eastAsia="Google Sans" w:cs="Times New Roman"/>
          <w:b/>
          <w:bCs/>
          <w:color w:val="1F1F1F"/>
        </w:rPr>
        <w:t>Management Interpretation for Option B:</w:t>
      </w:r>
      <w:r w:rsidRPr="00141A3C">
        <w:rPr>
          <w:rFonts w:eastAsia="Google Sans" w:cs="Times New Roman"/>
          <w:color w:val="1F1F1F"/>
        </w:rPr>
        <w:t xml:space="preserve"> </w:t>
      </w:r>
      <w:r w:rsidR="00E506A2" w:rsidRPr="00141A3C">
        <w:rPr>
          <w:rFonts w:eastAsia="Google Sans" w:cs="Times New Roman"/>
          <w:color w:val="1F1F1F"/>
        </w:rPr>
        <w:t xml:space="preserve">Internet sales development is a very viable investment option, and it yields the best positive NPV of </w:t>
      </w:r>
      <w:r w:rsidR="0021492A" w:rsidRPr="00141A3C">
        <w:rPr>
          <w:rFonts w:eastAsia="Google Sans" w:cs="Times New Roman"/>
          <w:color w:val="1F1F1F"/>
        </w:rPr>
        <w:t>£</w:t>
      </w:r>
      <w:r w:rsidR="00E506A2" w:rsidRPr="00141A3C">
        <w:rPr>
          <w:rFonts w:eastAsia="Google Sans" w:cs="Times New Roman"/>
          <w:color w:val="1F1F1F"/>
        </w:rPr>
        <w:t xml:space="preserve">792,231. The project has discounted payback recovery at 2.66 years and is secure in terms of providing liquidity in a higher period of 4 years. This digital expansion is the most economically viable individual strategic move by </w:t>
      </w:r>
      <w:r w:rsidR="00E506A2" w:rsidRPr="00141A3C">
        <w:rPr>
          <w:rFonts w:eastAsia="Google Sans" w:cs="Times New Roman"/>
          <w:color w:val="1F1F1F"/>
        </w:rPr>
        <w:lastRenderedPageBreak/>
        <w:t>passing the 6% cost of capital based on the exact-discount basis and a huge surplus.</w:t>
      </w:r>
    </w:p>
    <w:p w14:paraId="1E5792C1" w14:textId="77777777" w:rsidR="00DF11DE" w:rsidRPr="00141A3C" w:rsidRDefault="00000000" w:rsidP="00423571">
      <w:pPr>
        <w:pBdr>
          <w:top w:val="nil"/>
          <w:left w:val="nil"/>
          <w:bottom w:val="nil"/>
          <w:right w:val="nil"/>
          <w:between w:val="nil"/>
        </w:pBdr>
        <w:spacing w:after="120"/>
        <w:rPr>
          <w:rFonts w:eastAsia="Google Sans" w:cs="Times New Roman"/>
          <w:b/>
          <w:bCs/>
          <w:color w:val="1F1F1F"/>
        </w:rPr>
      </w:pPr>
      <w:r w:rsidRPr="00141A3C">
        <w:rPr>
          <w:rFonts w:eastAsia="Google Sans" w:cs="Times New Roman"/>
          <w:b/>
          <w:bCs/>
          <w:color w:val="1F1F1F"/>
        </w:rPr>
        <w:t>Option C: Produce Wooden and Roman Blinds</w:t>
      </w:r>
    </w:p>
    <w:p w14:paraId="20A5AFCF" w14:textId="77777777" w:rsidR="00DF11DE" w:rsidRPr="00141A3C" w:rsidRDefault="00000000" w:rsidP="00423571">
      <w:pPr>
        <w:numPr>
          <w:ilvl w:val="0"/>
          <w:numId w:val="10"/>
        </w:numPr>
        <w:pBdr>
          <w:top w:val="nil"/>
          <w:left w:val="nil"/>
          <w:bottom w:val="nil"/>
          <w:right w:val="nil"/>
          <w:between w:val="nil"/>
        </w:pBdr>
        <w:rPr>
          <w:rFonts w:cs="Times New Roman"/>
        </w:rPr>
      </w:pPr>
      <w:r w:rsidRPr="00141A3C">
        <w:rPr>
          <w:rFonts w:eastAsia="Google Sans" w:cs="Times New Roman"/>
          <w:b/>
          <w:bCs/>
          <w:color w:val="1F1F1F"/>
        </w:rPr>
        <w:t>Initial Investment:</w:t>
      </w:r>
      <w:r w:rsidRPr="00141A3C">
        <w:rPr>
          <w:rFonts w:eastAsia="Google Sans" w:cs="Times New Roman"/>
          <w:color w:val="1F1F1F"/>
        </w:rPr>
        <w:t xml:space="preserve"> £1,600,000</w:t>
      </w:r>
    </w:p>
    <w:p w14:paraId="0F566CCC" w14:textId="77777777" w:rsidR="00DF11DE" w:rsidRPr="00141A3C" w:rsidRDefault="00000000" w:rsidP="00423571">
      <w:pPr>
        <w:numPr>
          <w:ilvl w:val="0"/>
          <w:numId w:val="10"/>
        </w:numPr>
        <w:pBdr>
          <w:top w:val="nil"/>
          <w:left w:val="nil"/>
          <w:bottom w:val="nil"/>
          <w:right w:val="nil"/>
          <w:between w:val="nil"/>
        </w:pBdr>
        <w:spacing w:after="120"/>
        <w:rPr>
          <w:rFonts w:cs="Times New Roman"/>
        </w:rPr>
      </w:pPr>
      <w:r w:rsidRPr="00141A3C">
        <w:rPr>
          <w:rFonts w:eastAsia="Google Sans" w:cs="Times New Roman"/>
          <w:b/>
          <w:bCs/>
          <w:color w:val="1F1F1F"/>
        </w:rPr>
        <w:t>Capital Allowance:</w:t>
      </w:r>
      <w:r w:rsidRPr="00141A3C">
        <w:rPr>
          <w:rFonts w:eastAsia="Google Sans" w:cs="Times New Roman"/>
          <w:color w:val="1F1F1F"/>
        </w:rPr>
        <w:t xml:space="preserve"> £1,600,000 × 20% = £320,000 per year.</w:t>
      </w:r>
    </w:p>
    <w:p w14:paraId="25A6921F" w14:textId="726A2ADD" w:rsidR="007C1D9D" w:rsidRDefault="007C1D9D" w:rsidP="007C1D9D">
      <w:pPr>
        <w:pStyle w:val="Caption"/>
        <w:keepNext/>
        <w:jc w:val="center"/>
      </w:pPr>
      <w:bookmarkStart w:id="21" w:name="_Toc224863319"/>
      <w:r>
        <w:t xml:space="preserve">Table </w:t>
      </w:r>
      <w:r>
        <w:fldChar w:fldCharType="begin"/>
      </w:r>
      <w:r>
        <w:instrText xml:space="preserve"> SEQ Table \* ARABIC </w:instrText>
      </w:r>
      <w:r>
        <w:fldChar w:fldCharType="separate"/>
      </w:r>
      <w:r>
        <w:rPr>
          <w:noProof/>
        </w:rPr>
        <w:t>8</w:t>
      </w:r>
      <w:r>
        <w:fldChar w:fldCharType="end"/>
      </w:r>
      <w:r>
        <w:t xml:space="preserve">: NPV of </w:t>
      </w:r>
      <w:r w:rsidRPr="004971F8">
        <w:t>Option C</w:t>
      </w:r>
      <w:bookmarkEnd w:id="21"/>
    </w:p>
    <w:tbl>
      <w:tblPr>
        <w:tblStyle w:val="GridTable5Dark-Accent1"/>
        <w:tblW w:w="9360" w:type="dxa"/>
        <w:tblLayout w:type="fixed"/>
        <w:tblLook w:val="0460" w:firstRow="1" w:lastRow="1" w:firstColumn="0" w:lastColumn="0" w:noHBand="0" w:noVBand="1"/>
      </w:tblPr>
      <w:tblGrid>
        <w:gridCol w:w="1170"/>
        <w:gridCol w:w="1170"/>
        <w:gridCol w:w="1170"/>
        <w:gridCol w:w="1170"/>
        <w:gridCol w:w="1170"/>
        <w:gridCol w:w="1170"/>
        <w:gridCol w:w="1170"/>
        <w:gridCol w:w="1170"/>
      </w:tblGrid>
      <w:tr w:rsidR="00DF11DE" w:rsidRPr="00141A3C" w14:paraId="1DFC06F8" w14:textId="77777777" w:rsidTr="00DF3746">
        <w:trPr>
          <w:cnfStyle w:val="100000000000" w:firstRow="1" w:lastRow="0" w:firstColumn="0" w:lastColumn="0" w:oddVBand="0" w:evenVBand="0" w:oddHBand="0" w:evenHBand="0" w:firstRowFirstColumn="0" w:firstRowLastColumn="0" w:lastRowFirstColumn="0" w:lastRowLastColumn="0"/>
        </w:trPr>
        <w:tc>
          <w:tcPr>
            <w:tcW w:w="1170" w:type="dxa"/>
          </w:tcPr>
          <w:p w14:paraId="0198845D"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Year</w:t>
            </w:r>
          </w:p>
        </w:tc>
        <w:tc>
          <w:tcPr>
            <w:tcW w:w="1170" w:type="dxa"/>
          </w:tcPr>
          <w:p w14:paraId="531A8461"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Op. Cash Flow</w:t>
            </w:r>
          </w:p>
        </w:tc>
        <w:tc>
          <w:tcPr>
            <w:tcW w:w="1170" w:type="dxa"/>
          </w:tcPr>
          <w:p w14:paraId="3B55579B"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Cap Allowance</w:t>
            </w:r>
          </w:p>
        </w:tc>
        <w:tc>
          <w:tcPr>
            <w:tcW w:w="1170" w:type="dxa"/>
          </w:tcPr>
          <w:p w14:paraId="540E967F"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Taxable Profit</w:t>
            </w:r>
          </w:p>
        </w:tc>
        <w:tc>
          <w:tcPr>
            <w:tcW w:w="1170" w:type="dxa"/>
          </w:tcPr>
          <w:p w14:paraId="4EB06106"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Tax (25%)</w:t>
            </w:r>
          </w:p>
        </w:tc>
        <w:tc>
          <w:tcPr>
            <w:tcW w:w="1170" w:type="dxa"/>
          </w:tcPr>
          <w:p w14:paraId="5F8709AE"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Net Cash Flow</w:t>
            </w:r>
          </w:p>
        </w:tc>
        <w:tc>
          <w:tcPr>
            <w:tcW w:w="1170" w:type="dxa"/>
          </w:tcPr>
          <w:p w14:paraId="5A8B44A2"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PV Factor (6%)</w:t>
            </w:r>
          </w:p>
        </w:tc>
        <w:tc>
          <w:tcPr>
            <w:tcW w:w="1170" w:type="dxa"/>
          </w:tcPr>
          <w:p w14:paraId="2BD4CE53"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Present Value</w:t>
            </w:r>
          </w:p>
        </w:tc>
      </w:tr>
      <w:tr w:rsidR="00DF11DE" w:rsidRPr="00141A3C" w14:paraId="39AA82BA"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68A4102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w:t>
            </w:r>
          </w:p>
        </w:tc>
        <w:tc>
          <w:tcPr>
            <w:tcW w:w="1170" w:type="dxa"/>
          </w:tcPr>
          <w:p w14:paraId="790C09D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(£1,600,000)</w:t>
            </w:r>
          </w:p>
        </w:tc>
        <w:tc>
          <w:tcPr>
            <w:tcW w:w="1170" w:type="dxa"/>
          </w:tcPr>
          <w:p w14:paraId="5DE1A7D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34F0A1F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0E82902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w:t>
            </w:r>
          </w:p>
        </w:tc>
        <w:tc>
          <w:tcPr>
            <w:tcW w:w="1170" w:type="dxa"/>
          </w:tcPr>
          <w:p w14:paraId="41E0A83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(£1,600,000)</w:t>
            </w:r>
          </w:p>
        </w:tc>
        <w:tc>
          <w:tcPr>
            <w:tcW w:w="1170" w:type="dxa"/>
          </w:tcPr>
          <w:p w14:paraId="62A3335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w:t>
            </w:r>
          </w:p>
        </w:tc>
        <w:tc>
          <w:tcPr>
            <w:tcW w:w="1170" w:type="dxa"/>
          </w:tcPr>
          <w:p w14:paraId="29F5116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(£1,600,000.00)</w:t>
            </w:r>
          </w:p>
        </w:tc>
      </w:tr>
      <w:tr w:rsidR="00DF11DE" w:rsidRPr="00141A3C" w14:paraId="4DBD1E4C" w14:textId="77777777" w:rsidTr="00DF3746">
        <w:tc>
          <w:tcPr>
            <w:tcW w:w="1170" w:type="dxa"/>
          </w:tcPr>
          <w:p w14:paraId="5D65E44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w:t>
            </w:r>
          </w:p>
        </w:tc>
        <w:tc>
          <w:tcPr>
            <w:tcW w:w="1170" w:type="dxa"/>
          </w:tcPr>
          <w:p w14:paraId="28F32EF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£450,000</w:t>
            </w:r>
          </w:p>
        </w:tc>
        <w:tc>
          <w:tcPr>
            <w:tcW w:w="1170" w:type="dxa"/>
          </w:tcPr>
          <w:p w14:paraId="145CA16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(£320,000)</w:t>
            </w:r>
          </w:p>
        </w:tc>
        <w:tc>
          <w:tcPr>
            <w:tcW w:w="1170" w:type="dxa"/>
          </w:tcPr>
          <w:p w14:paraId="40A8BBB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£130,000</w:t>
            </w:r>
          </w:p>
        </w:tc>
        <w:tc>
          <w:tcPr>
            <w:tcW w:w="1170" w:type="dxa"/>
          </w:tcPr>
          <w:p w14:paraId="243555E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(£32,500)</w:t>
            </w:r>
          </w:p>
        </w:tc>
        <w:tc>
          <w:tcPr>
            <w:tcW w:w="1170" w:type="dxa"/>
          </w:tcPr>
          <w:p w14:paraId="2D2C9E1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£417,500</w:t>
            </w:r>
          </w:p>
        </w:tc>
        <w:tc>
          <w:tcPr>
            <w:tcW w:w="1170" w:type="dxa"/>
          </w:tcPr>
          <w:p w14:paraId="23BA7E4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0.943</w:t>
            </w:r>
          </w:p>
        </w:tc>
        <w:tc>
          <w:tcPr>
            <w:tcW w:w="1170" w:type="dxa"/>
          </w:tcPr>
          <w:p w14:paraId="448C198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£393,867.92</w:t>
            </w:r>
          </w:p>
        </w:tc>
      </w:tr>
      <w:tr w:rsidR="00DF11DE" w:rsidRPr="00141A3C" w14:paraId="5720DDB5"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6B402EE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w:t>
            </w:r>
          </w:p>
        </w:tc>
        <w:tc>
          <w:tcPr>
            <w:tcW w:w="1170" w:type="dxa"/>
          </w:tcPr>
          <w:p w14:paraId="185490A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£700,000</w:t>
            </w:r>
          </w:p>
        </w:tc>
        <w:tc>
          <w:tcPr>
            <w:tcW w:w="1170" w:type="dxa"/>
          </w:tcPr>
          <w:p w14:paraId="7F3E928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(£320,000)</w:t>
            </w:r>
          </w:p>
        </w:tc>
        <w:tc>
          <w:tcPr>
            <w:tcW w:w="1170" w:type="dxa"/>
          </w:tcPr>
          <w:p w14:paraId="1E8793B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£380,000</w:t>
            </w:r>
          </w:p>
        </w:tc>
        <w:tc>
          <w:tcPr>
            <w:tcW w:w="1170" w:type="dxa"/>
          </w:tcPr>
          <w:p w14:paraId="523BA615"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(£95,000)</w:t>
            </w:r>
          </w:p>
        </w:tc>
        <w:tc>
          <w:tcPr>
            <w:tcW w:w="1170" w:type="dxa"/>
          </w:tcPr>
          <w:p w14:paraId="555F471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£605,000</w:t>
            </w:r>
          </w:p>
        </w:tc>
        <w:tc>
          <w:tcPr>
            <w:tcW w:w="1170" w:type="dxa"/>
          </w:tcPr>
          <w:p w14:paraId="4337714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0.890</w:t>
            </w:r>
          </w:p>
        </w:tc>
        <w:tc>
          <w:tcPr>
            <w:tcW w:w="1170" w:type="dxa"/>
          </w:tcPr>
          <w:p w14:paraId="4100CF6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£538,447.85</w:t>
            </w:r>
          </w:p>
        </w:tc>
      </w:tr>
      <w:tr w:rsidR="00DF11DE" w:rsidRPr="00141A3C" w14:paraId="776FEA4D" w14:textId="77777777" w:rsidTr="00DF3746">
        <w:tc>
          <w:tcPr>
            <w:tcW w:w="1170" w:type="dxa"/>
          </w:tcPr>
          <w:p w14:paraId="22E6534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w:t>
            </w:r>
          </w:p>
        </w:tc>
        <w:tc>
          <w:tcPr>
            <w:tcW w:w="1170" w:type="dxa"/>
          </w:tcPr>
          <w:p w14:paraId="7916960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£900,000</w:t>
            </w:r>
          </w:p>
        </w:tc>
        <w:tc>
          <w:tcPr>
            <w:tcW w:w="1170" w:type="dxa"/>
          </w:tcPr>
          <w:p w14:paraId="72874BD5"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(£320,000)</w:t>
            </w:r>
          </w:p>
        </w:tc>
        <w:tc>
          <w:tcPr>
            <w:tcW w:w="1170" w:type="dxa"/>
          </w:tcPr>
          <w:p w14:paraId="4B7525C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£580,000</w:t>
            </w:r>
          </w:p>
        </w:tc>
        <w:tc>
          <w:tcPr>
            <w:tcW w:w="1170" w:type="dxa"/>
          </w:tcPr>
          <w:p w14:paraId="6837702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(£145,000)</w:t>
            </w:r>
          </w:p>
        </w:tc>
        <w:tc>
          <w:tcPr>
            <w:tcW w:w="1170" w:type="dxa"/>
          </w:tcPr>
          <w:p w14:paraId="31D663BB"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£755,000</w:t>
            </w:r>
          </w:p>
        </w:tc>
        <w:tc>
          <w:tcPr>
            <w:tcW w:w="1170" w:type="dxa"/>
          </w:tcPr>
          <w:p w14:paraId="08BCD56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0.840</w:t>
            </w:r>
          </w:p>
        </w:tc>
        <w:tc>
          <w:tcPr>
            <w:tcW w:w="1170" w:type="dxa"/>
          </w:tcPr>
          <w:p w14:paraId="4F547DE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£633,912.56</w:t>
            </w:r>
          </w:p>
        </w:tc>
      </w:tr>
      <w:tr w:rsidR="00DF11DE" w:rsidRPr="00141A3C" w14:paraId="4181521B" w14:textId="77777777" w:rsidTr="00DF3746">
        <w:trPr>
          <w:cnfStyle w:val="000000100000" w:firstRow="0" w:lastRow="0" w:firstColumn="0" w:lastColumn="0" w:oddVBand="0" w:evenVBand="0" w:oddHBand="1" w:evenHBand="0" w:firstRowFirstColumn="0" w:firstRowLastColumn="0" w:lastRowFirstColumn="0" w:lastRowLastColumn="0"/>
        </w:trPr>
        <w:tc>
          <w:tcPr>
            <w:tcW w:w="1170" w:type="dxa"/>
          </w:tcPr>
          <w:p w14:paraId="1B7C79D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w:t>
            </w:r>
          </w:p>
        </w:tc>
        <w:tc>
          <w:tcPr>
            <w:tcW w:w="1170" w:type="dxa"/>
          </w:tcPr>
          <w:p w14:paraId="115A2BDB"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£1,200,000</w:t>
            </w:r>
          </w:p>
        </w:tc>
        <w:tc>
          <w:tcPr>
            <w:tcW w:w="1170" w:type="dxa"/>
          </w:tcPr>
          <w:p w14:paraId="4B513DB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(£320,000)</w:t>
            </w:r>
          </w:p>
        </w:tc>
        <w:tc>
          <w:tcPr>
            <w:tcW w:w="1170" w:type="dxa"/>
          </w:tcPr>
          <w:p w14:paraId="06BA329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£880,000</w:t>
            </w:r>
          </w:p>
        </w:tc>
        <w:tc>
          <w:tcPr>
            <w:tcW w:w="1170" w:type="dxa"/>
          </w:tcPr>
          <w:p w14:paraId="30335D7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(£220,000)</w:t>
            </w:r>
          </w:p>
        </w:tc>
        <w:tc>
          <w:tcPr>
            <w:tcW w:w="1170" w:type="dxa"/>
          </w:tcPr>
          <w:p w14:paraId="3D946D5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£980,000</w:t>
            </w:r>
          </w:p>
        </w:tc>
        <w:tc>
          <w:tcPr>
            <w:tcW w:w="1170" w:type="dxa"/>
          </w:tcPr>
          <w:p w14:paraId="0232E89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0.792</w:t>
            </w:r>
          </w:p>
        </w:tc>
        <w:tc>
          <w:tcPr>
            <w:tcW w:w="1170" w:type="dxa"/>
          </w:tcPr>
          <w:p w14:paraId="7612923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£776,251.79</w:t>
            </w:r>
          </w:p>
        </w:tc>
      </w:tr>
      <w:tr w:rsidR="00DF11DE" w:rsidRPr="00141A3C" w14:paraId="76C8A896" w14:textId="77777777" w:rsidTr="00DF3746">
        <w:trPr>
          <w:cnfStyle w:val="010000000000" w:firstRow="0" w:lastRow="1" w:firstColumn="0" w:lastColumn="0" w:oddVBand="0" w:evenVBand="0" w:oddHBand="0" w:evenHBand="0" w:firstRowFirstColumn="0" w:firstRowLastColumn="0" w:lastRowFirstColumn="0" w:lastRowLastColumn="0"/>
        </w:trPr>
        <w:tc>
          <w:tcPr>
            <w:tcW w:w="1170" w:type="dxa"/>
          </w:tcPr>
          <w:p w14:paraId="1937B0D9"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Total</w:t>
            </w:r>
          </w:p>
        </w:tc>
        <w:tc>
          <w:tcPr>
            <w:tcW w:w="1170" w:type="dxa"/>
          </w:tcPr>
          <w:p w14:paraId="088842E9"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Pr>
          <w:p w14:paraId="6E7BA275"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Pr>
          <w:p w14:paraId="18145D17"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Pr>
          <w:p w14:paraId="6043F520"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Pr>
          <w:p w14:paraId="2A1FA830"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170" w:type="dxa"/>
          </w:tcPr>
          <w:p w14:paraId="1B8411EE"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NPV</w:t>
            </w:r>
          </w:p>
        </w:tc>
        <w:tc>
          <w:tcPr>
            <w:tcW w:w="1170" w:type="dxa"/>
          </w:tcPr>
          <w:p w14:paraId="34B09ECB"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£742,480.12</w:t>
            </w:r>
          </w:p>
        </w:tc>
      </w:tr>
    </w:tbl>
    <w:p w14:paraId="0AF87057" w14:textId="77777777" w:rsidR="00DF11DE" w:rsidRPr="00141A3C" w:rsidRDefault="00000000" w:rsidP="00E506A2">
      <w:pPr>
        <w:pBdr>
          <w:top w:val="nil"/>
          <w:left w:val="nil"/>
          <w:bottom w:val="nil"/>
          <w:right w:val="nil"/>
          <w:between w:val="nil"/>
        </w:pBdr>
        <w:spacing w:after="120"/>
        <w:rPr>
          <w:rFonts w:cs="Times New Roman"/>
        </w:rPr>
      </w:pPr>
      <w:r w:rsidRPr="00141A3C">
        <w:rPr>
          <w:rFonts w:eastAsia="Google Sans" w:cs="Times New Roman"/>
          <w:b/>
          <w:bCs/>
          <w:color w:val="1F1F1F"/>
        </w:rPr>
        <w:t>Discounted Payback Period:</w:t>
      </w:r>
      <w:r w:rsidRPr="00141A3C">
        <w:rPr>
          <w:rFonts w:eastAsia="Google Sans" w:cs="Times New Roman"/>
          <w:color w:val="1F1F1F"/>
        </w:rPr>
        <w:t xml:space="preserve"> Cumulative discounted cash flows. By the end of Year 3, £1,566,228.33 is recovered. In Year 4, £776,251.79 is generated in present value. Discounted Payback = 3 years + (33,771.67 / 776,251.79) = </w:t>
      </w:r>
      <w:r w:rsidRPr="00141A3C">
        <w:rPr>
          <w:rFonts w:eastAsia="Google Sans" w:cs="Times New Roman"/>
          <w:b/>
          <w:bCs/>
          <w:color w:val="1F1F1F"/>
        </w:rPr>
        <w:t>3.04 Years</w:t>
      </w:r>
      <w:r w:rsidRPr="00141A3C">
        <w:rPr>
          <w:rFonts w:eastAsia="Google Sans" w:cs="Times New Roman"/>
          <w:color w:val="1F1F1F"/>
        </w:rPr>
        <w:t>.</w:t>
      </w:r>
    </w:p>
    <w:p w14:paraId="77FA782B" w14:textId="47EF4CE4" w:rsidR="00DF11DE" w:rsidRPr="00141A3C" w:rsidRDefault="00000000" w:rsidP="00423571">
      <w:pPr>
        <w:pBdr>
          <w:top w:val="nil"/>
          <w:left w:val="nil"/>
          <w:bottom w:val="nil"/>
          <w:right w:val="nil"/>
          <w:between w:val="nil"/>
        </w:pBdr>
        <w:spacing w:before="120" w:after="240"/>
        <w:rPr>
          <w:rFonts w:eastAsia="Google Sans" w:cs="Times New Roman"/>
          <w:color w:val="1F1F1F"/>
        </w:rPr>
      </w:pPr>
      <w:r w:rsidRPr="00141A3C">
        <w:rPr>
          <w:rFonts w:eastAsia="Google Sans" w:cs="Times New Roman"/>
          <w:b/>
          <w:bCs/>
          <w:color w:val="1F1F1F"/>
        </w:rPr>
        <w:t>Management Interpretation for Option C:</w:t>
      </w:r>
      <w:r w:rsidRPr="00141A3C">
        <w:rPr>
          <w:rFonts w:eastAsia="Google Sans" w:cs="Times New Roman"/>
          <w:color w:val="1F1F1F"/>
        </w:rPr>
        <w:t xml:space="preserve"> </w:t>
      </w:r>
      <w:r w:rsidR="00E506A2" w:rsidRPr="00141A3C">
        <w:rPr>
          <w:rFonts w:eastAsia="Google Sans" w:cs="Times New Roman"/>
          <w:color w:val="1F1F1F"/>
        </w:rPr>
        <w:t xml:space="preserve">Wooden and Roman blinds are very profitable ventures that bring an absolute NPV value of </w:t>
      </w:r>
      <w:r w:rsidR="0021492A" w:rsidRPr="00141A3C">
        <w:rPr>
          <w:rFonts w:eastAsia="Google Sans" w:cs="Times New Roman"/>
          <w:color w:val="1F1F1F"/>
        </w:rPr>
        <w:t>£</w:t>
      </w:r>
      <w:r w:rsidR="00E506A2" w:rsidRPr="00141A3C">
        <w:rPr>
          <w:rFonts w:eastAsia="Google Sans" w:cs="Times New Roman"/>
          <w:color w:val="1F1F1F"/>
        </w:rPr>
        <w:t xml:space="preserve">742,480. Though, it has the highest capitals expenditures and longest </w:t>
      </w:r>
      <w:r w:rsidR="008E2985" w:rsidRPr="00141A3C">
        <w:rPr>
          <w:rFonts w:eastAsia="Google Sans" w:cs="Times New Roman"/>
          <w:color w:val="1F1F1F"/>
        </w:rPr>
        <w:t>payback</w:t>
      </w:r>
      <w:r w:rsidR="00E506A2" w:rsidRPr="00141A3C">
        <w:rPr>
          <w:rFonts w:eastAsia="Google Sans" w:cs="Times New Roman"/>
          <w:color w:val="1F1F1F"/>
        </w:rPr>
        <w:t xml:space="preserve"> period (discounted 3.04 years) of the three alternatives. Although is certainly value-accretive, the extended exposure of capital brings out the operational and liquidity risks that are more pronounced by diversifying into a manufacturing pipeline.</w:t>
      </w:r>
    </w:p>
    <w:p w14:paraId="5EE0FD29" w14:textId="71043946" w:rsidR="00DF11DE" w:rsidRPr="00141A3C" w:rsidRDefault="00000000" w:rsidP="0067672C">
      <w:pPr>
        <w:pStyle w:val="Heading3"/>
      </w:pPr>
      <w:bookmarkStart w:id="22" w:name="_Toc224863299"/>
      <w:r w:rsidRPr="00141A3C">
        <w:lastRenderedPageBreak/>
        <w:t>Internal Rate of Return (IRR)</w:t>
      </w:r>
      <w:bookmarkEnd w:id="22"/>
    </w:p>
    <w:p w14:paraId="5F53B9C9" w14:textId="0C898B70" w:rsidR="00E506A2" w:rsidRPr="00141A3C" w:rsidRDefault="00E506A2" w:rsidP="00E506A2">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Using only the absolute values of NPV pertaining to mutually exclusive projects, it is clear that Option B creates the greatest amount of wealth (</w:t>
      </w:r>
      <w:r w:rsidR="0021492A" w:rsidRPr="00141A3C">
        <w:rPr>
          <w:rFonts w:eastAsia="Google Sans" w:cs="Times New Roman"/>
          <w:color w:val="1F1F1F"/>
        </w:rPr>
        <w:t>£</w:t>
      </w:r>
      <w:r w:rsidRPr="00141A3C">
        <w:rPr>
          <w:rFonts w:eastAsia="Google Sans" w:cs="Times New Roman"/>
          <w:color w:val="1F1F1F"/>
        </w:rPr>
        <w:t>792,231) and should be the individual choice. The IRR should then be determined in a way that results in the decision of which discount rate should minimise the NPV of Option B to zero and identify its real efficiency margin.</w:t>
      </w:r>
    </w:p>
    <w:p w14:paraId="1FBCE2C3" w14:textId="4F2D19C5" w:rsidR="00DF11DE" w:rsidRPr="00141A3C" w:rsidRDefault="00E506A2" w:rsidP="00E506A2">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Most importantly, the investment appraisal theory dictates that IRR should be determined based on the post tax Net Cash Flows but not the pre-tax operating cash flows. The calculation of the specific IRR shown in the table below is based on the linear, interpolation between the 30% and 35% in order to determine the precise rate at which the Net Present Value of the project will cross zero.</w:t>
      </w:r>
    </w:p>
    <w:p w14:paraId="6B967530" w14:textId="5C9ECBAC" w:rsidR="007C1D9D" w:rsidRDefault="007C1D9D" w:rsidP="007C1D9D">
      <w:pPr>
        <w:pStyle w:val="Caption"/>
        <w:keepNext/>
        <w:jc w:val="center"/>
      </w:pPr>
      <w:bookmarkStart w:id="23" w:name="_Toc224863320"/>
      <w:r>
        <w:t xml:space="preserve">Table </w:t>
      </w:r>
      <w:r>
        <w:fldChar w:fldCharType="begin"/>
      </w:r>
      <w:r>
        <w:instrText xml:space="preserve"> SEQ Table \* ARABIC </w:instrText>
      </w:r>
      <w:r>
        <w:fldChar w:fldCharType="separate"/>
      </w:r>
      <w:r>
        <w:rPr>
          <w:noProof/>
        </w:rPr>
        <w:t>9</w:t>
      </w:r>
      <w:r>
        <w:fldChar w:fldCharType="end"/>
      </w:r>
      <w:r>
        <w:t xml:space="preserve">: </w:t>
      </w:r>
      <w:r w:rsidRPr="005975AC">
        <w:t>Internal Rate of Return (IRR)</w:t>
      </w:r>
      <w:r>
        <w:t xml:space="preserve"> Calculations</w:t>
      </w:r>
      <w:bookmarkEnd w:id="23"/>
    </w:p>
    <w:tbl>
      <w:tblPr>
        <w:tblStyle w:val="GridTable5Dark-Accent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60" w:firstRow="1" w:lastRow="1" w:firstColumn="0" w:lastColumn="0" w:noHBand="0" w:noVBand="1"/>
      </w:tblPr>
      <w:tblGrid>
        <w:gridCol w:w="1560"/>
        <w:gridCol w:w="1560"/>
        <w:gridCol w:w="1560"/>
        <w:gridCol w:w="1560"/>
        <w:gridCol w:w="1560"/>
        <w:gridCol w:w="1560"/>
      </w:tblGrid>
      <w:tr w:rsidR="00DF11DE" w:rsidRPr="00141A3C" w14:paraId="5FEFB843" w14:textId="77777777" w:rsidTr="00DF3746">
        <w:trPr>
          <w:cnfStyle w:val="100000000000" w:firstRow="1" w:lastRow="0" w:firstColumn="0" w:lastColumn="0" w:oddVBand="0" w:evenVBand="0" w:oddHBand="0" w:evenHBand="0" w:firstRowFirstColumn="0" w:firstRowLastColumn="0" w:lastRowFirstColumn="0" w:lastRowLastColumn="0"/>
        </w:trPr>
        <w:tc>
          <w:tcPr>
            <w:tcW w:w="1560" w:type="dxa"/>
            <w:tcBorders>
              <w:top w:val="none" w:sz="0" w:space="0" w:color="auto"/>
              <w:left w:val="none" w:sz="0" w:space="0" w:color="auto"/>
              <w:right w:val="none" w:sz="0" w:space="0" w:color="auto"/>
            </w:tcBorders>
          </w:tcPr>
          <w:p w14:paraId="2C542663"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Year</w:t>
            </w:r>
          </w:p>
        </w:tc>
        <w:tc>
          <w:tcPr>
            <w:tcW w:w="1560" w:type="dxa"/>
            <w:tcBorders>
              <w:top w:val="none" w:sz="0" w:space="0" w:color="auto"/>
              <w:left w:val="none" w:sz="0" w:space="0" w:color="auto"/>
              <w:right w:val="none" w:sz="0" w:space="0" w:color="auto"/>
            </w:tcBorders>
          </w:tcPr>
          <w:p w14:paraId="33516BBF"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Net Cash Flow (£)</w:t>
            </w:r>
          </w:p>
        </w:tc>
        <w:tc>
          <w:tcPr>
            <w:tcW w:w="1560" w:type="dxa"/>
            <w:tcBorders>
              <w:top w:val="none" w:sz="0" w:space="0" w:color="auto"/>
              <w:left w:val="none" w:sz="0" w:space="0" w:color="auto"/>
              <w:right w:val="none" w:sz="0" w:space="0" w:color="auto"/>
            </w:tcBorders>
          </w:tcPr>
          <w:p w14:paraId="559F58AD"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PV Factor (30%)</w:t>
            </w:r>
          </w:p>
        </w:tc>
        <w:tc>
          <w:tcPr>
            <w:tcW w:w="1560" w:type="dxa"/>
            <w:tcBorders>
              <w:top w:val="none" w:sz="0" w:space="0" w:color="auto"/>
              <w:left w:val="none" w:sz="0" w:space="0" w:color="auto"/>
              <w:right w:val="none" w:sz="0" w:space="0" w:color="auto"/>
            </w:tcBorders>
          </w:tcPr>
          <w:p w14:paraId="5D19B9F7"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Present Value at 30%</w:t>
            </w:r>
          </w:p>
        </w:tc>
        <w:tc>
          <w:tcPr>
            <w:tcW w:w="1560" w:type="dxa"/>
            <w:tcBorders>
              <w:top w:val="none" w:sz="0" w:space="0" w:color="auto"/>
              <w:left w:val="none" w:sz="0" w:space="0" w:color="auto"/>
              <w:right w:val="none" w:sz="0" w:space="0" w:color="auto"/>
            </w:tcBorders>
          </w:tcPr>
          <w:p w14:paraId="3F001FC2"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PV Factor (35%)</w:t>
            </w:r>
          </w:p>
        </w:tc>
        <w:tc>
          <w:tcPr>
            <w:tcW w:w="1560" w:type="dxa"/>
            <w:tcBorders>
              <w:top w:val="none" w:sz="0" w:space="0" w:color="auto"/>
              <w:left w:val="none" w:sz="0" w:space="0" w:color="auto"/>
              <w:right w:val="none" w:sz="0" w:space="0" w:color="auto"/>
            </w:tcBorders>
          </w:tcPr>
          <w:p w14:paraId="02CF25F4" w14:textId="77777777" w:rsidR="00DF11DE" w:rsidRPr="00DF3746" w:rsidRDefault="00000000" w:rsidP="00423571">
            <w:pPr>
              <w:pBdr>
                <w:top w:val="nil"/>
                <w:left w:val="nil"/>
                <w:bottom w:val="nil"/>
                <w:right w:val="nil"/>
                <w:between w:val="nil"/>
              </w:pBdr>
              <w:spacing w:before="120" w:after="120"/>
              <w:rPr>
                <w:rFonts w:eastAsia="Google Sans" w:cs="Times New Roman"/>
                <w:b w:val="0"/>
                <w:bCs w:val="0"/>
              </w:rPr>
            </w:pPr>
            <w:r w:rsidRPr="00DF3746">
              <w:rPr>
                <w:rFonts w:eastAsia="Google Sans" w:cs="Times New Roman"/>
              </w:rPr>
              <w:t>Present Value at 35%</w:t>
            </w:r>
          </w:p>
        </w:tc>
      </w:tr>
      <w:tr w:rsidR="00DF11DE" w:rsidRPr="00141A3C" w14:paraId="34FF361E" w14:textId="77777777" w:rsidTr="00DF3746">
        <w:trPr>
          <w:cnfStyle w:val="000000100000" w:firstRow="0" w:lastRow="0" w:firstColumn="0" w:lastColumn="0" w:oddVBand="0" w:evenVBand="0" w:oddHBand="1" w:evenHBand="0" w:firstRowFirstColumn="0" w:firstRowLastColumn="0" w:lastRowFirstColumn="0" w:lastRowLastColumn="0"/>
        </w:trPr>
        <w:tc>
          <w:tcPr>
            <w:tcW w:w="1560" w:type="dxa"/>
          </w:tcPr>
          <w:p w14:paraId="0A7CCC25"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w:t>
            </w:r>
          </w:p>
        </w:tc>
        <w:tc>
          <w:tcPr>
            <w:tcW w:w="1560" w:type="dxa"/>
          </w:tcPr>
          <w:p w14:paraId="70B05DD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(£1,000,000)</w:t>
            </w:r>
          </w:p>
        </w:tc>
        <w:tc>
          <w:tcPr>
            <w:tcW w:w="1560" w:type="dxa"/>
          </w:tcPr>
          <w:p w14:paraId="390CD60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w:t>
            </w:r>
          </w:p>
        </w:tc>
        <w:tc>
          <w:tcPr>
            <w:tcW w:w="1560" w:type="dxa"/>
          </w:tcPr>
          <w:p w14:paraId="3C7A903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(£1,000,000.00)</w:t>
            </w:r>
          </w:p>
        </w:tc>
        <w:tc>
          <w:tcPr>
            <w:tcW w:w="1560" w:type="dxa"/>
          </w:tcPr>
          <w:p w14:paraId="44FAB1F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w:t>
            </w:r>
          </w:p>
        </w:tc>
        <w:tc>
          <w:tcPr>
            <w:tcW w:w="1560" w:type="dxa"/>
          </w:tcPr>
          <w:p w14:paraId="608A4ED5"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(£1,000,000.00)</w:t>
            </w:r>
          </w:p>
        </w:tc>
      </w:tr>
      <w:tr w:rsidR="00DF11DE" w:rsidRPr="00141A3C" w14:paraId="433F3065" w14:textId="77777777" w:rsidTr="00DF3746">
        <w:tc>
          <w:tcPr>
            <w:tcW w:w="1560" w:type="dxa"/>
          </w:tcPr>
          <w:p w14:paraId="3DCBF69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w:t>
            </w:r>
          </w:p>
        </w:tc>
        <w:tc>
          <w:tcPr>
            <w:tcW w:w="1560" w:type="dxa"/>
          </w:tcPr>
          <w:p w14:paraId="54BFC29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£350,000</w:t>
            </w:r>
          </w:p>
        </w:tc>
        <w:tc>
          <w:tcPr>
            <w:tcW w:w="1560" w:type="dxa"/>
          </w:tcPr>
          <w:p w14:paraId="5B98FC7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0.769</w:t>
            </w:r>
          </w:p>
        </w:tc>
        <w:tc>
          <w:tcPr>
            <w:tcW w:w="1560" w:type="dxa"/>
          </w:tcPr>
          <w:p w14:paraId="171B14E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£269,230.77</w:t>
            </w:r>
          </w:p>
        </w:tc>
        <w:tc>
          <w:tcPr>
            <w:tcW w:w="1560" w:type="dxa"/>
          </w:tcPr>
          <w:p w14:paraId="04FD1B4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0.741</w:t>
            </w:r>
          </w:p>
        </w:tc>
        <w:tc>
          <w:tcPr>
            <w:tcW w:w="1560" w:type="dxa"/>
          </w:tcPr>
          <w:p w14:paraId="7D0BA82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£259,259.26</w:t>
            </w:r>
          </w:p>
        </w:tc>
      </w:tr>
      <w:tr w:rsidR="00DF11DE" w:rsidRPr="00141A3C" w14:paraId="4C501061" w14:textId="77777777" w:rsidTr="00DF3746">
        <w:trPr>
          <w:cnfStyle w:val="000000100000" w:firstRow="0" w:lastRow="0" w:firstColumn="0" w:lastColumn="0" w:oddVBand="0" w:evenVBand="0" w:oddHBand="1" w:evenHBand="0" w:firstRowFirstColumn="0" w:firstRowLastColumn="0" w:lastRowFirstColumn="0" w:lastRowLastColumn="0"/>
        </w:trPr>
        <w:tc>
          <w:tcPr>
            <w:tcW w:w="1560" w:type="dxa"/>
          </w:tcPr>
          <w:p w14:paraId="6A30642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w:t>
            </w:r>
          </w:p>
        </w:tc>
        <w:tc>
          <w:tcPr>
            <w:tcW w:w="1560" w:type="dxa"/>
          </w:tcPr>
          <w:p w14:paraId="5D7E7D9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£387,500</w:t>
            </w:r>
          </w:p>
        </w:tc>
        <w:tc>
          <w:tcPr>
            <w:tcW w:w="1560" w:type="dxa"/>
          </w:tcPr>
          <w:p w14:paraId="58A3D7E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0.592</w:t>
            </w:r>
          </w:p>
        </w:tc>
        <w:tc>
          <w:tcPr>
            <w:tcW w:w="1560" w:type="dxa"/>
          </w:tcPr>
          <w:p w14:paraId="209E838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£229,289.94</w:t>
            </w:r>
          </w:p>
        </w:tc>
        <w:tc>
          <w:tcPr>
            <w:tcW w:w="1560" w:type="dxa"/>
          </w:tcPr>
          <w:p w14:paraId="7C29686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0.549</w:t>
            </w:r>
          </w:p>
        </w:tc>
        <w:tc>
          <w:tcPr>
            <w:tcW w:w="1560" w:type="dxa"/>
          </w:tcPr>
          <w:p w14:paraId="5B97096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£212,623.18</w:t>
            </w:r>
          </w:p>
        </w:tc>
      </w:tr>
      <w:tr w:rsidR="00DF11DE" w:rsidRPr="00141A3C" w14:paraId="02DCB1C6" w14:textId="77777777" w:rsidTr="00DF3746">
        <w:tc>
          <w:tcPr>
            <w:tcW w:w="1560" w:type="dxa"/>
          </w:tcPr>
          <w:p w14:paraId="369124EB"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w:t>
            </w:r>
          </w:p>
        </w:tc>
        <w:tc>
          <w:tcPr>
            <w:tcW w:w="1560" w:type="dxa"/>
          </w:tcPr>
          <w:p w14:paraId="7942106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£590,000</w:t>
            </w:r>
          </w:p>
        </w:tc>
        <w:tc>
          <w:tcPr>
            <w:tcW w:w="1560" w:type="dxa"/>
          </w:tcPr>
          <w:p w14:paraId="767B3E3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0.455</w:t>
            </w:r>
          </w:p>
        </w:tc>
        <w:tc>
          <w:tcPr>
            <w:tcW w:w="1560" w:type="dxa"/>
          </w:tcPr>
          <w:p w14:paraId="710FA4A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£268,546.54</w:t>
            </w:r>
          </w:p>
        </w:tc>
        <w:tc>
          <w:tcPr>
            <w:tcW w:w="1560" w:type="dxa"/>
          </w:tcPr>
          <w:p w14:paraId="002D0D5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0.406</w:t>
            </w:r>
          </w:p>
        </w:tc>
        <w:tc>
          <w:tcPr>
            <w:tcW w:w="1560" w:type="dxa"/>
          </w:tcPr>
          <w:p w14:paraId="5B66692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£239,800.58</w:t>
            </w:r>
          </w:p>
        </w:tc>
      </w:tr>
      <w:tr w:rsidR="00DF11DE" w:rsidRPr="00141A3C" w14:paraId="1F03C7BF" w14:textId="77777777" w:rsidTr="00DF3746">
        <w:trPr>
          <w:cnfStyle w:val="000000100000" w:firstRow="0" w:lastRow="0" w:firstColumn="0" w:lastColumn="0" w:oddVBand="0" w:evenVBand="0" w:oddHBand="1" w:evenHBand="0" w:firstRowFirstColumn="0" w:firstRowLastColumn="0" w:lastRowFirstColumn="0" w:lastRowLastColumn="0"/>
        </w:trPr>
        <w:tc>
          <w:tcPr>
            <w:tcW w:w="1560" w:type="dxa"/>
          </w:tcPr>
          <w:p w14:paraId="679CA80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w:t>
            </w:r>
          </w:p>
        </w:tc>
        <w:tc>
          <w:tcPr>
            <w:tcW w:w="1560" w:type="dxa"/>
          </w:tcPr>
          <w:p w14:paraId="7FE82AF4"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£785,000</w:t>
            </w:r>
          </w:p>
        </w:tc>
        <w:tc>
          <w:tcPr>
            <w:tcW w:w="1560" w:type="dxa"/>
          </w:tcPr>
          <w:p w14:paraId="08C4CBE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0.350</w:t>
            </w:r>
          </w:p>
        </w:tc>
        <w:tc>
          <w:tcPr>
            <w:tcW w:w="1560" w:type="dxa"/>
          </w:tcPr>
          <w:p w14:paraId="00CE265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£274,849.52</w:t>
            </w:r>
          </w:p>
        </w:tc>
        <w:tc>
          <w:tcPr>
            <w:tcW w:w="1560" w:type="dxa"/>
          </w:tcPr>
          <w:p w14:paraId="7FA0D86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0.301</w:t>
            </w:r>
          </w:p>
        </w:tc>
        <w:tc>
          <w:tcPr>
            <w:tcW w:w="1560" w:type="dxa"/>
          </w:tcPr>
          <w:p w14:paraId="5899CAB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£236,345.54</w:t>
            </w:r>
          </w:p>
        </w:tc>
      </w:tr>
      <w:tr w:rsidR="00DF11DE" w:rsidRPr="00141A3C" w14:paraId="479D4687" w14:textId="77777777" w:rsidTr="00DF3746">
        <w:trPr>
          <w:cnfStyle w:val="010000000000" w:firstRow="0" w:lastRow="1" w:firstColumn="0" w:lastColumn="0" w:oddVBand="0" w:evenVBand="0" w:oddHBand="0" w:evenHBand="0" w:firstRowFirstColumn="0" w:firstRowLastColumn="0" w:lastRowFirstColumn="0" w:lastRowLastColumn="0"/>
        </w:trPr>
        <w:tc>
          <w:tcPr>
            <w:tcW w:w="1560" w:type="dxa"/>
            <w:tcBorders>
              <w:left w:val="none" w:sz="0" w:space="0" w:color="auto"/>
              <w:bottom w:val="none" w:sz="0" w:space="0" w:color="auto"/>
              <w:right w:val="none" w:sz="0" w:space="0" w:color="auto"/>
            </w:tcBorders>
          </w:tcPr>
          <w:p w14:paraId="6F12B35D"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Total</w:t>
            </w:r>
          </w:p>
        </w:tc>
        <w:tc>
          <w:tcPr>
            <w:tcW w:w="1560" w:type="dxa"/>
            <w:tcBorders>
              <w:left w:val="none" w:sz="0" w:space="0" w:color="auto"/>
              <w:bottom w:val="none" w:sz="0" w:space="0" w:color="auto"/>
              <w:right w:val="none" w:sz="0" w:space="0" w:color="auto"/>
            </w:tcBorders>
          </w:tcPr>
          <w:p w14:paraId="3B77F3D7"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560" w:type="dxa"/>
            <w:tcBorders>
              <w:left w:val="none" w:sz="0" w:space="0" w:color="auto"/>
              <w:bottom w:val="none" w:sz="0" w:space="0" w:color="auto"/>
              <w:right w:val="none" w:sz="0" w:space="0" w:color="auto"/>
            </w:tcBorders>
          </w:tcPr>
          <w:p w14:paraId="03D25F18"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560" w:type="dxa"/>
            <w:tcBorders>
              <w:left w:val="none" w:sz="0" w:space="0" w:color="auto"/>
              <w:bottom w:val="none" w:sz="0" w:space="0" w:color="auto"/>
              <w:right w:val="none" w:sz="0" w:space="0" w:color="auto"/>
            </w:tcBorders>
          </w:tcPr>
          <w:p w14:paraId="3896C2FB"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NPV at 30% = £41,916.77</w:t>
            </w:r>
          </w:p>
        </w:tc>
        <w:tc>
          <w:tcPr>
            <w:tcW w:w="1560" w:type="dxa"/>
            <w:tcBorders>
              <w:left w:val="none" w:sz="0" w:space="0" w:color="auto"/>
              <w:bottom w:val="none" w:sz="0" w:space="0" w:color="auto"/>
              <w:right w:val="none" w:sz="0" w:space="0" w:color="auto"/>
            </w:tcBorders>
          </w:tcPr>
          <w:p w14:paraId="0AC2F7EB" w14:textId="77777777" w:rsidR="00DF11DE" w:rsidRPr="00DF3746" w:rsidRDefault="00DF11DE" w:rsidP="00423571">
            <w:pPr>
              <w:pBdr>
                <w:top w:val="nil"/>
                <w:left w:val="nil"/>
                <w:bottom w:val="nil"/>
                <w:right w:val="nil"/>
                <w:between w:val="nil"/>
              </w:pBdr>
              <w:rPr>
                <w:rFonts w:eastAsia="Google Sans" w:cs="Times New Roman"/>
                <w:b w:val="0"/>
                <w:bCs w:val="0"/>
              </w:rPr>
            </w:pPr>
          </w:p>
        </w:tc>
        <w:tc>
          <w:tcPr>
            <w:tcW w:w="1560" w:type="dxa"/>
            <w:tcBorders>
              <w:left w:val="none" w:sz="0" w:space="0" w:color="auto"/>
              <w:bottom w:val="none" w:sz="0" w:space="0" w:color="auto"/>
              <w:right w:val="none" w:sz="0" w:space="0" w:color="auto"/>
            </w:tcBorders>
          </w:tcPr>
          <w:p w14:paraId="74ADB8F3" w14:textId="77777777" w:rsidR="00DF11DE" w:rsidRPr="00DF3746" w:rsidRDefault="00000000" w:rsidP="00423571">
            <w:pPr>
              <w:pBdr>
                <w:top w:val="nil"/>
                <w:left w:val="nil"/>
                <w:bottom w:val="nil"/>
                <w:right w:val="nil"/>
                <w:between w:val="nil"/>
              </w:pBdr>
              <w:rPr>
                <w:rFonts w:eastAsia="Google Sans" w:cs="Times New Roman"/>
                <w:b w:val="0"/>
                <w:bCs w:val="0"/>
              </w:rPr>
            </w:pPr>
            <w:r w:rsidRPr="00DF3746">
              <w:rPr>
                <w:rFonts w:eastAsia="Google Sans" w:cs="Times New Roman"/>
              </w:rPr>
              <w:t>NPV at 35% = -£51,971.44</w:t>
            </w:r>
          </w:p>
        </w:tc>
      </w:tr>
    </w:tbl>
    <w:p w14:paraId="6B72ABE3" w14:textId="77777777" w:rsidR="007C1D9D" w:rsidRPr="007C1D9D" w:rsidRDefault="00DF3746" w:rsidP="00423571">
      <w:pPr>
        <w:pBdr>
          <w:top w:val="nil"/>
          <w:left w:val="nil"/>
          <w:bottom w:val="nil"/>
          <w:right w:val="nil"/>
          <w:between w:val="nil"/>
        </w:pBdr>
        <w:spacing w:before="480" w:after="240"/>
        <w:rPr>
          <w:rFonts w:cs="Times New Roman"/>
          <w:color w:val="1F1F1F"/>
        </w:rPr>
      </w:pPr>
      <m:oMathPara>
        <m:oMath>
          <m:r>
            <w:rPr>
              <w:rFonts w:ascii="Cambria Math" w:eastAsia="Google Sans" w:hAnsi="Cambria Math" w:cs="Times New Roman"/>
              <w:color w:val="1F1F1F"/>
            </w:rPr>
            <m:t xml:space="preserve">Interpolation Formula: </m:t>
          </m:r>
        </m:oMath>
      </m:oMathPara>
    </w:p>
    <w:p w14:paraId="0BC49ACB" w14:textId="75A755CB" w:rsidR="007C1D9D" w:rsidRPr="007C1D9D" w:rsidRDefault="007C1D9D" w:rsidP="00423571">
      <w:pPr>
        <w:pBdr>
          <w:top w:val="nil"/>
          <w:left w:val="nil"/>
          <w:bottom w:val="nil"/>
          <w:right w:val="nil"/>
          <w:between w:val="nil"/>
        </w:pBdr>
        <w:spacing w:before="480" w:after="240"/>
        <w:rPr>
          <w:rFonts w:cs="Times New Roman"/>
          <w:b/>
          <w:bCs/>
          <w:i/>
          <w:color w:val="1F1F1F"/>
        </w:rPr>
      </w:pPr>
      <m:oMathPara>
        <m:oMath>
          <m:r>
            <m:rPr>
              <m:sty m:val="bi"/>
            </m:rPr>
            <w:rPr>
              <w:rFonts w:ascii="Cambria Math" w:hAnsi="Cambria Math" w:cs="Times New Roman"/>
              <w:color w:val="1F1F1F"/>
              <w:sz w:val="22"/>
              <w:szCs w:val="20"/>
            </w:rPr>
            <m:t>=</m:t>
          </m:r>
          <m:r>
            <m:rPr>
              <m:sty m:val="bi"/>
            </m:rPr>
            <w:rPr>
              <w:rFonts w:ascii="Cambria Math" w:eastAsia="Google Sans" w:hAnsi="Cambria Math" w:cs="Times New Roman"/>
              <w:color w:val="1F1F1F"/>
              <w:sz w:val="22"/>
              <w:szCs w:val="20"/>
            </w:rPr>
            <m:t xml:space="preserve"> Lower Rate +</m:t>
          </m:r>
          <m:d>
            <m:dPr>
              <m:ctrlPr>
                <w:rPr>
                  <w:rFonts w:ascii="Cambria Math" w:eastAsia="Google Sans" w:hAnsi="Cambria Math" w:cs="Times New Roman"/>
                  <w:b/>
                  <w:i/>
                  <w:color w:val="1F1F1F"/>
                  <w:sz w:val="22"/>
                  <w:szCs w:val="20"/>
                </w:rPr>
              </m:ctrlPr>
            </m:dPr>
            <m:e>
              <m:f>
                <m:fPr>
                  <m:ctrlPr>
                    <w:rPr>
                      <w:rFonts w:ascii="Cambria Math" w:eastAsia="Google Sans" w:hAnsi="Cambria Math" w:cs="Times New Roman"/>
                      <w:b/>
                      <w:bCs/>
                      <w:i/>
                      <w:color w:val="1F1F1F"/>
                      <w:sz w:val="22"/>
                      <w:szCs w:val="20"/>
                    </w:rPr>
                  </m:ctrlPr>
                </m:fPr>
                <m:num>
                  <m:r>
                    <m:rPr>
                      <m:sty m:val="bi"/>
                    </m:rPr>
                    <w:rPr>
                      <w:rFonts w:ascii="Cambria Math" w:eastAsia="Google Sans" w:hAnsi="Cambria Math" w:cs="Times New Roman"/>
                      <w:color w:val="1F1F1F"/>
                      <w:sz w:val="22"/>
                      <w:szCs w:val="20"/>
                    </w:rPr>
                    <m:t xml:space="preserve">(NPV at Lower Rate) </m:t>
                  </m:r>
                </m:num>
                <m:den>
                  <m:r>
                    <m:rPr>
                      <m:sty m:val="bi"/>
                    </m:rPr>
                    <w:rPr>
                      <w:rFonts w:ascii="Cambria Math" w:eastAsia="Google Sans" w:hAnsi="Cambria Math" w:cs="Times New Roman"/>
                      <w:color w:val="1F1F1F"/>
                      <w:sz w:val="22"/>
                      <w:szCs w:val="20"/>
                    </w:rPr>
                    <m:t>NPV at Lower Rate - NPV at Higher Rate</m:t>
                  </m:r>
                </m:den>
              </m:f>
            </m:e>
          </m:d>
          <m:r>
            <m:rPr>
              <m:sty m:val="bi"/>
            </m:rPr>
            <w:rPr>
              <w:rFonts w:ascii="Cambria Math" w:eastAsia="Google Sans" w:hAnsi="Cambria Math" w:cs="Times New Roman"/>
              <w:color w:val="1F1F1F"/>
              <w:sz w:val="22"/>
              <w:szCs w:val="20"/>
            </w:rPr>
            <m:t xml:space="preserve">× (Difference in Rates) </m:t>
          </m:r>
        </m:oMath>
      </m:oMathPara>
    </w:p>
    <w:p w14:paraId="21ED6307" w14:textId="77777777" w:rsidR="00DF3746" w:rsidRDefault="00000000"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i/>
          <w:iCs/>
          <w:color w:val="1F1F1F"/>
        </w:rPr>
        <w:t>Calculation:</w:t>
      </w:r>
      <w:r w:rsidRPr="00141A3C">
        <w:rPr>
          <w:rFonts w:eastAsia="Google Sans" w:cs="Times New Roman"/>
          <w:color w:val="1F1F1F"/>
        </w:rPr>
        <w:t xml:space="preserve"> </w:t>
      </w:r>
    </w:p>
    <w:p w14:paraId="3F3387E4" w14:textId="28189F7C" w:rsidR="00DF3746" w:rsidRPr="00DF3746" w:rsidRDefault="00DF3746" w:rsidP="00423571">
      <w:pPr>
        <w:pBdr>
          <w:top w:val="nil"/>
          <w:left w:val="nil"/>
          <w:bottom w:val="nil"/>
          <w:right w:val="nil"/>
          <w:between w:val="nil"/>
        </w:pBdr>
        <w:spacing w:after="240"/>
        <w:rPr>
          <w:rFonts w:ascii="Cambria Math" w:eastAsia="Google Sans" w:hAnsi="Cambria Math" w:cs="Times New Roman"/>
          <w:color w:val="1F1F1F"/>
          <w:oMath/>
        </w:rPr>
      </w:pPr>
      <m:oMathPara>
        <m:oMath>
          <m:r>
            <w:rPr>
              <w:rFonts w:ascii="Cambria Math" w:eastAsia="Google Sans" w:hAnsi="Cambria Math" w:cs="Times New Roman"/>
              <w:color w:val="1F1F1F"/>
            </w:rPr>
            <w:lastRenderedPageBreak/>
            <m:t xml:space="preserve">=30% + [ 41,916.77 / {41,916.77 - (-51,971.44)} ] × 5% </m:t>
          </m:r>
        </m:oMath>
      </m:oMathPara>
    </w:p>
    <w:p w14:paraId="1536D235" w14:textId="6860D1C0" w:rsidR="00DF3746" w:rsidRPr="00DF3746" w:rsidRDefault="00DF3746" w:rsidP="00423571">
      <w:pPr>
        <w:pBdr>
          <w:top w:val="nil"/>
          <w:left w:val="nil"/>
          <w:bottom w:val="nil"/>
          <w:right w:val="nil"/>
          <w:between w:val="nil"/>
        </w:pBdr>
        <w:spacing w:after="240"/>
        <w:rPr>
          <w:rFonts w:ascii="Cambria Math" w:eastAsia="Google Sans" w:hAnsi="Cambria Math" w:cs="Times New Roman"/>
          <w:color w:val="1F1F1F"/>
          <w:oMath/>
        </w:rPr>
      </w:pPr>
      <m:oMathPara>
        <m:oMath>
          <m:r>
            <w:rPr>
              <w:rFonts w:ascii="Cambria Math" w:eastAsia="Google Sans" w:hAnsi="Cambria Math" w:cs="Times New Roman"/>
              <w:color w:val="1F1F1F"/>
            </w:rPr>
            <m:t xml:space="preserve">= 30% + (41,916.77 / 93,888.21) × 5% </m:t>
          </m:r>
        </m:oMath>
      </m:oMathPara>
    </w:p>
    <w:p w14:paraId="54BE6372" w14:textId="04E82620" w:rsidR="00DF3746" w:rsidRPr="00DF3746" w:rsidRDefault="00DF3746" w:rsidP="00423571">
      <w:pPr>
        <w:pBdr>
          <w:top w:val="nil"/>
          <w:left w:val="nil"/>
          <w:bottom w:val="nil"/>
          <w:right w:val="nil"/>
          <w:between w:val="nil"/>
        </w:pBdr>
        <w:spacing w:after="240"/>
        <w:rPr>
          <w:rFonts w:ascii="Cambria Math" w:eastAsia="Google Sans" w:hAnsi="Cambria Math" w:cs="Times New Roman"/>
          <w:color w:val="1F1F1F"/>
          <w:oMath/>
        </w:rPr>
      </w:pPr>
      <m:oMathPara>
        <m:oMath>
          <m:r>
            <w:rPr>
              <w:rFonts w:ascii="Cambria Math" w:eastAsia="Google Sans" w:hAnsi="Cambria Math" w:cs="Times New Roman"/>
              <w:color w:val="1F1F1F"/>
            </w:rPr>
            <m:t xml:space="preserve">= 30% + 2.23% </m:t>
          </m:r>
        </m:oMath>
      </m:oMathPara>
    </w:p>
    <w:p w14:paraId="5BD51F5A" w14:textId="745316A9" w:rsidR="00DF3746" w:rsidRPr="00DF3746" w:rsidRDefault="00DF3746" w:rsidP="00423571">
      <w:pPr>
        <w:pBdr>
          <w:top w:val="nil"/>
          <w:left w:val="nil"/>
          <w:bottom w:val="nil"/>
          <w:right w:val="nil"/>
          <w:between w:val="nil"/>
        </w:pBdr>
        <w:spacing w:after="240"/>
        <w:rPr>
          <w:rFonts w:ascii="Cambria Math" w:eastAsia="Google Sans" w:hAnsi="Cambria Math" w:cs="Times New Roman"/>
          <w:color w:val="1F1F1F"/>
          <w:oMath/>
        </w:rPr>
      </w:pPr>
      <m:oMathPara>
        <m:oMath>
          <m:r>
            <w:rPr>
              <w:rFonts w:ascii="Cambria Math" w:eastAsia="Google Sans" w:hAnsi="Cambria Math" w:cs="Times New Roman"/>
              <w:color w:val="1F1F1F"/>
            </w:rPr>
            <m:t xml:space="preserve">= </m:t>
          </m:r>
          <m:r>
            <m:rPr>
              <m:sty m:val="bi"/>
            </m:rPr>
            <w:rPr>
              <w:rFonts w:ascii="Cambria Math" w:eastAsia="Google Sans" w:hAnsi="Cambria Math" w:cs="Times New Roman"/>
              <w:color w:val="1F1F1F"/>
            </w:rPr>
            <m:t>32.23%</m:t>
          </m:r>
          <m:r>
            <w:rPr>
              <w:rFonts w:ascii="Cambria Math" w:eastAsia="Google Sans" w:hAnsi="Cambria Math" w:cs="Times New Roman"/>
              <w:color w:val="1F1F1F"/>
            </w:rPr>
            <m:t xml:space="preserve"> </m:t>
          </m:r>
        </m:oMath>
      </m:oMathPara>
    </w:p>
    <w:p w14:paraId="6E04C469" w14:textId="60617E80" w:rsidR="00DF11DE" w:rsidRPr="00DF3746" w:rsidRDefault="00DF3746" w:rsidP="00423571">
      <w:pPr>
        <w:pBdr>
          <w:top w:val="nil"/>
          <w:left w:val="nil"/>
          <w:bottom w:val="nil"/>
          <w:right w:val="nil"/>
          <w:between w:val="nil"/>
        </w:pBdr>
        <w:spacing w:after="240"/>
        <w:rPr>
          <w:rFonts w:ascii="Cambria Math" w:eastAsia="Google Sans" w:hAnsi="Cambria Math" w:cs="Times New Roman"/>
          <w:color w:val="1F1F1F"/>
          <w:oMath/>
        </w:rPr>
      </w:pPr>
      <m:oMathPara>
        <m:oMath>
          <m:r>
            <w:rPr>
              <w:rFonts w:ascii="Cambria Math" w:eastAsia="Google Sans" w:hAnsi="Cambria Math" w:cs="Times New Roman"/>
              <w:color w:val="1F1F1F"/>
            </w:rPr>
            <m:t xml:space="preserve">(Exact algorithmic IRR is </m:t>
          </m:r>
          <m:r>
            <m:rPr>
              <m:sty m:val="bi"/>
            </m:rPr>
            <w:rPr>
              <w:rFonts w:ascii="Cambria Math" w:eastAsia="Google Sans" w:hAnsi="Cambria Math" w:cs="Times New Roman"/>
              <w:color w:val="1F1F1F"/>
            </w:rPr>
            <m:t>32.14%</m:t>
          </m:r>
          <m:r>
            <w:rPr>
              <w:rFonts w:ascii="Cambria Math" w:eastAsia="Google Sans" w:hAnsi="Cambria Math" w:cs="Times New Roman"/>
              <w:color w:val="1F1F1F"/>
            </w:rPr>
            <m:t>).</m:t>
          </m:r>
        </m:oMath>
      </m:oMathPara>
    </w:p>
    <w:p w14:paraId="47EFF4D8" w14:textId="1891185D" w:rsidR="00DF11DE" w:rsidRPr="00141A3C" w:rsidRDefault="00000000"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i/>
          <w:iCs/>
          <w:color w:val="1F1F1F"/>
        </w:rPr>
        <w:t>Calculated IRR:</w:t>
      </w:r>
      <w:r w:rsidRPr="00141A3C">
        <w:rPr>
          <w:rFonts w:eastAsia="Google Sans" w:cs="Times New Roman"/>
          <w:color w:val="1F1F1F"/>
        </w:rPr>
        <w:t xml:space="preserve"> </w:t>
      </w:r>
      <w:r w:rsidR="00E506A2" w:rsidRPr="00141A3C">
        <w:rPr>
          <w:rFonts w:eastAsia="Google Sans" w:cs="Times New Roman"/>
          <w:b/>
          <w:bCs/>
          <w:color w:val="1F1F1F"/>
        </w:rPr>
        <w:t xml:space="preserve">32.14%. </w:t>
      </w:r>
      <w:r w:rsidR="00E506A2" w:rsidRPr="00141A3C">
        <w:rPr>
          <w:rFonts w:eastAsia="Google Sans" w:cs="Times New Roman"/>
          <w:color w:val="1F1F1F"/>
        </w:rPr>
        <w:t>Since the post-tax IRR is 32.14% that is far larger than the cost-of-capital at Westward Plc, which is 6 per cent, the project has an enormous margin of safety. In case the macroeconomic forces outside make the cost of borrowing by the company to skyrocket, the internet sales project shall still come out as highly viable and value accretive.</w:t>
      </w:r>
    </w:p>
    <w:p w14:paraId="5B90D051" w14:textId="4DD966AF" w:rsidR="00DF11DE" w:rsidRPr="00141A3C" w:rsidRDefault="00000000" w:rsidP="0067672C">
      <w:pPr>
        <w:pStyle w:val="Heading3"/>
      </w:pPr>
      <w:bookmarkStart w:id="24" w:name="_Toc224863300"/>
      <w:r w:rsidRPr="00141A3C">
        <w:t>Theoretical Evaluation of Appraisal Methods</w:t>
      </w:r>
      <w:bookmarkEnd w:id="24"/>
    </w:p>
    <w:p w14:paraId="5D94A910" w14:textId="600FE29D" w:rsidR="00DF11DE" w:rsidRPr="00141A3C" w:rsidRDefault="00E506A2"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When appraising capital projects, there is an absolute need to reconcile mathematical appraisal outputs with discipline to the financial theory. This part is a critical analysis of the paradigms that govern the contemporary methods of investment appraisal.</w:t>
      </w:r>
    </w:p>
    <w:p w14:paraId="2B26AB66" w14:textId="6C390299" w:rsidR="00DF11DE" w:rsidRPr="00141A3C" w:rsidRDefault="00000000" w:rsidP="0067672C">
      <w:pPr>
        <w:pStyle w:val="Heading4"/>
      </w:pPr>
      <w:r w:rsidRPr="00141A3C">
        <w:t>Theoretical Arguments for NPV as the Best Method of Appraisal</w:t>
      </w:r>
    </w:p>
    <w:p w14:paraId="38C4625C" w14:textId="77777777" w:rsidR="00E506A2" w:rsidRPr="00141A3C" w:rsidRDefault="00E506A2" w:rsidP="00E506A2">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Financial theory always assumes that Net Present Value (NPV) is the inherently best and most theoretically sound way of investment appraisal. This dominance lies at the very bottom when it comes to the Fisher Separation Theorem (Fisher, 1930) that defines the need to have the decisions of the investors in a firm totally independent of the consumption preferences of its owners. Therefore, maximising shareholder wealth to an absolute extent is the only, unifying fiduciary duty of the corporate management (</w:t>
      </w:r>
      <w:proofErr w:type="spellStart"/>
      <w:r w:rsidRPr="00141A3C">
        <w:rPr>
          <w:rFonts w:eastAsia="Google Sans" w:cs="Times New Roman"/>
          <w:color w:val="1F1F1F"/>
        </w:rPr>
        <w:t>Atrill</w:t>
      </w:r>
      <w:proofErr w:type="spellEnd"/>
      <w:r w:rsidRPr="00141A3C">
        <w:rPr>
          <w:rFonts w:eastAsia="Google Sans" w:cs="Times New Roman"/>
          <w:color w:val="1F1F1F"/>
        </w:rPr>
        <w:t xml:space="preserve">, 2020; </w:t>
      </w:r>
      <w:proofErr w:type="spellStart"/>
      <w:r w:rsidRPr="00141A3C">
        <w:rPr>
          <w:rFonts w:eastAsia="Google Sans" w:cs="Times New Roman"/>
          <w:color w:val="1F1F1F"/>
        </w:rPr>
        <w:t>Purnamasari</w:t>
      </w:r>
      <w:proofErr w:type="spellEnd"/>
      <w:r w:rsidRPr="00141A3C">
        <w:rPr>
          <w:rFonts w:eastAsia="Google Sans" w:cs="Times New Roman"/>
          <w:color w:val="1F1F1F"/>
        </w:rPr>
        <w:t xml:space="preserve"> and </w:t>
      </w:r>
      <w:proofErr w:type="spellStart"/>
      <w:r w:rsidRPr="00141A3C">
        <w:rPr>
          <w:rFonts w:eastAsia="Google Sans" w:cs="Times New Roman"/>
          <w:color w:val="1F1F1F"/>
        </w:rPr>
        <w:t>Adriza</w:t>
      </w:r>
      <w:proofErr w:type="spellEnd"/>
      <w:r w:rsidRPr="00141A3C">
        <w:rPr>
          <w:rFonts w:eastAsia="Google Sans" w:cs="Times New Roman"/>
          <w:color w:val="1F1F1F"/>
        </w:rPr>
        <w:t>, 2024).</w:t>
      </w:r>
    </w:p>
    <w:p w14:paraId="1F155928" w14:textId="023EC2DA" w:rsidR="00DF11DE" w:rsidRPr="00141A3C" w:rsidRDefault="00E506A2" w:rsidP="00E506A2">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The NPV </w:t>
      </w:r>
      <w:proofErr w:type="spellStart"/>
      <w:r w:rsidRPr="00141A3C">
        <w:rPr>
          <w:rFonts w:eastAsia="Google Sans" w:cs="Times New Roman"/>
          <w:color w:val="1F1F1F"/>
        </w:rPr>
        <w:t>fulfills</w:t>
      </w:r>
      <w:proofErr w:type="spellEnd"/>
      <w:r w:rsidRPr="00141A3C">
        <w:rPr>
          <w:rFonts w:eastAsia="Google Sans" w:cs="Times New Roman"/>
          <w:color w:val="1F1F1F"/>
        </w:rPr>
        <w:t xml:space="preserve"> this goal in an ideal manner as it clearly recogni</w:t>
      </w:r>
      <w:r w:rsidR="0021492A" w:rsidRPr="00141A3C">
        <w:rPr>
          <w:rFonts w:eastAsia="Google Sans" w:cs="Times New Roman"/>
          <w:color w:val="1F1F1F"/>
        </w:rPr>
        <w:t>s</w:t>
      </w:r>
      <w:r w:rsidRPr="00141A3C">
        <w:rPr>
          <w:rFonts w:eastAsia="Google Sans" w:cs="Times New Roman"/>
          <w:color w:val="1F1F1F"/>
        </w:rPr>
        <w:t xml:space="preserve">es the Time Value of money (TVM). It mathematically identifies how capital received today is inherently worth more than the same capital received in the future because it has the capacity to earn alternative returns (opportunity cost) and it is vulnerable to inflation and its worth may be eroded (Singh, 2024). NPV offers a direct, absolute measure of added economic value, which is based on discounting all future </w:t>
      </w:r>
      <w:r w:rsidRPr="00141A3C">
        <w:rPr>
          <w:rFonts w:eastAsia="Google Sans" w:cs="Times New Roman"/>
          <w:color w:val="1F1F1F"/>
        </w:rPr>
        <w:lastRenderedPageBreak/>
        <w:t>cash flows of a required project over the entire life cycle at the firm-specific cost of capital which reflects the systemic risk through such methods as the Capital Asset Pricing Model (CAPM) (Dobrowolski and Drozdowski, 2022; Mollah et al., 2021).</w:t>
      </w:r>
    </w:p>
    <w:p w14:paraId="110A1D1D" w14:textId="74514D2C" w:rsidR="00DF11DE" w:rsidRPr="00141A3C" w:rsidRDefault="005E38CE"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Moreover, NPV circumvents the serious mathematical problem of the Internal Rate of Return (IRR). IRR with a rigid mathematical assumption, wrongly assumes that intermediate cash flows produced by a project will be reinvested vigorously at uniquely high rate of return on the project. The NPV is conservative and realistic in its approach to reinvestment so that it only happens at the minimum cost of capital at the firm. It means that NPV is the most wholly rational measure when comparing mutually exclusive projects of varying sizes or timelines (Drury, 2021; Farooq et al., 2022).</w:t>
      </w:r>
    </w:p>
    <w:p w14:paraId="4C0BA33F" w14:textId="7528F919" w:rsidR="00DF11DE" w:rsidRPr="00141A3C" w:rsidRDefault="00000000" w:rsidP="0067672C">
      <w:pPr>
        <w:pStyle w:val="Heading4"/>
      </w:pPr>
      <w:r w:rsidRPr="00141A3C">
        <w:t>The Continued Popularity of Non-Discounting Methods</w:t>
      </w:r>
    </w:p>
    <w:p w14:paraId="2B02C353" w14:textId="0CD6D302" w:rsidR="005E38CE" w:rsidRPr="00141A3C" w:rsidRDefault="005E38CE" w:rsidP="005E38CE">
      <w:pPr>
        <w:pBdr>
          <w:top w:val="nil"/>
          <w:left w:val="nil"/>
          <w:bottom w:val="nil"/>
          <w:right w:val="nil"/>
          <w:between w:val="nil"/>
        </w:pBdr>
        <w:spacing w:after="120"/>
        <w:rPr>
          <w:rFonts w:eastAsia="Google Sans" w:cs="Times New Roman"/>
          <w:color w:val="1F1F1F"/>
        </w:rPr>
      </w:pPr>
      <w:r w:rsidRPr="00141A3C">
        <w:rPr>
          <w:rFonts w:eastAsia="Google Sans" w:cs="Times New Roman"/>
          <w:color w:val="1F1F1F"/>
        </w:rPr>
        <w:t>On the other hand, non-discounting approaches which are the simple Payback Period and the Accounting rate of Return (ARR) have serious theoretical short comings. The standard Payback Period does not recogni</w:t>
      </w:r>
      <w:r w:rsidR="0021492A" w:rsidRPr="00141A3C">
        <w:rPr>
          <w:rFonts w:eastAsia="Google Sans" w:cs="Times New Roman"/>
          <w:color w:val="1F1F1F"/>
        </w:rPr>
        <w:t>s</w:t>
      </w:r>
      <w:r w:rsidRPr="00141A3C">
        <w:rPr>
          <w:rFonts w:eastAsia="Google Sans" w:cs="Times New Roman"/>
          <w:color w:val="1F1F1F"/>
        </w:rPr>
        <w:t>e the time value of money whatsoever and is highly critical to a cash flow generated beyond some arbitrary payback level. This neglect has the potential to cause the catastrophic abandonment of very profitable, long-paying strategic investments (Visconti et al., 2023).</w:t>
      </w:r>
    </w:p>
    <w:p w14:paraId="2C6F5A75" w14:textId="240C09D8" w:rsidR="00DF11DE" w:rsidRPr="00141A3C" w:rsidRDefault="005E38CE" w:rsidP="005E38CE">
      <w:pPr>
        <w:pBdr>
          <w:top w:val="nil"/>
          <w:left w:val="nil"/>
          <w:bottom w:val="nil"/>
          <w:right w:val="nil"/>
          <w:between w:val="nil"/>
        </w:pBdr>
        <w:spacing w:after="120"/>
        <w:rPr>
          <w:rFonts w:eastAsia="Google Sans" w:cs="Times New Roman"/>
          <w:color w:val="1F1F1F"/>
        </w:rPr>
      </w:pPr>
      <w:r w:rsidRPr="00141A3C">
        <w:rPr>
          <w:rFonts w:eastAsia="Google Sans" w:cs="Times New Roman"/>
          <w:color w:val="1F1F1F"/>
        </w:rPr>
        <w:t>In spite of this theoretical weakness of Payback Period, in fact, empirical studies across the years display that Payback Period is exceptionally desirable among practical decision-makers (Arnold, 2019). Such an advanced paradox can be explained by a number of sophisticated behavioural and institutional theories:</w:t>
      </w:r>
    </w:p>
    <w:p w14:paraId="46EE0342" w14:textId="5430145C" w:rsidR="00DF11DE" w:rsidRPr="00141A3C" w:rsidRDefault="00000000" w:rsidP="00423571">
      <w:pPr>
        <w:numPr>
          <w:ilvl w:val="0"/>
          <w:numId w:val="12"/>
        </w:numPr>
        <w:pBdr>
          <w:top w:val="nil"/>
          <w:left w:val="nil"/>
          <w:bottom w:val="nil"/>
          <w:right w:val="nil"/>
          <w:between w:val="nil"/>
        </w:pBdr>
        <w:rPr>
          <w:rFonts w:cs="Times New Roman"/>
        </w:rPr>
      </w:pPr>
      <w:r w:rsidRPr="00141A3C">
        <w:rPr>
          <w:rFonts w:eastAsia="Google Sans" w:cs="Times New Roman"/>
          <w:b/>
          <w:bCs/>
          <w:color w:val="1F1F1F"/>
        </w:rPr>
        <w:t>Bounded Rationality:</w:t>
      </w:r>
      <w:r w:rsidRPr="00141A3C">
        <w:rPr>
          <w:rFonts w:eastAsia="Google Sans" w:cs="Times New Roman"/>
          <w:color w:val="1F1F1F"/>
        </w:rPr>
        <w:t xml:space="preserve"> </w:t>
      </w:r>
      <w:r w:rsidR="005E38CE" w:rsidRPr="00141A3C">
        <w:rPr>
          <w:rFonts w:eastAsia="Google Sans" w:cs="Times New Roman"/>
          <w:color w:val="1F1F1F"/>
        </w:rPr>
        <w:t xml:space="preserve">This theory is proposed by Herbert Simon (1955) who argues that managers generally act in very complex and uncertain conditions with limited cognitive bandwidth and unreliable information. As a simplified yet highly </w:t>
      </w:r>
      <w:r w:rsidR="008E2985" w:rsidRPr="00141A3C">
        <w:rPr>
          <w:rFonts w:eastAsia="Google Sans" w:cs="Times New Roman"/>
          <w:color w:val="1F1F1F"/>
        </w:rPr>
        <w:t>communicable</w:t>
      </w:r>
      <w:r w:rsidR="005E38CE" w:rsidRPr="00141A3C">
        <w:rPr>
          <w:rFonts w:eastAsia="Google Sans" w:cs="Times New Roman"/>
          <w:color w:val="1F1F1F"/>
        </w:rPr>
        <w:t xml:space="preserve"> heuristic (rule of thumb), the Payback Period is able to quickly filter out over-risky projects without necessarily resorting to the complex and highly speculative forecasting of long term discounts (Hoang et al., 2024).</w:t>
      </w:r>
    </w:p>
    <w:p w14:paraId="33FFE321" w14:textId="1F05A2CC" w:rsidR="00DF11DE" w:rsidRPr="00141A3C" w:rsidRDefault="00000000" w:rsidP="00423571">
      <w:pPr>
        <w:numPr>
          <w:ilvl w:val="0"/>
          <w:numId w:val="12"/>
        </w:numPr>
        <w:pBdr>
          <w:top w:val="nil"/>
          <w:left w:val="nil"/>
          <w:bottom w:val="nil"/>
          <w:right w:val="nil"/>
          <w:between w:val="nil"/>
        </w:pBdr>
        <w:rPr>
          <w:rFonts w:cs="Times New Roman"/>
        </w:rPr>
      </w:pPr>
      <w:r w:rsidRPr="00141A3C">
        <w:rPr>
          <w:rFonts w:eastAsia="Google Sans" w:cs="Times New Roman"/>
          <w:b/>
          <w:bCs/>
          <w:color w:val="1F1F1F"/>
        </w:rPr>
        <w:t>Managerial Myopia &amp; Agency Theory:</w:t>
      </w:r>
      <w:r w:rsidRPr="00141A3C">
        <w:rPr>
          <w:rFonts w:eastAsia="Google Sans" w:cs="Times New Roman"/>
          <w:color w:val="1F1F1F"/>
        </w:rPr>
        <w:t xml:space="preserve"> </w:t>
      </w:r>
      <w:r w:rsidR="005E38CE" w:rsidRPr="00141A3C">
        <w:rPr>
          <w:rFonts w:eastAsia="Google Sans" w:cs="Times New Roman"/>
          <w:color w:val="1F1F1F"/>
        </w:rPr>
        <w:t xml:space="preserve">Agency Theory illustrates a severe conflict of interests between the principals (shareholders) and the agents (managers). Since the </w:t>
      </w:r>
      <w:r w:rsidR="005E38CE" w:rsidRPr="00141A3C">
        <w:rPr>
          <w:rFonts w:eastAsia="Google Sans" w:cs="Times New Roman"/>
          <w:color w:val="1F1F1F"/>
        </w:rPr>
        <w:lastRenderedPageBreak/>
        <w:t>compensation given to managers (including annual bonuses and stock options) is often dependent on short-term accounting notions (1 to 3 years) but not on NPV realisations (long-term) then managing executives are said to be myopic. They innately have a natural, self-interested interest in those projects, which yields high returns in the shortest time possible prior to their tenure or bonus-period and thus prefer Payback to NPV, which is long-term (Giglio et al., 2021).</w:t>
      </w:r>
    </w:p>
    <w:p w14:paraId="7AB92EE5" w14:textId="0B40D797" w:rsidR="00DF11DE" w:rsidRPr="00141A3C" w:rsidRDefault="00000000" w:rsidP="00423571">
      <w:pPr>
        <w:numPr>
          <w:ilvl w:val="0"/>
          <w:numId w:val="12"/>
        </w:numPr>
        <w:pBdr>
          <w:top w:val="nil"/>
          <w:left w:val="nil"/>
          <w:bottom w:val="nil"/>
          <w:right w:val="nil"/>
          <w:between w:val="nil"/>
        </w:pBdr>
        <w:spacing w:after="120"/>
        <w:rPr>
          <w:rFonts w:cs="Times New Roman"/>
        </w:rPr>
      </w:pPr>
      <w:r w:rsidRPr="00141A3C">
        <w:rPr>
          <w:rFonts w:eastAsia="Google Sans" w:cs="Times New Roman"/>
          <w:b/>
          <w:bCs/>
          <w:color w:val="1F1F1F"/>
        </w:rPr>
        <w:t>Liquidity Constraints:</w:t>
      </w:r>
      <w:r w:rsidRPr="00141A3C">
        <w:rPr>
          <w:rFonts w:eastAsia="Google Sans" w:cs="Times New Roman"/>
          <w:color w:val="1F1F1F"/>
        </w:rPr>
        <w:t xml:space="preserve"> </w:t>
      </w:r>
      <w:r w:rsidR="005E38CE" w:rsidRPr="00141A3C">
        <w:rPr>
          <w:rFonts w:eastAsia="Google Sans" w:cs="Times New Roman"/>
          <w:color w:val="1F1F1F"/>
        </w:rPr>
        <w:t xml:space="preserve">In the case of small companies or companies operating in a turbulent market structure, the immediate liquidity and capital recovery is a more logical priority than is the long-term theoretical profitability. A quick payback is a proper way of de-risking the initial </w:t>
      </w:r>
      <w:r w:rsidR="008E2985" w:rsidRPr="00141A3C">
        <w:rPr>
          <w:rFonts w:eastAsia="Google Sans" w:cs="Times New Roman"/>
          <w:color w:val="1F1F1F"/>
        </w:rPr>
        <w:t>investment,</w:t>
      </w:r>
      <w:r w:rsidR="005E38CE" w:rsidRPr="00141A3C">
        <w:rPr>
          <w:rFonts w:eastAsia="Google Sans" w:cs="Times New Roman"/>
          <w:color w:val="1F1F1F"/>
        </w:rPr>
        <w:t xml:space="preserve"> getting cash back into use to finance the next operational need within a short time.</w:t>
      </w:r>
    </w:p>
    <w:p w14:paraId="2D48F317" w14:textId="64C6279B" w:rsidR="00DF11DE" w:rsidRPr="00141A3C" w:rsidRDefault="00000000" w:rsidP="0067672C">
      <w:pPr>
        <w:pStyle w:val="Heading4"/>
      </w:pPr>
      <w:r w:rsidRPr="00141A3C">
        <w:t>Other Factors to Consider Before an Investment Decision</w:t>
      </w:r>
    </w:p>
    <w:p w14:paraId="62A28269" w14:textId="7884C61A" w:rsidR="00DF11DE" w:rsidRPr="00141A3C" w:rsidRDefault="005E38CE" w:rsidP="00423571">
      <w:pPr>
        <w:pBdr>
          <w:top w:val="nil"/>
          <w:left w:val="nil"/>
          <w:bottom w:val="nil"/>
          <w:right w:val="nil"/>
          <w:between w:val="nil"/>
        </w:pBdr>
        <w:spacing w:after="120"/>
        <w:rPr>
          <w:rFonts w:eastAsia="Google Sans" w:cs="Times New Roman"/>
          <w:color w:val="1F1F1F"/>
        </w:rPr>
      </w:pPr>
      <w:r w:rsidRPr="00141A3C">
        <w:rPr>
          <w:rFonts w:eastAsia="Google Sans" w:cs="Times New Roman"/>
          <w:color w:val="1F1F1F"/>
        </w:rPr>
        <w:t>Strict quantitative appraisal should as ever be heavily overlaid with wider qualitative and strategic analysis, prior to final investment being performed. The expanded factors that should be put into consideration by the Board of Westward Plc are as follows:</w:t>
      </w:r>
    </w:p>
    <w:p w14:paraId="0F71D3CF" w14:textId="77F86ACB" w:rsidR="00DF11DE" w:rsidRPr="00141A3C" w:rsidRDefault="00000000" w:rsidP="00423571">
      <w:pPr>
        <w:numPr>
          <w:ilvl w:val="0"/>
          <w:numId w:val="13"/>
        </w:numPr>
        <w:pBdr>
          <w:top w:val="nil"/>
          <w:left w:val="nil"/>
          <w:bottom w:val="nil"/>
          <w:right w:val="nil"/>
          <w:between w:val="nil"/>
        </w:pBdr>
        <w:rPr>
          <w:rFonts w:cs="Times New Roman"/>
        </w:rPr>
      </w:pPr>
      <w:r w:rsidRPr="00141A3C">
        <w:rPr>
          <w:rFonts w:eastAsia="Google Sans" w:cs="Times New Roman"/>
          <w:b/>
          <w:bCs/>
          <w:color w:val="1F1F1F"/>
        </w:rPr>
        <w:t>Strategic Fit &amp; Real Options Theory:</w:t>
      </w:r>
      <w:r w:rsidRPr="00141A3C">
        <w:rPr>
          <w:rFonts w:eastAsia="Google Sans" w:cs="Times New Roman"/>
          <w:color w:val="1F1F1F"/>
        </w:rPr>
        <w:t xml:space="preserve"> </w:t>
      </w:r>
      <w:r w:rsidR="005E38CE" w:rsidRPr="00141A3C">
        <w:rPr>
          <w:rFonts w:eastAsia="Google Sans" w:cs="Times New Roman"/>
          <w:color w:val="1F1F1F"/>
        </w:rPr>
        <w:t>Conventional NPV is a fixed strategy that is based on the passivity of projects. The Real Options Theory states that capital investments are frequently characteri</w:t>
      </w:r>
      <w:r w:rsidR="0021492A" w:rsidRPr="00141A3C">
        <w:rPr>
          <w:rFonts w:eastAsia="Google Sans" w:cs="Times New Roman"/>
          <w:color w:val="1F1F1F"/>
        </w:rPr>
        <w:t>s</w:t>
      </w:r>
      <w:r w:rsidR="005E38CE" w:rsidRPr="00141A3C">
        <w:rPr>
          <w:rFonts w:eastAsia="Google Sans" w:cs="Times New Roman"/>
          <w:color w:val="1F1F1F"/>
        </w:rPr>
        <w:t xml:space="preserve">ed by entrenched (so-called) options (Abdul-Salam et al., 2021; </w:t>
      </w:r>
      <w:proofErr w:type="spellStart"/>
      <w:r w:rsidR="005E38CE" w:rsidRPr="00141A3C">
        <w:rPr>
          <w:rFonts w:eastAsia="Google Sans" w:cs="Times New Roman"/>
          <w:color w:val="1F1F1F"/>
        </w:rPr>
        <w:t>Cassimon</w:t>
      </w:r>
      <w:proofErr w:type="spellEnd"/>
      <w:r w:rsidR="005E38CE" w:rsidRPr="00141A3C">
        <w:rPr>
          <w:rFonts w:eastAsia="Google Sans" w:cs="Times New Roman"/>
          <w:color w:val="1F1F1F"/>
        </w:rPr>
        <w:t xml:space="preserve"> et al., 2023). Although Option B has the largest standalone NPV, the retailing market has been changing digitally in a rapid, structural change. The need to create a strong online presence (Option B) can come with an embedded "Option to Expand. The agile can use a digital platform to expand internationally in future with a very low marginal cost which is a crucial defensive strategic moat against competitor who already had started digitisation.</w:t>
      </w:r>
    </w:p>
    <w:p w14:paraId="1CD761A0" w14:textId="56C0CC88" w:rsidR="00DF11DE" w:rsidRPr="00141A3C" w:rsidRDefault="00000000" w:rsidP="00423571">
      <w:pPr>
        <w:numPr>
          <w:ilvl w:val="0"/>
          <w:numId w:val="13"/>
        </w:numPr>
        <w:pBdr>
          <w:top w:val="nil"/>
          <w:left w:val="nil"/>
          <w:bottom w:val="nil"/>
          <w:right w:val="nil"/>
          <w:between w:val="nil"/>
        </w:pBdr>
        <w:rPr>
          <w:rFonts w:cs="Times New Roman"/>
        </w:rPr>
      </w:pPr>
      <w:r w:rsidRPr="00141A3C">
        <w:rPr>
          <w:rFonts w:eastAsia="Google Sans" w:cs="Times New Roman"/>
          <w:b/>
          <w:bCs/>
          <w:color w:val="1F1F1F"/>
        </w:rPr>
        <w:t>Cannibalisation and Synergies:</w:t>
      </w:r>
      <w:r w:rsidRPr="00141A3C">
        <w:rPr>
          <w:rFonts w:eastAsia="Google Sans" w:cs="Times New Roman"/>
          <w:color w:val="1F1F1F"/>
        </w:rPr>
        <w:t xml:space="preserve"> </w:t>
      </w:r>
      <w:r w:rsidR="005E38CE" w:rsidRPr="00141A3C">
        <w:rPr>
          <w:rFonts w:eastAsia="Google Sans" w:cs="Times New Roman"/>
          <w:color w:val="1F1F1F"/>
        </w:rPr>
        <w:t>The Board should take into account the inter-project dynamics. Indicatively, in the instance whereby: (B) is undertaken, Internet Sales, will it have a devastating effect on the current pedestrian traffic and income concerning the physical retail store (Option A)? Alternatively, are cross-channel synergies to be created, including click-and-collect attracting increased total volumes (</w:t>
      </w:r>
      <w:proofErr w:type="spellStart"/>
      <w:r w:rsidR="005E38CE" w:rsidRPr="00141A3C">
        <w:rPr>
          <w:rFonts w:eastAsia="Google Sans" w:cs="Times New Roman"/>
          <w:color w:val="1F1F1F"/>
        </w:rPr>
        <w:t>Bonfrer</w:t>
      </w:r>
      <w:proofErr w:type="spellEnd"/>
      <w:r w:rsidR="005E38CE" w:rsidRPr="00141A3C">
        <w:rPr>
          <w:rFonts w:eastAsia="Google Sans" w:cs="Times New Roman"/>
          <w:color w:val="1F1F1F"/>
        </w:rPr>
        <w:t xml:space="preserve"> et al., 2022; Jena and Meena, 2025)?</w:t>
      </w:r>
    </w:p>
    <w:p w14:paraId="0DC8FE29" w14:textId="21AAD1D3" w:rsidR="00DF11DE" w:rsidRPr="00141A3C" w:rsidRDefault="00000000" w:rsidP="00423571">
      <w:pPr>
        <w:numPr>
          <w:ilvl w:val="0"/>
          <w:numId w:val="13"/>
        </w:numPr>
        <w:pBdr>
          <w:top w:val="nil"/>
          <w:left w:val="nil"/>
          <w:bottom w:val="nil"/>
          <w:right w:val="nil"/>
          <w:between w:val="nil"/>
        </w:pBdr>
        <w:rPr>
          <w:rFonts w:cs="Times New Roman"/>
        </w:rPr>
      </w:pPr>
      <w:r w:rsidRPr="00141A3C">
        <w:rPr>
          <w:rFonts w:eastAsia="Google Sans" w:cs="Times New Roman"/>
          <w:b/>
          <w:bCs/>
          <w:color w:val="1F1F1F"/>
        </w:rPr>
        <w:t>Operational Risk &amp; Competency:</w:t>
      </w:r>
      <w:r w:rsidRPr="00141A3C">
        <w:rPr>
          <w:rFonts w:eastAsia="Google Sans" w:cs="Times New Roman"/>
          <w:color w:val="1F1F1F"/>
        </w:rPr>
        <w:t xml:space="preserve"> </w:t>
      </w:r>
      <w:r w:rsidR="005E38CE" w:rsidRPr="00141A3C">
        <w:rPr>
          <w:rFonts w:eastAsia="Google Sans" w:cs="Times New Roman"/>
          <w:color w:val="1F1F1F"/>
        </w:rPr>
        <w:t xml:space="preserve">Option C (Wooden and Roman blinds) comes with a whole new supply chain complexity, risks associated with sourcing of raw materials, and </w:t>
      </w:r>
      <w:r w:rsidR="008E2985" w:rsidRPr="00141A3C">
        <w:rPr>
          <w:rFonts w:eastAsia="Google Sans" w:cs="Times New Roman"/>
          <w:color w:val="1F1F1F"/>
        </w:rPr>
        <w:lastRenderedPageBreak/>
        <w:t>completely</w:t>
      </w:r>
      <w:r w:rsidR="005E38CE" w:rsidRPr="00141A3C">
        <w:rPr>
          <w:rFonts w:eastAsia="Google Sans" w:cs="Times New Roman"/>
          <w:color w:val="1F1F1F"/>
        </w:rPr>
        <w:t xml:space="preserve"> new labour competencies with all the current, proven competencies of the firm in retail. The company should then ponder the prospect of whether it has the managerial capacity to manage a </w:t>
      </w:r>
      <w:r w:rsidR="008E2985" w:rsidRPr="00141A3C">
        <w:rPr>
          <w:rFonts w:eastAsia="Google Sans" w:cs="Times New Roman"/>
          <w:color w:val="1F1F1F"/>
        </w:rPr>
        <w:t>completely</w:t>
      </w:r>
      <w:r w:rsidR="005E38CE" w:rsidRPr="00141A3C">
        <w:rPr>
          <w:rFonts w:eastAsia="Google Sans" w:cs="Times New Roman"/>
          <w:color w:val="1F1F1F"/>
        </w:rPr>
        <w:t xml:space="preserve"> new manufacturing division without creating an operational drift (Johnson et al., 2017).</w:t>
      </w:r>
    </w:p>
    <w:p w14:paraId="72CB25DC" w14:textId="3486B201" w:rsidR="00DF11DE" w:rsidRPr="00141A3C" w:rsidRDefault="00000000" w:rsidP="00423571">
      <w:pPr>
        <w:numPr>
          <w:ilvl w:val="0"/>
          <w:numId w:val="13"/>
        </w:numPr>
        <w:pBdr>
          <w:top w:val="nil"/>
          <w:left w:val="nil"/>
          <w:bottom w:val="nil"/>
          <w:right w:val="nil"/>
          <w:between w:val="nil"/>
        </w:pBdr>
        <w:spacing w:after="120"/>
        <w:rPr>
          <w:rFonts w:cs="Times New Roman"/>
        </w:rPr>
      </w:pPr>
      <w:r w:rsidRPr="00141A3C">
        <w:rPr>
          <w:rFonts w:eastAsia="Google Sans" w:cs="Times New Roman"/>
          <w:b/>
          <w:bCs/>
          <w:color w:val="1F1F1F"/>
        </w:rPr>
        <w:t>ESG (Environmental, Social, and Governance) Considerations:</w:t>
      </w:r>
      <w:r w:rsidRPr="00141A3C">
        <w:rPr>
          <w:rFonts w:eastAsia="Google Sans" w:cs="Times New Roman"/>
          <w:color w:val="1F1F1F"/>
        </w:rPr>
        <w:t xml:space="preserve"> </w:t>
      </w:r>
      <w:r w:rsidR="005E38CE" w:rsidRPr="00141A3C">
        <w:rPr>
          <w:rFonts w:eastAsia="Google Sans" w:cs="Times New Roman"/>
          <w:color w:val="1F1F1F"/>
        </w:rPr>
        <w:t>Physical manufacturing expansion (Option C) inherently has a greater carbon footprint, energy demand, and waste production in comparison with a digital expansion (Option B). As the cost of capital and the availability of loans to companies with inadequate environmental policies become more and more adverse towards them in modern capital markets, environmental sustainability and the stakeholder theory must play a significant role in the ultimate all-encompassing risk assessment of the Board (</w:t>
      </w:r>
      <w:proofErr w:type="spellStart"/>
      <w:r w:rsidR="005E38CE" w:rsidRPr="00141A3C">
        <w:rPr>
          <w:rFonts w:eastAsia="Google Sans" w:cs="Times New Roman"/>
          <w:color w:val="1F1F1F"/>
        </w:rPr>
        <w:t>Cerón</w:t>
      </w:r>
      <w:proofErr w:type="spellEnd"/>
      <w:r w:rsidR="005E38CE" w:rsidRPr="00141A3C">
        <w:rPr>
          <w:rFonts w:eastAsia="Google Sans" w:cs="Times New Roman"/>
          <w:color w:val="1F1F1F"/>
        </w:rPr>
        <w:t xml:space="preserve"> et al., 2024; Zahid et al., 2023).</w:t>
      </w:r>
    </w:p>
    <w:p w14:paraId="7678673F" w14:textId="6CC3AEAD" w:rsidR="00DF11DE" w:rsidRPr="00141A3C" w:rsidRDefault="00000000" w:rsidP="0067672C">
      <w:pPr>
        <w:pStyle w:val="Heading3"/>
      </w:pPr>
      <w:bookmarkStart w:id="25" w:name="_Toc224863301"/>
      <w:r w:rsidRPr="00141A3C">
        <w:t>Capital Rationing and Optimal Investment Policy</w:t>
      </w:r>
      <w:bookmarkEnd w:id="25"/>
    </w:p>
    <w:p w14:paraId="041DE5AF" w14:textId="338EB6C1" w:rsidR="00DF11DE" w:rsidRPr="00141A3C" w:rsidRDefault="005E38CE" w:rsidP="00423571">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Westward Plc is experiencing hard capital rationing where an imposed cap of capital budget of the externality is set at £2,500,000. Since the aggregate expense of implementing the three projects (£3.2 million) is much higher in comparison with this tight constraint, the company cannot choose projects outright, according to their absolute ranking in terms of NPV. Rather, in order to maximise amounts of wealth created per pound invested, the projects will have to be </w:t>
      </w:r>
      <w:r w:rsidR="008E2985" w:rsidRPr="00141A3C">
        <w:rPr>
          <w:rFonts w:eastAsia="Google Sans" w:cs="Times New Roman"/>
          <w:color w:val="1F1F1F"/>
        </w:rPr>
        <w:t>assessed,</w:t>
      </w:r>
      <w:r w:rsidRPr="00141A3C">
        <w:rPr>
          <w:rFonts w:eastAsia="Google Sans" w:cs="Times New Roman"/>
          <w:color w:val="1F1F1F"/>
        </w:rPr>
        <w:t xml:space="preserve"> and rank mathematically based on the Profitability Index (PI) (CIMA, 2023).</w:t>
      </w:r>
    </w:p>
    <w:p w14:paraId="4291712E" w14:textId="77777777" w:rsidR="007C1D9D" w:rsidRDefault="00000000" w:rsidP="00423571">
      <w:pPr>
        <w:pBdr>
          <w:top w:val="nil"/>
          <w:left w:val="nil"/>
          <w:bottom w:val="nil"/>
          <w:right w:val="nil"/>
          <w:between w:val="nil"/>
        </w:pBdr>
        <w:spacing w:after="240"/>
        <w:rPr>
          <w:rFonts w:eastAsia="Google Sans" w:cs="Times New Roman"/>
          <w:i/>
          <w:iCs/>
          <w:color w:val="1F1F1F"/>
        </w:rPr>
      </w:pPr>
      <w:r w:rsidRPr="00141A3C">
        <w:rPr>
          <w:rFonts w:eastAsia="Google Sans" w:cs="Times New Roman"/>
          <w:i/>
          <w:iCs/>
          <w:color w:val="1F1F1F"/>
        </w:rPr>
        <w:t xml:space="preserve">Formula: </w:t>
      </w:r>
    </w:p>
    <w:p w14:paraId="682427CE" w14:textId="514DA4FC" w:rsidR="00DF11DE" w:rsidRPr="007C1D9D" w:rsidRDefault="007C1D9D" w:rsidP="00423571">
      <w:pPr>
        <w:pBdr>
          <w:top w:val="nil"/>
          <w:left w:val="nil"/>
          <w:bottom w:val="nil"/>
          <w:right w:val="nil"/>
          <w:between w:val="nil"/>
        </w:pBdr>
        <w:spacing w:after="240"/>
        <w:rPr>
          <w:rFonts w:eastAsia="Google Sans" w:cs="Times New Roman"/>
          <w:b/>
          <w:bCs/>
          <w:i/>
          <w:iCs/>
          <w:color w:val="1F1F1F"/>
        </w:rPr>
      </w:pPr>
      <m:oMathPara>
        <m:oMath>
          <m:r>
            <m:rPr>
              <m:sty m:val="bi"/>
            </m:rPr>
            <w:rPr>
              <w:rFonts w:ascii="Cambria Math" w:eastAsia="Google Sans" w:hAnsi="Cambria Math" w:cs="Times New Roman"/>
              <w:color w:val="1F1F1F"/>
            </w:rPr>
            <m:t>PI=</m:t>
          </m:r>
          <m:f>
            <m:fPr>
              <m:ctrlPr>
                <w:rPr>
                  <w:rFonts w:ascii="Cambria Math" w:eastAsia="Google Sans" w:hAnsi="Cambria Math" w:cs="Times New Roman"/>
                  <w:b/>
                  <w:bCs/>
                  <w:i/>
                  <w:iCs/>
                  <w:color w:val="1F1F1F"/>
                </w:rPr>
              </m:ctrlPr>
            </m:fPr>
            <m:num>
              <m:r>
                <m:rPr>
                  <m:sty m:val="bi"/>
                </m:rPr>
                <w:rPr>
                  <w:rFonts w:ascii="Cambria Math" w:eastAsia="Google Sans" w:hAnsi="Cambria Math" w:cs="Times New Roman"/>
                  <w:color w:val="1F1F1F"/>
                </w:rPr>
                <m:t xml:space="preserve">(NPV + Initial Investment) </m:t>
              </m:r>
            </m:num>
            <m:den>
              <m:r>
                <m:rPr>
                  <m:sty m:val="bi"/>
                </m:rPr>
                <w:rPr>
                  <w:rFonts w:ascii="Cambria Math" w:eastAsia="Google Sans" w:hAnsi="Cambria Math" w:cs="Times New Roman"/>
                  <w:color w:val="1F1F1F"/>
                </w:rPr>
                <m:t>Initial Investment</m:t>
              </m:r>
            </m:den>
          </m:f>
        </m:oMath>
      </m:oMathPara>
    </w:p>
    <w:p w14:paraId="3F505374" w14:textId="7B5657F6" w:rsidR="007C1D9D" w:rsidRDefault="007C1D9D" w:rsidP="007C1D9D">
      <w:pPr>
        <w:pStyle w:val="Caption"/>
        <w:keepNext/>
        <w:jc w:val="center"/>
      </w:pPr>
      <w:bookmarkStart w:id="26" w:name="_Toc224863321"/>
      <w:r>
        <w:t xml:space="preserve">Table </w:t>
      </w:r>
      <w:r>
        <w:fldChar w:fldCharType="begin"/>
      </w:r>
      <w:r>
        <w:instrText xml:space="preserve"> SEQ Table \* ARABIC </w:instrText>
      </w:r>
      <w:r>
        <w:fldChar w:fldCharType="separate"/>
      </w:r>
      <w:r>
        <w:rPr>
          <w:noProof/>
        </w:rPr>
        <w:t>10</w:t>
      </w:r>
      <w:r>
        <w:fldChar w:fldCharType="end"/>
      </w:r>
      <w:r>
        <w:t xml:space="preserve">: </w:t>
      </w:r>
      <w:r w:rsidRPr="00B94B84">
        <w:t>Profitability Index (PI) Project Ranking</w:t>
      </w:r>
      <w:bookmarkEnd w:id="26"/>
    </w:p>
    <w:tbl>
      <w:tblPr>
        <w:tblStyle w:val="GridTable5Dark-Accent1"/>
        <w:tblW w:w="9360" w:type="dxa"/>
        <w:tblLayout w:type="fixed"/>
        <w:tblLook w:val="0420" w:firstRow="1" w:lastRow="0" w:firstColumn="0" w:lastColumn="0" w:noHBand="0" w:noVBand="1"/>
      </w:tblPr>
      <w:tblGrid>
        <w:gridCol w:w="1560"/>
        <w:gridCol w:w="1560"/>
        <w:gridCol w:w="1560"/>
        <w:gridCol w:w="1560"/>
        <w:gridCol w:w="1560"/>
        <w:gridCol w:w="1560"/>
      </w:tblGrid>
      <w:tr w:rsidR="00DF11DE" w:rsidRPr="00141A3C" w14:paraId="16E0968F" w14:textId="77777777" w:rsidTr="007C1D9D">
        <w:trPr>
          <w:cnfStyle w:val="100000000000" w:firstRow="1" w:lastRow="0" w:firstColumn="0" w:lastColumn="0" w:oddVBand="0" w:evenVBand="0" w:oddHBand="0" w:evenHBand="0" w:firstRowFirstColumn="0" w:firstRowLastColumn="0" w:lastRowFirstColumn="0" w:lastRowLastColumn="0"/>
        </w:trPr>
        <w:tc>
          <w:tcPr>
            <w:tcW w:w="1560" w:type="dxa"/>
          </w:tcPr>
          <w:p w14:paraId="4E1803E5" w14:textId="77777777" w:rsidR="00DF11DE" w:rsidRPr="007C1D9D" w:rsidRDefault="00000000" w:rsidP="00423571">
            <w:pPr>
              <w:pBdr>
                <w:top w:val="nil"/>
                <w:left w:val="nil"/>
                <w:bottom w:val="nil"/>
                <w:right w:val="nil"/>
                <w:between w:val="nil"/>
              </w:pBdr>
              <w:spacing w:before="120" w:after="120"/>
              <w:rPr>
                <w:rFonts w:eastAsia="Google Sans" w:cs="Times New Roman"/>
                <w:b w:val="0"/>
                <w:bCs w:val="0"/>
              </w:rPr>
            </w:pPr>
            <w:r w:rsidRPr="007C1D9D">
              <w:rPr>
                <w:rFonts w:eastAsia="Google Sans" w:cs="Times New Roman"/>
              </w:rPr>
              <w:t>Project</w:t>
            </w:r>
          </w:p>
        </w:tc>
        <w:tc>
          <w:tcPr>
            <w:tcW w:w="1560" w:type="dxa"/>
          </w:tcPr>
          <w:p w14:paraId="0A5A3DEA" w14:textId="77777777" w:rsidR="00DF11DE" w:rsidRPr="007C1D9D" w:rsidRDefault="00000000" w:rsidP="00423571">
            <w:pPr>
              <w:pBdr>
                <w:top w:val="nil"/>
                <w:left w:val="nil"/>
                <w:bottom w:val="nil"/>
                <w:right w:val="nil"/>
                <w:between w:val="nil"/>
              </w:pBdr>
              <w:spacing w:before="120" w:after="120"/>
              <w:rPr>
                <w:rFonts w:eastAsia="Google Sans" w:cs="Times New Roman"/>
                <w:b w:val="0"/>
                <w:bCs w:val="0"/>
              </w:rPr>
            </w:pPr>
            <w:r w:rsidRPr="007C1D9D">
              <w:rPr>
                <w:rFonts w:eastAsia="Google Sans" w:cs="Times New Roman"/>
              </w:rPr>
              <w:t>Initial Investment</w:t>
            </w:r>
          </w:p>
        </w:tc>
        <w:tc>
          <w:tcPr>
            <w:tcW w:w="1560" w:type="dxa"/>
          </w:tcPr>
          <w:p w14:paraId="4305E5B1" w14:textId="77777777" w:rsidR="00DF11DE" w:rsidRPr="007C1D9D" w:rsidRDefault="00000000" w:rsidP="00423571">
            <w:pPr>
              <w:pBdr>
                <w:top w:val="nil"/>
                <w:left w:val="nil"/>
                <w:bottom w:val="nil"/>
                <w:right w:val="nil"/>
                <w:between w:val="nil"/>
              </w:pBdr>
              <w:spacing w:before="120" w:after="120"/>
              <w:rPr>
                <w:rFonts w:eastAsia="Google Sans" w:cs="Times New Roman"/>
                <w:b w:val="0"/>
                <w:bCs w:val="0"/>
              </w:rPr>
            </w:pPr>
            <w:r w:rsidRPr="007C1D9D">
              <w:rPr>
                <w:rFonts w:eastAsia="Google Sans" w:cs="Times New Roman"/>
              </w:rPr>
              <w:t>Net Present Value</w:t>
            </w:r>
          </w:p>
        </w:tc>
        <w:tc>
          <w:tcPr>
            <w:tcW w:w="1560" w:type="dxa"/>
          </w:tcPr>
          <w:p w14:paraId="54498D2B" w14:textId="77777777" w:rsidR="00DF11DE" w:rsidRPr="007C1D9D" w:rsidRDefault="00000000" w:rsidP="00423571">
            <w:pPr>
              <w:pBdr>
                <w:top w:val="nil"/>
                <w:left w:val="nil"/>
                <w:bottom w:val="nil"/>
                <w:right w:val="nil"/>
                <w:between w:val="nil"/>
              </w:pBdr>
              <w:spacing w:before="120" w:after="120"/>
              <w:rPr>
                <w:rFonts w:eastAsia="Google Sans" w:cs="Times New Roman"/>
                <w:b w:val="0"/>
                <w:bCs w:val="0"/>
              </w:rPr>
            </w:pPr>
            <w:r w:rsidRPr="007C1D9D">
              <w:rPr>
                <w:rFonts w:eastAsia="Google Sans" w:cs="Times New Roman"/>
              </w:rPr>
              <w:t>Profitability Index</w:t>
            </w:r>
          </w:p>
        </w:tc>
        <w:tc>
          <w:tcPr>
            <w:tcW w:w="1560" w:type="dxa"/>
          </w:tcPr>
          <w:p w14:paraId="24B98A9B" w14:textId="77777777" w:rsidR="00DF11DE" w:rsidRPr="007C1D9D" w:rsidRDefault="00000000" w:rsidP="00423571">
            <w:pPr>
              <w:pBdr>
                <w:top w:val="nil"/>
                <w:left w:val="nil"/>
                <w:bottom w:val="nil"/>
                <w:right w:val="nil"/>
                <w:between w:val="nil"/>
              </w:pBdr>
              <w:spacing w:before="120" w:after="120"/>
              <w:rPr>
                <w:rFonts w:eastAsia="Google Sans" w:cs="Times New Roman"/>
                <w:b w:val="0"/>
                <w:bCs w:val="0"/>
              </w:rPr>
            </w:pPr>
            <w:r w:rsidRPr="007C1D9D">
              <w:rPr>
                <w:rFonts w:eastAsia="Google Sans" w:cs="Times New Roman"/>
              </w:rPr>
              <w:t>Rank</w:t>
            </w:r>
          </w:p>
        </w:tc>
        <w:tc>
          <w:tcPr>
            <w:tcW w:w="1560" w:type="dxa"/>
          </w:tcPr>
          <w:p w14:paraId="7D0729EE" w14:textId="77777777" w:rsidR="00DF11DE" w:rsidRPr="007C1D9D" w:rsidRDefault="00000000" w:rsidP="00423571">
            <w:pPr>
              <w:pBdr>
                <w:top w:val="nil"/>
                <w:left w:val="nil"/>
                <w:bottom w:val="nil"/>
                <w:right w:val="nil"/>
                <w:between w:val="nil"/>
              </w:pBdr>
              <w:spacing w:before="120" w:after="120"/>
              <w:rPr>
                <w:rFonts w:eastAsia="Google Sans" w:cs="Times New Roman"/>
                <w:b w:val="0"/>
                <w:bCs w:val="0"/>
              </w:rPr>
            </w:pPr>
            <w:r w:rsidRPr="007C1D9D">
              <w:rPr>
                <w:rFonts w:eastAsia="Google Sans" w:cs="Times New Roman"/>
              </w:rPr>
              <w:t>Status</w:t>
            </w:r>
          </w:p>
        </w:tc>
      </w:tr>
      <w:tr w:rsidR="00DF11DE" w:rsidRPr="00141A3C" w14:paraId="0A68516F" w14:textId="77777777" w:rsidTr="007C1D9D">
        <w:trPr>
          <w:cnfStyle w:val="000000100000" w:firstRow="0" w:lastRow="0" w:firstColumn="0" w:lastColumn="0" w:oddVBand="0" w:evenVBand="0" w:oddHBand="1" w:evenHBand="0" w:firstRowFirstColumn="0" w:firstRowLastColumn="0" w:lastRowFirstColumn="0" w:lastRowLastColumn="0"/>
        </w:trPr>
        <w:tc>
          <w:tcPr>
            <w:tcW w:w="1560" w:type="dxa"/>
          </w:tcPr>
          <w:p w14:paraId="40FCB29B"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Option A</w:t>
            </w:r>
          </w:p>
        </w:tc>
        <w:tc>
          <w:tcPr>
            <w:tcW w:w="1560" w:type="dxa"/>
          </w:tcPr>
          <w:p w14:paraId="395CC92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£600,000</w:t>
            </w:r>
          </w:p>
        </w:tc>
        <w:tc>
          <w:tcPr>
            <w:tcW w:w="1560" w:type="dxa"/>
          </w:tcPr>
          <w:p w14:paraId="379E167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£643,168</w:t>
            </w:r>
          </w:p>
        </w:tc>
        <w:tc>
          <w:tcPr>
            <w:tcW w:w="1560" w:type="dxa"/>
          </w:tcPr>
          <w:p w14:paraId="46D0B4A3"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2.072</w:t>
            </w:r>
          </w:p>
        </w:tc>
        <w:tc>
          <w:tcPr>
            <w:tcW w:w="1560" w:type="dxa"/>
          </w:tcPr>
          <w:p w14:paraId="4FAEB026"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1</w:t>
            </w:r>
          </w:p>
        </w:tc>
        <w:tc>
          <w:tcPr>
            <w:tcW w:w="1560" w:type="dxa"/>
          </w:tcPr>
          <w:p w14:paraId="7BA880F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Accept</w:t>
            </w:r>
          </w:p>
        </w:tc>
      </w:tr>
      <w:tr w:rsidR="00DF11DE" w:rsidRPr="00141A3C" w14:paraId="12D58B33" w14:textId="77777777" w:rsidTr="007C1D9D">
        <w:tc>
          <w:tcPr>
            <w:tcW w:w="1560" w:type="dxa"/>
          </w:tcPr>
          <w:p w14:paraId="5F08D0BC"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Option B</w:t>
            </w:r>
          </w:p>
        </w:tc>
        <w:tc>
          <w:tcPr>
            <w:tcW w:w="1560" w:type="dxa"/>
          </w:tcPr>
          <w:p w14:paraId="703CAC16"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£1,000,000</w:t>
            </w:r>
          </w:p>
        </w:tc>
        <w:tc>
          <w:tcPr>
            <w:tcW w:w="1560" w:type="dxa"/>
          </w:tcPr>
          <w:p w14:paraId="62A2C87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£792,231</w:t>
            </w:r>
          </w:p>
        </w:tc>
        <w:tc>
          <w:tcPr>
            <w:tcW w:w="1560" w:type="dxa"/>
          </w:tcPr>
          <w:p w14:paraId="19F27765"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1.792</w:t>
            </w:r>
          </w:p>
        </w:tc>
        <w:tc>
          <w:tcPr>
            <w:tcW w:w="1560" w:type="dxa"/>
          </w:tcPr>
          <w:p w14:paraId="05DB2D92"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2</w:t>
            </w:r>
          </w:p>
        </w:tc>
        <w:tc>
          <w:tcPr>
            <w:tcW w:w="1560" w:type="dxa"/>
          </w:tcPr>
          <w:p w14:paraId="446FDF4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Accept</w:t>
            </w:r>
          </w:p>
        </w:tc>
      </w:tr>
      <w:tr w:rsidR="00DF11DE" w:rsidRPr="00141A3C" w14:paraId="62C7F6DA" w14:textId="77777777" w:rsidTr="007C1D9D">
        <w:trPr>
          <w:cnfStyle w:val="000000100000" w:firstRow="0" w:lastRow="0" w:firstColumn="0" w:lastColumn="0" w:oddVBand="0" w:evenVBand="0" w:oddHBand="1" w:evenHBand="0" w:firstRowFirstColumn="0" w:firstRowLastColumn="0" w:lastRowFirstColumn="0" w:lastRowLastColumn="0"/>
        </w:trPr>
        <w:tc>
          <w:tcPr>
            <w:tcW w:w="1560" w:type="dxa"/>
          </w:tcPr>
          <w:p w14:paraId="2549E64A"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Option C</w:t>
            </w:r>
          </w:p>
        </w:tc>
        <w:tc>
          <w:tcPr>
            <w:tcW w:w="1560" w:type="dxa"/>
          </w:tcPr>
          <w:p w14:paraId="1F1478A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£1,600,000</w:t>
            </w:r>
          </w:p>
        </w:tc>
        <w:tc>
          <w:tcPr>
            <w:tcW w:w="1560" w:type="dxa"/>
          </w:tcPr>
          <w:p w14:paraId="6F657B5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£742,480</w:t>
            </w:r>
          </w:p>
        </w:tc>
        <w:tc>
          <w:tcPr>
            <w:tcW w:w="1560" w:type="dxa"/>
          </w:tcPr>
          <w:p w14:paraId="233A1FFC"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1.464</w:t>
            </w:r>
          </w:p>
        </w:tc>
        <w:tc>
          <w:tcPr>
            <w:tcW w:w="1560" w:type="dxa"/>
          </w:tcPr>
          <w:p w14:paraId="07E9DCCB" w14:textId="77777777" w:rsidR="00DF11DE" w:rsidRPr="00141A3C" w:rsidRDefault="00000000" w:rsidP="00423571">
            <w:pPr>
              <w:pBdr>
                <w:top w:val="nil"/>
                <w:left w:val="nil"/>
                <w:bottom w:val="nil"/>
                <w:right w:val="nil"/>
                <w:between w:val="nil"/>
              </w:pBdr>
              <w:rPr>
                <w:rFonts w:eastAsia="Google Sans" w:cs="Times New Roman"/>
                <w:b/>
                <w:bCs/>
                <w:color w:val="1F1F1F"/>
              </w:rPr>
            </w:pPr>
            <w:r w:rsidRPr="00141A3C">
              <w:rPr>
                <w:rFonts w:eastAsia="Google Sans" w:cs="Times New Roman"/>
                <w:b/>
                <w:bCs/>
                <w:color w:val="1F1F1F"/>
              </w:rPr>
              <w:t>3</w:t>
            </w:r>
          </w:p>
        </w:tc>
        <w:tc>
          <w:tcPr>
            <w:tcW w:w="1560" w:type="dxa"/>
          </w:tcPr>
          <w:p w14:paraId="31C80DD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 xml:space="preserve">Accept </w:t>
            </w:r>
            <w:r w:rsidRPr="00141A3C">
              <w:rPr>
                <w:rFonts w:eastAsia="Google Sans" w:cs="Times New Roman"/>
                <w:color w:val="1F1F1F"/>
              </w:rPr>
              <w:lastRenderedPageBreak/>
              <w:t>(Partial)</w:t>
            </w:r>
          </w:p>
        </w:tc>
      </w:tr>
    </w:tbl>
    <w:p w14:paraId="7743F2CF" w14:textId="0106BDF7" w:rsidR="00DF11DE" w:rsidRPr="007C1D9D" w:rsidRDefault="00000000" w:rsidP="007C1D9D">
      <w:pPr>
        <w:pBdr>
          <w:top w:val="nil"/>
          <w:left w:val="nil"/>
          <w:bottom w:val="nil"/>
          <w:right w:val="nil"/>
          <w:between w:val="nil"/>
        </w:pBdr>
        <w:spacing w:before="480" w:after="240"/>
        <w:rPr>
          <w:rFonts w:eastAsia="Google Sans" w:cs="Times New Roman"/>
          <w:color w:val="1F1F1F"/>
        </w:rPr>
      </w:pPr>
      <w:r w:rsidRPr="00141A3C">
        <w:rPr>
          <w:rFonts w:eastAsia="Google Sans" w:cs="Times New Roman"/>
          <w:b/>
          <w:bCs/>
          <w:color w:val="1F1F1F"/>
        </w:rPr>
        <w:lastRenderedPageBreak/>
        <w:t>Optimal Investment Policy Allocation:</w:t>
      </w:r>
      <w:r w:rsidRPr="00141A3C">
        <w:rPr>
          <w:rFonts w:eastAsia="Google Sans" w:cs="Times New Roman"/>
          <w:color w:val="1F1F1F"/>
        </w:rPr>
        <w:t xml:space="preserve"> </w:t>
      </w:r>
      <w:r w:rsidR="005E38CE" w:rsidRPr="00141A3C">
        <w:rPr>
          <w:rFonts w:eastAsia="Google Sans" w:cs="Times New Roman"/>
          <w:color w:val="1F1F1F"/>
        </w:rPr>
        <w:t>As the requirements of the assignment indicate that the projects are perfectly divisible, Westward Plc will have to allocate money with maximum strictness using the PI ranking order until the entire amount of funds (i.e. £2,500,000) is completely utilised. Taking A and B together means the company will require £1,600,000 which leaves only £900, 000 to invest in Option C.</w:t>
      </w:r>
      <w:r w:rsidRPr="00141A3C">
        <w:rPr>
          <w:rFonts w:eastAsia="Google Sans" w:cs="Times New Roman"/>
          <w:b/>
          <w:bCs/>
          <w:color w:val="1F1F1F"/>
        </w:rPr>
        <w:t xml:space="preserve"> </w:t>
      </w:r>
    </w:p>
    <w:p w14:paraId="310BE1F1" w14:textId="28816B09" w:rsidR="007C1D9D" w:rsidRDefault="007C1D9D" w:rsidP="007C1D9D">
      <w:pPr>
        <w:pStyle w:val="Caption"/>
        <w:keepNext/>
        <w:jc w:val="center"/>
      </w:pPr>
      <w:bookmarkStart w:id="27" w:name="_Toc224863322"/>
      <w:r>
        <w:t xml:space="preserve">Table </w:t>
      </w:r>
      <w:r>
        <w:fldChar w:fldCharType="begin"/>
      </w:r>
      <w:r>
        <w:instrText xml:space="preserve"> SEQ Table \* ARABIC </w:instrText>
      </w:r>
      <w:r>
        <w:fldChar w:fldCharType="separate"/>
      </w:r>
      <w:r>
        <w:rPr>
          <w:noProof/>
        </w:rPr>
        <w:t>11</w:t>
      </w:r>
      <w:r>
        <w:fldChar w:fldCharType="end"/>
      </w:r>
      <w:r>
        <w:t xml:space="preserve">: </w:t>
      </w:r>
      <w:r w:rsidRPr="00067146">
        <w:t>Optimal Portfolio Allocation (Budget: £2,500,000)</w:t>
      </w:r>
      <w:bookmarkEnd w:id="27"/>
    </w:p>
    <w:tbl>
      <w:tblPr>
        <w:tblStyle w:val="GridTable5Dark-Accent1"/>
        <w:tblW w:w="9360" w:type="dxa"/>
        <w:tblLayout w:type="fixed"/>
        <w:tblLook w:val="0460" w:firstRow="1" w:lastRow="1" w:firstColumn="0" w:lastColumn="0" w:noHBand="0" w:noVBand="1"/>
      </w:tblPr>
      <w:tblGrid>
        <w:gridCol w:w="1872"/>
        <w:gridCol w:w="1872"/>
        <w:gridCol w:w="1872"/>
        <w:gridCol w:w="1872"/>
        <w:gridCol w:w="1872"/>
      </w:tblGrid>
      <w:tr w:rsidR="00DF11DE" w:rsidRPr="00141A3C" w14:paraId="4EF74AE2" w14:textId="77777777" w:rsidTr="007C1D9D">
        <w:trPr>
          <w:cnfStyle w:val="100000000000" w:firstRow="1" w:lastRow="0" w:firstColumn="0" w:lastColumn="0" w:oddVBand="0" w:evenVBand="0" w:oddHBand="0" w:evenHBand="0" w:firstRowFirstColumn="0" w:firstRowLastColumn="0" w:lastRowFirstColumn="0" w:lastRowLastColumn="0"/>
        </w:trPr>
        <w:tc>
          <w:tcPr>
            <w:tcW w:w="1872" w:type="dxa"/>
          </w:tcPr>
          <w:p w14:paraId="04C6D927" w14:textId="77777777" w:rsidR="00DF11DE" w:rsidRPr="007C1D9D" w:rsidRDefault="00000000" w:rsidP="007C1D9D">
            <w:pPr>
              <w:pBdr>
                <w:top w:val="nil"/>
                <w:left w:val="nil"/>
                <w:bottom w:val="nil"/>
                <w:right w:val="nil"/>
                <w:between w:val="nil"/>
              </w:pBdr>
              <w:spacing w:before="120" w:after="120"/>
              <w:jc w:val="center"/>
              <w:rPr>
                <w:rFonts w:eastAsia="Google Sans" w:cs="Times New Roman"/>
                <w:b w:val="0"/>
                <w:bCs w:val="0"/>
              </w:rPr>
            </w:pPr>
            <w:r w:rsidRPr="007C1D9D">
              <w:rPr>
                <w:rFonts w:eastAsia="Google Sans" w:cs="Times New Roman"/>
              </w:rPr>
              <w:t>Priority Rank</w:t>
            </w:r>
          </w:p>
        </w:tc>
        <w:tc>
          <w:tcPr>
            <w:tcW w:w="1872" w:type="dxa"/>
          </w:tcPr>
          <w:p w14:paraId="5B855AA6" w14:textId="77777777" w:rsidR="00DF11DE" w:rsidRPr="007C1D9D" w:rsidRDefault="00000000" w:rsidP="007C1D9D">
            <w:pPr>
              <w:pBdr>
                <w:top w:val="nil"/>
                <w:left w:val="nil"/>
                <w:bottom w:val="nil"/>
                <w:right w:val="nil"/>
                <w:between w:val="nil"/>
              </w:pBdr>
              <w:spacing w:before="120" w:after="120"/>
              <w:jc w:val="center"/>
              <w:rPr>
                <w:rFonts w:eastAsia="Google Sans" w:cs="Times New Roman"/>
                <w:b w:val="0"/>
                <w:bCs w:val="0"/>
              </w:rPr>
            </w:pPr>
            <w:r w:rsidRPr="007C1D9D">
              <w:rPr>
                <w:rFonts w:eastAsia="Google Sans" w:cs="Times New Roman"/>
              </w:rPr>
              <w:t>Project</w:t>
            </w:r>
          </w:p>
        </w:tc>
        <w:tc>
          <w:tcPr>
            <w:tcW w:w="1872" w:type="dxa"/>
          </w:tcPr>
          <w:p w14:paraId="25F375F6" w14:textId="77777777" w:rsidR="00DF11DE" w:rsidRPr="007C1D9D" w:rsidRDefault="00000000" w:rsidP="007C1D9D">
            <w:pPr>
              <w:pBdr>
                <w:top w:val="nil"/>
                <w:left w:val="nil"/>
                <w:bottom w:val="nil"/>
                <w:right w:val="nil"/>
                <w:between w:val="nil"/>
              </w:pBdr>
              <w:spacing w:before="120" w:after="120"/>
              <w:jc w:val="center"/>
              <w:rPr>
                <w:rFonts w:eastAsia="Google Sans" w:cs="Times New Roman"/>
                <w:b w:val="0"/>
                <w:bCs w:val="0"/>
              </w:rPr>
            </w:pPr>
            <w:r w:rsidRPr="007C1D9D">
              <w:rPr>
                <w:rFonts w:eastAsia="Google Sans" w:cs="Times New Roman"/>
              </w:rPr>
              <w:t>Divisible Allocation %</w:t>
            </w:r>
          </w:p>
        </w:tc>
        <w:tc>
          <w:tcPr>
            <w:tcW w:w="1872" w:type="dxa"/>
          </w:tcPr>
          <w:p w14:paraId="0801282D" w14:textId="77777777" w:rsidR="00DF11DE" w:rsidRPr="007C1D9D" w:rsidRDefault="00000000" w:rsidP="007C1D9D">
            <w:pPr>
              <w:pBdr>
                <w:top w:val="nil"/>
                <w:left w:val="nil"/>
                <w:bottom w:val="nil"/>
                <w:right w:val="nil"/>
                <w:between w:val="nil"/>
              </w:pBdr>
              <w:spacing w:before="120" w:after="120"/>
              <w:jc w:val="center"/>
              <w:rPr>
                <w:rFonts w:eastAsia="Google Sans" w:cs="Times New Roman"/>
                <w:b w:val="0"/>
                <w:bCs w:val="0"/>
              </w:rPr>
            </w:pPr>
            <w:r w:rsidRPr="007C1D9D">
              <w:rPr>
                <w:rFonts w:eastAsia="Google Sans" w:cs="Times New Roman"/>
              </w:rPr>
              <w:t>Capital Utilised</w:t>
            </w:r>
          </w:p>
        </w:tc>
        <w:tc>
          <w:tcPr>
            <w:tcW w:w="1872" w:type="dxa"/>
          </w:tcPr>
          <w:p w14:paraId="2F6EF69A" w14:textId="77777777" w:rsidR="00DF11DE" w:rsidRPr="007C1D9D" w:rsidRDefault="00000000" w:rsidP="007C1D9D">
            <w:pPr>
              <w:pBdr>
                <w:top w:val="nil"/>
                <w:left w:val="nil"/>
                <w:bottom w:val="nil"/>
                <w:right w:val="nil"/>
                <w:between w:val="nil"/>
              </w:pBdr>
              <w:spacing w:before="120" w:after="120"/>
              <w:jc w:val="center"/>
              <w:rPr>
                <w:rFonts w:eastAsia="Google Sans" w:cs="Times New Roman"/>
                <w:b w:val="0"/>
                <w:bCs w:val="0"/>
              </w:rPr>
            </w:pPr>
            <w:r w:rsidRPr="007C1D9D">
              <w:rPr>
                <w:rFonts w:eastAsia="Google Sans" w:cs="Times New Roman"/>
              </w:rPr>
              <w:t>NPV Generated</w:t>
            </w:r>
          </w:p>
        </w:tc>
      </w:tr>
      <w:tr w:rsidR="00DF11DE" w:rsidRPr="00141A3C" w14:paraId="589CD90D" w14:textId="77777777" w:rsidTr="007C1D9D">
        <w:trPr>
          <w:cnfStyle w:val="000000100000" w:firstRow="0" w:lastRow="0" w:firstColumn="0" w:lastColumn="0" w:oddVBand="0" w:evenVBand="0" w:oddHBand="1" w:evenHBand="0" w:firstRowFirstColumn="0" w:firstRowLastColumn="0" w:lastRowFirstColumn="0" w:lastRowLastColumn="0"/>
        </w:trPr>
        <w:tc>
          <w:tcPr>
            <w:tcW w:w="1872" w:type="dxa"/>
          </w:tcPr>
          <w:p w14:paraId="0000B13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w:t>
            </w:r>
          </w:p>
        </w:tc>
        <w:tc>
          <w:tcPr>
            <w:tcW w:w="1872" w:type="dxa"/>
          </w:tcPr>
          <w:p w14:paraId="359C7C01"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Option A</w:t>
            </w:r>
          </w:p>
        </w:tc>
        <w:tc>
          <w:tcPr>
            <w:tcW w:w="1872" w:type="dxa"/>
          </w:tcPr>
          <w:p w14:paraId="4F4DFC18"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w:t>
            </w:r>
          </w:p>
        </w:tc>
        <w:tc>
          <w:tcPr>
            <w:tcW w:w="1872" w:type="dxa"/>
          </w:tcPr>
          <w:p w14:paraId="7DCD0227"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£600,000</w:t>
            </w:r>
          </w:p>
        </w:tc>
        <w:tc>
          <w:tcPr>
            <w:tcW w:w="1872" w:type="dxa"/>
          </w:tcPr>
          <w:p w14:paraId="3CD87F6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£643,167.94</w:t>
            </w:r>
          </w:p>
        </w:tc>
      </w:tr>
      <w:tr w:rsidR="00DF11DE" w:rsidRPr="00141A3C" w14:paraId="5B0B1AF6" w14:textId="77777777" w:rsidTr="007C1D9D">
        <w:tc>
          <w:tcPr>
            <w:tcW w:w="1872" w:type="dxa"/>
          </w:tcPr>
          <w:p w14:paraId="143FB5D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2</w:t>
            </w:r>
          </w:p>
        </w:tc>
        <w:tc>
          <w:tcPr>
            <w:tcW w:w="1872" w:type="dxa"/>
          </w:tcPr>
          <w:p w14:paraId="6B30DFEF"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Option B</w:t>
            </w:r>
          </w:p>
        </w:tc>
        <w:tc>
          <w:tcPr>
            <w:tcW w:w="1872" w:type="dxa"/>
          </w:tcPr>
          <w:p w14:paraId="4D0BCF4E"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w:t>
            </w:r>
          </w:p>
        </w:tc>
        <w:tc>
          <w:tcPr>
            <w:tcW w:w="1872" w:type="dxa"/>
          </w:tcPr>
          <w:p w14:paraId="591CCA5C"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£1,000,000</w:t>
            </w:r>
          </w:p>
        </w:tc>
        <w:tc>
          <w:tcPr>
            <w:tcW w:w="1872" w:type="dxa"/>
          </w:tcPr>
          <w:p w14:paraId="408C2242"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£792,231.21</w:t>
            </w:r>
          </w:p>
        </w:tc>
      </w:tr>
      <w:tr w:rsidR="00DF11DE" w:rsidRPr="00141A3C" w14:paraId="0CCB8614" w14:textId="77777777" w:rsidTr="007C1D9D">
        <w:trPr>
          <w:cnfStyle w:val="000000100000" w:firstRow="0" w:lastRow="0" w:firstColumn="0" w:lastColumn="0" w:oddVBand="0" w:evenVBand="0" w:oddHBand="1" w:evenHBand="0" w:firstRowFirstColumn="0" w:firstRowLastColumn="0" w:lastRowFirstColumn="0" w:lastRowLastColumn="0"/>
        </w:trPr>
        <w:tc>
          <w:tcPr>
            <w:tcW w:w="1872" w:type="dxa"/>
          </w:tcPr>
          <w:p w14:paraId="5416392A"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3</w:t>
            </w:r>
          </w:p>
        </w:tc>
        <w:tc>
          <w:tcPr>
            <w:tcW w:w="1872" w:type="dxa"/>
          </w:tcPr>
          <w:p w14:paraId="739BEC60"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Option C</w:t>
            </w:r>
          </w:p>
        </w:tc>
        <w:tc>
          <w:tcPr>
            <w:tcW w:w="1872" w:type="dxa"/>
          </w:tcPr>
          <w:p w14:paraId="3FC82333"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56.25%</w:t>
            </w:r>
          </w:p>
        </w:tc>
        <w:tc>
          <w:tcPr>
            <w:tcW w:w="1872" w:type="dxa"/>
          </w:tcPr>
          <w:p w14:paraId="7BFB2CF9"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£900,000</w:t>
            </w:r>
          </w:p>
        </w:tc>
        <w:tc>
          <w:tcPr>
            <w:tcW w:w="1872" w:type="dxa"/>
          </w:tcPr>
          <w:p w14:paraId="6DF9374D" w14:textId="77777777" w:rsidR="00DF11DE" w:rsidRPr="00141A3C" w:rsidRDefault="00000000" w:rsidP="00423571">
            <w:pPr>
              <w:pBdr>
                <w:top w:val="nil"/>
                <w:left w:val="nil"/>
                <w:bottom w:val="nil"/>
                <w:right w:val="nil"/>
                <w:between w:val="nil"/>
              </w:pBdr>
              <w:rPr>
                <w:rFonts w:eastAsia="Google Sans" w:cs="Times New Roman"/>
                <w:color w:val="1F1F1F"/>
              </w:rPr>
            </w:pPr>
            <w:r w:rsidRPr="00141A3C">
              <w:rPr>
                <w:rFonts w:eastAsia="Google Sans" w:cs="Times New Roman"/>
                <w:color w:val="1F1F1F"/>
              </w:rPr>
              <w:t>£417,645.07</w:t>
            </w:r>
          </w:p>
        </w:tc>
      </w:tr>
      <w:tr w:rsidR="00DF11DE" w:rsidRPr="00141A3C" w14:paraId="68407ECE" w14:textId="77777777" w:rsidTr="007C1D9D">
        <w:trPr>
          <w:cnfStyle w:val="010000000000" w:firstRow="0" w:lastRow="1" w:firstColumn="0" w:lastColumn="0" w:oddVBand="0" w:evenVBand="0" w:oddHBand="0" w:evenHBand="0" w:firstRowFirstColumn="0" w:firstRowLastColumn="0" w:lastRowFirstColumn="0" w:lastRowLastColumn="0"/>
        </w:trPr>
        <w:tc>
          <w:tcPr>
            <w:tcW w:w="1872" w:type="dxa"/>
          </w:tcPr>
          <w:p w14:paraId="76E35F8A" w14:textId="77777777" w:rsidR="00DF11DE" w:rsidRPr="00141A3C" w:rsidRDefault="00000000" w:rsidP="00423571">
            <w:pPr>
              <w:pBdr>
                <w:top w:val="nil"/>
                <w:left w:val="nil"/>
                <w:bottom w:val="nil"/>
                <w:right w:val="nil"/>
                <w:between w:val="nil"/>
              </w:pBdr>
              <w:rPr>
                <w:rFonts w:eastAsia="Google Sans" w:cs="Times New Roman"/>
                <w:b w:val="0"/>
                <w:bCs w:val="0"/>
                <w:color w:val="1F1F1F"/>
              </w:rPr>
            </w:pPr>
            <w:r w:rsidRPr="00141A3C">
              <w:rPr>
                <w:rFonts w:eastAsia="Google Sans" w:cs="Times New Roman"/>
                <w:color w:val="1F1F1F"/>
              </w:rPr>
              <w:t>Total Portfolio</w:t>
            </w:r>
          </w:p>
        </w:tc>
        <w:tc>
          <w:tcPr>
            <w:tcW w:w="1872" w:type="dxa"/>
          </w:tcPr>
          <w:p w14:paraId="0BD52CC5" w14:textId="77777777" w:rsidR="00DF11DE" w:rsidRPr="00141A3C" w:rsidRDefault="00DF11DE" w:rsidP="00423571">
            <w:pPr>
              <w:pBdr>
                <w:top w:val="nil"/>
                <w:left w:val="nil"/>
                <w:bottom w:val="nil"/>
                <w:right w:val="nil"/>
                <w:between w:val="nil"/>
              </w:pBdr>
              <w:rPr>
                <w:rFonts w:eastAsia="Google Sans" w:cs="Times New Roman"/>
                <w:b w:val="0"/>
                <w:bCs w:val="0"/>
                <w:color w:val="1F1F1F"/>
              </w:rPr>
            </w:pPr>
          </w:p>
        </w:tc>
        <w:tc>
          <w:tcPr>
            <w:tcW w:w="1872" w:type="dxa"/>
          </w:tcPr>
          <w:p w14:paraId="0C2329F5" w14:textId="77777777" w:rsidR="00DF11DE" w:rsidRPr="00141A3C" w:rsidRDefault="00DF11DE" w:rsidP="00423571">
            <w:pPr>
              <w:pBdr>
                <w:top w:val="nil"/>
                <w:left w:val="nil"/>
                <w:bottom w:val="nil"/>
                <w:right w:val="nil"/>
                <w:between w:val="nil"/>
              </w:pBdr>
              <w:rPr>
                <w:rFonts w:eastAsia="Google Sans" w:cs="Times New Roman"/>
                <w:b w:val="0"/>
                <w:bCs w:val="0"/>
                <w:color w:val="1F1F1F"/>
              </w:rPr>
            </w:pPr>
          </w:p>
        </w:tc>
        <w:tc>
          <w:tcPr>
            <w:tcW w:w="1872" w:type="dxa"/>
          </w:tcPr>
          <w:p w14:paraId="3C0D4BCF" w14:textId="77777777" w:rsidR="00DF11DE" w:rsidRPr="00141A3C" w:rsidRDefault="00000000" w:rsidP="00423571">
            <w:pPr>
              <w:pBdr>
                <w:top w:val="nil"/>
                <w:left w:val="nil"/>
                <w:bottom w:val="nil"/>
                <w:right w:val="nil"/>
                <w:between w:val="nil"/>
              </w:pBdr>
              <w:rPr>
                <w:rFonts w:eastAsia="Google Sans" w:cs="Times New Roman"/>
                <w:b w:val="0"/>
                <w:bCs w:val="0"/>
                <w:color w:val="1F1F1F"/>
              </w:rPr>
            </w:pPr>
            <w:r w:rsidRPr="00141A3C">
              <w:rPr>
                <w:rFonts w:eastAsia="Google Sans" w:cs="Times New Roman"/>
                <w:color w:val="1F1F1F"/>
              </w:rPr>
              <w:t>£2,500,000</w:t>
            </w:r>
          </w:p>
        </w:tc>
        <w:tc>
          <w:tcPr>
            <w:tcW w:w="1872" w:type="dxa"/>
          </w:tcPr>
          <w:p w14:paraId="652219B1" w14:textId="77777777" w:rsidR="00DF11DE" w:rsidRPr="00141A3C" w:rsidRDefault="00000000" w:rsidP="00423571">
            <w:pPr>
              <w:pBdr>
                <w:top w:val="nil"/>
                <w:left w:val="nil"/>
                <w:bottom w:val="nil"/>
                <w:right w:val="nil"/>
                <w:between w:val="nil"/>
              </w:pBdr>
              <w:rPr>
                <w:rFonts w:eastAsia="Google Sans" w:cs="Times New Roman"/>
                <w:b w:val="0"/>
                <w:bCs w:val="0"/>
                <w:color w:val="1F1F1F"/>
              </w:rPr>
            </w:pPr>
            <w:r w:rsidRPr="00141A3C">
              <w:rPr>
                <w:rFonts w:eastAsia="Google Sans" w:cs="Times New Roman"/>
                <w:color w:val="1F1F1F"/>
              </w:rPr>
              <w:t>£1,853,044.22</w:t>
            </w:r>
          </w:p>
        </w:tc>
      </w:tr>
    </w:tbl>
    <w:p w14:paraId="0D4D8712" w14:textId="14B08652" w:rsidR="00DF11DE" w:rsidRPr="00141A3C" w:rsidRDefault="005E38CE" w:rsidP="00423571">
      <w:pPr>
        <w:pBdr>
          <w:top w:val="nil"/>
          <w:left w:val="nil"/>
          <w:bottom w:val="nil"/>
          <w:right w:val="nil"/>
          <w:between w:val="nil"/>
        </w:pBdr>
        <w:spacing w:before="480" w:after="240"/>
        <w:rPr>
          <w:rFonts w:eastAsia="Google Sans" w:cs="Times New Roman"/>
          <w:i/>
          <w:iCs/>
          <w:color w:val="1F1F1F"/>
        </w:rPr>
      </w:pPr>
      <w:r w:rsidRPr="00141A3C">
        <w:rPr>
          <w:rFonts w:eastAsia="Google Sans" w:cs="Times New Roman"/>
          <w:color w:val="1F1F1F"/>
        </w:rPr>
        <w:t>Using this mathematically optimised portfolio methodology, in hard rationing conditions, Westward Plc is able to ensure generation of the absolute optimal potential wealth of £1,853,044 without violating the external capital constraint. In the case of pure indivisibility of the projects, the firm could only afford to fund Options B and C and thus strikingly under-exploit their true potential of wealth generation hence strongly demonstrating the economic inefficiency of hard capital rationing.</w:t>
      </w:r>
    </w:p>
    <w:p w14:paraId="72437608" w14:textId="427424B4" w:rsidR="00DF11DE" w:rsidRPr="00141A3C" w:rsidRDefault="00000000" w:rsidP="0067672C">
      <w:pPr>
        <w:pStyle w:val="Heading3"/>
      </w:pPr>
      <w:bookmarkStart w:id="28" w:name="_Toc224863302"/>
      <w:r w:rsidRPr="00141A3C">
        <w:t>Sources of Finance Recommendations</w:t>
      </w:r>
      <w:bookmarkEnd w:id="28"/>
    </w:p>
    <w:p w14:paraId="21140F76" w14:textId="63894368" w:rsidR="00DF11DE" w:rsidRPr="00141A3C" w:rsidRDefault="005E38CE" w:rsidP="00423571">
      <w:pPr>
        <w:pBdr>
          <w:top w:val="nil"/>
          <w:left w:val="nil"/>
          <w:bottom w:val="nil"/>
          <w:right w:val="nil"/>
          <w:between w:val="nil"/>
        </w:pBdr>
        <w:spacing w:after="120"/>
        <w:rPr>
          <w:rFonts w:eastAsia="Google Sans" w:cs="Times New Roman"/>
          <w:color w:val="1F1F1F"/>
        </w:rPr>
      </w:pPr>
      <w:r w:rsidRPr="00141A3C">
        <w:rPr>
          <w:rFonts w:eastAsia="Google Sans" w:cs="Times New Roman"/>
          <w:color w:val="1F1F1F"/>
        </w:rPr>
        <w:t xml:space="preserve">Westward Plc has to be cautious about its capitals structure to fund this ideal </w:t>
      </w:r>
      <w:r w:rsidR="0021492A" w:rsidRPr="00141A3C">
        <w:rPr>
          <w:rFonts w:eastAsia="Google Sans" w:cs="Times New Roman"/>
          <w:color w:val="1F1F1F"/>
        </w:rPr>
        <w:t>£</w:t>
      </w:r>
      <w:r w:rsidRPr="00141A3C">
        <w:rPr>
          <w:rFonts w:eastAsia="Google Sans" w:cs="Times New Roman"/>
          <w:color w:val="1F1F1F"/>
        </w:rPr>
        <w:t>2.5 million investment policy. The main principle that the Board is to follow is the Pecking Order Theory of capital structure introduced by Myers and Majluf (1984) proposing that the firms must finance its investments in a particular order to ensure the minimisation of information asymmetry and the issuance costs (</w:t>
      </w:r>
      <w:r w:rsidR="009225EB" w:rsidRPr="009225EB">
        <w:rPr>
          <w:rFonts w:eastAsia="Google Sans" w:cs="Times New Roman"/>
          <w:color w:val="1F1F1F"/>
        </w:rPr>
        <w:t xml:space="preserve">Bhimani, 2022; Moussa and </w:t>
      </w:r>
      <w:proofErr w:type="spellStart"/>
      <w:r w:rsidR="009225EB" w:rsidRPr="009225EB">
        <w:rPr>
          <w:rFonts w:eastAsia="Google Sans" w:cs="Times New Roman"/>
          <w:color w:val="1F1F1F"/>
        </w:rPr>
        <w:t>Elmarzouky</w:t>
      </w:r>
      <w:proofErr w:type="spellEnd"/>
      <w:r w:rsidR="009225EB" w:rsidRPr="009225EB">
        <w:rPr>
          <w:rFonts w:eastAsia="Google Sans" w:cs="Times New Roman"/>
          <w:color w:val="1F1F1F"/>
        </w:rPr>
        <w:t>, 2024</w:t>
      </w:r>
      <w:r w:rsidRPr="00141A3C">
        <w:rPr>
          <w:rFonts w:eastAsia="Google Sans" w:cs="Times New Roman"/>
          <w:color w:val="1F1F1F"/>
        </w:rPr>
        <w:t>).</w:t>
      </w:r>
    </w:p>
    <w:p w14:paraId="19A1F3C4" w14:textId="48443DFF" w:rsidR="00DF11DE" w:rsidRPr="00141A3C" w:rsidRDefault="00000000" w:rsidP="00423571">
      <w:pPr>
        <w:numPr>
          <w:ilvl w:val="0"/>
          <w:numId w:val="14"/>
        </w:numPr>
        <w:pBdr>
          <w:top w:val="nil"/>
          <w:left w:val="nil"/>
          <w:bottom w:val="nil"/>
          <w:right w:val="nil"/>
          <w:between w:val="nil"/>
        </w:pBdr>
        <w:rPr>
          <w:rFonts w:cs="Times New Roman"/>
        </w:rPr>
      </w:pPr>
      <w:r w:rsidRPr="00141A3C">
        <w:rPr>
          <w:rFonts w:eastAsia="Google Sans" w:cs="Times New Roman"/>
          <w:b/>
          <w:bCs/>
          <w:color w:val="1F1F1F"/>
        </w:rPr>
        <w:t>Retained Earnings (Internal Equity):</w:t>
      </w:r>
      <w:r w:rsidRPr="00141A3C">
        <w:rPr>
          <w:rFonts w:eastAsia="Google Sans" w:cs="Times New Roman"/>
          <w:color w:val="1F1F1F"/>
        </w:rPr>
        <w:t xml:space="preserve"> </w:t>
      </w:r>
      <w:r w:rsidR="005E38CE" w:rsidRPr="00141A3C">
        <w:rPr>
          <w:rFonts w:eastAsia="Google Sans" w:cs="Times New Roman"/>
          <w:color w:val="1F1F1F"/>
        </w:rPr>
        <w:t xml:space="preserve">This need to be the most primary source of capital. </w:t>
      </w:r>
      <w:r w:rsidR="005E38CE" w:rsidRPr="00141A3C">
        <w:rPr>
          <w:rFonts w:eastAsia="Google Sans" w:cs="Times New Roman"/>
          <w:color w:val="1F1F1F"/>
        </w:rPr>
        <w:lastRenderedPageBreak/>
        <w:t>Internal funding has zero issuance cost, no limiting debt covenant mandates on the part of banks, and there is absolutely no model that erodes corporate control such as that which comes along with the sale of new shares to outside investors.</w:t>
      </w:r>
    </w:p>
    <w:p w14:paraId="75116E22" w14:textId="13E52120" w:rsidR="00DF11DE" w:rsidRPr="00141A3C" w:rsidRDefault="00000000" w:rsidP="00423571">
      <w:pPr>
        <w:numPr>
          <w:ilvl w:val="0"/>
          <w:numId w:val="14"/>
        </w:numPr>
        <w:pBdr>
          <w:top w:val="nil"/>
          <w:left w:val="nil"/>
          <w:bottom w:val="nil"/>
          <w:right w:val="nil"/>
          <w:between w:val="nil"/>
        </w:pBdr>
        <w:rPr>
          <w:rFonts w:cs="Times New Roman"/>
        </w:rPr>
      </w:pPr>
      <w:r w:rsidRPr="00141A3C">
        <w:rPr>
          <w:rFonts w:eastAsia="Google Sans" w:cs="Times New Roman"/>
          <w:b/>
          <w:bCs/>
          <w:color w:val="1F1F1F"/>
        </w:rPr>
        <w:t>Long-Term Debt (Bank Loans or Corporate Bonds):</w:t>
      </w:r>
      <w:r w:rsidRPr="00141A3C">
        <w:rPr>
          <w:rFonts w:eastAsia="Google Sans" w:cs="Times New Roman"/>
          <w:color w:val="1F1F1F"/>
        </w:rPr>
        <w:t xml:space="preserve"> </w:t>
      </w:r>
      <w:r w:rsidR="005E38CE" w:rsidRPr="00141A3C">
        <w:rPr>
          <w:rFonts w:eastAsia="Google Sans" w:cs="Times New Roman"/>
          <w:color w:val="1F1F1F"/>
        </w:rPr>
        <w:t xml:space="preserve">In case the internal financial sources are not sufficient to meet the </w:t>
      </w:r>
      <w:r w:rsidR="0021492A" w:rsidRPr="00141A3C">
        <w:rPr>
          <w:rFonts w:eastAsia="Google Sans" w:cs="Times New Roman"/>
          <w:color w:val="1F1F1F"/>
        </w:rPr>
        <w:t>£</w:t>
      </w:r>
      <w:r w:rsidR="005E38CE" w:rsidRPr="00141A3C">
        <w:rPr>
          <w:rFonts w:eastAsia="Google Sans" w:cs="Times New Roman"/>
          <w:color w:val="1F1F1F"/>
        </w:rPr>
        <w:t>2.5 million, debt has to be the second option. By the Trade-Off Theory, it is immensely beneficial to introduce more moderate levels of debt in the capital structure because of the presence of the so-called interest tax shield (interest payments are tax-deductible), which essentially reduces the cost of capital of the firm and makes the overall returns to the representatives of the shareholders much higher (</w:t>
      </w:r>
      <w:proofErr w:type="spellStart"/>
      <w:r w:rsidR="005E38CE" w:rsidRPr="00141A3C">
        <w:rPr>
          <w:rFonts w:eastAsia="Google Sans" w:cs="Times New Roman"/>
          <w:color w:val="1F1F1F"/>
        </w:rPr>
        <w:t>Alghifari</w:t>
      </w:r>
      <w:proofErr w:type="spellEnd"/>
      <w:r w:rsidR="005E38CE" w:rsidRPr="00141A3C">
        <w:rPr>
          <w:rFonts w:eastAsia="Google Sans" w:cs="Times New Roman"/>
          <w:color w:val="1F1F1F"/>
        </w:rPr>
        <w:t xml:space="preserve"> et al., 2022; </w:t>
      </w:r>
      <w:proofErr w:type="spellStart"/>
      <w:r w:rsidR="005E38CE" w:rsidRPr="00141A3C">
        <w:rPr>
          <w:rFonts w:eastAsia="Google Sans" w:cs="Times New Roman"/>
          <w:color w:val="1F1F1F"/>
        </w:rPr>
        <w:t>Arhinful</w:t>
      </w:r>
      <w:proofErr w:type="spellEnd"/>
      <w:r w:rsidR="005E38CE" w:rsidRPr="00141A3C">
        <w:rPr>
          <w:rFonts w:eastAsia="Google Sans" w:cs="Times New Roman"/>
          <w:color w:val="1F1F1F"/>
        </w:rPr>
        <w:t xml:space="preserve"> et al., 2025; Hanlon and Heitzman, 2022). Nevertheless, the management should proactively take measures that this leverage is not exorbitant since the tax benefits will be eventually balanced by the growing likelihood and expenses of financial distress and bankruptcy (Saunders et al., 2021).</w:t>
      </w:r>
    </w:p>
    <w:p w14:paraId="38BAF694" w14:textId="1648B4EF" w:rsidR="00DF11DE" w:rsidRPr="00141A3C" w:rsidRDefault="00000000" w:rsidP="00423571">
      <w:pPr>
        <w:numPr>
          <w:ilvl w:val="0"/>
          <w:numId w:val="14"/>
        </w:numPr>
        <w:pBdr>
          <w:top w:val="nil"/>
          <w:left w:val="nil"/>
          <w:bottom w:val="nil"/>
          <w:right w:val="nil"/>
          <w:between w:val="nil"/>
        </w:pBdr>
        <w:spacing w:after="120"/>
        <w:rPr>
          <w:rFonts w:cs="Times New Roman"/>
        </w:rPr>
      </w:pPr>
      <w:r w:rsidRPr="00141A3C">
        <w:rPr>
          <w:rFonts w:eastAsia="Google Sans" w:cs="Times New Roman"/>
          <w:b/>
          <w:bCs/>
          <w:color w:val="1F1F1F"/>
        </w:rPr>
        <w:t>External Equity (Issuing Shares):</w:t>
      </w:r>
      <w:r w:rsidRPr="00141A3C">
        <w:rPr>
          <w:rFonts w:eastAsia="Google Sans" w:cs="Times New Roman"/>
          <w:color w:val="1F1F1F"/>
        </w:rPr>
        <w:t xml:space="preserve"> </w:t>
      </w:r>
      <w:r w:rsidR="005E38CE" w:rsidRPr="00141A3C">
        <w:rPr>
          <w:rFonts w:eastAsia="Google Sans" w:cs="Times New Roman"/>
          <w:color w:val="1F1F1F"/>
        </w:rPr>
        <w:t>This must be considered as the last resort. It is the costliest finance, damages underwriting and legal expenses are very high and instantaneously dilutes current shareholders ownership, voting and subsequent dividend proceeds.</w:t>
      </w:r>
    </w:p>
    <w:p w14:paraId="779258B7" w14:textId="77777777" w:rsidR="00DF11DE" w:rsidRPr="00141A3C" w:rsidRDefault="00000000" w:rsidP="008E2985">
      <w:pPr>
        <w:pStyle w:val="Heading1"/>
      </w:pPr>
      <w:bookmarkStart w:id="29" w:name="_Toc224863303"/>
      <w:r w:rsidRPr="0067672C">
        <w:t>Conclusion</w:t>
      </w:r>
      <w:bookmarkEnd w:id="29"/>
    </w:p>
    <w:p w14:paraId="4FE05BDC" w14:textId="5E977FCF" w:rsidR="005E38CE" w:rsidRPr="00141A3C" w:rsidRDefault="005E38CE" w:rsidP="005E38CE">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 xml:space="preserve">The importance of the critical financial analysis in determining corporate strategy has been clearly outlined in this report. Ratio analysis of Task 1 showed that Tesco PLC has continued to achieve strong underlying </w:t>
      </w:r>
      <w:r w:rsidR="008E2985" w:rsidRPr="00141A3C">
        <w:rPr>
          <w:rFonts w:eastAsia="Google Sans" w:cs="Times New Roman"/>
          <w:color w:val="1F1F1F"/>
        </w:rPr>
        <w:t>profitability,</w:t>
      </w:r>
      <w:r w:rsidRPr="00141A3C">
        <w:rPr>
          <w:rFonts w:eastAsia="Google Sans" w:cs="Times New Roman"/>
          <w:color w:val="1F1F1F"/>
        </w:rPr>
        <w:t xml:space="preserve"> and outstanding shareholder returns in the backdrop of the harsh macroeconomic headwinds of food inflation and global supply chain volatility. The liquidity ratios deterioration process is purely as a byproduct of the strategic liquidation of Tesco </w:t>
      </w:r>
      <w:r w:rsidR="008E2985" w:rsidRPr="00141A3C">
        <w:rPr>
          <w:rFonts w:eastAsia="Google Sans" w:cs="Times New Roman"/>
          <w:color w:val="1F1F1F"/>
        </w:rPr>
        <w:t>Bank;</w:t>
      </w:r>
      <w:r w:rsidRPr="00141A3C">
        <w:rPr>
          <w:rFonts w:eastAsia="Google Sans" w:cs="Times New Roman"/>
          <w:color w:val="1F1F1F"/>
        </w:rPr>
        <w:t xml:space="preserve"> this makes the company a very efficient capital light pure-play grocer. In the future, the incorporation of digital technologies and enlarging of the high-margin Retail Media will be vital in allowing Tesco to counter the ongoing inflationary pressuri</w:t>
      </w:r>
      <w:r w:rsidR="0021492A" w:rsidRPr="00141A3C">
        <w:rPr>
          <w:rFonts w:eastAsia="Google Sans" w:cs="Times New Roman"/>
          <w:color w:val="1F1F1F"/>
        </w:rPr>
        <w:t>s</w:t>
      </w:r>
      <w:r w:rsidRPr="00141A3C">
        <w:rPr>
          <w:rFonts w:eastAsia="Google Sans" w:cs="Times New Roman"/>
          <w:color w:val="1F1F1F"/>
        </w:rPr>
        <w:t>ation.</w:t>
      </w:r>
    </w:p>
    <w:p w14:paraId="0B1F9D88" w14:textId="6E051435" w:rsidR="00DF11DE" w:rsidRPr="00141A3C" w:rsidRDefault="005E38CE" w:rsidP="005E38CE">
      <w:pPr>
        <w:pBdr>
          <w:top w:val="nil"/>
          <w:left w:val="nil"/>
          <w:bottom w:val="nil"/>
          <w:right w:val="nil"/>
          <w:between w:val="nil"/>
        </w:pBdr>
        <w:spacing w:after="240"/>
        <w:rPr>
          <w:rFonts w:eastAsia="Google Sans" w:cs="Times New Roman"/>
          <w:color w:val="1F1F1F"/>
        </w:rPr>
      </w:pPr>
      <w:r w:rsidRPr="00141A3C">
        <w:rPr>
          <w:rFonts w:eastAsia="Google Sans" w:cs="Times New Roman"/>
          <w:color w:val="1F1F1F"/>
        </w:rPr>
        <w:t>Task 2 involved strict implementation of investment appraisal methods which identified the best growth route to take by Westward Plc. Although B (Internet sales) produces absolute NPV (</w:t>
      </w:r>
      <w:r w:rsidR="0021492A" w:rsidRPr="00141A3C">
        <w:rPr>
          <w:rFonts w:eastAsia="Google Sans" w:cs="Times New Roman"/>
          <w:color w:val="1F1F1F"/>
        </w:rPr>
        <w:t>£</w:t>
      </w:r>
      <w:r w:rsidRPr="00141A3C">
        <w:rPr>
          <w:rFonts w:eastAsia="Google Sans" w:cs="Times New Roman"/>
          <w:color w:val="1F1F1F"/>
        </w:rPr>
        <w:t xml:space="preserve">792,231) and a spectacular post-tax IRR of 32.14, hard capital rationing means that a mathematically optimised portfolio method should be employed. Using the Profitability </w:t>
      </w:r>
      <w:r w:rsidR="008E2985" w:rsidRPr="00141A3C">
        <w:rPr>
          <w:rFonts w:eastAsia="Google Sans" w:cs="Times New Roman"/>
          <w:color w:val="1F1F1F"/>
        </w:rPr>
        <w:t>Index,</w:t>
      </w:r>
      <w:r w:rsidRPr="00141A3C">
        <w:rPr>
          <w:rFonts w:eastAsia="Google Sans" w:cs="Times New Roman"/>
          <w:color w:val="1F1F1F"/>
        </w:rPr>
        <w:t xml:space="preserve"> it is shown that Westward Plc should consider either fully funding Option A (Retail expansion, PI: </w:t>
      </w:r>
      <w:r w:rsidRPr="00141A3C">
        <w:rPr>
          <w:rFonts w:eastAsia="Google Sans" w:cs="Times New Roman"/>
          <w:color w:val="1F1F1F"/>
        </w:rPr>
        <w:lastRenderedPageBreak/>
        <w:t xml:space="preserve">2.072) and Option B (Internet Sales, PI: 1.792), and partially fund Option C (Blinds manufacturing, PI: 1.464) with the left capital. This strategic distribution is going to create the maximum </w:t>
      </w:r>
      <w:r w:rsidR="0021492A" w:rsidRPr="00141A3C">
        <w:rPr>
          <w:rFonts w:eastAsia="Google Sans" w:cs="Times New Roman"/>
          <w:color w:val="1F1F1F"/>
        </w:rPr>
        <w:t>£</w:t>
      </w:r>
      <w:r w:rsidRPr="00141A3C">
        <w:rPr>
          <w:rFonts w:eastAsia="Google Sans" w:cs="Times New Roman"/>
          <w:color w:val="1F1F1F"/>
        </w:rPr>
        <w:t xml:space="preserve">1,853,044 in new wealth to the shareholders against the </w:t>
      </w:r>
      <w:r w:rsidR="0021492A" w:rsidRPr="00141A3C">
        <w:rPr>
          <w:rFonts w:eastAsia="Google Sans" w:cs="Times New Roman"/>
          <w:color w:val="1F1F1F"/>
        </w:rPr>
        <w:t>£</w:t>
      </w:r>
      <w:r w:rsidRPr="00141A3C">
        <w:rPr>
          <w:rFonts w:eastAsia="Google Sans" w:cs="Times New Roman"/>
          <w:color w:val="1F1F1F"/>
        </w:rPr>
        <w:t>2.5 million budget limit. The main sources of finance of this essential expansion will be the retained earnings, and the tax-shielded long-term debt, and as a result, the firm will ensure that the largest portion of the profits is earned by the investment, and this will also guarantee that the capital structure will be highly stable and efficient.</w:t>
      </w:r>
    </w:p>
    <w:p w14:paraId="7C35E942" w14:textId="7907043A" w:rsidR="005E38CE" w:rsidRPr="00141A3C" w:rsidRDefault="005E38CE">
      <w:pPr>
        <w:spacing w:line="240" w:lineRule="auto"/>
        <w:jc w:val="left"/>
        <w:rPr>
          <w:rFonts w:eastAsia="Google Sans" w:cs="Times New Roman"/>
          <w:color w:val="1F1F1F"/>
        </w:rPr>
      </w:pPr>
      <w:r w:rsidRPr="00141A3C">
        <w:rPr>
          <w:rFonts w:eastAsia="Google Sans" w:cs="Times New Roman"/>
          <w:color w:val="1F1F1F"/>
        </w:rPr>
        <w:br w:type="page"/>
      </w:r>
    </w:p>
    <w:p w14:paraId="56EB2C7E" w14:textId="77777777" w:rsidR="00DF11DE" w:rsidRPr="0067672C" w:rsidRDefault="00000000" w:rsidP="008E2985">
      <w:pPr>
        <w:pStyle w:val="Heading1"/>
      </w:pPr>
      <w:bookmarkStart w:id="30" w:name="_Toc224863304"/>
      <w:r w:rsidRPr="00141A3C">
        <w:lastRenderedPageBreak/>
        <w:t>Bibliography</w:t>
      </w:r>
      <w:bookmarkEnd w:id="30"/>
    </w:p>
    <w:p w14:paraId="1E9CF829" w14:textId="2D050F0D"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Abdul-Salam, Y., Ovando, P. and Roberts, D. (2021) 'Understanding the economic barriers to the adoption of agroforestry: A Real Options analysis', </w:t>
      </w:r>
      <w:r w:rsidRPr="0048325D">
        <w:rPr>
          <w:rFonts w:eastAsia="Google Sans" w:cs="Times New Roman"/>
          <w:i/>
          <w:iCs/>
          <w:color w:val="1F1F1F"/>
          <w:lang w:val="en-US"/>
        </w:rPr>
        <w:t>Journal of Environmental Management</w:t>
      </w:r>
      <w:r w:rsidRPr="0048325D">
        <w:rPr>
          <w:rFonts w:eastAsia="Google Sans" w:cs="Times New Roman"/>
          <w:color w:val="1F1F1F"/>
          <w:lang w:val="en-US"/>
        </w:rPr>
        <w:t xml:space="preserve">, 302, p. 113955. Available at: </w:t>
      </w:r>
      <w:hyperlink r:id="rId9" w:tgtFrame="_blank" w:history="1">
        <w:r w:rsidRPr="0048325D">
          <w:rPr>
            <w:rStyle w:val="Hyperlink"/>
            <w:rFonts w:eastAsia="Google Sans" w:cs="Times New Roman"/>
            <w:lang w:val="en-US"/>
          </w:rPr>
          <w:t>https://doi.org/10.1016/j.jenvman.2021.113955</w:t>
        </w:r>
      </w:hyperlink>
      <w:r w:rsidRPr="0048325D">
        <w:rPr>
          <w:rFonts w:eastAsia="Google Sans" w:cs="Times New Roman"/>
          <w:color w:val="1F1F1F"/>
          <w:lang w:val="en-US"/>
        </w:rPr>
        <w:t>.</w:t>
      </w:r>
    </w:p>
    <w:p w14:paraId="06E8FC5D" w14:textId="79E00E12"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Ak, B.K., Dechow, P., Sun, Y. and Wang, A.Y. (2013) 'The use of financial ratio models to help investors predict and interpret significant corporate events', </w:t>
      </w:r>
      <w:r w:rsidRPr="0048325D">
        <w:rPr>
          <w:rFonts w:eastAsia="Google Sans" w:cs="Times New Roman"/>
          <w:i/>
          <w:iCs/>
          <w:color w:val="1F1F1F"/>
          <w:lang w:val="en-US"/>
        </w:rPr>
        <w:t>Australian Journal of Management</w:t>
      </w:r>
      <w:r w:rsidRPr="0048325D">
        <w:rPr>
          <w:rFonts w:eastAsia="Google Sans" w:cs="Times New Roman"/>
          <w:color w:val="1F1F1F"/>
          <w:lang w:val="en-US"/>
        </w:rPr>
        <w:t xml:space="preserve">, 38(3), pp. 553-570. Available at: </w:t>
      </w:r>
      <w:hyperlink r:id="rId10" w:tgtFrame="_blank" w:history="1">
        <w:r w:rsidRPr="0048325D">
          <w:rPr>
            <w:rStyle w:val="Hyperlink"/>
            <w:rFonts w:eastAsia="Google Sans" w:cs="Times New Roman"/>
            <w:lang w:val="en-US"/>
          </w:rPr>
          <w:t>https://doi.org/10.1177/0312896213510714</w:t>
        </w:r>
      </w:hyperlink>
      <w:r w:rsidRPr="0048325D">
        <w:rPr>
          <w:rFonts w:eastAsia="Google Sans" w:cs="Times New Roman"/>
          <w:color w:val="1F1F1F"/>
          <w:lang w:val="en-US"/>
        </w:rPr>
        <w:t>.</w:t>
      </w:r>
    </w:p>
    <w:p w14:paraId="3326297E" w14:textId="25EE0258"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Akhtar, F., </w:t>
      </w:r>
      <w:proofErr w:type="spellStart"/>
      <w:r w:rsidRPr="0048325D">
        <w:rPr>
          <w:rFonts w:eastAsia="Google Sans" w:cs="Times New Roman"/>
          <w:color w:val="1F1F1F"/>
          <w:lang w:val="en-US"/>
        </w:rPr>
        <w:t>Senadjki</w:t>
      </w:r>
      <w:proofErr w:type="spellEnd"/>
      <w:r w:rsidRPr="0048325D">
        <w:rPr>
          <w:rFonts w:eastAsia="Google Sans" w:cs="Times New Roman"/>
          <w:color w:val="1F1F1F"/>
          <w:lang w:val="en-US"/>
        </w:rPr>
        <w:t xml:space="preserve">, A. and Kumaran, V.V. (2025) 'Sustainability meets digital culture: the influence of ESG on financial performance in Malaysian manufacturing SMEs', </w:t>
      </w:r>
      <w:r w:rsidRPr="0048325D">
        <w:rPr>
          <w:rFonts w:eastAsia="Google Sans" w:cs="Times New Roman"/>
          <w:i/>
          <w:iCs/>
          <w:color w:val="1F1F1F"/>
          <w:lang w:val="en-US"/>
        </w:rPr>
        <w:t>Journal of Innovative Digital Transformation</w:t>
      </w:r>
      <w:r w:rsidRPr="0048325D">
        <w:rPr>
          <w:rFonts w:eastAsia="Google Sans" w:cs="Times New Roman"/>
          <w:color w:val="1F1F1F"/>
          <w:lang w:val="en-US"/>
        </w:rPr>
        <w:t xml:space="preserve">, 2(1), pp. 90-105. Available at: </w:t>
      </w:r>
      <w:hyperlink r:id="rId11" w:tgtFrame="_blank" w:history="1">
        <w:r w:rsidRPr="0048325D">
          <w:rPr>
            <w:rStyle w:val="Hyperlink"/>
            <w:rFonts w:eastAsia="Google Sans" w:cs="Times New Roman"/>
            <w:lang w:val="en-US"/>
          </w:rPr>
          <w:t>https://doi.org/10.1108/jidt-10-2024-0031</w:t>
        </w:r>
      </w:hyperlink>
      <w:r w:rsidRPr="0048325D">
        <w:rPr>
          <w:rFonts w:eastAsia="Google Sans" w:cs="Times New Roman"/>
          <w:color w:val="1F1F1F"/>
          <w:lang w:val="en-US"/>
        </w:rPr>
        <w:t>.</w:t>
      </w:r>
    </w:p>
    <w:p w14:paraId="5A1298F8" w14:textId="2344D10C"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Alghifari</w:t>
      </w:r>
      <w:proofErr w:type="spellEnd"/>
      <w:r w:rsidRPr="0048325D">
        <w:rPr>
          <w:rFonts w:eastAsia="Google Sans" w:cs="Times New Roman"/>
          <w:color w:val="1F1F1F"/>
          <w:lang w:val="en-US"/>
        </w:rPr>
        <w:t xml:space="preserve">, E.S., </w:t>
      </w:r>
      <w:proofErr w:type="spellStart"/>
      <w:r w:rsidRPr="0048325D">
        <w:rPr>
          <w:rFonts w:eastAsia="Google Sans" w:cs="Times New Roman"/>
          <w:color w:val="1F1F1F"/>
          <w:lang w:val="en-US"/>
        </w:rPr>
        <w:t>Solikin</w:t>
      </w:r>
      <w:proofErr w:type="spellEnd"/>
      <w:r w:rsidRPr="0048325D">
        <w:rPr>
          <w:rFonts w:eastAsia="Google Sans" w:cs="Times New Roman"/>
          <w:color w:val="1F1F1F"/>
          <w:lang w:val="en-US"/>
        </w:rPr>
        <w:t xml:space="preserve">, I., </w:t>
      </w:r>
      <w:proofErr w:type="spellStart"/>
      <w:r w:rsidRPr="0048325D">
        <w:rPr>
          <w:rFonts w:eastAsia="Google Sans" w:cs="Times New Roman"/>
          <w:color w:val="1F1F1F"/>
          <w:lang w:val="en-US"/>
        </w:rPr>
        <w:t>Nugraha</w:t>
      </w:r>
      <w:proofErr w:type="spellEnd"/>
      <w:r w:rsidRPr="0048325D">
        <w:rPr>
          <w:rFonts w:eastAsia="Google Sans" w:cs="Times New Roman"/>
          <w:color w:val="1F1F1F"/>
          <w:lang w:val="en-US"/>
        </w:rPr>
        <w:t xml:space="preserve">, N., </w:t>
      </w:r>
      <w:proofErr w:type="spellStart"/>
      <w:r w:rsidRPr="0048325D">
        <w:rPr>
          <w:rFonts w:eastAsia="Google Sans" w:cs="Times New Roman"/>
          <w:color w:val="1F1F1F"/>
          <w:lang w:val="en-US"/>
        </w:rPr>
        <w:t>Waspada</w:t>
      </w:r>
      <w:proofErr w:type="spellEnd"/>
      <w:r w:rsidRPr="0048325D">
        <w:rPr>
          <w:rFonts w:eastAsia="Google Sans" w:cs="Times New Roman"/>
          <w:color w:val="1F1F1F"/>
          <w:lang w:val="en-US"/>
        </w:rPr>
        <w:t xml:space="preserve">, I., Sari, M. and </w:t>
      </w:r>
      <w:proofErr w:type="spellStart"/>
      <w:r w:rsidRPr="0048325D">
        <w:rPr>
          <w:rFonts w:eastAsia="Google Sans" w:cs="Times New Roman"/>
          <w:color w:val="1F1F1F"/>
          <w:lang w:val="en-US"/>
        </w:rPr>
        <w:t>Puspitawati</w:t>
      </w:r>
      <w:proofErr w:type="spellEnd"/>
      <w:r w:rsidRPr="0048325D">
        <w:rPr>
          <w:rFonts w:eastAsia="Google Sans" w:cs="Times New Roman"/>
          <w:color w:val="1F1F1F"/>
          <w:lang w:val="en-US"/>
        </w:rPr>
        <w:t xml:space="preserve">, L. (2022) 'Capital structure, profitability, hedging policy, firm size, and firm value: Mediation and moderation analysis', </w:t>
      </w:r>
      <w:r w:rsidRPr="0048325D">
        <w:rPr>
          <w:rFonts w:eastAsia="Google Sans" w:cs="Times New Roman"/>
          <w:i/>
          <w:iCs/>
          <w:color w:val="1F1F1F"/>
          <w:lang w:val="en-US"/>
        </w:rPr>
        <w:t>Journal of Eastern European and Central Asian Research (JEECAR)</w:t>
      </w:r>
      <w:r w:rsidRPr="0048325D">
        <w:rPr>
          <w:rFonts w:eastAsia="Google Sans" w:cs="Times New Roman"/>
          <w:color w:val="1F1F1F"/>
          <w:lang w:val="en-US"/>
        </w:rPr>
        <w:t xml:space="preserve">, 9(5), pp. 789-800. Available at: </w:t>
      </w:r>
      <w:hyperlink r:id="rId12" w:tgtFrame="_blank" w:history="1">
        <w:r w:rsidRPr="0048325D">
          <w:rPr>
            <w:rStyle w:val="Hyperlink"/>
            <w:rFonts w:eastAsia="Google Sans" w:cs="Times New Roman"/>
            <w:lang w:val="en-US"/>
          </w:rPr>
          <w:t>https://doi.org/10.15549/jeecar.v9i5.1063</w:t>
        </w:r>
      </w:hyperlink>
      <w:r w:rsidRPr="0048325D">
        <w:rPr>
          <w:rFonts w:eastAsia="Google Sans" w:cs="Times New Roman"/>
          <w:color w:val="1F1F1F"/>
          <w:lang w:val="en-US"/>
        </w:rPr>
        <w:t>.</w:t>
      </w:r>
    </w:p>
    <w:p w14:paraId="168345E7" w14:textId="70829893"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Apergis, E. (2021) 'What can monitoring our bank account cash flows say about our loyalty cards?', </w:t>
      </w:r>
      <w:r w:rsidRPr="0048325D">
        <w:rPr>
          <w:rFonts w:eastAsia="Google Sans" w:cs="Times New Roman"/>
          <w:i/>
          <w:iCs/>
          <w:color w:val="1F1F1F"/>
          <w:lang w:val="en-US"/>
        </w:rPr>
        <w:t>The Journal of Marketing Theory and Practice</w:t>
      </w:r>
      <w:r w:rsidRPr="0048325D">
        <w:rPr>
          <w:rFonts w:eastAsia="Google Sans" w:cs="Times New Roman"/>
          <w:color w:val="1F1F1F"/>
          <w:lang w:val="en-US"/>
        </w:rPr>
        <w:t xml:space="preserve">, 31(1), pp. 18-35. Available at: </w:t>
      </w:r>
      <w:hyperlink r:id="rId13" w:tgtFrame="_blank" w:history="1">
        <w:r w:rsidRPr="0048325D">
          <w:rPr>
            <w:rStyle w:val="Hyperlink"/>
            <w:rFonts w:eastAsia="Google Sans" w:cs="Times New Roman"/>
            <w:lang w:val="en-US"/>
          </w:rPr>
          <w:t>https://doi.org/10.1080/10696679.2021.1988646</w:t>
        </w:r>
      </w:hyperlink>
      <w:r w:rsidRPr="0048325D">
        <w:rPr>
          <w:rFonts w:eastAsia="Google Sans" w:cs="Times New Roman"/>
          <w:color w:val="1F1F1F"/>
          <w:lang w:val="en-US"/>
        </w:rPr>
        <w:t>.</w:t>
      </w:r>
    </w:p>
    <w:p w14:paraId="451D604C" w14:textId="7CCD3381"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Arhinful</w:t>
      </w:r>
      <w:proofErr w:type="spellEnd"/>
      <w:r w:rsidRPr="0048325D">
        <w:rPr>
          <w:rFonts w:eastAsia="Google Sans" w:cs="Times New Roman"/>
          <w:color w:val="1F1F1F"/>
          <w:lang w:val="en-US"/>
        </w:rPr>
        <w:t xml:space="preserve">, R., Amin, H.I.M., Mensah, L., Gyamfi, B.A. and Obeng, H.A. (2025) 'Determining an optimal capital structure and its impact on financial performance. Insight from the firms listed on the New York Stock Exchange', </w:t>
      </w:r>
      <w:r w:rsidRPr="0048325D">
        <w:rPr>
          <w:rFonts w:eastAsia="Google Sans" w:cs="Times New Roman"/>
          <w:i/>
          <w:iCs/>
          <w:color w:val="1F1F1F"/>
          <w:lang w:val="en-US"/>
        </w:rPr>
        <w:t>Cogent Economics &amp; Finance</w:t>
      </w:r>
      <w:r w:rsidRPr="0048325D">
        <w:rPr>
          <w:rFonts w:eastAsia="Google Sans" w:cs="Times New Roman"/>
          <w:color w:val="1F1F1F"/>
          <w:lang w:val="en-US"/>
        </w:rPr>
        <w:t xml:space="preserve">, 13(1). Available at: </w:t>
      </w:r>
      <w:hyperlink r:id="rId14" w:tgtFrame="_blank" w:history="1">
        <w:r w:rsidRPr="0048325D">
          <w:rPr>
            <w:rStyle w:val="Hyperlink"/>
            <w:rFonts w:eastAsia="Google Sans" w:cs="Times New Roman"/>
            <w:lang w:val="en-US"/>
          </w:rPr>
          <w:t>https://doi.org/10.1080/23322039.2025.2571401</w:t>
        </w:r>
      </w:hyperlink>
      <w:r w:rsidRPr="0048325D">
        <w:rPr>
          <w:rFonts w:eastAsia="Google Sans" w:cs="Times New Roman"/>
          <w:color w:val="1F1F1F"/>
          <w:lang w:val="en-US"/>
        </w:rPr>
        <w:t>.</w:t>
      </w:r>
    </w:p>
    <w:p w14:paraId="130411FD" w14:textId="69656EE4"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Arnold, G. (2019) </w:t>
      </w:r>
      <w:r w:rsidRPr="0048325D">
        <w:rPr>
          <w:rFonts w:eastAsia="Google Sans" w:cs="Times New Roman"/>
          <w:i/>
          <w:iCs/>
          <w:color w:val="1F1F1F"/>
          <w:lang w:val="en-US"/>
        </w:rPr>
        <w:t>Corporate Financial Management</w:t>
      </w:r>
      <w:r w:rsidRPr="0048325D">
        <w:rPr>
          <w:rFonts w:eastAsia="Google Sans" w:cs="Times New Roman"/>
          <w:color w:val="1F1F1F"/>
          <w:lang w:val="en-US"/>
        </w:rPr>
        <w:t xml:space="preserve">. 6th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Harlow: Pearson.</w:t>
      </w:r>
    </w:p>
    <w:p w14:paraId="1E32CA3D" w14:textId="1116D043"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Atrill</w:t>
      </w:r>
      <w:proofErr w:type="spellEnd"/>
      <w:r w:rsidRPr="0048325D">
        <w:rPr>
          <w:rFonts w:eastAsia="Google Sans" w:cs="Times New Roman"/>
          <w:color w:val="1F1F1F"/>
          <w:lang w:val="en-US"/>
        </w:rPr>
        <w:t xml:space="preserve">, P. (2020) </w:t>
      </w:r>
      <w:r w:rsidRPr="0048325D">
        <w:rPr>
          <w:rFonts w:eastAsia="Google Sans" w:cs="Times New Roman"/>
          <w:i/>
          <w:iCs/>
          <w:color w:val="1F1F1F"/>
          <w:lang w:val="en-US"/>
        </w:rPr>
        <w:t>Financial Management for Decision Makers</w:t>
      </w:r>
      <w:r w:rsidRPr="0048325D">
        <w:rPr>
          <w:rFonts w:eastAsia="Google Sans" w:cs="Times New Roman"/>
          <w:color w:val="1F1F1F"/>
          <w:lang w:val="en-US"/>
        </w:rPr>
        <w:t xml:space="preserve">. 9th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Harlow: Pearson.</w:t>
      </w:r>
    </w:p>
    <w:p w14:paraId="1D8549E6" w14:textId="7A6405E3"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Atrill</w:t>
      </w:r>
      <w:proofErr w:type="spellEnd"/>
      <w:r w:rsidRPr="0048325D">
        <w:rPr>
          <w:rFonts w:eastAsia="Google Sans" w:cs="Times New Roman"/>
          <w:color w:val="1F1F1F"/>
          <w:lang w:val="en-US"/>
        </w:rPr>
        <w:t xml:space="preserve">, P. and McLaney, E.J. (2021) </w:t>
      </w:r>
      <w:r w:rsidRPr="0048325D">
        <w:rPr>
          <w:rFonts w:eastAsia="Google Sans" w:cs="Times New Roman"/>
          <w:i/>
          <w:iCs/>
          <w:color w:val="1F1F1F"/>
          <w:lang w:val="en-US"/>
        </w:rPr>
        <w:t>Management accounting for decision makers</w:t>
      </w:r>
      <w:r w:rsidRPr="0048325D">
        <w:rPr>
          <w:rFonts w:eastAsia="Google Sans" w:cs="Times New Roman"/>
          <w:color w:val="1F1F1F"/>
          <w:lang w:val="en-US"/>
        </w:rPr>
        <w:t xml:space="preserve">. 10th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Harlow: Pearson.</w:t>
      </w:r>
    </w:p>
    <w:p w14:paraId="1D70B7D3" w14:textId="4CF6A935"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lastRenderedPageBreak/>
        <w:t xml:space="preserve">Bekaert, G. (2017) </w:t>
      </w:r>
      <w:r w:rsidRPr="0048325D">
        <w:rPr>
          <w:rFonts w:eastAsia="Google Sans" w:cs="Times New Roman"/>
          <w:i/>
          <w:iCs/>
          <w:color w:val="1F1F1F"/>
          <w:lang w:val="en-US"/>
        </w:rPr>
        <w:t>International Financial Management</w:t>
      </w:r>
      <w:r w:rsidRPr="0048325D">
        <w:rPr>
          <w:rFonts w:eastAsia="Google Sans" w:cs="Times New Roman"/>
          <w:color w:val="1F1F1F"/>
          <w:lang w:val="en-US"/>
        </w:rPr>
        <w:t xml:space="preserve">. 3rd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Cambridge: Cambridge University Press.</w:t>
      </w:r>
    </w:p>
    <w:p w14:paraId="0848E722" w14:textId="62D90AFF"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Beresford, P. and Hirst, C. (2020) 'How consumers reconcile discordant food retailer brand images', </w:t>
      </w:r>
      <w:r w:rsidRPr="0048325D">
        <w:rPr>
          <w:rFonts w:eastAsia="Google Sans" w:cs="Times New Roman"/>
          <w:i/>
          <w:iCs/>
          <w:color w:val="1F1F1F"/>
          <w:lang w:val="en-US"/>
        </w:rPr>
        <w:t>Journal of Marketing Management</w:t>
      </w:r>
      <w:r w:rsidRPr="0048325D">
        <w:rPr>
          <w:rFonts w:eastAsia="Google Sans" w:cs="Times New Roman"/>
          <w:color w:val="1F1F1F"/>
          <w:lang w:val="en-US"/>
        </w:rPr>
        <w:t xml:space="preserve">, 36(11-12), pp. 1104-1120. Available at: </w:t>
      </w:r>
      <w:hyperlink r:id="rId15" w:tgtFrame="_blank" w:history="1">
        <w:r w:rsidRPr="0048325D">
          <w:rPr>
            <w:rStyle w:val="Hyperlink"/>
            <w:rFonts w:eastAsia="Google Sans" w:cs="Times New Roman"/>
            <w:lang w:val="en-US"/>
          </w:rPr>
          <w:t>https://doi.org/10.1080/0267257x.2020.1783347</w:t>
        </w:r>
      </w:hyperlink>
      <w:r w:rsidRPr="0048325D">
        <w:rPr>
          <w:rFonts w:eastAsia="Google Sans" w:cs="Times New Roman"/>
          <w:color w:val="1F1F1F"/>
          <w:lang w:val="en-US"/>
        </w:rPr>
        <w:t>.</w:t>
      </w:r>
    </w:p>
    <w:p w14:paraId="6FD7AFC8" w14:textId="0DA78085"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Bhimani, A. (2022) </w:t>
      </w:r>
      <w:r w:rsidRPr="0048325D">
        <w:rPr>
          <w:rFonts w:eastAsia="Google Sans" w:cs="Times New Roman"/>
          <w:i/>
          <w:iCs/>
          <w:color w:val="1F1F1F"/>
          <w:lang w:val="en-US"/>
        </w:rPr>
        <w:t>Financial management for technology start-ups: how to power growth, track performance and drive innovation</w:t>
      </w:r>
      <w:r w:rsidRPr="0048325D">
        <w:rPr>
          <w:rFonts w:eastAsia="Google Sans" w:cs="Times New Roman"/>
          <w:color w:val="1F1F1F"/>
          <w:lang w:val="en-US"/>
        </w:rPr>
        <w:t xml:space="preserve">. 2nd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xml:space="preserve">. London: </w:t>
      </w:r>
      <w:proofErr w:type="spellStart"/>
      <w:r w:rsidRPr="0048325D">
        <w:rPr>
          <w:rFonts w:eastAsia="Google Sans" w:cs="Times New Roman"/>
          <w:color w:val="1F1F1F"/>
          <w:lang w:val="en-US"/>
        </w:rPr>
        <w:t>KoganPage</w:t>
      </w:r>
      <w:proofErr w:type="spellEnd"/>
      <w:r w:rsidRPr="0048325D">
        <w:rPr>
          <w:rFonts w:eastAsia="Google Sans" w:cs="Times New Roman"/>
          <w:color w:val="1F1F1F"/>
          <w:lang w:val="en-US"/>
        </w:rPr>
        <w:t>.</w:t>
      </w:r>
    </w:p>
    <w:p w14:paraId="407F80D8" w14:textId="3AD10F7F"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Bonfrer</w:t>
      </w:r>
      <w:proofErr w:type="spellEnd"/>
      <w:r w:rsidRPr="0048325D">
        <w:rPr>
          <w:rFonts w:eastAsia="Google Sans" w:cs="Times New Roman"/>
          <w:color w:val="1F1F1F"/>
          <w:lang w:val="en-US"/>
        </w:rPr>
        <w:t xml:space="preserve">, A., </w:t>
      </w:r>
      <w:proofErr w:type="spellStart"/>
      <w:r w:rsidRPr="0048325D">
        <w:rPr>
          <w:rFonts w:eastAsia="Google Sans" w:cs="Times New Roman"/>
          <w:color w:val="1F1F1F"/>
          <w:lang w:val="en-US"/>
        </w:rPr>
        <w:t>Chintagunta</w:t>
      </w:r>
      <w:proofErr w:type="spellEnd"/>
      <w:r w:rsidRPr="0048325D">
        <w:rPr>
          <w:rFonts w:eastAsia="Google Sans" w:cs="Times New Roman"/>
          <w:color w:val="1F1F1F"/>
          <w:lang w:val="en-US"/>
        </w:rPr>
        <w:t xml:space="preserve">, P.K. and Dhar, S. (2022) 'Retail store formats, competition and shopper behavior: A Systematic review', </w:t>
      </w:r>
      <w:r w:rsidRPr="0048325D">
        <w:rPr>
          <w:rFonts w:eastAsia="Google Sans" w:cs="Times New Roman"/>
          <w:i/>
          <w:iCs/>
          <w:color w:val="1F1F1F"/>
          <w:lang w:val="en-US"/>
        </w:rPr>
        <w:t>Journal of Retailing</w:t>
      </w:r>
      <w:r w:rsidRPr="0048325D">
        <w:rPr>
          <w:rFonts w:eastAsia="Google Sans" w:cs="Times New Roman"/>
          <w:color w:val="1F1F1F"/>
          <w:lang w:val="en-US"/>
        </w:rPr>
        <w:t xml:space="preserve">, 98(1), pp. 71-88. Available at: </w:t>
      </w:r>
      <w:hyperlink r:id="rId16" w:tgtFrame="_blank" w:history="1">
        <w:r w:rsidRPr="0048325D">
          <w:rPr>
            <w:rStyle w:val="Hyperlink"/>
            <w:rFonts w:eastAsia="Google Sans" w:cs="Times New Roman"/>
            <w:lang w:val="en-US"/>
          </w:rPr>
          <w:t>https://doi.org/10.1016/j.jretai.2022.02.006</w:t>
        </w:r>
      </w:hyperlink>
      <w:r w:rsidRPr="0048325D">
        <w:rPr>
          <w:rFonts w:eastAsia="Google Sans" w:cs="Times New Roman"/>
          <w:color w:val="1F1F1F"/>
          <w:lang w:val="en-US"/>
        </w:rPr>
        <w:t>.</w:t>
      </w:r>
    </w:p>
    <w:p w14:paraId="767EBB9A" w14:textId="09CD3459"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Cassimon</w:t>
      </w:r>
      <w:proofErr w:type="spellEnd"/>
      <w:r w:rsidRPr="0048325D">
        <w:rPr>
          <w:rFonts w:eastAsia="Google Sans" w:cs="Times New Roman"/>
          <w:color w:val="1F1F1F"/>
          <w:lang w:val="en-US"/>
        </w:rPr>
        <w:t xml:space="preserve">, D., Engelen, P., Peters, L. and Prowse, M. (2023) 'Valuing investments in the Global Carbon Market Mechanism as compound real options: Lessons from the Clean Development Mechanism', </w:t>
      </w:r>
      <w:r w:rsidRPr="0048325D">
        <w:rPr>
          <w:rFonts w:eastAsia="Google Sans" w:cs="Times New Roman"/>
          <w:i/>
          <w:iCs/>
          <w:color w:val="1F1F1F"/>
          <w:lang w:val="en-US"/>
        </w:rPr>
        <w:t>Sustainable Development</w:t>
      </w:r>
      <w:r w:rsidRPr="0048325D">
        <w:rPr>
          <w:rFonts w:eastAsia="Google Sans" w:cs="Times New Roman"/>
          <w:color w:val="1F1F1F"/>
          <w:lang w:val="en-US"/>
        </w:rPr>
        <w:t xml:space="preserve">, 31(5), pp. 3443-3455. Available at: </w:t>
      </w:r>
      <w:hyperlink r:id="rId17" w:tgtFrame="_blank" w:history="1">
        <w:r w:rsidRPr="0048325D">
          <w:rPr>
            <w:rStyle w:val="Hyperlink"/>
            <w:rFonts w:eastAsia="Google Sans" w:cs="Times New Roman"/>
            <w:lang w:val="en-US"/>
          </w:rPr>
          <w:t>https://doi.org/10.1002/sd.2595</w:t>
        </w:r>
      </w:hyperlink>
      <w:r w:rsidRPr="0048325D">
        <w:rPr>
          <w:rFonts w:eastAsia="Google Sans" w:cs="Times New Roman"/>
          <w:color w:val="1F1F1F"/>
          <w:lang w:val="en-US"/>
        </w:rPr>
        <w:t>.</w:t>
      </w:r>
    </w:p>
    <w:p w14:paraId="76EFFAAD" w14:textId="2C53C96D"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Cerón</w:t>
      </w:r>
      <w:proofErr w:type="spellEnd"/>
      <w:r w:rsidRPr="0048325D">
        <w:rPr>
          <w:rFonts w:eastAsia="Google Sans" w:cs="Times New Roman"/>
          <w:color w:val="1F1F1F"/>
          <w:lang w:val="en-US"/>
        </w:rPr>
        <w:t xml:space="preserve">, L.Á.M., </w:t>
      </w:r>
      <w:proofErr w:type="spellStart"/>
      <w:r w:rsidRPr="0048325D">
        <w:rPr>
          <w:rFonts w:eastAsia="Google Sans" w:cs="Times New Roman"/>
          <w:color w:val="1F1F1F"/>
          <w:lang w:val="en-US"/>
        </w:rPr>
        <w:t>Klyton</w:t>
      </w:r>
      <w:proofErr w:type="spellEnd"/>
      <w:r w:rsidRPr="0048325D">
        <w:rPr>
          <w:rFonts w:eastAsia="Google Sans" w:cs="Times New Roman"/>
          <w:color w:val="1F1F1F"/>
          <w:lang w:val="en-US"/>
        </w:rPr>
        <w:t xml:space="preserve">, A. van, Rojas, A. and Vargas, J.M. (2024) 'Climate Risk and Its Impact on the Cost of Capital, A Systematic Literature Review', </w:t>
      </w:r>
      <w:r w:rsidRPr="0048325D">
        <w:rPr>
          <w:rFonts w:eastAsia="Google Sans" w:cs="Times New Roman"/>
          <w:i/>
          <w:iCs/>
          <w:color w:val="1F1F1F"/>
          <w:lang w:val="en-US"/>
        </w:rPr>
        <w:t>Sustainability</w:t>
      </w:r>
      <w:r w:rsidRPr="0048325D">
        <w:rPr>
          <w:rFonts w:eastAsia="Google Sans" w:cs="Times New Roman"/>
          <w:color w:val="1F1F1F"/>
          <w:lang w:val="en-US"/>
        </w:rPr>
        <w:t xml:space="preserve">, 16(23), p. 10727. Available at: </w:t>
      </w:r>
      <w:hyperlink r:id="rId18" w:tgtFrame="_blank" w:history="1">
        <w:r w:rsidRPr="0048325D">
          <w:rPr>
            <w:rStyle w:val="Hyperlink"/>
            <w:rFonts w:eastAsia="Google Sans" w:cs="Times New Roman"/>
            <w:lang w:val="en-US"/>
          </w:rPr>
          <w:t>https://doi.org/10.3390/su162310727</w:t>
        </w:r>
      </w:hyperlink>
      <w:r w:rsidRPr="0048325D">
        <w:rPr>
          <w:rFonts w:eastAsia="Google Sans" w:cs="Times New Roman"/>
          <w:color w:val="1F1F1F"/>
          <w:lang w:val="en-US"/>
        </w:rPr>
        <w:t>.</w:t>
      </w:r>
    </w:p>
    <w:p w14:paraId="6F70C93D" w14:textId="0A9DB6C7"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Chartered Institute of Management Accountants (CIMA) (2023) </w:t>
      </w:r>
      <w:r w:rsidRPr="0048325D">
        <w:rPr>
          <w:rFonts w:eastAsia="Google Sans" w:cs="Times New Roman"/>
          <w:i/>
          <w:iCs/>
          <w:color w:val="1F1F1F"/>
          <w:lang w:val="en-US"/>
        </w:rPr>
        <w:t>Financial Strategy: F3</w:t>
      </w:r>
      <w:r w:rsidRPr="0048325D">
        <w:rPr>
          <w:rFonts w:eastAsia="Google Sans" w:cs="Times New Roman"/>
          <w:color w:val="1F1F1F"/>
          <w:lang w:val="en-US"/>
        </w:rPr>
        <w:t>. London: Kaplan Publishing.</w:t>
      </w:r>
    </w:p>
    <w:p w14:paraId="54E515E1" w14:textId="5656E3CC"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Chen, Y., Li, B. and Huo, B. (2024) 'Building operational resilience through digitalization: The roles of supply chain network position', </w:t>
      </w:r>
      <w:r w:rsidRPr="0048325D">
        <w:rPr>
          <w:rFonts w:eastAsia="Google Sans" w:cs="Times New Roman"/>
          <w:i/>
          <w:iCs/>
          <w:color w:val="1F1F1F"/>
          <w:lang w:val="en-US"/>
        </w:rPr>
        <w:t>Technological Forecasting and Social Change</w:t>
      </w:r>
      <w:r w:rsidRPr="0048325D">
        <w:rPr>
          <w:rFonts w:eastAsia="Google Sans" w:cs="Times New Roman"/>
          <w:color w:val="1F1F1F"/>
          <w:lang w:val="en-US"/>
        </w:rPr>
        <w:t xml:space="preserve">, 211, p. 123918. Available at: </w:t>
      </w:r>
      <w:hyperlink r:id="rId19" w:tgtFrame="_blank" w:history="1">
        <w:r w:rsidRPr="0048325D">
          <w:rPr>
            <w:rStyle w:val="Hyperlink"/>
            <w:rFonts w:eastAsia="Google Sans" w:cs="Times New Roman"/>
            <w:lang w:val="en-US"/>
          </w:rPr>
          <w:t>https://doi.org/10.1016/j.techfore.2024.123918</w:t>
        </w:r>
      </w:hyperlink>
      <w:r w:rsidRPr="0048325D">
        <w:rPr>
          <w:rFonts w:eastAsia="Google Sans" w:cs="Times New Roman"/>
          <w:color w:val="1F1F1F"/>
          <w:lang w:val="en-US"/>
        </w:rPr>
        <w:t>.</w:t>
      </w:r>
    </w:p>
    <w:p w14:paraId="73854827" w14:textId="3A219FBA"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Dasilas</w:t>
      </w:r>
      <w:proofErr w:type="spellEnd"/>
      <w:r w:rsidRPr="0048325D">
        <w:rPr>
          <w:rFonts w:eastAsia="Google Sans" w:cs="Times New Roman"/>
          <w:color w:val="1F1F1F"/>
          <w:lang w:val="en-US"/>
        </w:rPr>
        <w:t xml:space="preserve">, A. and </w:t>
      </w:r>
      <w:proofErr w:type="spellStart"/>
      <w:r w:rsidRPr="0048325D">
        <w:rPr>
          <w:rFonts w:eastAsia="Google Sans" w:cs="Times New Roman"/>
          <w:color w:val="1F1F1F"/>
          <w:lang w:val="en-US"/>
        </w:rPr>
        <w:t>Rigani</w:t>
      </w:r>
      <w:proofErr w:type="spellEnd"/>
      <w:r w:rsidRPr="0048325D">
        <w:rPr>
          <w:rFonts w:eastAsia="Google Sans" w:cs="Times New Roman"/>
          <w:color w:val="1F1F1F"/>
          <w:lang w:val="en-US"/>
        </w:rPr>
        <w:t xml:space="preserve">, A. (2024) 'Machine learning techniques in bankruptcy prediction: A systematic literature review', </w:t>
      </w:r>
      <w:r w:rsidRPr="0048325D">
        <w:rPr>
          <w:rFonts w:eastAsia="Google Sans" w:cs="Times New Roman"/>
          <w:i/>
          <w:iCs/>
          <w:color w:val="1F1F1F"/>
          <w:lang w:val="en-US"/>
        </w:rPr>
        <w:t>Expert Systems with Applications</w:t>
      </w:r>
      <w:r w:rsidRPr="0048325D">
        <w:rPr>
          <w:rFonts w:eastAsia="Google Sans" w:cs="Times New Roman"/>
          <w:color w:val="1F1F1F"/>
          <w:lang w:val="en-US"/>
        </w:rPr>
        <w:t xml:space="preserve">, 255, p. 124761. Available at: </w:t>
      </w:r>
      <w:hyperlink r:id="rId20" w:tgtFrame="_blank" w:history="1">
        <w:r w:rsidRPr="0048325D">
          <w:rPr>
            <w:rStyle w:val="Hyperlink"/>
            <w:rFonts w:eastAsia="Google Sans" w:cs="Times New Roman"/>
            <w:lang w:val="en-US"/>
          </w:rPr>
          <w:t>https://doi.org/10.1016/j.eswa.2024.124761</w:t>
        </w:r>
      </w:hyperlink>
      <w:r w:rsidRPr="0048325D">
        <w:rPr>
          <w:rFonts w:eastAsia="Google Sans" w:cs="Times New Roman"/>
          <w:color w:val="1F1F1F"/>
          <w:lang w:val="en-US"/>
        </w:rPr>
        <w:t>.</w:t>
      </w:r>
    </w:p>
    <w:p w14:paraId="5B2E0431" w14:textId="029287F3"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Dey, R.K., Hossain, S. and Rezaee, Z. (2018) 'Financial Risk Disclosure and Financial Attributes </w:t>
      </w:r>
      <w:r w:rsidRPr="0048325D">
        <w:rPr>
          <w:rFonts w:eastAsia="Google Sans" w:cs="Times New Roman"/>
          <w:color w:val="1F1F1F"/>
          <w:lang w:val="en-US"/>
        </w:rPr>
        <w:lastRenderedPageBreak/>
        <w:t xml:space="preserve">among Publicly Traded Manufacturing Companies: Evidence from Bangladesh', </w:t>
      </w:r>
      <w:r w:rsidRPr="0048325D">
        <w:rPr>
          <w:rFonts w:eastAsia="Google Sans" w:cs="Times New Roman"/>
          <w:i/>
          <w:iCs/>
          <w:color w:val="1F1F1F"/>
          <w:lang w:val="en-US"/>
        </w:rPr>
        <w:t>Journal of Risk and Financial Management</w:t>
      </w:r>
      <w:r w:rsidRPr="0048325D">
        <w:rPr>
          <w:rFonts w:eastAsia="Google Sans" w:cs="Times New Roman"/>
          <w:color w:val="1F1F1F"/>
          <w:lang w:val="en-US"/>
        </w:rPr>
        <w:t xml:space="preserve">, 11(3), p. 50. Available at: </w:t>
      </w:r>
      <w:hyperlink r:id="rId21" w:tgtFrame="_blank" w:history="1">
        <w:r w:rsidRPr="0048325D">
          <w:rPr>
            <w:rStyle w:val="Hyperlink"/>
            <w:rFonts w:eastAsia="Google Sans" w:cs="Times New Roman"/>
            <w:lang w:val="en-US"/>
          </w:rPr>
          <w:t>https://doi.org/10.3390/jrfm11030050</w:t>
        </w:r>
      </w:hyperlink>
      <w:r w:rsidRPr="0048325D">
        <w:rPr>
          <w:rFonts w:eastAsia="Google Sans" w:cs="Times New Roman"/>
          <w:color w:val="1F1F1F"/>
          <w:lang w:val="en-US"/>
        </w:rPr>
        <w:t>.</w:t>
      </w:r>
    </w:p>
    <w:p w14:paraId="0F63A7BE" w14:textId="42CC14A8"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Dobrowolski, Z. and Drozdowski, G. (2022) 'Does the Net Present Value as a Financial Metric Fit Investment in Green Energy Security?', </w:t>
      </w:r>
      <w:r w:rsidRPr="0048325D">
        <w:rPr>
          <w:rFonts w:eastAsia="Google Sans" w:cs="Times New Roman"/>
          <w:i/>
          <w:iCs/>
          <w:color w:val="1F1F1F"/>
          <w:lang w:val="en-US"/>
        </w:rPr>
        <w:t>Energies</w:t>
      </w:r>
      <w:r w:rsidRPr="0048325D">
        <w:rPr>
          <w:rFonts w:eastAsia="Google Sans" w:cs="Times New Roman"/>
          <w:color w:val="1F1F1F"/>
          <w:lang w:val="en-US"/>
        </w:rPr>
        <w:t xml:space="preserve">, 15(1), p. 353. Available at: </w:t>
      </w:r>
      <w:hyperlink r:id="rId22" w:tgtFrame="_blank" w:history="1">
        <w:r w:rsidRPr="0048325D">
          <w:rPr>
            <w:rStyle w:val="Hyperlink"/>
            <w:rFonts w:eastAsia="Google Sans" w:cs="Times New Roman"/>
            <w:lang w:val="en-US"/>
          </w:rPr>
          <w:t>https://doi.org/10.3390/en15010353</w:t>
        </w:r>
      </w:hyperlink>
      <w:r w:rsidRPr="0048325D">
        <w:rPr>
          <w:rFonts w:eastAsia="Google Sans" w:cs="Times New Roman"/>
          <w:color w:val="1F1F1F"/>
          <w:lang w:val="en-US"/>
        </w:rPr>
        <w:t>.</w:t>
      </w:r>
    </w:p>
    <w:p w14:paraId="7D26D2A0" w14:textId="51A3C2D7"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Drury, C. (2021) </w:t>
      </w:r>
      <w:r w:rsidRPr="0048325D">
        <w:rPr>
          <w:rFonts w:eastAsia="Google Sans" w:cs="Times New Roman"/>
          <w:i/>
          <w:iCs/>
          <w:color w:val="1F1F1F"/>
          <w:lang w:val="en-US"/>
        </w:rPr>
        <w:t>Management and cost accounting</w:t>
      </w:r>
      <w:r w:rsidRPr="0048325D">
        <w:rPr>
          <w:rFonts w:eastAsia="Google Sans" w:cs="Times New Roman"/>
          <w:color w:val="1F1F1F"/>
          <w:lang w:val="en-US"/>
        </w:rPr>
        <w:t xml:space="preserve">. 11th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Australia: Cengage.</w:t>
      </w:r>
    </w:p>
    <w:p w14:paraId="556B4394" w14:textId="12DE57A0"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Eleba</w:t>
      </w:r>
      <w:proofErr w:type="spellEnd"/>
      <w:r w:rsidRPr="0048325D">
        <w:rPr>
          <w:rFonts w:eastAsia="Google Sans" w:cs="Times New Roman"/>
          <w:color w:val="1F1F1F"/>
          <w:lang w:val="en-US"/>
        </w:rPr>
        <w:t xml:space="preserve">, D.A.N. and </w:t>
      </w:r>
      <w:proofErr w:type="spellStart"/>
      <w:r w:rsidRPr="0048325D">
        <w:rPr>
          <w:rFonts w:eastAsia="Google Sans" w:cs="Times New Roman"/>
          <w:color w:val="1F1F1F"/>
          <w:lang w:val="en-US"/>
        </w:rPr>
        <w:t>Tubotamuno</w:t>
      </w:r>
      <w:proofErr w:type="spellEnd"/>
      <w:r w:rsidRPr="0048325D">
        <w:rPr>
          <w:rFonts w:eastAsia="Google Sans" w:cs="Times New Roman"/>
          <w:color w:val="1F1F1F"/>
          <w:lang w:val="en-US"/>
        </w:rPr>
        <w:t xml:space="preserve">-Ojas, J.O. (2024) 'Capital expenditure decisions and market value of quoted food and beverages firms in Nigeria', </w:t>
      </w:r>
      <w:r w:rsidRPr="0048325D">
        <w:rPr>
          <w:rFonts w:eastAsia="Google Sans" w:cs="Times New Roman"/>
          <w:i/>
          <w:iCs/>
          <w:color w:val="1F1F1F"/>
          <w:lang w:val="en-US"/>
        </w:rPr>
        <w:t>Finance &amp; Accounting Research Journal</w:t>
      </w:r>
      <w:r w:rsidRPr="0048325D">
        <w:rPr>
          <w:rFonts w:eastAsia="Google Sans" w:cs="Times New Roman"/>
          <w:color w:val="1F1F1F"/>
          <w:lang w:val="en-US"/>
        </w:rPr>
        <w:t xml:space="preserve">, 6(4), pp. 556-575. Available at: </w:t>
      </w:r>
      <w:hyperlink r:id="rId23" w:tgtFrame="_blank" w:history="1">
        <w:r w:rsidRPr="0048325D">
          <w:rPr>
            <w:rStyle w:val="Hyperlink"/>
            <w:rFonts w:eastAsia="Google Sans" w:cs="Times New Roman"/>
            <w:lang w:val="en-US"/>
          </w:rPr>
          <w:t>https://doi.org/10.51594/farj.v6i4.1023</w:t>
        </w:r>
      </w:hyperlink>
      <w:r w:rsidRPr="0048325D">
        <w:rPr>
          <w:rFonts w:eastAsia="Google Sans" w:cs="Times New Roman"/>
          <w:color w:val="1F1F1F"/>
          <w:lang w:val="en-US"/>
        </w:rPr>
        <w:t>.</w:t>
      </w:r>
    </w:p>
    <w:p w14:paraId="0F0C5D8F" w14:textId="7EF0631E"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Enyejo</w:t>
      </w:r>
      <w:proofErr w:type="spellEnd"/>
      <w:r w:rsidRPr="0048325D">
        <w:rPr>
          <w:rFonts w:eastAsia="Google Sans" w:cs="Times New Roman"/>
          <w:color w:val="1F1F1F"/>
          <w:lang w:val="en-US"/>
        </w:rPr>
        <w:t xml:space="preserve">, J.O., Adeyemi, A.F., </w:t>
      </w:r>
      <w:proofErr w:type="spellStart"/>
      <w:r w:rsidRPr="0048325D">
        <w:rPr>
          <w:rFonts w:eastAsia="Google Sans" w:cs="Times New Roman"/>
          <w:color w:val="1F1F1F"/>
          <w:lang w:val="en-US"/>
        </w:rPr>
        <w:t>Olola</w:t>
      </w:r>
      <w:proofErr w:type="spellEnd"/>
      <w:r w:rsidRPr="0048325D">
        <w:rPr>
          <w:rFonts w:eastAsia="Google Sans" w:cs="Times New Roman"/>
          <w:color w:val="1F1F1F"/>
          <w:lang w:val="en-US"/>
        </w:rPr>
        <w:t xml:space="preserve">, T.M., Igba, E. and Obani, O.Q. (2024) 'Resilience in supply chains: How technology is helping USA companies navigate disruptions', </w:t>
      </w:r>
      <w:r w:rsidRPr="0048325D">
        <w:rPr>
          <w:rFonts w:eastAsia="Google Sans" w:cs="Times New Roman"/>
          <w:i/>
          <w:iCs/>
          <w:color w:val="1F1F1F"/>
          <w:lang w:val="en-US"/>
        </w:rPr>
        <w:t>Magna Scientia Advanced Research and Reviews</w:t>
      </w:r>
      <w:r w:rsidRPr="0048325D">
        <w:rPr>
          <w:rFonts w:eastAsia="Google Sans" w:cs="Times New Roman"/>
          <w:color w:val="1F1F1F"/>
          <w:lang w:val="en-US"/>
        </w:rPr>
        <w:t xml:space="preserve">, 11(2), pp. 261-270. Available at: </w:t>
      </w:r>
      <w:hyperlink r:id="rId24" w:tgtFrame="_blank" w:history="1">
        <w:r w:rsidRPr="0048325D">
          <w:rPr>
            <w:rStyle w:val="Hyperlink"/>
            <w:rFonts w:eastAsia="Google Sans" w:cs="Times New Roman"/>
            <w:lang w:val="en-US"/>
          </w:rPr>
          <w:t>https://doi.org/10.30574/msarr.2024.11.2.0129</w:t>
        </w:r>
      </w:hyperlink>
      <w:r w:rsidRPr="0048325D">
        <w:rPr>
          <w:rFonts w:eastAsia="Google Sans" w:cs="Times New Roman"/>
          <w:color w:val="1F1F1F"/>
          <w:lang w:val="en-US"/>
        </w:rPr>
        <w:t>.</w:t>
      </w:r>
    </w:p>
    <w:p w14:paraId="686DF3CA" w14:textId="0A2E974E"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Farooq, U., Tabash, M.I., Al</w:t>
      </w:r>
      <w:r w:rsidRPr="0048325D">
        <w:rPr>
          <w:rFonts w:ascii="Cambria Math" w:eastAsia="Google Sans" w:hAnsi="Cambria Math" w:cs="Cambria Math"/>
          <w:color w:val="1F1F1F"/>
          <w:lang w:val="en-US"/>
        </w:rPr>
        <w:t>‐</w:t>
      </w:r>
      <w:r w:rsidRPr="0048325D">
        <w:rPr>
          <w:rFonts w:eastAsia="Google Sans" w:cs="Times New Roman"/>
          <w:color w:val="1F1F1F"/>
          <w:lang w:val="en-US"/>
        </w:rPr>
        <w:t xml:space="preserve">Naimi, A.A. and </w:t>
      </w:r>
      <w:proofErr w:type="spellStart"/>
      <w:r w:rsidRPr="0048325D">
        <w:rPr>
          <w:rFonts w:eastAsia="Google Sans" w:cs="Times New Roman"/>
          <w:color w:val="1F1F1F"/>
          <w:lang w:val="en-US"/>
        </w:rPr>
        <w:t>Drachal</w:t>
      </w:r>
      <w:proofErr w:type="spellEnd"/>
      <w:r w:rsidRPr="0048325D">
        <w:rPr>
          <w:rFonts w:eastAsia="Google Sans" w:cs="Times New Roman"/>
          <w:color w:val="1F1F1F"/>
          <w:lang w:val="en-US"/>
        </w:rPr>
        <w:t xml:space="preserve">, K. (2022) 'Corporate Investment Decision: A Review of Literature', </w:t>
      </w:r>
      <w:r w:rsidRPr="0048325D">
        <w:rPr>
          <w:rFonts w:eastAsia="Google Sans" w:cs="Times New Roman"/>
          <w:i/>
          <w:iCs/>
          <w:color w:val="1F1F1F"/>
          <w:lang w:val="en-US"/>
        </w:rPr>
        <w:t>Journal of Risk and Financial Management</w:t>
      </w:r>
      <w:r w:rsidRPr="0048325D">
        <w:rPr>
          <w:rFonts w:eastAsia="Google Sans" w:cs="Times New Roman"/>
          <w:color w:val="1F1F1F"/>
          <w:lang w:val="en-US"/>
        </w:rPr>
        <w:t xml:space="preserve">, 15(12), p. 611. Available at: </w:t>
      </w:r>
      <w:hyperlink r:id="rId25" w:tgtFrame="_blank" w:history="1">
        <w:r w:rsidRPr="0048325D">
          <w:rPr>
            <w:rStyle w:val="Hyperlink"/>
            <w:rFonts w:eastAsia="Google Sans" w:cs="Times New Roman"/>
            <w:lang w:val="en-US"/>
          </w:rPr>
          <w:t>https://doi.org/10.3390/jrfm15120611</w:t>
        </w:r>
      </w:hyperlink>
      <w:r w:rsidRPr="0048325D">
        <w:rPr>
          <w:rFonts w:eastAsia="Google Sans" w:cs="Times New Roman"/>
          <w:color w:val="1F1F1F"/>
          <w:lang w:val="en-US"/>
        </w:rPr>
        <w:t>.</w:t>
      </w:r>
    </w:p>
    <w:p w14:paraId="5D2E791A" w14:textId="76A772DA"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Fisher, I. (1930) </w:t>
      </w:r>
      <w:r w:rsidRPr="0048325D">
        <w:rPr>
          <w:rFonts w:eastAsia="Google Sans" w:cs="Times New Roman"/>
          <w:i/>
          <w:iCs/>
          <w:color w:val="1F1F1F"/>
          <w:lang w:val="en-US"/>
        </w:rPr>
        <w:t>The Theory of Interest: As Determined by Impatience to Spend Income and Opportunity to Invest It</w:t>
      </w:r>
      <w:r w:rsidRPr="0048325D">
        <w:rPr>
          <w:rFonts w:eastAsia="Google Sans" w:cs="Times New Roman"/>
          <w:color w:val="1F1F1F"/>
          <w:lang w:val="en-US"/>
        </w:rPr>
        <w:t>. New York: Macmillan.</w:t>
      </w:r>
    </w:p>
    <w:p w14:paraId="5AE8C9CA" w14:textId="6DFD1D76"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Gazilas</w:t>
      </w:r>
      <w:proofErr w:type="spellEnd"/>
      <w:r w:rsidRPr="0048325D">
        <w:rPr>
          <w:rFonts w:eastAsia="Google Sans" w:cs="Times New Roman"/>
          <w:color w:val="1F1F1F"/>
          <w:lang w:val="en-US"/>
        </w:rPr>
        <w:t xml:space="preserve">, E.T. and </w:t>
      </w:r>
      <w:proofErr w:type="spellStart"/>
      <w:r w:rsidRPr="0048325D">
        <w:rPr>
          <w:rFonts w:eastAsia="Google Sans" w:cs="Times New Roman"/>
          <w:color w:val="1F1F1F"/>
          <w:lang w:val="en-US"/>
        </w:rPr>
        <w:t>Vozikis</w:t>
      </w:r>
      <w:proofErr w:type="spellEnd"/>
      <w:r w:rsidRPr="0048325D">
        <w:rPr>
          <w:rFonts w:eastAsia="Google Sans" w:cs="Times New Roman"/>
          <w:color w:val="1F1F1F"/>
          <w:lang w:val="en-US"/>
        </w:rPr>
        <w:t xml:space="preserve">, A. (2024) 'The impact of market concentration on the financial performance of general private clinics in Greece', </w:t>
      </w:r>
      <w:r w:rsidRPr="0048325D">
        <w:rPr>
          <w:rFonts w:eastAsia="Google Sans" w:cs="Times New Roman"/>
          <w:i/>
          <w:iCs/>
          <w:color w:val="1F1F1F"/>
          <w:lang w:val="en-US"/>
        </w:rPr>
        <w:t>International Journal of Management &amp; Entrepreneurship Research</w:t>
      </w:r>
      <w:r w:rsidRPr="0048325D">
        <w:rPr>
          <w:rFonts w:eastAsia="Google Sans" w:cs="Times New Roman"/>
          <w:color w:val="1F1F1F"/>
          <w:lang w:val="en-US"/>
        </w:rPr>
        <w:t xml:space="preserve">, 6(8), pp. 2533-2545. Available at: </w:t>
      </w:r>
      <w:hyperlink r:id="rId26" w:tgtFrame="_blank" w:history="1">
        <w:r w:rsidRPr="0048325D">
          <w:rPr>
            <w:rStyle w:val="Hyperlink"/>
            <w:rFonts w:eastAsia="Google Sans" w:cs="Times New Roman"/>
            <w:lang w:val="en-US"/>
          </w:rPr>
          <w:t>https://doi.org/10.51594/ijmer.v6i8.1381</w:t>
        </w:r>
      </w:hyperlink>
      <w:r w:rsidRPr="0048325D">
        <w:rPr>
          <w:rFonts w:eastAsia="Google Sans" w:cs="Times New Roman"/>
          <w:color w:val="1F1F1F"/>
          <w:lang w:val="en-US"/>
        </w:rPr>
        <w:t>.</w:t>
      </w:r>
    </w:p>
    <w:p w14:paraId="2F922114" w14:textId="2B1BB6F3"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Giglio, S., Kelly, B. and Stroebel, J. (2021) 'Climate Finance', </w:t>
      </w:r>
      <w:r w:rsidRPr="0048325D">
        <w:rPr>
          <w:rFonts w:eastAsia="Google Sans" w:cs="Times New Roman"/>
          <w:i/>
          <w:iCs/>
          <w:color w:val="1F1F1F"/>
          <w:lang w:val="en-US"/>
        </w:rPr>
        <w:t>Annual Review of Financial Economics</w:t>
      </w:r>
      <w:r w:rsidRPr="0048325D">
        <w:rPr>
          <w:rFonts w:eastAsia="Google Sans" w:cs="Times New Roman"/>
          <w:color w:val="1F1F1F"/>
          <w:lang w:val="en-US"/>
        </w:rPr>
        <w:t xml:space="preserve">, 13(1), pp. 15-36. Available at: </w:t>
      </w:r>
      <w:hyperlink r:id="rId27" w:tgtFrame="_blank" w:history="1">
        <w:r w:rsidRPr="0048325D">
          <w:rPr>
            <w:rStyle w:val="Hyperlink"/>
            <w:rFonts w:eastAsia="Google Sans" w:cs="Times New Roman"/>
            <w:lang w:val="en-US"/>
          </w:rPr>
          <w:t>https://doi.org/10.1146/annurev-financial-102620-103311</w:t>
        </w:r>
      </w:hyperlink>
      <w:r w:rsidRPr="0048325D">
        <w:rPr>
          <w:rFonts w:eastAsia="Google Sans" w:cs="Times New Roman"/>
          <w:color w:val="1F1F1F"/>
          <w:lang w:val="en-US"/>
        </w:rPr>
        <w:t>.</w:t>
      </w:r>
    </w:p>
    <w:p w14:paraId="140BB5D0" w14:textId="60B8D629"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Goić</w:t>
      </w:r>
      <w:proofErr w:type="spellEnd"/>
      <w:r w:rsidRPr="0048325D">
        <w:rPr>
          <w:rFonts w:eastAsia="Google Sans" w:cs="Times New Roman"/>
          <w:color w:val="1F1F1F"/>
          <w:lang w:val="en-US"/>
        </w:rPr>
        <w:t xml:space="preserve">, M., </w:t>
      </w:r>
      <w:proofErr w:type="spellStart"/>
      <w:r w:rsidRPr="0048325D">
        <w:rPr>
          <w:rFonts w:eastAsia="Google Sans" w:cs="Times New Roman"/>
          <w:color w:val="1F1F1F"/>
          <w:lang w:val="en-US"/>
        </w:rPr>
        <w:t>Levenier</w:t>
      </w:r>
      <w:proofErr w:type="spellEnd"/>
      <w:r w:rsidRPr="0048325D">
        <w:rPr>
          <w:rFonts w:eastAsia="Google Sans" w:cs="Times New Roman"/>
          <w:color w:val="1F1F1F"/>
          <w:lang w:val="en-US"/>
        </w:rPr>
        <w:t xml:space="preserve">, C. and Montoya, R. (2021) 'Drivers of customer satisfaction in the grocery </w:t>
      </w:r>
      <w:r w:rsidRPr="0048325D">
        <w:rPr>
          <w:rFonts w:eastAsia="Google Sans" w:cs="Times New Roman"/>
          <w:color w:val="1F1F1F"/>
          <w:lang w:val="en-US"/>
        </w:rPr>
        <w:lastRenderedPageBreak/>
        <w:t xml:space="preserve">retail industry: A longitudinal analysis across store formats', </w:t>
      </w:r>
      <w:r w:rsidRPr="0048325D">
        <w:rPr>
          <w:rFonts w:eastAsia="Google Sans" w:cs="Times New Roman"/>
          <w:i/>
          <w:iCs/>
          <w:color w:val="1F1F1F"/>
          <w:lang w:val="en-US"/>
        </w:rPr>
        <w:t>Journal of Retailing and Consumer Services</w:t>
      </w:r>
      <w:r w:rsidRPr="0048325D">
        <w:rPr>
          <w:rFonts w:eastAsia="Google Sans" w:cs="Times New Roman"/>
          <w:color w:val="1F1F1F"/>
          <w:lang w:val="en-US"/>
        </w:rPr>
        <w:t xml:space="preserve">, 60, p. 102505. Available at: </w:t>
      </w:r>
      <w:hyperlink r:id="rId28" w:tgtFrame="_blank" w:history="1">
        <w:r w:rsidRPr="0048325D">
          <w:rPr>
            <w:rStyle w:val="Hyperlink"/>
            <w:rFonts w:eastAsia="Google Sans" w:cs="Times New Roman"/>
            <w:lang w:val="en-US"/>
          </w:rPr>
          <w:t>https://doi.org/10.1016/j.jretconser.2021.102505</w:t>
        </w:r>
      </w:hyperlink>
      <w:r w:rsidRPr="0048325D">
        <w:rPr>
          <w:rFonts w:eastAsia="Google Sans" w:cs="Times New Roman"/>
          <w:color w:val="1F1F1F"/>
          <w:lang w:val="en-US"/>
        </w:rPr>
        <w:t>.</w:t>
      </w:r>
    </w:p>
    <w:p w14:paraId="204AB339" w14:textId="11A63FA5"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Hanlon, M. and Heitzman, S. (2022) 'Corporate Debt and Taxes', </w:t>
      </w:r>
      <w:r w:rsidRPr="0048325D">
        <w:rPr>
          <w:rFonts w:eastAsia="Google Sans" w:cs="Times New Roman"/>
          <w:i/>
          <w:iCs/>
          <w:color w:val="1F1F1F"/>
          <w:lang w:val="en-US"/>
        </w:rPr>
        <w:t>Annual Review of Financial Economics</w:t>
      </w:r>
      <w:r w:rsidRPr="0048325D">
        <w:rPr>
          <w:rFonts w:eastAsia="Google Sans" w:cs="Times New Roman"/>
          <w:color w:val="1F1F1F"/>
          <w:lang w:val="en-US"/>
        </w:rPr>
        <w:t xml:space="preserve">, 14(1), pp. 509-530. Available at: </w:t>
      </w:r>
      <w:hyperlink r:id="rId29" w:tgtFrame="_blank" w:history="1">
        <w:r w:rsidRPr="0048325D">
          <w:rPr>
            <w:rStyle w:val="Hyperlink"/>
            <w:rFonts w:eastAsia="Google Sans" w:cs="Times New Roman"/>
            <w:lang w:val="en-US"/>
          </w:rPr>
          <w:t>https://doi.org/10.1146/annurev-financial-101221-103806</w:t>
        </w:r>
      </w:hyperlink>
      <w:r w:rsidRPr="0048325D">
        <w:rPr>
          <w:rFonts w:eastAsia="Google Sans" w:cs="Times New Roman"/>
          <w:color w:val="1F1F1F"/>
          <w:lang w:val="en-US"/>
        </w:rPr>
        <w:t>.</w:t>
      </w:r>
    </w:p>
    <w:p w14:paraId="6CCA5032" w14:textId="2CDCFE6F"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Hoang, D., </w:t>
      </w:r>
      <w:proofErr w:type="spellStart"/>
      <w:r w:rsidRPr="0048325D">
        <w:rPr>
          <w:rFonts w:eastAsia="Google Sans" w:cs="Times New Roman"/>
          <w:color w:val="1F1F1F"/>
          <w:lang w:val="en-US"/>
        </w:rPr>
        <w:t>Gatzer</w:t>
      </w:r>
      <w:proofErr w:type="spellEnd"/>
      <w:r w:rsidRPr="0048325D">
        <w:rPr>
          <w:rFonts w:eastAsia="Google Sans" w:cs="Times New Roman"/>
          <w:color w:val="1F1F1F"/>
          <w:lang w:val="en-US"/>
        </w:rPr>
        <w:t xml:space="preserve">, S. and </w:t>
      </w:r>
      <w:proofErr w:type="spellStart"/>
      <w:r w:rsidRPr="0048325D">
        <w:rPr>
          <w:rFonts w:eastAsia="Google Sans" w:cs="Times New Roman"/>
          <w:color w:val="1F1F1F"/>
          <w:lang w:val="en-US"/>
        </w:rPr>
        <w:t>Ruckes</w:t>
      </w:r>
      <w:proofErr w:type="spellEnd"/>
      <w:r w:rsidRPr="0048325D">
        <w:rPr>
          <w:rFonts w:eastAsia="Google Sans" w:cs="Times New Roman"/>
          <w:color w:val="1F1F1F"/>
          <w:lang w:val="en-US"/>
        </w:rPr>
        <w:t xml:space="preserve">, M. (2024) 'The Economics of Capital Allocation in Firms: Evidence from Internal Capital Markets', </w:t>
      </w:r>
      <w:r w:rsidRPr="0048325D">
        <w:rPr>
          <w:rFonts w:eastAsia="Google Sans" w:cs="Times New Roman"/>
          <w:i/>
          <w:iCs/>
          <w:color w:val="1F1F1F"/>
          <w:lang w:val="en-US"/>
        </w:rPr>
        <w:t>Management Science</w:t>
      </w:r>
      <w:r w:rsidRPr="0048325D">
        <w:rPr>
          <w:rFonts w:eastAsia="Google Sans" w:cs="Times New Roman"/>
          <w:color w:val="1F1F1F"/>
          <w:lang w:val="en-US"/>
        </w:rPr>
        <w:t xml:space="preserve">, 70(11). Available at: </w:t>
      </w:r>
      <w:hyperlink r:id="rId30" w:tgtFrame="_blank" w:history="1">
        <w:r w:rsidRPr="0048325D">
          <w:rPr>
            <w:rStyle w:val="Hyperlink"/>
            <w:rFonts w:eastAsia="Google Sans" w:cs="Times New Roman"/>
            <w:lang w:val="en-US"/>
          </w:rPr>
          <w:t>https://doi.org/10.1287/mnsc.2021.02755</w:t>
        </w:r>
      </w:hyperlink>
      <w:r w:rsidRPr="0048325D">
        <w:rPr>
          <w:rFonts w:eastAsia="Google Sans" w:cs="Times New Roman"/>
          <w:color w:val="1F1F1F"/>
          <w:lang w:val="en-US"/>
        </w:rPr>
        <w:t>.</w:t>
      </w:r>
    </w:p>
    <w:p w14:paraId="28737ABD" w14:textId="25F0DF68"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Jena, S.K. and Meena, P. (2025) 'Strategic adaptation for online platform retailers in government-regulated digital marketplaces', </w:t>
      </w:r>
      <w:r w:rsidRPr="0048325D">
        <w:rPr>
          <w:rFonts w:eastAsia="Google Sans" w:cs="Times New Roman"/>
          <w:i/>
          <w:iCs/>
          <w:color w:val="1F1F1F"/>
          <w:lang w:val="en-US"/>
        </w:rPr>
        <w:t>Journal of Innovation &amp; Knowledge</w:t>
      </w:r>
      <w:r w:rsidRPr="0048325D">
        <w:rPr>
          <w:rFonts w:eastAsia="Google Sans" w:cs="Times New Roman"/>
          <w:color w:val="1F1F1F"/>
          <w:lang w:val="en-US"/>
        </w:rPr>
        <w:t xml:space="preserve">, 10(3), p. 100717. Available at: </w:t>
      </w:r>
      <w:hyperlink r:id="rId31" w:tgtFrame="_blank" w:history="1">
        <w:r w:rsidRPr="0048325D">
          <w:rPr>
            <w:rStyle w:val="Hyperlink"/>
            <w:rFonts w:eastAsia="Google Sans" w:cs="Times New Roman"/>
            <w:lang w:val="en-US"/>
          </w:rPr>
          <w:t>https://doi.org/10.1016/j.jik.2025.100717</w:t>
        </w:r>
      </w:hyperlink>
      <w:r w:rsidRPr="0048325D">
        <w:rPr>
          <w:rFonts w:eastAsia="Google Sans" w:cs="Times New Roman"/>
          <w:color w:val="1F1F1F"/>
          <w:lang w:val="en-US"/>
        </w:rPr>
        <w:t>.</w:t>
      </w:r>
    </w:p>
    <w:p w14:paraId="71385FC7" w14:textId="2F14C0E0" w:rsid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Johnson, G., Whittington, R. and Scholes, K. (2017) </w:t>
      </w:r>
      <w:r w:rsidRPr="0048325D">
        <w:rPr>
          <w:rFonts w:eastAsia="Google Sans" w:cs="Times New Roman"/>
          <w:i/>
          <w:iCs/>
          <w:color w:val="1F1F1F"/>
          <w:lang w:val="en-US"/>
        </w:rPr>
        <w:t>Exploring Strategy</w:t>
      </w:r>
      <w:r w:rsidRPr="0048325D">
        <w:rPr>
          <w:rFonts w:eastAsia="Google Sans" w:cs="Times New Roman"/>
          <w:color w:val="1F1F1F"/>
          <w:lang w:val="en-US"/>
        </w:rPr>
        <w:t xml:space="preserve">. 11th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Harlow: Pearson.</w:t>
      </w:r>
    </w:p>
    <w:p w14:paraId="28174628" w14:textId="55446B8D"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rPr>
        <w:t xml:space="preserve">J Sainsbury plc (2025) </w:t>
      </w:r>
      <w:r w:rsidRPr="0048325D">
        <w:rPr>
          <w:rFonts w:eastAsia="Google Sans" w:cs="Times New Roman"/>
          <w:i/>
          <w:iCs/>
          <w:color w:val="1F1F1F"/>
        </w:rPr>
        <w:t>Annual Report 2025</w:t>
      </w:r>
      <w:r w:rsidRPr="0048325D">
        <w:rPr>
          <w:rFonts w:eastAsia="Google Sans" w:cs="Times New Roman"/>
          <w:color w:val="1F1F1F"/>
        </w:rPr>
        <w:t xml:space="preserve">. Available at: </w:t>
      </w:r>
      <w:hyperlink r:id="rId32" w:tgtFrame="_blank" w:history="1">
        <w:r w:rsidRPr="0048325D">
          <w:rPr>
            <w:rStyle w:val="Hyperlink"/>
            <w:rFonts w:eastAsia="Google Sans" w:cs="Times New Roman"/>
          </w:rPr>
          <w:t>https://corporate.sainsburys.co.uk/investors/annual-report-2025/</w:t>
        </w:r>
      </w:hyperlink>
      <w:r w:rsidRPr="0048325D">
        <w:rPr>
          <w:rFonts w:eastAsia="Google Sans" w:cs="Times New Roman"/>
          <w:color w:val="1F1F1F"/>
        </w:rPr>
        <w:t xml:space="preserve"> (Accessed: 11 March 2026).</w:t>
      </w:r>
    </w:p>
    <w:p w14:paraId="1ABF3B33" w14:textId="03506FF1"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Karanam, R.K., </w:t>
      </w:r>
      <w:proofErr w:type="spellStart"/>
      <w:r w:rsidRPr="0048325D">
        <w:rPr>
          <w:rFonts w:eastAsia="Google Sans" w:cs="Times New Roman"/>
          <w:color w:val="1F1F1F"/>
          <w:lang w:val="en-US"/>
        </w:rPr>
        <w:t>Sachani</w:t>
      </w:r>
      <w:proofErr w:type="spellEnd"/>
      <w:r w:rsidRPr="0048325D">
        <w:rPr>
          <w:rFonts w:eastAsia="Google Sans" w:cs="Times New Roman"/>
          <w:color w:val="1F1F1F"/>
          <w:lang w:val="en-US"/>
        </w:rPr>
        <w:t xml:space="preserve">, D.K., </w:t>
      </w:r>
      <w:proofErr w:type="spellStart"/>
      <w:r w:rsidRPr="0048325D">
        <w:rPr>
          <w:rFonts w:eastAsia="Google Sans" w:cs="Times New Roman"/>
          <w:color w:val="1F1F1F"/>
          <w:lang w:val="en-US"/>
        </w:rPr>
        <w:t>Natakam</w:t>
      </w:r>
      <w:proofErr w:type="spellEnd"/>
      <w:r w:rsidRPr="0048325D">
        <w:rPr>
          <w:rFonts w:eastAsia="Google Sans" w:cs="Times New Roman"/>
          <w:color w:val="1F1F1F"/>
          <w:lang w:val="en-US"/>
        </w:rPr>
        <w:t xml:space="preserve">, V.M., Yarlagadda, V.K. and Kothapalli, K.R.V. (2024) 'Resilient Supply Chains: Strategies for Managing Disruptions in a Globalized Economy', </w:t>
      </w:r>
      <w:r w:rsidRPr="0048325D">
        <w:rPr>
          <w:rFonts w:eastAsia="Google Sans" w:cs="Times New Roman"/>
          <w:i/>
          <w:iCs/>
          <w:color w:val="1F1F1F"/>
          <w:lang w:val="en-US"/>
        </w:rPr>
        <w:t>American Journal of Trade and Policy</w:t>
      </w:r>
      <w:r w:rsidRPr="0048325D">
        <w:rPr>
          <w:rFonts w:eastAsia="Google Sans" w:cs="Times New Roman"/>
          <w:color w:val="1F1F1F"/>
          <w:lang w:val="en-US"/>
        </w:rPr>
        <w:t xml:space="preserve">, 11(1), pp. 7-16. Available at: </w:t>
      </w:r>
      <w:hyperlink r:id="rId33" w:tgtFrame="_blank" w:history="1">
        <w:r w:rsidRPr="0048325D">
          <w:rPr>
            <w:rStyle w:val="Hyperlink"/>
            <w:rFonts w:eastAsia="Google Sans" w:cs="Times New Roman"/>
            <w:lang w:val="en-US"/>
          </w:rPr>
          <w:t>https://doi.org/10.18034/ajtp.v11i1.719</w:t>
        </w:r>
      </w:hyperlink>
      <w:r w:rsidRPr="0048325D">
        <w:rPr>
          <w:rFonts w:eastAsia="Google Sans" w:cs="Times New Roman"/>
          <w:color w:val="1F1F1F"/>
          <w:lang w:val="en-US"/>
        </w:rPr>
        <w:t>.</w:t>
      </w:r>
    </w:p>
    <w:p w14:paraId="354EC834" w14:textId="05A0400A"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Kauhanen, S., Koponen, J. and </w:t>
      </w:r>
      <w:proofErr w:type="spellStart"/>
      <w:r w:rsidRPr="0048325D">
        <w:rPr>
          <w:rFonts w:eastAsia="Google Sans" w:cs="Times New Roman"/>
          <w:color w:val="1F1F1F"/>
          <w:lang w:val="en-US"/>
        </w:rPr>
        <w:t>Komppula</w:t>
      </w:r>
      <w:proofErr w:type="spellEnd"/>
      <w:r w:rsidRPr="0048325D">
        <w:rPr>
          <w:rFonts w:eastAsia="Google Sans" w:cs="Times New Roman"/>
          <w:color w:val="1F1F1F"/>
          <w:lang w:val="en-US"/>
        </w:rPr>
        <w:t xml:space="preserve">, R. (2024) 'The external business environment faced by the restaurant industry: Discourse analysis of trade journal editorials in Finland in 1979-2023', </w:t>
      </w:r>
      <w:r w:rsidRPr="0048325D">
        <w:rPr>
          <w:rFonts w:eastAsia="Google Sans" w:cs="Times New Roman"/>
          <w:i/>
          <w:iCs/>
          <w:color w:val="1F1F1F"/>
          <w:lang w:val="en-US"/>
        </w:rPr>
        <w:t>European Journal of Tourism Research</w:t>
      </w:r>
      <w:r w:rsidRPr="0048325D">
        <w:rPr>
          <w:rFonts w:eastAsia="Google Sans" w:cs="Times New Roman"/>
          <w:color w:val="1F1F1F"/>
          <w:lang w:val="en-US"/>
        </w:rPr>
        <w:t xml:space="preserve">, 38, p. 3807. Available at: </w:t>
      </w:r>
      <w:hyperlink r:id="rId34" w:tgtFrame="_blank" w:history="1">
        <w:r w:rsidRPr="0048325D">
          <w:rPr>
            <w:rStyle w:val="Hyperlink"/>
            <w:rFonts w:eastAsia="Google Sans" w:cs="Times New Roman"/>
            <w:lang w:val="en-US"/>
          </w:rPr>
          <w:t>https://doi.org/10.54055/ejtr.v38i.3408</w:t>
        </w:r>
      </w:hyperlink>
      <w:r w:rsidRPr="0048325D">
        <w:rPr>
          <w:rFonts w:eastAsia="Google Sans" w:cs="Times New Roman"/>
          <w:color w:val="1F1F1F"/>
          <w:lang w:val="en-US"/>
        </w:rPr>
        <w:t>.</w:t>
      </w:r>
    </w:p>
    <w:p w14:paraId="2A6340F8" w14:textId="7FCA229B"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Laitinen, E.K., Camacho-</w:t>
      </w:r>
      <w:proofErr w:type="spellStart"/>
      <w:r w:rsidRPr="0048325D">
        <w:rPr>
          <w:rFonts w:eastAsia="Google Sans" w:cs="Times New Roman"/>
          <w:color w:val="1F1F1F"/>
          <w:lang w:val="en-US"/>
        </w:rPr>
        <w:t>Miñano</w:t>
      </w:r>
      <w:proofErr w:type="spellEnd"/>
      <w:r w:rsidRPr="0048325D">
        <w:rPr>
          <w:rFonts w:eastAsia="Google Sans" w:cs="Times New Roman"/>
          <w:color w:val="1F1F1F"/>
          <w:lang w:val="en-US"/>
        </w:rPr>
        <w:t>, M.-M. and Muñoz</w:t>
      </w:r>
      <w:r w:rsidRPr="0048325D">
        <w:rPr>
          <w:rFonts w:ascii="Cambria Math" w:eastAsia="Google Sans" w:hAnsi="Cambria Math" w:cs="Cambria Math"/>
          <w:color w:val="1F1F1F"/>
          <w:lang w:val="en-US"/>
        </w:rPr>
        <w:t>‐</w:t>
      </w:r>
      <w:r w:rsidRPr="0048325D">
        <w:rPr>
          <w:rFonts w:eastAsia="Google Sans" w:cs="Times New Roman"/>
          <w:color w:val="1F1F1F"/>
          <w:lang w:val="en-US"/>
        </w:rPr>
        <w:t xml:space="preserve">Izquierdo, N. (2023) 'A review of the limitations of financial failure prediction research', </w:t>
      </w:r>
      <w:r w:rsidRPr="0048325D">
        <w:rPr>
          <w:rFonts w:eastAsia="Google Sans" w:cs="Times New Roman"/>
          <w:i/>
          <w:iCs/>
          <w:color w:val="1F1F1F"/>
          <w:lang w:val="en-US"/>
        </w:rPr>
        <w:t xml:space="preserve">Revista de </w:t>
      </w:r>
      <w:proofErr w:type="spellStart"/>
      <w:r w:rsidRPr="0048325D">
        <w:rPr>
          <w:rFonts w:eastAsia="Google Sans" w:cs="Times New Roman"/>
          <w:i/>
          <w:iCs/>
          <w:color w:val="1F1F1F"/>
          <w:lang w:val="en-US"/>
        </w:rPr>
        <w:t>Contabilidad</w:t>
      </w:r>
      <w:proofErr w:type="spellEnd"/>
      <w:r w:rsidRPr="0048325D">
        <w:rPr>
          <w:rFonts w:eastAsia="Google Sans" w:cs="Times New Roman"/>
          <w:color w:val="1F1F1F"/>
          <w:lang w:val="en-US"/>
        </w:rPr>
        <w:t xml:space="preserve">, 26(2), pp. 255-270. Available at: </w:t>
      </w:r>
      <w:hyperlink r:id="rId35" w:tgtFrame="_blank" w:history="1">
        <w:r w:rsidRPr="0048325D">
          <w:rPr>
            <w:rStyle w:val="Hyperlink"/>
            <w:rFonts w:eastAsia="Google Sans" w:cs="Times New Roman"/>
            <w:lang w:val="en-US"/>
          </w:rPr>
          <w:t>https://doi.org/10.6018/rcsar.453041</w:t>
        </w:r>
      </w:hyperlink>
      <w:r w:rsidRPr="0048325D">
        <w:rPr>
          <w:rFonts w:eastAsia="Google Sans" w:cs="Times New Roman"/>
          <w:color w:val="1F1F1F"/>
          <w:lang w:val="en-US"/>
        </w:rPr>
        <w:t>.</w:t>
      </w:r>
    </w:p>
    <w:p w14:paraId="3CC027E9" w14:textId="4A8B89DC"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lastRenderedPageBreak/>
        <w:t xml:space="preserve">Lam, D.P. (2025) 'Assessing and improving capital utilization efficiency at TH food chain joint stock company', </w:t>
      </w:r>
      <w:r w:rsidRPr="0048325D">
        <w:rPr>
          <w:rFonts w:eastAsia="Google Sans" w:cs="Times New Roman"/>
          <w:i/>
          <w:iCs/>
          <w:color w:val="1F1F1F"/>
          <w:lang w:val="en-US"/>
        </w:rPr>
        <w:t>International Journal of Applied Research in Social Sciences</w:t>
      </w:r>
      <w:r w:rsidRPr="0048325D">
        <w:rPr>
          <w:rFonts w:eastAsia="Google Sans" w:cs="Times New Roman"/>
          <w:color w:val="1F1F1F"/>
          <w:lang w:val="en-US"/>
        </w:rPr>
        <w:t xml:space="preserve">, 7(9), pp. 610-620. Available at: </w:t>
      </w:r>
      <w:hyperlink r:id="rId36" w:tgtFrame="_blank" w:history="1">
        <w:r w:rsidRPr="0048325D">
          <w:rPr>
            <w:rStyle w:val="Hyperlink"/>
            <w:rFonts w:eastAsia="Google Sans" w:cs="Times New Roman"/>
            <w:lang w:val="en-US"/>
          </w:rPr>
          <w:t>https://doi.org/10.51594/ijarss.v7i9.2018</w:t>
        </w:r>
      </w:hyperlink>
      <w:r w:rsidRPr="0048325D">
        <w:rPr>
          <w:rFonts w:eastAsia="Google Sans" w:cs="Times New Roman"/>
          <w:color w:val="1F1F1F"/>
          <w:lang w:val="en-US"/>
        </w:rPr>
        <w:t>.</w:t>
      </w:r>
    </w:p>
    <w:p w14:paraId="32C7E9DD" w14:textId="182C2C4E"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Marr, B. (2012) </w:t>
      </w:r>
      <w:r w:rsidRPr="0048325D">
        <w:rPr>
          <w:rFonts w:eastAsia="Google Sans" w:cs="Times New Roman"/>
          <w:i/>
          <w:iCs/>
          <w:color w:val="1F1F1F"/>
          <w:lang w:val="en-US"/>
        </w:rPr>
        <w:t>Key performance indicators: the 75 measures every manager needs to know</w:t>
      </w:r>
      <w:r w:rsidRPr="0048325D">
        <w:rPr>
          <w:rFonts w:eastAsia="Google Sans" w:cs="Times New Roman"/>
          <w:color w:val="1F1F1F"/>
          <w:lang w:val="en-US"/>
        </w:rPr>
        <w:t xml:space="preserve">. 1st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Harlow: Pearson.</w:t>
      </w:r>
    </w:p>
    <w:p w14:paraId="3A63A36B" w14:textId="15A20214"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Minutiello</w:t>
      </w:r>
      <w:proofErr w:type="spellEnd"/>
      <w:r w:rsidRPr="0048325D">
        <w:rPr>
          <w:rFonts w:eastAsia="Google Sans" w:cs="Times New Roman"/>
          <w:color w:val="1F1F1F"/>
          <w:lang w:val="en-US"/>
        </w:rPr>
        <w:t xml:space="preserve">, V., Tettamanzi, P. and Murgolo, M. (2025) 'Small but Impactful: The Growing Role of SMES in Sustainability and ESG Reporting', </w:t>
      </w:r>
      <w:r w:rsidRPr="0048325D">
        <w:rPr>
          <w:rFonts w:eastAsia="Google Sans" w:cs="Times New Roman"/>
          <w:i/>
          <w:iCs/>
          <w:color w:val="1F1F1F"/>
          <w:lang w:val="en-US"/>
        </w:rPr>
        <w:t>Corporate Social Responsibility and Environmental Management</w:t>
      </w:r>
      <w:r w:rsidRPr="0048325D">
        <w:rPr>
          <w:rFonts w:eastAsia="Google Sans" w:cs="Times New Roman"/>
          <w:color w:val="1F1F1F"/>
          <w:lang w:val="en-US"/>
        </w:rPr>
        <w:t xml:space="preserve">, 33(1), pp. 925-940. Available at: </w:t>
      </w:r>
      <w:hyperlink r:id="rId37" w:tgtFrame="_blank" w:history="1">
        <w:r w:rsidRPr="0048325D">
          <w:rPr>
            <w:rStyle w:val="Hyperlink"/>
            <w:rFonts w:eastAsia="Google Sans" w:cs="Times New Roman"/>
            <w:lang w:val="en-US"/>
          </w:rPr>
          <w:t>https://doi.org/10.1002/csr.70199</w:t>
        </w:r>
      </w:hyperlink>
      <w:r w:rsidRPr="0048325D">
        <w:rPr>
          <w:rFonts w:eastAsia="Google Sans" w:cs="Times New Roman"/>
          <w:color w:val="1F1F1F"/>
          <w:lang w:val="en-US"/>
        </w:rPr>
        <w:t>.</w:t>
      </w:r>
    </w:p>
    <w:p w14:paraId="1B811B70" w14:textId="428DFA1B"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Mollah, M.A.S., Rouf, M.A. and Rana, S. (2021) 'A study on capital budgeting practices of some selected companies in Bangladesh', </w:t>
      </w:r>
      <w:r w:rsidRPr="0048325D">
        <w:rPr>
          <w:rFonts w:eastAsia="Google Sans" w:cs="Times New Roman"/>
          <w:i/>
          <w:iCs/>
          <w:color w:val="1F1F1F"/>
          <w:lang w:val="en-US"/>
        </w:rPr>
        <w:t>PSU Research Review</w:t>
      </w:r>
      <w:r w:rsidRPr="0048325D">
        <w:rPr>
          <w:rFonts w:eastAsia="Google Sans" w:cs="Times New Roman"/>
          <w:color w:val="1F1F1F"/>
          <w:lang w:val="en-US"/>
        </w:rPr>
        <w:t xml:space="preserve">, 7(2), pp. 137-150. Available at: </w:t>
      </w:r>
      <w:hyperlink r:id="rId38" w:tgtFrame="_blank" w:history="1">
        <w:r w:rsidRPr="0048325D">
          <w:rPr>
            <w:rStyle w:val="Hyperlink"/>
            <w:rFonts w:eastAsia="Google Sans" w:cs="Times New Roman"/>
            <w:lang w:val="en-US"/>
          </w:rPr>
          <w:t>https://doi.org/10.1108/prr-10-2020-0035</w:t>
        </w:r>
      </w:hyperlink>
      <w:r w:rsidRPr="0048325D">
        <w:rPr>
          <w:rFonts w:eastAsia="Google Sans" w:cs="Times New Roman"/>
          <w:color w:val="1F1F1F"/>
          <w:lang w:val="en-US"/>
        </w:rPr>
        <w:t>.</w:t>
      </w:r>
    </w:p>
    <w:p w14:paraId="430649D1" w14:textId="328748EE"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Moussa, A.S. and </w:t>
      </w:r>
      <w:proofErr w:type="spellStart"/>
      <w:r w:rsidRPr="0048325D">
        <w:rPr>
          <w:rFonts w:eastAsia="Google Sans" w:cs="Times New Roman"/>
          <w:color w:val="1F1F1F"/>
          <w:lang w:val="en-US"/>
        </w:rPr>
        <w:t>Elmarzouky</w:t>
      </w:r>
      <w:proofErr w:type="spellEnd"/>
      <w:r w:rsidRPr="0048325D">
        <w:rPr>
          <w:rFonts w:eastAsia="Google Sans" w:cs="Times New Roman"/>
          <w:color w:val="1F1F1F"/>
          <w:lang w:val="en-US"/>
        </w:rPr>
        <w:t xml:space="preserve">, M. (2024) 'Beyond Compliance: How ESG Reporting Influences the Cost of Capital in UK Firms', </w:t>
      </w:r>
      <w:r w:rsidRPr="0048325D">
        <w:rPr>
          <w:rFonts w:eastAsia="Google Sans" w:cs="Times New Roman"/>
          <w:i/>
          <w:iCs/>
          <w:color w:val="1F1F1F"/>
          <w:lang w:val="en-US"/>
        </w:rPr>
        <w:t>Journal of Risk and Financial Management</w:t>
      </w:r>
      <w:r w:rsidRPr="0048325D">
        <w:rPr>
          <w:rFonts w:eastAsia="Google Sans" w:cs="Times New Roman"/>
          <w:color w:val="1F1F1F"/>
          <w:lang w:val="en-US"/>
        </w:rPr>
        <w:t xml:space="preserve">, 17(8), p. 326. Available at: </w:t>
      </w:r>
      <w:hyperlink r:id="rId39" w:tgtFrame="_blank" w:history="1">
        <w:r w:rsidRPr="0048325D">
          <w:rPr>
            <w:rStyle w:val="Hyperlink"/>
            <w:rFonts w:eastAsia="Google Sans" w:cs="Times New Roman"/>
            <w:lang w:val="en-US"/>
          </w:rPr>
          <w:t>https://doi.org/10.3390/jrfm17080326</w:t>
        </w:r>
      </w:hyperlink>
      <w:r w:rsidRPr="0048325D">
        <w:rPr>
          <w:rFonts w:eastAsia="Google Sans" w:cs="Times New Roman"/>
          <w:color w:val="1F1F1F"/>
          <w:lang w:val="en-US"/>
        </w:rPr>
        <w:t>.</w:t>
      </w:r>
    </w:p>
    <w:p w14:paraId="634A9E41" w14:textId="384291F0"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Musanovic, E.B. and </w:t>
      </w:r>
      <w:proofErr w:type="spellStart"/>
      <w:r w:rsidRPr="0048325D">
        <w:rPr>
          <w:rFonts w:eastAsia="Google Sans" w:cs="Times New Roman"/>
          <w:color w:val="1F1F1F"/>
          <w:lang w:val="en-US"/>
        </w:rPr>
        <w:t>Halilbegović</w:t>
      </w:r>
      <w:proofErr w:type="spellEnd"/>
      <w:r w:rsidRPr="0048325D">
        <w:rPr>
          <w:rFonts w:eastAsia="Google Sans" w:cs="Times New Roman"/>
          <w:color w:val="1F1F1F"/>
          <w:lang w:val="en-US"/>
        </w:rPr>
        <w:t xml:space="preserve">, S. (2021) 'Financial statement manipulation in failing Small and Medium-Sized Enterprises in Bosnia and Herzegovina', </w:t>
      </w:r>
      <w:r w:rsidRPr="0048325D">
        <w:rPr>
          <w:rFonts w:eastAsia="Google Sans" w:cs="Times New Roman"/>
          <w:i/>
          <w:iCs/>
          <w:color w:val="1F1F1F"/>
          <w:lang w:val="en-US"/>
        </w:rPr>
        <w:t>Journal of Eastern European and Central Asian Research (JEECAR)</w:t>
      </w:r>
      <w:r w:rsidRPr="0048325D">
        <w:rPr>
          <w:rFonts w:eastAsia="Google Sans" w:cs="Times New Roman"/>
          <w:color w:val="1F1F1F"/>
          <w:lang w:val="en-US"/>
        </w:rPr>
        <w:t xml:space="preserve">, 8(4), pp. 556-570. Available at: </w:t>
      </w:r>
      <w:hyperlink r:id="rId40" w:tgtFrame="_blank" w:history="1">
        <w:r w:rsidRPr="0048325D">
          <w:rPr>
            <w:rStyle w:val="Hyperlink"/>
            <w:rFonts w:eastAsia="Google Sans" w:cs="Times New Roman"/>
            <w:lang w:val="en-US"/>
          </w:rPr>
          <w:t>https://doi.org/10.15549/jeecar.v8i4.692</w:t>
        </w:r>
      </w:hyperlink>
      <w:r w:rsidRPr="0048325D">
        <w:rPr>
          <w:rFonts w:eastAsia="Google Sans" w:cs="Times New Roman"/>
          <w:color w:val="1F1F1F"/>
          <w:lang w:val="en-US"/>
        </w:rPr>
        <w:t>.</w:t>
      </w:r>
    </w:p>
    <w:p w14:paraId="40A620D2" w14:textId="46BA9499"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Myers, S.C. and Majluf, N.S. (1984) 'Corporate financing and investment decisions when firms have information that investors do not have', </w:t>
      </w:r>
      <w:r w:rsidRPr="0048325D">
        <w:rPr>
          <w:rFonts w:eastAsia="Google Sans" w:cs="Times New Roman"/>
          <w:i/>
          <w:iCs/>
          <w:color w:val="1F1F1F"/>
          <w:lang w:val="en-US"/>
        </w:rPr>
        <w:t>Journal of Financial Economics</w:t>
      </w:r>
      <w:r w:rsidRPr="0048325D">
        <w:rPr>
          <w:rFonts w:eastAsia="Google Sans" w:cs="Times New Roman"/>
          <w:color w:val="1F1F1F"/>
          <w:lang w:val="en-US"/>
        </w:rPr>
        <w:t xml:space="preserve">, 13(2), pp. 187-221. Available at: </w:t>
      </w:r>
      <w:hyperlink r:id="rId41" w:tgtFrame="_blank" w:history="1">
        <w:r w:rsidRPr="0048325D">
          <w:rPr>
            <w:rStyle w:val="Hyperlink"/>
            <w:rFonts w:eastAsia="Google Sans" w:cs="Times New Roman"/>
            <w:lang w:val="en-US"/>
          </w:rPr>
          <w:t>https://doi.org/10.1016/0304-405X(84)90023-0</w:t>
        </w:r>
      </w:hyperlink>
      <w:r w:rsidRPr="0048325D">
        <w:rPr>
          <w:rFonts w:eastAsia="Google Sans" w:cs="Times New Roman"/>
          <w:color w:val="1F1F1F"/>
          <w:lang w:val="en-US"/>
        </w:rPr>
        <w:t>.</w:t>
      </w:r>
    </w:p>
    <w:p w14:paraId="4045DFC5" w14:textId="52E3A592"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Pasupuleti, A., Ayyagari, L.R. and </w:t>
      </w:r>
      <w:proofErr w:type="spellStart"/>
      <w:r w:rsidRPr="0048325D">
        <w:rPr>
          <w:rFonts w:eastAsia="Google Sans" w:cs="Times New Roman"/>
          <w:color w:val="1F1F1F"/>
          <w:lang w:val="en-US"/>
        </w:rPr>
        <w:t>Akuthota</w:t>
      </w:r>
      <w:proofErr w:type="spellEnd"/>
      <w:r w:rsidRPr="0048325D">
        <w:rPr>
          <w:rFonts w:eastAsia="Google Sans" w:cs="Times New Roman"/>
          <w:color w:val="1F1F1F"/>
          <w:lang w:val="en-US"/>
        </w:rPr>
        <w:t xml:space="preserve">, S.R. (2024) 'Assessing the impact of ESG scores on market performance in polluting companies: a post-COVID-19 analysis', </w:t>
      </w:r>
      <w:r w:rsidRPr="0048325D">
        <w:rPr>
          <w:rFonts w:eastAsia="Google Sans" w:cs="Times New Roman"/>
          <w:i/>
          <w:iCs/>
          <w:color w:val="1F1F1F"/>
          <w:lang w:val="en-US"/>
        </w:rPr>
        <w:t>Discover Sustainability</w:t>
      </w:r>
      <w:r w:rsidRPr="0048325D">
        <w:rPr>
          <w:rFonts w:eastAsia="Google Sans" w:cs="Times New Roman"/>
          <w:color w:val="1F1F1F"/>
          <w:lang w:val="en-US"/>
        </w:rPr>
        <w:t xml:space="preserve">, 5(1). Available at: </w:t>
      </w:r>
      <w:hyperlink r:id="rId42" w:tgtFrame="_blank" w:history="1">
        <w:r w:rsidRPr="0048325D">
          <w:rPr>
            <w:rStyle w:val="Hyperlink"/>
            <w:rFonts w:eastAsia="Google Sans" w:cs="Times New Roman"/>
            <w:lang w:val="en-US"/>
          </w:rPr>
          <w:t>https://doi.org/10.1007/s43621-024-00338-8</w:t>
        </w:r>
      </w:hyperlink>
      <w:r w:rsidRPr="0048325D">
        <w:rPr>
          <w:rFonts w:eastAsia="Google Sans" w:cs="Times New Roman"/>
          <w:color w:val="1F1F1F"/>
          <w:lang w:val="en-US"/>
        </w:rPr>
        <w:t>.</w:t>
      </w:r>
    </w:p>
    <w:p w14:paraId="53A66D58" w14:textId="1FBCD627"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Purnamasari</w:t>
      </w:r>
      <w:proofErr w:type="spellEnd"/>
      <w:r w:rsidRPr="0048325D">
        <w:rPr>
          <w:rFonts w:eastAsia="Google Sans" w:cs="Times New Roman"/>
          <w:color w:val="1F1F1F"/>
          <w:lang w:val="en-US"/>
        </w:rPr>
        <w:t xml:space="preserve">, P. and </w:t>
      </w:r>
      <w:proofErr w:type="spellStart"/>
      <w:r w:rsidRPr="0048325D">
        <w:rPr>
          <w:rFonts w:eastAsia="Google Sans" w:cs="Times New Roman"/>
          <w:color w:val="1F1F1F"/>
          <w:lang w:val="en-US"/>
        </w:rPr>
        <w:t>Adriza</w:t>
      </w:r>
      <w:proofErr w:type="spellEnd"/>
      <w:r w:rsidRPr="0048325D">
        <w:rPr>
          <w:rFonts w:eastAsia="Google Sans" w:cs="Times New Roman"/>
          <w:color w:val="1F1F1F"/>
          <w:lang w:val="en-US"/>
        </w:rPr>
        <w:t xml:space="preserve"> (2024) 'Capital budgeting techniques and financial performance: a comparison between SMEs and large listed firms', </w:t>
      </w:r>
      <w:r w:rsidRPr="0048325D">
        <w:rPr>
          <w:rFonts w:eastAsia="Google Sans" w:cs="Times New Roman"/>
          <w:i/>
          <w:iCs/>
          <w:color w:val="1F1F1F"/>
          <w:lang w:val="en-US"/>
        </w:rPr>
        <w:t>Cogent Economics &amp; Finance</w:t>
      </w:r>
      <w:r w:rsidRPr="0048325D">
        <w:rPr>
          <w:rFonts w:eastAsia="Google Sans" w:cs="Times New Roman"/>
          <w:color w:val="1F1F1F"/>
          <w:lang w:val="en-US"/>
        </w:rPr>
        <w:t xml:space="preserve">, 12(1). Available at: </w:t>
      </w:r>
      <w:hyperlink r:id="rId43" w:tgtFrame="_blank" w:history="1">
        <w:r w:rsidRPr="0048325D">
          <w:rPr>
            <w:rStyle w:val="Hyperlink"/>
            <w:rFonts w:eastAsia="Google Sans" w:cs="Times New Roman"/>
            <w:lang w:val="en-US"/>
          </w:rPr>
          <w:t>https://doi.org/10.1080/23322039.2024.2404707</w:t>
        </w:r>
      </w:hyperlink>
      <w:r w:rsidRPr="0048325D">
        <w:rPr>
          <w:rFonts w:eastAsia="Google Sans" w:cs="Times New Roman"/>
          <w:color w:val="1F1F1F"/>
          <w:lang w:val="en-US"/>
        </w:rPr>
        <w:t>.</w:t>
      </w:r>
    </w:p>
    <w:p w14:paraId="32BDAE93" w14:textId="22BA165E"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lastRenderedPageBreak/>
        <w:t xml:space="preserve">Saunders, A., Cornett, M.M. and Erhemjamts, O. (2021) </w:t>
      </w:r>
      <w:r w:rsidRPr="0048325D">
        <w:rPr>
          <w:rFonts w:eastAsia="Google Sans" w:cs="Times New Roman"/>
          <w:i/>
          <w:iCs/>
          <w:color w:val="1F1F1F"/>
          <w:lang w:val="en-US"/>
        </w:rPr>
        <w:t>Financial institutions management: a risk management approach</w:t>
      </w:r>
      <w:r w:rsidRPr="0048325D">
        <w:rPr>
          <w:rFonts w:eastAsia="Google Sans" w:cs="Times New Roman"/>
          <w:color w:val="1F1F1F"/>
          <w:lang w:val="en-US"/>
        </w:rPr>
        <w:t xml:space="preserve">. 10th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New York, NY: McGraw-Hill Education.</w:t>
      </w:r>
    </w:p>
    <w:p w14:paraId="31DEFC91" w14:textId="28A9344A"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Seretidou</w:t>
      </w:r>
      <w:proofErr w:type="spellEnd"/>
      <w:r w:rsidRPr="0048325D">
        <w:rPr>
          <w:rFonts w:eastAsia="Google Sans" w:cs="Times New Roman"/>
          <w:color w:val="1F1F1F"/>
          <w:lang w:val="en-US"/>
        </w:rPr>
        <w:t xml:space="preserve">, D., </w:t>
      </w:r>
      <w:proofErr w:type="spellStart"/>
      <w:r w:rsidRPr="0048325D">
        <w:rPr>
          <w:rFonts w:eastAsia="Google Sans" w:cs="Times New Roman"/>
          <w:color w:val="1F1F1F"/>
          <w:lang w:val="en-US"/>
        </w:rPr>
        <w:t>Billios</w:t>
      </w:r>
      <w:proofErr w:type="spellEnd"/>
      <w:r w:rsidRPr="0048325D">
        <w:rPr>
          <w:rFonts w:eastAsia="Google Sans" w:cs="Times New Roman"/>
          <w:color w:val="1F1F1F"/>
          <w:lang w:val="en-US"/>
        </w:rPr>
        <w:t xml:space="preserve">, D. and Stavropoulos, A. (2025) 'Integrative Analysis of Traditional and Cash Flow Financial Ratios: Insights from a Systematic Comparative Review', </w:t>
      </w:r>
      <w:r w:rsidRPr="0048325D">
        <w:rPr>
          <w:rFonts w:eastAsia="Google Sans" w:cs="Times New Roman"/>
          <w:i/>
          <w:iCs/>
          <w:color w:val="1F1F1F"/>
          <w:lang w:val="en-US"/>
        </w:rPr>
        <w:t>Risks</w:t>
      </w:r>
      <w:r w:rsidRPr="0048325D">
        <w:rPr>
          <w:rFonts w:eastAsia="Google Sans" w:cs="Times New Roman"/>
          <w:color w:val="1F1F1F"/>
          <w:lang w:val="en-US"/>
        </w:rPr>
        <w:t xml:space="preserve">, 13(4), p. 62. Available at: </w:t>
      </w:r>
      <w:hyperlink r:id="rId44" w:tgtFrame="_blank" w:history="1">
        <w:r w:rsidRPr="0048325D">
          <w:rPr>
            <w:rStyle w:val="Hyperlink"/>
            <w:rFonts w:eastAsia="Google Sans" w:cs="Times New Roman"/>
            <w:lang w:val="en-US"/>
          </w:rPr>
          <w:t>https://doi.org/10.3390/risks13040062</w:t>
        </w:r>
      </w:hyperlink>
      <w:r w:rsidRPr="0048325D">
        <w:rPr>
          <w:rFonts w:eastAsia="Google Sans" w:cs="Times New Roman"/>
          <w:color w:val="1F1F1F"/>
          <w:lang w:val="en-US"/>
        </w:rPr>
        <w:t>.</w:t>
      </w:r>
    </w:p>
    <w:p w14:paraId="528C253C" w14:textId="07DF2E69"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Simon, H.A. (1955) 'A behavioral model of rational choice', </w:t>
      </w:r>
      <w:r w:rsidRPr="0048325D">
        <w:rPr>
          <w:rFonts w:eastAsia="Google Sans" w:cs="Times New Roman"/>
          <w:i/>
          <w:iCs/>
          <w:color w:val="1F1F1F"/>
          <w:lang w:val="en-US"/>
        </w:rPr>
        <w:t>The Quarterly Journal of Economics</w:t>
      </w:r>
      <w:r w:rsidRPr="0048325D">
        <w:rPr>
          <w:rFonts w:eastAsia="Google Sans" w:cs="Times New Roman"/>
          <w:color w:val="1F1F1F"/>
          <w:lang w:val="en-US"/>
        </w:rPr>
        <w:t xml:space="preserve">, 69(1), pp. 99-118. Available at: </w:t>
      </w:r>
      <w:hyperlink r:id="rId45" w:tgtFrame="_blank" w:history="1">
        <w:r w:rsidRPr="0048325D">
          <w:rPr>
            <w:rStyle w:val="Hyperlink"/>
            <w:rFonts w:eastAsia="Google Sans" w:cs="Times New Roman"/>
            <w:lang w:val="en-US"/>
          </w:rPr>
          <w:t>https://doi.org/10.2307/1884852</w:t>
        </w:r>
      </w:hyperlink>
      <w:r w:rsidRPr="0048325D">
        <w:rPr>
          <w:rFonts w:eastAsia="Google Sans" w:cs="Times New Roman"/>
          <w:color w:val="1F1F1F"/>
          <w:lang w:val="en-US"/>
        </w:rPr>
        <w:t>.</w:t>
      </w:r>
    </w:p>
    <w:p w14:paraId="657D517A" w14:textId="10335AC9"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Singh, P.K.K. (2024) 'Measuring the Broader Value Proposition of Digital Transformation in Supply Chains', </w:t>
      </w:r>
      <w:r w:rsidRPr="0048325D">
        <w:rPr>
          <w:rFonts w:eastAsia="Google Sans" w:cs="Times New Roman"/>
          <w:i/>
          <w:iCs/>
          <w:color w:val="1F1F1F"/>
          <w:lang w:val="en-US"/>
        </w:rPr>
        <w:t>International Journal of Supply Chain Management</w:t>
      </w:r>
      <w:r w:rsidRPr="0048325D">
        <w:rPr>
          <w:rFonts w:eastAsia="Google Sans" w:cs="Times New Roman"/>
          <w:color w:val="1F1F1F"/>
          <w:lang w:val="en-US"/>
        </w:rPr>
        <w:t xml:space="preserve">, 13(1), pp. 16-30. Available at: </w:t>
      </w:r>
      <w:hyperlink r:id="rId46" w:tgtFrame="_blank" w:history="1">
        <w:r w:rsidRPr="0048325D">
          <w:rPr>
            <w:rStyle w:val="Hyperlink"/>
            <w:rFonts w:eastAsia="Google Sans" w:cs="Times New Roman"/>
            <w:lang w:val="en-US"/>
          </w:rPr>
          <w:t>https://doi.org/10.59160/ijscm.v13i1.6222</w:t>
        </w:r>
      </w:hyperlink>
      <w:r w:rsidRPr="0048325D">
        <w:rPr>
          <w:rFonts w:eastAsia="Google Sans" w:cs="Times New Roman"/>
          <w:color w:val="1F1F1F"/>
          <w:lang w:val="en-US"/>
        </w:rPr>
        <w:t>.</w:t>
      </w:r>
    </w:p>
    <w:p w14:paraId="13AB97A1" w14:textId="764F31D5"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Taylor, S., Charlebois, S., Crowell, T. and Cross, B. (2024) 'The paradox of corporate sustainability: analyzing the moral landscape of Canadian grocers', </w:t>
      </w:r>
      <w:r w:rsidRPr="0048325D">
        <w:rPr>
          <w:rFonts w:eastAsia="Google Sans" w:cs="Times New Roman"/>
          <w:i/>
          <w:iCs/>
          <w:color w:val="1F1F1F"/>
          <w:lang w:val="en-US"/>
        </w:rPr>
        <w:t>Frontiers in Nutrition</w:t>
      </w:r>
      <w:r w:rsidRPr="0048325D">
        <w:rPr>
          <w:rFonts w:eastAsia="Google Sans" w:cs="Times New Roman"/>
          <w:color w:val="1F1F1F"/>
          <w:lang w:val="en-US"/>
        </w:rPr>
        <w:t xml:space="preserve">, 10. Available at: </w:t>
      </w:r>
      <w:hyperlink r:id="rId47" w:tgtFrame="_blank" w:history="1">
        <w:r w:rsidRPr="0048325D">
          <w:rPr>
            <w:rStyle w:val="Hyperlink"/>
            <w:rFonts w:eastAsia="Google Sans" w:cs="Times New Roman"/>
            <w:lang w:val="en-US"/>
          </w:rPr>
          <w:t>https://doi.org/10.3389/fnut.2023.1284377</w:t>
        </w:r>
      </w:hyperlink>
      <w:r w:rsidRPr="0048325D">
        <w:rPr>
          <w:rFonts w:eastAsia="Google Sans" w:cs="Times New Roman"/>
          <w:color w:val="1F1F1F"/>
          <w:lang w:val="en-US"/>
        </w:rPr>
        <w:t>.</w:t>
      </w:r>
    </w:p>
    <w:p w14:paraId="38E4BAF4" w14:textId="6482DE10"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Thanathamathee</w:t>
      </w:r>
      <w:proofErr w:type="spellEnd"/>
      <w:r w:rsidRPr="0048325D">
        <w:rPr>
          <w:rFonts w:eastAsia="Google Sans" w:cs="Times New Roman"/>
          <w:color w:val="1F1F1F"/>
          <w:lang w:val="en-US"/>
        </w:rPr>
        <w:t xml:space="preserve">, P., </w:t>
      </w:r>
      <w:proofErr w:type="spellStart"/>
      <w:r w:rsidRPr="0048325D">
        <w:rPr>
          <w:rFonts w:eastAsia="Google Sans" w:cs="Times New Roman"/>
          <w:color w:val="1F1F1F"/>
          <w:lang w:val="en-US"/>
        </w:rPr>
        <w:t>Sawangarreerak</w:t>
      </w:r>
      <w:proofErr w:type="spellEnd"/>
      <w:r w:rsidRPr="0048325D">
        <w:rPr>
          <w:rFonts w:eastAsia="Google Sans" w:cs="Times New Roman"/>
          <w:color w:val="1F1F1F"/>
          <w:lang w:val="en-US"/>
        </w:rPr>
        <w:t xml:space="preserve">, S., </w:t>
      </w:r>
      <w:proofErr w:type="spellStart"/>
      <w:r w:rsidRPr="0048325D">
        <w:rPr>
          <w:rFonts w:eastAsia="Google Sans" w:cs="Times New Roman"/>
          <w:color w:val="1F1F1F"/>
          <w:lang w:val="en-US"/>
        </w:rPr>
        <w:t>Chantamunee</w:t>
      </w:r>
      <w:proofErr w:type="spellEnd"/>
      <w:r w:rsidRPr="0048325D">
        <w:rPr>
          <w:rFonts w:eastAsia="Google Sans" w:cs="Times New Roman"/>
          <w:color w:val="1F1F1F"/>
          <w:lang w:val="en-US"/>
        </w:rPr>
        <w:t xml:space="preserve">, S. and Nizam, D.N.M. (2024) 'SHAP-Instance Weighted and Anchor Explainable AI: Enhancing </w:t>
      </w:r>
      <w:proofErr w:type="spellStart"/>
      <w:r w:rsidRPr="0048325D">
        <w:rPr>
          <w:rFonts w:eastAsia="Google Sans" w:cs="Times New Roman"/>
          <w:color w:val="1F1F1F"/>
          <w:lang w:val="en-US"/>
        </w:rPr>
        <w:t>XGBoost</w:t>
      </w:r>
      <w:proofErr w:type="spellEnd"/>
      <w:r w:rsidRPr="0048325D">
        <w:rPr>
          <w:rFonts w:eastAsia="Google Sans" w:cs="Times New Roman"/>
          <w:color w:val="1F1F1F"/>
          <w:lang w:val="en-US"/>
        </w:rPr>
        <w:t xml:space="preserve"> for Financial Fraud Detection', </w:t>
      </w:r>
      <w:r w:rsidRPr="0048325D">
        <w:rPr>
          <w:rFonts w:eastAsia="Google Sans" w:cs="Times New Roman"/>
          <w:i/>
          <w:iCs/>
          <w:color w:val="1F1F1F"/>
          <w:lang w:val="en-US"/>
        </w:rPr>
        <w:t>Emerging Science Journal</w:t>
      </w:r>
      <w:r w:rsidRPr="0048325D">
        <w:rPr>
          <w:rFonts w:eastAsia="Google Sans" w:cs="Times New Roman"/>
          <w:color w:val="1F1F1F"/>
          <w:lang w:val="en-US"/>
        </w:rPr>
        <w:t xml:space="preserve">, 8(6), pp. 2404-2420. Available at: </w:t>
      </w:r>
      <w:hyperlink r:id="rId48" w:tgtFrame="_blank" w:history="1">
        <w:r w:rsidRPr="0048325D">
          <w:rPr>
            <w:rStyle w:val="Hyperlink"/>
            <w:rFonts w:eastAsia="Google Sans" w:cs="Times New Roman"/>
            <w:lang w:val="en-US"/>
          </w:rPr>
          <w:t>https://doi.org/10.28991/esj-2024-08-06-016</w:t>
        </w:r>
      </w:hyperlink>
      <w:r w:rsidRPr="0048325D">
        <w:rPr>
          <w:rFonts w:eastAsia="Google Sans" w:cs="Times New Roman"/>
          <w:color w:val="1F1F1F"/>
          <w:lang w:val="en-US"/>
        </w:rPr>
        <w:t>.</w:t>
      </w:r>
    </w:p>
    <w:p w14:paraId="39E4F6B6" w14:textId="1967776C" w:rsidR="0048325D" w:rsidRPr="0048325D" w:rsidRDefault="0048325D" w:rsidP="0048325D">
      <w:pPr>
        <w:pBdr>
          <w:top w:val="nil"/>
          <w:left w:val="nil"/>
          <w:bottom w:val="nil"/>
          <w:right w:val="nil"/>
          <w:between w:val="nil"/>
        </w:pBdr>
        <w:spacing w:after="240"/>
        <w:rPr>
          <w:rFonts w:eastAsia="Google Sans" w:cs="Times New Roman"/>
          <w:color w:val="1F1F1F"/>
          <w:lang w:val="en-US"/>
        </w:rPr>
      </w:pPr>
      <w:proofErr w:type="spellStart"/>
      <w:r w:rsidRPr="0048325D">
        <w:rPr>
          <w:rFonts w:eastAsia="Google Sans" w:cs="Times New Roman"/>
          <w:color w:val="1F1F1F"/>
          <w:lang w:val="en-US"/>
        </w:rPr>
        <w:t>Toumeh</w:t>
      </w:r>
      <w:proofErr w:type="spellEnd"/>
      <w:r w:rsidRPr="0048325D">
        <w:rPr>
          <w:rFonts w:eastAsia="Google Sans" w:cs="Times New Roman"/>
          <w:color w:val="1F1F1F"/>
          <w:lang w:val="en-US"/>
        </w:rPr>
        <w:t xml:space="preserve">, A.A. (2024) 'Assessing the potential integration of large language models in accounting practices: evidence from an emerging economy', </w:t>
      </w:r>
      <w:r w:rsidRPr="0048325D">
        <w:rPr>
          <w:rFonts w:eastAsia="Google Sans" w:cs="Times New Roman"/>
          <w:i/>
          <w:iCs/>
          <w:color w:val="1F1F1F"/>
          <w:lang w:val="en-US"/>
        </w:rPr>
        <w:t>Future Business Journal</w:t>
      </w:r>
      <w:r w:rsidRPr="0048325D">
        <w:rPr>
          <w:rFonts w:eastAsia="Google Sans" w:cs="Times New Roman"/>
          <w:color w:val="1F1F1F"/>
          <w:lang w:val="en-US"/>
        </w:rPr>
        <w:t xml:space="preserve">, 10(1). Available at: </w:t>
      </w:r>
      <w:hyperlink r:id="rId49" w:tgtFrame="_blank" w:history="1">
        <w:r w:rsidRPr="0048325D">
          <w:rPr>
            <w:rStyle w:val="Hyperlink"/>
            <w:rFonts w:eastAsia="Google Sans" w:cs="Times New Roman"/>
            <w:lang w:val="en-US"/>
          </w:rPr>
          <w:t>https://doi.org/10.1186/s43093-024-00368-8</w:t>
        </w:r>
      </w:hyperlink>
      <w:r w:rsidRPr="0048325D">
        <w:rPr>
          <w:rFonts w:eastAsia="Google Sans" w:cs="Times New Roman"/>
          <w:color w:val="1F1F1F"/>
          <w:lang w:val="en-US"/>
        </w:rPr>
        <w:t>.</w:t>
      </w:r>
    </w:p>
    <w:p w14:paraId="1FD97651" w14:textId="3293F130"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Visconti, R.M., Rambaud, S.C. and Pascual, J.L. (2023) 'Artificial intelligence-driven scalability and its impact on the sustainability and valuation of traditional firms', </w:t>
      </w:r>
      <w:r w:rsidRPr="0048325D">
        <w:rPr>
          <w:rFonts w:eastAsia="Google Sans" w:cs="Times New Roman"/>
          <w:i/>
          <w:iCs/>
          <w:color w:val="1F1F1F"/>
          <w:lang w:val="en-US"/>
        </w:rPr>
        <w:t>Humanities and Social Sciences Communications</w:t>
      </w:r>
      <w:r w:rsidRPr="0048325D">
        <w:rPr>
          <w:rFonts w:eastAsia="Google Sans" w:cs="Times New Roman"/>
          <w:color w:val="1F1F1F"/>
          <w:lang w:val="en-US"/>
        </w:rPr>
        <w:t xml:space="preserve">, 10(1). Available at: </w:t>
      </w:r>
      <w:hyperlink r:id="rId50" w:tgtFrame="_blank" w:history="1">
        <w:r w:rsidRPr="0048325D">
          <w:rPr>
            <w:rStyle w:val="Hyperlink"/>
            <w:rFonts w:eastAsia="Google Sans" w:cs="Times New Roman"/>
            <w:lang w:val="en-US"/>
          </w:rPr>
          <w:t>https://doi.org/10.1057/s41599-023-02214-8</w:t>
        </w:r>
      </w:hyperlink>
      <w:r w:rsidRPr="0048325D">
        <w:rPr>
          <w:rFonts w:eastAsia="Google Sans" w:cs="Times New Roman"/>
          <w:color w:val="1F1F1F"/>
          <w:lang w:val="en-US"/>
        </w:rPr>
        <w:t>.</w:t>
      </w:r>
    </w:p>
    <w:p w14:paraId="749CBEDD" w14:textId="50B282B8"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Walsh, C. (2008) </w:t>
      </w:r>
      <w:r w:rsidRPr="0048325D">
        <w:rPr>
          <w:rFonts w:eastAsia="Google Sans" w:cs="Times New Roman"/>
          <w:i/>
          <w:iCs/>
          <w:color w:val="1F1F1F"/>
          <w:lang w:val="en-US"/>
        </w:rPr>
        <w:t>Key management ratios: the 100+ ratios every manager needs to know</w:t>
      </w:r>
      <w:r w:rsidRPr="0048325D">
        <w:rPr>
          <w:rFonts w:eastAsia="Google Sans" w:cs="Times New Roman"/>
          <w:color w:val="1F1F1F"/>
          <w:lang w:val="en-US"/>
        </w:rPr>
        <w:t xml:space="preserve">. 4th </w:t>
      </w:r>
      <w:proofErr w:type="spellStart"/>
      <w:r w:rsidRPr="0048325D">
        <w:rPr>
          <w:rFonts w:eastAsia="Google Sans" w:cs="Times New Roman"/>
          <w:color w:val="1F1F1F"/>
          <w:lang w:val="en-US"/>
        </w:rPr>
        <w:t>edn</w:t>
      </w:r>
      <w:proofErr w:type="spellEnd"/>
      <w:r w:rsidRPr="0048325D">
        <w:rPr>
          <w:rFonts w:eastAsia="Google Sans" w:cs="Times New Roman"/>
          <w:color w:val="1F1F1F"/>
          <w:lang w:val="en-US"/>
        </w:rPr>
        <w:t>. Harlow, England: FT Prentice Hall.</w:t>
      </w:r>
    </w:p>
    <w:p w14:paraId="3C532264" w14:textId="47CACEC8"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Wang, C., Thanh-Tam, T. and Uyen, D.T. (2025) 'Evaluating port and logistics companies using </w:t>
      </w:r>
      <w:r w:rsidRPr="0048325D">
        <w:rPr>
          <w:rFonts w:eastAsia="Google Sans" w:cs="Times New Roman"/>
          <w:color w:val="1F1F1F"/>
          <w:lang w:val="en-US"/>
        </w:rPr>
        <w:lastRenderedPageBreak/>
        <w:t xml:space="preserve">integrated fuzzy MCDM with MM–regret framework', </w:t>
      </w:r>
      <w:r w:rsidRPr="0048325D">
        <w:rPr>
          <w:rFonts w:eastAsia="Google Sans" w:cs="Times New Roman"/>
          <w:i/>
          <w:iCs/>
          <w:color w:val="1F1F1F"/>
          <w:lang w:val="en-US"/>
        </w:rPr>
        <w:t>Journal of Engineering Research</w:t>
      </w:r>
      <w:r w:rsidRPr="0048325D">
        <w:rPr>
          <w:rFonts w:eastAsia="Google Sans" w:cs="Times New Roman"/>
          <w:color w:val="1F1F1F"/>
          <w:lang w:val="en-US"/>
        </w:rPr>
        <w:t xml:space="preserve">. Available at: </w:t>
      </w:r>
      <w:hyperlink r:id="rId51" w:tgtFrame="_blank" w:history="1">
        <w:r w:rsidRPr="0048325D">
          <w:rPr>
            <w:rStyle w:val="Hyperlink"/>
            <w:rFonts w:eastAsia="Google Sans" w:cs="Times New Roman"/>
            <w:lang w:val="en-US"/>
          </w:rPr>
          <w:t>https://doi.org/10.1016/j.jer.2025.09.012</w:t>
        </w:r>
      </w:hyperlink>
      <w:r w:rsidRPr="0048325D">
        <w:rPr>
          <w:rFonts w:eastAsia="Google Sans" w:cs="Times New Roman"/>
          <w:color w:val="1F1F1F"/>
          <w:lang w:val="en-US"/>
        </w:rPr>
        <w:t>.</w:t>
      </w:r>
    </w:p>
    <w:p w14:paraId="5C5B24C7" w14:textId="4BC34E27"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Wu, H., Li, G. and Zheng, H. (2024) 'How Does Digital Intelligence Technology Enhance Supply Chain Resilience? Sustainable Framework and Agenda', </w:t>
      </w:r>
      <w:r w:rsidRPr="0048325D">
        <w:rPr>
          <w:rFonts w:eastAsia="Google Sans" w:cs="Times New Roman"/>
          <w:i/>
          <w:iCs/>
          <w:color w:val="1F1F1F"/>
          <w:lang w:val="en-US"/>
        </w:rPr>
        <w:t>Annals of Operations Research</w:t>
      </w:r>
      <w:r w:rsidRPr="0048325D">
        <w:rPr>
          <w:rFonts w:eastAsia="Google Sans" w:cs="Times New Roman"/>
          <w:color w:val="1F1F1F"/>
          <w:lang w:val="en-US"/>
        </w:rPr>
        <w:t xml:space="preserve">, 355(1), pp. 901-925. Available at: </w:t>
      </w:r>
      <w:hyperlink r:id="rId52" w:tgtFrame="_blank" w:history="1">
        <w:r w:rsidRPr="0048325D">
          <w:rPr>
            <w:rStyle w:val="Hyperlink"/>
            <w:rFonts w:eastAsia="Google Sans" w:cs="Times New Roman"/>
            <w:lang w:val="en-US"/>
          </w:rPr>
          <w:t>https://doi.org/10.1007/s10479-024-06104-3</w:t>
        </w:r>
      </w:hyperlink>
      <w:r w:rsidRPr="0048325D">
        <w:rPr>
          <w:rFonts w:eastAsia="Google Sans" w:cs="Times New Roman"/>
          <w:color w:val="1F1F1F"/>
          <w:lang w:val="en-US"/>
        </w:rPr>
        <w:t>.</w:t>
      </w:r>
    </w:p>
    <w:p w14:paraId="2F9EC6F4" w14:textId="6C700E4E"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Wu, Y. and Lam, J.S.L. (2025) 'Strategic investment in supply chain resilience: A study of fast-moving consumer goods under demand uncertainty', </w:t>
      </w:r>
      <w:r w:rsidRPr="0048325D">
        <w:rPr>
          <w:rFonts w:eastAsia="Google Sans" w:cs="Times New Roman"/>
          <w:i/>
          <w:iCs/>
          <w:color w:val="1F1F1F"/>
          <w:lang w:val="en-US"/>
        </w:rPr>
        <w:t>Transportation Research Part E Logistics and Transportation Review</w:t>
      </w:r>
      <w:r w:rsidRPr="0048325D">
        <w:rPr>
          <w:rFonts w:eastAsia="Google Sans" w:cs="Times New Roman"/>
          <w:color w:val="1F1F1F"/>
          <w:lang w:val="en-US"/>
        </w:rPr>
        <w:t xml:space="preserve">, 205, p. 104495. Available at: </w:t>
      </w:r>
      <w:hyperlink r:id="rId53" w:tgtFrame="_blank" w:history="1">
        <w:r w:rsidRPr="0048325D">
          <w:rPr>
            <w:rStyle w:val="Hyperlink"/>
            <w:rFonts w:eastAsia="Google Sans" w:cs="Times New Roman"/>
            <w:lang w:val="en-US"/>
          </w:rPr>
          <w:t>https://doi.org/10.1016/j.tre.2025.104495</w:t>
        </w:r>
      </w:hyperlink>
      <w:r w:rsidRPr="0048325D">
        <w:rPr>
          <w:rFonts w:eastAsia="Google Sans" w:cs="Times New Roman"/>
          <w:color w:val="1F1F1F"/>
          <w:lang w:val="en-US"/>
        </w:rPr>
        <w:t>.</w:t>
      </w:r>
    </w:p>
    <w:p w14:paraId="79433E40" w14:textId="78ABFA2E"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Zahid, R.M.A., Saleem, A., Maqsood, U.S. and Sági, J. (2023) 'Moderating role of audit quality in ESG performance and capital financing dynamics: insights in China', </w:t>
      </w:r>
      <w:r w:rsidRPr="0048325D">
        <w:rPr>
          <w:rFonts w:eastAsia="Google Sans" w:cs="Times New Roman"/>
          <w:i/>
          <w:iCs/>
          <w:color w:val="1F1F1F"/>
          <w:lang w:val="en-US"/>
        </w:rPr>
        <w:t>Environment Development and Sustainability</w:t>
      </w:r>
      <w:r w:rsidRPr="0048325D">
        <w:rPr>
          <w:rFonts w:eastAsia="Google Sans" w:cs="Times New Roman"/>
          <w:color w:val="1F1F1F"/>
          <w:lang w:val="en-US"/>
        </w:rPr>
        <w:t xml:space="preserve">, 26(5), pp. 12031-12050. Available at: </w:t>
      </w:r>
      <w:hyperlink r:id="rId54" w:tgtFrame="_blank" w:history="1">
        <w:r w:rsidRPr="0048325D">
          <w:rPr>
            <w:rStyle w:val="Hyperlink"/>
            <w:rFonts w:eastAsia="Google Sans" w:cs="Times New Roman"/>
            <w:lang w:val="en-US"/>
          </w:rPr>
          <w:t>https://doi.org/10.1007/s10668-023-03636-9</w:t>
        </w:r>
      </w:hyperlink>
      <w:r w:rsidRPr="0048325D">
        <w:rPr>
          <w:rFonts w:eastAsia="Google Sans" w:cs="Times New Roman"/>
          <w:color w:val="1F1F1F"/>
          <w:lang w:val="en-US"/>
        </w:rPr>
        <w:t>.</w:t>
      </w:r>
    </w:p>
    <w:p w14:paraId="23B8259F" w14:textId="459F583E" w:rsidR="0048325D" w:rsidRPr="0048325D" w:rsidRDefault="0048325D" w:rsidP="0048325D">
      <w:pPr>
        <w:pBdr>
          <w:top w:val="nil"/>
          <w:left w:val="nil"/>
          <w:bottom w:val="nil"/>
          <w:right w:val="nil"/>
          <w:between w:val="nil"/>
        </w:pBdr>
        <w:spacing w:after="240"/>
        <w:rPr>
          <w:rFonts w:eastAsia="Google Sans" w:cs="Times New Roman"/>
          <w:color w:val="1F1F1F"/>
          <w:lang w:val="en-US"/>
        </w:rPr>
      </w:pPr>
      <w:r w:rsidRPr="0048325D">
        <w:rPr>
          <w:rFonts w:eastAsia="Google Sans" w:cs="Times New Roman"/>
          <w:color w:val="1F1F1F"/>
          <w:lang w:val="en-US"/>
        </w:rPr>
        <w:t xml:space="preserve">Zsigmond, T., </w:t>
      </w:r>
      <w:proofErr w:type="spellStart"/>
      <w:r w:rsidRPr="0048325D">
        <w:rPr>
          <w:rFonts w:eastAsia="Google Sans" w:cs="Times New Roman"/>
          <w:color w:val="1F1F1F"/>
          <w:lang w:val="en-US"/>
        </w:rPr>
        <w:t>Zsigmondová</w:t>
      </w:r>
      <w:proofErr w:type="spellEnd"/>
      <w:r w:rsidRPr="0048325D">
        <w:rPr>
          <w:rFonts w:eastAsia="Google Sans" w:cs="Times New Roman"/>
          <w:color w:val="1F1F1F"/>
          <w:lang w:val="en-US"/>
        </w:rPr>
        <w:t xml:space="preserve">, A. and </w:t>
      </w:r>
      <w:proofErr w:type="spellStart"/>
      <w:r w:rsidRPr="0048325D">
        <w:rPr>
          <w:rFonts w:eastAsia="Google Sans" w:cs="Times New Roman"/>
          <w:color w:val="1F1F1F"/>
          <w:lang w:val="en-US"/>
        </w:rPr>
        <w:t>Strážovská</w:t>
      </w:r>
      <w:proofErr w:type="spellEnd"/>
      <w:r w:rsidRPr="0048325D">
        <w:rPr>
          <w:rFonts w:eastAsia="Google Sans" w:cs="Times New Roman"/>
          <w:color w:val="1F1F1F"/>
          <w:lang w:val="en-US"/>
        </w:rPr>
        <w:t xml:space="preserve">, Ľ. (2024) 'The Effects of Selected Financial Ratios on Net Profit – The Case of Enterprises of V4 Countries', </w:t>
      </w:r>
      <w:r w:rsidRPr="0048325D">
        <w:rPr>
          <w:rFonts w:eastAsia="Google Sans" w:cs="Times New Roman"/>
          <w:i/>
          <w:iCs/>
          <w:color w:val="1F1F1F"/>
          <w:lang w:val="en-US"/>
        </w:rPr>
        <w:t xml:space="preserve">Acta </w:t>
      </w:r>
      <w:proofErr w:type="spellStart"/>
      <w:r w:rsidRPr="0048325D">
        <w:rPr>
          <w:rFonts w:eastAsia="Google Sans" w:cs="Times New Roman"/>
          <w:i/>
          <w:iCs/>
          <w:color w:val="1F1F1F"/>
          <w:lang w:val="en-US"/>
        </w:rPr>
        <w:t>Polytechnica</w:t>
      </w:r>
      <w:proofErr w:type="spellEnd"/>
      <w:r w:rsidRPr="0048325D">
        <w:rPr>
          <w:rFonts w:eastAsia="Google Sans" w:cs="Times New Roman"/>
          <w:i/>
          <w:iCs/>
          <w:color w:val="1F1F1F"/>
          <w:lang w:val="en-US"/>
        </w:rPr>
        <w:t xml:space="preserve"> </w:t>
      </w:r>
      <w:proofErr w:type="spellStart"/>
      <w:r w:rsidRPr="0048325D">
        <w:rPr>
          <w:rFonts w:eastAsia="Google Sans" w:cs="Times New Roman"/>
          <w:i/>
          <w:iCs/>
          <w:color w:val="1F1F1F"/>
          <w:lang w:val="en-US"/>
        </w:rPr>
        <w:t>Hungarica</w:t>
      </w:r>
      <w:proofErr w:type="spellEnd"/>
      <w:r w:rsidRPr="0048325D">
        <w:rPr>
          <w:rFonts w:eastAsia="Google Sans" w:cs="Times New Roman"/>
          <w:color w:val="1F1F1F"/>
          <w:lang w:val="en-US"/>
        </w:rPr>
        <w:t xml:space="preserve">, 21(8), pp. 227-245. Available at: </w:t>
      </w:r>
      <w:hyperlink r:id="rId55" w:tgtFrame="_blank" w:history="1">
        <w:r w:rsidRPr="0048325D">
          <w:rPr>
            <w:rStyle w:val="Hyperlink"/>
            <w:rFonts w:eastAsia="Google Sans" w:cs="Times New Roman"/>
            <w:lang w:val="en-US"/>
          </w:rPr>
          <w:t>https://doi.org/10.12700/aph.21.8.2024.8.12</w:t>
        </w:r>
      </w:hyperlink>
      <w:r w:rsidRPr="0048325D">
        <w:rPr>
          <w:rFonts w:eastAsia="Google Sans" w:cs="Times New Roman"/>
          <w:color w:val="1F1F1F"/>
          <w:lang w:val="en-US"/>
        </w:rPr>
        <w:t>.</w:t>
      </w:r>
    </w:p>
    <w:p w14:paraId="4766D8AE" w14:textId="2E5C1BA3" w:rsidR="00DF11DE" w:rsidRPr="00141A3C" w:rsidRDefault="00DF11DE" w:rsidP="00423571">
      <w:pPr>
        <w:pBdr>
          <w:top w:val="nil"/>
          <w:left w:val="nil"/>
          <w:bottom w:val="nil"/>
          <w:right w:val="nil"/>
          <w:between w:val="nil"/>
        </w:pBdr>
        <w:spacing w:after="240"/>
        <w:rPr>
          <w:rFonts w:eastAsia="Google Sans" w:cs="Times New Roman"/>
          <w:color w:val="1F1F1F"/>
        </w:rPr>
      </w:pPr>
    </w:p>
    <w:p w14:paraId="2497ED98" w14:textId="00520F3D" w:rsidR="007C1D9D" w:rsidRDefault="007C1D9D">
      <w:pPr>
        <w:spacing w:line="240" w:lineRule="auto"/>
        <w:jc w:val="left"/>
      </w:pPr>
      <w:r>
        <w:br w:type="page"/>
      </w:r>
    </w:p>
    <w:p w14:paraId="2929C49B" w14:textId="77777777" w:rsidR="007C1D9D" w:rsidRDefault="007C1D9D" w:rsidP="007C1D9D">
      <w:pPr>
        <w:pStyle w:val="Heading2"/>
      </w:pPr>
      <w:bookmarkStart w:id="31" w:name="_Toc219159027"/>
      <w:bookmarkStart w:id="32" w:name="_Toc224863305"/>
      <w:r w:rsidRPr="00994331">
        <w:lastRenderedPageBreak/>
        <w:t>Appendix A: Financial Statements Data (Summarized)</w:t>
      </w:r>
      <w:r>
        <w:t xml:space="preserve"> and Ratio Calculations</w:t>
      </w:r>
      <w:bookmarkEnd w:id="31"/>
      <w:bookmarkEnd w:id="32"/>
    </w:p>
    <w:p w14:paraId="42683D5C" w14:textId="77777777" w:rsidR="007C1D9D" w:rsidRPr="006C42BE" w:rsidRDefault="007C1D9D" w:rsidP="007C1D9D">
      <w:pPr>
        <w:pBdr>
          <w:top w:val="nil"/>
          <w:left w:val="nil"/>
          <w:bottom w:val="nil"/>
          <w:right w:val="nil"/>
          <w:between w:val="nil"/>
        </w:pBdr>
        <w:spacing w:after="120" w:line="275" w:lineRule="auto"/>
        <w:rPr>
          <w:rFonts w:eastAsia="Google Sans Text" w:cs="Times New Roman"/>
          <w:b/>
          <w:bCs/>
          <w:color w:val="1F1F1F"/>
        </w:rPr>
      </w:pPr>
      <w:r w:rsidRPr="006C42BE">
        <w:rPr>
          <w:rFonts w:eastAsia="Google Sans Text" w:cs="Times New Roman"/>
          <w:b/>
          <w:bCs/>
          <w:color w:val="1F1F1F"/>
        </w:rPr>
        <w:t>Data Sources:</w:t>
      </w:r>
    </w:p>
    <w:p w14:paraId="3406BE1A" w14:textId="77777777" w:rsidR="007C1D9D" w:rsidRPr="006C42BE" w:rsidRDefault="007C1D9D" w:rsidP="007C1D9D">
      <w:pPr>
        <w:numPr>
          <w:ilvl w:val="0"/>
          <w:numId w:val="19"/>
        </w:numPr>
        <w:pBdr>
          <w:top w:val="nil"/>
          <w:left w:val="nil"/>
          <w:bottom w:val="nil"/>
          <w:right w:val="nil"/>
          <w:between w:val="nil"/>
        </w:pBdr>
        <w:spacing w:line="275" w:lineRule="auto"/>
        <w:jc w:val="left"/>
        <w:rPr>
          <w:rFonts w:cs="Times New Roman"/>
        </w:rPr>
      </w:pPr>
      <w:r w:rsidRPr="006C42BE">
        <w:rPr>
          <w:rFonts w:eastAsia="Google Sans Text" w:cs="Times New Roman"/>
          <w:b/>
          <w:bCs/>
          <w:color w:val="1F1F1F"/>
        </w:rPr>
        <w:t>FY 2024/25:</w:t>
      </w:r>
      <w:r w:rsidRPr="006C42BE">
        <w:rPr>
          <w:rFonts w:eastAsia="Google Sans Text" w:cs="Times New Roman"/>
          <w:color w:val="1F1F1F"/>
        </w:rPr>
        <w:t xml:space="preserve"> Tesco PLC Annual Report 2025 (52 weeks ended 22 Feb 2025)</w:t>
      </w:r>
    </w:p>
    <w:p w14:paraId="01B7B075" w14:textId="77777777" w:rsidR="007C1D9D" w:rsidRPr="006C42BE" w:rsidRDefault="007C1D9D" w:rsidP="007C1D9D">
      <w:pPr>
        <w:numPr>
          <w:ilvl w:val="0"/>
          <w:numId w:val="19"/>
        </w:numPr>
        <w:pBdr>
          <w:top w:val="nil"/>
          <w:left w:val="nil"/>
          <w:bottom w:val="nil"/>
          <w:right w:val="nil"/>
          <w:between w:val="nil"/>
        </w:pBdr>
        <w:spacing w:line="275" w:lineRule="auto"/>
        <w:jc w:val="left"/>
        <w:rPr>
          <w:rFonts w:cs="Times New Roman"/>
        </w:rPr>
      </w:pPr>
      <w:r w:rsidRPr="006C42BE">
        <w:rPr>
          <w:rFonts w:eastAsia="Google Sans Text" w:cs="Times New Roman"/>
          <w:b/>
          <w:bCs/>
          <w:color w:val="1F1F1F"/>
        </w:rPr>
        <w:t>FY 2023/24:</w:t>
      </w:r>
      <w:r w:rsidRPr="006C42BE">
        <w:rPr>
          <w:rFonts w:eastAsia="Google Sans Text" w:cs="Times New Roman"/>
          <w:color w:val="1F1F1F"/>
        </w:rPr>
        <w:t xml:space="preserve"> Tesco PLC Annual Report 2024 (52 weeks ended 24 Feb 2024)</w:t>
      </w:r>
    </w:p>
    <w:p w14:paraId="7EF93724" w14:textId="77777777" w:rsidR="007C1D9D" w:rsidRPr="006C42BE" w:rsidRDefault="007C1D9D" w:rsidP="007C1D9D">
      <w:pPr>
        <w:numPr>
          <w:ilvl w:val="0"/>
          <w:numId w:val="19"/>
        </w:numPr>
        <w:pBdr>
          <w:top w:val="nil"/>
          <w:left w:val="nil"/>
          <w:bottom w:val="nil"/>
          <w:right w:val="nil"/>
          <w:between w:val="nil"/>
        </w:pBdr>
        <w:spacing w:after="120" w:line="275" w:lineRule="auto"/>
        <w:jc w:val="left"/>
        <w:rPr>
          <w:rFonts w:cs="Times New Roman"/>
        </w:rPr>
      </w:pPr>
      <w:r w:rsidRPr="006C42BE">
        <w:rPr>
          <w:rFonts w:eastAsia="Google Sans Text" w:cs="Times New Roman"/>
          <w:b/>
          <w:bCs/>
          <w:color w:val="1F1F1F"/>
        </w:rPr>
        <w:t>FY 2022/23:</w:t>
      </w:r>
      <w:r w:rsidRPr="006C42BE">
        <w:rPr>
          <w:rFonts w:eastAsia="Google Sans Text" w:cs="Times New Roman"/>
          <w:color w:val="1F1F1F"/>
        </w:rPr>
        <w:t xml:space="preserve"> Tesco PLC Annual Report 2024 (Comparative for Averages) - </w:t>
      </w:r>
      <w:r w:rsidRPr="006C42BE">
        <w:rPr>
          <w:rFonts w:eastAsia="Google Sans Text" w:cs="Times New Roman"/>
          <w:i/>
          <w:iCs/>
          <w:color w:val="1F1F1F"/>
        </w:rPr>
        <w:t>Total Assets: £33,399m</w:t>
      </w:r>
    </w:p>
    <w:p w14:paraId="39C55A97" w14:textId="77777777" w:rsidR="007C1D9D" w:rsidRPr="006C42BE" w:rsidRDefault="007C1D9D" w:rsidP="007C1D9D">
      <w:pPr>
        <w:pStyle w:val="Heading3"/>
      </w:pPr>
      <w:bookmarkStart w:id="33" w:name="_Toc219159028"/>
      <w:bookmarkStart w:id="34" w:name="_Toc224863306"/>
      <w:r w:rsidRPr="006C42BE">
        <w:t>Profitability Ratios</w:t>
      </w:r>
      <w:bookmarkEnd w:id="33"/>
      <w:bookmarkEnd w:id="34"/>
    </w:p>
    <w:tbl>
      <w:tblPr>
        <w:tblStyle w:val="TableGrid"/>
        <w:tblW w:w="9360" w:type="dxa"/>
        <w:tblLayout w:type="fixed"/>
        <w:tblLook w:val="0600" w:firstRow="0" w:lastRow="0" w:firstColumn="0" w:lastColumn="0" w:noHBand="1" w:noVBand="1"/>
      </w:tblPr>
      <w:tblGrid>
        <w:gridCol w:w="1560"/>
        <w:gridCol w:w="1560"/>
        <w:gridCol w:w="1560"/>
        <w:gridCol w:w="1560"/>
        <w:gridCol w:w="1560"/>
        <w:gridCol w:w="1560"/>
      </w:tblGrid>
      <w:tr w:rsidR="007C1D9D" w:rsidRPr="006C42BE" w14:paraId="005EB4DB" w14:textId="77777777" w:rsidTr="00FE19C9">
        <w:tc>
          <w:tcPr>
            <w:tcW w:w="1560" w:type="dxa"/>
          </w:tcPr>
          <w:p w14:paraId="63311CA8"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Ratio</w:t>
            </w:r>
          </w:p>
        </w:tc>
        <w:tc>
          <w:tcPr>
            <w:tcW w:w="1560" w:type="dxa"/>
          </w:tcPr>
          <w:p w14:paraId="6E255602"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Formula</w:t>
            </w:r>
          </w:p>
        </w:tc>
        <w:tc>
          <w:tcPr>
            <w:tcW w:w="1560" w:type="dxa"/>
          </w:tcPr>
          <w:p w14:paraId="29618A08"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2024/25)</w:t>
            </w:r>
          </w:p>
        </w:tc>
        <w:tc>
          <w:tcPr>
            <w:tcW w:w="1560" w:type="dxa"/>
          </w:tcPr>
          <w:p w14:paraId="1DF91FC3"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c>
          <w:tcPr>
            <w:tcW w:w="1560" w:type="dxa"/>
          </w:tcPr>
          <w:p w14:paraId="794440EC"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2023/24)</w:t>
            </w:r>
          </w:p>
        </w:tc>
        <w:tc>
          <w:tcPr>
            <w:tcW w:w="1560" w:type="dxa"/>
          </w:tcPr>
          <w:p w14:paraId="4A7B89B5"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r>
      <w:tr w:rsidR="007C1D9D" w:rsidRPr="006C42BE" w14:paraId="1D326EB9" w14:textId="77777777" w:rsidTr="00FE19C9">
        <w:tc>
          <w:tcPr>
            <w:tcW w:w="1560" w:type="dxa"/>
          </w:tcPr>
          <w:p w14:paraId="4C4CEFB4"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Gross Profit Margin</w:t>
            </w:r>
          </w:p>
        </w:tc>
        <w:tc>
          <w:tcPr>
            <w:tcW w:w="1560" w:type="dxa"/>
          </w:tcPr>
          <w:p w14:paraId="3E94A46F"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Total Sales - COGS / Total Sales x 100</w:t>
            </w:r>
          </w:p>
        </w:tc>
        <w:tc>
          <w:tcPr>
            <w:tcW w:w="1560" w:type="dxa"/>
          </w:tcPr>
          <w:p w14:paraId="67750898"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(69,916 - 64,205) / 69,916 x 100</w:t>
            </w:r>
          </w:p>
        </w:tc>
        <w:tc>
          <w:tcPr>
            <w:tcW w:w="1560" w:type="dxa"/>
          </w:tcPr>
          <w:p w14:paraId="0FD799FF"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7.22%</w:t>
            </w:r>
          </w:p>
        </w:tc>
        <w:tc>
          <w:tcPr>
            <w:tcW w:w="1560" w:type="dxa"/>
          </w:tcPr>
          <w:p w14:paraId="5D3B78E4"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(68,187 - 62,836) / 68,187 x 100</w:t>
            </w:r>
          </w:p>
        </w:tc>
        <w:tc>
          <w:tcPr>
            <w:tcW w:w="1560" w:type="dxa"/>
          </w:tcPr>
          <w:p w14:paraId="4D99B7F1"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7.11%</w:t>
            </w:r>
          </w:p>
        </w:tc>
      </w:tr>
      <w:tr w:rsidR="007C1D9D" w:rsidRPr="006C42BE" w14:paraId="28605261" w14:textId="77777777" w:rsidTr="00FE19C9">
        <w:tc>
          <w:tcPr>
            <w:tcW w:w="1560" w:type="dxa"/>
          </w:tcPr>
          <w:p w14:paraId="32CE5E57"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Operating Profit Margin</w:t>
            </w:r>
          </w:p>
        </w:tc>
        <w:tc>
          <w:tcPr>
            <w:tcW w:w="1560" w:type="dxa"/>
          </w:tcPr>
          <w:p w14:paraId="3205ECC0"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Operating Profit / Net Sales x 100</w:t>
            </w:r>
          </w:p>
        </w:tc>
        <w:tc>
          <w:tcPr>
            <w:tcW w:w="1560" w:type="dxa"/>
          </w:tcPr>
          <w:p w14:paraId="28583D9F"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2,711 / 69,916 x 100</w:t>
            </w:r>
          </w:p>
        </w:tc>
        <w:tc>
          <w:tcPr>
            <w:tcW w:w="1560" w:type="dxa"/>
          </w:tcPr>
          <w:p w14:paraId="5C40B542"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3.88%</w:t>
            </w:r>
          </w:p>
        </w:tc>
        <w:tc>
          <w:tcPr>
            <w:tcW w:w="1560" w:type="dxa"/>
          </w:tcPr>
          <w:p w14:paraId="39767D2B"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2,821 / 68,187 x 100</w:t>
            </w:r>
          </w:p>
        </w:tc>
        <w:tc>
          <w:tcPr>
            <w:tcW w:w="1560" w:type="dxa"/>
          </w:tcPr>
          <w:p w14:paraId="11ACAC72"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4.14%</w:t>
            </w:r>
          </w:p>
        </w:tc>
      </w:tr>
      <w:tr w:rsidR="007C1D9D" w:rsidRPr="006C42BE" w14:paraId="1C1DC645" w14:textId="77777777" w:rsidTr="00FE19C9">
        <w:tc>
          <w:tcPr>
            <w:tcW w:w="1560" w:type="dxa"/>
          </w:tcPr>
          <w:p w14:paraId="12451939"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Return on Assets (ROA)</w:t>
            </w:r>
          </w:p>
        </w:tc>
        <w:tc>
          <w:tcPr>
            <w:tcW w:w="1560" w:type="dxa"/>
          </w:tcPr>
          <w:p w14:paraId="7FE56C35"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Net Income / Average Total Assets x 100</w:t>
            </w:r>
          </w:p>
        </w:tc>
        <w:tc>
          <w:tcPr>
            <w:tcW w:w="1560" w:type="dxa"/>
          </w:tcPr>
          <w:p w14:paraId="1F75188E"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1,630 / ((38,890 + 47,039) / 2) x 100</w:t>
            </w:r>
          </w:p>
        </w:tc>
        <w:tc>
          <w:tcPr>
            <w:tcW w:w="1560" w:type="dxa"/>
          </w:tcPr>
          <w:p w14:paraId="6A3BB741"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3.79%</w:t>
            </w:r>
          </w:p>
        </w:tc>
        <w:tc>
          <w:tcPr>
            <w:tcW w:w="1560" w:type="dxa"/>
          </w:tcPr>
          <w:p w14:paraId="0FF2373F"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1,192 / ((47,039 + 33,399) / 2) x 100</w:t>
            </w:r>
          </w:p>
        </w:tc>
        <w:tc>
          <w:tcPr>
            <w:tcW w:w="1560" w:type="dxa"/>
          </w:tcPr>
          <w:p w14:paraId="5A3E1E50"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2.96%</w:t>
            </w:r>
          </w:p>
        </w:tc>
      </w:tr>
      <w:tr w:rsidR="007C1D9D" w:rsidRPr="006C42BE" w14:paraId="6ED3703E" w14:textId="77777777" w:rsidTr="00FE19C9">
        <w:tc>
          <w:tcPr>
            <w:tcW w:w="1560" w:type="dxa"/>
          </w:tcPr>
          <w:p w14:paraId="3D4C0B6D"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Net Profit Margin</w:t>
            </w:r>
          </w:p>
        </w:tc>
        <w:tc>
          <w:tcPr>
            <w:tcW w:w="1560" w:type="dxa"/>
          </w:tcPr>
          <w:p w14:paraId="295F1D94"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Net Profit / Revenue x 100</w:t>
            </w:r>
          </w:p>
        </w:tc>
        <w:tc>
          <w:tcPr>
            <w:tcW w:w="1560" w:type="dxa"/>
          </w:tcPr>
          <w:p w14:paraId="40FE8D75"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1,630 / 69,916 x 100</w:t>
            </w:r>
          </w:p>
        </w:tc>
        <w:tc>
          <w:tcPr>
            <w:tcW w:w="1560" w:type="dxa"/>
          </w:tcPr>
          <w:p w14:paraId="0085A16B"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2.33%</w:t>
            </w:r>
          </w:p>
        </w:tc>
        <w:tc>
          <w:tcPr>
            <w:tcW w:w="1560" w:type="dxa"/>
          </w:tcPr>
          <w:p w14:paraId="218E262B"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1,192 / 68,187 x 100</w:t>
            </w:r>
          </w:p>
        </w:tc>
        <w:tc>
          <w:tcPr>
            <w:tcW w:w="1560" w:type="dxa"/>
          </w:tcPr>
          <w:p w14:paraId="655AFE1C"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1.75%</w:t>
            </w:r>
          </w:p>
        </w:tc>
      </w:tr>
      <w:tr w:rsidR="007C1D9D" w:rsidRPr="006C42BE" w14:paraId="65B34D7F" w14:textId="77777777" w:rsidTr="00FE19C9">
        <w:tc>
          <w:tcPr>
            <w:tcW w:w="1560" w:type="dxa"/>
          </w:tcPr>
          <w:p w14:paraId="4085EA9E"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Return on Capital Employed</w:t>
            </w:r>
          </w:p>
        </w:tc>
        <w:tc>
          <w:tcPr>
            <w:tcW w:w="1560" w:type="dxa"/>
          </w:tcPr>
          <w:p w14:paraId="6C867F0B"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EBIT / (Total Assets - Current Liabilities)</w:t>
            </w:r>
          </w:p>
        </w:tc>
        <w:tc>
          <w:tcPr>
            <w:tcW w:w="1560" w:type="dxa"/>
          </w:tcPr>
          <w:p w14:paraId="7EC4CC6B"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2,711 / (38,890 - 13,820)</w:t>
            </w:r>
          </w:p>
        </w:tc>
        <w:tc>
          <w:tcPr>
            <w:tcW w:w="1560" w:type="dxa"/>
          </w:tcPr>
          <w:p w14:paraId="5EE315C9"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10.81%</w:t>
            </w:r>
          </w:p>
        </w:tc>
        <w:tc>
          <w:tcPr>
            <w:tcW w:w="1560" w:type="dxa"/>
          </w:tcPr>
          <w:p w14:paraId="48C7B608"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2,821 / (47,039 - 20,472)</w:t>
            </w:r>
          </w:p>
        </w:tc>
        <w:tc>
          <w:tcPr>
            <w:tcW w:w="1560" w:type="dxa"/>
          </w:tcPr>
          <w:p w14:paraId="309F2DF8"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10.62%</w:t>
            </w:r>
          </w:p>
        </w:tc>
      </w:tr>
      <w:tr w:rsidR="007C1D9D" w:rsidRPr="006C42BE" w14:paraId="633767DA" w14:textId="77777777" w:rsidTr="00FE19C9">
        <w:tc>
          <w:tcPr>
            <w:tcW w:w="1560" w:type="dxa"/>
          </w:tcPr>
          <w:p w14:paraId="2AB0E924"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Return on Equity (ROE)</w:t>
            </w:r>
          </w:p>
        </w:tc>
        <w:tc>
          <w:tcPr>
            <w:tcW w:w="1560" w:type="dxa"/>
          </w:tcPr>
          <w:p w14:paraId="5FECC20C"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Net Income / Equity x 100</w:t>
            </w:r>
          </w:p>
        </w:tc>
        <w:tc>
          <w:tcPr>
            <w:tcW w:w="1560" w:type="dxa"/>
          </w:tcPr>
          <w:p w14:paraId="18DD3A80"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1,630 / 11,662 x 100</w:t>
            </w:r>
          </w:p>
        </w:tc>
        <w:tc>
          <w:tcPr>
            <w:tcW w:w="1560" w:type="dxa"/>
          </w:tcPr>
          <w:p w14:paraId="7A1A08CD"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13.98%</w:t>
            </w:r>
          </w:p>
        </w:tc>
        <w:tc>
          <w:tcPr>
            <w:tcW w:w="1560" w:type="dxa"/>
          </w:tcPr>
          <w:p w14:paraId="53D0AB8A"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1,192 / 11,665 x 100</w:t>
            </w:r>
          </w:p>
        </w:tc>
        <w:tc>
          <w:tcPr>
            <w:tcW w:w="1560" w:type="dxa"/>
          </w:tcPr>
          <w:p w14:paraId="0751ABC5"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10.22%</w:t>
            </w:r>
          </w:p>
        </w:tc>
      </w:tr>
    </w:tbl>
    <w:p w14:paraId="5F97F461" w14:textId="77777777" w:rsidR="007C1D9D" w:rsidRPr="006C42BE" w:rsidRDefault="007C1D9D" w:rsidP="007C1D9D">
      <w:pPr>
        <w:pBdr>
          <w:top w:val="nil"/>
          <w:left w:val="nil"/>
          <w:bottom w:val="nil"/>
          <w:right w:val="nil"/>
          <w:between w:val="nil"/>
        </w:pBdr>
        <w:spacing w:before="480" w:after="240" w:line="275" w:lineRule="auto"/>
        <w:rPr>
          <w:rFonts w:eastAsia="Google Sans Text" w:cs="Times New Roman"/>
          <w:i/>
          <w:iCs/>
          <w:color w:val="1F1F1F"/>
        </w:rPr>
      </w:pPr>
      <w:r w:rsidRPr="006C42BE">
        <w:rPr>
          <w:rFonts w:eastAsia="Google Sans Text" w:cs="Times New Roman"/>
          <w:i/>
          <w:iCs/>
          <w:color w:val="1F1F1F"/>
        </w:rPr>
        <w:t>Note: FY24 Current Liabilities (£20,472m) includes £7,122m liabilities classified as held for sale.</w:t>
      </w:r>
    </w:p>
    <w:p w14:paraId="63871370" w14:textId="77777777" w:rsidR="007C1D9D" w:rsidRPr="006C42BE" w:rsidRDefault="007C1D9D" w:rsidP="007C1D9D">
      <w:pPr>
        <w:pStyle w:val="Heading3"/>
      </w:pPr>
      <w:bookmarkStart w:id="35" w:name="_Toc219159029"/>
      <w:bookmarkStart w:id="36" w:name="_Toc224863307"/>
      <w:r w:rsidRPr="006C42BE">
        <w:t>Liquidity Ratios</w:t>
      </w:r>
      <w:bookmarkEnd w:id="35"/>
      <w:bookmarkEnd w:id="36"/>
    </w:p>
    <w:tbl>
      <w:tblPr>
        <w:tblStyle w:val="TableGrid"/>
        <w:tblW w:w="9360" w:type="dxa"/>
        <w:tblLayout w:type="fixed"/>
        <w:tblLook w:val="0600" w:firstRow="0" w:lastRow="0" w:firstColumn="0" w:lastColumn="0" w:noHBand="1" w:noVBand="1"/>
      </w:tblPr>
      <w:tblGrid>
        <w:gridCol w:w="1560"/>
        <w:gridCol w:w="1560"/>
        <w:gridCol w:w="1560"/>
        <w:gridCol w:w="1560"/>
        <w:gridCol w:w="1560"/>
        <w:gridCol w:w="1560"/>
      </w:tblGrid>
      <w:tr w:rsidR="007C1D9D" w:rsidRPr="006C42BE" w14:paraId="4E4D625C" w14:textId="77777777" w:rsidTr="00FE19C9">
        <w:tc>
          <w:tcPr>
            <w:tcW w:w="1560" w:type="dxa"/>
          </w:tcPr>
          <w:p w14:paraId="5001A699"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lastRenderedPageBreak/>
              <w:t>Ratio</w:t>
            </w:r>
          </w:p>
        </w:tc>
        <w:tc>
          <w:tcPr>
            <w:tcW w:w="1560" w:type="dxa"/>
          </w:tcPr>
          <w:p w14:paraId="6A611F89"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Formula</w:t>
            </w:r>
          </w:p>
        </w:tc>
        <w:tc>
          <w:tcPr>
            <w:tcW w:w="1560" w:type="dxa"/>
          </w:tcPr>
          <w:p w14:paraId="2B03B073"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2024/25)</w:t>
            </w:r>
          </w:p>
        </w:tc>
        <w:tc>
          <w:tcPr>
            <w:tcW w:w="1560" w:type="dxa"/>
          </w:tcPr>
          <w:p w14:paraId="4794F1E9"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c>
          <w:tcPr>
            <w:tcW w:w="1560" w:type="dxa"/>
          </w:tcPr>
          <w:p w14:paraId="38115215"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2023/24)</w:t>
            </w:r>
          </w:p>
        </w:tc>
        <w:tc>
          <w:tcPr>
            <w:tcW w:w="1560" w:type="dxa"/>
          </w:tcPr>
          <w:p w14:paraId="0B86D2B0"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r>
      <w:tr w:rsidR="007C1D9D" w:rsidRPr="006C42BE" w14:paraId="2F272207" w14:textId="77777777" w:rsidTr="00FE19C9">
        <w:tc>
          <w:tcPr>
            <w:tcW w:w="1560" w:type="dxa"/>
          </w:tcPr>
          <w:p w14:paraId="09C334A6"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Current Ratio</w:t>
            </w:r>
          </w:p>
        </w:tc>
        <w:tc>
          <w:tcPr>
            <w:tcW w:w="1560" w:type="dxa"/>
          </w:tcPr>
          <w:p w14:paraId="20C773E3"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Current Assets / Current Liabilities</w:t>
            </w:r>
          </w:p>
        </w:tc>
        <w:tc>
          <w:tcPr>
            <w:tcW w:w="1560" w:type="dxa"/>
          </w:tcPr>
          <w:p w14:paraId="1EB58C0E"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8,856 / 13,820</w:t>
            </w:r>
          </w:p>
        </w:tc>
        <w:tc>
          <w:tcPr>
            <w:tcW w:w="1560" w:type="dxa"/>
          </w:tcPr>
          <w:p w14:paraId="35CABE97"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0.64</w:t>
            </w:r>
          </w:p>
        </w:tc>
        <w:tc>
          <w:tcPr>
            <w:tcW w:w="1560" w:type="dxa"/>
          </w:tcPr>
          <w:p w14:paraId="3DFE87F7"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16,606 / 20,472</w:t>
            </w:r>
          </w:p>
        </w:tc>
        <w:tc>
          <w:tcPr>
            <w:tcW w:w="1560" w:type="dxa"/>
          </w:tcPr>
          <w:p w14:paraId="68B2D1CA"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0.81</w:t>
            </w:r>
          </w:p>
        </w:tc>
      </w:tr>
      <w:tr w:rsidR="007C1D9D" w:rsidRPr="006C42BE" w14:paraId="553B55B4" w14:textId="77777777" w:rsidTr="00FE19C9">
        <w:tc>
          <w:tcPr>
            <w:tcW w:w="1560" w:type="dxa"/>
          </w:tcPr>
          <w:p w14:paraId="0B5132C0"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Quick Ratio</w:t>
            </w:r>
          </w:p>
        </w:tc>
        <w:tc>
          <w:tcPr>
            <w:tcW w:w="1560" w:type="dxa"/>
          </w:tcPr>
          <w:p w14:paraId="451498D0"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(Total Current Assets - Inventory) / Current Liabilities</w:t>
            </w:r>
          </w:p>
        </w:tc>
        <w:tc>
          <w:tcPr>
            <w:tcW w:w="1560" w:type="dxa"/>
          </w:tcPr>
          <w:p w14:paraId="42372BB8"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(8,856 - 2,768) / 13,820</w:t>
            </w:r>
          </w:p>
        </w:tc>
        <w:tc>
          <w:tcPr>
            <w:tcW w:w="1560" w:type="dxa"/>
          </w:tcPr>
          <w:p w14:paraId="5995089C"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0.44</w:t>
            </w:r>
          </w:p>
        </w:tc>
        <w:tc>
          <w:tcPr>
            <w:tcW w:w="1560" w:type="dxa"/>
          </w:tcPr>
          <w:p w14:paraId="45782F8C"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(16,606 - 2,635) / 20,472</w:t>
            </w:r>
          </w:p>
        </w:tc>
        <w:tc>
          <w:tcPr>
            <w:tcW w:w="1560" w:type="dxa"/>
          </w:tcPr>
          <w:p w14:paraId="2EC4F6C3"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0.68</w:t>
            </w:r>
          </w:p>
        </w:tc>
      </w:tr>
      <w:tr w:rsidR="007C1D9D" w:rsidRPr="006C42BE" w14:paraId="568AF15C" w14:textId="77777777" w:rsidTr="00FE19C9">
        <w:tc>
          <w:tcPr>
            <w:tcW w:w="1560" w:type="dxa"/>
          </w:tcPr>
          <w:p w14:paraId="6053C370"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Cash Ratio</w:t>
            </w:r>
          </w:p>
        </w:tc>
        <w:tc>
          <w:tcPr>
            <w:tcW w:w="1560" w:type="dxa"/>
          </w:tcPr>
          <w:p w14:paraId="087D92DB"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 xml:space="preserve">(Cash + Cash </w:t>
            </w:r>
            <w:proofErr w:type="spellStart"/>
            <w:r w:rsidRPr="006C42BE">
              <w:rPr>
                <w:rFonts w:eastAsia="Google Sans Text" w:cs="Times New Roman"/>
                <w:color w:val="1F1F1F"/>
              </w:rPr>
              <w:t>Equiv</w:t>
            </w:r>
            <w:proofErr w:type="spellEnd"/>
            <w:r w:rsidRPr="006C42BE">
              <w:rPr>
                <w:rFonts w:eastAsia="Google Sans Text" w:cs="Times New Roman"/>
                <w:color w:val="1F1F1F"/>
              </w:rPr>
              <w:t>) / Total Current Liabilities</w:t>
            </w:r>
          </w:p>
        </w:tc>
        <w:tc>
          <w:tcPr>
            <w:tcW w:w="1560" w:type="dxa"/>
          </w:tcPr>
          <w:p w14:paraId="54779600"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2,255 / 13,820</w:t>
            </w:r>
          </w:p>
        </w:tc>
        <w:tc>
          <w:tcPr>
            <w:tcW w:w="1560" w:type="dxa"/>
          </w:tcPr>
          <w:p w14:paraId="0AC271EB"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0.16</w:t>
            </w:r>
          </w:p>
        </w:tc>
        <w:tc>
          <w:tcPr>
            <w:tcW w:w="1560" w:type="dxa"/>
          </w:tcPr>
          <w:p w14:paraId="6098F7C5"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2,340 / 20,472</w:t>
            </w:r>
          </w:p>
        </w:tc>
        <w:tc>
          <w:tcPr>
            <w:tcW w:w="1560" w:type="dxa"/>
          </w:tcPr>
          <w:p w14:paraId="676631A2"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0.11</w:t>
            </w:r>
          </w:p>
        </w:tc>
      </w:tr>
    </w:tbl>
    <w:p w14:paraId="2B5A4AA3" w14:textId="77777777" w:rsidR="007C1D9D" w:rsidRPr="006C42BE" w:rsidRDefault="007C1D9D" w:rsidP="007C1D9D">
      <w:pPr>
        <w:pBdr>
          <w:top w:val="nil"/>
          <w:left w:val="nil"/>
          <w:bottom w:val="nil"/>
          <w:right w:val="nil"/>
          <w:between w:val="nil"/>
        </w:pBdr>
        <w:spacing w:before="480" w:after="240" w:line="275" w:lineRule="auto"/>
        <w:rPr>
          <w:rFonts w:eastAsia="Google Sans Text" w:cs="Times New Roman"/>
          <w:i/>
          <w:iCs/>
          <w:color w:val="1F1F1F"/>
        </w:rPr>
      </w:pPr>
      <w:r w:rsidRPr="006C42BE">
        <w:rPr>
          <w:rFonts w:eastAsia="Google Sans Text" w:cs="Times New Roman"/>
          <w:i/>
          <w:iCs/>
          <w:color w:val="1F1F1F"/>
        </w:rPr>
        <w:t>Note: FY24 Current Assets includes £7,783m assets held for sale (Banking assets), inflating the liquidity position compared to FY25.</w:t>
      </w:r>
    </w:p>
    <w:p w14:paraId="41EE1E7D" w14:textId="77777777" w:rsidR="007C1D9D" w:rsidRPr="006C42BE" w:rsidRDefault="007C1D9D" w:rsidP="007C1D9D">
      <w:pPr>
        <w:pStyle w:val="Heading3"/>
      </w:pPr>
      <w:bookmarkStart w:id="37" w:name="_Toc219159030"/>
      <w:bookmarkStart w:id="38" w:name="_Toc224863308"/>
      <w:r w:rsidRPr="006C42BE">
        <w:t>Efficiency Ratios</w:t>
      </w:r>
      <w:bookmarkEnd w:id="37"/>
      <w:bookmarkEnd w:id="38"/>
    </w:p>
    <w:tbl>
      <w:tblPr>
        <w:tblStyle w:val="TableGrid"/>
        <w:tblW w:w="9360" w:type="dxa"/>
        <w:tblLayout w:type="fixed"/>
        <w:tblLook w:val="0600" w:firstRow="0" w:lastRow="0" w:firstColumn="0" w:lastColumn="0" w:noHBand="1" w:noVBand="1"/>
      </w:tblPr>
      <w:tblGrid>
        <w:gridCol w:w="1560"/>
        <w:gridCol w:w="1560"/>
        <w:gridCol w:w="1560"/>
        <w:gridCol w:w="1560"/>
        <w:gridCol w:w="1560"/>
        <w:gridCol w:w="1560"/>
      </w:tblGrid>
      <w:tr w:rsidR="007C1D9D" w:rsidRPr="006C42BE" w14:paraId="2E829F66" w14:textId="77777777" w:rsidTr="00FE19C9">
        <w:tc>
          <w:tcPr>
            <w:tcW w:w="1560" w:type="dxa"/>
          </w:tcPr>
          <w:p w14:paraId="671481FE"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Ratio</w:t>
            </w:r>
          </w:p>
        </w:tc>
        <w:tc>
          <w:tcPr>
            <w:tcW w:w="1560" w:type="dxa"/>
          </w:tcPr>
          <w:p w14:paraId="18CBCC49"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Formula</w:t>
            </w:r>
          </w:p>
        </w:tc>
        <w:tc>
          <w:tcPr>
            <w:tcW w:w="1560" w:type="dxa"/>
          </w:tcPr>
          <w:p w14:paraId="5D68CC48"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2024/25)</w:t>
            </w:r>
          </w:p>
        </w:tc>
        <w:tc>
          <w:tcPr>
            <w:tcW w:w="1560" w:type="dxa"/>
          </w:tcPr>
          <w:p w14:paraId="1871D61A"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c>
          <w:tcPr>
            <w:tcW w:w="1560" w:type="dxa"/>
          </w:tcPr>
          <w:p w14:paraId="622F6528"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2023/24)</w:t>
            </w:r>
          </w:p>
        </w:tc>
        <w:tc>
          <w:tcPr>
            <w:tcW w:w="1560" w:type="dxa"/>
          </w:tcPr>
          <w:p w14:paraId="4F4894D5"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r>
      <w:tr w:rsidR="007C1D9D" w:rsidRPr="006C42BE" w14:paraId="511DA850" w14:textId="77777777" w:rsidTr="00FE19C9">
        <w:tc>
          <w:tcPr>
            <w:tcW w:w="1560" w:type="dxa"/>
          </w:tcPr>
          <w:p w14:paraId="6429D4BC"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Inventory Turnover</w:t>
            </w:r>
          </w:p>
        </w:tc>
        <w:tc>
          <w:tcPr>
            <w:tcW w:w="1560" w:type="dxa"/>
          </w:tcPr>
          <w:p w14:paraId="33D3117B"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Cost of Goods Sold / Average Inventory</w:t>
            </w:r>
          </w:p>
        </w:tc>
        <w:tc>
          <w:tcPr>
            <w:tcW w:w="1560" w:type="dxa"/>
          </w:tcPr>
          <w:p w14:paraId="435265B6"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64,205 / ((2,768 + 2,635) / 2)</w:t>
            </w:r>
          </w:p>
        </w:tc>
        <w:tc>
          <w:tcPr>
            <w:tcW w:w="1560" w:type="dxa"/>
          </w:tcPr>
          <w:p w14:paraId="4B14E2A4"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23.77 times</w:t>
            </w:r>
          </w:p>
        </w:tc>
        <w:tc>
          <w:tcPr>
            <w:tcW w:w="1560" w:type="dxa"/>
          </w:tcPr>
          <w:p w14:paraId="7B477A27"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62,836 / ((2,635 + 2,510) / 2)</w:t>
            </w:r>
          </w:p>
        </w:tc>
        <w:tc>
          <w:tcPr>
            <w:tcW w:w="1560" w:type="dxa"/>
          </w:tcPr>
          <w:p w14:paraId="00261C70"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24.43 times</w:t>
            </w:r>
          </w:p>
        </w:tc>
      </w:tr>
      <w:tr w:rsidR="007C1D9D" w:rsidRPr="006C42BE" w14:paraId="60B64E1A" w14:textId="77777777" w:rsidTr="00FE19C9">
        <w:tc>
          <w:tcPr>
            <w:tcW w:w="1560" w:type="dxa"/>
          </w:tcPr>
          <w:p w14:paraId="79CEE4AB"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Asset Turnover</w:t>
            </w:r>
          </w:p>
        </w:tc>
        <w:tc>
          <w:tcPr>
            <w:tcW w:w="1560" w:type="dxa"/>
          </w:tcPr>
          <w:p w14:paraId="11277A05"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Net Sales / Average Total Assets</w:t>
            </w:r>
          </w:p>
        </w:tc>
        <w:tc>
          <w:tcPr>
            <w:tcW w:w="1560" w:type="dxa"/>
          </w:tcPr>
          <w:p w14:paraId="3280DC12"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69,916 / ((38,890 + 47,039) / 2)</w:t>
            </w:r>
          </w:p>
        </w:tc>
        <w:tc>
          <w:tcPr>
            <w:tcW w:w="1560" w:type="dxa"/>
          </w:tcPr>
          <w:p w14:paraId="1487789B"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1.63 times</w:t>
            </w:r>
          </w:p>
        </w:tc>
        <w:tc>
          <w:tcPr>
            <w:tcW w:w="1560" w:type="dxa"/>
          </w:tcPr>
          <w:p w14:paraId="2C2A9286"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68,187 / ((47,039 + 33,399) / 2)</w:t>
            </w:r>
          </w:p>
        </w:tc>
        <w:tc>
          <w:tcPr>
            <w:tcW w:w="1560" w:type="dxa"/>
          </w:tcPr>
          <w:p w14:paraId="7843EBB4"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1.70 times</w:t>
            </w:r>
          </w:p>
        </w:tc>
      </w:tr>
      <w:tr w:rsidR="007C1D9D" w:rsidRPr="006C42BE" w14:paraId="20C168AB" w14:textId="77777777" w:rsidTr="00FE19C9">
        <w:tc>
          <w:tcPr>
            <w:tcW w:w="1560" w:type="dxa"/>
          </w:tcPr>
          <w:p w14:paraId="4CDF2312"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Capital Turnover</w:t>
            </w:r>
          </w:p>
        </w:tc>
        <w:tc>
          <w:tcPr>
            <w:tcW w:w="1560" w:type="dxa"/>
          </w:tcPr>
          <w:p w14:paraId="27514B66"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Total Sales / Shareholder's Equity</w:t>
            </w:r>
          </w:p>
        </w:tc>
        <w:tc>
          <w:tcPr>
            <w:tcW w:w="1560" w:type="dxa"/>
          </w:tcPr>
          <w:p w14:paraId="74C64412"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69,916 / 11,662</w:t>
            </w:r>
          </w:p>
        </w:tc>
        <w:tc>
          <w:tcPr>
            <w:tcW w:w="1560" w:type="dxa"/>
          </w:tcPr>
          <w:p w14:paraId="752E5355"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6.00 times</w:t>
            </w:r>
          </w:p>
        </w:tc>
        <w:tc>
          <w:tcPr>
            <w:tcW w:w="1560" w:type="dxa"/>
          </w:tcPr>
          <w:p w14:paraId="0D3FDA32"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68,187 / 11,665</w:t>
            </w:r>
          </w:p>
        </w:tc>
        <w:tc>
          <w:tcPr>
            <w:tcW w:w="1560" w:type="dxa"/>
          </w:tcPr>
          <w:p w14:paraId="65A25C72"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5.85 times</w:t>
            </w:r>
          </w:p>
        </w:tc>
      </w:tr>
      <w:tr w:rsidR="007C1D9D" w:rsidRPr="006C42BE" w14:paraId="3A6E81D8" w14:textId="77777777" w:rsidTr="00FE19C9">
        <w:tc>
          <w:tcPr>
            <w:tcW w:w="1560" w:type="dxa"/>
          </w:tcPr>
          <w:p w14:paraId="36D92723"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Receivables Turnover</w:t>
            </w:r>
          </w:p>
        </w:tc>
        <w:tc>
          <w:tcPr>
            <w:tcW w:w="1560" w:type="dxa"/>
          </w:tcPr>
          <w:p w14:paraId="43BF3A56"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Net Sales / Average Receivables</w:t>
            </w:r>
          </w:p>
        </w:tc>
        <w:tc>
          <w:tcPr>
            <w:tcW w:w="1560" w:type="dxa"/>
          </w:tcPr>
          <w:p w14:paraId="1A2DE02B"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69,916 / ((1,210 + 1,349) / 2)</w:t>
            </w:r>
          </w:p>
        </w:tc>
        <w:tc>
          <w:tcPr>
            <w:tcW w:w="1560" w:type="dxa"/>
          </w:tcPr>
          <w:p w14:paraId="6CFD8CD0"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54.6 times</w:t>
            </w:r>
          </w:p>
        </w:tc>
        <w:tc>
          <w:tcPr>
            <w:tcW w:w="1560" w:type="dxa"/>
          </w:tcPr>
          <w:p w14:paraId="560FF46F"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68,187 / ((1,349 + 1,400) / 2)</w:t>
            </w:r>
          </w:p>
        </w:tc>
        <w:tc>
          <w:tcPr>
            <w:tcW w:w="1560" w:type="dxa"/>
          </w:tcPr>
          <w:p w14:paraId="3D211D51"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49.6 times</w:t>
            </w:r>
          </w:p>
        </w:tc>
      </w:tr>
    </w:tbl>
    <w:p w14:paraId="3C781801" w14:textId="77777777" w:rsidR="007C1D9D" w:rsidRPr="006C42BE" w:rsidRDefault="007C1D9D" w:rsidP="007C1D9D">
      <w:pPr>
        <w:pBdr>
          <w:top w:val="nil"/>
          <w:left w:val="nil"/>
          <w:bottom w:val="nil"/>
          <w:right w:val="nil"/>
          <w:between w:val="nil"/>
        </w:pBdr>
        <w:spacing w:before="480" w:after="240" w:line="275" w:lineRule="auto"/>
        <w:rPr>
          <w:rFonts w:eastAsia="Google Sans Text" w:cs="Times New Roman"/>
          <w:i/>
          <w:iCs/>
          <w:color w:val="1F1F1F"/>
        </w:rPr>
      </w:pPr>
      <w:r w:rsidRPr="006C42BE">
        <w:rPr>
          <w:rFonts w:eastAsia="Google Sans Text" w:cs="Times New Roman"/>
          <w:i/>
          <w:iCs/>
          <w:color w:val="1F1F1F"/>
        </w:rPr>
        <w:lastRenderedPageBreak/>
        <w:t>Note: Average figures are calculated as (Opening Balance + Closing Balance) / 2.</w:t>
      </w:r>
    </w:p>
    <w:p w14:paraId="663DC4B7" w14:textId="77777777" w:rsidR="007C1D9D" w:rsidRPr="006C42BE" w:rsidRDefault="007C1D9D" w:rsidP="007C1D9D">
      <w:pPr>
        <w:pStyle w:val="Heading3"/>
      </w:pPr>
      <w:bookmarkStart w:id="39" w:name="_Toc219159031"/>
      <w:bookmarkStart w:id="40" w:name="_Toc224863309"/>
      <w:r w:rsidRPr="006C42BE">
        <w:t>Solvency / Gearing Ratios</w:t>
      </w:r>
      <w:bookmarkEnd w:id="39"/>
      <w:bookmarkEnd w:id="40"/>
    </w:p>
    <w:tbl>
      <w:tblPr>
        <w:tblStyle w:val="TableGrid"/>
        <w:tblW w:w="9360" w:type="dxa"/>
        <w:tblLayout w:type="fixed"/>
        <w:tblLook w:val="0600" w:firstRow="0" w:lastRow="0" w:firstColumn="0" w:lastColumn="0" w:noHBand="1" w:noVBand="1"/>
      </w:tblPr>
      <w:tblGrid>
        <w:gridCol w:w="1560"/>
        <w:gridCol w:w="1560"/>
        <w:gridCol w:w="1560"/>
        <w:gridCol w:w="1560"/>
        <w:gridCol w:w="1560"/>
        <w:gridCol w:w="1560"/>
      </w:tblGrid>
      <w:tr w:rsidR="007C1D9D" w:rsidRPr="006C42BE" w14:paraId="0A9EF7C4" w14:textId="77777777" w:rsidTr="00FE19C9">
        <w:tc>
          <w:tcPr>
            <w:tcW w:w="1560" w:type="dxa"/>
          </w:tcPr>
          <w:p w14:paraId="6AB07EF6"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Ratio</w:t>
            </w:r>
          </w:p>
        </w:tc>
        <w:tc>
          <w:tcPr>
            <w:tcW w:w="1560" w:type="dxa"/>
          </w:tcPr>
          <w:p w14:paraId="1003A572"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Formula</w:t>
            </w:r>
          </w:p>
        </w:tc>
        <w:tc>
          <w:tcPr>
            <w:tcW w:w="1560" w:type="dxa"/>
          </w:tcPr>
          <w:p w14:paraId="76EEC67A"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2024/25)</w:t>
            </w:r>
          </w:p>
        </w:tc>
        <w:tc>
          <w:tcPr>
            <w:tcW w:w="1560" w:type="dxa"/>
          </w:tcPr>
          <w:p w14:paraId="41411BC6"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c>
          <w:tcPr>
            <w:tcW w:w="1560" w:type="dxa"/>
          </w:tcPr>
          <w:p w14:paraId="79D352AB"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2023/24)</w:t>
            </w:r>
          </w:p>
        </w:tc>
        <w:tc>
          <w:tcPr>
            <w:tcW w:w="1560" w:type="dxa"/>
          </w:tcPr>
          <w:p w14:paraId="3B175EDC"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r>
      <w:tr w:rsidR="007C1D9D" w:rsidRPr="006C42BE" w14:paraId="63EFAD66" w14:textId="77777777" w:rsidTr="00FE19C9">
        <w:tc>
          <w:tcPr>
            <w:tcW w:w="1560" w:type="dxa"/>
          </w:tcPr>
          <w:p w14:paraId="0F93C584"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Debt Ratio</w:t>
            </w:r>
          </w:p>
        </w:tc>
        <w:tc>
          <w:tcPr>
            <w:tcW w:w="1560" w:type="dxa"/>
          </w:tcPr>
          <w:p w14:paraId="330D0BFB"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Total Liabilities / Total Assets</w:t>
            </w:r>
          </w:p>
        </w:tc>
        <w:tc>
          <w:tcPr>
            <w:tcW w:w="1560" w:type="dxa"/>
          </w:tcPr>
          <w:p w14:paraId="16916A69"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27,228 / 38,890</w:t>
            </w:r>
          </w:p>
        </w:tc>
        <w:tc>
          <w:tcPr>
            <w:tcW w:w="1560" w:type="dxa"/>
          </w:tcPr>
          <w:p w14:paraId="63AC09E5"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70.0%</w:t>
            </w:r>
          </w:p>
        </w:tc>
        <w:tc>
          <w:tcPr>
            <w:tcW w:w="1560" w:type="dxa"/>
          </w:tcPr>
          <w:p w14:paraId="5A048888"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35,374 / 47,039</w:t>
            </w:r>
          </w:p>
        </w:tc>
        <w:tc>
          <w:tcPr>
            <w:tcW w:w="1560" w:type="dxa"/>
          </w:tcPr>
          <w:p w14:paraId="7AF6AA49"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75.2%</w:t>
            </w:r>
          </w:p>
        </w:tc>
      </w:tr>
      <w:tr w:rsidR="007C1D9D" w:rsidRPr="006C42BE" w14:paraId="3E29A6C8" w14:textId="77777777" w:rsidTr="00FE19C9">
        <w:tc>
          <w:tcPr>
            <w:tcW w:w="1560" w:type="dxa"/>
          </w:tcPr>
          <w:p w14:paraId="7CDC1E0F"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Equity Ratio</w:t>
            </w:r>
          </w:p>
        </w:tc>
        <w:tc>
          <w:tcPr>
            <w:tcW w:w="1560" w:type="dxa"/>
          </w:tcPr>
          <w:p w14:paraId="237A16E5"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Total Equity / Total Assets</w:t>
            </w:r>
          </w:p>
        </w:tc>
        <w:tc>
          <w:tcPr>
            <w:tcW w:w="1560" w:type="dxa"/>
          </w:tcPr>
          <w:p w14:paraId="1DCD02F8"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11,662 / 38,890</w:t>
            </w:r>
          </w:p>
        </w:tc>
        <w:tc>
          <w:tcPr>
            <w:tcW w:w="1560" w:type="dxa"/>
          </w:tcPr>
          <w:p w14:paraId="5CF7AB46"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30.0%</w:t>
            </w:r>
          </w:p>
        </w:tc>
        <w:tc>
          <w:tcPr>
            <w:tcW w:w="1560" w:type="dxa"/>
          </w:tcPr>
          <w:p w14:paraId="24728BB3"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11,665 / 47,039</w:t>
            </w:r>
          </w:p>
        </w:tc>
        <w:tc>
          <w:tcPr>
            <w:tcW w:w="1560" w:type="dxa"/>
          </w:tcPr>
          <w:p w14:paraId="596621C0"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24.8%</w:t>
            </w:r>
          </w:p>
        </w:tc>
      </w:tr>
      <w:tr w:rsidR="007C1D9D" w:rsidRPr="006C42BE" w14:paraId="13C6E63A" w14:textId="77777777" w:rsidTr="00FE19C9">
        <w:tc>
          <w:tcPr>
            <w:tcW w:w="1560" w:type="dxa"/>
          </w:tcPr>
          <w:p w14:paraId="5EF00CF0"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Debt to Equity</w:t>
            </w:r>
          </w:p>
        </w:tc>
        <w:tc>
          <w:tcPr>
            <w:tcW w:w="1560" w:type="dxa"/>
          </w:tcPr>
          <w:p w14:paraId="3A2D3B90"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Total Liabilities / Total Equity</w:t>
            </w:r>
          </w:p>
        </w:tc>
        <w:tc>
          <w:tcPr>
            <w:tcW w:w="1560" w:type="dxa"/>
          </w:tcPr>
          <w:p w14:paraId="7452DE1F"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27,228 / 11,662</w:t>
            </w:r>
          </w:p>
        </w:tc>
        <w:tc>
          <w:tcPr>
            <w:tcW w:w="1560" w:type="dxa"/>
          </w:tcPr>
          <w:p w14:paraId="2A205129"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2.33 : 1</w:t>
            </w:r>
          </w:p>
        </w:tc>
        <w:tc>
          <w:tcPr>
            <w:tcW w:w="1560" w:type="dxa"/>
          </w:tcPr>
          <w:p w14:paraId="34D65C26"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35,374 / 11,665</w:t>
            </w:r>
          </w:p>
        </w:tc>
        <w:tc>
          <w:tcPr>
            <w:tcW w:w="1560" w:type="dxa"/>
          </w:tcPr>
          <w:p w14:paraId="1E99F7DF"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3.03 : 1</w:t>
            </w:r>
          </w:p>
        </w:tc>
      </w:tr>
      <w:tr w:rsidR="007C1D9D" w:rsidRPr="006C42BE" w14:paraId="72466C96" w14:textId="77777777" w:rsidTr="00FE19C9">
        <w:tc>
          <w:tcPr>
            <w:tcW w:w="1560" w:type="dxa"/>
          </w:tcPr>
          <w:p w14:paraId="507B0C19"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Interest Coverage</w:t>
            </w:r>
          </w:p>
        </w:tc>
        <w:tc>
          <w:tcPr>
            <w:tcW w:w="1560" w:type="dxa"/>
          </w:tcPr>
          <w:p w14:paraId="1B8BEA6F"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EBIT / Interest Expense</w:t>
            </w:r>
          </w:p>
        </w:tc>
        <w:tc>
          <w:tcPr>
            <w:tcW w:w="1560" w:type="dxa"/>
          </w:tcPr>
          <w:p w14:paraId="61AD6583"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2,711 / 746</w:t>
            </w:r>
          </w:p>
        </w:tc>
        <w:tc>
          <w:tcPr>
            <w:tcW w:w="1560" w:type="dxa"/>
          </w:tcPr>
          <w:p w14:paraId="541C2D7A"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3.63 times</w:t>
            </w:r>
          </w:p>
        </w:tc>
        <w:tc>
          <w:tcPr>
            <w:tcW w:w="1560" w:type="dxa"/>
          </w:tcPr>
          <w:p w14:paraId="580987D2"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2,821 / 805</w:t>
            </w:r>
          </w:p>
        </w:tc>
        <w:tc>
          <w:tcPr>
            <w:tcW w:w="1560" w:type="dxa"/>
          </w:tcPr>
          <w:p w14:paraId="00AC6FB7"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3.50 times</w:t>
            </w:r>
          </w:p>
        </w:tc>
      </w:tr>
    </w:tbl>
    <w:p w14:paraId="12C09DAC" w14:textId="77777777" w:rsidR="007C1D9D" w:rsidRPr="006C42BE" w:rsidRDefault="007C1D9D" w:rsidP="007C1D9D">
      <w:pPr>
        <w:pStyle w:val="Heading3"/>
      </w:pPr>
      <w:bookmarkStart w:id="41" w:name="_Toc219159032"/>
      <w:bookmarkStart w:id="42" w:name="_Toc224863310"/>
      <w:r w:rsidRPr="006C42BE">
        <w:t>Investor Ratios</w:t>
      </w:r>
      <w:bookmarkEnd w:id="41"/>
      <w:bookmarkEnd w:id="42"/>
    </w:p>
    <w:tbl>
      <w:tblPr>
        <w:tblStyle w:val="TableGrid"/>
        <w:tblW w:w="9360" w:type="dxa"/>
        <w:tblLayout w:type="fixed"/>
        <w:tblLook w:val="0600" w:firstRow="0" w:lastRow="0" w:firstColumn="0" w:lastColumn="0" w:noHBand="1" w:noVBand="1"/>
      </w:tblPr>
      <w:tblGrid>
        <w:gridCol w:w="1560"/>
        <w:gridCol w:w="1560"/>
        <w:gridCol w:w="1560"/>
        <w:gridCol w:w="1560"/>
        <w:gridCol w:w="1560"/>
        <w:gridCol w:w="1560"/>
      </w:tblGrid>
      <w:tr w:rsidR="007C1D9D" w:rsidRPr="006C42BE" w14:paraId="42C101E2" w14:textId="77777777" w:rsidTr="00FE19C9">
        <w:tc>
          <w:tcPr>
            <w:tcW w:w="1560" w:type="dxa"/>
          </w:tcPr>
          <w:p w14:paraId="026D9326"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Ratio</w:t>
            </w:r>
          </w:p>
        </w:tc>
        <w:tc>
          <w:tcPr>
            <w:tcW w:w="1560" w:type="dxa"/>
          </w:tcPr>
          <w:p w14:paraId="40B2CD1B"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Formula</w:t>
            </w:r>
          </w:p>
        </w:tc>
        <w:tc>
          <w:tcPr>
            <w:tcW w:w="1560" w:type="dxa"/>
          </w:tcPr>
          <w:p w14:paraId="26735669"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2024/25)</w:t>
            </w:r>
          </w:p>
        </w:tc>
        <w:tc>
          <w:tcPr>
            <w:tcW w:w="1560" w:type="dxa"/>
          </w:tcPr>
          <w:p w14:paraId="31C6BD35"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c>
          <w:tcPr>
            <w:tcW w:w="1560" w:type="dxa"/>
          </w:tcPr>
          <w:p w14:paraId="30556389"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Calculation (FY 2023/24)</w:t>
            </w:r>
          </w:p>
        </w:tc>
        <w:tc>
          <w:tcPr>
            <w:tcW w:w="1560" w:type="dxa"/>
          </w:tcPr>
          <w:p w14:paraId="56D84AF8" w14:textId="77777777" w:rsidR="007C1D9D" w:rsidRPr="006C42BE" w:rsidRDefault="007C1D9D" w:rsidP="00FE19C9">
            <w:pPr>
              <w:pBdr>
                <w:top w:val="nil"/>
                <w:left w:val="nil"/>
                <w:bottom w:val="nil"/>
                <w:right w:val="nil"/>
                <w:between w:val="nil"/>
              </w:pBdr>
              <w:spacing w:before="120" w:after="120" w:line="275" w:lineRule="auto"/>
              <w:rPr>
                <w:rFonts w:eastAsia="Google Sans Text" w:cs="Times New Roman"/>
                <w:b/>
                <w:bCs/>
                <w:color w:val="1F1F1F"/>
              </w:rPr>
            </w:pPr>
            <w:r w:rsidRPr="006C42BE">
              <w:rPr>
                <w:rFonts w:eastAsia="Google Sans Text" w:cs="Times New Roman"/>
                <w:b/>
                <w:bCs/>
                <w:color w:val="1F1F1F"/>
              </w:rPr>
              <w:t>Result</w:t>
            </w:r>
          </w:p>
        </w:tc>
      </w:tr>
      <w:tr w:rsidR="007C1D9D" w:rsidRPr="006C42BE" w14:paraId="7A2DB882" w14:textId="77777777" w:rsidTr="00FE19C9">
        <w:tc>
          <w:tcPr>
            <w:tcW w:w="1560" w:type="dxa"/>
          </w:tcPr>
          <w:p w14:paraId="01720343"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Earnings Per Share</w:t>
            </w:r>
          </w:p>
        </w:tc>
        <w:tc>
          <w:tcPr>
            <w:tcW w:w="1560" w:type="dxa"/>
          </w:tcPr>
          <w:p w14:paraId="0DF3D1BF"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(Net Income / Shares)</w:t>
            </w:r>
          </w:p>
        </w:tc>
        <w:tc>
          <w:tcPr>
            <w:tcW w:w="1560" w:type="dxa"/>
          </w:tcPr>
          <w:p w14:paraId="5DC24CE6"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23.13p</w:t>
            </w:r>
          </w:p>
        </w:tc>
        <w:tc>
          <w:tcPr>
            <w:tcW w:w="1560" w:type="dxa"/>
          </w:tcPr>
          <w:p w14:paraId="020D07F6"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p>
        </w:tc>
        <w:tc>
          <w:tcPr>
            <w:tcW w:w="1560" w:type="dxa"/>
          </w:tcPr>
          <w:p w14:paraId="48F70F7B"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16.63p</w:t>
            </w:r>
          </w:p>
        </w:tc>
        <w:tc>
          <w:tcPr>
            <w:tcW w:w="1560" w:type="dxa"/>
          </w:tcPr>
          <w:p w14:paraId="4919B47B"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p>
        </w:tc>
      </w:tr>
      <w:tr w:rsidR="007C1D9D" w:rsidRPr="006C42BE" w14:paraId="19CBB1CD" w14:textId="77777777" w:rsidTr="00FE19C9">
        <w:tc>
          <w:tcPr>
            <w:tcW w:w="1560" w:type="dxa"/>
          </w:tcPr>
          <w:p w14:paraId="470C4DA9"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P/E Ratio</w:t>
            </w:r>
          </w:p>
        </w:tc>
        <w:tc>
          <w:tcPr>
            <w:tcW w:w="1560" w:type="dxa"/>
          </w:tcPr>
          <w:p w14:paraId="3E0C1EBE"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Share Price / EPS</w:t>
            </w:r>
          </w:p>
        </w:tc>
        <w:tc>
          <w:tcPr>
            <w:tcW w:w="1560" w:type="dxa"/>
          </w:tcPr>
          <w:p w14:paraId="72042A66"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290p / 23.13p</w:t>
            </w:r>
          </w:p>
        </w:tc>
        <w:tc>
          <w:tcPr>
            <w:tcW w:w="1560" w:type="dxa"/>
          </w:tcPr>
          <w:p w14:paraId="24DB80EB"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12.54</w:t>
            </w:r>
          </w:p>
        </w:tc>
        <w:tc>
          <w:tcPr>
            <w:tcW w:w="1560" w:type="dxa"/>
          </w:tcPr>
          <w:p w14:paraId="13ED8693"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275p / 16.63p</w:t>
            </w:r>
          </w:p>
        </w:tc>
        <w:tc>
          <w:tcPr>
            <w:tcW w:w="1560" w:type="dxa"/>
          </w:tcPr>
          <w:p w14:paraId="1A5068A8"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16.54</w:t>
            </w:r>
          </w:p>
        </w:tc>
      </w:tr>
      <w:tr w:rsidR="007C1D9D" w:rsidRPr="006C42BE" w14:paraId="3F3CE089" w14:textId="77777777" w:rsidTr="00FE19C9">
        <w:tc>
          <w:tcPr>
            <w:tcW w:w="1560" w:type="dxa"/>
          </w:tcPr>
          <w:p w14:paraId="3670C4DD"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Dividend Yield</w:t>
            </w:r>
          </w:p>
        </w:tc>
        <w:tc>
          <w:tcPr>
            <w:tcW w:w="1560" w:type="dxa"/>
          </w:tcPr>
          <w:p w14:paraId="1F3D1F64"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Dividend per Share / Share Price</w:t>
            </w:r>
          </w:p>
        </w:tc>
        <w:tc>
          <w:tcPr>
            <w:tcW w:w="1560" w:type="dxa"/>
          </w:tcPr>
          <w:p w14:paraId="06E9EF49"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12.10p / 290p</w:t>
            </w:r>
          </w:p>
        </w:tc>
        <w:tc>
          <w:tcPr>
            <w:tcW w:w="1560" w:type="dxa"/>
          </w:tcPr>
          <w:p w14:paraId="578D8096"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4.17%</w:t>
            </w:r>
          </w:p>
        </w:tc>
        <w:tc>
          <w:tcPr>
            <w:tcW w:w="1560" w:type="dxa"/>
          </w:tcPr>
          <w:p w14:paraId="6A8AD5C1" w14:textId="77777777" w:rsidR="007C1D9D" w:rsidRPr="006C42BE" w:rsidRDefault="007C1D9D" w:rsidP="00FE19C9">
            <w:pPr>
              <w:pBdr>
                <w:top w:val="nil"/>
                <w:left w:val="nil"/>
                <w:bottom w:val="nil"/>
                <w:right w:val="nil"/>
                <w:between w:val="nil"/>
              </w:pBdr>
              <w:spacing w:line="275" w:lineRule="auto"/>
              <w:rPr>
                <w:rFonts w:eastAsia="Google Sans Text" w:cs="Times New Roman"/>
                <w:color w:val="1F1F1F"/>
              </w:rPr>
            </w:pPr>
            <w:r w:rsidRPr="006C42BE">
              <w:rPr>
                <w:rFonts w:eastAsia="Google Sans Text" w:cs="Times New Roman"/>
                <w:color w:val="1F1F1F"/>
              </w:rPr>
              <w:t>10.90p / 275p</w:t>
            </w:r>
          </w:p>
        </w:tc>
        <w:tc>
          <w:tcPr>
            <w:tcW w:w="1560" w:type="dxa"/>
          </w:tcPr>
          <w:p w14:paraId="6B373017" w14:textId="77777777" w:rsidR="007C1D9D" w:rsidRPr="006C42BE" w:rsidRDefault="007C1D9D" w:rsidP="00FE19C9">
            <w:pPr>
              <w:pBdr>
                <w:top w:val="nil"/>
                <w:left w:val="nil"/>
                <w:bottom w:val="nil"/>
                <w:right w:val="nil"/>
                <w:between w:val="nil"/>
              </w:pBdr>
              <w:spacing w:line="275" w:lineRule="auto"/>
              <w:rPr>
                <w:rFonts w:eastAsia="Google Sans Text" w:cs="Times New Roman"/>
                <w:b/>
                <w:bCs/>
                <w:color w:val="1F1F1F"/>
              </w:rPr>
            </w:pPr>
            <w:r w:rsidRPr="006C42BE">
              <w:rPr>
                <w:rFonts w:eastAsia="Google Sans Text" w:cs="Times New Roman"/>
                <w:b/>
                <w:bCs/>
                <w:color w:val="1F1F1F"/>
              </w:rPr>
              <w:t>3.96%</w:t>
            </w:r>
          </w:p>
        </w:tc>
      </w:tr>
    </w:tbl>
    <w:p w14:paraId="1D7EBD1E" w14:textId="77777777" w:rsidR="007C1D9D" w:rsidRPr="006C42BE" w:rsidRDefault="007C1D9D" w:rsidP="007C1D9D">
      <w:pPr>
        <w:pBdr>
          <w:top w:val="nil"/>
          <w:left w:val="nil"/>
          <w:bottom w:val="nil"/>
          <w:right w:val="nil"/>
          <w:between w:val="nil"/>
        </w:pBdr>
        <w:spacing w:line="276" w:lineRule="auto"/>
        <w:rPr>
          <w:rFonts w:eastAsia="Google Sans Text" w:cs="Times New Roman"/>
          <w:b/>
          <w:bCs/>
          <w:color w:val="1F1F1F"/>
        </w:rPr>
      </w:pPr>
    </w:p>
    <w:p w14:paraId="2229D71B" w14:textId="77777777" w:rsidR="007C1D9D" w:rsidRDefault="007C1D9D" w:rsidP="007C1D9D">
      <w:pPr>
        <w:pStyle w:val="Heading3"/>
      </w:pPr>
      <w:bookmarkStart w:id="43" w:name="_Toc219159033"/>
      <w:bookmarkStart w:id="44" w:name="_Toc224863311"/>
      <w:r>
        <w:t>Financial Statements</w:t>
      </w:r>
      <w:bookmarkEnd w:id="43"/>
      <w:bookmarkEnd w:id="44"/>
    </w:p>
    <w:p w14:paraId="3A2DEAEB" w14:textId="77777777" w:rsidR="007C1D9D" w:rsidRDefault="007C1D9D" w:rsidP="007C1D9D">
      <w:r>
        <w:rPr>
          <w:noProof/>
        </w:rPr>
        <w:lastRenderedPageBreak/>
        <w:drawing>
          <wp:inline distT="0" distB="0" distL="0" distR="0" wp14:anchorId="7DF41409" wp14:editId="17B1A737">
            <wp:extent cx="6610350" cy="62077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6614907" cy="6212076"/>
                    </a:xfrm>
                    <a:prstGeom prst="rect">
                      <a:avLst/>
                    </a:prstGeom>
                  </pic:spPr>
                </pic:pic>
              </a:graphicData>
            </a:graphic>
          </wp:inline>
        </w:drawing>
      </w:r>
    </w:p>
    <w:p w14:paraId="2533AA2D" w14:textId="64326AA3" w:rsidR="00DF11DE" w:rsidRPr="007C1D9D" w:rsidRDefault="007C1D9D" w:rsidP="007C1D9D">
      <w:r>
        <w:rPr>
          <w:noProof/>
        </w:rPr>
        <w:lastRenderedPageBreak/>
        <w:drawing>
          <wp:inline distT="0" distB="0" distL="0" distR="0" wp14:anchorId="1568ABE5" wp14:editId="6B972B88">
            <wp:extent cx="6719570" cy="6318250"/>
            <wp:effectExtent l="0" t="0" r="508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724488" cy="6322874"/>
                    </a:xfrm>
                    <a:prstGeom prst="rect">
                      <a:avLst/>
                    </a:prstGeom>
                  </pic:spPr>
                </pic:pic>
              </a:graphicData>
            </a:graphic>
          </wp:inline>
        </w:drawing>
      </w:r>
      <w:r>
        <w:br w:type="page"/>
      </w:r>
    </w:p>
    <w:sectPr w:rsidR="00DF11DE" w:rsidRPr="007C1D9D">
      <w:footerReference w:type="default" r:id="rId58"/>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47B8C" w14:textId="77777777" w:rsidR="000935BA" w:rsidRDefault="000935BA" w:rsidP="00DF3746">
      <w:pPr>
        <w:spacing w:line="240" w:lineRule="auto"/>
      </w:pPr>
      <w:r>
        <w:separator/>
      </w:r>
    </w:p>
  </w:endnote>
  <w:endnote w:type="continuationSeparator" w:id="0">
    <w:p w14:paraId="33F8539C" w14:textId="77777777" w:rsidR="000935BA" w:rsidRDefault="000935BA" w:rsidP="00DF37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Google Sans">
    <w:charset w:val="00"/>
    <w:family w:val="auto"/>
    <w:pitch w:val="default"/>
    <w:embedRegular r:id="rId1" w:fontKey="{0A68F7DE-DD06-43DD-86FF-174B906DD470}"/>
    <w:embedBold r:id="rId2" w:fontKey="{7C3C32F1-0564-452C-8DC7-F60847A3BDC8}"/>
    <w:embedItalic r:id="rId3" w:fontKey="{DD518423-A49B-4E01-BF4B-54D8EA5A3615}"/>
    <w:embedBoldItalic r:id="rId4" w:fontKey="{7E5A6733-619C-4C97-9A1E-A1FE8D30C5A4}"/>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embedRegular r:id="rId5" w:fontKey="{A6D1EF87-14CE-48ED-9694-E50312134CD5}"/>
    <w:embedItalic r:id="rId6" w:fontKey="{96F59E6D-E823-4D93-9EF1-608FE19D4100}"/>
  </w:font>
  <w:font w:name="Georgia">
    <w:panose1 w:val="02040502050405020303"/>
    <w:charset w:val="00"/>
    <w:family w:val="roman"/>
    <w:pitch w:val="variable"/>
    <w:sig w:usb0="00000287" w:usb1="00000000" w:usb2="00000000" w:usb3="00000000" w:csb0="0000009F" w:csb1="00000000"/>
    <w:embedItalic r:id="rId7" w:fontKey="{6DDDF17D-2984-4728-B1EE-3EFB9EDEF0AD}"/>
  </w:font>
  <w:font w:name="Aptos">
    <w:charset w:val="00"/>
    <w:family w:val="swiss"/>
    <w:pitch w:val="variable"/>
    <w:sig w:usb0="20000287" w:usb1="00000003" w:usb2="00000000" w:usb3="00000000" w:csb0="0000019F" w:csb1="00000000"/>
    <w:embedRegular r:id="rId8" w:fontKey="{4AD63092-1B7A-4CA7-877E-DE2B854A06B7}"/>
  </w:font>
  <w:font w:name="Cambria">
    <w:panose1 w:val="02040503050406030204"/>
    <w:charset w:val="00"/>
    <w:family w:val="roman"/>
    <w:pitch w:val="variable"/>
    <w:sig w:usb0="E00002FF" w:usb1="400004FF" w:usb2="00000000" w:usb3="00000000" w:csb0="0000019F" w:csb1="00000000"/>
    <w:embedRegular r:id="rId9" w:fontKey="{3BFE21DD-DDA5-489A-8665-F6DB5440B464}"/>
  </w:font>
  <w:font w:name="Google Sans Text">
    <w:altName w:val="Calibri"/>
    <w:charset w:val="00"/>
    <w:family w:val="auto"/>
    <w:pitch w:val="default"/>
  </w:font>
  <w:font w:name="Nirmala UI">
    <w:panose1 w:val="020B0502040204020203"/>
    <w:charset w:val="00"/>
    <w:family w:val="swiss"/>
    <w:pitch w:val="variable"/>
    <w:sig w:usb0="80FF8023" w:usb1="0200004A" w:usb2="00000200" w:usb3="00000000" w:csb0="00000001" w:csb1="00000000"/>
    <w:embedRegular r:id="rId10" w:fontKey="{32D87FB5-DBEA-48F8-B43E-1D5AC68B75F6}"/>
  </w:font>
  <w:font w:name="Cambria Math">
    <w:panose1 w:val="02040503050406030204"/>
    <w:charset w:val="00"/>
    <w:family w:val="roman"/>
    <w:pitch w:val="variable"/>
    <w:sig w:usb0="E00002FF" w:usb1="420024FF" w:usb2="00000000" w:usb3="00000000" w:csb0="0000019F" w:csb1="00000000"/>
    <w:embedRegular r:id="rId11" w:fontKey="{6CF3FFAF-47B5-4063-A1EB-533A32AACBC8}"/>
    <w:embedItalic r:id="rId12" w:fontKey="{5C7AA232-EA48-49E6-8486-63ADEFCF9666}"/>
    <w:embedBoldItalic r:id="rId13" w:fontKey="{2F4D1A0E-8DA5-4D06-8789-FA5FC850700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677783"/>
      <w:docPartObj>
        <w:docPartGallery w:val="Page Numbers (Bottom of Page)"/>
        <w:docPartUnique/>
      </w:docPartObj>
    </w:sdtPr>
    <w:sdtEndPr>
      <w:rPr>
        <w:noProof/>
      </w:rPr>
    </w:sdtEndPr>
    <w:sdtContent>
      <w:p w14:paraId="6FE7824A" w14:textId="31C86BAD" w:rsidR="00DF3746" w:rsidRDefault="00DF37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0D31ED" w14:textId="77777777" w:rsidR="00DF3746" w:rsidRDefault="00DF37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2EF387" w14:textId="77777777" w:rsidR="000935BA" w:rsidRDefault="000935BA" w:rsidP="00DF3746">
      <w:pPr>
        <w:spacing w:line="240" w:lineRule="auto"/>
      </w:pPr>
      <w:r>
        <w:separator/>
      </w:r>
    </w:p>
  </w:footnote>
  <w:footnote w:type="continuationSeparator" w:id="0">
    <w:p w14:paraId="383A5310" w14:textId="77777777" w:rsidR="000935BA" w:rsidRDefault="000935BA" w:rsidP="00DF37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E7AB6"/>
    <w:multiLevelType w:val="multilevel"/>
    <w:tmpl w:val="F89E56C0"/>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05A66953"/>
    <w:multiLevelType w:val="multilevel"/>
    <w:tmpl w:val="A59E4D4C"/>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 w15:restartNumberingAfterBreak="0">
    <w:nsid w:val="05A77621"/>
    <w:multiLevelType w:val="multilevel"/>
    <w:tmpl w:val="5F2E0620"/>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3" w15:restartNumberingAfterBreak="0">
    <w:nsid w:val="0E644D79"/>
    <w:multiLevelType w:val="multilevel"/>
    <w:tmpl w:val="DE4C83F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4" w15:restartNumberingAfterBreak="0">
    <w:nsid w:val="14750613"/>
    <w:multiLevelType w:val="multilevel"/>
    <w:tmpl w:val="49501186"/>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5" w15:restartNumberingAfterBreak="0">
    <w:nsid w:val="199F0C7F"/>
    <w:multiLevelType w:val="multilevel"/>
    <w:tmpl w:val="1040B622"/>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6" w15:restartNumberingAfterBreak="0">
    <w:nsid w:val="281E510D"/>
    <w:multiLevelType w:val="multilevel"/>
    <w:tmpl w:val="684A4CFE"/>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7" w15:restartNumberingAfterBreak="0">
    <w:nsid w:val="2B465501"/>
    <w:multiLevelType w:val="multilevel"/>
    <w:tmpl w:val="A8AC37EC"/>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8" w15:restartNumberingAfterBreak="0">
    <w:nsid w:val="37EC174A"/>
    <w:multiLevelType w:val="hybridMultilevel"/>
    <w:tmpl w:val="6DF60E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8E23BD"/>
    <w:multiLevelType w:val="multilevel"/>
    <w:tmpl w:val="853A982A"/>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0" w15:restartNumberingAfterBreak="0">
    <w:nsid w:val="40F65334"/>
    <w:multiLevelType w:val="multilevel"/>
    <w:tmpl w:val="71C63AA8"/>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1" w15:restartNumberingAfterBreak="0">
    <w:nsid w:val="448D0698"/>
    <w:multiLevelType w:val="hybridMultilevel"/>
    <w:tmpl w:val="6F3A87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5DC4171"/>
    <w:multiLevelType w:val="multilevel"/>
    <w:tmpl w:val="8000E2E4"/>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3" w15:restartNumberingAfterBreak="0">
    <w:nsid w:val="4FCB64EF"/>
    <w:multiLevelType w:val="multilevel"/>
    <w:tmpl w:val="D7BA97A8"/>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4" w15:restartNumberingAfterBreak="0">
    <w:nsid w:val="562A3E73"/>
    <w:multiLevelType w:val="multilevel"/>
    <w:tmpl w:val="EBC6A0E6"/>
    <w:lvl w:ilvl="0">
      <w:start w:val="1"/>
      <w:numFmt w:val="decimal"/>
      <w:lvlText w:val="%1."/>
      <w:lvlJc w:val="left"/>
      <w:pPr>
        <w:ind w:left="4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5" w15:restartNumberingAfterBreak="0">
    <w:nsid w:val="597A71DB"/>
    <w:multiLevelType w:val="multilevel"/>
    <w:tmpl w:val="70248648"/>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6" w15:restartNumberingAfterBreak="0">
    <w:nsid w:val="59A600D4"/>
    <w:multiLevelType w:val="multilevel"/>
    <w:tmpl w:val="F3EE8CF4"/>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7" w15:restartNumberingAfterBreak="0">
    <w:nsid w:val="60945239"/>
    <w:multiLevelType w:val="multilevel"/>
    <w:tmpl w:val="6C486B70"/>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614147CC"/>
    <w:multiLevelType w:val="multilevel"/>
    <w:tmpl w:val="2B384BC8"/>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9" w15:restartNumberingAfterBreak="0">
    <w:nsid w:val="741229EB"/>
    <w:multiLevelType w:val="multilevel"/>
    <w:tmpl w:val="C15C584A"/>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0" w15:restartNumberingAfterBreak="0">
    <w:nsid w:val="76B268AF"/>
    <w:multiLevelType w:val="multilevel"/>
    <w:tmpl w:val="B15458BE"/>
    <w:lvl w:ilvl="0">
      <w:start w:val="1"/>
      <w:numFmt w:val="bullet"/>
      <w:lvlText w:val="●"/>
      <w:lvlJc w:val="left"/>
      <w:pPr>
        <w:ind w:left="465"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1" w15:restartNumberingAfterBreak="0">
    <w:nsid w:val="7B3B4695"/>
    <w:multiLevelType w:val="hybridMultilevel"/>
    <w:tmpl w:val="54EAEDFA"/>
    <w:lvl w:ilvl="0" w:tplc="21CCDDF4">
      <w:numFmt w:val="bullet"/>
      <w:lvlText w:val=""/>
      <w:lvlJc w:val="left"/>
      <w:pPr>
        <w:ind w:left="720" w:hanging="360"/>
      </w:pPr>
      <w:rPr>
        <w:rFonts w:ascii="Times New Roman" w:eastAsia="Google Sans"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8493017">
    <w:abstractNumId w:val="7"/>
  </w:num>
  <w:num w:numId="2" w16cid:durableId="456679144">
    <w:abstractNumId w:val="2"/>
  </w:num>
  <w:num w:numId="3" w16cid:durableId="2020889309">
    <w:abstractNumId w:val="13"/>
  </w:num>
  <w:num w:numId="4" w16cid:durableId="2085177111">
    <w:abstractNumId w:val="4"/>
  </w:num>
  <w:num w:numId="5" w16cid:durableId="1004473863">
    <w:abstractNumId w:val="0"/>
  </w:num>
  <w:num w:numId="6" w16cid:durableId="1994598556">
    <w:abstractNumId w:val="18"/>
  </w:num>
  <w:num w:numId="7" w16cid:durableId="1147087109">
    <w:abstractNumId w:val="15"/>
  </w:num>
  <w:num w:numId="8" w16cid:durableId="1221357356">
    <w:abstractNumId w:val="20"/>
  </w:num>
  <w:num w:numId="9" w16cid:durableId="1284843289">
    <w:abstractNumId w:val="1"/>
  </w:num>
  <w:num w:numId="10" w16cid:durableId="805044372">
    <w:abstractNumId w:val="6"/>
  </w:num>
  <w:num w:numId="11" w16cid:durableId="369841945">
    <w:abstractNumId w:val="5"/>
  </w:num>
  <w:num w:numId="12" w16cid:durableId="1328703804">
    <w:abstractNumId w:val="10"/>
  </w:num>
  <w:num w:numId="13" w16cid:durableId="100802733">
    <w:abstractNumId w:val="16"/>
  </w:num>
  <w:num w:numId="14" w16cid:durableId="619000130">
    <w:abstractNumId w:val="14"/>
  </w:num>
  <w:num w:numId="15" w16cid:durableId="1287084819">
    <w:abstractNumId w:val="9"/>
  </w:num>
  <w:num w:numId="16" w16cid:durableId="735274920">
    <w:abstractNumId w:val="3"/>
  </w:num>
  <w:num w:numId="17" w16cid:durableId="1326205019">
    <w:abstractNumId w:val="19"/>
  </w:num>
  <w:num w:numId="18" w16cid:durableId="1215583739">
    <w:abstractNumId w:val="8"/>
  </w:num>
  <w:num w:numId="19" w16cid:durableId="956519844">
    <w:abstractNumId w:val="12"/>
  </w:num>
  <w:num w:numId="20" w16cid:durableId="1287279249">
    <w:abstractNumId w:val="11"/>
  </w:num>
  <w:num w:numId="21" w16cid:durableId="138691505">
    <w:abstractNumId w:val="21"/>
  </w:num>
  <w:num w:numId="22" w16cid:durableId="776829845">
    <w:abstractNumId w:val="17"/>
  </w:num>
  <w:num w:numId="23" w16cid:durableId="176996310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1DE"/>
    <w:rsid w:val="000935BA"/>
    <w:rsid w:val="000E7869"/>
    <w:rsid w:val="00141A3C"/>
    <w:rsid w:val="0021492A"/>
    <w:rsid w:val="003051CB"/>
    <w:rsid w:val="00350BB0"/>
    <w:rsid w:val="00423571"/>
    <w:rsid w:val="0048325D"/>
    <w:rsid w:val="004B1472"/>
    <w:rsid w:val="0056018C"/>
    <w:rsid w:val="0058536D"/>
    <w:rsid w:val="005E38CE"/>
    <w:rsid w:val="00604FDC"/>
    <w:rsid w:val="00617F85"/>
    <w:rsid w:val="0067672C"/>
    <w:rsid w:val="007C1D9D"/>
    <w:rsid w:val="008E2985"/>
    <w:rsid w:val="00913392"/>
    <w:rsid w:val="009225EB"/>
    <w:rsid w:val="00AD26BA"/>
    <w:rsid w:val="00B45338"/>
    <w:rsid w:val="00DF11DE"/>
    <w:rsid w:val="00DF3746"/>
    <w:rsid w:val="00E506A2"/>
    <w:rsid w:val="00F548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03842"/>
  <w15:docId w15:val="{48B05BE0-6315-4B90-BB97-F6E3E2C55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571"/>
    <w:pPr>
      <w:spacing w:line="360" w:lineRule="auto"/>
      <w:jc w:val="both"/>
    </w:pPr>
    <w:rPr>
      <w:rFonts w:ascii="Times New Roman" w:hAnsi="Times New Roman"/>
      <w:sz w:val="24"/>
      <w:lang w:val="en-GB"/>
    </w:rPr>
  </w:style>
  <w:style w:type="paragraph" w:styleId="Heading1">
    <w:name w:val="heading 1"/>
    <w:basedOn w:val="Normal"/>
    <w:next w:val="Normal"/>
    <w:autoRedefine/>
    <w:uiPriority w:val="9"/>
    <w:qFormat/>
    <w:rsid w:val="008E2985"/>
    <w:pPr>
      <w:numPr>
        <w:numId w:val="22"/>
      </w:numPr>
      <w:pBdr>
        <w:top w:val="nil"/>
        <w:left w:val="nil"/>
        <w:bottom w:val="nil"/>
        <w:right w:val="nil"/>
        <w:between w:val="nil"/>
      </w:pBdr>
      <w:spacing w:after="120"/>
      <w:outlineLvl w:val="0"/>
    </w:pPr>
    <w:rPr>
      <w:rFonts w:eastAsia="Google Sans" w:cs="Times New Roman"/>
      <w:b/>
      <w:bCs/>
      <w:color w:val="1F1F1F"/>
      <w:sz w:val="32"/>
      <w:szCs w:val="48"/>
    </w:rPr>
  </w:style>
  <w:style w:type="paragraph" w:styleId="Heading2">
    <w:name w:val="heading 2"/>
    <w:basedOn w:val="Normal"/>
    <w:next w:val="Normal"/>
    <w:autoRedefine/>
    <w:uiPriority w:val="9"/>
    <w:unhideWhenUsed/>
    <w:qFormat/>
    <w:rsid w:val="00423571"/>
    <w:pPr>
      <w:numPr>
        <w:ilvl w:val="1"/>
        <w:numId w:val="22"/>
      </w:numPr>
      <w:pBdr>
        <w:top w:val="nil"/>
        <w:left w:val="nil"/>
        <w:bottom w:val="nil"/>
        <w:right w:val="nil"/>
        <w:between w:val="nil"/>
      </w:pBdr>
      <w:spacing w:before="225" w:after="225"/>
      <w:outlineLvl w:val="1"/>
    </w:pPr>
    <w:rPr>
      <w:b/>
      <w:bCs/>
      <w:sz w:val="28"/>
      <w:szCs w:val="36"/>
    </w:rPr>
  </w:style>
  <w:style w:type="paragraph" w:styleId="Heading3">
    <w:name w:val="heading 3"/>
    <w:basedOn w:val="Normal"/>
    <w:next w:val="Normal"/>
    <w:uiPriority w:val="9"/>
    <w:unhideWhenUsed/>
    <w:qFormat/>
    <w:pPr>
      <w:numPr>
        <w:ilvl w:val="2"/>
        <w:numId w:val="22"/>
      </w:num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autoRedefine/>
    <w:uiPriority w:val="9"/>
    <w:unhideWhenUsed/>
    <w:qFormat/>
    <w:rsid w:val="0067672C"/>
    <w:pPr>
      <w:numPr>
        <w:ilvl w:val="3"/>
        <w:numId w:val="22"/>
      </w:numPr>
      <w:pBdr>
        <w:top w:val="nil"/>
        <w:left w:val="nil"/>
        <w:bottom w:val="nil"/>
        <w:right w:val="nil"/>
        <w:between w:val="nil"/>
      </w:pBdr>
      <w:spacing w:before="255" w:after="255"/>
      <w:outlineLvl w:val="3"/>
    </w:pPr>
    <w:rPr>
      <w:b/>
      <w:bCs/>
      <w:i/>
      <w:szCs w:val="24"/>
    </w:rPr>
  </w:style>
  <w:style w:type="paragraph" w:styleId="Heading5">
    <w:name w:val="heading 5"/>
    <w:basedOn w:val="Normal"/>
    <w:next w:val="Normal"/>
    <w:uiPriority w:val="9"/>
    <w:semiHidden/>
    <w:unhideWhenUsed/>
    <w:qFormat/>
    <w:pPr>
      <w:numPr>
        <w:ilvl w:val="4"/>
        <w:numId w:val="22"/>
      </w:num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numPr>
        <w:ilvl w:val="5"/>
        <w:numId w:val="22"/>
      </w:numPr>
      <w:pBdr>
        <w:top w:val="nil"/>
        <w:left w:val="nil"/>
        <w:bottom w:val="nil"/>
        <w:right w:val="nil"/>
        <w:between w:val="nil"/>
      </w:pBdr>
      <w:spacing w:before="360" w:after="360"/>
      <w:outlineLvl w:val="5"/>
    </w:pPr>
    <w:rPr>
      <w:b/>
      <w:bCs/>
      <w:sz w:val="16"/>
      <w:szCs w:val="16"/>
    </w:rPr>
  </w:style>
  <w:style w:type="paragraph" w:styleId="Heading7">
    <w:name w:val="heading 7"/>
    <w:basedOn w:val="Normal"/>
    <w:next w:val="Normal"/>
    <w:link w:val="Heading7Char"/>
    <w:uiPriority w:val="9"/>
    <w:semiHidden/>
    <w:unhideWhenUsed/>
    <w:qFormat/>
    <w:rsid w:val="008E2985"/>
    <w:pPr>
      <w:keepNext/>
      <w:keepLines/>
      <w:numPr>
        <w:ilvl w:val="6"/>
        <w:numId w:val="2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8E2985"/>
    <w:pPr>
      <w:keepNext/>
      <w:keepLines/>
      <w:numPr>
        <w:ilvl w:val="7"/>
        <w:numId w:val="2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E2985"/>
    <w:pPr>
      <w:keepNext/>
      <w:keepLines/>
      <w:numPr>
        <w:ilvl w:val="8"/>
        <w:numId w:val="2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table" w:customStyle="1" w:styleId="a5">
    <w:basedOn w:val="TableNormal0"/>
    <w:tblPr>
      <w:tblStyleRowBandSize w:val="1"/>
      <w:tblStyleColBandSize w:val="1"/>
    </w:tblPr>
  </w:style>
  <w:style w:type="table" w:customStyle="1" w:styleId="a6">
    <w:basedOn w:val="TableNormal0"/>
    <w:tblPr>
      <w:tblStyleRowBandSize w:val="1"/>
      <w:tblStyleColBandSize w:val="1"/>
    </w:tblPr>
  </w:style>
  <w:style w:type="table" w:customStyle="1" w:styleId="a7">
    <w:basedOn w:val="TableNormal0"/>
    <w:tblPr>
      <w:tblStyleRowBandSize w:val="1"/>
      <w:tblStyleColBandSize w:val="1"/>
    </w:tblPr>
  </w:style>
  <w:style w:type="table" w:customStyle="1" w:styleId="a8">
    <w:basedOn w:val="TableNormal0"/>
    <w:tblPr>
      <w:tblStyleRowBandSize w:val="1"/>
      <w:tblStyleColBandSize w:val="1"/>
    </w:tblPr>
  </w:style>
  <w:style w:type="table" w:customStyle="1" w:styleId="a9">
    <w:basedOn w:val="TableNormal0"/>
    <w:tblPr>
      <w:tblStyleRowBandSize w:val="1"/>
      <w:tblStyleColBandSize w:val="1"/>
    </w:tblPr>
  </w:style>
  <w:style w:type="paragraph" w:styleId="TOCHeading">
    <w:name w:val="TOC Heading"/>
    <w:basedOn w:val="Heading1"/>
    <w:next w:val="Normal"/>
    <w:uiPriority w:val="39"/>
    <w:unhideWhenUsed/>
    <w:qFormat/>
    <w:rsid w:val="00423571"/>
    <w:pPr>
      <w:keepNext/>
      <w:keepLines/>
      <w:widowControl/>
      <w:pBdr>
        <w:top w:val="none" w:sz="0" w:space="0" w:color="auto"/>
        <w:left w:val="none" w:sz="0" w:space="0" w:color="auto"/>
        <w:bottom w:val="none" w:sz="0" w:space="0" w:color="auto"/>
        <w:right w:val="none" w:sz="0" w:space="0" w:color="auto"/>
        <w:between w:val="none" w:sz="0" w:space="0" w:color="auto"/>
      </w:pBdr>
      <w:spacing w:after="0" w:line="259" w:lineRule="auto"/>
      <w:jc w:val="left"/>
      <w:outlineLvl w:val="9"/>
    </w:pPr>
    <w:rPr>
      <w:rFonts w:asciiTheme="majorHAnsi" w:eastAsiaTheme="majorEastAsia" w:hAnsiTheme="majorHAnsi" w:cstheme="majorBidi"/>
      <w:b w:val="0"/>
      <w:bCs w:val="0"/>
      <w:color w:val="365F91" w:themeColor="accent1" w:themeShade="BF"/>
      <w:szCs w:val="32"/>
    </w:rPr>
  </w:style>
  <w:style w:type="paragraph" w:styleId="TOC1">
    <w:name w:val="toc 1"/>
    <w:basedOn w:val="Normal"/>
    <w:next w:val="Normal"/>
    <w:autoRedefine/>
    <w:uiPriority w:val="39"/>
    <w:unhideWhenUsed/>
    <w:rsid w:val="00423571"/>
    <w:pPr>
      <w:spacing w:after="100"/>
    </w:pPr>
  </w:style>
  <w:style w:type="paragraph" w:styleId="TOC2">
    <w:name w:val="toc 2"/>
    <w:basedOn w:val="Normal"/>
    <w:next w:val="Normal"/>
    <w:autoRedefine/>
    <w:uiPriority w:val="39"/>
    <w:unhideWhenUsed/>
    <w:rsid w:val="00423571"/>
    <w:pPr>
      <w:spacing w:after="100"/>
      <w:ind w:left="240"/>
    </w:pPr>
  </w:style>
  <w:style w:type="paragraph" w:styleId="TOC3">
    <w:name w:val="toc 3"/>
    <w:basedOn w:val="Normal"/>
    <w:next w:val="Normal"/>
    <w:autoRedefine/>
    <w:uiPriority w:val="39"/>
    <w:unhideWhenUsed/>
    <w:rsid w:val="00423571"/>
    <w:pPr>
      <w:spacing w:after="100"/>
      <w:ind w:left="480"/>
    </w:pPr>
  </w:style>
  <w:style w:type="character" w:styleId="Hyperlink">
    <w:name w:val="Hyperlink"/>
    <w:basedOn w:val="DefaultParagraphFont"/>
    <w:uiPriority w:val="99"/>
    <w:unhideWhenUsed/>
    <w:rsid w:val="00423571"/>
    <w:rPr>
      <w:color w:val="0000FF" w:themeColor="hyperlink"/>
      <w:u w:val="single"/>
    </w:rPr>
  </w:style>
  <w:style w:type="paragraph" w:styleId="ListParagraph">
    <w:name w:val="List Paragraph"/>
    <w:basedOn w:val="Normal"/>
    <w:uiPriority w:val="34"/>
    <w:qFormat/>
    <w:rsid w:val="004B1472"/>
    <w:pPr>
      <w:ind w:left="720"/>
      <w:contextualSpacing/>
    </w:pPr>
  </w:style>
  <w:style w:type="character" w:styleId="PlaceholderText">
    <w:name w:val="Placeholder Text"/>
    <w:basedOn w:val="DefaultParagraphFont"/>
    <w:uiPriority w:val="99"/>
    <w:semiHidden/>
    <w:rsid w:val="00E506A2"/>
    <w:rPr>
      <w:color w:val="666666"/>
    </w:rPr>
  </w:style>
  <w:style w:type="table" w:styleId="TableGrid">
    <w:name w:val="Table Grid"/>
    <w:basedOn w:val="TableNormal"/>
    <w:uiPriority w:val="39"/>
    <w:rsid w:val="006767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F3746"/>
    <w:pPr>
      <w:tabs>
        <w:tab w:val="center" w:pos="4680"/>
        <w:tab w:val="right" w:pos="9360"/>
      </w:tabs>
      <w:spacing w:line="240" w:lineRule="auto"/>
    </w:pPr>
  </w:style>
  <w:style w:type="character" w:customStyle="1" w:styleId="HeaderChar">
    <w:name w:val="Header Char"/>
    <w:basedOn w:val="DefaultParagraphFont"/>
    <w:link w:val="Header"/>
    <w:uiPriority w:val="99"/>
    <w:rsid w:val="00DF3746"/>
    <w:rPr>
      <w:rFonts w:ascii="Times New Roman" w:hAnsi="Times New Roman"/>
      <w:sz w:val="24"/>
      <w:lang w:val="en-GB"/>
    </w:rPr>
  </w:style>
  <w:style w:type="paragraph" w:styleId="Footer">
    <w:name w:val="footer"/>
    <w:basedOn w:val="Normal"/>
    <w:link w:val="FooterChar"/>
    <w:uiPriority w:val="99"/>
    <w:unhideWhenUsed/>
    <w:rsid w:val="00DF3746"/>
    <w:pPr>
      <w:tabs>
        <w:tab w:val="center" w:pos="4680"/>
        <w:tab w:val="right" w:pos="9360"/>
      </w:tabs>
      <w:spacing w:line="240" w:lineRule="auto"/>
    </w:pPr>
  </w:style>
  <w:style w:type="character" w:customStyle="1" w:styleId="FooterChar">
    <w:name w:val="Footer Char"/>
    <w:basedOn w:val="DefaultParagraphFont"/>
    <w:link w:val="Footer"/>
    <w:uiPriority w:val="99"/>
    <w:rsid w:val="00DF3746"/>
    <w:rPr>
      <w:rFonts w:ascii="Times New Roman" w:hAnsi="Times New Roman"/>
      <w:sz w:val="24"/>
      <w:lang w:val="en-GB"/>
    </w:rPr>
  </w:style>
  <w:style w:type="table" w:styleId="GridTable5Dark-Accent1">
    <w:name w:val="Grid Table 5 Dark Accent 1"/>
    <w:basedOn w:val="TableNormal"/>
    <w:uiPriority w:val="50"/>
    <w:rsid w:val="00DF374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Caption">
    <w:name w:val="caption"/>
    <w:basedOn w:val="Normal"/>
    <w:next w:val="Normal"/>
    <w:uiPriority w:val="35"/>
    <w:unhideWhenUsed/>
    <w:qFormat/>
    <w:rsid w:val="007C1D9D"/>
    <w:pPr>
      <w:spacing w:after="200"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48325D"/>
    <w:rPr>
      <w:color w:val="605E5C"/>
      <w:shd w:val="clear" w:color="auto" w:fill="E1DFDD"/>
    </w:rPr>
  </w:style>
  <w:style w:type="character" w:customStyle="1" w:styleId="Heading7Char">
    <w:name w:val="Heading 7 Char"/>
    <w:basedOn w:val="DefaultParagraphFont"/>
    <w:link w:val="Heading7"/>
    <w:uiPriority w:val="9"/>
    <w:semiHidden/>
    <w:rsid w:val="008E2985"/>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8E2985"/>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8E2985"/>
    <w:rPr>
      <w:rFonts w:asciiTheme="majorHAnsi" w:eastAsiaTheme="majorEastAsia" w:hAnsiTheme="majorHAnsi" w:cstheme="majorBidi"/>
      <w:i/>
      <w:iCs/>
      <w:color w:val="272727" w:themeColor="text1" w:themeTint="D8"/>
      <w:sz w:val="21"/>
      <w:szCs w:val="21"/>
      <w:lang w:val="en-GB"/>
    </w:rPr>
  </w:style>
  <w:style w:type="paragraph" w:styleId="TableofFigures">
    <w:name w:val="table of figures"/>
    <w:basedOn w:val="Normal"/>
    <w:next w:val="Normal"/>
    <w:uiPriority w:val="99"/>
    <w:unhideWhenUsed/>
    <w:rsid w:val="00617F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80/10696679.2021.1988646" TargetMode="External"/><Relationship Id="rId18" Type="http://schemas.openxmlformats.org/officeDocument/2006/relationships/hyperlink" Target="https://doi.org/10.3390/su162310727" TargetMode="External"/><Relationship Id="rId26" Type="http://schemas.openxmlformats.org/officeDocument/2006/relationships/hyperlink" Target="https://doi.org/10.51594/ijmer.v6i8.1381" TargetMode="External"/><Relationship Id="rId39" Type="http://schemas.openxmlformats.org/officeDocument/2006/relationships/hyperlink" Target="https://doi.org/10.3390/jrfm17080326" TargetMode="External"/><Relationship Id="rId21" Type="http://schemas.openxmlformats.org/officeDocument/2006/relationships/hyperlink" Target="https://doi.org/10.3390/jrfm11030050" TargetMode="External"/><Relationship Id="rId34" Type="http://schemas.openxmlformats.org/officeDocument/2006/relationships/hyperlink" Target="https://doi.org/10.54055/ejtr.v38i.3408" TargetMode="External"/><Relationship Id="rId42" Type="http://schemas.openxmlformats.org/officeDocument/2006/relationships/hyperlink" Target="https://doi.org/10.1007/s43621-024-00338-8" TargetMode="External"/><Relationship Id="rId47" Type="http://schemas.openxmlformats.org/officeDocument/2006/relationships/hyperlink" Target="https://doi.org/10.3389/fnut.2023.1284377" TargetMode="External"/><Relationship Id="rId50" Type="http://schemas.openxmlformats.org/officeDocument/2006/relationships/hyperlink" Target="https://doi.org/10.1057/s41599-023-02214-8" TargetMode="External"/><Relationship Id="rId55" Type="http://schemas.openxmlformats.org/officeDocument/2006/relationships/hyperlink" Target="https://doi.org/10.12700/aph.21.8.2024.8.1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jretai.2022.02.006" TargetMode="External"/><Relationship Id="rId29" Type="http://schemas.openxmlformats.org/officeDocument/2006/relationships/hyperlink" Target="https://doi.org/10.1146/annurev-financial-101221-103806" TargetMode="External"/><Relationship Id="rId11" Type="http://schemas.openxmlformats.org/officeDocument/2006/relationships/hyperlink" Target="https://doi.org/10.1108/jidt-10-2024-0031" TargetMode="External"/><Relationship Id="rId24" Type="http://schemas.openxmlformats.org/officeDocument/2006/relationships/hyperlink" Target="https://doi.org/10.30574/msarr.2024.11.2.0129" TargetMode="External"/><Relationship Id="rId32" Type="http://schemas.openxmlformats.org/officeDocument/2006/relationships/hyperlink" Target="https://corporate.sainsburys.co.uk/investors/annual-report-2025/" TargetMode="External"/><Relationship Id="rId37" Type="http://schemas.openxmlformats.org/officeDocument/2006/relationships/hyperlink" Target="https://doi.org/10.1002/csr.70199" TargetMode="External"/><Relationship Id="rId40" Type="http://schemas.openxmlformats.org/officeDocument/2006/relationships/hyperlink" Target="https://doi.org/10.15549/jeecar.v8i4.692" TargetMode="External"/><Relationship Id="rId45" Type="http://schemas.openxmlformats.org/officeDocument/2006/relationships/hyperlink" Target="https://doi.org/10.2307/1884852" TargetMode="External"/><Relationship Id="rId53" Type="http://schemas.openxmlformats.org/officeDocument/2006/relationships/hyperlink" Target="https://doi.org/10.1016/j.tre.2025.104495"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doi.org/10.1016/j.techfore.2024.123918" TargetMode="External"/><Relationship Id="rId4" Type="http://schemas.openxmlformats.org/officeDocument/2006/relationships/settings" Target="settings.xml"/><Relationship Id="rId9" Type="http://schemas.openxmlformats.org/officeDocument/2006/relationships/hyperlink" Target="https://doi.org/10.1016/j.jenvman.2021.113955" TargetMode="External"/><Relationship Id="rId14" Type="http://schemas.openxmlformats.org/officeDocument/2006/relationships/hyperlink" Target="https://doi.org/10.1080/23322039.2025.2571401" TargetMode="External"/><Relationship Id="rId22" Type="http://schemas.openxmlformats.org/officeDocument/2006/relationships/hyperlink" Target="https://doi.org/10.3390/en15010353" TargetMode="External"/><Relationship Id="rId27" Type="http://schemas.openxmlformats.org/officeDocument/2006/relationships/hyperlink" Target="https://doi.org/10.1146/annurev-financial-102620-103311" TargetMode="External"/><Relationship Id="rId30" Type="http://schemas.openxmlformats.org/officeDocument/2006/relationships/hyperlink" Target="https://doi.org/10.1287/mnsc.2021.02755" TargetMode="External"/><Relationship Id="rId35" Type="http://schemas.openxmlformats.org/officeDocument/2006/relationships/hyperlink" Target="https://doi.org/10.6018/rcsar.453041" TargetMode="External"/><Relationship Id="rId43" Type="http://schemas.openxmlformats.org/officeDocument/2006/relationships/hyperlink" Target="https://doi.org/10.1080/23322039.2024.2404707" TargetMode="External"/><Relationship Id="rId48" Type="http://schemas.openxmlformats.org/officeDocument/2006/relationships/hyperlink" Target="https://doi.org/10.28991/esj-2024-08-06-016" TargetMode="External"/><Relationship Id="rId56" Type="http://schemas.openxmlformats.org/officeDocument/2006/relationships/image" Target="media/image2.png"/><Relationship Id="rId8" Type="http://schemas.openxmlformats.org/officeDocument/2006/relationships/image" Target="media/image1.png"/><Relationship Id="rId51" Type="http://schemas.openxmlformats.org/officeDocument/2006/relationships/hyperlink" Target="https://doi.org/10.1016/j.jer.2025.09.012" TargetMode="External"/><Relationship Id="rId3" Type="http://schemas.openxmlformats.org/officeDocument/2006/relationships/styles" Target="styles.xml"/><Relationship Id="rId12" Type="http://schemas.openxmlformats.org/officeDocument/2006/relationships/hyperlink" Target="https://doi.org/10.15549/jeecar.v9i5.1063" TargetMode="External"/><Relationship Id="rId17" Type="http://schemas.openxmlformats.org/officeDocument/2006/relationships/hyperlink" Target="https://doi.org/10.1002/sd.2595" TargetMode="External"/><Relationship Id="rId25" Type="http://schemas.openxmlformats.org/officeDocument/2006/relationships/hyperlink" Target="https://doi.org/10.3390/jrfm15120611" TargetMode="External"/><Relationship Id="rId33" Type="http://schemas.openxmlformats.org/officeDocument/2006/relationships/hyperlink" Target="https://doi.org/10.18034/ajtp.v11i1.719" TargetMode="External"/><Relationship Id="rId38" Type="http://schemas.openxmlformats.org/officeDocument/2006/relationships/hyperlink" Target="https://doi.org/10.1108/prr-10-2020-0035" TargetMode="External"/><Relationship Id="rId46" Type="http://schemas.openxmlformats.org/officeDocument/2006/relationships/hyperlink" Target="https://doi.org/10.59160/ijscm.v13i1.6222" TargetMode="External"/><Relationship Id="rId59" Type="http://schemas.openxmlformats.org/officeDocument/2006/relationships/fontTable" Target="fontTable.xml"/><Relationship Id="rId20" Type="http://schemas.openxmlformats.org/officeDocument/2006/relationships/hyperlink" Target="https://doi.org/10.1016/j.eswa.2024.124761" TargetMode="External"/><Relationship Id="rId41" Type="http://schemas.openxmlformats.org/officeDocument/2006/relationships/hyperlink" Target="https://doi.org/10.1016/0304-405X(84)90023-0" TargetMode="External"/><Relationship Id="rId54" Type="http://schemas.openxmlformats.org/officeDocument/2006/relationships/hyperlink" Target="https://doi.org/10.1007/s10668-023-03636-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0267257x.2020.1783347" TargetMode="External"/><Relationship Id="rId23" Type="http://schemas.openxmlformats.org/officeDocument/2006/relationships/hyperlink" Target="https://doi.org/10.51594/farj.v6i4.1023" TargetMode="External"/><Relationship Id="rId28" Type="http://schemas.openxmlformats.org/officeDocument/2006/relationships/hyperlink" Target="https://doi.org/10.1016/j.jretconser.2021.102505" TargetMode="External"/><Relationship Id="rId36" Type="http://schemas.openxmlformats.org/officeDocument/2006/relationships/hyperlink" Target="https://doi.org/10.51594/ijarss.v7i9.2018" TargetMode="External"/><Relationship Id="rId49" Type="http://schemas.openxmlformats.org/officeDocument/2006/relationships/hyperlink" Target="https://doi.org/10.1186/s43093-024-00368-8" TargetMode="External"/><Relationship Id="rId57" Type="http://schemas.openxmlformats.org/officeDocument/2006/relationships/image" Target="media/image3.png"/><Relationship Id="rId10" Type="http://schemas.openxmlformats.org/officeDocument/2006/relationships/hyperlink" Target="https://doi.org/10.1177/0312896213510714" TargetMode="External"/><Relationship Id="rId31" Type="http://schemas.openxmlformats.org/officeDocument/2006/relationships/hyperlink" Target="https://doi.org/10.1016/j.jik.2025.100717" TargetMode="External"/><Relationship Id="rId44" Type="http://schemas.openxmlformats.org/officeDocument/2006/relationships/hyperlink" Target="https://doi.org/10.3390/risks13040062" TargetMode="External"/><Relationship Id="rId52" Type="http://schemas.openxmlformats.org/officeDocument/2006/relationships/hyperlink" Target="https://doi.org/10.1007/s10479-024-06104-3"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4B6236-7CF4-4734-B738-5B860E253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39</Pages>
  <Words>10063</Words>
  <Characters>57360</Characters>
  <DocSecurity>0</DocSecurity>
  <Lines>478</Lines>
  <Paragraphs>134</Paragraphs>
  <ScaleCrop>false</ScaleCrop>
  <Company/>
  <LinksUpToDate>false</LinksUpToDate>
  <CharactersWithSpaces>67289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2026-03-20T00:22:00Z</dcterms:created>
  <dcterms:modified xsi:type="dcterms:W3CDTF">2026-03-20T01:44:00Z</dcterms:modified>
</cp:coreProperties>
</file>