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5622427"/>
        <w:docPartObj>
          <w:docPartGallery w:val="Cover Pages"/>
          <w:docPartUnique/>
        </w:docPartObj>
      </w:sdtPr>
      <w:sdtContent>
        <w:p w14:paraId="508390B4" w14:textId="6C127D97" w:rsidR="002415D7" w:rsidRDefault="00BF1822">
          <w:r>
            <w:rPr>
              <w:noProof/>
            </w:rPr>
            <mc:AlternateContent>
              <mc:Choice Requires="wps">
                <w:drawing>
                  <wp:anchor distT="0" distB="0" distL="114300" distR="114300" simplePos="0" relativeHeight="251663360" behindDoc="1" locked="0" layoutInCell="1" allowOverlap="1" wp14:anchorId="7171EA64" wp14:editId="2EF3062B">
                    <wp:simplePos x="0" y="0"/>
                    <wp:positionH relativeFrom="page">
                      <wp:posOffset>74951</wp:posOffset>
                    </wp:positionH>
                    <wp:positionV relativeFrom="page">
                      <wp:posOffset>269822</wp:posOffset>
                    </wp:positionV>
                    <wp:extent cx="7383780" cy="10298243"/>
                    <wp:effectExtent l="0" t="0" r="0" b="1905"/>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298243"/>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5807F46" w14:textId="77777777" w:rsidR="002415D7" w:rsidRDefault="002415D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171EA64" id="Rectangle 466" o:spid="_x0000_s1026" style="position:absolute;margin-left:5.9pt;margin-top:21.25pt;width:581.4pt;height:810.9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" fillcolor="#d9e2f3 [660]" stroked="f" strokeweight="1pt">
                    <v:fill color2="#8eaadb [1940]" rotate="t" focus="100%" type="gradient">
                      <o:fill v:ext="view" type="gradientUnscaled"/>
                    </v:fill>
                    <v:textbox inset="21.6pt,,21.6pt">
                      <w:txbxContent>
                        <w:p w14:paraId="55807F46" w14:textId="77777777" w:rsidR="002415D7" w:rsidRDefault="002415D7"/>
                      </w:txbxContent>
                    </v:textbox>
                    <w10:wrap anchorx="page" anchory="page"/>
                  </v:rect>
                </w:pict>
              </mc:Fallback>
            </mc:AlternateContent>
          </w:r>
          <w:r w:rsidR="002415D7">
            <w:rPr>
              <w:noProof/>
            </w:rPr>
            <mc:AlternateContent>
              <mc:Choice Requires="wps">
                <w:drawing>
                  <wp:anchor distT="0" distB="0" distL="114300" distR="114300" simplePos="0" relativeHeight="251664384" behindDoc="0" locked="0" layoutInCell="1" allowOverlap="1" wp14:anchorId="6253301E" wp14:editId="602709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44F4480" w14:textId="4C883468" w:rsidR="002415D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415D7">
                                      <w:rPr>
                                        <w:noProof/>
                                        <w:color w:val="44546A" w:themeColor="text2"/>
                                      </w:rPr>
                                      <w:t>Cerys Bowen (2203320)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253301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v98IAIAAEE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" filled="f" stroked="f" strokeweight=".5pt">
                    <v:textbox style="mso-fit-shape-to-text:t">
                      <w:txbxContent>
                        <w:p w14:paraId="044F4480" w14:textId="4C883468" w:rsidR="002415D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415D7">
                                <w:rPr>
                                  <w:noProof/>
                                  <w:color w:val="44546A" w:themeColor="text2"/>
                                </w:rPr>
                                <w:t>Cerys Bowen (2203320)</w:t>
                              </w:r>
                            </w:sdtContent>
                          </w:sdt>
                        </w:p>
                      </w:txbxContent>
                    </v:textbox>
                    <w10:wrap type="square" anchorx="page" anchory="page"/>
                  </v:shape>
                </w:pict>
              </mc:Fallback>
            </mc:AlternateContent>
          </w:r>
          <w:r w:rsidR="002415D7">
            <w:rPr>
              <w:noProof/>
            </w:rPr>
            <mc:AlternateContent>
              <mc:Choice Requires="wps">
                <w:drawing>
                  <wp:anchor distT="0" distB="0" distL="114300" distR="114300" simplePos="0" relativeHeight="251660288" behindDoc="0" locked="0" layoutInCell="1" allowOverlap="1" wp14:anchorId="5A518255" wp14:editId="2B4E169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081960" w14:textId="4387D042" w:rsidR="002415D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415D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A518255"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2D081960" w14:textId="4387D042" w:rsidR="002415D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415D7">
                                <w:rPr>
                                  <w:color w:val="FFFFFF" w:themeColor="background1"/>
                                </w:rPr>
                                <w:t xml:space="preserve">     </w:t>
                              </w:r>
                            </w:sdtContent>
                          </w:sdt>
                        </w:p>
                      </w:txbxContent>
                    </v:textbox>
                    <w10:wrap anchorx="page" anchory="page"/>
                  </v:rect>
                </w:pict>
              </mc:Fallback>
            </mc:AlternateContent>
          </w:r>
          <w:r w:rsidR="002415D7">
            <w:rPr>
              <w:noProof/>
            </w:rPr>
            <mc:AlternateContent>
              <mc:Choice Requires="wps">
                <w:drawing>
                  <wp:anchor distT="0" distB="0" distL="114300" distR="114300" simplePos="0" relativeHeight="251659264" behindDoc="0" locked="0" layoutInCell="1" allowOverlap="1" wp14:anchorId="56298393" wp14:editId="6F520E5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267B08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sidR="002415D7">
            <w:rPr>
              <w:noProof/>
            </w:rPr>
            <mc:AlternateContent>
              <mc:Choice Requires="wps">
                <w:drawing>
                  <wp:anchor distT="0" distB="0" distL="114300" distR="114300" simplePos="0" relativeHeight="251662336" behindDoc="0" locked="0" layoutInCell="1" allowOverlap="1" wp14:anchorId="2CFB19C2" wp14:editId="3817F2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B9DA27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236CAC3B" w14:textId="61EDDE43" w:rsidR="00E42500" w:rsidRDefault="002415D7">
          <w:r>
            <w:rPr>
              <w:noProof/>
            </w:rPr>
            <mc:AlternateContent>
              <mc:Choice Requires="wps">
                <w:drawing>
                  <wp:anchor distT="0" distB="0" distL="114300" distR="114300" simplePos="0" relativeHeight="251661312" behindDoc="0" locked="0" layoutInCell="1" allowOverlap="1" wp14:anchorId="09B58C19" wp14:editId="40A231EE">
                    <wp:simplePos x="0" y="0"/>
                    <wp:positionH relativeFrom="page">
                      <wp:posOffset>3327816</wp:posOffset>
                    </wp:positionH>
                    <wp:positionV relativeFrom="page">
                      <wp:posOffset>3477208</wp:posOffset>
                    </wp:positionV>
                    <wp:extent cx="2960402" cy="3661743"/>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60402" cy="3661743"/>
                            </a:xfrm>
                            <a:prstGeom prst="rect">
                              <a:avLst/>
                            </a:prstGeom>
                            <a:noFill/>
                            <a:ln w="6350">
                              <a:noFill/>
                            </a:ln>
                            <a:effectLst/>
                          </wps:spPr>
                          <wps:txbx>
                            <w:txbxContent>
                              <w:sdt>
                                <w:sdtPr>
                                  <w:rPr>
                                    <w:rFonts w:asciiTheme="minorHAnsi" w:hAnsiTheme="minorHAnsi" w:cstheme="minorHAnsi"/>
                                    <w:b/>
                                    <w:bCs/>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985B42" w14:textId="41BEF19C" w:rsidR="002415D7" w:rsidRPr="00665498" w:rsidRDefault="00BF1822" w:rsidP="002415D7">
                                    <w:pPr>
                                      <w:jc w:val="center"/>
                                      <w:rPr>
                                        <w:rFonts w:asciiTheme="minorHAnsi" w:eastAsiaTheme="majorEastAsia" w:hAnsiTheme="minorHAnsi" w:cstheme="minorHAnsi"/>
                                        <w:noProof/>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65498">
                                      <w:rPr>
                                        <w:rFonts w:asciiTheme="minorHAnsi" w:hAnsiTheme="minorHAnsi" w:cstheme="minorHAnsi"/>
                                        <w:b/>
                                        <w:bCs/>
                                        <w:sz w:val="36"/>
                                        <w:szCs w:val="36"/>
                                      </w:rPr>
                                      <w:t>Explain the advantages and disadvantages of Magistrates in the exercise of justice.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AF1F13B" w14:textId="0E316112" w:rsidR="002415D7" w:rsidRDefault="002415D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Legal Process.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9B58C19" id="_x0000_t202" coordsize="21600,21600" o:spt="202" path="m,l,21600r21600,l21600,xe">
                    <v:stroke joinstyle="miter"/>
                    <v:path gradientshapeok="t" o:connecttype="rect"/>
                  </v:shapetype>
                  <v:shape id="Text Box 470" o:spid="_x0000_s1029" type="#_x0000_t202" style="position:absolute;margin-left:262.05pt;margin-top:273.8pt;width:233.1pt;height:288.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" filled="f" stroked="f" strokeweight=".5pt">
                    <v:textbox>
                      <w:txbxContent>
                        <w:sdt>
                          <w:sdtPr>
                            <w:rPr>
                              <w:rFonts w:asciiTheme="minorHAnsi" w:hAnsiTheme="minorHAnsi" w:cstheme="minorHAnsi"/>
                              <w:b/>
                              <w:bCs/>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985B42" w14:textId="41BEF19C" w:rsidR="002415D7" w:rsidRPr="00665498" w:rsidRDefault="00BF1822" w:rsidP="002415D7">
                              <w:pPr>
                                <w:jc w:val="center"/>
                                <w:rPr>
                                  <w:rFonts w:asciiTheme="minorHAnsi" w:eastAsiaTheme="majorEastAsia" w:hAnsiTheme="minorHAnsi" w:cstheme="minorHAnsi"/>
                                  <w:noProof/>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65498">
                                <w:rPr>
                                  <w:rFonts w:asciiTheme="minorHAnsi" w:hAnsiTheme="minorHAnsi" w:cstheme="minorHAnsi"/>
                                  <w:b/>
                                  <w:bCs/>
                                  <w:sz w:val="36"/>
                                  <w:szCs w:val="36"/>
                                </w:rPr>
                                <w:t>Explain the advantages and disadvantages of Magistrates in the exercise of justice.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AF1F13B" w14:textId="0E316112" w:rsidR="002415D7" w:rsidRDefault="002415D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Legal Process.</w:t>
                              </w:r>
                            </w:p>
                          </w:sdtContent>
                        </w:sdt>
                      </w:txbxContent>
                    </v:textbox>
                    <w10:wrap type="square" anchorx="page" anchory="page"/>
                  </v:shape>
                </w:pict>
              </mc:Fallback>
            </mc:AlternateContent>
          </w:r>
          <w:r>
            <w:br w:type="page"/>
          </w:r>
        </w:p>
      </w:sdtContent>
    </w:sdt>
    <w:p w14:paraId="14A35D55" w14:textId="37F28A0F" w:rsidR="008717AD" w:rsidRDefault="00072E2B"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lastRenderedPageBreak/>
        <w:t xml:space="preserve">This essay will be focused on the </w:t>
      </w:r>
      <w:r w:rsidR="008717AD">
        <w:rPr>
          <w:rStyle w:val="normaltextrun"/>
          <w:rFonts w:ascii="Calibri" w:hAnsi="Calibri" w:cs="Calibri"/>
        </w:rPr>
        <w:t xml:space="preserve">disadvantages and advantages of magistrates in the exercise of justice. </w:t>
      </w:r>
      <w:r>
        <w:rPr>
          <w:rStyle w:val="normaltextrun"/>
          <w:rFonts w:ascii="Calibri" w:hAnsi="Calibri" w:cs="Calibri"/>
        </w:rPr>
        <w:t>There will be an</w:t>
      </w:r>
      <w:r w:rsidR="008717AD">
        <w:rPr>
          <w:rStyle w:val="normaltextrun"/>
          <w:rFonts w:ascii="Calibri" w:hAnsi="Calibri" w:cs="Calibri"/>
        </w:rPr>
        <w:t xml:space="preserve"> explor</w:t>
      </w:r>
      <w:r>
        <w:rPr>
          <w:rStyle w:val="normaltextrun"/>
          <w:rFonts w:ascii="Calibri" w:hAnsi="Calibri" w:cs="Calibri"/>
        </w:rPr>
        <w:t>ation on</w:t>
      </w:r>
      <w:r w:rsidR="008717AD">
        <w:rPr>
          <w:rStyle w:val="normaltextrun"/>
          <w:rFonts w:ascii="Calibri" w:hAnsi="Calibri" w:cs="Calibri"/>
        </w:rPr>
        <w:t xml:space="preserve"> what a magistrate is alongside their responsibilities and the characteristics required to be a magistrate. </w:t>
      </w:r>
      <w:r>
        <w:rPr>
          <w:rStyle w:val="normaltextrun"/>
          <w:rFonts w:ascii="Calibri" w:hAnsi="Calibri" w:cs="Calibri"/>
        </w:rPr>
        <w:t>There will be a</w:t>
      </w:r>
      <w:r w:rsidR="008717AD">
        <w:rPr>
          <w:rStyle w:val="normaltextrun"/>
          <w:rFonts w:ascii="Calibri" w:hAnsi="Calibri" w:cs="Calibri"/>
        </w:rPr>
        <w:t xml:space="preserve"> </w:t>
      </w:r>
      <w:r>
        <w:rPr>
          <w:rStyle w:val="normaltextrun"/>
          <w:rFonts w:ascii="Calibri" w:hAnsi="Calibri" w:cs="Calibri"/>
        </w:rPr>
        <w:t>discussion on</w:t>
      </w:r>
      <w:r w:rsidR="008717AD">
        <w:rPr>
          <w:rStyle w:val="normaltextrun"/>
          <w:rFonts w:ascii="Calibri" w:hAnsi="Calibri" w:cs="Calibri"/>
        </w:rPr>
        <w:t xml:space="preserve"> how individuals become a magistrate and the process they follow. Therefore, the reform and changes to magistrates are essential to avoid problems such as a large workload, court closures and the lack of training provided.  </w:t>
      </w:r>
      <w:r w:rsidR="008717AD">
        <w:rPr>
          <w:rStyle w:val="eop"/>
          <w:rFonts w:ascii="Calibri" w:hAnsi="Calibri" w:cs="Calibri"/>
        </w:rPr>
        <w:t> </w:t>
      </w:r>
    </w:p>
    <w:p w14:paraId="5A4046D7" w14:textId="77777777"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It’s stated by GOV.UK, (2023) that a magistrate is an individual that sits in court to hear cases in their surrounding communities on a voluntary basis. Whilst a case is heard 3 magistrates including at least one magistrate that is fully trained to be a chairperson will hear the case within either a criminal or family court. To ensure magistrate’s follow the correct procedure, legal advisors can give advice on the law. A magistrate is an individual with authority who will act in court as a judge whilst dealing with small disputes. According to Courts and Tribunals Judiciary, (2023) in England and Wales the individuals that make legal decisions are not judges but magistrates. These individuals are required to act with a sense of fairness, represent their communities and make reasonable judgments. Magistrates are individuals that are seen as “Justices of the Peace” coming from all diverse backgrounds and fields. Magistrates are required to voluntarily commit to training, attend court hearings and volunteer 13 days a year. There are currently 12,000 magistrates across Wales and England.  </w:t>
      </w:r>
      <w:r>
        <w:rPr>
          <w:rStyle w:val="eop"/>
          <w:rFonts w:ascii="Calibri" w:hAnsi="Calibri" w:cs="Calibri"/>
        </w:rPr>
        <w:t> </w:t>
      </w:r>
    </w:p>
    <w:p w14:paraId="6EEA9273" w14:textId="77777777"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According to Slapper &amp; Kelly, (2015) magistrates in the nineteenth century role were to hear certain indictable cases. Magistrates now in the United Kingdom still deal with a class of offence that is triable either way heard in a jury trial. It’s stated that three magistrates that hear the case have the same number of decision-making powers but one of the three will express their thoughts in court and preside over the proceedings. Magistrates in the United Kingdom will hear short and less serious matters. Gillespie &amp; </w:t>
      </w:r>
      <w:proofErr w:type="spellStart"/>
      <w:r>
        <w:rPr>
          <w:rStyle w:val="normaltextrun"/>
          <w:rFonts w:ascii="Calibri" w:hAnsi="Calibri" w:cs="Calibri"/>
        </w:rPr>
        <w:t>Weare</w:t>
      </w:r>
      <w:proofErr w:type="spellEnd"/>
      <w:r>
        <w:rPr>
          <w:rStyle w:val="normaltextrun"/>
          <w:rFonts w:ascii="Calibri" w:hAnsi="Calibri" w:cs="Calibri"/>
        </w:rPr>
        <w:t>, (2021) state that magistrates must have the correct training to have the skill set required before becoming a magistrate in the United Kingdom. The training will include all the relevant information and the individuals will get a legal advisor for any questions related to the law. Becoming a magistrate does not need qualifications, but individuals must show factors such as making fair decisions, being understanding, professional communication skills, self-awareness and being a good team worker. Having a polite manner is essential as well as revealing honestly any factors that may affect their position as a magistrate. </w:t>
      </w:r>
      <w:r>
        <w:rPr>
          <w:rStyle w:val="eop"/>
          <w:rFonts w:ascii="Calibri" w:hAnsi="Calibri" w:cs="Calibri"/>
        </w:rPr>
        <w:t> </w:t>
      </w:r>
    </w:p>
    <w:p w14:paraId="380138A5" w14:textId="0011FB2A"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Partington, (2012) </w:t>
      </w:r>
      <w:r w:rsidR="00072E2B">
        <w:rPr>
          <w:rStyle w:val="normaltextrun"/>
          <w:rFonts w:ascii="Calibri" w:hAnsi="Calibri" w:cs="Calibri"/>
        </w:rPr>
        <w:t xml:space="preserve">states </w:t>
      </w:r>
      <w:r>
        <w:rPr>
          <w:rStyle w:val="normaltextrun"/>
          <w:rFonts w:ascii="Calibri" w:hAnsi="Calibri" w:cs="Calibri"/>
        </w:rPr>
        <w:t xml:space="preserve">their main responsibilities are to look at the defendant’s liability to answer a case. When considering magistrates in criminal cases their main responsibilities are to decide the defendant's outcome. For example, the defendant may be let out on strict conditions on the terms that they are not allowed to go to a certain place. Magistrates deal with the smaller offences i.e., minor offences, theft, or motoring offences therefore, punishments such as fines, attending prison for up to a year or even unpaid work within the community. When considering family cases, it is their responsibility to give support and help with the decision of separated parents arrangements or even ensure court orders to prevent the child from domestic abuse. </w:t>
      </w:r>
      <w:proofErr w:type="spellStart"/>
      <w:r>
        <w:rPr>
          <w:rStyle w:val="normaltextrun"/>
          <w:rFonts w:ascii="Calibri" w:hAnsi="Calibri" w:cs="Calibri"/>
        </w:rPr>
        <w:t>Cownie</w:t>
      </w:r>
      <w:proofErr w:type="spellEnd"/>
      <w:r>
        <w:rPr>
          <w:rStyle w:val="normaltextrun"/>
          <w:rFonts w:ascii="Calibri" w:hAnsi="Calibri" w:cs="Calibri"/>
        </w:rPr>
        <w:t xml:space="preserve">, et al., (2013) states that the magistrates' main responsibilities are to place their decisions into context of their relationship with the legal professionals working alongside them. A main responsibility magistrate have is to sit without juries in court and listen carefully with evidence provided to them. Once listened to the evidence from the defence and prosecution they will be given further recommendations from other parties if in need. Once this is done, they will follow a </w:t>
      </w:r>
      <w:r>
        <w:rPr>
          <w:rStyle w:val="normaltextrun"/>
          <w:rFonts w:ascii="Calibri" w:hAnsi="Calibri" w:cs="Calibri"/>
        </w:rPr>
        <w:lastRenderedPageBreak/>
        <w:t>certain decision-making process i.e., certain guidelines for sentencing to make the correct decision.  </w:t>
      </w:r>
      <w:r>
        <w:rPr>
          <w:rStyle w:val="eop"/>
          <w:rFonts w:ascii="Calibri" w:hAnsi="Calibri" w:cs="Calibri"/>
        </w:rPr>
        <w:t> </w:t>
      </w:r>
    </w:p>
    <w:p w14:paraId="21E6D6F4" w14:textId="75FFF0EE"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 disadvantage </w:t>
      </w:r>
      <w:r w:rsidR="00072E2B">
        <w:rPr>
          <w:rStyle w:val="normaltextrun"/>
          <w:rFonts w:ascii="Calibri" w:hAnsi="Calibri" w:cs="Calibri"/>
        </w:rPr>
        <w:t xml:space="preserve">of magistrates in the exercise of justice </w:t>
      </w:r>
      <w:r>
        <w:rPr>
          <w:rStyle w:val="normaltextrun"/>
          <w:rFonts w:ascii="Calibri" w:hAnsi="Calibri" w:cs="Calibri"/>
        </w:rPr>
        <w:t>that’s stated by The Law Society, (2022) is that half the courts across England and Wales have been closed between 2010 and 2019. It is argued that the technology used to replace the in-person hearings have not yet been tested properly and shown to be effective. By selling the under used courts because of the coronavirus pandemic it’s become clear that the accumulation of cases has grown suddenly. This is reinforced when The Law Society, (2022) states that ‘In July 2021there were 58,000 outstanding Crown Court cases and more than 386,000 in the magistrates’ courts.’ Similarly, UK Parliament, (2020) reinforces this by saying that there has been a drastic change since 2010 due to court closures within the justice system with 164 magistrate’s courts closing out of 320. One main reason for the reduction in courts is that there is not a high demand for the attendance in person for many hearings. This is because many court hearings have been moved to online for accessible attendance. Since Covid 19 pandemic individuals saw the advantages of convenience, increased safety as well as easy access as there was no issues with transport or attendance. This also saved money because of no need for the cost of having the hearing in person within a court room.  </w:t>
      </w:r>
      <w:r>
        <w:rPr>
          <w:rStyle w:val="eop"/>
          <w:rFonts w:ascii="Calibri" w:hAnsi="Calibri" w:cs="Calibri"/>
        </w:rPr>
        <w:t> </w:t>
      </w:r>
    </w:p>
    <w:p w14:paraId="2FD10D48" w14:textId="77777777"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According to </w:t>
      </w:r>
      <w:proofErr w:type="spellStart"/>
      <w:r>
        <w:rPr>
          <w:rStyle w:val="normaltextrun"/>
          <w:rFonts w:ascii="Calibri" w:hAnsi="Calibri" w:cs="Calibri"/>
        </w:rPr>
        <w:t>Allbon</w:t>
      </w:r>
      <w:proofErr w:type="spellEnd"/>
      <w:r>
        <w:rPr>
          <w:rStyle w:val="normaltextrun"/>
          <w:rFonts w:ascii="Calibri" w:hAnsi="Calibri" w:cs="Calibri"/>
        </w:rPr>
        <w:t xml:space="preserve"> &amp; </w:t>
      </w:r>
      <w:proofErr w:type="spellStart"/>
      <w:r>
        <w:rPr>
          <w:rStyle w:val="normaltextrun"/>
          <w:rFonts w:ascii="Calibri" w:hAnsi="Calibri" w:cs="Calibri"/>
        </w:rPr>
        <w:t>Dua</w:t>
      </w:r>
      <w:proofErr w:type="spellEnd"/>
      <w:r>
        <w:rPr>
          <w:rStyle w:val="normaltextrun"/>
          <w:rFonts w:ascii="Calibri" w:hAnsi="Calibri" w:cs="Calibri"/>
        </w:rPr>
        <w:t>, (2020) magistrates should have certain characteristics such as being between the age of 18 and 75 as well as personal qualities. Currently 55% of magistrates are of the age 60 compared to 1% being between 18 and 29. Magistrates should show personal qualities such as understanding social issues that are currently ongoing, reliable individuals and being considerate. The advantage to having the correct characteristics to become a magistrate is that having a good character will enable individuals to trust your decision. Therefore, when considering integrity and fairness this is considered within the application process. On the other hand, Elliott &amp; Quinn, (2015) state that within the race statistics that the Government reported the BAME representation by region on the 1</w:t>
      </w:r>
      <w:r>
        <w:rPr>
          <w:rStyle w:val="normaltextrun"/>
          <w:rFonts w:ascii="Calibri" w:hAnsi="Calibri" w:cs="Calibri"/>
          <w:sz w:val="15"/>
          <w:szCs w:val="15"/>
          <w:vertAlign w:val="superscript"/>
        </w:rPr>
        <w:t>st</w:t>
      </w:r>
      <w:r>
        <w:rPr>
          <w:rStyle w:val="normaltextrun"/>
          <w:rFonts w:ascii="Calibri" w:hAnsi="Calibri" w:cs="Calibri"/>
        </w:rPr>
        <w:t xml:space="preserve"> of April 2018 that representation of 14% is the biggest problem in terms of not an accurate representation. The lack of diversity leaves an unfair representation for communities therefore, when dealing with court hearings the lack of diversity leaves a biased outcome. Similar when considering the age groups for magistrates' majority of magistrates are 55 years old and above. This does not leave them representative of society when an older individual would have a different outlook on decisions.  </w:t>
      </w:r>
      <w:r>
        <w:rPr>
          <w:rStyle w:val="eop"/>
          <w:rFonts w:ascii="Calibri" w:hAnsi="Calibri" w:cs="Calibri"/>
        </w:rPr>
        <w:t> </w:t>
      </w:r>
    </w:p>
    <w:p w14:paraId="01F7574E" w14:textId="1706EDC9" w:rsidR="008717AD" w:rsidRDefault="008717AD" w:rsidP="008717A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            A disadvantage to magistrates </w:t>
      </w:r>
      <w:r w:rsidR="00072E2B">
        <w:rPr>
          <w:rStyle w:val="normaltextrun"/>
          <w:rFonts w:ascii="Calibri" w:hAnsi="Calibri" w:cs="Calibri"/>
        </w:rPr>
        <w:t xml:space="preserve">in the exercise of justice </w:t>
      </w:r>
      <w:r>
        <w:rPr>
          <w:rStyle w:val="normaltextrun"/>
          <w:rFonts w:ascii="Calibri" w:hAnsi="Calibri" w:cs="Calibri"/>
        </w:rPr>
        <w:t xml:space="preserve">according to </w:t>
      </w:r>
      <w:proofErr w:type="spellStart"/>
      <w:r>
        <w:rPr>
          <w:rStyle w:val="normaltextrun"/>
          <w:rFonts w:ascii="Calibri" w:hAnsi="Calibri" w:cs="Calibri"/>
        </w:rPr>
        <w:t>Anleu</w:t>
      </w:r>
      <w:proofErr w:type="spellEnd"/>
      <w:r>
        <w:rPr>
          <w:rStyle w:val="normaltextrun"/>
          <w:rFonts w:ascii="Calibri" w:hAnsi="Calibri" w:cs="Calibri"/>
        </w:rPr>
        <w:t xml:space="preserve"> &amp; Mack, (2005) is the emotional labour that magistrates deal with within courts. It has been highlighted that magistrates work is extremely mentally draining as it is the individual's responsibility to acknowledge their own ability and emotions. As a magistrate they will experience numerous different emotions because of traumatic stories and cases causing distress and anger that may affect the individual's mental state. It is the magistrate's responsibility to not let their own emotions get in the way of their decision. Therefore, this may be challenging when the magistrate's emotion's get the better of them. This is reinforced by </w:t>
      </w:r>
      <w:proofErr w:type="spellStart"/>
      <w:r>
        <w:rPr>
          <w:rStyle w:val="normaltextrun"/>
          <w:rFonts w:ascii="Calibri" w:hAnsi="Calibri" w:cs="Calibri"/>
        </w:rPr>
        <w:t>McBarnet</w:t>
      </w:r>
      <w:proofErr w:type="spellEnd"/>
      <w:r>
        <w:rPr>
          <w:rStyle w:val="normaltextrun"/>
          <w:rFonts w:ascii="Calibri" w:hAnsi="Calibri" w:cs="Calibri"/>
        </w:rPr>
        <w:t>, (1981) by stating that magistrate's workload is turned away from the court’s system. This causes distress towards magistrates causing unnecessary stress. This also means that offenders tend to be dealt with at that current time with punishments such as fines or cautions as this is ‘less stressful’ compared to the correct procedure.  </w:t>
      </w:r>
      <w:r>
        <w:rPr>
          <w:rStyle w:val="eop"/>
          <w:rFonts w:ascii="Calibri" w:hAnsi="Calibri" w:cs="Calibri"/>
        </w:rPr>
        <w:t> </w:t>
      </w:r>
    </w:p>
    <w:p w14:paraId="5E445B82" w14:textId="77777777" w:rsidR="009572FB" w:rsidRDefault="00072E2B" w:rsidP="00496B5F">
      <w:pPr>
        <w:pStyle w:val="paragraph"/>
        <w:spacing w:before="0" w:beforeAutospacing="0" w:after="0" w:afterAutospacing="0"/>
        <w:ind w:firstLine="720"/>
        <w:textAlignment w:val="baseline"/>
        <w:rPr>
          <w:rStyle w:val="normaltextrun"/>
          <w:rFonts w:ascii="Calibri" w:hAnsi="Calibri" w:cs="Calibri"/>
        </w:rPr>
      </w:pPr>
      <w:r>
        <w:rPr>
          <w:rStyle w:val="normaltextrun"/>
          <w:rFonts w:ascii="Calibri" w:hAnsi="Calibri" w:cs="Calibri"/>
        </w:rPr>
        <w:t>An</w:t>
      </w:r>
      <w:r w:rsidR="008717AD">
        <w:rPr>
          <w:rStyle w:val="normaltextrun"/>
          <w:rFonts w:ascii="Calibri" w:hAnsi="Calibri" w:cs="Calibri"/>
        </w:rPr>
        <w:t xml:space="preserve"> advantage to magistrates </w:t>
      </w:r>
      <w:r>
        <w:rPr>
          <w:rStyle w:val="normaltextrun"/>
          <w:rFonts w:ascii="Calibri" w:hAnsi="Calibri" w:cs="Calibri"/>
        </w:rPr>
        <w:t xml:space="preserve">in the exercise of justice </w:t>
      </w:r>
      <w:r w:rsidR="008717AD">
        <w:rPr>
          <w:rStyle w:val="normaltextrun"/>
          <w:rFonts w:ascii="Calibri" w:hAnsi="Calibri" w:cs="Calibri"/>
        </w:rPr>
        <w:t xml:space="preserve">according to Crummey, (2020) is that magistrates have better knowledge about the communities they represent. Therefore, compared to judges, magistrates have a better representation. Because </w:t>
      </w:r>
      <w:r w:rsidR="008717AD">
        <w:rPr>
          <w:rStyle w:val="normaltextrun"/>
          <w:rFonts w:ascii="Calibri" w:hAnsi="Calibri" w:cs="Calibri"/>
        </w:rPr>
        <w:lastRenderedPageBreak/>
        <w:t>magistrates have better knowledge, the cases that get heard in magistrates court get dealt with at a faster pace. This saves money as the decisions are made by magistrates that do not get paid for their work. As a result of magistrates having a form of connection with the local community, they are relied upon to make the fair decision for the justice for individuals.</w:t>
      </w:r>
      <w:r w:rsidR="00496B5F">
        <w:rPr>
          <w:rStyle w:val="normaltextrun"/>
          <w:rFonts w:ascii="Calibri" w:hAnsi="Calibri" w:cs="Calibri"/>
        </w:rPr>
        <w:t xml:space="preserve"> </w:t>
      </w:r>
    </w:p>
    <w:p w14:paraId="08DCFE24" w14:textId="4B99970B" w:rsidR="008717AD" w:rsidRPr="00496B5F" w:rsidRDefault="008717AD" w:rsidP="00496B5F">
      <w:pPr>
        <w:pStyle w:val="paragraph"/>
        <w:spacing w:before="0" w:beforeAutospacing="0" w:after="0" w:afterAutospacing="0"/>
        <w:ind w:firstLine="720"/>
        <w:textAlignment w:val="baseline"/>
        <w:rPr>
          <w:rFonts w:ascii="Calibri" w:hAnsi="Calibri" w:cs="Calibri"/>
        </w:rPr>
      </w:pPr>
      <w:r>
        <w:rPr>
          <w:rStyle w:val="normaltextrun"/>
          <w:rFonts w:ascii="Calibri" w:hAnsi="Calibri" w:cs="Calibri"/>
        </w:rPr>
        <w:t xml:space="preserve">A disadvantage to magistrates </w:t>
      </w:r>
      <w:r w:rsidR="00072E2B">
        <w:rPr>
          <w:rStyle w:val="normaltextrun"/>
          <w:rFonts w:ascii="Calibri" w:hAnsi="Calibri" w:cs="Calibri"/>
        </w:rPr>
        <w:t xml:space="preserve">in the exercise of justice </w:t>
      </w:r>
      <w:r>
        <w:rPr>
          <w:rStyle w:val="normaltextrun"/>
          <w:rFonts w:ascii="Calibri" w:hAnsi="Calibri" w:cs="Calibri"/>
        </w:rPr>
        <w:t xml:space="preserve">according to </w:t>
      </w:r>
      <w:proofErr w:type="spellStart"/>
      <w:r>
        <w:rPr>
          <w:rStyle w:val="normaltextrun"/>
          <w:rFonts w:ascii="Calibri" w:hAnsi="Calibri" w:cs="Calibri"/>
        </w:rPr>
        <w:t>Esnard</w:t>
      </w:r>
      <w:proofErr w:type="spellEnd"/>
      <w:r>
        <w:rPr>
          <w:rStyle w:val="normaltextrun"/>
          <w:rFonts w:ascii="Calibri" w:hAnsi="Calibri" w:cs="Calibri"/>
        </w:rPr>
        <w:t xml:space="preserve"> &amp; Dumas, (2019) is that the prosecutions they decide on may be biased. Reasoning for this is that the decisions may be inconsistent because of lack of training on the procedures. This may cause different results to the exact same court hearings causing inconsistencies with sentencing. Another factor to consider is that once magistrates hear case over case that have similar offences, they tend to judge all these court hearings in similar ways to prior outcomes. Therefore, the elements that they choose not to highlight causes unfair outcomes meaning that the community loses trust in magistrates.  </w:t>
      </w:r>
      <w:r>
        <w:rPr>
          <w:rStyle w:val="eop"/>
          <w:rFonts w:ascii="Calibri" w:hAnsi="Calibri" w:cs="Calibri"/>
        </w:rPr>
        <w:t> </w:t>
      </w:r>
    </w:p>
    <w:p w14:paraId="210E6467" w14:textId="77777777" w:rsidR="008717AD" w:rsidRDefault="008717AD" w:rsidP="008717A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According to Donoghue, (2014) over previous years the process of reform within magistrates in England and Wales has been undermined. The purpose for the reform is to give magistrates more responsibilities for example be more involved with initiative within the local justice and oversight of out of court disposals. He argues that the reform will be unsuccessful in the justice system if they do not consider measures alongside that will reaffirm the status of lay justices. As a result of major changes since 2010 this has caused a reduction for magistrate's attendance needed for some hearings. Therefore, as well as this giving magistrate more power will enable them to deal with the current backlog they have. </w:t>
      </w:r>
      <w:r>
        <w:rPr>
          <w:rStyle w:val="eop"/>
          <w:rFonts w:ascii="Calibri" w:hAnsi="Calibri" w:cs="Calibri"/>
        </w:rPr>
        <w:t> </w:t>
      </w:r>
    </w:p>
    <w:p w14:paraId="402E8C2A" w14:textId="3FC7B4C7" w:rsidR="008717AD" w:rsidRDefault="008717AD" w:rsidP="008717A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            To conclude, </w:t>
      </w:r>
      <w:r w:rsidR="00072E2B">
        <w:rPr>
          <w:rStyle w:val="normaltextrun"/>
          <w:rFonts w:ascii="Calibri" w:hAnsi="Calibri" w:cs="Calibri"/>
        </w:rPr>
        <w:t>it is stated</w:t>
      </w:r>
      <w:r>
        <w:rPr>
          <w:rStyle w:val="normaltextrun"/>
          <w:rFonts w:ascii="Calibri" w:hAnsi="Calibri" w:cs="Calibri"/>
        </w:rPr>
        <w:t xml:space="preserve"> that there is a room for improvement within the role of magistrates with a large amount of court closures and factors such as Covid 19 having an impact on this. </w:t>
      </w:r>
      <w:r w:rsidR="00072E2B">
        <w:rPr>
          <w:rStyle w:val="normaltextrun"/>
          <w:rFonts w:ascii="Calibri" w:hAnsi="Calibri" w:cs="Calibri"/>
        </w:rPr>
        <w:t>It is highlighted that</w:t>
      </w:r>
      <w:r>
        <w:rPr>
          <w:rStyle w:val="normaltextrun"/>
          <w:rFonts w:ascii="Calibri" w:hAnsi="Calibri" w:cs="Calibri"/>
        </w:rPr>
        <w:t xml:space="preserve"> positive impacts have come from the issues for example moving court hearings to online to ensure saving expenses. The changes and reform being made go towards supporting the magistrate's role as much as possible. Therefore,</w:t>
      </w:r>
      <w:r w:rsidR="00072E2B">
        <w:rPr>
          <w:rStyle w:val="normaltextrun"/>
          <w:rFonts w:ascii="Calibri" w:hAnsi="Calibri" w:cs="Calibri"/>
        </w:rPr>
        <w:t xml:space="preserve"> it is highlighted that there are</w:t>
      </w:r>
      <w:r>
        <w:rPr>
          <w:rStyle w:val="normaltextrun"/>
          <w:rFonts w:ascii="Calibri" w:hAnsi="Calibri" w:cs="Calibri"/>
        </w:rPr>
        <w:t xml:space="preserve"> both advantages and disadvantages to magistrates.</w:t>
      </w:r>
      <w:r>
        <w:rPr>
          <w:rStyle w:val="eop"/>
          <w:rFonts w:ascii="Calibri" w:hAnsi="Calibri" w:cs="Calibri"/>
        </w:rPr>
        <w:t> </w:t>
      </w:r>
    </w:p>
    <w:p w14:paraId="48A1D8BA" w14:textId="77777777" w:rsidR="00BF1822" w:rsidRDefault="00BF1822"/>
    <w:p w14:paraId="2F921EB3" w14:textId="4618DDE8" w:rsidR="00BF1822" w:rsidRPr="00665498" w:rsidRDefault="006E4B16">
      <w:pPr>
        <w:rPr>
          <w:rFonts w:asciiTheme="minorHAnsi" w:hAnsiTheme="minorHAnsi" w:cstheme="minorHAnsi"/>
        </w:rPr>
      </w:pPr>
      <w:r w:rsidRPr="00665498">
        <w:rPr>
          <w:rFonts w:asciiTheme="minorHAnsi" w:hAnsiTheme="minorHAnsi" w:cstheme="minorHAnsi"/>
        </w:rPr>
        <w:t>Word count=1</w:t>
      </w:r>
      <w:r w:rsidR="008717AD">
        <w:rPr>
          <w:rFonts w:asciiTheme="minorHAnsi" w:hAnsiTheme="minorHAnsi" w:cstheme="minorHAnsi"/>
        </w:rPr>
        <w:t>6</w:t>
      </w:r>
      <w:r w:rsidR="00720223">
        <w:rPr>
          <w:rFonts w:asciiTheme="minorHAnsi" w:hAnsiTheme="minorHAnsi" w:cstheme="minorHAnsi"/>
        </w:rPr>
        <w:t>48</w:t>
      </w:r>
    </w:p>
    <w:p w14:paraId="06820AE5" w14:textId="77777777" w:rsidR="006E4B16" w:rsidRPr="00665498" w:rsidRDefault="006E4B16">
      <w:pPr>
        <w:rPr>
          <w:rFonts w:asciiTheme="minorHAnsi" w:hAnsiTheme="minorHAnsi" w:cstheme="minorHAnsi"/>
        </w:rPr>
      </w:pPr>
    </w:p>
    <w:p w14:paraId="0C0380A1" w14:textId="77777777" w:rsidR="006E4B16" w:rsidRPr="00665498" w:rsidRDefault="006E4B16">
      <w:pPr>
        <w:rPr>
          <w:rFonts w:asciiTheme="minorHAnsi" w:hAnsiTheme="minorHAnsi" w:cstheme="minorHAnsi"/>
        </w:rPr>
      </w:pPr>
    </w:p>
    <w:p w14:paraId="73B695CE" w14:textId="2DB51A98" w:rsidR="006E4B16" w:rsidRPr="00665498" w:rsidRDefault="006E4B16">
      <w:pPr>
        <w:rPr>
          <w:rFonts w:asciiTheme="minorHAnsi" w:hAnsiTheme="minorHAnsi" w:cstheme="minorHAnsi"/>
          <w:u w:val="single"/>
        </w:rPr>
      </w:pPr>
      <w:r w:rsidRPr="00665498">
        <w:rPr>
          <w:rFonts w:asciiTheme="minorHAnsi" w:hAnsiTheme="minorHAnsi" w:cstheme="minorHAnsi"/>
          <w:u w:val="single"/>
        </w:rPr>
        <w:t>Reference list:</w:t>
      </w:r>
    </w:p>
    <w:p w14:paraId="7CAE3DAF" w14:textId="77777777" w:rsidR="006E4B16" w:rsidRDefault="006E4B16">
      <w:pPr>
        <w:rPr>
          <w:u w:val="single"/>
        </w:rPr>
      </w:pPr>
    </w:p>
    <w:sdt>
      <w:sdtPr>
        <w:rPr>
          <w:rFonts w:ascii="Times New Roman" w:eastAsia="Times New Roman" w:hAnsi="Times New Roman" w:cs="Times New Roman"/>
          <w:b w:val="0"/>
          <w:bCs w:val="0"/>
          <w:color w:val="auto"/>
          <w:sz w:val="24"/>
          <w:szCs w:val="24"/>
          <w:lang w:val="en-GB" w:eastAsia="en-GB" w:bidi="ar-SA"/>
        </w:rPr>
        <w:id w:val="-1543907399"/>
        <w:docPartObj>
          <w:docPartGallery w:val="Bibliographies"/>
          <w:docPartUnique/>
        </w:docPartObj>
      </w:sdtPr>
      <w:sdtContent>
        <w:p w14:paraId="63CCA3B4" w14:textId="539CB961" w:rsidR="006E4B16" w:rsidRDefault="006E4B16">
          <w:pPr>
            <w:pStyle w:val="Heading1"/>
          </w:pPr>
        </w:p>
        <w:p w14:paraId="6BC223FA"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rPr>
            <w:fldChar w:fldCharType="begin"/>
          </w:r>
          <w:r w:rsidRPr="000A207D">
            <w:rPr>
              <w:rFonts w:asciiTheme="minorHAnsi" w:hAnsiTheme="minorHAnsi" w:cstheme="minorHAnsi"/>
            </w:rPr>
            <w:instrText xml:space="preserve"> BIBLIOGRAPHY </w:instrText>
          </w:r>
          <w:r w:rsidRPr="000A207D">
            <w:rPr>
              <w:rFonts w:asciiTheme="minorHAnsi" w:hAnsiTheme="minorHAnsi" w:cstheme="minorHAnsi"/>
            </w:rPr>
            <w:fldChar w:fldCharType="separate"/>
          </w:r>
          <w:r w:rsidRPr="000A207D">
            <w:rPr>
              <w:rFonts w:asciiTheme="minorHAnsi" w:hAnsiTheme="minorHAnsi" w:cstheme="minorHAnsi"/>
              <w:noProof/>
              <w:lang w:val="en-US"/>
            </w:rPr>
            <w:t xml:space="preserve">Allbon, E. &amp; Dua, S. K., 2020. </w:t>
          </w:r>
          <w:r w:rsidRPr="000A207D">
            <w:rPr>
              <w:rFonts w:asciiTheme="minorHAnsi" w:hAnsiTheme="minorHAnsi" w:cstheme="minorHAnsi"/>
              <w:i/>
              <w:iCs/>
              <w:noProof/>
              <w:lang w:val="en-US"/>
            </w:rPr>
            <w:t xml:space="preserve">Elliott and Quinn's English legal system. </w:t>
          </w:r>
          <w:r w:rsidRPr="000A207D">
            <w:rPr>
              <w:rFonts w:asciiTheme="minorHAnsi" w:hAnsiTheme="minorHAnsi" w:cstheme="minorHAnsi"/>
              <w:noProof/>
              <w:lang w:val="en-US"/>
            </w:rPr>
            <w:t>21 ed. London: Pearson.</w:t>
          </w:r>
        </w:p>
        <w:p w14:paraId="11EB1440" w14:textId="78196E65" w:rsidR="006E4B16" w:rsidRPr="000A207D" w:rsidRDefault="006E4B16" w:rsidP="006E4B16">
          <w:pPr>
            <w:pStyle w:val="Bibliography"/>
            <w:rPr>
              <w:rFonts w:asciiTheme="minorHAnsi" w:hAnsiTheme="minorHAnsi" w:cstheme="minorHAnsi"/>
              <w:noProof/>
              <w:lang w:val="en-US"/>
            </w:rPr>
          </w:pPr>
        </w:p>
        <w:p w14:paraId="02749A6B"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Courts and Tribunals Judiciary, 2023. </w:t>
          </w:r>
          <w:r w:rsidRPr="000A207D">
            <w:rPr>
              <w:rFonts w:asciiTheme="minorHAnsi" w:hAnsiTheme="minorHAnsi" w:cstheme="minorHAnsi"/>
              <w:i/>
              <w:iCs/>
              <w:noProof/>
              <w:lang w:val="en-US"/>
            </w:rPr>
            <w:t xml:space="preserve">Magistrates.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https://www.judiciary.uk/about-the-judiciary/who-are-the-judiciary/magistrates/#:~:text=What%20do%20they%20do%3F,benches%2C%20of%202%20or%203.</w:t>
          </w:r>
          <w:r w:rsidRPr="000A207D">
            <w:rPr>
              <w:rFonts w:asciiTheme="minorHAnsi" w:hAnsiTheme="minorHAnsi" w:cstheme="minorHAnsi"/>
              <w:noProof/>
              <w:lang w:val="en-US"/>
            </w:rPr>
            <w:br/>
            <w:t>[Accessed 5 April 2023].</w:t>
          </w:r>
        </w:p>
        <w:p w14:paraId="4D73578F" w14:textId="77777777" w:rsidR="006E4B16" w:rsidRPr="000A207D" w:rsidRDefault="006E4B16" w:rsidP="006E4B16">
          <w:pPr>
            <w:rPr>
              <w:rFonts w:asciiTheme="minorHAnsi" w:hAnsiTheme="minorHAnsi" w:cstheme="minorHAnsi"/>
              <w:lang w:val="en-US"/>
            </w:rPr>
          </w:pPr>
        </w:p>
        <w:p w14:paraId="4E54B311"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Cownie, F., Bradney, A. &amp; Burton, M., 2013. </w:t>
          </w:r>
          <w:r w:rsidRPr="000A207D">
            <w:rPr>
              <w:rFonts w:asciiTheme="minorHAnsi" w:hAnsiTheme="minorHAnsi" w:cstheme="minorHAnsi"/>
              <w:i/>
              <w:iCs/>
              <w:noProof/>
              <w:lang w:val="en-US"/>
            </w:rPr>
            <w:t xml:space="preserve">English legal system in context. </w:t>
          </w:r>
          <w:r w:rsidRPr="000A207D">
            <w:rPr>
              <w:rFonts w:asciiTheme="minorHAnsi" w:hAnsiTheme="minorHAnsi" w:cstheme="minorHAnsi"/>
              <w:noProof/>
              <w:lang w:val="en-US"/>
            </w:rPr>
            <w:t>6 ed. Oxford: Oxford University Press.</w:t>
          </w:r>
        </w:p>
        <w:p w14:paraId="6CDC3216" w14:textId="77777777" w:rsidR="006E4B16" w:rsidRPr="000A207D" w:rsidRDefault="006E4B16" w:rsidP="006E4B16">
          <w:pPr>
            <w:rPr>
              <w:rFonts w:asciiTheme="minorHAnsi" w:hAnsiTheme="minorHAnsi" w:cstheme="minorHAnsi"/>
              <w:lang w:val="en-US"/>
            </w:rPr>
          </w:pPr>
        </w:p>
        <w:p w14:paraId="226675DC"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lastRenderedPageBreak/>
            <w:t xml:space="preserve">Crummey, C., 2020. Why fair procedures always make a difference. </w:t>
          </w:r>
          <w:r w:rsidRPr="000A207D">
            <w:rPr>
              <w:rFonts w:asciiTheme="minorHAnsi" w:hAnsiTheme="minorHAnsi" w:cstheme="minorHAnsi"/>
              <w:i/>
              <w:iCs/>
              <w:noProof/>
              <w:lang w:val="en-US"/>
            </w:rPr>
            <w:t xml:space="preserve">Modern law review, </w:t>
          </w:r>
          <w:r w:rsidRPr="000A207D">
            <w:rPr>
              <w:rFonts w:asciiTheme="minorHAnsi" w:hAnsiTheme="minorHAnsi" w:cstheme="minorHAnsi"/>
              <w:noProof/>
              <w:lang w:val="en-US"/>
            </w:rPr>
            <w:t>83(6), pp. 1221-1245.</w:t>
          </w:r>
        </w:p>
        <w:p w14:paraId="3234F800" w14:textId="77777777" w:rsidR="006E4B16" w:rsidRPr="000A207D" w:rsidRDefault="006E4B16" w:rsidP="006E4B16">
          <w:pPr>
            <w:rPr>
              <w:rFonts w:asciiTheme="minorHAnsi" w:hAnsiTheme="minorHAnsi" w:cstheme="minorHAnsi"/>
              <w:lang w:val="en-US"/>
            </w:rPr>
          </w:pPr>
        </w:p>
        <w:p w14:paraId="4FC44BDE"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Donoghue, J. C., 2014. Reforming the Role of Magistrates: Implications for Summary Justice in England and Wales. </w:t>
          </w:r>
          <w:r w:rsidRPr="000A207D">
            <w:rPr>
              <w:rFonts w:asciiTheme="minorHAnsi" w:hAnsiTheme="minorHAnsi" w:cstheme="minorHAnsi"/>
              <w:i/>
              <w:iCs/>
              <w:noProof/>
              <w:lang w:val="en-US"/>
            </w:rPr>
            <w:t xml:space="preserve">The Modern Law Review, </w:t>
          </w:r>
          <w:r w:rsidRPr="000A207D">
            <w:rPr>
              <w:rFonts w:asciiTheme="minorHAnsi" w:hAnsiTheme="minorHAnsi" w:cstheme="minorHAnsi"/>
              <w:noProof/>
              <w:lang w:val="en-US"/>
            </w:rPr>
            <w:t>77(6), pp. 928-963.</w:t>
          </w:r>
        </w:p>
        <w:p w14:paraId="632494A6" w14:textId="77777777" w:rsidR="006E4B16" w:rsidRPr="000A207D" w:rsidRDefault="006E4B16" w:rsidP="006E4B16">
          <w:pPr>
            <w:rPr>
              <w:rFonts w:asciiTheme="minorHAnsi" w:hAnsiTheme="minorHAnsi" w:cstheme="minorHAnsi"/>
              <w:lang w:val="en-US"/>
            </w:rPr>
          </w:pPr>
        </w:p>
        <w:p w14:paraId="389F6069"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Elliott, C. &amp; Quinn, F., 2015. </w:t>
          </w:r>
          <w:r w:rsidRPr="000A207D">
            <w:rPr>
              <w:rFonts w:asciiTheme="minorHAnsi" w:hAnsiTheme="minorHAnsi" w:cstheme="minorHAnsi"/>
              <w:i/>
              <w:iCs/>
              <w:noProof/>
              <w:lang w:val="en-US"/>
            </w:rPr>
            <w:t xml:space="preserve">English Legal System. </w:t>
          </w:r>
          <w:r w:rsidRPr="000A207D">
            <w:rPr>
              <w:rFonts w:asciiTheme="minorHAnsi" w:hAnsiTheme="minorHAnsi" w:cstheme="minorHAnsi"/>
              <w:noProof/>
              <w:lang w:val="en-US"/>
            </w:rPr>
            <w:t>16 ed. London: Pearson.</w:t>
          </w:r>
        </w:p>
        <w:p w14:paraId="5AFC8DF6" w14:textId="77777777" w:rsidR="006E4B16" w:rsidRPr="000A207D" w:rsidRDefault="006E4B16" w:rsidP="006E4B16">
          <w:pPr>
            <w:rPr>
              <w:rFonts w:asciiTheme="minorHAnsi" w:hAnsiTheme="minorHAnsi" w:cstheme="minorHAnsi"/>
              <w:lang w:val="en-US"/>
            </w:rPr>
          </w:pPr>
        </w:p>
        <w:p w14:paraId="5542710A"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Esnard, C. &amp; Dumas, R., 2019. Jurors' verdicts based on their intimate conviction: Influence of magistarte's opinion on confirmatory information processing. </w:t>
          </w:r>
          <w:r w:rsidRPr="000A207D">
            <w:rPr>
              <w:rFonts w:asciiTheme="minorHAnsi" w:hAnsiTheme="minorHAnsi" w:cstheme="minorHAnsi"/>
              <w:i/>
              <w:iCs/>
              <w:noProof/>
              <w:lang w:val="en-US"/>
            </w:rPr>
            <w:t xml:space="preserve">Cogent Psychology, </w:t>
          </w:r>
          <w:r w:rsidRPr="000A207D">
            <w:rPr>
              <w:rFonts w:asciiTheme="minorHAnsi" w:hAnsiTheme="minorHAnsi" w:cstheme="minorHAnsi"/>
              <w:noProof/>
              <w:lang w:val="en-US"/>
            </w:rPr>
            <w:t>6(1), pp. 53-59.</w:t>
          </w:r>
        </w:p>
        <w:p w14:paraId="73C35DA8" w14:textId="77777777" w:rsidR="006E4B16" w:rsidRPr="000A207D" w:rsidRDefault="006E4B16" w:rsidP="006E4B16">
          <w:pPr>
            <w:rPr>
              <w:rFonts w:asciiTheme="minorHAnsi" w:hAnsiTheme="minorHAnsi" w:cstheme="minorHAnsi"/>
              <w:lang w:val="en-US"/>
            </w:rPr>
          </w:pPr>
        </w:p>
        <w:p w14:paraId="70F75EC0"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Gillespie, A. A. &amp; Weare, S., 2021. </w:t>
          </w:r>
          <w:r w:rsidRPr="000A207D">
            <w:rPr>
              <w:rFonts w:asciiTheme="minorHAnsi" w:hAnsiTheme="minorHAnsi" w:cstheme="minorHAnsi"/>
              <w:i/>
              <w:iCs/>
              <w:noProof/>
              <w:lang w:val="en-US"/>
            </w:rPr>
            <w:t xml:space="preserve">The English legal system. </w:t>
          </w:r>
          <w:r w:rsidRPr="000A207D">
            <w:rPr>
              <w:rFonts w:asciiTheme="minorHAnsi" w:hAnsiTheme="minorHAnsi" w:cstheme="minorHAnsi"/>
              <w:noProof/>
              <w:lang w:val="en-US"/>
            </w:rPr>
            <w:t>8 ed. Oxford: Oxford University Press.</w:t>
          </w:r>
        </w:p>
        <w:p w14:paraId="252253F5" w14:textId="77777777" w:rsidR="006E4B16" w:rsidRPr="000A207D" w:rsidRDefault="006E4B16" w:rsidP="006E4B16">
          <w:pPr>
            <w:rPr>
              <w:rFonts w:asciiTheme="minorHAnsi" w:hAnsiTheme="minorHAnsi" w:cstheme="minorHAnsi"/>
              <w:lang w:val="en-US"/>
            </w:rPr>
          </w:pPr>
        </w:p>
        <w:p w14:paraId="5CFAEEF3"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GOV.UK, 2023. </w:t>
          </w:r>
          <w:r w:rsidRPr="000A207D">
            <w:rPr>
              <w:rFonts w:asciiTheme="minorHAnsi" w:hAnsiTheme="minorHAnsi" w:cstheme="minorHAnsi"/>
              <w:i/>
              <w:iCs/>
              <w:noProof/>
              <w:lang w:val="en-US"/>
            </w:rPr>
            <w:t xml:space="preserve">Become a magistrate.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https://www.gov.uk/become-magistrate</w:t>
          </w:r>
          <w:r w:rsidRPr="000A207D">
            <w:rPr>
              <w:rFonts w:asciiTheme="minorHAnsi" w:hAnsiTheme="minorHAnsi" w:cstheme="minorHAnsi"/>
              <w:noProof/>
              <w:lang w:val="en-US"/>
            </w:rPr>
            <w:br/>
            <w:t>[Accessed 5 April 2023].</w:t>
          </w:r>
        </w:p>
        <w:p w14:paraId="4192649E" w14:textId="77777777" w:rsidR="006E4B16" w:rsidRPr="000A207D" w:rsidRDefault="006E4B16" w:rsidP="006E4B16">
          <w:pPr>
            <w:rPr>
              <w:rFonts w:asciiTheme="minorHAnsi" w:hAnsiTheme="minorHAnsi" w:cstheme="minorHAnsi"/>
              <w:lang w:val="en-US"/>
            </w:rPr>
          </w:pPr>
        </w:p>
        <w:p w14:paraId="21ADBC37"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Mack, K. &amp; Anleu, S. R., 2010. Performing Impartiality: Judical Demeanor and Legitimacy. </w:t>
          </w:r>
          <w:r w:rsidRPr="000A207D">
            <w:rPr>
              <w:rFonts w:asciiTheme="minorHAnsi" w:hAnsiTheme="minorHAnsi" w:cstheme="minorHAnsi"/>
              <w:i/>
              <w:iCs/>
              <w:noProof/>
              <w:lang w:val="en-US"/>
            </w:rPr>
            <w:t xml:space="preserve">Law &amp; Social Inquiry, </w:t>
          </w:r>
          <w:r w:rsidRPr="000A207D">
            <w:rPr>
              <w:rFonts w:asciiTheme="minorHAnsi" w:hAnsiTheme="minorHAnsi" w:cstheme="minorHAnsi"/>
              <w:noProof/>
              <w:lang w:val="en-US"/>
            </w:rPr>
            <w:t>35(1), pp. 137-173.</w:t>
          </w:r>
        </w:p>
        <w:p w14:paraId="1006DAE1" w14:textId="77777777" w:rsidR="006E4B16" w:rsidRPr="000A207D" w:rsidRDefault="006E4B16" w:rsidP="006E4B16">
          <w:pPr>
            <w:rPr>
              <w:rFonts w:asciiTheme="minorHAnsi" w:hAnsiTheme="minorHAnsi" w:cstheme="minorHAnsi"/>
              <w:lang w:val="en-US"/>
            </w:rPr>
          </w:pPr>
        </w:p>
        <w:p w14:paraId="211A5EF4"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McBarnet, D., 1981. Magistrates' Courts and the Ideology of Justice. </w:t>
          </w:r>
          <w:r w:rsidRPr="000A207D">
            <w:rPr>
              <w:rFonts w:asciiTheme="minorHAnsi" w:hAnsiTheme="minorHAnsi" w:cstheme="minorHAnsi"/>
              <w:i/>
              <w:iCs/>
              <w:noProof/>
              <w:lang w:val="en-US"/>
            </w:rPr>
            <w:t xml:space="preserve">British Journal of Law and Society, </w:t>
          </w:r>
          <w:r w:rsidRPr="000A207D">
            <w:rPr>
              <w:rFonts w:asciiTheme="minorHAnsi" w:hAnsiTheme="minorHAnsi" w:cstheme="minorHAnsi"/>
              <w:noProof/>
              <w:lang w:val="en-US"/>
            </w:rPr>
            <w:t>8(2), pp. 181-197.</w:t>
          </w:r>
        </w:p>
        <w:p w14:paraId="27864B68" w14:textId="77777777" w:rsidR="006E4B16" w:rsidRPr="000A207D" w:rsidRDefault="006E4B16" w:rsidP="006E4B16">
          <w:pPr>
            <w:rPr>
              <w:rFonts w:asciiTheme="minorHAnsi" w:hAnsiTheme="minorHAnsi" w:cstheme="minorHAnsi"/>
              <w:lang w:val="en-US"/>
            </w:rPr>
          </w:pPr>
        </w:p>
        <w:p w14:paraId="0BB9695F"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Partington, M., 2012. </w:t>
          </w:r>
          <w:r w:rsidRPr="000A207D">
            <w:rPr>
              <w:rFonts w:asciiTheme="minorHAnsi" w:hAnsiTheme="minorHAnsi" w:cstheme="minorHAnsi"/>
              <w:i/>
              <w:iCs/>
              <w:noProof/>
              <w:lang w:val="en-US"/>
            </w:rPr>
            <w:t xml:space="preserve">Introduction to the English legal system. </w:t>
          </w:r>
          <w:r w:rsidRPr="000A207D">
            <w:rPr>
              <w:rFonts w:asciiTheme="minorHAnsi" w:hAnsiTheme="minorHAnsi" w:cstheme="minorHAnsi"/>
              <w:noProof/>
              <w:lang w:val="en-US"/>
            </w:rPr>
            <w:t>1 ed. Oxford: Oxford University Press.</w:t>
          </w:r>
        </w:p>
        <w:p w14:paraId="4D44B825" w14:textId="77777777" w:rsidR="006E4B16" w:rsidRPr="000A207D" w:rsidRDefault="006E4B16" w:rsidP="006E4B16">
          <w:pPr>
            <w:rPr>
              <w:rFonts w:asciiTheme="minorHAnsi" w:hAnsiTheme="minorHAnsi" w:cstheme="minorHAnsi"/>
              <w:lang w:val="en-US"/>
            </w:rPr>
          </w:pPr>
        </w:p>
        <w:p w14:paraId="630C13DD"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Slapper, G. &amp; Kelly, D., 2015. </w:t>
          </w:r>
          <w:r w:rsidRPr="000A207D">
            <w:rPr>
              <w:rFonts w:asciiTheme="minorHAnsi" w:hAnsiTheme="minorHAnsi" w:cstheme="minorHAnsi"/>
              <w:i/>
              <w:iCs/>
              <w:noProof/>
              <w:lang w:val="en-US"/>
            </w:rPr>
            <w:t xml:space="preserve">The English legal system. </w:t>
          </w:r>
          <w:r w:rsidRPr="000A207D">
            <w:rPr>
              <w:rFonts w:asciiTheme="minorHAnsi" w:hAnsiTheme="minorHAnsi" w:cstheme="minorHAnsi"/>
              <w:noProof/>
              <w:lang w:val="en-US"/>
            </w:rPr>
            <w:t>16 ed. Oxford: Routledge.</w:t>
          </w:r>
        </w:p>
        <w:p w14:paraId="3D195CF9" w14:textId="77777777" w:rsidR="006E4B16" w:rsidRPr="000A207D" w:rsidRDefault="006E4B16" w:rsidP="006E4B16">
          <w:pPr>
            <w:rPr>
              <w:rFonts w:asciiTheme="minorHAnsi" w:hAnsiTheme="minorHAnsi" w:cstheme="minorHAnsi"/>
              <w:lang w:val="en-US"/>
            </w:rPr>
          </w:pPr>
        </w:p>
        <w:p w14:paraId="6162E185"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The Law Society, 2022. </w:t>
          </w:r>
          <w:r w:rsidRPr="000A207D">
            <w:rPr>
              <w:rFonts w:asciiTheme="minorHAnsi" w:hAnsiTheme="minorHAnsi" w:cstheme="minorHAnsi"/>
              <w:i/>
              <w:iCs/>
              <w:noProof/>
              <w:lang w:val="en-US"/>
            </w:rPr>
            <w:t xml:space="preserve">Court closures.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https://www.lawsociety.org.uk/campaigns/court-reform/whats-changing/court-closures</w:t>
          </w:r>
          <w:r w:rsidRPr="000A207D">
            <w:rPr>
              <w:rFonts w:asciiTheme="minorHAnsi" w:hAnsiTheme="minorHAnsi" w:cstheme="minorHAnsi"/>
              <w:noProof/>
              <w:lang w:val="en-US"/>
            </w:rPr>
            <w:br/>
            <w:t>[Accessed 5 April 2023].</w:t>
          </w:r>
        </w:p>
        <w:p w14:paraId="599F4FB1" w14:textId="77777777" w:rsidR="006E4B16" w:rsidRPr="000A207D" w:rsidRDefault="006E4B16" w:rsidP="006E4B16">
          <w:pPr>
            <w:rPr>
              <w:rFonts w:asciiTheme="minorHAnsi" w:hAnsiTheme="minorHAnsi" w:cstheme="minorHAnsi"/>
              <w:lang w:val="en-US"/>
            </w:rPr>
          </w:pPr>
        </w:p>
        <w:p w14:paraId="29729C29"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UK Parliment, 2020. </w:t>
          </w:r>
          <w:r w:rsidRPr="000A207D">
            <w:rPr>
              <w:rFonts w:asciiTheme="minorHAnsi" w:hAnsiTheme="minorHAnsi" w:cstheme="minorHAnsi"/>
              <w:i/>
              <w:iCs/>
              <w:noProof/>
              <w:lang w:val="en-US"/>
            </w:rPr>
            <w:t xml:space="preserve">Constituency data: Magistrates' court closures.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https://commonslibrary.parliament.uk/constituency-data-magistrates-court-closures/</w:t>
          </w:r>
          <w:r w:rsidRPr="000A207D">
            <w:rPr>
              <w:rFonts w:asciiTheme="minorHAnsi" w:hAnsiTheme="minorHAnsi" w:cstheme="minorHAnsi"/>
              <w:noProof/>
              <w:lang w:val="en-US"/>
            </w:rPr>
            <w:br/>
            <w:t>[Accessed 5 April 2023].</w:t>
          </w:r>
        </w:p>
        <w:p w14:paraId="781E41E8" w14:textId="7BF59A9F" w:rsidR="00BF1822" w:rsidRDefault="006E4B16">
          <w:r w:rsidRPr="000A207D">
            <w:rPr>
              <w:rFonts w:asciiTheme="minorHAnsi" w:hAnsiTheme="minorHAnsi" w:cstheme="minorHAnsi"/>
              <w:b/>
              <w:bCs/>
            </w:rPr>
            <w:fldChar w:fldCharType="end"/>
          </w:r>
        </w:p>
      </w:sdtContent>
    </w:sdt>
    <w:sectPr w:rsidR="00BF1822" w:rsidSect="006E4B16">
      <w:footerReference w:type="even"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4E348" w14:textId="77777777" w:rsidR="00965976" w:rsidRDefault="00965976" w:rsidP="006E4B16">
      <w:r>
        <w:separator/>
      </w:r>
    </w:p>
  </w:endnote>
  <w:endnote w:type="continuationSeparator" w:id="0">
    <w:p w14:paraId="1BAD6267" w14:textId="77777777" w:rsidR="00965976" w:rsidRDefault="00965976" w:rsidP="006E4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2861579"/>
      <w:docPartObj>
        <w:docPartGallery w:val="Page Numbers (Bottom of Page)"/>
        <w:docPartUnique/>
      </w:docPartObj>
    </w:sdtPr>
    <w:sdtContent>
      <w:p w14:paraId="4E6F0D4E" w14:textId="5F9100FF" w:rsidR="006E4B16" w:rsidRDefault="006E4B16" w:rsidP="00864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DC5328" w14:textId="77777777" w:rsidR="006E4B16" w:rsidRDefault="006E4B16" w:rsidP="006E4B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1586331"/>
      <w:docPartObj>
        <w:docPartGallery w:val="Page Numbers (Bottom of Page)"/>
        <w:docPartUnique/>
      </w:docPartObj>
    </w:sdtPr>
    <w:sdtContent>
      <w:p w14:paraId="74D1D50C" w14:textId="6597DAE4" w:rsidR="006E4B16" w:rsidRDefault="006E4B16" w:rsidP="00864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9FC0829" w14:textId="77777777" w:rsidR="006E4B16" w:rsidRDefault="006E4B16" w:rsidP="006E4B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BB8BC" w14:textId="77777777" w:rsidR="00965976" w:rsidRDefault="00965976" w:rsidP="006E4B16">
      <w:r>
        <w:separator/>
      </w:r>
    </w:p>
  </w:footnote>
  <w:footnote w:type="continuationSeparator" w:id="0">
    <w:p w14:paraId="5C8A1091" w14:textId="77777777" w:rsidR="00965976" w:rsidRDefault="00965976" w:rsidP="006E4B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92D"/>
    <w:multiLevelType w:val="multilevel"/>
    <w:tmpl w:val="97B2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31E43"/>
    <w:multiLevelType w:val="multilevel"/>
    <w:tmpl w:val="5F0A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F45C64"/>
    <w:multiLevelType w:val="multilevel"/>
    <w:tmpl w:val="5392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601D79"/>
    <w:multiLevelType w:val="multilevel"/>
    <w:tmpl w:val="DF4A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201B66"/>
    <w:multiLevelType w:val="multilevel"/>
    <w:tmpl w:val="A4C4A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0D342C"/>
    <w:multiLevelType w:val="multilevel"/>
    <w:tmpl w:val="8B1C4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DC47D9"/>
    <w:multiLevelType w:val="multilevel"/>
    <w:tmpl w:val="2D32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6770A7"/>
    <w:multiLevelType w:val="multilevel"/>
    <w:tmpl w:val="E8BC0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317440"/>
    <w:multiLevelType w:val="multilevel"/>
    <w:tmpl w:val="216EC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066130"/>
    <w:multiLevelType w:val="multilevel"/>
    <w:tmpl w:val="7306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FD41BE"/>
    <w:multiLevelType w:val="hybridMultilevel"/>
    <w:tmpl w:val="2A3E0C2A"/>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C787A15"/>
    <w:multiLevelType w:val="multilevel"/>
    <w:tmpl w:val="B0AAF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FE60D00"/>
    <w:multiLevelType w:val="multilevel"/>
    <w:tmpl w:val="C2D85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AF02DBB"/>
    <w:multiLevelType w:val="multilevel"/>
    <w:tmpl w:val="25465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32870759">
    <w:abstractNumId w:val="11"/>
  </w:num>
  <w:num w:numId="2" w16cid:durableId="1811559881">
    <w:abstractNumId w:val="5"/>
  </w:num>
  <w:num w:numId="3" w16cid:durableId="579102308">
    <w:abstractNumId w:val="6"/>
  </w:num>
  <w:num w:numId="4" w16cid:durableId="1528064169">
    <w:abstractNumId w:val="1"/>
  </w:num>
  <w:num w:numId="5" w16cid:durableId="1560361691">
    <w:abstractNumId w:val="14"/>
  </w:num>
  <w:num w:numId="6" w16cid:durableId="1727339727">
    <w:abstractNumId w:val="9"/>
  </w:num>
  <w:num w:numId="7" w16cid:durableId="1837456856">
    <w:abstractNumId w:val="8"/>
  </w:num>
  <w:num w:numId="8" w16cid:durableId="20592881">
    <w:abstractNumId w:val="7"/>
  </w:num>
  <w:num w:numId="9" w16cid:durableId="920911882">
    <w:abstractNumId w:val="12"/>
  </w:num>
  <w:num w:numId="10" w16cid:durableId="470902979">
    <w:abstractNumId w:val="0"/>
  </w:num>
  <w:num w:numId="11" w16cid:durableId="1731884439">
    <w:abstractNumId w:val="10"/>
  </w:num>
  <w:num w:numId="12" w16cid:durableId="143549778">
    <w:abstractNumId w:val="13"/>
  </w:num>
  <w:num w:numId="13" w16cid:durableId="1007751107">
    <w:abstractNumId w:val="2"/>
  </w:num>
  <w:num w:numId="14" w16cid:durableId="692078411">
    <w:abstractNumId w:val="4"/>
  </w:num>
  <w:num w:numId="15" w16cid:durableId="1083378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5D7"/>
    <w:rsid w:val="00063484"/>
    <w:rsid w:val="00072E2B"/>
    <w:rsid w:val="000A207D"/>
    <w:rsid w:val="00135D5B"/>
    <w:rsid w:val="001A37A9"/>
    <w:rsid w:val="001F6F51"/>
    <w:rsid w:val="00230C91"/>
    <w:rsid w:val="002415D7"/>
    <w:rsid w:val="00246EC1"/>
    <w:rsid w:val="00290FB4"/>
    <w:rsid w:val="002C3CBC"/>
    <w:rsid w:val="002F7DBC"/>
    <w:rsid w:val="0037140C"/>
    <w:rsid w:val="003C6DDC"/>
    <w:rsid w:val="003F026A"/>
    <w:rsid w:val="00496B5F"/>
    <w:rsid w:val="005B598D"/>
    <w:rsid w:val="00665498"/>
    <w:rsid w:val="006E4B16"/>
    <w:rsid w:val="00720223"/>
    <w:rsid w:val="007217D8"/>
    <w:rsid w:val="00784298"/>
    <w:rsid w:val="0080756E"/>
    <w:rsid w:val="008353B9"/>
    <w:rsid w:val="00844BCE"/>
    <w:rsid w:val="008717AD"/>
    <w:rsid w:val="00871BDC"/>
    <w:rsid w:val="009572FB"/>
    <w:rsid w:val="00965976"/>
    <w:rsid w:val="00984400"/>
    <w:rsid w:val="009E560A"/>
    <w:rsid w:val="009F6DC6"/>
    <w:rsid w:val="00A21017"/>
    <w:rsid w:val="00B3002C"/>
    <w:rsid w:val="00B3644F"/>
    <w:rsid w:val="00B37D88"/>
    <w:rsid w:val="00BE426F"/>
    <w:rsid w:val="00BF1822"/>
    <w:rsid w:val="00C600D0"/>
    <w:rsid w:val="00C75FA6"/>
    <w:rsid w:val="00D37EBA"/>
    <w:rsid w:val="00DD7759"/>
    <w:rsid w:val="00DE6C34"/>
    <w:rsid w:val="00E22C5E"/>
    <w:rsid w:val="00E42500"/>
    <w:rsid w:val="00F11240"/>
    <w:rsid w:val="00F91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661A5"/>
  <w15:chartTrackingRefBased/>
  <w15:docId w15:val="{C2EAEAC9-4CE3-314A-B9E9-8E40C81F2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82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E4B1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link w:val="Heading2Char"/>
    <w:uiPriority w:val="9"/>
    <w:qFormat/>
    <w:rsid w:val="00D37EB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15D7"/>
    <w:rPr>
      <w:rFonts w:eastAsiaTheme="minorEastAsia"/>
      <w:sz w:val="22"/>
      <w:szCs w:val="22"/>
      <w:lang w:val="en-US" w:eastAsia="zh-CN"/>
    </w:rPr>
  </w:style>
  <w:style w:type="character" w:customStyle="1" w:styleId="NoSpacingChar">
    <w:name w:val="No Spacing Char"/>
    <w:basedOn w:val="DefaultParagraphFont"/>
    <w:link w:val="NoSpacing"/>
    <w:uiPriority w:val="1"/>
    <w:rsid w:val="002415D7"/>
    <w:rPr>
      <w:rFonts w:eastAsiaTheme="minorEastAsia"/>
      <w:sz w:val="22"/>
      <w:szCs w:val="22"/>
      <w:lang w:val="en-US" w:eastAsia="zh-CN"/>
    </w:rPr>
  </w:style>
  <w:style w:type="paragraph" w:styleId="ListParagraph">
    <w:name w:val="List Paragraph"/>
    <w:basedOn w:val="Normal"/>
    <w:uiPriority w:val="34"/>
    <w:qFormat/>
    <w:rsid w:val="002415D7"/>
    <w:pPr>
      <w:ind w:left="720"/>
      <w:contextualSpacing/>
    </w:pPr>
    <w:rPr>
      <w:sz w:val="20"/>
      <w:szCs w:val="20"/>
    </w:rPr>
  </w:style>
  <w:style w:type="paragraph" w:styleId="NormalWeb">
    <w:name w:val="Normal (Web)"/>
    <w:basedOn w:val="Normal"/>
    <w:uiPriority w:val="99"/>
    <w:semiHidden/>
    <w:unhideWhenUsed/>
    <w:rsid w:val="009E560A"/>
    <w:pPr>
      <w:spacing w:before="100" w:beforeAutospacing="1" w:after="100" w:afterAutospacing="1"/>
    </w:pPr>
  </w:style>
  <w:style w:type="character" w:styleId="Hyperlink">
    <w:name w:val="Hyperlink"/>
    <w:basedOn w:val="DefaultParagraphFont"/>
    <w:uiPriority w:val="99"/>
    <w:unhideWhenUsed/>
    <w:rsid w:val="00D37EBA"/>
    <w:rPr>
      <w:color w:val="0563C1" w:themeColor="hyperlink"/>
      <w:u w:val="single"/>
    </w:rPr>
  </w:style>
  <w:style w:type="character" w:styleId="UnresolvedMention">
    <w:name w:val="Unresolved Mention"/>
    <w:basedOn w:val="DefaultParagraphFont"/>
    <w:uiPriority w:val="99"/>
    <w:semiHidden/>
    <w:unhideWhenUsed/>
    <w:rsid w:val="00D37EBA"/>
    <w:rPr>
      <w:color w:val="605E5C"/>
      <w:shd w:val="clear" w:color="auto" w:fill="E1DFDD"/>
    </w:rPr>
  </w:style>
  <w:style w:type="character" w:customStyle="1" w:styleId="Heading2Char">
    <w:name w:val="Heading 2 Char"/>
    <w:basedOn w:val="DefaultParagraphFont"/>
    <w:link w:val="Heading2"/>
    <w:uiPriority w:val="9"/>
    <w:rsid w:val="00D37EBA"/>
    <w:rPr>
      <w:rFonts w:ascii="Times New Roman" w:eastAsia="Times New Roman" w:hAnsi="Times New Roman" w:cs="Times New Roman"/>
      <w:b/>
      <w:bCs/>
      <w:sz w:val="36"/>
      <w:szCs w:val="36"/>
      <w:lang w:eastAsia="en-GB"/>
    </w:rPr>
  </w:style>
  <w:style w:type="character" w:customStyle="1" w:styleId="hi">
    <w:name w:val="hi"/>
    <w:basedOn w:val="DefaultParagraphFont"/>
    <w:rsid w:val="00D37EBA"/>
  </w:style>
  <w:style w:type="character" w:styleId="FollowedHyperlink">
    <w:name w:val="FollowedHyperlink"/>
    <w:basedOn w:val="DefaultParagraphFont"/>
    <w:uiPriority w:val="99"/>
    <w:semiHidden/>
    <w:unhideWhenUsed/>
    <w:rsid w:val="00BF1822"/>
    <w:rPr>
      <w:color w:val="954F72" w:themeColor="followedHyperlink"/>
      <w:u w:val="single"/>
    </w:rPr>
  </w:style>
  <w:style w:type="character" w:styleId="Strong">
    <w:name w:val="Strong"/>
    <w:basedOn w:val="DefaultParagraphFont"/>
    <w:uiPriority w:val="22"/>
    <w:qFormat/>
    <w:rsid w:val="003F026A"/>
    <w:rPr>
      <w:b/>
      <w:bCs/>
    </w:rPr>
  </w:style>
  <w:style w:type="character" w:customStyle="1" w:styleId="Heading1Char">
    <w:name w:val="Heading 1 Char"/>
    <w:basedOn w:val="DefaultParagraphFont"/>
    <w:link w:val="Heading1"/>
    <w:uiPriority w:val="9"/>
    <w:rsid w:val="006E4B1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E4B16"/>
  </w:style>
  <w:style w:type="paragraph" w:styleId="Footer">
    <w:name w:val="footer"/>
    <w:basedOn w:val="Normal"/>
    <w:link w:val="FooterChar"/>
    <w:uiPriority w:val="99"/>
    <w:unhideWhenUsed/>
    <w:rsid w:val="006E4B16"/>
    <w:pPr>
      <w:tabs>
        <w:tab w:val="center" w:pos="4513"/>
        <w:tab w:val="right" w:pos="9026"/>
      </w:tabs>
    </w:pPr>
  </w:style>
  <w:style w:type="character" w:customStyle="1" w:styleId="FooterChar">
    <w:name w:val="Footer Char"/>
    <w:basedOn w:val="DefaultParagraphFont"/>
    <w:link w:val="Footer"/>
    <w:uiPriority w:val="99"/>
    <w:rsid w:val="006E4B1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E4B16"/>
  </w:style>
  <w:style w:type="paragraph" w:customStyle="1" w:styleId="paragraph">
    <w:name w:val="paragraph"/>
    <w:basedOn w:val="Normal"/>
    <w:rsid w:val="002C3CBC"/>
    <w:pPr>
      <w:spacing w:before="100" w:beforeAutospacing="1" w:after="100" w:afterAutospacing="1"/>
    </w:pPr>
  </w:style>
  <w:style w:type="character" w:customStyle="1" w:styleId="normaltextrun">
    <w:name w:val="normaltextrun"/>
    <w:basedOn w:val="DefaultParagraphFont"/>
    <w:rsid w:val="002C3CBC"/>
  </w:style>
  <w:style w:type="character" w:customStyle="1" w:styleId="eop">
    <w:name w:val="eop"/>
    <w:basedOn w:val="DefaultParagraphFont"/>
    <w:rsid w:val="002C3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2959">
      <w:bodyDiv w:val="1"/>
      <w:marLeft w:val="0"/>
      <w:marRight w:val="0"/>
      <w:marTop w:val="0"/>
      <w:marBottom w:val="0"/>
      <w:divBdr>
        <w:top w:val="none" w:sz="0" w:space="0" w:color="auto"/>
        <w:left w:val="none" w:sz="0" w:space="0" w:color="auto"/>
        <w:bottom w:val="none" w:sz="0" w:space="0" w:color="auto"/>
        <w:right w:val="none" w:sz="0" w:space="0" w:color="auto"/>
      </w:divBdr>
    </w:div>
    <w:div w:id="185366685">
      <w:bodyDiv w:val="1"/>
      <w:marLeft w:val="0"/>
      <w:marRight w:val="0"/>
      <w:marTop w:val="0"/>
      <w:marBottom w:val="0"/>
      <w:divBdr>
        <w:top w:val="none" w:sz="0" w:space="0" w:color="auto"/>
        <w:left w:val="none" w:sz="0" w:space="0" w:color="auto"/>
        <w:bottom w:val="none" w:sz="0" w:space="0" w:color="auto"/>
        <w:right w:val="none" w:sz="0" w:space="0" w:color="auto"/>
      </w:divBdr>
    </w:div>
    <w:div w:id="199634912">
      <w:bodyDiv w:val="1"/>
      <w:marLeft w:val="0"/>
      <w:marRight w:val="0"/>
      <w:marTop w:val="0"/>
      <w:marBottom w:val="0"/>
      <w:divBdr>
        <w:top w:val="none" w:sz="0" w:space="0" w:color="auto"/>
        <w:left w:val="none" w:sz="0" w:space="0" w:color="auto"/>
        <w:bottom w:val="none" w:sz="0" w:space="0" w:color="auto"/>
        <w:right w:val="none" w:sz="0" w:space="0" w:color="auto"/>
      </w:divBdr>
    </w:div>
    <w:div w:id="240870838">
      <w:bodyDiv w:val="1"/>
      <w:marLeft w:val="0"/>
      <w:marRight w:val="0"/>
      <w:marTop w:val="0"/>
      <w:marBottom w:val="0"/>
      <w:divBdr>
        <w:top w:val="none" w:sz="0" w:space="0" w:color="auto"/>
        <w:left w:val="none" w:sz="0" w:space="0" w:color="auto"/>
        <w:bottom w:val="none" w:sz="0" w:space="0" w:color="auto"/>
        <w:right w:val="none" w:sz="0" w:space="0" w:color="auto"/>
      </w:divBdr>
    </w:div>
    <w:div w:id="245388441">
      <w:bodyDiv w:val="1"/>
      <w:marLeft w:val="0"/>
      <w:marRight w:val="0"/>
      <w:marTop w:val="0"/>
      <w:marBottom w:val="0"/>
      <w:divBdr>
        <w:top w:val="none" w:sz="0" w:space="0" w:color="auto"/>
        <w:left w:val="none" w:sz="0" w:space="0" w:color="auto"/>
        <w:bottom w:val="none" w:sz="0" w:space="0" w:color="auto"/>
        <w:right w:val="none" w:sz="0" w:space="0" w:color="auto"/>
      </w:divBdr>
    </w:div>
    <w:div w:id="257444080">
      <w:bodyDiv w:val="1"/>
      <w:marLeft w:val="0"/>
      <w:marRight w:val="0"/>
      <w:marTop w:val="0"/>
      <w:marBottom w:val="0"/>
      <w:divBdr>
        <w:top w:val="none" w:sz="0" w:space="0" w:color="auto"/>
        <w:left w:val="none" w:sz="0" w:space="0" w:color="auto"/>
        <w:bottom w:val="none" w:sz="0" w:space="0" w:color="auto"/>
        <w:right w:val="none" w:sz="0" w:space="0" w:color="auto"/>
      </w:divBdr>
    </w:div>
    <w:div w:id="325599617">
      <w:bodyDiv w:val="1"/>
      <w:marLeft w:val="0"/>
      <w:marRight w:val="0"/>
      <w:marTop w:val="0"/>
      <w:marBottom w:val="0"/>
      <w:divBdr>
        <w:top w:val="none" w:sz="0" w:space="0" w:color="auto"/>
        <w:left w:val="none" w:sz="0" w:space="0" w:color="auto"/>
        <w:bottom w:val="none" w:sz="0" w:space="0" w:color="auto"/>
        <w:right w:val="none" w:sz="0" w:space="0" w:color="auto"/>
      </w:divBdr>
    </w:div>
    <w:div w:id="452601938">
      <w:bodyDiv w:val="1"/>
      <w:marLeft w:val="0"/>
      <w:marRight w:val="0"/>
      <w:marTop w:val="0"/>
      <w:marBottom w:val="0"/>
      <w:divBdr>
        <w:top w:val="none" w:sz="0" w:space="0" w:color="auto"/>
        <w:left w:val="none" w:sz="0" w:space="0" w:color="auto"/>
        <w:bottom w:val="none" w:sz="0" w:space="0" w:color="auto"/>
        <w:right w:val="none" w:sz="0" w:space="0" w:color="auto"/>
      </w:divBdr>
    </w:div>
    <w:div w:id="575172445">
      <w:bodyDiv w:val="1"/>
      <w:marLeft w:val="0"/>
      <w:marRight w:val="0"/>
      <w:marTop w:val="0"/>
      <w:marBottom w:val="0"/>
      <w:divBdr>
        <w:top w:val="none" w:sz="0" w:space="0" w:color="auto"/>
        <w:left w:val="none" w:sz="0" w:space="0" w:color="auto"/>
        <w:bottom w:val="none" w:sz="0" w:space="0" w:color="auto"/>
        <w:right w:val="none" w:sz="0" w:space="0" w:color="auto"/>
      </w:divBdr>
    </w:div>
    <w:div w:id="601913397">
      <w:bodyDiv w:val="1"/>
      <w:marLeft w:val="0"/>
      <w:marRight w:val="0"/>
      <w:marTop w:val="0"/>
      <w:marBottom w:val="0"/>
      <w:divBdr>
        <w:top w:val="none" w:sz="0" w:space="0" w:color="auto"/>
        <w:left w:val="none" w:sz="0" w:space="0" w:color="auto"/>
        <w:bottom w:val="none" w:sz="0" w:space="0" w:color="auto"/>
        <w:right w:val="none" w:sz="0" w:space="0" w:color="auto"/>
      </w:divBdr>
    </w:div>
    <w:div w:id="622805193">
      <w:bodyDiv w:val="1"/>
      <w:marLeft w:val="0"/>
      <w:marRight w:val="0"/>
      <w:marTop w:val="0"/>
      <w:marBottom w:val="0"/>
      <w:divBdr>
        <w:top w:val="none" w:sz="0" w:space="0" w:color="auto"/>
        <w:left w:val="none" w:sz="0" w:space="0" w:color="auto"/>
        <w:bottom w:val="none" w:sz="0" w:space="0" w:color="auto"/>
        <w:right w:val="none" w:sz="0" w:space="0" w:color="auto"/>
      </w:divBdr>
    </w:div>
    <w:div w:id="643585626">
      <w:bodyDiv w:val="1"/>
      <w:marLeft w:val="0"/>
      <w:marRight w:val="0"/>
      <w:marTop w:val="0"/>
      <w:marBottom w:val="0"/>
      <w:divBdr>
        <w:top w:val="none" w:sz="0" w:space="0" w:color="auto"/>
        <w:left w:val="none" w:sz="0" w:space="0" w:color="auto"/>
        <w:bottom w:val="none" w:sz="0" w:space="0" w:color="auto"/>
        <w:right w:val="none" w:sz="0" w:space="0" w:color="auto"/>
      </w:divBdr>
    </w:div>
    <w:div w:id="644285782">
      <w:bodyDiv w:val="1"/>
      <w:marLeft w:val="0"/>
      <w:marRight w:val="0"/>
      <w:marTop w:val="0"/>
      <w:marBottom w:val="0"/>
      <w:divBdr>
        <w:top w:val="none" w:sz="0" w:space="0" w:color="auto"/>
        <w:left w:val="none" w:sz="0" w:space="0" w:color="auto"/>
        <w:bottom w:val="none" w:sz="0" w:space="0" w:color="auto"/>
        <w:right w:val="none" w:sz="0" w:space="0" w:color="auto"/>
      </w:divBdr>
    </w:div>
    <w:div w:id="668681850">
      <w:bodyDiv w:val="1"/>
      <w:marLeft w:val="0"/>
      <w:marRight w:val="0"/>
      <w:marTop w:val="0"/>
      <w:marBottom w:val="0"/>
      <w:divBdr>
        <w:top w:val="none" w:sz="0" w:space="0" w:color="auto"/>
        <w:left w:val="none" w:sz="0" w:space="0" w:color="auto"/>
        <w:bottom w:val="none" w:sz="0" w:space="0" w:color="auto"/>
        <w:right w:val="none" w:sz="0" w:space="0" w:color="auto"/>
      </w:divBdr>
    </w:div>
    <w:div w:id="700394908">
      <w:bodyDiv w:val="1"/>
      <w:marLeft w:val="0"/>
      <w:marRight w:val="0"/>
      <w:marTop w:val="0"/>
      <w:marBottom w:val="0"/>
      <w:divBdr>
        <w:top w:val="none" w:sz="0" w:space="0" w:color="auto"/>
        <w:left w:val="none" w:sz="0" w:space="0" w:color="auto"/>
        <w:bottom w:val="none" w:sz="0" w:space="0" w:color="auto"/>
        <w:right w:val="none" w:sz="0" w:space="0" w:color="auto"/>
      </w:divBdr>
    </w:div>
    <w:div w:id="708994048">
      <w:bodyDiv w:val="1"/>
      <w:marLeft w:val="0"/>
      <w:marRight w:val="0"/>
      <w:marTop w:val="0"/>
      <w:marBottom w:val="0"/>
      <w:divBdr>
        <w:top w:val="none" w:sz="0" w:space="0" w:color="auto"/>
        <w:left w:val="none" w:sz="0" w:space="0" w:color="auto"/>
        <w:bottom w:val="none" w:sz="0" w:space="0" w:color="auto"/>
        <w:right w:val="none" w:sz="0" w:space="0" w:color="auto"/>
      </w:divBdr>
    </w:div>
    <w:div w:id="739401668">
      <w:bodyDiv w:val="1"/>
      <w:marLeft w:val="0"/>
      <w:marRight w:val="0"/>
      <w:marTop w:val="0"/>
      <w:marBottom w:val="0"/>
      <w:divBdr>
        <w:top w:val="none" w:sz="0" w:space="0" w:color="auto"/>
        <w:left w:val="none" w:sz="0" w:space="0" w:color="auto"/>
        <w:bottom w:val="none" w:sz="0" w:space="0" w:color="auto"/>
        <w:right w:val="none" w:sz="0" w:space="0" w:color="auto"/>
      </w:divBdr>
    </w:div>
    <w:div w:id="802188857">
      <w:bodyDiv w:val="1"/>
      <w:marLeft w:val="0"/>
      <w:marRight w:val="0"/>
      <w:marTop w:val="0"/>
      <w:marBottom w:val="0"/>
      <w:divBdr>
        <w:top w:val="none" w:sz="0" w:space="0" w:color="auto"/>
        <w:left w:val="none" w:sz="0" w:space="0" w:color="auto"/>
        <w:bottom w:val="none" w:sz="0" w:space="0" w:color="auto"/>
        <w:right w:val="none" w:sz="0" w:space="0" w:color="auto"/>
      </w:divBdr>
    </w:div>
    <w:div w:id="831986613">
      <w:bodyDiv w:val="1"/>
      <w:marLeft w:val="0"/>
      <w:marRight w:val="0"/>
      <w:marTop w:val="0"/>
      <w:marBottom w:val="0"/>
      <w:divBdr>
        <w:top w:val="none" w:sz="0" w:space="0" w:color="auto"/>
        <w:left w:val="none" w:sz="0" w:space="0" w:color="auto"/>
        <w:bottom w:val="none" w:sz="0" w:space="0" w:color="auto"/>
        <w:right w:val="none" w:sz="0" w:space="0" w:color="auto"/>
      </w:divBdr>
    </w:div>
    <w:div w:id="908810139">
      <w:bodyDiv w:val="1"/>
      <w:marLeft w:val="0"/>
      <w:marRight w:val="0"/>
      <w:marTop w:val="0"/>
      <w:marBottom w:val="0"/>
      <w:divBdr>
        <w:top w:val="none" w:sz="0" w:space="0" w:color="auto"/>
        <w:left w:val="none" w:sz="0" w:space="0" w:color="auto"/>
        <w:bottom w:val="none" w:sz="0" w:space="0" w:color="auto"/>
        <w:right w:val="none" w:sz="0" w:space="0" w:color="auto"/>
      </w:divBdr>
      <w:divsChild>
        <w:div w:id="811481311">
          <w:marLeft w:val="0"/>
          <w:marRight w:val="0"/>
          <w:marTop w:val="0"/>
          <w:marBottom w:val="0"/>
          <w:divBdr>
            <w:top w:val="none" w:sz="0" w:space="0" w:color="auto"/>
            <w:left w:val="none" w:sz="0" w:space="0" w:color="auto"/>
            <w:bottom w:val="none" w:sz="0" w:space="0" w:color="auto"/>
            <w:right w:val="none" w:sz="0" w:space="0" w:color="auto"/>
          </w:divBdr>
        </w:div>
        <w:div w:id="1435712403">
          <w:marLeft w:val="0"/>
          <w:marRight w:val="0"/>
          <w:marTop w:val="0"/>
          <w:marBottom w:val="0"/>
          <w:divBdr>
            <w:top w:val="none" w:sz="0" w:space="0" w:color="auto"/>
            <w:left w:val="none" w:sz="0" w:space="0" w:color="auto"/>
            <w:bottom w:val="none" w:sz="0" w:space="0" w:color="auto"/>
            <w:right w:val="none" w:sz="0" w:space="0" w:color="auto"/>
          </w:divBdr>
        </w:div>
        <w:div w:id="486359797">
          <w:marLeft w:val="0"/>
          <w:marRight w:val="0"/>
          <w:marTop w:val="0"/>
          <w:marBottom w:val="0"/>
          <w:divBdr>
            <w:top w:val="none" w:sz="0" w:space="0" w:color="auto"/>
            <w:left w:val="none" w:sz="0" w:space="0" w:color="auto"/>
            <w:bottom w:val="none" w:sz="0" w:space="0" w:color="auto"/>
            <w:right w:val="none" w:sz="0" w:space="0" w:color="auto"/>
          </w:divBdr>
        </w:div>
        <w:div w:id="1478063376">
          <w:marLeft w:val="0"/>
          <w:marRight w:val="0"/>
          <w:marTop w:val="0"/>
          <w:marBottom w:val="0"/>
          <w:divBdr>
            <w:top w:val="none" w:sz="0" w:space="0" w:color="auto"/>
            <w:left w:val="none" w:sz="0" w:space="0" w:color="auto"/>
            <w:bottom w:val="none" w:sz="0" w:space="0" w:color="auto"/>
            <w:right w:val="none" w:sz="0" w:space="0" w:color="auto"/>
          </w:divBdr>
        </w:div>
        <w:div w:id="2129003666">
          <w:marLeft w:val="0"/>
          <w:marRight w:val="0"/>
          <w:marTop w:val="0"/>
          <w:marBottom w:val="0"/>
          <w:divBdr>
            <w:top w:val="none" w:sz="0" w:space="0" w:color="auto"/>
            <w:left w:val="none" w:sz="0" w:space="0" w:color="auto"/>
            <w:bottom w:val="none" w:sz="0" w:space="0" w:color="auto"/>
            <w:right w:val="none" w:sz="0" w:space="0" w:color="auto"/>
          </w:divBdr>
        </w:div>
        <w:div w:id="1584682543">
          <w:marLeft w:val="0"/>
          <w:marRight w:val="0"/>
          <w:marTop w:val="0"/>
          <w:marBottom w:val="0"/>
          <w:divBdr>
            <w:top w:val="none" w:sz="0" w:space="0" w:color="auto"/>
            <w:left w:val="none" w:sz="0" w:space="0" w:color="auto"/>
            <w:bottom w:val="none" w:sz="0" w:space="0" w:color="auto"/>
            <w:right w:val="none" w:sz="0" w:space="0" w:color="auto"/>
          </w:divBdr>
        </w:div>
        <w:div w:id="1478720839">
          <w:marLeft w:val="0"/>
          <w:marRight w:val="0"/>
          <w:marTop w:val="0"/>
          <w:marBottom w:val="0"/>
          <w:divBdr>
            <w:top w:val="none" w:sz="0" w:space="0" w:color="auto"/>
            <w:left w:val="none" w:sz="0" w:space="0" w:color="auto"/>
            <w:bottom w:val="none" w:sz="0" w:space="0" w:color="auto"/>
            <w:right w:val="none" w:sz="0" w:space="0" w:color="auto"/>
          </w:divBdr>
        </w:div>
        <w:div w:id="658729320">
          <w:marLeft w:val="0"/>
          <w:marRight w:val="0"/>
          <w:marTop w:val="0"/>
          <w:marBottom w:val="0"/>
          <w:divBdr>
            <w:top w:val="none" w:sz="0" w:space="0" w:color="auto"/>
            <w:left w:val="none" w:sz="0" w:space="0" w:color="auto"/>
            <w:bottom w:val="none" w:sz="0" w:space="0" w:color="auto"/>
            <w:right w:val="none" w:sz="0" w:space="0" w:color="auto"/>
          </w:divBdr>
        </w:div>
        <w:div w:id="1865290729">
          <w:marLeft w:val="0"/>
          <w:marRight w:val="0"/>
          <w:marTop w:val="0"/>
          <w:marBottom w:val="0"/>
          <w:divBdr>
            <w:top w:val="none" w:sz="0" w:space="0" w:color="auto"/>
            <w:left w:val="none" w:sz="0" w:space="0" w:color="auto"/>
            <w:bottom w:val="none" w:sz="0" w:space="0" w:color="auto"/>
            <w:right w:val="none" w:sz="0" w:space="0" w:color="auto"/>
          </w:divBdr>
        </w:div>
        <w:div w:id="1709792707">
          <w:marLeft w:val="0"/>
          <w:marRight w:val="0"/>
          <w:marTop w:val="0"/>
          <w:marBottom w:val="0"/>
          <w:divBdr>
            <w:top w:val="none" w:sz="0" w:space="0" w:color="auto"/>
            <w:left w:val="none" w:sz="0" w:space="0" w:color="auto"/>
            <w:bottom w:val="none" w:sz="0" w:space="0" w:color="auto"/>
            <w:right w:val="none" w:sz="0" w:space="0" w:color="auto"/>
          </w:divBdr>
        </w:div>
      </w:divsChild>
    </w:div>
    <w:div w:id="941228810">
      <w:bodyDiv w:val="1"/>
      <w:marLeft w:val="0"/>
      <w:marRight w:val="0"/>
      <w:marTop w:val="0"/>
      <w:marBottom w:val="0"/>
      <w:divBdr>
        <w:top w:val="none" w:sz="0" w:space="0" w:color="auto"/>
        <w:left w:val="none" w:sz="0" w:space="0" w:color="auto"/>
        <w:bottom w:val="none" w:sz="0" w:space="0" w:color="auto"/>
        <w:right w:val="none" w:sz="0" w:space="0" w:color="auto"/>
      </w:divBdr>
    </w:div>
    <w:div w:id="953633957">
      <w:bodyDiv w:val="1"/>
      <w:marLeft w:val="0"/>
      <w:marRight w:val="0"/>
      <w:marTop w:val="0"/>
      <w:marBottom w:val="0"/>
      <w:divBdr>
        <w:top w:val="none" w:sz="0" w:space="0" w:color="auto"/>
        <w:left w:val="none" w:sz="0" w:space="0" w:color="auto"/>
        <w:bottom w:val="none" w:sz="0" w:space="0" w:color="auto"/>
        <w:right w:val="none" w:sz="0" w:space="0" w:color="auto"/>
      </w:divBdr>
    </w:div>
    <w:div w:id="1037704164">
      <w:bodyDiv w:val="1"/>
      <w:marLeft w:val="0"/>
      <w:marRight w:val="0"/>
      <w:marTop w:val="0"/>
      <w:marBottom w:val="0"/>
      <w:divBdr>
        <w:top w:val="none" w:sz="0" w:space="0" w:color="auto"/>
        <w:left w:val="none" w:sz="0" w:space="0" w:color="auto"/>
        <w:bottom w:val="none" w:sz="0" w:space="0" w:color="auto"/>
        <w:right w:val="none" w:sz="0" w:space="0" w:color="auto"/>
      </w:divBdr>
    </w:div>
    <w:div w:id="1067529139">
      <w:bodyDiv w:val="1"/>
      <w:marLeft w:val="0"/>
      <w:marRight w:val="0"/>
      <w:marTop w:val="0"/>
      <w:marBottom w:val="0"/>
      <w:divBdr>
        <w:top w:val="none" w:sz="0" w:space="0" w:color="auto"/>
        <w:left w:val="none" w:sz="0" w:space="0" w:color="auto"/>
        <w:bottom w:val="none" w:sz="0" w:space="0" w:color="auto"/>
        <w:right w:val="none" w:sz="0" w:space="0" w:color="auto"/>
      </w:divBdr>
    </w:div>
    <w:div w:id="1128355125">
      <w:bodyDiv w:val="1"/>
      <w:marLeft w:val="0"/>
      <w:marRight w:val="0"/>
      <w:marTop w:val="0"/>
      <w:marBottom w:val="0"/>
      <w:divBdr>
        <w:top w:val="none" w:sz="0" w:space="0" w:color="auto"/>
        <w:left w:val="none" w:sz="0" w:space="0" w:color="auto"/>
        <w:bottom w:val="none" w:sz="0" w:space="0" w:color="auto"/>
        <w:right w:val="none" w:sz="0" w:space="0" w:color="auto"/>
      </w:divBdr>
    </w:div>
    <w:div w:id="1142236467">
      <w:bodyDiv w:val="1"/>
      <w:marLeft w:val="0"/>
      <w:marRight w:val="0"/>
      <w:marTop w:val="0"/>
      <w:marBottom w:val="0"/>
      <w:divBdr>
        <w:top w:val="none" w:sz="0" w:space="0" w:color="auto"/>
        <w:left w:val="none" w:sz="0" w:space="0" w:color="auto"/>
        <w:bottom w:val="none" w:sz="0" w:space="0" w:color="auto"/>
        <w:right w:val="none" w:sz="0" w:space="0" w:color="auto"/>
      </w:divBdr>
    </w:div>
    <w:div w:id="1197893639">
      <w:bodyDiv w:val="1"/>
      <w:marLeft w:val="0"/>
      <w:marRight w:val="0"/>
      <w:marTop w:val="0"/>
      <w:marBottom w:val="0"/>
      <w:divBdr>
        <w:top w:val="none" w:sz="0" w:space="0" w:color="auto"/>
        <w:left w:val="none" w:sz="0" w:space="0" w:color="auto"/>
        <w:bottom w:val="none" w:sz="0" w:space="0" w:color="auto"/>
        <w:right w:val="none" w:sz="0" w:space="0" w:color="auto"/>
      </w:divBdr>
    </w:div>
    <w:div w:id="1278564969">
      <w:bodyDiv w:val="1"/>
      <w:marLeft w:val="0"/>
      <w:marRight w:val="0"/>
      <w:marTop w:val="0"/>
      <w:marBottom w:val="0"/>
      <w:divBdr>
        <w:top w:val="none" w:sz="0" w:space="0" w:color="auto"/>
        <w:left w:val="none" w:sz="0" w:space="0" w:color="auto"/>
        <w:bottom w:val="none" w:sz="0" w:space="0" w:color="auto"/>
        <w:right w:val="none" w:sz="0" w:space="0" w:color="auto"/>
      </w:divBdr>
    </w:div>
    <w:div w:id="1324237603">
      <w:bodyDiv w:val="1"/>
      <w:marLeft w:val="0"/>
      <w:marRight w:val="0"/>
      <w:marTop w:val="0"/>
      <w:marBottom w:val="0"/>
      <w:divBdr>
        <w:top w:val="none" w:sz="0" w:space="0" w:color="auto"/>
        <w:left w:val="none" w:sz="0" w:space="0" w:color="auto"/>
        <w:bottom w:val="none" w:sz="0" w:space="0" w:color="auto"/>
        <w:right w:val="none" w:sz="0" w:space="0" w:color="auto"/>
      </w:divBdr>
      <w:divsChild>
        <w:div w:id="2116435283">
          <w:marLeft w:val="0"/>
          <w:marRight w:val="0"/>
          <w:marTop w:val="0"/>
          <w:marBottom w:val="0"/>
          <w:divBdr>
            <w:top w:val="none" w:sz="0" w:space="0" w:color="auto"/>
            <w:left w:val="none" w:sz="0" w:space="0" w:color="auto"/>
            <w:bottom w:val="none" w:sz="0" w:space="0" w:color="auto"/>
            <w:right w:val="none" w:sz="0" w:space="0" w:color="auto"/>
          </w:divBdr>
        </w:div>
        <w:div w:id="960303259">
          <w:marLeft w:val="0"/>
          <w:marRight w:val="0"/>
          <w:marTop w:val="0"/>
          <w:marBottom w:val="0"/>
          <w:divBdr>
            <w:top w:val="none" w:sz="0" w:space="0" w:color="auto"/>
            <w:left w:val="none" w:sz="0" w:space="0" w:color="auto"/>
            <w:bottom w:val="none" w:sz="0" w:space="0" w:color="auto"/>
            <w:right w:val="none" w:sz="0" w:space="0" w:color="auto"/>
          </w:divBdr>
        </w:div>
        <w:div w:id="644429239">
          <w:marLeft w:val="0"/>
          <w:marRight w:val="0"/>
          <w:marTop w:val="0"/>
          <w:marBottom w:val="0"/>
          <w:divBdr>
            <w:top w:val="none" w:sz="0" w:space="0" w:color="auto"/>
            <w:left w:val="none" w:sz="0" w:space="0" w:color="auto"/>
            <w:bottom w:val="none" w:sz="0" w:space="0" w:color="auto"/>
            <w:right w:val="none" w:sz="0" w:space="0" w:color="auto"/>
          </w:divBdr>
        </w:div>
        <w:div w:id="1105491985">
          <w:marLeft w:val="0"/>
          <w:marRight w:val="0"/>
          <w:marTop w:val="0"/>
          <w:marBottom w:val="0"/>
          <w:divBdr>
            <w:top w:val="none" w:sz="0" w:space="0" w:color="auto"/>
            <w:left w:val="none" w:sz="0" w:space="0" w:color="auto"/>
            <w:bottom w:val="none" w:sz="0" w:space="0" w:color="auto"/>
            <w:right w:val="none" w:sz="0" w:space="0" w:color="auto"/>
          </w:divBdr>
        </w:div>
        <w:div w:id="1608805907">
          <w:marLeft w:val="0"/>
          <w:marRight w:val="0"/>
          <w:marTop w:val="0"/>
          <w:marBottom w:val="0"/>
          <w:divBdr>
            <w:top w:val="none" w:sz="0" w:space="0" w:color="auto"/>
            <w:left w:val="none" w:sz="0" w:space="0" w:color="auto"/>
            <w:bottom w:val="none" w:sz="0" w:space="0" w:color="auto"/>
            <w:right w:val="none" w:sz="0" w:space="0" w:color="auto"/>
          </w:divBdr>
        </w:div>
        <w:div w:id="1724058440">
          <w:marLeft w:val="0"/>
          <w:marRight w:val="0"/>
          <w:marTop w:val="0"/>
          <w:marBottom w:val="0"/>
          <w:divBdr>
            <w:top w:val="none" w:sz="0" w:space="0" w:color="auto"/>
            <w:left w:val="none" w:sz="0" w:space="0" w:color="auto"/>
            <w:bottom w:val="none" w:sz="0" w:space="0" w:color="auto"/>
            <w:right w:val="none" w:sz="0" w:space="0" w:color="auto"/>
          </w:divBdr>
        </w:div>
        <w:div w:id="1529178676">
          <w:marLeft w:val="0"/>
          <w:marRight w:val="0"/>
          <w:marTop w:val="0"/>
          <w:marBottom w:val="0"/>
          <w:divBdr>
            <w:top w:val="none" w:sz="0" w:space="0" w:color="auto"/>
            <w:left w:val="none" w:sz="0" w:space="0" w:color="auto"/>
            <w:bottom w:val="none" w:sz="0" w:space="0" w:color="auto"/>
            <w:right w:val="none" w:sz="0" w:space="0" w:color="auto"/>
          </w:divBdr>
        </w:div>
        <w:div w:id="1856727531">
          <w:marLeft w:val="0"/>
          <w:marRight w:val="0"/>
          <w:marTop w:val="0"/>
          <w:marBottom w:val="0"/>
          <w:divBdr>
            <w:top w:val="none" w:sz="0" w:space="0" w:color="auto"/>
            <w:left w:val="none" w:sz="0" w:space="0" w:color="auto"/>
            <w:bottom w:val="none" w:sz="0" w:space="0" w:color="auto"/>
            <w:right w:val="none" w:sz="0" w:space="0" w:color="auto"/>
          </w:divBdr>
        </w:div>
        <w:div w:id="30418918">
          <w:marLeft w:val="0"/>
          <w:marRight w:val="0"/>
          <w:marTop w:val="0"/>
          <w:marBottom w:val="0"/>
          <w:divBdr>
            <w:top w:val="none" w:sz="0" w:space="0" w:color="auto"/>
            <w:left w:val="none" w:sz="0" w:space="0" w:color="auto"/>
            <w:bottom w:val="none" w:sz="0" w:space="0" w:color="auto"/>
            <w:right w:val="none" w:sz="0" w:space="0" w:color="auto"/>
          </w:divBdr>
        </w:div>
        <w:div w:id="1208881140">
          <w:marLeft w:val="0"/>
          <w:marRight w:val="0"/>
          <w:marTop w:val="0"/>
          <w:marBottom w:val="0"/>
          <w:divBdr>
            <w:top w:val="none" w:sz="0" w:space="0" w:color="auto"/>
            <w:left w:val="none" w:sz="0" w:space="0" w:color="auto"/>
            <w:bottom w:val="none" w:sz="0" w:space="0" w:color="auto"/>
            <w:right w:val="none" w:sz="0" w:space="0" w:color="auto"/>
          </w:divBdr>
        </w:div>
        <w:div w:id="568929902">
          <w:marLeft w:val="0"/>
          <w:marRight w:val="0"/>
          <w:marTop w:val="0"/>
          <w:marBottom w:val="0"/>
          <w:divBdr>
            <w:top w:val="none" w:sz="0" w:space="0" w:color="auto"/>
            <w:left w:val="none" w:sz="0" w:space="0" w:color="auto"/>
            <w:bottom w:val="none" w:sz="0" w:space="0" w:color="auto"/>
            <w:right w:val="none" w:sz="0" w:space="0" w:color="auto"/>
          </w:divBdr>
        </w:div>
      </w:divsChild>
    </w:div>
    <w:div w:id="1360089726">
      <w:bodyDiv w:val="1"/>
      <w:marLeft w:val="0"/>
      <w:marRight w:val="0"/>
      <w:marTop w:val="0"/>
      <w:marBottom w:val="0"/>
      <w:divBdr>
        <w:top w:val="none" w:sz="0" w:space="0" w:color="auto"/>
        <w:left w:val="none" w:sz="0" w:space="0" w:color="auto"/>
        <w:bottom w:val="none" w:sz="0" w:space="0" w:color="auto"/>
        <w:right w:val="none" w:sz="0" w:space="0" w:color="auto"/>
      </w:divBdr>
    </w:div>
    <w:div w:id="1388919343">
      <w:bodyDiv w:val="1"/>
      <w:marLeft w:val="0"/>
      <w:marRight w:val="0"/>
      <w:marTop w:val="0"/>
      <w:marBottom w:val="0"/>
      <w:divBdr>
        <w:top w:val="none" w:sz="0" w:space="0" w:color="auto"/>
        <w:left w:val="none" w:sz="0" w:space="0" w:color="auto"/>
        <w:bottom w:val="none" w:sz="0" w:space="0" w:color="auto"/>
        <w:right w:val="none" w:sz="0" w:space="0" w:color="auto"/>
      </w:divBdr>
    </w:div>
    <w:div w:id="1409887396">
      <w:bodyDiv w:val="1"/>
      <w:marLeft w:val="0"/>
      <w:marRight w:val="0"/>
      <w:marTop w:val="0"/>
      <w:marBottom w:val="0"/>
      <w:divBdr>
        <w:top w:val="none" w:sz="0" w:space="0" w:color="auto"/>
        <w:left w:val="none" w:sz="0" w:space="0" w:color="auto"/>
        <w:bottom w:val="none" w:sz="0" w:space="0" w:color="auto"/>
        <w:right w:val="none" w:sz="0" w:space="0" w:color="auto"/>
      </w:divBdr>
    </w:div>
    <w:div w:id="1460489208">
      <w:bodyDiv w:val="1"/>
      <w:marLeft w:val="0"/>
      <w:marRight w:val="0"/>
      <w:marTop w:val="0"/>
      <w:marBottom w:val="0"/>
      <w:divBdr>
        <w:top w:val="none" w:sz="0" w:space="0" w:color="auto"/>
        <w:left w:val="none" w:sz="0" w:space="0" w:color="auto"/>
        <w:bottom w:val="none" w:sz="0" w:space="0" w:color="auto"/>
        <w:right w:val="none" w:sz="0" w:space="0" w:color="auto"/>
      </w:divBdr>
    </w:div>
    <w:div w:id="1575965930">
      <w:bodyDiv w:val="1"/>
      <w:marLeft w:val="0"/>
      <w:marRight w:val="0"/>
      <w:marTop w:val="0"/>
      <w:marBottom w:val="0"/>
      <w:divBdr>
        <w:top w:val="none" w:sz="0" w:space="0" w:color="auto"/>
        <w:left w:val="none" w:sz="0" w:space="0" w:color="auto"/>
        <w:bottom w:val="none" w:sz="0" w:space="0" w:color="auto"/>
        <w:right w:val="none" w:sz="0" w:space="0" w:color="auto"/>
      </w:divBdr>
    </w:div>
    <w:div w:id="1579245700">
      <w:bodyDiv w:val="1"/>
      <w:marLeft w:val="0"/>
      <w:marRight w:val="0"/>
      <w:marTop w:val="0"/>
      <w:marBottom w:val="0"/>
      <w:divBdr>
        <w:top w:val="none" w:sz="0" w:space="0" w:color="auto"/>
        <w:left w:val="none" w:sz="0" w:space="0" w:color="auto"/>
        <w:bottom w:val="none" w:sz="0" w:space="0" w:color="auto"/>
        <w:right w:val="none" w:sz="0" w:space="0" w:color="auto"/>
      </w:divBdr>
    </w:div>
    <w:div w:id="1663195638">
      <w:bodyDiv w:val="1"/>
      <w:marLeft w:val="0"/>
      <w:marRight w:val="0"/>
      <w:marTop w:val="0"/>
      <w:marBottom w:val="0"/>
      <w:divBdr>
        <w:top w:val="none" w:sz="0" w:space="0" w:color="auto"/>
        <w:left w:val="none" w:sz="0" w:space="0" w:color="auto"/>
        <w:bottom w:val="none" w:sz="0" w:space="0" w:color="auto"/>
        <w:right w:val="none" w:sz="0" w:space="0" w:color="auto"/>
      </w:divBdr>
    </w:div>
    <w:div w:id="1812090044">
      <w:bodyDiv w:val="1"/>
      <w:marLeft w:val="0"/>
      <w:marRight w:val="0"/>
      <w:marTop w:val="0"/>
      <w:marBottom w:val="0"/>
      <w:divBdr>
        <w:top w:val="none" w:sz="0" w:space="0" w:color="auto"/>
        <w:left w:val="none" w:sz="0" w:space="0" w:color="auto"/>
        <w:bottom w:val="none" w:sz="0" w:space="0" w:color="auto"/>
        <w:right w:val="none" w:sz="0" w:space="0" w:color="auto"/>
      </w:divBdr>
    </w:div>
    <w:div w:id="1881867082">
      <w:bodyDiv w:val="1"/>
      <w:marLeft w:val="0"/>
      <w:marRight w:val="0"/>
      <w:marTop w:val="0"/>
      <w:marBottom w:val="0"/>
      <w:divBdr>
        <w:top w:val="none" w:sz="0" w:space="0" w:color="auto"/>
        <w:left w:val="none" w:sz="0" w:space="0" w:color="auto"/>
        <w:bottom w:val="none" w:sz="0" w:space="0" w:color="auto"/>
        <w:right w:val="none" w:sz="0" w:space="0" w:color="auto"/>
      </w:divBdr>
    </w:div>
    <w:div w:id="1958413393">
      <w:bodyDiv w:val="1"/>
      <w:marLeft w:val="0"/>
      <w:marRight w:val="0"/>
      <w:marTop w:val="0"/>
      <w:marBottom w:val="0"/>
      <w:divBdr>
        <w:top w:val="none" w:sz="0" w:space="0" w:color="auto"/>
        <w:left w:val="none" w:sz="0" w:space="0" w:color="auto"/>
        <w:bottom w:val="none" w:sz="0" w:space="0" w:color="auto"/>
        <w:right w:val="none" w:sz="0" w:space="0" w:color="auto"/>
      </w:divBdr>
    </w:div>
    <w:div w:id="1970739094">
      <w:bodyDiv w:val="1"/>
      <w:marLeft w:val="0"/>
      <w:marRight w:val="0"/>
      <w:marTop w:val="0"/>
      <w:marBottom w:val="0"/>
      <w:divBdr>
        <w:top w:val="none" w:sz="0" w:space="0" w:color="auto"/>
        <w:left w:val="none" w:sz="0" w:space="0" w:color="auto"/>
        <w:bottom w:val="none" w:sz="0" w:space="0" w:color="auto"/>
        <w:right w:val="none" w:sz="0" w:space="0" w:color="auto"/>
      </w:divBdr>
    </w:div>
    <w:div w:id="1988507845">
      <w:bodyDiv w:val="1"/>
      <w:marLeft w:val="0"/>
      <w:marRight w:val="0"/>
      <w:marTop w:val="0"/>
      <w:marBottom w:val="0"/>
      <w:divBdr>
        <w:top w:val="none" w:sz="0" w:space="0" w:color="auto"/>
        <w:left w:val="none" w:sz="0" w:space="0" w:color="auto"/>
        <w:bottom w:val="none" w:sz="0" w:space="0" w:color="auto"/>
        <w:right w:val="none" w:sz="0" w:space="0" w:color="auto"/>
      </w:divBdr>
    </w:div>
    <w:div w:id="1992253525">
      <w:bodyDiv w:val="1"/>
      <w:marLeft w:val="0"/>
      <w:marRight w:val="0"/>
      <w:marTop w:val="0"/>
      <w:marBottom w:val="0"/>
      <w:divBdr>
        <w:top w:val="none" w:sz="0" w:space="0" w:color="auto"/>
        <w:left w:val="none" w:sz="0" w:space="0" w:color="auto"/>
        <w:bottom w:val="none" w:sz="0" w:space="0" w:color="auto"/>
        <w:right w:val="none" w:sz="0" w:space="0" w:color="auto"/>
      </w:divBdr>
    </w:div>
    <w:div w:id="203826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{7E4F3833-32F2-4B46-AFDA-37CAF9AEE05B}</b:Guid>
    <b:Title>Court closures</b:Title>
    <b:Year>2022</b:Year>
    <b:Author>
      <b:Author>
        <b:Corporate>The Law Society</b:Corporate>
      </b:Author>
    </b:Author>
    <b:URL>https://www.lawsociety.org.uk/campaigns/court-reform/whats-changing/court-closures</b:URL>
    <b:YearAccessed>2023</b:YearAccessed>
    <b:MonthAccessed>April</b:MonthAccessed>
    <b:DayAccessed>5</b:DayAccessed>
    <b:RefOrder>1</b:RefOrder>
  </b:Source>
  <b:Source>
    <b:Tag>GOV23</b:Tag>
    <b:SourceType>InternetSite</b:SourceType>
    <b:Guid>{BD441E46-BB3D-164D-816C-3FC7844D71E3}</b:Guid>
    <b:Author>
      <b:Author>
        <b:Corporate>GOV.UK</b:Corporate>
      </b:Author>
    </b:Author>
    <b:Title>Become a magistrate</b:Title>
    <b:URL>https://www.gov.uk/become-magistrate</b:URL>
    <b:Year>2023</b:Year>
    <b:YearAccessed>2023</b:YearAccessed>
    <b:MonthAccessed>April</b:MonthAccessed>
    <b:DayAccessed>5</b:DayAccessed>
    <b:RefOrder>2</b:RefOrder>
  </b:Source>
  <b:Source>
    <b:Tag>Cou23</b:Tag>
    <b:SourceType>InternetSite</b:SourceType>
    <b:Guid>{3D578D19-BBFF-C046-85A9-2B8E7C5B4ABF}</b:Guid>
    <b:Title>Magistrates</b:Title>
    <b:Year>2023</b:Year>
    <b:Author>
      <b:Author>
        <b:Corporate>Courts and Tribunals Judiciary</b:Corporate>
      </b:Author>
    </b:Author>
    <b:URL>https://www.judiciary.uk/about-the-judiciary/who-are-the-judiciary/magistrates/#:~:text=What%20do%20they%20do%3F,benches%2C%20of%202%20or%203.</b:URL>
    <b:YearAccessed>2023</b:YearAccessed>
    <b:MonthAccessed>April</b:MonthAccessed>
    <b:DayAccessed>5</b:DayAccessed>
    <b:RefOrder>3</b:RefOrder>
  </b:Source>
  <b:Source>
    <b:Tag>UKP20</b:Tag>
    <b:SourceType>InternetSite</b:SourceType>
    <b:Guid>{A9F2D16B-4BED-3C4B-BCA6-42ECD14CE73C}</b:Guid>
    <b:Author>
      <b:Author>
        <b:Corporate>UK Parliment</b:Corporate>
      </b:Author>
    </b:Author>
    <b:Title>Constituency data: Magistrates' court closures</b:Title>
    <b:URL>https://commonslibrary.parliament.uk/constituency-data-magistrates-court-closures/</b:URL>
    <b:Year>2020</b:Year>
    <b:YearAccessed>2023</b:YearAccessed>
    <b:MonthAccessed>April</b:MonthAccessed>
    <b:DayAccessed>5</b:DayAccessed>
    <b:RefOrder>4</b:RefOrder>
  </b:Source>
  <b:Source>
    <b:Tag>PAa12</b:Tag>
    <b:SourceType>Book</b:SourceType>
    <b:Guid>{AE81886C-D990-E74C-A462-9E4A768C1719}</b:Guid>
    <b:Title>Introduction to the English legal system</b:Title>
    <b:City>Oxford</b:City>
    <b:Publisher>Oxford University Press</b:Publisher>
    <b:Year>2012</b:Year>
    <b:Edition>1</b:Edition>
    <b:Author>
      <b:Author>
        <b:NameList>
          <b:Person>
            <b:Last>Partington</b:Last>
            <b:First>Martin</b:First>
          </b:Person>
        </b:NameList>
      </b:Author>
    </b:Author>
    <b:RefOrder>5</b:RefOrder>
  </b:Source>
  <b:Source>
    <b:Tag>All201</b:Tag>
    <b:SourceType>Book</b:SourceType>
    <b:Guid>{86AA37B9-7F14-764B-863C-AD6ED57F9BDF}</b:Guid>
    <b:Title>Elliott and Quinn's English legal system</b:Title>
    <b:City>London</b:City>
    <b:Publisher>Pearson</b:Publisher>
    <b:Year>2020</b:Year>
    <b:Edition>21</b:Edition>
    <b:Author>
      <b:Author>
        <b:NameList>
          <b:Person>
            <b:Last>Allbon</b:Last>
            <b:First>Emily</b:First>
          </b:Person>
          <b:Person>
            <b:Last>Dua</b:Last>
            <b:Middle>Kaur</b:Middle>
            <b:First>Sanmeet</b:First>
          </b:Person>
        </b:NameList>
      </b:Author>
    </b:Author>
    <b:RefOrder>6</b:RefOrder>
  </b:Source>
  <b:Source>
    <b:Tag>Ell15</b:Tag>
    <b:SourceType>Book</b:SourceType>
    <b:Guid>{54548F9F-FEC0-7543-922F-001855AB5EC4}</b:Guid>
    <b:Title>English Legal System</b:Title>
    <b:City>London</b:City>
    <b:Publisher>Pearson</b:Publisher>
    <b:Year>2015</b:Year>
    <b:Edition>16</b:Edition>
    <b:Author>
      <b:Author>
        <b:NameList>
          <b:Person>
            <b:Last>Elliott</b:Last>
            <b:First>Catherine</b:First>
          </b:Person>
          <b:Person>
            <b:Last>Quinn</b:Last>
            <b:First>Frances</b:First>
          </b:Person>
        </b:NameList>
      </b:Author>
    </b:Author>
    <b:RefOrder>7</b:RefOrder>
  </b:Source>
  <b:Source>
    <b:Tag>Cow13</b:Tag>
    <b:SourceType>Book</b:SourceType>
    <b:Guid>{A20758D9-0CC5-744A-BAF7-D9CA84B53A91}</b:Guid>
    <b:Title>English legal system in context</b:Title>
    <b:City>Oxford</b:City>
    <b:Publisher>Oxford University Press</b:Publisher>
    <b:Year>2013</b:Year>
    <b:Edition>6</b:Edition>
    <b:Author>
      <b:Author>
        <b:NameList>
          <b:Person>
            <b:Last>Cownie</b:Last>
            <b:First>Fiona</b:First>
          </b:Person>
          <b:Person>
            <b:Last>Bradney</b:Last>
            <b:First>Anthony</b:First>
          </b:Person>
          <b:Person>
            <b:Last>Burton</b:Last>
            <b:First>Mandy</b:First>
          </b:Person>
        </b:NameList>
      </b:Author>
    </b:Author>
    <b:RefOrder>8</b:RefOrder>
  </b:Source>
  <b:Source>
    <b:Tag>Sla15</b:Tag>
    <b:SourceType>Book</b:SourceType>
    <b:Guid>{3892A3B0-2989-DB48-84BE-63D0EDAA2651}</b:Guid>
    <b:Title>The English legal system</b:Title>
    <b:City>Oxford</b:City>
    <b:Publisher>Routledge</b:Publisher>
    <b:Year>2015</b:Year>
    <b:Edition>16</b:Edition>
    <b:Author>
      <b:Author>
        <b:NameList>
          <b:Person>
            <b:Last>Slapper</b:Last>
            <b:First>Gary</b:First>
          </b:Person>
          <b:Person>
            <b:Last>Kelly</b:Last>
            <b:First>David</b:First>
          </b:Person>
        </b:NameList>
      </b:Author>
    </b:Author>
    <b:RefOrder>9</b:RefOrder>
  </b:Source>
  <b:Source>
    <b:Tag>McB81</b:Tag>
    <b:SourceType>JournalArticle</b:SourceType>
    <b:Guid>{9CFB91C9-C51A-F844-91AE-784E8834E5C8}</b:Guid>
    <b:Title>Magistrates' Courts and the Ideology of Justice</b:Title>
    <b:Year>1981</b:Year>
    <b:JournalName>British Journal of Law and Society</b:JournalName>
    <b:Volume>8</b:Volume>
    <b:Issue>2</b:Issue>
    <b:Pages>181-197</b:Pages>
    <b:Author>
      <b:Author>
        <b:NameList>
          <b:Person>
            <b:Last>McBarnet</b:Last>
            <b:First>Doreen</b:First>
          </b:Person>
        </b:NameList>
      </b:Author>
    </b:Author>
    <b:RefOrder>10</b:RefOrder>
  </b:Source>
  <b:Source>
    <b:Tag>Gil21</b:Tag>
    <b:SourceType>Book</b:SourceType>
    <b:Guid>{7EE2E00A-7C79-2345-B07A-DBA4A9CB1C4D}</b:Guid>
    <b:Title>The English legal system</b:Title>
    <b:Year>2021</b:Year>
    <b:City>Oxford</b:City>
    <b:Publisher>Oxford University Press</b:Publisher>
    <b:Edition>8</b:Edition>
    <b:Author>
      <b:Author>
        <b:NameList>
          <b:Person>
            <b:Last>Gillespie</b:Last>
            <b:Middle>A</b:Middle>
            <b:First>Alisdair</b:First>
          </b:Person>
          <b:Person>
            <b:Last>Weare</b:Last>
            <b:First>Siobhan</b:First>
          </b:Person>
        </b:NameList>
      </b:Author>
    </b:Author>
    <b:RefOrder>11</b:RefOrder>
  </b:Source>
  <b:Source>
    <b:Tag>Don14</b:Tag>
    <b:SourceType>JournalArticle</b:SourceType>
    <b:Guid>{F93EDBEF-4BDC-7947-A289-FC55E46D3378}</b:Guid>
    <b:Title>Reforming the Role of Magistrates: Implications for Summary Justice in England and Wales</b:Title>
    <b:Year>2014</b:Year>
    <b:JournalName>The Modern Law Review</b:JournalName>
    <b:Volume>77</b:Volume>
    <b:Issue>6</b:Issue>
    <b:Pages>928-963</b:Pages>
    <b:Author>
      <b:Author>
        <b:NameList>
          <b:Person>
            <b:Last>Donoghue</b:Last>
            <b:Middle>C</b:Middle>
            <b:First>Jane</b:First>
          </b:Person>
        </b:NameList>
      </b:Author>
    </b:Author>
    <b:RefOrder>12</b:RefOrder>
  </b:Source>
  <b:Source>
    <b:Tag>Mac10</b:Tag>
    <b:SourceType>JournalArticle</b:SourceType>
    <b:Guid>{5BE6F56F-B40E-8444-98E4-58756697D9D1}</b:Guid>
    <b:Title>Performing Impartiality: Judical Demeanor and Legitimacy</b:Title>
    <b:JournalName>Law &amp; Social Inquiry</b:JournalName>
    <b:Year>2010</b:Year>
    <b:Volume>35</b:Volume>
    <b:Issue>1</b:Issue>
    <b:Pages>137-173</b:Pages>
    <b:Author>
      <b:Author>
        <b:NameList>
          <b:Person>
            <b:Last>Mack</b:Last>
            <b:First>Kathy</b:First>
          </b:Person>
          <b:Person>
            <b:Last>Anleu</b:Last>
            <b:Middle>Roach</b:Middle>
            <b:First>Sharyn</b:First>
          </b:Person>
        </b:NameList>
      </b:Author>
    </b:Author>
    <b:RefOrder>13</b:RefOrder>
  </b:Source>
  <b:Source>
    <b:Tag>Esn19</b:Tag>
    <b:SourceType>JournalArticle</b:SourceType>
    <b:Guid>{0DC6173E-7C03-BE4A-897B-F3712729B97D}</b:Guid>
    <b:Title>Jurors' verdicts based on their intimate conviction: Influence of magistarte's opinion on confirmatory information processing</b:Title>
    <b:JournalName>Cogent Psychology</b:JournalName>
    <b:Year>2019</b:Year>
    <b:Volume>6</b:Volume>
    <b:Issue>1</b:Issue>
    <b:Author>
      <b:Author>
        <b:NameList>
          <b:Person>
            <b:Last>Esnard</b:Last>
            <b:First>Catherine</b:First>
          </b:Person>
          <b:Person>
            <b:Last>Dumas</b:Last>
            <b:First>Rafaele</b:First>
          </b:Person>
        </b:NameList>
      </b:Author>
    </b:Author>
    <b:Pages>53-59</b:Pages>
    <b:RefOrder>14</b:RefOrder>
  </b:Source>
  <b:Source>
    <b:Tag>Cru20</b:Tag>
    <b:SourceType>JournalArticle</b:SourceType>
    <b:Guid>{2933E4AE-5653-7448-BCDB-72A4CCCCCB7A}</b:Guid>
    <b:Title>Why fair procedures always make a difference</b:Title>
    <b:JournalName>Modern law review</b:JournalName>
    <b:Year>2020</b:Year>
    <b:Volume>83</b:Volume>
    <b:Author>
      <b:Author>
        <b:NameList>
          <b:Person>
            <b:Last>Crummey</b:Last>
            <b:First>Conor</b:First>
          </b:Person>
        </b:NameList>
      </b:Author>
    </b:Author>
    <b:Issue>6</b:Issue>
    <b:Pages>1221-1245</b:Pages>
    <b:RefOrder>15</b:RefOrder>
  </b:Source>
  <b:Source>
    <b:Tag>Anl05</b:Tag>
    <b:SourceType>JournalArticle</b:SourceType>
    <b:Guid>{2CAB4DB2-00CA-984F-BE76-76170EC6BC0F}</b:Guid>
    <b:RefOrder>16</b:RefOrder>
  </b:Source>
</b:Sources>
</file>

<file path=customXml/itemProps1.xml><?xml version="1.0" encoding="utf-8"?>
<ds:datastoreItem xmlns:ds="http://schemas.openxmlformats.org/officeDocument/2006/customXml" ds:itemID="{C9C95842-9265-F54F-9FA7-2A9F71C78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TotalTime>
  <Pages>5</Pages>
  <Words>1864</Words>
  <Characters>10626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Explain the advantages and disadvantages of Magistrates in the exercise of justice.</vt:lpstr>
    </vt:vector>
  </TitlesOfParts>
  <Company/>
  <LinksUpToDate>false</LinksUpToDate>
  <CharactersWithSpaces>12466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advantages and disadvantages of Magistrates in the exercise of justice.</dc:title>
  <dc:subject>Legal Process.</dc:subject>
  <dc:creator>Cerys Bowen (2203320)</dc:creator>
  <cp:keywords/>
  <dc:description/>
  <cp:lastModifiedBy>Cerys Bowen (2203320)</cp:lastModifiedBy>
  <cp:revision>18</cp:revision>
  <dcterms:created xsi:type="dcterms:W3CDTF">2023-04-05T10:06:00Z</dcterms:created>
  <dcterms:modified xsi:type="dcterms:W3CDTF">2023-05-04T22:05:00Z</dcterms:modified>
</cp:coreProperties>
</file>