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765696" wp14:paraId="5229AF3B" wp14:textId="2D6B4931">
      <w:pPr>
        <w:pStyle w:val="Heading1"/>
        <w:spacing w:before="326" w:beforeAutospacing="off" w:after="326" w:afterAutospacing="off"/>
      </w:pPr>
      <w:r w:rsidRPr="61765696" w:rsidR="020B58DB">
        <w:rPr>
          <w:rFonts w:ascii="Aptos" w:hAnsi="Aptos" w:eastAsia="Aptos" w:cs="Aptos" w:asciiTheme="minorAscii" w:hAnsiTheme="minorAscii" w:eastAsiaTheme="minorAscii" w:cstheme="minorAscii"/>
          <w:b w:val="0"/>
          <w:bCs w:val="0"/>
          <w:noProof w:val="0"/>
          <w:color w:val="auto"/>
          <w:sz w:val="24"/>
          <w:szCs w:val="24"/>
          <w:lang w:val="en-GB"/>
        </w:rPr>
        <w:t>Ellie morgan</w:t>
      </w:r>
    </w:p>
    <w:p xmlns:wp14="http://schemas.microsoft.com/office/word/2010/wordml" w:rsidP="61765696" wp14:paraId="0EACED7F" wp14:textId="205DCFAE">
      <w:pPr>
        <w:pStyle w:val="Normal"/>
      </w:pPr>
      <w:r w:rsidRPr="61765696" w:rsidR="7D2113D0">
        <w:rPr>
          <w:noProof w:val="0"/>
          <w:lang w:val="en-GB"/>
        </w:rPr>
        <w:t>2416694</w:t>
      </w:r>
    </w:p>
    <w:p xmlns:wp14="http://schemas.microsoft.com/office/word/2010/wordml" w:rsidP="61765696" wp14:paraId="08B15A33" wp14:textId="19CA1B01">
      <w:pPr>
        <w:pStyle w:val="Heading1"/>
      </w:pPr>
      <w:r w:rsidRPr="61765696" w:rsidR="2EEDC5A0">
        <w:rPr>
          <w:rFonts w:ascii="Aptos" w:hAnsi="Aptos" w:eastAsia="Aptos" w:cs="Aptos" w:asciiTheme="minorAscii" w:hAnsiTheme="minorAscii" w:eastAsiaTheme="minorAscii" w:cstheme="minorAscii"/>
          <w:b w:val="0"/>
          <w:bCs w:val="0"/>
          <w:noProof w:val="0"/>
          <w:color w:val="auto"/>
          <w:sz w:val="24"/>
          <w:szCs w:val="24"/>
          <w:lang w:val="en-GB"/>
        </w:rPr>
        <w:t>Placement: Developing Customer Experience and Service Skills (BMGM5003)</w:t>
      </w:r>
    </w:p>
    <w:p xmlns:wp14="http://schemas.microsoft.com/office/word/2010/wordml" w:rsidP="61765696" wp14:paraId="0312C5DE" wp14:textId="1C63032E">
      <w:pPr>
        <w:pStyle w:val="Normal"/>
        <w:rPr>
          <w:noProof w:val="0"/>
          <w:lang w:val="en-GB"/>
        </w:rPr>
      </w:pPr>
    </w:p>
    <w:p xmlns:wp14="http://schemas.microsoft.com/office/word/2010/wordml" wp14:paraId="18E8B26C" wp14:textId="0522C328">
      <w:r w:rsidR="3B05C0F2">
        <w:rPr/>
        <w:t>Antoinette Milne</w:t>
      </w:r>
    </w:p>
    <w:p xmlns:wp14="http://schemas.microsoft.com/office/word/2010/wordml" wp14:paraId="7686479E" wp14:textId="66F8E09D"/>
    <w:p xmlns:wp14="http://schemas.microsoft.com/office/word/2010/wordml" w:rsidP="61765696" wp14:paraId="15595776" wp14:textId="27ED2726">
      <w:pPr>
        <w:pStyle w:val="Normal"/>
      </w:pPr>
      <w:r w:rsidRPr="61765696" w:rsidR="3B05C0F2">
        <w:rPr>
          <w:rFonts w:ascii="Aptos" w:hAnsi="Aptos" w:eastAsia="Aptos" w:cs="Aptos"/>
          <w:noProof w:val="0"/>
          <w:color w:val="000000" w:themeColor="text1" w:themeTint="FF" w:themeShade="FF"/>
          <w:sz w:val="24"/>
          <w:szCs w:val="24"/>
          <w:lang w:val="en-GB"/>
        </w:rPr>
        <w:t xml:space="preserve">Used AI for research and structure: Asked Copilot” can you explain this assignment in </w:t>
      </w:r>
      <w:r w:rsidRPr="61765696" w:rsidR="3B05C0F2">
        <w:rPr>
          <w:rFonts w:ascii="Aptos" w:hAnsi="Aptos" w:eastAsia="Aptos" w:cs="Aptos"/>
          <w:noProof w:val="0"/>
          <w:color w:val="000000" w:themeColor="text1" w:themeTint="FF" w:themeShade="FF"/>
          <w:sz w:val="24"/>
          <w:szCs w:val="24"/>
          <w:lang w:val="en-GB"/>
        </w:rPr>
        <w:t>a</w:t>
      </w:r>
      <w:r w:rsidRPr="61765696" w:rsidR="3B05C0F2">
        <w:rPr>
          <w:rFonts w:ascii="Aptos" w:hAnsi="Aptos" w:eastAsia="Aptos" w:cs="Aptos"/>
          <w:noProof w:val="0"/>
          <w:color w:val="000000" w:themeColor="text1" w:themeTint="FF" w:themeShade="FF"/>
          <w:sz w:val="24"/>
          <w:szCs w:val="24"/>
          <w:lang w:val="en-GB"/>
        </w:rPr>
        <w:t xml:space="preserve"> easy understanding”</w:t>
      </w:r>
    </w:p>
    <w:p xmlns:wp14="http://schemas.microsoft.com/office/word/2010/wordml" w:rsidP="61765696" wp14:paraId="1443DB0A" wp14:textId="0BA3BBB9">
      <w:pPr>
        <w:spacing w:before="240" w:beforeAutospacing="off" w:after="240" w:afterAutospacing="off"/>
      </w:pPr>
      <w:r w:rsidRPr="61765696" w:rsidR="005BE13B">
        <w:rPr>
          <w:rFonts w:ascii="Helvetica" w:hAnsi="Helvetica" w:eastAsia="Helvetica" w:cs="Helvetica"/>
          <w:noProof w:val="0"/>
          <w:color w:val="000000" w:themeColor="text1" w:themeTint="FF" w:themeShade="FF"/>
          <w:sz w:val="24"/>
          <w:szCs w:val="24"/>
          <w:lang w:val="en-GB"/>
        </w:rPr>
        <w:t>I confirm that I have not presented any AI generated text as my own work. I confirm I have copies of my</w:t>
      </w:r>
      <w:r w:rsidRPr="61765696" w:rsidR="77F64543">
        <w:rPr>
          <w:rFonts w:ascii="Helvetica" w:hAnsi="Helvetica" w:eastAsia="Helvetica" w:cs="Helvetica"/>
          <w:noProof w:val="0"/>
          <w:color w:val="000000" w:themeColor="text1" w:themeTint="FF" w:themeShade="FF"/>
          <w:sz w:val="24"/>
          <w:szCs w:val="24"/>
          <w:lang w:val="en-GB"/>
        </w:rPr>
        <w:t xml:space="preserve"> text</w:t>
      </w:r>
      <w:r w:rsidRPr="61765696" w:rsidR="005BE13B">
        <w:rPr>
          <w:rFonts w:ascii="Helvetica" w:hAnsi="Helvetica" w:eastAsia="Helvetica" w:cs="Helvetica"/>
          <w:noProof w:val="0"/>
          <w:color w:val="000000" w:themeColor="text1" w:themeTint="FF" w:themeShade="FF"/>
          <w:sz w:val="24"/>
          <w:szCs w:val="24"/>
          <w:lang w:val="en-GB"/>
        </w:rPr>
        <w:t xml:space="preserve"> </w:t>
      </w:r>
      <w:r w:rsidRPr="61765696" w:rsidR="005BE13B">
        <w:rPr>
          <w:rFonts w:ascii="Helvetica" w:hAnsi="Helvetica" w:eastAsia="Helvetica" w:cs="Helvetica"/>
          <w:noProof w:val="0"/>
          <w:color w:val="000000" w:themeColor="text1" w:themeTint="FF" w:themeShade="FF"/>
          <w:sz w:val="24"/>
          <w:szCs w:val="24"/>
          <w:lang w:val="en-GB"/>
        </w:rPr>
        <w:t>and after the use of AI tools which I may be asked to provide in evidence.</w:t>
      </w:r>
    </w:p>
    <w:p xmlns:wp14="http://schemas.microsoft.com/office/word/2010/wordml" w:rsidP="61765696" wp14:paraId="6C8139CC" wp14:textId="57BD91ED">
      <w:pPr>
        <w:pStyle w:val="Normal"/>
        <w:rPr>
          <w:rFonts w:ascii="Aptos" w:hAnsi="Aptos" w:eastAsia="Aptos" w:cs="Aptos"/>
          <w:noProof w:val="0"/>
          <w:color w:val="000000" w:themeColor="text1" w:themeTint="FF" w:themeShade="FF"/>
          <w:sz w:val="24"/>
          <w:szCs w:val="24"/>
          <w:lang w:val="en-GB"/>
        </w:rPr>
      </w:pPr>
    </w:p>
    <w:p xmlns:wp14="http://schemas.microsoft.com/office/word/2010/wordml" wp14:paraId="4C10319F" wp14:textId="49DCBDB7"/>
    <w:p xmlns:wp14="http://schemas.microsoft.com/office/word/2010/wordml" wp14:paraId="21C149A9" wp14:textId="15F80A07"/>
    <w:p xmlns:wp14="http://schemas.microsoft.com/office/word/2010/wordml" wp14:paraId="47DD64B5" wp14:textId="0E742212"/>
    <w:p xmlns:wp14="http://schemas.microsoft.com/office/word/2010/wordml" wp14:paraId="6D37D2AC" wp14:textId="7CF350A0"/>
    <w:p xmlns:wp14="http://schemas.microsoft.com/office/word/2010/wordml" wp14:paraId="036E759F" wp14:textId="3DA31752"/>
    <w:p xmlns:wp14="http://schemas.microsoft.com/office/word/2010/wordml" wp14:paraId="51044152" wp14:textId="3A3BF7B2"/>
    <w:p xmlns:wp14="http://schemas.microsoft.com/office/word/2010/wordml" wp14:paraId="7B229964" wp14:textId="01B1FFED"/>
    <w:p xmlns:wp14="http://schemas.microsoft.com/office/word/2010/wordml" wp14:paraId="63601CAE" wp14:textId="715E6BB5"/>
    <w:p xmlns:wp14="http://schemas.microsoft.com/office/word/2010/wordml" wp14:paraId="2D31A3CD" wp14:textId="7493C327"/>
    <w:p xmlns:wp14="http://schemas.microsoft.com/office/word/2010/wordml" wp14:paraId="1021B851" wp14:textId="54DEB218"/>
    <w:p xmlns:wp14="http://schemas.microsoft.com/office/word/2010/wordml" wp14:paraId="4B59DD9D" wp14:textId="7698EFF5"/>
    <w:p xmlns:wp14="http://schemas.microsoft.com/office/word/2010/wordml" wp14:paraId="6B7EF221" wp14:textId="13E3BEEF"/>
    <w:p xmlns:wp14="http://schemas.microsoft.com/office/word/2010/wordml" wp14:paraId="7248DC71" wp14:textId="00A030AA"/>
    <w:p xmlns:wp14="http://schemas.microsoft.com/office/word/2010/wordml" wp14:paraId="5FCBD680" wp14:textId="284B64EA"/>
    <w:p xmlns:wp14="http://schemas.microsoft.com/office/word/2010/wordml" wp14:paraId="1B04E02B" wp14:textId="21C1A69C"/>
    <w:p xmlns:wp14="http://schemas.microsoft.com/office/word/2010/wordml" wp14:paraId="2F6F1FC8" wp14:textId="44C6C853"/>
    <w:p xmlns:wp14="http://schemas.microsoft.com/office/word/2010/wordml" wp14:paraId="7F4DF65F" wp14:textId="76C98BA9"/>
    <w:p xmlns:wp14="http://schemas.microsoft.com/office/word/2010/wordml" wp14:paraId="556289D4" wp14:textId="583DB4C0"/>
    <w:p xmlns:wp14="http://schemas.microsoft.com/office/word/2010/wordml" w:rsidP="61765696" wp14:paraId="5E5787A5" wp14:textId="2205B8CF">
      <w:pPr>
        <w:pStyle w:val="Normal"/>
      </w:pPr>
    </w:p>
    <w:p w:rsidR="58C47E99" w:rsidP="61765696" w:rsidRDefault="58C47E99" w14:paraId="25C42C6D" w14:textId="0186E736">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r w:rsidRPr="61765696" w:rsidR="737FDDF7">
        <w:rPr>
          <w:rFonts w:ascii="Aptos" w:hAnsi="Aptos" w:eastAsia="Aptos" w:cs="Aptos"/>
          <w:b w:val="0"/>
          <w:bCs w:val="0"/>
          <w:noProof w:val="0"/>
          <w:color w:val="000000" w:themeColor="text1" w:themeTint="FF" w:themeShade="FF"/>
          <w:sz w:val="28"/>
          <w:szCs w:val="28"/>
          <w:lang w:val="en-GB"/>
        </w:rPr>
        <w:t xml:space="preserve">This reflective portfolio brings together five key elements of my learning during my placement at </w:t>
      </w:r>
      <w:r w:rsidRPr="61765696" w:rsidR="737FDDF7">
        <w:rPr>
          <w:rFonts w:ascii="Aptos" w:hAnsi="Aptos" w:eastAsia="Aptos" w:cs="Aptos"/>
          <w:b w:val="0"/>
          <w:bCs w:val="0"/>
          <w:noProof w:val="0"/>
          <w:color w:val="000000" w:themeColor="text1" w:themeTint="FF" w:themeShade="FF"/>
          <w:sz w:val="28"/>
          <w:szCs w:val="28"/>
          <w:lang w:val="en-GB"/>
        </w:rPr>
        <w:t>The Secret,</w:t>
      </w:r>
      <w:r w:rsidRPr="61765696" w:rsidR="737FDDF7">
        <w:rPr>
          <w:rFonts w:ascii="Aptos" w:hAnsi="Aptos" w:eastAsia="Aptos" w:cs="Aptos"/>
          <w:b w:val="0"/>
          <w:bCs w:val="0"/>
          <w:noProof w:val="0"/>
          <w:color w:val="000000" w:themeColor="text1" w:themeTint="FF" w:themeShade="FF"/>
          <w:sz w:val="28"/>
          <w:szCs w:val="28"/>
          <w:lang w:val="en-GB"/>
        </w:rPr>
        <w:t xml:space="preserve"> </w:t>
      </w:r>
      <w:r w:rsidRPr="61765696" w:rsidR="3958E189">
        <w:rPr>
          <w:rFonts w:ascii="Aptos" w:hAnsi="Aptos" w:eastAsia="Aptos" w:cs="Aptos"/>
          <w:b w:val="0"/>
          <w:bCs w:val="0"/>
          <w:noProof w:val="0"/>
          <w:color w:val="000000" w:themeColor="text1" w:themeTint="FF" w:themeShade="FF"/>
          <w:sz w:val="28"/>
          <w:szCs w:val="28"/>
          <w:lang w:val="en-GB"/>
        </w:rPr>
        <w:t>showing</w:t>
      </w:r>
      <w:r w:rsidRPr="61765696" w:rsidR="737FDDF7">
        <w:rPr>
          <w:rFonts w:ascii="Aptos" w:hAnsi="Aptos" w:eastAsia="Aptos" w:cs="Aptos"/>
          <w:b w:val="0"/>
          <w:bCs w:val="0"/>
          <w:noProof w:val="0"/>
          <w:color w:val="000000" w:themeColor="text1" w:themeTint="FF" w:themeShade="FF"/>
          <w:sz w:val="28"/>
          <w:szCs w:val="28"/>
          <w:lang w:val="en-GB"/>
        </w:rPr>
        <w:t xml:space="preserve"> how I have developed the skills and knowledge </w:t>
      </w:r>
      <w:r w:rsidRPr="61765696" w:rsidR="737FDDF7">
        <w:rPr>
          <w:rFonts w:ascii="Aptos" w:hAnsi="Aptos" w:eastAsia="Aptos" w:cs="Aptos"/>
          <w:b w:val="0"/>
          <w:bCs w:val="0"/>
          <w:noProof w:val="0"/>
          <w:color w:val="000000" w:themeColor="text1" w:themeTint="FF" w:themeShade="FF"/>
          <w:sz w:val="28"/>
          <w:szCs w:val="28"/>
          <w:lang w:val="en-GB"/>
        </w:rPr>
        <w:t>required</w:t>
      </w:r>
      <w:r w:rsidRPr="61765696" w:rsidR="737FDDF7">
        <w:rPr>
          <w:rFonts w:ascii="Aptos" w:hAnsi="Aptos" w:eastAsia="Aptos" w:cs="Aptos"/>
          <w:b w:val="0"/>
          <w:bCs w:val="0"/>
          <w:noProof w:val="0"/>
          <w:color w:val="000000" w:themeColor="text1" w:themeTint="FF" w:themeShade="FF"/>
          <w:sz w:val="28"/>
          <w:szCs w:val="28"/>
          <w:lang w:val="en-GB"/>
        </w:rPr>
        <w:t xml:space="preserve"> to meet the learning outcomes. To structure my reflections, I have used </w:t>
      </w:r>
      <w:r w:rsidRPr="61765696" w:rsidR="737FDDF7">
        <w:rPr>
          <w:rFonts w:ascii="Aptos" w:hAnsi="Aptos" w:eastAsia="Aptos" w:cs="Aptos"/>
          <w:b w:val="0"/>
          <w:bCs w:val="0"/>
          <w:noProof w:val="0"/>
          <w:color w:val="000000" w:themeColor="text1" w:themeTint="FF" w:themeShade="FF"/>
          <w:sz w:val="28"/>
          <w:szCs w:val="28"/>
          <w:lang w:val="en-GB"/>
        </w:rPr>
        <w:t xml:space="preserve">Kolb’s </w:t>
      </w:r>
      <w:r w:rsidRPr="61765696" w:rsidR="737FDDF7">
        <w:rPr>
          <w:rFonts w:ascii="Aptos" w:hAnsi="Aptos" w:eastAsia="Aptos" w:cs="Aptos"/>
          <w:b w:val="0"/>
          <w:bCs w:val="0"/>
          <w:noProof w:val="0"/>
          <w:color w:val="000000" w:themeColor="text1" w:themeTint="FF" w:themeShade="FF"/>
          <w:sz w:val="28"/>
          <w:szCs w:val="28"/>
          <w:lang w:val="en-GB"/>
        </w:rPr>
        <w:t>Experiential Learning Cycle</w:t>
      </w:r>
      <w:r w:rsidRPr="61765696" w:rsidR="737FDDF7">
        <w:rPr>
          <w:rFonts w:ascii="Aptos" w:hAnsi="Aptos" w:eastAsia="Aptos" w:cs="Aptos"/>
          <w:b w:val="0"/>
          <w:bCs w:val="0"/>
          <w:noProof w:val="0"/>
          <w:color w:val="000000" w:themeColor="text1" w:themeTint="FF" w:themeShade="FF"/>
          <w:sz w:val="28"/>
          <w:szCs w:val="28"/>
          <w:lang w:val="en-GB"/>
        </w:rPr>
        <w:t xml:space="preserve">, which explains how learning happens through four interconnected stages: </w:t>
      </w:r>
      <w:r w:rsidRPr="61765696" w:rsidR="737FDDF7">
        <w:rPr>
          <w:rFonts w:ascii="Aptos" w:hAnsi="Aptos" w:eastAsia="Aptos" w:cs="Aptos"/>
          <w:b w:val="0"/>
          <w:bCs w:val="0"/>
          <w:i w:val="1"/>
          <w:iCs w:val="1"/>
          <w:noProof w:val="0"/>
          <w:color w:val="000000" w:themeColor="text1" w:themeTint="FF" w:themeShade="FF"/>
          <w:sz w:val="28"/>
          <w:szCs w:val="28"/>
          <w:lang w:val="en-GB"/>
        </w:rPr>
        <w:t>Concrete Experience</w:t>
      </w:r>
      <w:r w:rsidRPr="61765696" w:rsidR="737FDDF7">
        <w:rPr>
          <w:rFonts w:ascii="Aptos" w:hAnsi="Aptos" w:eastAsia="Aptos" w:cs="Aptos"/>
          <w:b w:val="0"/>
          <w:bCs w:val="0"/>
          <w:noProof w:val="0"/>
          <w:color w:val="000000" w:themeColor="text1" w:themeTint="FF" w:themeShade="FF"/>
          <w:sz w:val="28"/>
          <w:szCs w:val="28"/>
          <w:lang w:val="en-GB"/>
        </w:rPr>
        <w:t xml:space="preserve"> (direct involvement in a situation), </w:t>
      </w:r>
      <w:r w:rsidRPr="61765696" w:rsidR="737FDDF7">
        <w:rPr>
          <w:rFonts w:ascii="Aptos" w:hAnsi="Aptos" w:eastAsia="Aptos" w:cs="Aptos"/>
          <w:b w:val="0"/>
          <w:bCs w:val="0"/>
          <w:i w:val="1"/>
          <w:iCs w:val="1"/>
          <w:noProof w:val="0"/>
          <w:color w:val="000000" w:themeColor="text1" w:themeTint="FF" w:themeShade="FF"/>
          <w:sz w:val="28"/>
          <w:szCs w:val="28"/>
          <w:lang w:val="en-GB"/>
        </w:rPr>
        <w:t>Reflective Observation</w:t>
      </w:r>
      <w:r w:rsidRPr="61765696" w:rsidR="737FDDF7">
        <w:rPr>
          <w:rFonts w:ascii="Aptos" w:hAnsi="Aptos" w:eastAsia="Aptos" w:cs="Aptos"/>
          <w:b w:val="0"/>
          <w:bCs w:val="0"/>
          <w:noProof w:val="0"/>
          <w:color w:val="000000" w:themeColor="text1" w:themeTint="FF" w:themeShade="FF"/>
          <w:sz w:val="28"/>
          <w:szCs w:val="28"/>
          <w:lang w:val="en-GB"/>
        </w:rPr>
        <w:t xml:space="preserve"> (thinking about what happened), </w:t>
      </w:r>
      <w:r w:rsidRPr="61765696" w:rsidR="737FDDF7">
        <w:rPr>
          <w:rFonts w:ascii="Aptos" w:hAnsi="Aptos" w:eastAsia="Aptos" w:cs="Aptos"/>
          <w:b w:val="0"/>
          <w:bCs w:val="0"/>
          <w:i w:val="1"/>
          <w:iCs w:val="1"/>
          <w:noProof w:val="0"/>
          <w:color w:val="000000" w:themeColor="text1" w:themeTint="FF" w:themeShade="FF"/>
          <w:sz w:val="28"/>
          <w:szCs w:val="28"/>
          <w:lang w:val="en-GB"/>
        </w:rPr>
        <w:t>Abstract Conceptualisation</w:t>
      </w:r>
      <w:r w:rsidRPr="61765696" w:rsidR="737FDDF7">
        <w:rPr>
          <w:rFonts w:ascii="Aptos" w:hAnsi="Aptos" w:eastAsia="Aptos" w:cs="Aptos"/>
          <w:b w:val="0"/>
          <w:bCs w:val="0"/>
          <w:noProof w:val="0"/>
          <w:color w:val="000000" w:themeColor="text1" w:themeTint="FF" w:themeShade="FF"/>
          <w:sz w:val="28"/>
          <w:szCs w:val="28"/>
          <w:lang w:val="en-GB"/>
        </w:rPr>
        <w:t xml:space="preserve"> (connecting the experience to theory), and </w:t>
      </w:r>
      <w:r w:rsidRPr="61765696" w:rsidR="737FDDF7">
        <w:rPr>
          <w:rFonts w:ascii="Aptos" w:hAnsi="Aptos" w:eastAsia="Aptos" w:cs="Aptos"/>
          <w:b w:val="0"/>
          <w:bCs w:val="0"/>
          <w:i w:val="1"/>
          <w:iCs w:val="1"/>
          <w:noProof w:val="0"/>
          <w:color w:val="000000" w:themeColor="text1" w:themeTint="FF" w:themeShade="FF"/>
          <w:sz w:val="28"/>
          <w:szCs w:val="28"/>
          <w:lang w:val="en-GB"/>
        </w:rPr>
        <w:t>Active Experimentation</w:t>
      </w:r>
      <w:r w:rsidRPr="61765696" w:rsidR="737FDDF7">
        <w:rPr>
          <w:rFonts w:ascii="Aptos" w:hAnsi="Aptos" w:eastAsia="Aptos" w:cs="Aptos"/>
          <w:b w:val="0"/>
          <w:bCs w:val="0"/>
          <w:noProof w:val="0"/>
          <w:color w:val="000000" w:themeColor="text1" w:themeTint="FF" w:themeShade="FF"/>
          <w:sz w:val="28"/>
          <w:szCs w:val="28"/>
          <w:lang w:val="en-GB"/>
        </w:rPr>
        <w:t xml:space="preserve"> (applying what I learned to future practice). Kolb’s model emphasises that learning is a continuous cycle where experience is transformed into deeper understanding (Kolb &amp; Kolb, 2009).</w:t>
      </w:r>
    </w:p>
    <w:p w:rsidR="58C47E99" w:rsidP="61765696" w:rsidRDefault="58C47E99" w14:paraId="2E4BD51B" w14:textId="1BD9CE53">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r w:rsidRPr="61765696" w:rsidR="737FDDF7">
        <w:rPr>
          <w:rFonts w:ascii="Aptos" w:hAnsi="Aptos" w:eastAsia="Aptos" w:cs="Aptos"/>
          <w:b w:val="0"/>
          <w:bCs w:val="0"/>
          <w:noProof w:val="0"/>
          <w:color w:val="000000" w:themeColor="text1" w:themeTint="FF" w:themeShade="FF"/>
          <w:sz w:val="28"/>
          <w:szCs w:val="28"/>
          <w:lang w:val="en-GB"/>
        </w:rPr>
        <w:t>Throughout my placement, I engaged in a wide range of customer interactions, teamwork situations, and fast</w:t>
      </w:r>
      <w:r>
        <w:noBreakHyphen/>
      </w:r>
      <w:r w:rsidRPr="61765696" w:rsidR="737FDDF7">
        <w:rPr>
          <w:rFonts w:ascii="Aptos" w:hAnsi="Aptos" w:eastAsia="Aptos" w:cs="Aptos"/>
          <w:b w:val="0"/>
          <w:bCs w:val="0"/>
          <w:noProof w:val="0"/>
          <w:color w:val="000000" w:themeColor="text1" w:themeTint="FF" w:themeShade="FF"/>
          <w:sz w:val="28"/>
          <w:szCs w:val="28"/>
          <w:lang w:val="en-GB"/>
        </w:rPr>
        <w:t>paced service environments that allowed me to develop professionally. Reflecting on these experiences helped me recognise how emotional awareness and communication shape customer satisfaction, which is supported by research showing that frontline behaviour strongly influences guest perceptions (Ladhari, 2009). I also learned how important teamwork is in hospitality, especially during busy periods, aligning with studies that highlight collaboration as essential for service quality and staff wellbeing (Mathieu et al., 2017).</w:t>
      </w:r>
    </w:p>
    <w:p w:rsidR="58C47E99" w:rsidP="61765696" w:rsidRDefault="58C47E99" w14:paraId="75FDCF92" w14:textId="03E43EA5">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r w:rsidRPr="61765696" w:rsidR="737FDDF7">
        <w:rPr>
          <w:rFonts w:ascii="Aptos" w:hAnsi="Aptos" w:eastAsia="Aptos" w:cs="Aptos"/>
          <w:b w:val="0"/>
          <w:bCs w:val="0"/>
          <w:noProof w:val="0"/>
          <w:color w:val="000000" w:themeColor="text1" w:themeTint="FF" w:themeShade="FF"/>
          <w:sz w:val="28"/>
          <w:szCs w:val="28"/>
          <w:lang w:val="en-GB"/>
        </w:rPr>
        <w:t>Using Kolb’s model has helped me make sense of these experiences by encouraging me to pause, reflect, and connect practice with theory. This process has strengthened my ability to evaluate my own performance and identify areas for improvement, which is a key part of professional development (Moon, 2013). Each element of this portfolio demonstrates how I have met the learning outcomes by showing growth in communication, emotional intelligence, teamwork, and reflective thinking.</w:t>
      </w:r>
    </w:p>
    <w:p w:rsidR="58C47E99" w:rsidP="61765696" w:rsidRDefault="58C47E99" w14:paraId="75CE8260" w14:textId="6878A159">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r w:rsidRPr="61765696" w:rsidR="737FDDF7">
        <w:rPr>
          <w:rFonts w:ascii="Aptos" w:hAnsi="Aptos" w:eastAsia="Aptos" w:cs="Aptos"/>
          <w:b w:val="0"/>
          <w:bCs w:val="0"/>
          <w:noProof w:val="0"/>
          <w:color w:val="000000" w:themeColor="text1" w:themeTint="FF" w:themeShade="FF"/>
          <w:sz w:val="28"/>
          <w:szCs w:val="28"/>
          <w:lang w:val="en-GB"/>
        </w:rPr>
        <w:t>Overall, this introduction sets the foundation for the reflections that follow. It shows how my placement has shaped my understanding of the hospitality industry and how the lessons learned will support my future career aspirations. By engaging with real experiences and applying structured reflection, I have developed a clearer sense of direction and a stronger awareness of the skills I need moving forward.</w:t>
      </w:r>
    </w:p>
    <w:p w:rsidR="58C47E99" w:rsidP="61765696" w:rsidRDefault="58C47E99" w14:paraId="4B85F7F0" w14:textId="69666C2E">
      <w:pPr>
        <w:rPr>
          <w:b w:val="0"/>
          <w:bCs w:val="0"/>
          <w:sz w:val="28"/>
          <w:szCs w:val="28"/>
        </w:rPr>
      </w:pPr>
    </w:p>
    <w:p w:rsidR="5996D5FA" w:rsidP="61765696" w:rsidRDefault="5996D5FA" w14:paraId="6F90009B" w14:textId="229B3BB9">
      <w:pPr>
        <w:pStyle w:val="Normal"/>
        <w:rPr>
          <w:rFonts w:ascii="Aptos" w:hAnsi="Aptos" w:eastAsia="Aptos" w:cs="Aptos" w:asciiTheme="minorAscii" w:hAnsiTheme="minorAscii" w:eastAsiaTheme="minorAscii" w:cstheme="minorAscii"/>
          <w:b w:val="0"/>
          <w:bCs w:val="0"/>
          <w:sz w:val="28"/>
          <w:szCs w:val="28"/>
        </w:rPr>
      </w:pPr>
      <w:r w:rsidRPr="61765696" w:rsidR="6DECCD67">
        <w:rPr>
          <w:rFonts w:ascii="Aptos" w:hAnsi="Aptos" w:eastAsia="Aptos" w:cs="Aptos" w:asciiTheme="minorAscii" w:hAnsiTheme="minorAscii" w:eastAsiaTheme="minorAscii" w:cstheme="minorAscii"/>
          <w:b w:val="0"/>
          <w:bCs w:val="0"/>
          <w:sz w:val="28"/>
          <w:szCs w:val="28"/>
        </w:rPr>
        <w:t>first impression</w:t>
      </w:r>
    </w:p>
    <w:p w:rsidR="58C47E99" w:rsidP="61765696" w:rsidRDefault="58C47E99" w14:paraId="72BAFAF9" w14:textId="08004966">
      <w:pPr>
        <w:pStyle w:val="Normal"/>
        <w:rPr>
          <w:rFonts w:ascii="Aptos" w:hAnsi="Aptos" w:eastAsia="Aptos" w:cs="Aptos"/>
          <w:b w:val="0"/>
          <w:bCs w:val="0"/>
          <w:noProof w:val="0"/>
          <w:color w:val="000000" w:themeColor="text1" w:themeTint="FF" w:themeShade="FF"/>
          <w:sz w:val="28"/>
          <w:szCs w:val="28"/>
          <w:lang w:val="en-GB"/>
        </w:rPr>
      </w:pPr>
      <w:r w:rsidRPr="61765696" w:rsidR="36C4B3C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Through my</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experience of first customer contact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demonstrates</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how initial interactions strongly influence service outcomes. In practice, I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observed</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that customers’ immediate reactions</w:t>
      </w:r>
      <w:r w:rsidRPr="61765696" w:rsidR="0B11345D">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such as openness or hesitation</w:t>
      </w:r>
      <w:r w:rsidRPr="61765696" w:rsidR="1FC92FA1">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shifted noticeably based on my greeting. When my introduction was warm and confident, customers engaged more positively, a pattern consistent with research showing that early interpersonal behaviour significantly shapes perceived service quality (Muralidhar et al., </w:t>
      </w:r>
      <w:r w:rsidRPr="61765696" w:rsidR="4D54B41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2017)</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Reflecting on less successful encounters, I recognised that rushed or impersonal greetings often produced reduced trust and lower willingness to interact. Analysing these experiences highlighted the importance of </w:t>
      </w:r>
      <w:r w:rsidRPr="61765696" w:rsidR="45F8C7D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non-verbal</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communication, aligning with evidence that first impressions formed through tone, posture, and eye contact influence customer satisfaction in hospitality settings (Fu, 2024</w:t>
      </w:r>
      <w:r w:rsidRPr="61765696" w:rsidR="701509C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First</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impressions vs. The Peak-End Rule: Episodic evaluations in a service experience and the moderating effect of retrospective </w:t>
      </w:r>
      <w:r w:rsidRPr="61765696" w:rsidR="567FC298">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delay.</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This understanding informed changes in my practice, leading me to adopt more deliberate and composed behaviours during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initial</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contact. </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Subsequent</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interactions showed improved customer comfort and engagement, echoing wider industry findings that positive early emotional cues at </w:t>
      </w:r>
      <w:r w:rsidRPr="61765696" w:rsidR="3F40D4F8">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check-in</w:t>
      </w:r>
      <w:r w:rsidRPr="61765696" w:rsidR="0EEB634E">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enhance overall </w:t>
      </w:r>
      <w:r w:rsidRPr="61765696" w:rsidR="67817295">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satisfaction</w:t>
      </w:r>
      <w:r w:rsidRPr="61765696" w:rsidR="67817295">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(Busser et al., 2022)</w:t>
      </w:r>
      <w:r w:rsidRPr="61765696" w:rsidR="67817295">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w:t>
      </w:r>
      <w:r w:rsidRPr="61765696" w:rsidR="30957DAD">
        <w:rPr>
          <w:rFonts w:ascii="Aptos" w:hAnsi="Aptos" w:eastAsia="Aptos" w:cs="Aptos"/>
          <w:b w:val="0"/>
          <w:bCs w:val="0"/>
          <w:noProof w:val="0"/>
          <w:color w:val="000000" w:themeColor="text1" w:themeTint="FF" w:themeShade="FF"/>
          <w:sz w:val="28"/>
          <w:szCs w:val="28"/>
          <w:lang w:val="en-GB"/>
        </w:rPr>
        <w:t xml:space="preserve"> Expanding on this, I also realised how consistency in my behaviour across different customer types strengthened the reliability of the service experience. Research suggests that customers quickly form expectations based on the first few seconds of interaction, and these expectations shape how they interpret the rest of the service encounter </w:t>
      </w:r>
      <w:r w:rsidRPr="61765696" w:rsidR="05695D5C">
        <w:rPr>
          <w:rFonts w:ascii="Arial" w:hAnsi="Arial" w:eastAsia="Arial" w:cs="Arial"/>
          <w:b w:val="0"/>
          <w:bCs w:val="0"/>
          <w:noProof w:val="0"/>
          <w:color w:val="000000" w:themeColor="text1" w:themeTint="FF" w:themeShade="FF"/>
          <w:sz w:val="28"/>
          <w:szCs w:val="28"/>
          <w:lang w:val="en-GB"/>
        </w:rPr>
        <w:t>(Ariffin and Maghzi, 2012)</w:t>
      </w:r>
      <w:r w:rsidRPr="61765696" w:rsidR="30957DAD">
        <w:rPr>
          <w:rFonts w:ascii="Aptos" w:hAnsi="Aptos" w:eastAsia="Aptos" w:cs="Aptos"/>
          <w:b w:val="0"/>
          <w:bCs w:val="0"/>
          <w:noProof w:val="0"/>
          <w:color w:val="000000" w:themeColor="text1" w:themeTint="FF" w:themeShade="FF"/>
          <w:sz w:val="28"/>
          <w:szCs w:val="28"/>
          <w:lang w:val="en-GB"/>
        </w:rPr>
        <w:t xml:space="preserve">. This helped me understand why </w:t>
      </w:r>
      <w:r w:rsidRPr="61765696" w:rsidR="30957DAD">
        <w:rPr>
          <w:rFonts w:ascii="Aptos" w:hAnsi="Aptos" w:eastAsia="Aptos" w:cs="Aptos"/>
          <w:b w:val="0"/>
          <w:bCs w:val="0"/>
          <w:noProof w:val="0"/>
          <w:color w:val="000000" w:themeColor="text1" w:themeTint="FF" w:themeShade="FF"/>
          <w:sz w:val="28"/>
          <w:szCs w:val="28"/>
          <w:lang w:val="en-GB"/>
        </w:rPr>
        <w:t>maintaining</w:t>
      </w:r>
      <w:r w:rsidRPr="61765696" w:rsidR="30957DAD">
        <w:rPr>
          <w:rFonts w:ascii="Aptos" w:hAnsi="Aptos" w:eastAsia="Aptos" w:cs="Aptos"/>
          <w:b w:val="0"/>
          <w:bCs w:val="0"/>
          <w:noProof w:val="0"/>
          <w:color w:val="000000" w:themeColor="text1" w:themeTint="FF" w:themeShade="FF"/>
          <w:sz w:val="28"/>
          <w:szCs w:val="28"/>
          <w:lang w:val="en-GB"/>
        </w:rPr>
        <w:t xml:space="preserve"> calmness, clarity, and attentiveness from the outset is essential. Engaging with this reflective process has reinforced the critical role of first impressions in shaping customer behaviour, emotional comfort, and overall enjoyment of their visit.</w:t>
      </w:r>
    </w:p>
    <w:p w:rsidR="37F02461" w:rsidP="61765696" w:rsidRDefault="37F02461" w14:paraId="2E65F8A5" w14:textId="6CC55508">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0C051834" w:rsidP="61765696" w:rsidRDefault="0C051834" w14:paraId="68A3ED75" w14:textId="354A82F5">
      <w:pPr>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68C1D84D">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Wine Knowledge</w:t>
      </w:r>
    </w:p>
    <w:p w:rsidR="4488F841" w:rsidP="61765696" w:rsidRDefault="4488F841" w14:paraId="013EEB09" w14:textId="46AA5519">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My development in wine knowledge has grown steadily through placement. Early on, my understanding of varietals and regions was basic, but regular exposure to sessions and discussions helped me recognise flavour profiles more confidently. This aligns with research suggesting that experiential learning significantly improves sensory accuracy and communication in wine service (Parr et al., 2010). As my knowledge increased, my ability to communicate with customers changed noticeably. I became more comfortable adapting explanations to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different levels</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of interest, offering simple guidance to casual drinkers and more detailed descriptions to engaged guests. This approach reflects findings that clear, </w:t>
      </w:r>
      <w:r w:rsidRPr="61765696" w:rsidR="3DA5F4B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audience appropriate</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communication enhances customer satisfaction in hospitality settings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Bruwer</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&amp; Johnson, 2010). Reflecting on our current wine list,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 believe it</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is functional but could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benefit</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from a </w:t>
      </w:r>
      <w:r w:rsidRPr="61765696" w:rsidR="183EB156">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lighter bodied</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red, such as a Chilean Pinot Noir, and a distinctive New World white like a South African Chenin Blanc</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These additions could broaden customer choice and strengthen upselling opportunities, </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ultimately improving</w:t>
      </w:r>
      <w:r w:rsidRPr="61765696" w:rsidR="7517A484">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both guest experience and business performance.</w:t>
      </w:r>
    </w:p>
    <w:p w:rsidR="37F02461" w:rsidP="61765696" w:rsidRDefault="37F02461" w14:paraId="596A5AD6" w14:textId="6EA3BD10">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37F02461" w:rsidP="61765696" w:rsidRDefault="37F02461" w14:paraId="68140A16" w14:textId="46001565">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61765696" w:rsidP="61765696" w:rsidRDefault="61765696" w14:paraId="30B32041" w14:textId="58C2E370">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61765696" w:rsidP="61765696" w:rsidRDefault="61765696" w14:paraId="7595BA9D" w14:textId="4858D8A7">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61765696" w:rsidP="61765696" w:rsidRDefault="61765696" w14:paraId="10639151" w14:textId="28718CB8">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3054511D" w:rsidP="61765696" w:rsidRDefault="3054511D" w14:paraId="7021CDAA" w14:textId="3C030C3D">
      <w:pPr>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247D57CD">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Customer Communication Skills</w:t>
      </w:r>
    </w:p>
    <w:p w:rsidR="53327901" w:rsidP="61765696" w:rsidRDefault="53327901" w14:paraId="26CF8E1B" w14:textId="177D5A3B">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During my placement at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The Secret</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I’ve</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seen a clear shift in how I communicate with customers. When I first started, I focused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mainly on</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giving information quickly, especially during busy periods, but experience taught me that customers respond far better when I slow down and make the interaction feel personal. As I became more confident, I started using clearer eye contact, open questions, and a calmer tone, which aligns with research showing that personalised communication increases customer comfort and trust (Lin &amp; Mattila, 2010). I noticed customers relaxing more, smiling, and engaging in conversation,reinforcing how communication can shape their overall experience. This reflects findings that effective frontline communication improves both customer satisfaction and team cohesion (Sparks &amp; Bradley, 2017). Overall, my time at The Secret has shown me that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good communication</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isn’t</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just about clarity</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it’s</w:t>
      </w:r>
      <w:r w:rsidRPr="61765696" w:rsidR="15AEE109">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about making people feel welcome and supported.</w:t>
      </w:r>
    </w:p>
    <w:p w:rsidR="3CB5E777" w:rsidP="61765696" w:rsidRDefault="3CB5E777" w14:paraId="2977D419" w14:textId="10D8DCA8">
      <w:pPr>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Reflections</w:t>
      </w:r>
    </w:p>
    <w:p w:rsidR="37F02461" w:rsidP="61765696" w:rsidRDefault="37F02461" w14:paraId="70132F2A" w14:textId="1F408837">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3CB5E777" w:rsidP="61765696" w:rsidRDefault="3CB5E777" w14:paraId="7BCBE723" w14:textId="026BCC8F">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My experience at </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The Secret in Swansea</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has genuinely changed how I see the hospitality industry and my role within it. Before starting, I assumed the job was </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mainly about</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serving food and keeping things organised, but working directly with customers showed me how much the industry relies on emotional awareness, adaptability, and creating a positive atmosphere. Research highlights that frontline staff strongly influence how customers feel during their visit, often more than the physical environment itself (Hemmington, 2007). It made me realise how small behaviours like slowing down, making eye contact, or offering reassurance can shape someone’s whole experience, which aligns with studies on emotional labour in hospitality</w:t>
      </w:r>
      <w:r w:rsidRPr="61765696" w:rsidR="3B2CD1D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(Pugh, 2001)</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 I also communicate more openly with the team now, checking in during busy shifts and offering support, something I </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didn’t</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do confidently before. This reflects findings that </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strong team</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communication improves service flow and reduces stress (Karatepe, 2015). Overall, the experience has been positive because </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it’s</w:t>
      </w:r>
      <w:r w:rsidRPr="61765696" w:rsidR="3FB44602">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helped me grow in confidence, awareness, and understanding of what good hospitality really means.</w:t>
      </w:r>
    </w:p>
    <w:p w:rsidR="37F02461" w:rsidP="61765696" w:rsidRDefault="37F02461" w14:paraId="62890FC6" w14:textId="088AA64E">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37F02461" w:rsidP="61765696" w:rsidRDefault="37F02461" w14:paraId="5BC3AFEA" w14:textId="638BE690">
      <w:pPr>
        <w:pStyle w:val="Normal"/>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41B35831" w:rsidP="61765696" w:rsidRDefault="41B35831" w14:paraId="5A5DE1C1" w14:textId="34C02071">
      <w:pPr>
        <w:spacing w:before="165" w:beforeAutospacing="off" w:after="165" w:afterAutospacing="of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59D4F4D1">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Element 5: Leading to the Future</w:t>
      </w:r>
    </w:p>
    <w:p w:rsidR="354F058E" w:rsidP="61765696" w:rsidRDefault="354F058E" w14:paraId="0FFF8A9A" w14:textId="5183212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My placement at </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The </w:t>
      </w:r>
      <w:r w:rsidRPr="61765696" w:rsidR="5548A7CF">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Secret has</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really shaped how I think about my future career. Before starting, I </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wasn’t</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sure which direction I wanted to go, but working closely with customers and being part of a busy team has helped me realise that I enjoy roles where communication, confidence, and creating a positive atmosphere matter. Research shows that real workplace experience often has a stronger influence on career choices than classroom learning (Richardson, 2009), and </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I’ve</w:t>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 xml:space="preserve"> found that to be true. The moments that impacted me most were when customers responded warmly to my approach, it made me realise how emotional awareness and small behaviours can shape someone’s experience, which aligns with studies on emotional labour in hospitality (Pugh, 2001; Tsai &amp; Huang, 2002). I’ve also learned how important teamwork is, especially during busy shifts, reflecting research showing that strong team communication improves service flow and job satisfaction (Karatepe, 2015). Looking ahead, I’m interested in developing into supervisory or front</w:t>
      </w:r>
      <w:r>
        <w:noBreakHyphen/>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of</w:t>
      </w:r>
      <w:r>
        <w:noBreakHyphen/>
      </w:r>
      <w:r w:rsidRPr="61765696" w:rsidR="1FB6E7AB">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house leadership roles. To get there, I know I need to keep building my confidence, deepen my product knowledge, and continue improving my communication skills.</w:t>
      </w:r>
    </w:p>
    <w:p w:rsidR="37F02461" w:rsidP="61765696" w:rsidRDefault="37F02461" w14:paraId="2A17BC29" w14:textId="3DA8991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p w:rsidR="31B35108" w:rsidP="61765696" w:rsidRDefault="31B35108" w14:paraId="796B6076" w14:textId="648E658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r w:rsidRPr="61765696" w:rsidR="60D373D1">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t>Conclusion</w:t>
      </w:r>
    </w:p>
    <w:p w:rsidR="36746ED7" w:rsidP="61765696" w:rsidRDefault="36746ED7" w14:paraId="6C27F10A" w14:textId="21813A11">
      <w:pPr>
        <w:pStyle w:val="Normal"/>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r w:rsidRPr="61765696" w:rsidR="00563EB9">
        <w:rPr>
          <w:rFonts w:ascii="Aptos" w:hAnsi="Aptos" w:eastAsia="Aptos" w:cs="Aptos"/>
          <w:b w:val="0"/>
          <w:bCs w:val="0"/>
          <w:noProof w:val="0"/>
          <w:color w:val="000000" w:themeColor="text1" w:themeTint="FF" w:themeShade="FF"/>
          <w:sz w:val="28"/>
          <w:szCs w:val="28"/>
          <w:lang w:val="en-GB"/>
        </w:rPr>
        <w:t xml:space="preserve">Reflecting on my placement at </w:t>
      </w:r>
      <w:r w:rsidRPr="61765696" w:rsidR="00563EB9">
        <w:rPr>
          <w:rFonts w:ascii="Aptos" w:hAnsi="Aptos" w:eastAsia="Aptos" w:cs="Aptos"/>
          <w:b w:val="0"/>
          <w:bCs w:val="0"/>
          <w:noProof w:val="0"/>
          <w:color w:val="000000" w:themeColor="text1" w:themeTint="FF" w:themeShade="FF"/>
          <w:sz w:val="28"/>
          <w:szCs w:val="28"/>
          <w:lang w:val="en-GB"/>
        </w:rPr>
        <w:t>The Secret I</w:t>
      </w:r>
      <w:r w:rsidRPr="61765696" w:rsidR="00563EB9">
        <w:rPr>
          <w:rFonts w:ascii="Aptos" w:hAnsi="Aptos" w:eastAsia="Aptos" w:cs="Aptos"/>
          <w:b w:val="0"/>
          <w:bCs w:val="0"/>
          <w:noProof w:val="0"/>
          <w:color w:val="000000" w:themeColor="text1" w:themeTint="FF" w:themeShade="FF"/>
          <w:sz w:val="28"/>
          <w:szCs w:val="28"/>
          <w:lang w:val="en-GB"/>
        </w:rPr>
        <w:t xml:space="preserve"> can see how much </w:t>
      </w:r>
      <w:r w:rsidRPr="61765696" w:rsidR="00563EB9">
        <w:rPr>
          <w:rFonts w:ascii="Aptos" w:hAnsi="Aptos" w:eastAsia="Aptos" w:cs="Aptos"/>
          <w:b w:val="0"/>
          <w:bCs w:val="0"/>
          <w:noProof w:val="0"/>
          <w:color w:val="000000" w:themeColor="text1" w:themeTint="FF" w:themeShade="FF"/>
          <w:sz w:val="28"/>
          <w:szCs w:val="28"/>
          <w:lang w:val="en-GB"/>
        </w:rPr>
        <w:t>I’ve</w:t>
      </w:r>
      <w:r w:rsidRPr="61765696" w:rsidR="00563EB9">
        <w:rPr>
          <w:rFonts w:ascii="Aptos" w:hAnsi="Aptos" w:eastAsia="Aptos" w:cs="Aptos"/>
          <w:b w:val="0"/>
          <w:bCs w:val="0"/>
          <w:noProof w:val="0"/>
          <w:color w:val="000000" w:themeColor="text1" w:themeTint="FF" w:themeShade="FF"/>
          <w:sz w:val="28"/>
          <w:szCs w:val="28"/>
          <w:lang w:val="en-GB"/>
        </w:rPr>
        <w:t xml:space="preserve"> grown in confidence, communication, and understanding of the hospitality industry. The experience has helped me meet my learning outcomes by applying theory to real customer interactions, developing emotional awareness, and improving my ability to work effectively within a team. Research highlights that reflective practice strengthens professional development and helps learners make sense of workplace experiences (Boud et al., 2013), and </w:t>
      </w:r>
      <w:r w:rsidRPr="61765696" w:rsidR="00563EB9">
        <w:rPr>
          <w:rFonts w:ascii="Aptos" w:hAnsi="Aptos" w:eastAsia="Aptos" w:cs="Aptos"/>
          <w:b w:val="0"/>
          <w:bCs w:val="0"/>
          <w:noProof w:val="0"/>
          <w:color w:val="000000" w:themeColor="text1" w:themeTint="FF" w:themeShade="FF"/>
          <w:sz w:val="28"/>
          <w:szCs w:val="28"/>
          <w:lang w:val="en-GB"/>
        </w:rPr>
        <w:t>I’ve</w:t>
      </w:r>
      <w:r w:rsidRPr="61765696" w:rsidR="00563EB9">
        <w:rPr>
          <w:rFonts w:ascii="Aptos" w:hAnsi="Aptos" w:eastAsia="Aptos" w:cs="Aptos"/>
          <w:b w:val="0"/>
          <w:bCs w:val="0"/>
          <w:noProof w:val="0"/>
          <w:color w:val="000000" w:themeColor="text1" w:themeTint="FF" w:themeShade="FF"/>
          <w:sz w:val="28"/>
          <w:szCs w:val="28"/>
          <w:lang w:val="en-GB"/>
        </w:rPr>
        <w:t xml:space="preserve"> found this to be true throughout my placement. </w:t>
      </w:r>
      <w:r w:rsidRPr="61765696" w:rsidR="00563EB9">
        <w:rPr>
          <w:rFonts w:ascii="Aptos" w:hAnsi="Aptos" w:eastAsia="Aptos" w:cs="Aptos"/>
          <w:b w:val="0"/>
          <w:bCs w:val="0"/>
          <w:noProof w:val="0"/>
          <w:color w:val="000000" w:themeColor="text1" w:themeTint="FF" w:themeShade="FF"/>
          <w:sz w:val="28"/>
          <w:szCs w:val="28"/>
          <w:lang w:val="en-GB"/>
        </w:rPr>
        <w:t>I’ve</w:t>
      </w:r>
      <w:r w:rsidRPr="61765696" w:rsidR="00563EB9">
        <w:rPr>
          <w:rFonts w:ascii="Aptos" w:hAnsi="Aptos" w:eastAsia="Aptos" w:cs="Aptos"/>
          <w:b w:val="0"/>
          <w:bCs w:val="0"/>
          <w:noProof w:val="0"/>
          <w:color w:val="000000" w:themeColor="text1" w:themeTint="FF" w:themeShade="FF"/>
          <w:sz w:val="28"/>
          <w:szCs w:val="28"/>
          <w:lang w:val="en-GB"/>
        </w:rPr>
        <w:t xml:space="preserve"> learned how small behaviours like slowing down, staying calm, and offering reassurance can shape a customer’s experience, which aligns with studies showing that emotional intelligence is central to high</w:t>
      </w:r>
      <w:r>
        <w:noBreakHyphen/>
      </w:r>
      <w:r w:rsidRPr="61765696" w:rsidR="00563EB9">
        <w:rPr>
          <w:rFonts w:ascii="Aptos" w:hAnsi="Aptos" w:eastAsia="Aptos" w:cs="Aptos"/>
          <w:b w:val="0"/>
          <w:bCs w:val="0"/>
          <w:noProof w:val="0"/>
          <w:color w:val="000000" w:themeColor="text1" w:themeTint="FF" w:themeShade="FF"/>
          <w:sz w:val="28"/>
          <w:szCs w:val="28"/>
          <w:lang w:val="en-GB"/>
        </w:rPr>
        <w:t xml:space="preserve">quality service </w:t>
      </w:r>
      <w:r w:rsidRPr="61765696" w:rsidR="3300D4E0">
        <w:rPr>
          <w:rFonts w:ascii="Arial" w:hAnsi="Arial" w:eastAsia="Arial" w:cs="Arial"/>
          <w:b w:val="0"/>
          <w:bCs w:val="0"/>
          <w:noProof w:val="0"/>
          <w:color w:val="000000" w:themeColor="text1" w:themeTint="FF" w:themeShade="FF"/>
          <w:sz w:val="28"/>
          <w:szCs w:val="28"/>
          <w:lang w:val="en-GB"/>
        </w:rPr>
        <w:t>(Prentice, Chen and King, 2013)</w:t>
      </w:r>
      <w:r w:rsidRPr="61765696" w:rsidR="00563EB9">
        <w:rPr>
          <w:rFonts w:ascii="Aptos" w:hAnsi="Aptos" w:eastAsia="Aptos" w:cs="Aptos"/>
          <w:b w:val="0"/>
          <w:bCs w:val="0"/>
          <w:noProof w:val="0"/>
          <w:color w:val="000000" w:themeColor="text1" w:themeTint="FF" w:themeShade="FF"/>
          <w:sz w:val="28"/>
          <w:szCs w:val="28"/>
          <w:lang w:val="en-GB"/>
        </w:rPr>
        <w:t>. Working closely with colleagues has also shown me the importance of collaboration, supporting findings that strong teamwork improves service flow and staff wellbeing (Salas et al., 2015).</w:t>
      </w:r>
    </w:p>
    <w:p w:rsidR="36746ED7" w:rsidP="37F02461" w:rsidRDefault="36746ED7" w14:paraId="0C2534C5" w14:textId="2AB7C7CD">
      <w:pPr>
        <w:spacing w:before="240" w:beforeAutospacing="off" w:after="240" w:afterAutospacing="off"/>
      </w:pPr>
      <w:r w:rsidRPr="61765696" w:rsidR="00563EB9">
        <w:rPr>
          <w:rFonts w:ascii="Aptos" w:hAnsi="Aptos" w:eastAsia="Aptos" w:cs="Aptos"/>
          <w:b w:val="0"/>
          <w:bCs w:val="0"/>
          <w:noProof w:val="0"/>
          <w:color w:val="000000" w:themeColor="text1" w:themeTint="FF" w:themeShade="FF"/>
          <w:sz w:val="28"/>
          <w:szCs w:val="28"/>
          <w:lang w:val="en-GB"/>
        </w:rPr>
        <w:t>These lessons have shaped how I see my future career. I now feel more confident pursuing guest</w:t>
      </w:r>
      <w:r>
        <w:noBreakHyphen/>
      </w:r>
      <w:r w:rsidRPr="61765696" w:rsidR="00563EB9">
        <w:rPr>
          <w:rFonts w:ascii="Aptos" w:hAnsi="Aptos" w:eastAsia="Aptos" w:cs="Aptos"/>
          <w:b w:val="0"/>
          <w:bCs w:val="0"/>
          <w:noProof w:val="0"/>
          <w:color w:val="000000" w:themeColor="text1" w:themeTint="FF" w:themeShade="FF"/>
          <w:sz w:val="28"/>
          <w:szCs w:val="28"/>
          <w:lang w:val="en-GB"/>
        </w:rPr>
        <w:t>facing roles and potentially moving into supervisory positions. I plan to continue developing my communication skills, product knowledge, and leadership awareness so I can progress within the industry. Overall, this placement has given me a clearer direction and a strong foundation for my future career.</w:t>
      </w:r>
    </w:p>
    <w:p w:rsidR="61765696" w:rsidP="61765696" w:rsidRDefault="61765696" w14:paraId="5CDBCAD1" w14:textId="19A6C194">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2788CB26" w14:textId="7876B2F8">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1F54D465" w14:textId="2B9577BF">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6CBCD6A3" w14:textId="128F6275">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4587A22C" w14:textId="0EB5091D">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0E2FD06B" w14:textId="0856D214">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084D7CE6" w14:textId="088CB414">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6985EA58" w14:textId="3B59ABE5">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17DC29E2" w14:textId="7AA2DD2A">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0D4F9A94" w14:textId="5F67D9EC">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672AAB74" w14:textId="01C2437B">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5CC0D60F" w14:textId="24BA0023">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0834198E" w14:textId="73902258">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2D9531D3" w14:textId="3E20460A">
      <w:pPr>
        <w:pStyle w:val="Normal"/>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61765696" w:rsidP="61765696" w:rsidRDefault="61765696" w14:paraId="4C2F56D2" w14:textId="29A13220">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1D88F395" w:rsidP="61765696" w:rsidRDefault="1D88F395" w14:paraId="31303A88" w14:textId="0440B457">
      <w:pPr>
        <w:pStyle w:val="Heading1"/>
        <w:spacing w:before="241" w:beforeAutospacing="off" w:after="360" w:afterAutospacing="off" w:line="540" w:lineRule="auto"/>
      </w:pPr>
      <w:r w:rsidRPr="61765696" w:rsidR="1D88F395">
        <w:rPr>
          <w:rFonts w:ascii="Arial" w:hAnsi="Arial" w:eastAsia="Arial" w:cs="Arial"/>
          <w:b w:val="1"/>
          <w:bCs w:val="1"/>
          <w:noProof w:val="0"/>
          <w:color w:val="000000" w:themeColor="text1" w:themeTint="FF" w:themeShade="FF"/>
          <w:sz w:val="36"/>
          <w:szCs w:val="36"/>
          <w:lang w:val="en-GB"/>
        </w:rPr>
        <w:t>Reference list</w:t>
      </w:r>
    </w:p>
    <w:p w:rsidR="1D88F395" w:rsidP="61765696" w:rsidRDefault="1D88F395" w14:paraId="2065D2AA" w14:textId="67A01E0E">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Ariffin, A.A.M. and Maghzi, A. (2012). A preliminary study on customer expectations of hotel hospitality: Influences of personal and hotel factors. </w:t>
      </w:r>
      <w:r w:rsidRPr="61765696" w:rsidR="1D88F395">
        <w:rPr>
          <w:rFonts w:ascii="Arial" w:hAnsi="Arial" w:eastAsia="Arial" w:cs="Arial"/>
          <w:i w:val="1"/>
          <w:iCs w:val="1"/>
          <w:noProof w:val="0"/>
          <w:color w:val="000000" w:themeColor="text1" w:themeTint="FF" w:themeShade="FF"/>
          <w:sz w:val="24"/>
          <w:szCs w:val="24"/>
          <w:lang w:val="en-GB"/>
        </w:rPr>
        <w:t>International Journal of Hospitality Management</w:t>
      </w:r>
      <w:r w:rsidRPr="61765696" w:rsidR="1D88F395">
        <w:rPr>
          <w:rFonts w:ascii="Arial" w:hAnsi="Arial" w:eastAsia="Arial" w:cs="Arial"/>
          <w:noProof w:val="0"/>
          <w:color w:val="000000" w:themeColor="text1" w:themeTint="FF" w:themeShade="FF"/>
          <w:sz w:val="24"/>
          <w:szCs w:val="24"/>
          <w:lang w:val="en-GB"/>
        </w:rPr>
        <w:t>, 31(1), pp.191–198. doi:10.1016/j.ijhm.2011.04.012.</w:t>
      </w:r>
    </w:p>
    <w:p w:rsidR="1D88F395" w:rsidP="61765696" w:rsidRDefault="1D88F395" w14:paraId="12724D8C" w14:textId="279D4941">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Boud, D., Keogh, R. and Walker, D. (2013). </w:t>
      </w:r>
      <w:r w:rsidRPr="61765696" w:rsidR="1D88F395">
        <w:rPr>
          <w:rFonts w:ascii="Arial" w:hAnsi="Arial" w:eastAsia="Arial" w:cs="Arial"/>
          <w:i w:val="1"/>
          <w:iCs w:val="1"/>
          <w:noProof w:val="0"/>
          <w:color w:val="000000" w:themeColor="text1" w:themeTint="FF" w:themeShade="FF"/>
          <w:sz w:val="24"/>
          <w:szCs w:val="24"/>
          <w:lang w:val="en-GB"/>
        </w:rPr>
        <w:t>REFLECTION: TURNING EXPERIENCE INTO LEARNING</w:t>
      </w:r>
      <w:r w:rsidRPr="61765696" w:rsidR="1D88F395">
        <w:rPr>
          <w:rFonts w:ascii="Arial" w:hAnsi="Arial" w:eastAsia="Arial" w:cs="Arial"/>
          <w:noProof w:val="0"/>
          <w:color w:val="000000" w:themeColor="text1" w:themeTint="FF" w:themeShade="FF"/>
          <w:sz w:val="24"/>
          <w:szCs w:val="24"/>
          <w:lang w:val="en-GB"/>
        </w:rPr>
        <w:t>.</w:t>
      </w:r>
    </w:p>
    <w:p w:rsidR="1D88F395" w:rsidP="61765696" w:rsidRDefault="1D88F395" w14:paraId="06C2F190" w14:textId="6E1A2DB3">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Bruwer, J. and Lee, C. (2025). A comprehensive conceptual model of single-serve wine consumption behavior in restaurants. </w:t>
      </w:r>
      <w:r w:rsidRPr="61765696" w:rsidR="1D88F395">
        <w:rPr>
          <w:rFonts w:ascii="Arial" w:hAnsi="Arial" w:eastAsia="Arial" w:cs="Arial"/>
          <w:i w:val="1"/>
          <w:iCs w:val="1"/>
          <w:noProof w:val="0"/>
          <w:color w:val="000000" w:themeColor="text1" w:themeTint="FF" w:themeShade="FF"/>
          <w:sz w:val="24"/>
          <w:szCs w:val="24"/>
          <w:lang w:val="en-GB"/>
        </w:rPr>
        <w:t>International Journal of Hospitality Management</w:t>
      </w:r>
      <w:r w:rsidRPr="61765696" w:rsidR="1D88F395">
        <w:rPr>
          <w:rFonts w:ascii="Arial" w:hAnsi="Arial" w:eastAsia="Arial" w:cs="Arial"/>
          <w:noProof w:val="0"/>
          <w:color w:val="000000" w:themeColor="text1" w:themeTint="FF" w:themeShade="FF"/>
          <w:sz w:val="24"/>
          <w:szCs w:val="24"/>
          <w:lang w:val="en-GB"/>
        </w:rPr>
        <w:t>, [online] 130, p.104244. doi:10.1016/j.ijhm.2025.104244.</w:t>
      </w:r>
    </w:p>
    <w:p w:rsidR="1D88F395" w:rsidP="61765696" w:rsidRDefault="1D88F395" w14:paraId="044A98D0" w14:textId="3ACBFC9F">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Busser, J.A., Molintas, D.H.R., Shulga, L.V. and Lee, S. (2022). Check-in experience: What is the role of emotions and satisfaction? </w:t>
      </w:r>
      <w:r w:rsidRPr="61765696" w:rsidR="1D88F395">
        <w:rPr>
          <w:rFonts w:ascii="Arial" w:hAnsi="Arial" w:eastAsia="Arial" w:cs="Arial"/>
          <w:i w:val="1"/>
          <w:iCs w:val="1"/>
          <w:noProof w:val="0"/>
          <w:color w:val="000000" w:themeColor="text1" w:themeTint="FF" w:themeShade="FF"/>
          <w:sz w:val="24"/>
          <w:szCs w:val="24"/>
          <w:lang w:val="en-GB"/>
        </w:rPr>
        <w:t>Journal of Hospitality and Tourism Management</w:t>
      </w:r>
      <w:r w:rsidRPr="61765696" w:rsidR="1D88F395">
        <w:rPr>
          <w:rFonts w:ascii="Arial" w:hAnsi="Arial" w:eastAsia="Arial" w:cs="Arial"/>
          <w:noProof w:val="0"/>
          <w:color w:val="000000" w:themeColor="text1" w:themeTint="FF" w:themeShade="FF"/>
          <w:sz w:val="24"/>
          <w:szCs w:val="24"/>
          <w:lang w:val="en-GB"/>
        </w:rPr>
        <w:t>, [online] 53, pp.188–197. doi:10.1016/j.jhtm.2022.11.002.</w:t>
      </w:r>
    </w:p>
    <w:p w:rsidR="1D88F395" w:rsidP="61765696" w:rsidRDefault="1D88F395" w14:paraId="0B1DBF53" w14:textId="375E8B54">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Hemmington, N. (2007). </w:t>
      </w:r>
      <w:r w:rsidRPr="61765696" w:rsidR="1D88F395">
        <w:rPr>
          <w:rFonts w:ascii="Arial" w:hAnsi="Arial" w:eastAsia="Arial" w:cs="Arial"/>
          <w:i w:val="1"/>
          <w:iCs w:val="1"/>
          <w:noProof w:val="0"/>
          <w:color w:val="000000" w:themeColor="text1" w:themeTint="FF" w:themeShade="FF"/>
          <w:sz w:val="24"/>
          <w:szCs w:val="24"/>
          <w:lang w:val="en-GB"/>
        </w:rPr>
        <w:t>From Service to Experience: Understanding and Defining the Hospitality Business</w:t>
      </w:r>
      <w:r w:rsidRPr="61765696" w:rsidR="1D88F395">
        <w:rPr>
          <w:rFonts w:ascii="Arial" w:hAnsi="Arial" w:eastAsia="Arial" w:cs="Arial"/>
          <w:noProof w:val="0"/>
          <w:color w:val="000000" w:themeColor="text1" w:themeTint="FF" w:themeShade="FF"/>
          <w:sz w:val="24"/>
          <w:szCs w:val="24"/>
          <w:lang w:val="en-GB"/>
        </w:rPr>
        <w:t xml:space="preserve">. [online] ResearchGate. Available at: </w:t>
      </w:r>
      <w:hyperlink r:id="Rbea6c0885ca74277">
        <w:r w:rsidRPr="61765696" w:rsidR="1D88F395">
          <w:rPr>
            <w:rStyle w:val="Hyperlink"/>
            <w:noProof w:val="0"/>
            <w:lang w:val="en-GB"/>
          </w:rPr>
          <w:t>https://www.researchgate.net/publication/242075394_From_Service_to_Experience_Understanding_and_Defining_the_Hospitality_Business</w:t>
        </w:r>
      </w:hyperlink>
      <w:r w:rsidRPr="61765696" w:rsidR="1D88F395">
        <w:rPr>
          <w:rFonts w:ascii="Arial" w:hAnsi="Arial" w:eastAsia="Arial" w:cs="Arial"/>
          <w:noProof w:val="0"/>
          <w:color w:val="000000" w:themeColor="text1" w:themeTint="FF" w:themeShade="FF"/>
          <w:sz w:val="24"/>
          <w:szCs w:val="24"/>
          <w:lang w:val="en-GB"/>
        </w:rPr>
        <w:t xml:space="preserve"> [Accessed 15 July 2026].</w:t>
      </w:r>
    </w:p>
    <w:p w:rsidR="1D88F395" w:rsidP="61765696" w:rsidRDefault="1D88F395" w14:paraId="1A0DCB71" w14:textId="527EFE68">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Karatepe, O.M. (2013). High-performance work practices and hotel employee performance: The mediation of work engagement. </w:t>
      </w:r>
      <w:r w:rsidRPr="61765696" w:rsidR="1D88F395">
        <w:rPr>
          <w:rFonts w:ascii="Arial" w:hAnsi="Arial" w:eastAsia="Arial" w:cs="Arial"/>
          <w:i w:val="1"/>
          <w:iCs w:val="1"/>
          <w:noProof w:val="0"/>
          <w:color w:val="000000" w:themeColor="text1" w:themeTint="FF" w:themeShade="FF"/>
          <w:sz w:val="24"/>
          <w:szCs w:val="24"/>
          <w:lang w:val="en-GB"/>
        </w:rPr>
        <w:t>International Journal of Hospitality Management</w:t>
      </w:r>
      <w:r w:rsidRPr="61765696" w:rsidR="1D88F395">
        <w:rPr>
          <w:rFonts w:ascii="Arial" w:hAnsi="Arial" w:eastAsia="Arial" w:cs="Arial"/>
          <w:noProof w:val="0"/>
          <w:color w:val="000000" w:themeColor="text1" w:themeTint="FF" w:themeShade="FF"/>
          <w:sz w:val="24"/>
          <w:szCs w:val="24"/>
          <w:lang w:val="en-GB"/>
        </w:rPr>
        <w:t>, [online] 32(1), pp.132–140. doi:10.1016/j.ijhm.2012.05.003.</w:t>
      </w:r>
    </w:p>
    <w:p w:rsidR="1D88F395" w:rsidP="61765696" w:rsidRDefault="1D88F395" w14:paraId="7B19BF87" w14:textId="1FB32144">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Kolb, A.Y. and Kolb, D.A. (2009). The Learning Way: Meta-cognitive Aspects of Experiential Learning. </w:t>
      </w:r>
      <w:r w:rsidRPr="61765696" w:rsidR="1D88F395">
        <w:rPr>
          <w:rFonts w:ascii="Arial" w:hAnsi="Arial" w:eastAsia="Arial" w:cs="Arial"/>
          <w:i w:val="1"/>
          <w:iCs w:val="1"/>
          <w:noProof w:val="0"/>
          <w:color w:val="000000" w:themeColor="text1" w:themeTint="FF" w:themeShade="FF"/>
          <w:sz w:val="24"/>
          <w:szCs w:val="24"/>
          <w:lang w:val="en-GB"/>
        </w:rPr>
        <w:t>Simulation &amp; Gaming</w:t>
      </w:r>
      <w:r w:rsidRPr="61765696" w:rsidR="1D88F395">
        <w:rPr>
          <w:rFonts w:ascii="Arial" w:hAnsi="Arial" w:eastAsia="Arial" w:cs="Arial"/>
          <w:noProof w:val="0"/>
          <w:color w:val="000000" w:themeColor="text1" w:themeTint="FF" w:themeShade="FF"/>
          <w:sz w:val="24"/>
          <w:szCs w:val="24"/>
          <w:lang w:val="en-GB"/>
        </w:rPr>
        <w:t>, 40(3), pp.297–327. doi:10.1177/1046878108325713.</w:t>
      </w:r>
    </w:p>
    <w:p w:rsidR="1D88F395" w:rsidP="61765696" w:rsidRDefault="1D88F395" w14:paraId="18CC5519" w14:textId="68F86BB8">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Ladhari, R. (2009). Service quality, emotional satisfaction, and behavioural intentions. </w:t>
      </w:r>
      <w:r w:rsidRPr="61765696" w:rsidR="1D88F395">
        <w:rPr>
          <w:rFonts w:ascii="Arial" w:hAnsi="Arial" w:eastAsia="Arial" w:cs="Arial"/>
          <w:i w:val="1"/>
          <w:iCs w:val="1"/>
          <w:noProof w:val="0"/>
          <w:color w:val="000000" w:themeColor="text1" w:themeTint="FF" w:themeShade="FF"/>
          <w:sz w:val="24"/>
          <w:szCs w:val="24"/>
          <w:lang w:val="en-GB"/>
        </w:rPr>
        <w:t>Managing Service Quality: An International Journal</w:t>
      </w:r>
      <w:r w:rsidRPr="61765696" w:rsidR="1D88F395">
        <w:rPr>
          <w:rFonts w:ascii="Arial" w:hAnsi="Arial" w:eastAsia="Arial" w:cs="Arial"/>
          <w:noProof w:val="0"/>
          <w:color w:val="000000" w:themeColor="text1" w:themeTint="FF" w:themeShade="FF"/>
          <w:sz w:val="24"/>
          <w:szCs w:val="24"/>
          <w:lang w:val="en-GB"/>
        </w:rPr>
        <w:t>, 19(3), pp.308–331. doi:10.1108/09604520910955320.</w:t>
      </w:r>
    </w:p>
    <w:p w:rsidR="1D88F395" w:rsidP="61765696" w:rsidRDefault="1D88F395" w14:paraId="6367F51D" w14:textId="1B8FD46C">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Lin, I.Y., Mattila, A.S. and Lin, I.Y. (2010). </w:t>
      </w:r>
      <w:r w:rsidRPr="61765696" w:rsidR="1D88F395">
        <w:rPr>
          <w:rFonts w:ascii="Arial" w:hAnsi="Arial" w:eastAsia="Arial" w:cs="Arial"/>
          <w:i w:val="1"/>
          <w:iCs w:val="1"/>
          <w:noProof w:val="0"/>
          <w:color w:val="000000" w:themeColor="text1" w:themeTint="FF" w:themeShade="FF"/>
          <w:sz w:val="24"/>
          <w:szCs w:val="24"/>
          <w:lang w:val="en-GB"/>
        </w:rPr>
        <w:t>Restaurant Servicescape, Service Encounter, and Perceived Congruency on Customers” Emotions and Satisfaction</w:t>
      </w:r>
      <w:r w:rsidRPr="61765696" w:rsidR="1D88F395">
        <w:rPr>
          <w:rFonts w:ascii="Arial" w:hAnsi="Arial" w:eastAsia="Arial" w:cs="Arial"/>
          <w:noProof w:val="0"/>
          <w:color w:val="000000" w:themeColor="text1" w:themeTint="FF" w:themeShade="FF"/>
          <w:sz w:val="24"/>
          <w:szCs w:val="24"/>
          <w:lang w:val="en-GB"/>
        </w:rPr>
        <w:t xml:space="preserve">. [online] Journal of Hospitality Marketing &amp; Management. Available at: </w:t>
      </w:r>
      <w:hyperlink r:id="R545fdea5bd5d4230">
        <w:r w:rsidRPr="61765696" w:rsidR="1D88F395">
          <w:rPr>
            <w:rStyle w:val="Hyperlink"/>
            <w:noProof w:val="0"/>
            <w:lang w:val="en-GB"/>
          </w:rPr>
          <w:t>https://www.tandfonline.com/doi/full/10.1080/19368623.2010.514547</w:t>
        </w:r>
      </w:hyperlink>
      <w:r w:rsidRPr="61765696" w:rsidR="1D88F395">
        <w:rPr>
          <w:rFonts w:ascii="Arial" w:hAnsi="Arial" w:eastAsia="Arial" w:cs="Arial"/>
          <w:noProof w:val="0"/>
          <w:color w:val="000000" w:themeColor="text1" w:themeTint="FF" w:themeShade="FF"/>
          <w:sz w:val="24"/>
          <w:szCs w:val="24"/>
          <w:lang w:val="en-GB"/>
        </w:rPr>
        <w:t xml:space="preserve"> [Accessed 15 July 2026].</w:t>
      </w:r>
    </w:p>
    <w:p w:rsidR="1D88F395" w:rsidP="61765696" w:rsidRDefault="1D88F395" w14:paraId="5FDAAB10" w14:textId="5B8EEC64">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Mathieu, J.E., Hollenbeck, J.R., Knippenberg, D. van and Ilgen, D.R. (2025). </w:t>
      </w:r>
      <w:r w:rsidRPr="61765696" w:rsidR="1D88F395">
        <w:rPr>
          <w:rFonts w:ascii="Arial" w:hAnsi="Arial" w:eastAsia="Arial" w:cs="Arial"/>
          <w:i w:val="1"/>
          <w:iCs w:val="1"/>
          <w:noProof w:val="0"/>
          <w:color w:val="000000" w:themeColor="text1" w:themeTint="FF" w:themeShade="FF"/>
          <w:sz w:val="24"/>
          <w:szCs w:val="24"/>
          <w:lang w:val="en-GB"/>
        </w:rPr>
        <w:t>Welcome To Zscaler Directory Authentication</w:t>
      </w:r>
      <w:r w:rsidRPr="61765696" w:rsidR="1D88F395">
        <w:rPr>
          <w:rFonts w:ascii="Arial" w:hAnsi="Arial" w:eastAsia="Arial" w:cs="Arial"/>
          <w:noProof w:val="0"/>
          <w:color w:val="000000" w:themeColor="text1" w:themeTint="FF" w:themeShade="FF"/>
          <w:sz w:val="24"/>
          <w:szCs w:val="24"/>
          <w:lang w:val="en-GB"/>
        </w:rPr>
        <w:t xml:space="preserve">. [online] Umn.edu. Available at: </w:t>
      </w:r>
      <w:hyperlink r:id="Ra1bb0982697a459e">
        <w:r w:rsidRPr="61765696" w:rsidR="1D88F395">
          <w:rPr>
            <w:rStyle w:val="Hyperlink"/>
            <w:noProof w:val="0"/>
            <w:lang w:val="en-GB"/>
          </w:rPr>
          <w:t>https://goal-lab.psych.umn.edu/orgpsych/readings/14.%20Teams/Mathieu</w:t>
        </w:r>
      </w:hyperlink>
      <w:r w:rsidRPr="61765696" w:rsidR="1D88F395">
        <w:rPr>
          <w:rFonts w:ascii="Arial" w:hAnsi="Arial" w:eastAsia="Arial" w:cs="Arial"/>
          <w:noProof w:val="0"/>
          <w:color w:val="000000" w:themeColor="text1" w:themeTint="FF" w:themeShade="FF"/>
          <w:sz w:val="24"/>
          <w:szCs w:val="24"/>
          <w:lang w:val="en-GB"/>
        </w:rPr>
        <w:t xml:space="preserve"> [Accessed 17 July 2026].</w:t>
      </w:r>
    </w:p>
    <w:p w:rsidR="1D88F395" w:rsidP="61765696" w:rsidRDefault="1D88F395" w14:paraId="7DAA87A2" w14:textId="18650795">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McCullough, H., Padgett, D., Han, S., Lee, K., Martin, D.S. and Bourdeau, B.L. (2024). First impressions vs. The Peak-End Rule: Episodic evaluations in a service experience and the moderating effect of retrospective delay. </w:t>
      </w:r>
      <w:r w:rsidRPr="61765696" w:rsidR="1D88F395">
        <w:rPr>
          <w:rFonts w:ascii="Arial" w:hAnsi="Arial" w:eastAsia="Arial" w:cs="Arial"/>
          <w:i w:val="1"/>
          <w:iCs w:val="1"/>
          <w:noProof w:val="0"/>
          <w:color w:val="000000" w:themeColor="text1" w:themeTint="FF" w:themeShade="FF"/>
          <w:sz w:val="24"/>
          <w:szCs w:val="24"/>
          <w:lang w:val="en-GB"/>
        </w:rPr>
        <w:t>Journal of Business Research</w:t>
      </w:r>
      <w:r w:rsidRPr="61765696" w:rsidR="1D88F395">
        <w:rPr>
          <w:rFonts w:ascii="Arial" w:hAnsi="Arial" w:eastAsia="Arial" w:cs="Arial"/>
          <w:noProof w:val="0"/>
          <w:color w:val="000000" w:themeColor="text1" w:themeTint="FF" w:themeShade="FF"/>
          <w:sz w:val="24"/>
          <w:szCs w:val="24"/>
          <w:lang w:val="en-GB"/>
        </w:rPr>
        <w:t>, [online] 185, p.114899. doi:10.1016/j.jbusres.2024.114899.</w:t>
      </w:r>
    </w:p>
    <w:p w:rsidR="1D88F395" w:rsidP="61765696" w:rsidRDefault="1D88F395" w14:paraId="2A33E8A8" w14:textId="7CE15E3B">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Moon, J.A. (2025). </w:t>
      </w:r>
      <w:r w:rsidRPr="61765696" w:rsidR="1D88F395">
        <w:rPr>
          <w:rFonts w:ascii="Arial" w:hAnsi="Arial" w:eastAsia="Arial" w:cs="Arial"/>
          <w:i w:val="1"/>
          <w:iCs w:val="1"/>
          <w:noProof w:val="0"/>
          <w:color w:val="000000" w:themeColor="text1" w:themeTint="FF" w:themeShade="FF"/>
          <w:sz w:val="24"/>
          <w:szCs w:val="24"/>
          <w:lang w:val="en-GB"/>
        </w:rPr>
        <w:t>E-Reader | Taylor &amp; Francis Group eBooks, Reference Works and Collections</w:t>
      </w:r>
      <w:r w:rsidRPr="61765696" w:rsidR="1D88F395">
        <w:rPr>
          <w:rFonts w:ascii="Arial" w:hAnsi="Arial" w:eastAsia="Arial" w:cs="Arial"/>
          <w:noProof w:val="0"/>
          <w:color w:val="000000" w:themeColor="text1" w:themeTint="FF" w:themeShade="FF"/>
          <w:sz w:val="24"/>
          <w:szCs w:val="24"/>
          <w:lang w:val="en-GB"/>
        </w:rPr>
        <w:t xml:space="preserve">. [online] Taylorfrancis.com. Available at: </w:t>
      </w:r>
      <w:hyperlink r:id="R30e6e3252f1f4c03">
        <w:r w:rsidRPr="61765696" w:rsidR="1D88F395">
          <w:rPr>
            <w:rStyle w:val="Hyperlink"/>
            <w:noProof w:val="0"/>
            <w:lang w:val="en-GB"/>
          </w:rPr>
          <w:t>https://www.taylorfrancis.com/reader/read-online/2e2222a6-6f24-46cd-9836-85be0071f30e/book/epub?context=ubx</w:t>
        </w:r>
      </w:hyperlink>
      <w:r w:rsidRPr="61765696" w:rsidR="1D88F395">
        <w:rPr>
          <w:rFonts w:ascii="Arial" w:hAnsi="Arial" w:eastAsia="Arial" w:cs="Arial"/>
          <w:noProof w:val="0"/>
          <w:color w:val="000000" w:themeColor="text1" w:themeTint="FF" w:themeShade="FF"/>
          <w:sz w:val="24"/>
          <w:szCs w:val="24"/>
          <w:lang w:val="en-GB"/>
        </w:rPr>
        <w:t xml:space="preserve"> [Accessed 17 July 2026].</w:t>
      </w:r>
    </w:p>
    <w:p w:rsidR="1D88F395" w:rsidP="61765696" w:rsidRDefault="1D88F395" w14:paraId="52A37726" w14:textId="2A9CC4FE">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Muralidhar, S., Schmid Mast, M. and Gatica-Perez, D. (2017). How may I help you? Behavior and impressions in hospitality service encounters. </w:t>
      </w:r>
      <w:r w:rsidRPr="61765696" w:rsidR="1D88F395">
        <w:rPr>
          <w:rFonts w:ascii="Arial" w:hAnsi="Arial" w:eastAsia="Arial" w:cs="Arial"/>
          <w:i w:val="1"/>
          <w:iCs w:val="1"/>
          <w:noProof w:val="0"/>
          <w:color w:val="000000" w:themeColor="text1" w:themeTint="FF" w:themeShade="FF"/>
          <w:sz w:val="24"/>
          <w:szCs w:val="24"/>
          <w:lang w:val="en-GB"/>
        </w:rPr>
        <w:t>Proceedings of the 19th ACM International Conference on Multimodal Interaction</w:t>
      </w:r>
      <w:r w:rsidRPr="61765696" w:rsidR="1D88F395">
        <w:rPr>
          <w:rFonts w:ascii="Arial" w:hAnsi="Arial" w:eastAsia="Arial" w:cs="Arial"/>
          <w:noProof w:val="0"/>
          <w:color w:val="000000" w:themeColor="text1" w:themeTint="FF" w:themeShade="FF"/>
          <w:sz w:val="24"/>
          <w:szCs w:val="24"/>
          <w:lang w:val="en-GB"/>
        </w:rPr>
        <w:t>, pp.312–320. doi:10.1145/3136755.3136771.</w:t>
      </w:r>
    </w:p>
    <w:p w:rsidR="1D88F395" w:rsidP="61765696" w:rsidRDefault="1D88F395" w14:paraId="5F3DD113" w14:textId="7CF6D752">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Parr, W.V., Mouret, M., Blackmore, S., Pelquest-Hunt, T. and Urdapilleta, I. (2011). Representation of complexity in wine: Influence of expertise. </w:t>
      </w:r>
      <w:r w:rsidRPr="61765696" w:rsidR="1D88F395">
        <w:rPr>
          <w:rFonts w:ascii="Arial" w:hAnsi="Arial" w:eastAsia="Arial" w:cs="Arial"/>
          <w:i w:val="1"/>
          <w:iCs w:val="1"/>
          <w:noProof w:val="0"/>
          <w:color w:val="000000" w:themeColor="text1" w:themeTint="FF" w:themeShade="FF"/>
          <w:sz w:val="24"/>
          <w:szCs w:val="24"/>
          <w:lang w:val="en-GB"/>
        </w:rPr>
        <w:t>Food Quality and Preference</w:t>
      </w:r>
      <w:r w:rsidRPr="61765696" w:rsidR="1D88F395">
        <w:rPr>
          <w:rFonts w:ascii="Arial" w:hAnsi="Arial" w:eastAsia="Arial" w:cs="Arial"/>
          <w:noProof w:val="0"/>
          <w:color w:val="000000" w:themeColor="text1" w:themeTint="FF" w:themeShade="FF"/>
          <w:sz w:val="24"/>
          <w:szCs w:val="24"/>
          <w:lang w:val="en-GB"/>
        </w:rPr>
        <w:t>, [online] 22(7), pp.647–660. doi:10.1016/j.foodqual.2011.04.005.</w:t>
      </w:r>
    </w:p>
    <w:p w:rsidR="1D88F395" w:rsidP="61765696" w:rsidRDefault="1D88F395" w14:paraId="7612CAD0" w14:textId="445F6F73">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Prentice, C., Chen, P.-J. and King, B. (2013). Employee performance outcomes and burnout following the presentation-of-self in customer-service contexts. </w:t>
      </w:r>
      <w:r w:rsidRPr="61765696" w:rsidR="1D88F395">
        <w:rPr>
          <w:rFonts w:ascii="Arial" w:hAnsi="Arial" w:eastAsia="Arial" w:cs="Arial"/>
          <w:i w:val="1"/>
          <w:iCs w:val="1"/>
          <w:noProof w:val="0"/>
          <w:color w:val="000000" w:themeColor="text1" w:themeTint="FF" w:themeShade="FF"/>
          <w:sz w:val="24"/>
          <w:szCs w:val="24"/>
          <w:lang w:val="en-GB"/>
        </w:rPr>
        <w:t>International Journal of Hospitality Management</w:t>
      </w:r>
      <w:r w:rsidRPr="61765696" w:rsidR="1D88F395">
        <w:rPr>
          <w:rFonts w:ascii="Arial" w:hAnsi="Arial" w:eastAsia="Arial" w:cs="Arial"/>
          <w:noProof w:val="0"/>
          <w:color w:val="000000" w:themeColor="text1" w:themeTint="FF" w:themeShade="FF"/>
          <w:sz w:val="24"/>
          <w:szCs w:val="24"/>
          <w:lang w:val="en-GB"/>
        </w:rPr>
        <w:t>, [online] 35(volume 35), pp.225–236. doi:10.1016/j.ijhm.2013.06.007.</w:t>
      </w:r>
    </w:p>
    <w:p w:rsidR="1D88F395" w:rsidP="61765696" w:rsidRDefault="1D88F395" w14:paraId="198C2351" w14:textId="1E11D6EC">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Pugh, S.D. (2001). SERVICE WITH A SMILE: EMOTIONAL CONTAGION IN THE SERVICE ENCOUNTER. </w:t>
      </w:r>
      <w:r w:rsidRPr="61765696" w:rsidR="1D88F395">
        <w:rPr>
          <w:rFonts w:ascii="Arial" w:hAnsi="Arial" w:eastAsia="Arial" w:cs="Arial"/>
          <w:i w:val="1"/>
          <w:iCs w:val="1"/>
          <w:noProof w:val="0"/>
          <w:color w:val="000000" w:themeColor="text1" w:themeTint="FF" w:themeShade="FF"/>
          <w:sz w:val="24"/>
          <w:szCs w:val="24"/>
          <w:lang w:val="en-GB"/>
        </w:rPr>
        <w:t>Academy of Management Journal</w:t>
      </w:r>
      <w:r w:rsidRPr="61765696" w:rsidR="1D88F395">
        <w:rPr>
          <w:rFonts w:ascii="Arial" w:hAnsi="Arial" w:eastAsia="Arial" w:cs="Arial"/>
          <w:noProof w:val="0"/>
          <w:color w:val="000000" w:themeColor="text1" w:themeTint="FF" w:themeShade="FF"/>
          <w:sz w:val="24"/>
          <w:szCs w:val="24"/>
          <w:lang w:val="en-GB"/>
        </w:rPr>
        <w:t>, 44(5), pp.1018–1027. doi:10.2307/3069445.</w:t>
      </w:r>
    </w:p>
    <w:p w:rsidR="1D88F395" w:rsidP="61765696" w:rsidRDefault="1D88F395" w14:paraId="626D6F35" w14:textId="50CD27EF">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Richardson, S. (2009). Undergraduates’ perceptions of tourism and hospitality as a career choice. </w:t>
      </w:r>
      <w:r w:rsidRPr="61765696" w:rsidR="1D88F395">
        <w:rPr>
          <w:rFonts w:ascii="Arial" w:hAnsi="Arial" w:eastAsia="Arial" w:cs="Arial"/>
          <w:i w:val="1"/>
          <w:iCs w:val="1"/>
          <w:noProof w:val="0"/>
          <w:color w:val="000000" w:themeColor="text1" w:themeTint="FF" w:themeShade="FF"/>
          <w:sz w:val="24"/>
          <w:szCs w:val="24"/>
          <w:lang w:val="en-GB"/>
        </w:rPr>
        <w:t>International Journal of Hospitality Management</w:t>
      </w:r>
      <w:r w:rsidRPr="61765696" w:rsidR="1D88F395">
        <w:rPr>
          <w:rFonts w:ascii="Arial" w:hAnsi="Arial" w:eastAsia="Arial" w:cs="Arial"/>
          <w:noProof w:val="0"/>
          <w:color w:val="000000" w:themeColor="text1" w:themeTint="FF" w:themeShade="FF"/>
          <w:sz w:val="24"/>
          <w:szCs w:val="24"/>
          <w:lang w:val="en-GB"/>
        </w:rPr>
        <w:t>, 28(3), pp.382–388. doi:10.1016/j.ijhm.2008.10.006.</w:t>
      </w:r>
    </w:p>
    <w:p w:rsidR="1D88F395" w:rsidP="61765696" w:rsidRDefault="1D88F395" w14:paraId="29F990E0" w14:textId="5BC019A0">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Salas, E., Shuffler, M.L., Thayer, A.L., Bedwell, W.L. and Lazzara, E.H. (2015). Understanding and Improving Teamwork in Organizations: A Scientifically Based Practical Guide. </w:t>
      </w:r>
      <w:r w:rsidRPr="61765696" w:rsidR="1D88F395">
        <w:rPr>
          <w:rFonts w:ascii="Arial" w:hAnsi="Arial" w:eastAsia="Arial" w:cs="Arial"/>
          <w:i w:val="1"/>
          <w:iCs w:val="1"/>
          <w:noProof w:val="0"/>
          <w:color w:val="000000" w:themeColor="text1" w:themeTint="FF" w:themeShade="FF"/>
          <w:sz w:val="24"/>
          <w:szCs w:val="24"/>
          <w:lang w:val="en-GB"/>
        </w:rPr>
        <w:t>Human Resource Management</w:t>
      </w:r>
      <w:r w:rsidRPr="61765696" w:rsidR="1D88F395">
        <w:rPr>
          <w:rFonts w:ascii="Arial" w:hAnsi="Arial" w:eastAsia="Arial" w:cs="Arial"/>
          <w:noProof w:val="0"/>
          <w:color w:val="000000" w:themeColor="text1" w:themeTint="FF" w:themeShade="FF"/>
          <w:sz w:val="24"/>
          <w:szCs w:val="24"/>
          <w:lang w:val="en-GB"/>
        </w:rPr>
        <w:t>, 54(4), pp.599–622. doi:https://doi.org/10.1002/hrm.21628.</w:t>
      </w:r>
    </w:p>
    <w:p w:rsidR="1D88F395" w:rsidP="61765696" w:rsidRDefault="1D88F395" w14:paraId="15B724A8" w14:textId="5E1DFF9A">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Sparks, B.A. and Bradley, G.L. (2014). A “Triple A” Typology of Responding to Negative Consumer-Generated Online Reviews. </w:t>
      </w:r>
      <w:r w:rsidRPr="61765696" w:rsidR="1D88F395">
        <w:rPr>
          <w:rFonts w:ascii="Arial" w:hAnsi="Arial" w:eastAsia="Arial" w:cs="Arial"/>
          <w:i w:val="1"/>
          <w:iCs w:val="1"/>
          <w:noProof w:val="0"/>
          <w:color w:val="000000" w:themeColor="text1" w:themeTint="FF" w:themeShade="FF"/>
          <w:sz w:val="24"/>
          <w:szCs w:val="24"/>
          <w:lang w:val="en-GB"/>
        </w:rPr>
        <w:t>Journal of Hospitality &amp; Tourism Research</w:t>
      </w:r>
      <w:r w:rsidRPr="61765696" w:rsidR="1D88F395">
        <w:rPr>
          <w:rFonts w:ascii="Arial" w:hAnsi="Arial" w:eastAsia="Arial" w:cs="Arial"/>
          <w:noProof w:val="0"/>
          <w:color w:val="000000" w:themeColor="text1" w:themeTint="FF" w:themeShade="FF"/>
          <w:sz w:val="24"/>
          <w:szCs w:val="24"/>
          <w:lang w:val="en-GB"/>
        </w:rPr>
        <w:t>, 41(6), pp.719–745. doi:10.1177/1096348014538052.</w:t>
      </w:r>
    </w:p>
    <w:p w:rsidR="1D88F395" w:rsidP="61765696" w:rsidRDefault="1D88F395" w14:paraId="7C6249AC" w14:textId="42975A50">
      <w:pPr>
        <w:spacing w:before="240" w:beforeAutospacing="off" w:after="240" w:afterAutospacing="off" w:line="360" w:lineRule="auto"/>
      </w:pPr>
      <w:r w:rsidRPr="61765696" w:rsidR="1D88F395">
        <w:rPr>
          <w:rFonts w:ascii="Arial" w:hAnsi="Arial" w:eastAsia="Arial" w:cs="Arial"/>
          <w:noProof w:val="0"/>
          <w:color w:val="000000" w:themeColor="text1" w:themeTint="FF" w:themeShade="FF"/>
          <w:sz w:val="24"/>
          <w:szCs w:val="24"/>
          <w:lang w:val="en-GB"/>
        </w:rPr>
        <w:t xml:space="preserve">Tsai, W.-C. and Huang, Y.-M. (2002). Mechanisms linking employee affective delivery and customer behavioral intentions. </w:t>
      </w:r>
      <w:r w:rsidRPr="61765696" w:rsidR="1D88F395">
        <w:rPr>
          <w:rFonts w:ascii="Arial" w:hAnsi="Arial" w:eastAsia="Arial" w:cs="Arial"/>
          <w:i w:val="1"/>
          <w:iCs w:val="1"/>
          <w:noProof w:val="0"/>
          <w:color w:val="000000" w:themeColor="text1" w:themeTint="FF" w:themeShade="FF"/>
          <w:sz w:val="24"/>
          <w:szCs w:val="24"/>
          <w:lang w:val="en-GB"/>
        </w:rPr>
        <w:t>Journal of Applied Psychology</w:t>
      </w:r>
      <w:r w:rsidRPr="61765696" w:rsidR="1D88F395">
        <w:rPr>
          <w:rFonts w:ascii="Arial" w:hAnsi="Arial" w:eastAsia="Arial" w:cs="Arial"/>
          <w:noProof w:val="0"/>
          <w:color w:val="000000" w:themeColor="text1" w:themeTint="FF" w:themeShade="FF"/>
          <w:sz w:val="24"/>
          <w:szCs w:val="24"/>
          <w:lang w:val="en-GB"/>
        </w:rPr>
        <w:t>, [online] 87(5), pp.1001–1008. doi:10.1037/0021-9010.87.5.1001.</w:t>
      </w:r>
    </w:p>
    <w:p w:rsidR="61765696" w:rsidP="61765696" w:rsidRDefault="61765696" w14:paraId="40200A3D" w14:textId="37C864DA">
      <w:pPr>
        <w:spacing w:before="240" w:beforeAutospacing="off" w:after="240" w:afterAutospacing="off"/>
        <w:rPr>
          <w:rFonts w:ascii="Aptos" w:hAnsi="Aptos" w:eastAsia="Aptos" w:cs="Aptos"/>
          <w:b w:val="0"/>
          <w:bCs w:val="0"/>
          <w:noProof w:val="0"/>
          <w:color w:val="000000" w:themeColor="text1" w:themeTint="FF" w:themeShade="FF"/>
          <w:sz w:val="28"/>
          <w:szCs w:val="28"/>
          <w:lang w:val="en-GB"/>
        </w:rPr>
      </w:pPr>
    </w:p>
    <w:p w:rsidR="37F02461" w:rsidP="61765696" w:rsidRDefault="37F02461" w14:paraId="0665D3EA" w14:textId="54154A9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O4Gu5SZtnqglp" int2:id="zYmnCJAB">
      <int2:state int2:type="spell" int2:value="Rejected"/>
    </int2:textHash>
    <int2:textHash int2:hashCode="nRcRYhtpd4Ww0i" int2:id="Efw1FJOB">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C97238"/>
    <w:rsid w:val="00563EB9"/>
    <w:rsid w:val="005BE13B"/>
    <w:rsid w:val="020B58DB"/>
    <w:rsid w:val="05695D5C"/>
    <w:rsid w:val="05E1CE87"/>
    <w:rsid w:val="0654B6E9"/>
    <w:rsid w:val="076A532C"/>
    <w:rsid w:val="09D7681E"/>
    <w:rsid w:val="0B11345D"/>
    <w:rsid w:val="0C051834"/>
    <w:rsid w:val="0D4D629F"/>
    <w:rsid w:val="0DFBFBC6"/>
    <w:rsid w:val="0EEB634E"/>
    <w:rsid w:val="124F567B"/>
    <w:rsid w:val="13AFD1D7"/>
    <w:rsid w:val="14BAE1FA"/>
    <w:rsid w:val="15AEE109"/>
    <w:rsid w:val="16CDDB7B"/>
    <w:rsid w:val="17D00051"/>
    <w:rsid w:val="183EB156"/>
    <w:rsid w:val="1A8DD0EA"/>
    <w:rsid w:val="1CAE0B13"/>
    <w:rsid w:val="1D7F0E44"/>
    <w:rsid w:val="1D88F395"/>
    <w:rsid w:val="1FB6E7AB"/>
    <w:rsid w:val="1FC92FA1"/>
    <w:rsid w:val="203A5B03"/>
    <w:rsid w:val="2177F9CE"/>
    <w:rsid w:val="2377A16B"/>
    <w:rsid w:val="2400ADC9"/>
    <w:rsid w:val="24398E4A"/>
    <w:rsid w:val="247D57CD"/>
    <w:rsid w:val="2493C2DB"/>
    <w:rsid w:val="2750B8E4"/>
    <w:rsid w:val="276A07F6"/>
    <w:rsid w:val="2B64CBC0"/>
    <w:rsid w:val="2C07FECB"/>
    <w:rsid w:val="2C8F20EA"/>
    <w:rsid w:val="2CD05CCA"/>
    <w:rsid w:val="2D530C80"/>
    <w:rsid w:val="2E3C87A6"/>
    <w:rsid w:val="2EEDC5A0"/>
    <w:rsid w:val="300A344D"/>
    <w:rsid w:val="3054511D"/>
    <w:rsid w:val="306927D2"/>
    <w:rsid w:val="30957DAD"/>
    <w:rsid w:val="31B35108"/>
    <w:rsid w:val="3300D4E0"/>
    <w:rsid w:val="346E5CCE"/>
    <w:rsid w:val="34E1FC5E"/>
    <w:rsid w:val="354F058E"/>
    <w:rsid w:val="35B3C52A"/>
    <w:rsid w:val="35F4A1C0"/>
    <w:rsid w:val="3636205A"/>
    <w:rsid w:val="36746ED7"/>
    <w:rsid w:val="36C4B3CE"/>
    <w:rsid w:val="375B80B9"/>
    <w:rsid w:val="37F02461"/>
    <w:rsid w:val="38008810"/>
    <w:rsid w:val="380514B0"/>
    <w:rsid w:val="3958E189"/>
    <w:rsid w:val="3B05C0F2"/>
    <w:rsid w:val="3B2CD1D2"/>
    <w:rsid w:val="3B7FE13E"/>
    <w:rsid w:val="3BE5BF7F"/>
    <w:rsid w:val="3CB5E777"/>
    <w:rsid w:val="3DA5F4B2"/>
    <w:rsid w:val="3E8E9525"/>
    <w:rsid w:val="3EEF9282"/>
    <w:rsid w:val="3F40D4F8"/>
    <w:rsid w:val="3FB44602"/>
    <w:rsid w:val="417C273B"/>
    <w:rsid w:val="41B35831"/>
    <w:rsid w:val="41C97238"/>
    <w:rsid w:val="4232FDB4"/>
    <w:rsid w:val="42DFA382"/>
    <w:rsid w:val="431B3292"/>
    <w:rsid w:val="4488F841"/>
    <w:rsid w:val="455E2ABF"/>
    <w:rsid w:val="45F8C7D2"/>
    <w:rsid w:val="4A76FFA4"/>
    <w:rsid w:val="4B4B55E5"/>
    <w:rsid w:val="4C24ADB3"/>
    <w:rsid w:val="4D54B419"/>
    <w:rsid w:val="506F951E"/>
    <w:rsid w:val="51CD7B45"/>
    <w:rsid w:val="52335A69"/>
    <w:rsid w:val="5298EB0F"/>
    <w:rsid w:val="53327901"/>
    <w:rsid w:val="542FBF00"/>
    <w:rsid w:val="543AAC8C"/>
    <w:rsid w:val="5482C79D"/>
    <w:rsid w:val="5548A7CF"/>
    <w:rsid w:val="55E0E6E0"/>
    <w:rsid w:val="56348022"/>
    <w:rsid w:val="567FC298"/>
    <w:rsid w:val="58C47E99"/>
    <w:rsid w:val="5996D5FA"/>
    <w:rsid w:val="59D4F4D1"/>
    <w:rsid w:val="5A4DE892"/>
    <w:rsid w:val="5AF7A1D0"/>
    <w:rsid w:val="5B7B6A48"/>
    <w:rsid w:val="5F9FBD0A"/>
    <w:rsid w:val="60D373D1"/>
    <w:rsid w:val="61765696"/>
    <w:rsid w:val="62599719"/>
    <w:rsid w:val="630A5FD8"/>
    <w:rsid w:val="65ED3E99"/>
    <w:rsid w:val="65F60B28"/>
    <w:rsid w:val="67817295"/>
    <w:rsid w:val="68C1D84D"/>
    <w:rsid w:val="69C46EB6"/>
    <w:rsid w:val="6B88234C"/>
    <w:rsid w:val="6CB3024C"/>
    <w:rsid w:val="6CB9854B"/>
    <w:rsid w:val="6DECCD67"/>
    <w:rsid w:val="6FE5E26B"/>
    <w:rsid w:val="701509CE"/>
    <w:rsid w:val="725A9F81"/>
    <w:rsid w:val="7283D9DC"/>
    <w:rsid w:val="737FDDF7"/>
    <w:rsid w:val="74404D37"/>
    <w:rsid w:val="7453DC7F"/>
    <w:rsid w:val="7517A484"/>
    <w:rsid w:val="766A1CBA"/>
    <w:rsid w:val="77F64543"/>
    <w:rsid w:val="784A1651"/>
    <w:rsid w:val="7B4B459F"/>
    <w:rsid w:val="7D2113D0"/>
    <w:rsid w:val="7D48E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73AE9"/>
  <w15:chartTrackingRefBased/>
  <w15:docId w15:val="{9AF2D1C5-9A0B-460E-AEF2-4EEBCDEB3D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7656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17656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829a26a12a4759" /><Relationship Type="http://schemas.openxmlformats.org/officeDocument/2006/relationships/hyperlink" Target="https://www.researchgate.net/publication/242075394_From_Service_to_Experience_Understanding_and_Defining_the_Hospitality_Business" TargetMode="External" Id="Rbea6c0885ca74277" /><Relationship Type="http://schemas.openxmlformats.org/officeDocument/2006/relationships/hyperlink" Target="https://www.tandfonline.com/doi/full/10.1080/19368623.2010.514547" TargetMode="External" Id="R545fdea5bd5d4230" /><Relationship Type="http://schemas.openxmlformats.org/officeDocument/2006/relationships/hyperlink" Target="https://goal-lab.psych.umn.edu/orgpsych/readings/14.%20Teams/Mathieu" TargetMode="External" Id="Ra1bb0982697a459e" /><Relationship Type="http://schemas.openxmlformats.org/officeDocument/2006/relationships/hyperlink" Target="https://www.taylorfrancis.com/reader/read-online/2e2222a6-6f24-46cd-9836-85be0071f30e/book/epub?context=ubx" TargetMode="External" Id="R30e6e3252f1f4c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4</revision>
  <dcterms:created xsi:type="dcterms:W3CDTF">2026-07-02T08:40:15.1858722Z</dcterms:created>
  <dcterms:modified xsi:type="dcterms:W3CDTF">2026-07-24T19:08:44.6959071Z</dcterms:modified>
</coreProperties>
</file>