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690E" w14:textId="01D8D102" w:rsidR="000B743B" w:rsidRDefault="009A6BEF" w:rsidP="009A6BEF">
      <w:pPr>
        <w:jc w:val="center"/>
        <w:rPr>
          <w:lang w:val="en-GB" w:bidi="ur-PK"/>
        </w:rPr>
      </w:pPr>
      <w:r w:rsidRPr="009A6BEF">
        <w:rPr>
          <w:noProof/>
          <w:lang w:val="en-GB" w:bidi="ur-PK"/>
        </w:rPr>
        <w:drawing>
          <wp:inline distT="0" distB="0" distL="0" distR="0" wp14:anchorId="75D6E508" wp14:editId="501D63A9">
            <wp:extent cx="4953000" cy="1384300"/>
            <wp:effectExtent l="0" t="0" r="0" b="0"/>
            <wp:docPr id="4736209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62097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0CFD0" w14:textId="77777777" w:rsidR="009A6BEF" w:rsidRDefault="009A6BEF" w:rsidP="009A6BEF">
      <w:pPr>
        <w:jc w:val="center"/>
        <w:rPr>
          <w:lang w:val="en-GB" w:bidi="ur-PK"/>
        </w:rPr>
      </w:pPr>
    </w:p>
    <w:p w14:paraId="5DBE1143" w14:textId="37B185BF" w:rsid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  <w:r w:rsidRPr="009A6BEF">
        <w:rPr>
          <w:b/>
          <w:bCs/>
          <w:sz w:val="32"/>
          <w:szCs w:val="32"/>
          <w:lang w:val="en-GB" w:bidi="ur-PK"/>
        </w:rPr>
        <w:t>Methods and Search Strategy Academic Poster</w:t>
      </w:r>
    </w:p>
    <w:p w14:paraId="45AB938B" w14:textId="77777777" w:rsid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02F42F95" w14:textId="77777777" w:rsidR="009A6BEF" w:rsidRP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5FA90C9B" w14:textId="52B6118A" w:rsidR="009A6BEF" w:rsidRP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  <w:r w:rsidRPr="009A6BEF">
        <w:rPr>
          <w:b/>
          <w:bCs/>
          <w:sz w:val="32"/>
          <w:szCs w:val="32"/>
          <w:lang w:val="en-GB" w:bidi="ur-PK"/>
        </w:rPr>
        <w:t>Student name:</w:t>
      </w:r>
      <w:r w:rsidR="007B671E">
        <w:rPr>
          <w:b/>
          <w:bCs/>
          <w:sz w:val="32"/>
          <w:szCs w:val="32"/>
          <w:lang w:val="en-GB" w:bidi="ur-PK"/>
        </w:rPr>
        <w:t xml:space="preserve"> </w:t>
      </w:r>
      <w:r w:rsidR="007B671E" w:rsidRPr="007B671E">
        <w:rPr>
          <w:b/>
          <w:bCs/>
          <w:sz w:val="32"/>
          <w:szCs w:val="32"/>
          <w:lang w:val="en-GB" w:bidi="ur-PK"/>
        </w:rPr>
        <w:t>Samina Nazir</w:t>
      </w:r>
    </w:p>
    <w:p w14:paraId="7F3C2455" w14:textId="2AAEE2E2" w:rsidR="009A6BEF" w:rsidRPr="009A6BEF" w:rsidRDefault="009A6BEF" w:rsidP="007B671E">
      <w:pPr>
        <w:jc w:val="center"/>
        <w:rPr>
          <w:b/>
          <w:bCs/>
          <w:sz w:val="32"/>
          <w:szCs w:val="32"/>
          <w:lang w:val="en-GB" w:bidi="ur-PK"/>
        </w:rPr>
      </w:pPr>
      <w:r w:rsidRPr="009A6BEF">
        <w:rPr>
          <w:b/>
          <w:bCs/>
          <w:sz w:val="32"/>
          <w:szCs w:val="32"/>
          <w:lang w:val="en-GB" w:bidi="ur-PK"/>
        </w:rPr>
        <w:t>Student ID:</w:t>
      </w:r>
      <w:r w:rsidR="007B671E">
        <w:rPr>
          <w:b/>
          <w:bCs/>
          <w:sz w:val="32"/>
          <w:szCs w:val="32"/>
          <w:lang w:val="en-GB" w:bidi="ur-PK"/>
        </w:rPr>
        <w:t xml:space="preserve"> </w:t>
      </w:r>
      <w:r w:rsidR="007B671E" w:rsidRPr="007B671E">
        <w:rPr>
          <w:b/>
          <w:bCs/>
          <w:sz w:val="32"/>
          <w:szCs w:val="32"/>
          <w:lang w:val="en-GB" w:bidi="ur-PK"/>
        </w:rPr>
        <w:t>2215433</w:t>
      </w:r>
    </w:p>
    <w:p w14:paraId="33CCC4A9" w14:textId="1BEB933A" w:rsidR="009A6BEF" w:rsidRP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  <w:r w:rsidRPr="009A6BEF">
        <w:rPr>
          <w:b/>
          <w:bCs/>
          <w:sz w:val="32"/>
          <w:szCs w:val="32"/>
          <w:lang w:val="en-GB" w:bidi="ur-PK"/>
        </w:rPr>
        <w:t>Module name:</w:t>
      </w:r>
      <w:r w:rsidR="007B671E">
        <w:rPr>
          <w:b/>
          <w:bCs/>
          <w:sz w:val="32"/>
          <w:szCs w:val="32"/>
          <w:lang w:val="en-GB" w:bidi="ur-PK"/>
        </w:rPr>
        <w:t xml:space="preserve"> </w:t>
      </w:r>
      <w:r w:rsidR="007B671E" w:rsidRPr="007B671E">
        <w:rPr>
          <w:b/>
          <w:bCs/>
          <w:sz w:val="32"/>
          <w:szCs w:val="32"/>
          <w:lang w:val="en-GB" w:bidi="ur-PK"/>
        </w:rPr>
        <w:t>Independent Project</w:t>
      </w:r>
    </w:p>
    <w:p w14:paraId="59D96F97" w14:textId="697BAD90" w:rsid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  <w:r w:rsidRPr="009A6BEF">
        <w:rPr>
          <w:b/>
          <w:bCs/>
          <w:sz w:val="32"/>
          <w:szCs w:val="32"/>
          <w:lang w:val="en-GB" w:bidi="ur-PK"/>
        </w:rPr>
        <w:t>Module code</w:t>
      </w:r>
      <w:r w:rsidR="007B671E">
        <w:rPr>
          <w:b/>
          <w:bCs/>
          <w:sz w:val="32"/>
          <w:szCs w:val="32"/>
          <w:lang w:val="en-GB" w:bidi="ur-PK"/>
        </w:rPr>
        <w:t xml:space="preserve">: </w:t>
      </w:r>
      <w:r w:rsidR="007B671E" w:rsidRPr="007B671E">
        <w:rPr>
          <w:b/>
          <w:bCs/>
          <w:sz w:val="32"/>
          <w:szCs w:val="32"/>
          <w:lang w:val="en-GB" w:bidi="ur-PK"/>
        </w:rPr>
        <w:t>BMHP6020</w:t>
      </w:r>
    </w:p>
    <w:p w14:paraId="4A93889C" w14:textId="5D0E227E" w:rsidR="007B671E" w:rsidRDefault="00D06C1C" w:rsidP="009A6BEF">
      <w:pPr>
        <w:jc w:val="center"/>
        <w:rPr>
          <w:b/>
          <w:bCs/>
          <w:sz w:val="32"/>
          <w:szCs w:val="32"/>
          <w:lang w:val="en-GB" w:bidi="ur-PK"/>
        </w:rPr>
      </w:pPr>
      <w:r w:rsidRPr="00D06C1C">
        <w:rPr>
          <w:b/>
          <w:bCs/>
          <w:sz w:val="32"/>
          <w:szCs w:val="32"/>
          <w:lang w:val="en-GB" w:bidi="ur-PK"/>
        </w:rPr>
        <w:t>Lecturer: Chloe Harries</w:t>
      </w:r>
    </w:p>
    <w:p w14:paraId="6BF3BF04" w14:textId="77777777" w:rsid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27289922" w14:textId="77777777" w:rsid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76C7FD96" w14:textId="77777777" w:rsid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66CA5746" w14:textId="77777777" w:rsid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6D0A6AE7" w14:textId="77777777" w:rsid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14D08AB7" w14:textId="77777777" w:rsidR="00A34F6E" w:rsidRDefault="00A34F6E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30988A34" w14:textId="77777777" w:rsidR="00A34F6E" w:rsidRDefault="00A34F6E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3C33F64A" w14:textId="77777777" w:rsidR="00A34F6E" w:rsidRDefault="00A34F6E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2B01CB19" w14:textId="77777777" w:rsidR="00A34F6E" w:rsidRDefault="00A34F6E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70098D31" w14:textId="77777777" w:rsidR="00A34F6E" w:rsidRDefault="00A34F6E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025BD98E" w14:textId="77777777" w:rsid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  <w:sectPr w:rsidR="009A6BE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251625B" w14:textId="77777777" w:rsidR="00A34F6E" w:rsidRDefault="00A34F6E" w:rsidP="00A34F6E">
      <w:pPr>
        <w:spacing w:before="240"/>
        <w:jc w:val="center"/>
        <w:rPr>
          <w:rFonts w:cs="Calibri"/>
          <w:b/>
          <w:bCs/>
          <w:sz w:val="36"/>
          <w:szCs w:val="36"/>
        </w:rPr>
      </w:pPr>
      <w:r w:rsidRPr="00006876">
        <w:rPr>
          <w:rFonts w:cs="Calibri"/>
          <w:b/>
          <w:bCs/>
          <w:sz w:val="36"/>
          <w:szCs w:val="36"/>
        </w:rPr>
        <w:lastRenderedPageBreak/>
        <w:t>Telemedicine and Digital Health as Tools for Advancing SDG in Rural Communities</w:t>
      </w:r>
    </w:p>
    <w:p w14:paraId="6FB15D79" w14:textId="77777777" w:rsidR="009A6BEF" w:rsidRDefault="009A6BEF" w:rsidP="00A34F6E">
      <w:pPr>
        <w:rPr>
          <w:b/>
          <w:bCs/>
          <w:sz w:val="32"/>
          <w:szCs w:val="32"/>
          <w:lang w:val="en-GB" w:bidi="ur-PK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5"/>
        <w:gridCol w:w="7743"/>
      </w:tblGrid>
      <w:tr w:rsidR="00A34F6E" w14:paraId="0FB7860E" w14:textId="77777777" w:rsidTr="000617C9">
        <w:trPr>
          <w:trHeight w:val="3638"/>
        </w:trPr>
        <w:tc>
          <w:tcPr>
            <w:tcW w:w="6974" w:type="dxa"/>
            <w:shd w:val="clear" w:color="auto" w:fill="CAEDFB" w:themeFill="accent4" w:themeFillTint="33"/>
          </w:tcPr>
          <w:p w14:paraId="5E71B1ED" w14:textId="77777777" w:rsidR="00A34F6E" w:rsidRPr="00274C47" w:rsidRDefault="00A34F6E" w:rsidP="005B3421">
            <w:pPr>
              <w:spacing w:line="276" w:lineRule="auto"/>
              <w:rPr>
                <w:rFonts w:ascii="Times New Roman" w:hAnsi="Times New Roman"/>
              </w:rPr>
            </w:pPr>
            <w:r w:rsidRPr="00274C47">
              <w:rPr>
                <w:rStyle w:val="Strong"/>
              </w:rPr>
              <w:t>Introduction and Research Aim</w:t>
            </w:r>
          </w:p>
          <w:p w14:paraId="4AC3BEB8" w14:textId="77777777" w:rsidR="00A34F6E" w:rsidRPr="00274C47" w:rsidRDefault="00A34F6E" w:rsidP="005B3421">
            <w:pPr>
              <w:spacing w:line="276" w:lineRule="auto"/>
              <w:rPr>
                <w:rFonts w:ascii="Times New Roman" w:hAnsi="Times New Roman"/>
              </w:rPr>
            </w:pPr>
            <w:r w:rsidRPr="00274C47">
              <w:t xml:space="preserve">A methods chapter explains </w:t>
            </w:r>
            <w:r w:rsidRPr="00274C47">
              <w:rPr>
                <w:rStyle w:val="Strong"/>
                <w:b w:val="0"/>
                <w:bCs w:val="0"/>
              </w:rPr>
              <w:t>how</w:t>
            </w:r>
            <w:r w:rsidRPr="00274C47">
              <w:t xml:space="preserve"> a study was conducted so the process is transparent, credible, and repeatable. This poster summarises the dissertation’s </w:t>
            </w:r>
            <w:r w:rsidRPr="00274C47">
              <w:rPr>
                <w:rStyle w:val="Strong"/>
                <w:b w:val="0"/>
                <w:bCs w:val="0"/>
              </w:rPr>
              <w:t>desk-based (secondary research)</w:t>
            </w:r>
            <w:r w:rsidRPr="00274C47">
              <w:t xml:space="preserve"> approach, including the search process, selection decisions, quality checks, and how evidence was analysed into themes.</w:t>
            </w:r>
          </w:p>
          <w:p w14:paraId="527868B7" w14:textId="77777777" w:rsidR="00A34F6E" w:rsidRPr="00274C47" w:rsidRDefault="00A34F6E" w:rsidP="005B3421">
            <w:pPr>
              <w:spacing w:line="276" w:lineRule="auto"/>
              <w:rPr>
                <w:sz w:val="32"/>
                <w:szCs w:val="32"/>
                <w:lang w:val="en-GB" w:bidi="ur-PK"/>
              </w:rPr>
            </w:pPr>
            <w:r w:rsidRPr="007309B9">
              <w:rPr>
                <w:rStyle w:val="Strong"/>
              </w:rPr>
              <w:t>Aim</w:t>
            </w:r>
            <w:r w:rsidRPr="00274C47">
              <w:rPr>
                <w:rStyle w:val="Strong"/>
                <w:b w:val="0"/>
                <w:bCs w:val="0"/>
              </w:rPr>
              <w:t>:</w:t>
            </w:r>
            <w:r w:rsidRPr="00274C47">
              <w:t xml:space="preserve"> To examine how telemedicine and wider digital-health interventions support </w:t>
            </w:r>
            <w:r w:rsidRPr="00274C47">
              <w:rPr>
                <w:rStyle w:val="Strong"/>
                <w:b w:val="0"/>
                <w:bCs w:val="0"/>
              </w:rPr>
              <w:t>SDG 3 (Health and well-being)</w:t>
            </w:r>
            <w:r w:rsidRPr="00274C47">
              <w:t xml:space="preserve">, </w:t>
            </w:r>
            <w:r w:rsidRPr="00274C47">
              <w:rPr>
                <w:rStyle w:val="Strong"/>
                <w:b w:val="0"/>
                <w:bCs w:val="0"/>
              </w:rPr>
              <w:t>SDG 9 (Infrastructure and innovation)</w:t>
            </w:r>
            <w:r w:rsidRPr="00274C47">
              <w:t xml:space="preserve">, and </w:t>
            </w:r>
            <w:r w:rsidRPr="00274C47">
              <w:rPr>
                <w:rStyle w:val="Strong"/>
                <w:b w:val="0"/>
                <w:bCs w:val="0"/>
              </w:rPr>
              <w:t>SDG 10 (Reduced inequalities)</w:t>
            </w:r>
            <w:r w:rsidRPr="00274C47">
              <w:t xml:space="preserve"> in rural communities, and to produce </w:t>
            </w:r>
            <w:r w:rsidRPr="00274C47">
              <w:rPr>
                <w:rStyle w:val="Strong"/>
                <w:b w:val="0"/>
                <w:bCs w:val="0"/>
              </w:rPr>
              <w:t>equity-focused recommendations</w:t>
            </w:r>
            <w:r w:rsidRPr="00274C47">
              <w:t xml:space="preserve"> for practice and policy.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70562672" w14:textId="77777777" w:rsidR="00A34F6E" w:rsidRPr="00274C47" w:rsidRDefault="00A34F6E" w:rsidP="005B3421">
            <w:pPr>
              <w:spacing w:line="276" w:lineRule="auto"/>
              <w:rPr>
                <w:rFonts w:ascii="Times New Roman" w:hAnsi="Times New Roman"/>
              </w:rPr>
            </w:pPr>
            <w:r w:rsidRPr="00274C47">
              <w:rPr>
                <w:rStyle w:val="Strong"/>
              </w:rPr>
              <w:t>Search Strategy</w:t>
            </w:r>
          </w:p>
          <w:p w14:paraId="340DC7D2" w14:textId="77777777" w:rsidR="00A34F6E" w:rsidRPr="00274C47" w:rsidRDefault="00A34F6E" w:rsidP="005B3421">
            <w:pPr>
              <w:spacing w:line="276" w:lineRule="auto"/>
              <w:rPr>
                <w:sz w:val="32"/>
                <w:szCs w:val="32"/>
                <w:lang w:val="en-GB" w:bidi="ur-PK"/>
              </w:rPr>
            </w:pPr>
            <w:r w:rsidRPr="00274C47">
              <w:t xml:space="preserve">A search strategy is a </w:t>
            </w:r>
            <w:r w:rsidRPr="00274C47">
              <w:rPr>
                <w:rStyle w:val="Strong"/>
                <w:b w:val="0"/>
                <w:bCs w:val="0"/>
              </w:rPr>
              <w:t>structured plan</w:t>
            </w:r>
            <w:r w:rsidRPr="00274C47">
              <w:t xml:space="preserve"> for finding relevant literature using agreed keywords, Boolean operators, and filters. In this study, the search was organised around three concepts: </w:t>
            </w:r>
            <w:r w:rsidRPr="00274C47">
              <w:rPr>
                <w:rStyle w:val="Strong"/>
                <w:b w:val="0"/>
                <w:bCs w:val="0"/>
              </w:rPr>
              <w:t>(1) telemedicine/digital health, (2) rural communities, (3) SDG-linked outcomes</w:t>
            </w:r>
            <w:r w:rsidRPr="00274C47">
              <w:t xml:space="preserve"> (access, infrastructure, equity). Keywords were expanded using synonyms (e.g., </w:t>
            </w:r>
            <w:r w:rsidRPr="00274C47">
              <w:rPr>
                <w:rStyle w:val="Emphasis"/>
              </w:rPr>
              <w:t>telehealth, virtual care, eHealth, mHealth</w:t>
            </w:r>
            <w:r w:rsidRPr="00274C47">
              <w:t xml:space="preserve">). Boolean operators were applied to manage precision: </w:t>
            </w:r>
            <w:r w:rsidRPr="00274C47">
              <w:rPr>
                <w:rStyle w:val="Strong"/>
                <w:b w:val="0"/>
                <w:bCs w:val="0"/>
              </w:rPr>
              <w:t>OR</w:t>
            </w:r>
            <w:r w:rsidRPr="00274C47">
              <w:t xml:space="preserve"> broadened synonyms, </w:t>
            </w:r>
            <w:r w:rsidRPr="00274C47">
              <w:rPr>
                <w:rStyle w:val="Strong"/>
                <w:b w:val="0"/>
                <w:bCs w:val="0"/>
              </w:rPr>
              <w:t>AND</w:t>
            </w:r>
            <w:r w:rsidRPr="00274C47">
              <w:t xml:space="preserve"> linked concepts, and </w:t>
            </w:r>
            <w:r w:rsidRPr="00274C47">
              <w:rPr>
                <w:rStyle w:val="Strong"/>
                <w:b w:val="0"/>
                <w:bCs w:val="0"/>
              </w:rPr>
              <w:t>NOT</w:t>
            </w:r>
            <w:r w:rsidRPr="00274C47">
              <w:t xml:space="preserve"> removed irrelevant results. Searches prioritised evidence from the </w:t>
            </w:r>
            <w:r w:rsidRPr="00274C47">
              <w:rPr>
                <w:rStyle w:val="Strong"/>
                <w:b w:val="0"/>
                <w:bCs w:val="0"/>
              </w:rPr>
              <w:t>last 10 years</w:t>
            </w:r>
            <w:r w:rsidRPr="00274C47">
              <w:t>, with selective inclusion of foundational sources where needed.</w:t>
            </w:r>
          </w:p>
        </w:tc>
      </w:tr>
      <w:tr w:rsidR="00A34F6E" w14:paraId="2890BFFE" w14:textId="77777777" w:rsidTr="000617C9">
        <w:trPr>
          <w:trHeight w:val="3366"/>
        </w:trPr>
        <w:tc>
          <w:tcPr>
            <w:tcW w:w="6974" w:type="dxa"/>
            <w:shd w:val="clear" w:color="auto" w:fill="FAE2D5" w:themeFill="accent2" w:themeFillTint="33"/>
          </w:tcPr>
          <w:p w14:paraId="0E9E747F" w14:textId="77777777" w:rsidR="00A34F6E" w:rsidRPr="00274C47" w:rsidRDefault="00A34F6E" w:rsidP="005B3421">
            <w:pPr>
              <w:spacing w:line="276" w:lineRule="auto"/>
              <w:rPr>
                <w:rFonts w:ascii="Times New Roman" w:hAnsi="Times New Roman"/>
              </w:rPr>
            </w:pPr>
            <w:r w:rsidRPr="00274C47">
              <w:rPr>
                <w:rStyle w:val="Strong"/>
              </w:rPr>
              <w:t>Searching for Information</w:t>
            </w:r>
          </w:p>
          <w:p w14:paraId="6FE7E275" w14:textId="77777777" w:rsidR="00A34F6E" w:rsidRPr="00274C47" w:rsidRDefault="00A34F6E" w:rsidP="005B3421">
            <w:pPr>
              <w:spacing w:line="276" w:lineRule="auto"/>
            </w:pPr>
            <w:r w:rsidRPr="00274C47">
              <w:t xml:space="preserve">A step-by-step process was used: (1) searching </w:t>
            </w:r>
            <w:r w:rsidRPr="00274C47">
              <w:rPr>
                <w:rStyle w:val="Strong"/>
                <w:b w:val="0"/>
                <w:bCs w:val="0"/>
              </w:rPr>
              <w:t>PubMed</w:t>
            </w:r>
            <w:r w:rsidRPr="00274C47">
              <w:t xml:space="preserve">, </w:t>
            </w:r>
            <w:r w:rsidRPr="00274C47">
              <w:rPr>
                <w:rStyle w:val="Strong"/>
                <w:b w:val="0"/>
                <w:bCs w:val="0"/>
              </w:rPr>
              <w:t>Scopus</w:t>
            </w:r>
            <w:r w:rsidRPr="00274C47">
              <w:t xml:space="preserve">, and </w:t>
            </w:r>
            <w:r w:rsidRPr="00274C47">
              <w:rPr>
                <w:rStyle w:val="Strong"/>
                <w:b w:val="0"/>
                <w:bCs w:val="0"/>
              </w:rPr>
              <w:t>Web of Science</w:t>
            </w:r>
            <w:r w:rsidRPr="00274C47">
              <w:t xml:space="preserve">; (2) building combined strings such as </w:t>
            </w:r>
            <w:r w:rsidRPr="00274C47">
              <w:rPr>
                <w:rStyle w:val="Emphasis"/>
              </w:rPr>
              <w:t>telemedicine AND rural AND (access OR inequality OR SDG)</w:t>
            </w:r>
            <w:r w:rsidRPr="00274C47">
              <w:t xml:space="preserve">; (3) applying filters (English language, peer-reviewed, rural/remote context); (4) screening titles/abstracts for relevance; (5) reading shortlisted full texts; and (6) using selected UK/NHS and global policy sources to interpret governance, infrastructure, and inclusion. </w:t>
            </w:r>
            <w:r w:rsidRPr="00274C47">
              <w:rPr>
                <w:rStyle w:val="Strong"/>
                <w:b w:val="0"/>
                <w:bCs w:val="0"/>
              </w:rPr>
              <w:t>Twelve studies</w:t>
            </w:r>
            <w:r w:rsidRPr="00274C47">
              <w:t xml:space="preserve"> were finalised for thematic analysis.</w:t>
            </w:r>
          </w:p>
        </w:tc>
        <w:tc>
          <w:tcPr>
            <w:tcW w:w="6974" w:type="dxa"/>
            <w:shd w:val="clear" w:color="auto" w:fill="CAEDFB" w:themeFill="accent4" w:themeFillTint="33"/>
          </w:tcPr>
          <w:p w14:paraId="26B67B34" w14:textId="77777777" w:rsidR="000617C9" w:rsidRDefault="000617C9" w:rsidP="005B3421">
            <w:pPr>
              <w:spacing w:line="276" w:lineRule="auto"/>
              <w:rPr>
                <w:sz w:val="32"/>
                <w:szCs w:val="32"/>
                <w:lang w:val="en-GB" w:bidi="ur-PK"/>
              </w:rPr>
            </w:pPr>
          </w:p>
          <w:p w14:paraId="2DE796CB" w14:textId="54499A6F" w:rsidR="00A34F6E" w:rsidRPr="00274C47" w:rsidRDefault="00A34F6E" w:rsidP="005B3421">
            <w:pPr>
              <w:spacing w:line="276" w:lineRule="auto"/>
              <w:rPr>
                <w:sz w:val="32"/>
                <w:szCs w:val="32"/>
                <w:lang w:val="en-GB" w:bidi="ur-PK"/>
              </w:rPr>
            </w:pPr>
            <w:r w:rsidRPr="00274C47">
              <w:rPr>
                <w:noProof/>
                <w:sz w:val="32"/>
                <w:szCs w:val="32"/>
                <w:lang w:val="en-GB" w:bidi="ur-PK"/>
              </w:rPr>
              <w:drawing>
                <wp:inline distT="0" distB="0" distL="0" distR="0" wp14:anchorId="5422295F" wp14:editId="3D9A00E5">
                  <wp:extent cx="4780061" cy="1931134"/>
                  <wp:effectExtent l="0" t="0" r="0" b="0"/>
                  <wp:docPr id="18468360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683604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5954" cy="1941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698EC1" w14:textId="77777777" w:rsid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402DD2" w14:paraId="5F57D5BC" w14:textId="77777777" w:rsidTr="00A34F6E">
        <w:tc>
          <w:tcPr>
            <w:tcW w:w="13948" w:type="dxa"/>
            <w:gridSpan w:val="2"/>
            <w:shd w:val="clear" w:color="auto" w:fill="C1F0C7" w:themeFill="accent3" w:themeFillTint="33"/>
          </w:tcPr>
          <w:p w14:paraId="64521164" w14:textId="6931772A" w:rsidR="00402DD2" w:rsidRPr="007309B9" w:rsidRDefault="00402DD2" w:rsidP="007309B9">
            <w:pPr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7309B9">
              <w:rPr>
                <w:b/>
                <w:bCs/>
                <w:noProof/>
                <w:sz w:val="32"/>
                <w:szCs w:val="32"/>
                <w:lang w:val="en-GB" w:bidi="ur-PK"/>
              </w:rPr>
              <w:drawing>
                <wp:anchor distT="0" distB="0" distL="114300" distR="114300" simplePos="0" relativeHeight="251658240" behindDoc="1" locked="0" layoutInCell="1" allowOverlap="1" wp14:anchorId="2A5625DC" wp14:editId="7B8B1380">
                  <wp:simplePos x="0" y="0"/>
                  <wp:positionH relativeFrom="column">
                    <wp:posOffset>5153367</wp:posOffset>
                  </wp:positionH>
                  <wp:positionV relativeFrom="paragraph">
                    <wp:posOffset>23753</wp:posOffset>
                  </wp:positionV>
                  <wp:extent cx="3627887" cy="2190541"/>
                  <wp:effectExtent l="0" t="0" r="4445" b="0"/>
                  <wp:wrapSquare wrapText="bothSides"/>
                  <wp:docPr id="12800833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08335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7887" cy="2190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09B9">
              <w:rPr>
                <w:b/>
                <w:bCs/>
              </w:rPr>
              <w:t>Research Validation and Analysis</w:t>
            </w:r>
          </w:p>
          <w:p w14:paraId="3B72214A" w14:textId="16E99DCC" w:rsidR="00402DD2" w:rsidRDefault="00402DD2" w:rsidP="007309B9">
            <w:pPr>
              <w:spacing w:line="276" w:lineRule="auto"/>
            </w:pPr>
            <w:r>
              <w:t xml:space="preserve">Validation in secondary research means checking that evidence is </w:t>
            </w:r>
            <w:r>
              <w:rPr>
                <w:rStyle w:val="Strong"/>
              </w:rPr>
              <w:t>credible, accurate, and relevant</w:t>
            </w:r>
            <w:r>
              <w:t xml:space="preserve">, reducing the risk of overclaiming from pilots or context-specific studies. Quality was assessed using the </w:t>
            </w:r>
            <w:r>
              <w:rPr>
                <w:rStyle w:val="Strong"/>
              </w:rPr>
              <w:t>CRAAP</w:t>
            </w:r>
            <w:r>
              <w:t xml:space="preserve"> framework (Currency, Relevance, Authority, Accuracy, Purpose). Evidence was then analysed using </w:t>
            </w:r>
            <w:r>
              <w:rPr>
                <w:rStyle w:val="Strong"/>
              </w:rPr>
              <w:t>inductive thematic analysis</w:t>
            </w:r>
            <w:r>
              <w:t>, generating three themes: (1) infrastructure and interoperability shape sustainability, (2) literacy/trust shape uptake, and (3) socioeconomic position and policy design shape who benefits.</w:t>
            </w:r>
          </w:p>
          <w:p w14:paraId="428765C4" w14:textId="556D9D1E" w:rsidR="00402DD2" w:rsidRDefault="00402DD2" w:rsidP="007309B9">
            <w:pPr>
              <w:spacing w:line="276" w:lineRule="auto"/>
              <w:rPr>
                <w:b/>
                <w:bCs/>
                <w:sz w:val="32"/>
                <w:szCs w:val="32"/>
                <w:lang w:val="en-GB" w:bidi="ur-PK"/>
              </w:rPr>
            </w:pPr>
          </w:p>
        </w:tc>
      </w:tr>
      <w:tr w:rsidR="00402DD2" w14:paraId="4F057EDD" w14:textId="77777777" w:rsidTr="00A34F6E">
        <w:tc>
          <w:tcPr>
            <w:tcW w:w="6974" w:type="dxa"/>
            <w:shd w:val="clear" w:color="auto" w:fill="F2CEED" w:themeFill="accent5" w:themeFillTint="33"/>
          </w:tcPr>
          <w:p w14:paraId="47AF7CB7" w14:textId="0062AF9B" w:rsidR="00402DD2" w:rsidRDefault="00402DD2" w:rsidP="007309B9">
            <w:pPr>
              <w:spacing w:line="276" w:lineRule="auto"/>
              <w:rPr>
                <w:b/>
                <w:bCs/>
                <w:sz w:val="32"/>
                <w:szCs w:val="32"/>
                <w:lang w:val="en-GB" w:bidi="ur-PK"/>
              </w:rPr>
            </w:pPr>
            <w:r>
              <w:rPr>
                <w:rStyle w:val="Strong"/>
              </w:rPr>
              <w:t>Inclusion:</w:t>
            </w:r>
            <w:r>
              <w:t xml:space="preserve"> </w:t>
            </w:r>
            <w:r w:rsidR="009B0023">
              <w:t>R</w:t>
            </w:r>
            <w:r>
              <w:t>ural telehealth/digital health studies, SDG-relevant outcomes, peer-reviewed evidence, mostly last 10 years, English/full text.</w:t>
            </w:r>
          </w:p>
        </w:tc>
        <w:tc>
          <w:tcPr>
            <w:tcW w:w="6974" w:type="dxa"/>
            <w:shd w:val="clear" w:color="auto" w:fill="F2CEED" w:themeFill="accent5" w:themeFillTint="33"/>
          </w:tcPr>
          <w:p w14:paraId="32505624" w14:textId="080E59EF" w:rsidR="00402DD2" w:rsidRDefault="00402DD2" w:rsidP="007309B9">
            <w:pPr>
              <w:spacing w:line="276" w:lineRule="auto"/>
              <w:rPr>
                <w:b/>
                <w:bCs/>
                <w:sz w:val="32"/>
                <w:szCs w:val="32"/>
                <w:lang w:val="en-GB" w:bidi="ur-PK"/>
              </w:rPr>
            </w:pPr>
            <w:r>
              <w:rPr>
                <w:rStyle w:val="Strong"/>
              </w:rPr>
              <w:t>Exclusion:</w:t>
            </w:r>
            <w:r>
              <w:t xml:space="preserve"> </w:t>
            </w:r>
            <w:r w:rsidR="009B0023">
              <w:t>U</w:t>
            </w:r>
            <w:r>
              <w:t>rban-only studies, purely technical papers, low-credibility sources, outdated/irrelevant systems, non-English.</w:t>
            </w:r>
          </w:p>
        </w:tc>
      </w:tr>
      <w:tr w:rsidR="00402DD2" w14:paraId="7A516975" w14:textId="77777777" w:rsidTr="00A34F6E">
        <w:tc>
          <w:tcPr>
            <w:tcW w:w="13948" w:type="dxa"/>
            <w:gridSpan w:val="2"/>
            <w:shd w:val="clear" w:color="auto" w:fill="FAE2D5" w:themeFill="accent2" w:themeFillTint="33"/>
          </w:tcPr>
          <w:p w14:paraId="795872CA" w14:textId="77777777" w:rsidR="00402DD2" w:rsidRPr="000567DB" w:rsidRDefault="00402DD2" w:rsidP="009A6BEF">
            <w:pPr>
              <w:jc w:val="center"/>
              <w:rPr>
                <w:b/>
                <w:bCs/>
              </w:rPr>
            </w:pPr>
            <w:r w:rsidRPr="000567DB">
              <w:rPr>
                <w:b/>
                <w:bCs/>
              </w:rPr>
              <w:t>Ethical Considerations</w:t>
            </w:r>
          </w:p>
          <w:p w14:paraId="753026BD" w14:textId="77777777" w:rsidR="00402DD2" w:rsidRDefault="00402DD2" w:rsidP="009A6BEF">
            <w:pPr>
              <w:jc w:val="center"/>
            </w:pPr>
          </w:p>
          <w:p w14:paraId="6BD8E18A" w14:textId="29198596" w:rsidR="00402DD2" w:rsidRPr="00402DD2" w:rsidRDefault="00402DD2" w:rsidP="00402DD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FC293B" wp14:editId="368DE68E">
                  <wp:extent cx="7918101" cy="2001520"/>
                  <wp:effectExtent l="0" t="0" r="0" b="17780"/>
                  <wp:docPr id="1667149382" name="Diagram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9" r:lo="rId10" r:qs="rId11" r:cs="rId12"/>
                    </a:graphicData>
                  </a:graphic>
                </wp:inline>
              </w:drawing>
            </w:r>
          </w:p>
        </w:tc>
      </w:tr>
    </w:tbl>
    <w:p w14:paraId="48EE90C4" w14:textId="77777777" w:rsid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  <w:sectPr w:rsidR="009A6BEF" w:rsidSect="009A6BE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6A06ECF" w14:textId="578BDB0C" w:rsidR="009A6BEF" w:rsidRDefault="009A6BEF" w:rsidP="009A6BEF">
      <w:pPr>
        <w:rPr>
          <w:b/>
          <w:bCs/>
          <w:lang w:val="en-GB" w:bidi="ur-PK"/>
        </w:rPr>
      </w:pPr>
      <w:r>
        <w:rPr>
          <w:b/>
          <w:bCs/>
          <w:lang w:val="en-GB" w:bidi="ur-PK"/>
        </w:rPr>
        <w:lastRenderedPageBreak/>
        <w:t xml:space="preserve">References </w:t>
      </w:r>
    </w:p>
    <w:p w14:paraId="2C425CBB" w14:textId="77777777" w:rsidR="00A34F6E" w:rsidRPr="000617C9" w:rsidRDefault="00A34F6E" w:rsidP="000617C9">
      <w:pPr>
        <w:pStyle w:val="NormalWeb"/>
        <w:spacing w:before="0" w:beforeAutospacing="0" w:after="240" w:afterAutospacing="0" w:line="360" w:lineRule="auto"/>
        <w:jc w:val="both"/>
      </w:pPr>
      <w:r w:rsidRPr="000617C9">
        <w:t xml:space="preserve">Braun, V. and Clarke, V. (2006) ‘Using Thematic Analysis in Psychology’, </w:t>
      </w:r>
      <w:r w:rsidRPr="000617C9">
        <w:rPr>
          <w:i/>
          <w:iCs/>
        </w:rPr>
        <w:t>Qualitative Research in Psychology</w:t>
      </w:r>
      <w:r w:rsidRPr="000617C9">
        <w:t>, 3(2), pp. 77–101. doi:https://doi.org/10.1191/1478088706qp063oa.</w:t>
      </w:r>
    </w:p>
    <w:p w14:paraId="5EDCAFC8" w14:textId="77777777" w:rsidR="000617C9" w:rsidRPr="000617C9" w:rsidRDefault="000617C9" w:rsidP="000617C9">
      <w:pPr>
        <w:pStyle w:val="NormalWeb"/>
        <w:spacing w:before="0" w:beforeAutospacing="0" w:after="240" w:afterAutospacing="0" w:line="360" w:lineRule="auto"/>
        <w:jc w:val="both"/>
      </w:pPr>
      <w:r w:rsidRPr="000617C9">
        <w:t xml:space="preserve">Jol, G. and Stommel, W. (2016) ‘Ethical considerations of secondary data use’, </w:t>
      </w:r>
      <w:r w:rsidRPr="000617C9">
        <w:rPr>
          <w:i/>
          <w:iCs/>
        </w:rPr>
        <w:t>Dutch Journal of Applied Linguistics</w:t>
      </w:r>
      <w:r w:rsidRPr="000617C9">
        <w:t>, 5(2), pp. 180–195. doi:https://doi.org/10.1075/dujal.5.2.06jol.</w:t>
      </w:r>
    </w:p>
    <w:p w14:paraId="08EC4050" w14:textId="77777777" w:rsidR="00A34F6E" w:rsidRPr="000617C9" w:rsidRDefault="00A34F6E" w:rsidP="000617C9">
      <w:pPr>
        <w:pStyle w:val="NormalWeb"/>
        <w:spacing w:before="0" w:beforeAutospacing="0" w:after="240" w:afterAutospacing="0" w:line="360" w:lineRule="auto"/>
        <w:jc w:val="both"/>
      </w:pPr>
      <w:r w:rsidRPr="000617C9">
        <w:t xml:space="preserve">Muis, K.R., Denton, C. and Dubé, A. (2022) ‘Identifying CRAAP on the Internet: a Source Evaluation Intervention’, </w:t>
      </w:r>
      <w:r w:rsidRPr="000617C9">
        <w:rPr>
          <w:i/>
          <w:iCs/>
        </w:rPr>
        <w:t>Advances in Social Sciences Research Journal</w:t>
      </w:r>
      <w:r w:rsidRPr="000617C9">
        <w:t>, 9(7), pp. 239–265.</w:t>
      </w:r>
    </w:p>
    <w:p w14:paraId="6A6BF063" w14:textId="77777777" w:rsidR="00A34F6E" w:rsidRPr="000617C9" w:rsidRDefault="00A34F6E" w:rsidP="000617C9">
      <w:pPr>
        <w:pStyle w:val="NormalWeb"/>
        <w:spacing w:before="0" w:beforeAutospacing="0" w:after="240" w:afterAutospacing="0" w:line="360" w:lineRule="auto"/>
        <w:jc w:val="both"/>
      </w:pPr>
      <w:r w:rsidRPr="000617C9">
        <w:t xml:space="preserve">United Nations (2015) </w:t>
      </w:r>
      <w:r w:rsidRPr="000617C9">
        <w:rPr>
          <w:i/>
          <w:iCs/>
        </w:rPr>
        <w:t>The 17 sustainable development goals</w:t>
      </w:r>
      <w:r w:rsidRPr="000617C9">
        <w:t xml:space="preserve">, </w:t>
      </w:r>
      <w:r w:rsidRPr="000617C9">
        <w:rPr>
          <w:i/>
          <w:iCs/>
        </w:rPr>
        <w:t>United Nations</w:t>
      </w:r>
      <w:r w:rsidRPr="000617C9">
        <w:t>. Available at: https://sdgs.un.org/goals (Accessed: 1 December 2025).</w:t>
      </w:r>
    </w:p>
    <w:p w14:paraId="7805E398" w14:textId="77777777" w:rsidR="00A34F6E" w:rsidRPr="009A6BEF" w:rsidRDefault="00A34F6E" w:rsidP="009A6BEF">
      <w:pPr>
        <w:rPr>
          <w:b/>
          <w:bCs/>
          <w:lang w:val="en-GB" w:bidi="ur-PK"/>
        </w:rPr>
      </w:pPr>
    </w:p>
    <w:p w14:paraId="718A31BA" w14:textId="77777777" w:rsid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45521386" w14:textId="77777777" w:rsid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</w:p>
    <w:p w14:paraId="0B8A0500" w14:textId="77777777" w:rsidR="009A6BEF" w:rsidRPr="009A6BEF" w:rsidRDefault="009A6BEF" w:rsidP="009A6BEF">
      <w:pPr>
        <w:jc w:val="center"/>
        <w:rPr>
          <w:b/>
          <w:bCs/>
          <w:sz w:val="32"/>
          <w:szCs w:val="32"/>
          <w:lang w:val="en-GB" w:bidi="ur-PK"/>
        </w:rPr>
      </w:pPr>
    </w:p>
    <w:sectPr w:rsidR="009A6BEF" w:rsidRPr="009A6BEF" w:rsidSect="009A6B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274295"/>
    <w:multiLevelType w:val="multilevel"/>
    <w:tmpl w:val="FC562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3B2F2B"/>
    <w:multiLevelType w:val="multilevel"/>
    <w:tmpl w:val="7F3A3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689382">
    <w:abstractNumId w:val="1"/>
  </w:num>
  <w:num w:numId="2" w16cid:durableId="1558391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BEF"/>
    <w:rsid w:val="000363C5"/>
    <w:rsid w:val="000567DB"/>
    <w:rsid w:val="000617C9"/>
    <w:rsid w:val="000B743B"/>
    <w:rsid w:val="00274C47"/>
    <w:rsid w:val="002A5235"/>
    <w:rsid w:val="00340028"/>
    <w:rsid w:val="00402DD2"/>
    <w:rsid w:val="00437888"/>
    <w:rsid w:val="00461624"/>
    <w:rsid w:val="007309B9"/>
    <w:rsid w:val="007B671E"/>
    <w:rsid w:val="00804503"/>
    <w:rsid w:val="009A6BEF"/>
    <w:rsid w:val="009B0023"/>
    <w:rsid w:val="009B14D7"/>
    <w:rsid w:val="009F7FAC"/>
    <w:rsid w:val="00A34F6E"/>
    <w:rsid w:val="00B118AA"/>
    <w:rsid w:val="00BE4882"/>
    <w:rsid w:val="00D06C1C"/>
    <w:rsid w:val="00D95A10"/>
    <w:rsid w:val="00E947F1"/>
    <w:rsid w:val="00FB6C67"/>
    <w:rsid w:val="00FF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557EB"/>
  <w15:chartTrackingRefBased/>
  <w15:docId w15:val="{3EDF5766-8C30-E14F-A763-ED356EA57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235"/>
    <w:rPr>
      <w:rFonts w:asciiTheme="majorBidi" w:hAnsiTheme="majorBidi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1624"/>
    <w:pPr>
      <w:keepNext/>
      <w:keepLines/>
      <w:spacing w:before="360" w:after="80"/>
      <w:outlineLvl w:val="0"/>
    </w:pPr>
    <w:rPr>
      <w:rFonts w:eastAsiaTheme="majorEastAsia" w:cstheme="majorBidi"/>
      <w:b/>
      <w:color w:val="0F4761" w:themeColor="accent1" w:themeShade="BF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B6C67"/>
    <w:pPr>
      <w:keepNext/>
      <w:keepLines/>
      <w:spacing w:before="160" w:after="80"/>
      <w:outlineLvl w:val="1"/>
    </w:pPr>
    <w:rPr>
      <w:rFonts w:eastAsiaTheme="majorEastAsia" w:cstheme="majorBidi"/>
      <w:b/>
      <w:color w:val="0F4761" w:themeColor="accent1" w:themeShade="BF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4882"/>
    <w:pPr>
      <w:keepNext/>
      <w:keepLines/>
      <w:spacing w:before="160" w:after="80"/>
      <w:outlineLvl w:val="2"/>
    </w:pPr>
    <w:rPr>
      <w:rFonts w:eastAsiaTheme="majorEastAsia" w:cstheme="majorBidi"/>
      <w:b/>
      <w:i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6B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6B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6BE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6BE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6BE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6BE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1624"/>
    <w:rPr>
      <w:rFonts w:asciiTheme="majorBidi" w:eastAsiaTheme="majorEastAsia" w:hAnsiTheme="majorBidi" w:cstheme="majorBidi"/>
      <w:b/>
      <w:color w:val="0F4761" w:themeColor="accent1" w:themeShade="BF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B6C67"/>
    <w:rPr>
      <w:rFonts w:asciiTheme="majorBidi" w:eastAsiaTheme="majorEastAsia" w:hAnsiTheme="majorBidi" w:cstheme="majorBidi"/>
      <w:b/>
      <w:color w:val="0F4761" w:themeColor="accent1" w:themeShade="BF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E4882"/>
    <w:rPr>
      <w:rFonts w:asciiTheme="majorBidi" w:eastAsiaTheme="majorEastAsia" w:hAnsiTheme="majorBidi" w:cstheme="majorBidi"/>
      <w:b/>
      <w:i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6B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6B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6B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6B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6B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6B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6B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6B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6BE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6B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6B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6BEF"/>
    <w:rPr>
      <w:rFonts w:asciiTheme="majorBidi" w:hAnsiTheme="majorBidi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6B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6B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6B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6BEF"/>
    <w:rPr>
      <w:rFonts w:asciiTheme="majorBidi" w:hAnsiTheme="majorBidi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6BE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02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02DD2"/>
    <w:rPr>
      <w:b/>
      <w:bCs/>
    </w:rPr>
  </w:style>
  <w:style w:type="paragraph" w:styleId="NormalWeb">
    <w:name w:val="Normal (Web)"/>
    <w:basedOn w:val="Normal"/>
    <w:uiPriority w:val="99"/>
    <w:unhideWhenUsed/>
    <w:rsid w:val="00402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402D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5C30763-8FDD-644C-B6BA-D45DA4922A20}" type="doc">
      <dgm:prSet loTypeId="urn:microsoft.com/office/officeart/2005/8/layout/vList3" loCatId="" qsTypeId="urn:microsoft.com/office/officeart/2005/8/quickstyle/simple1" qsCatId="simple" csTypeId="urn:microsoft.com/office/officeart/2005/8/colors/colorful1" csCatId="colorful" phldr="1"/>
      <dgm:spPr/>
    </dgm:pt>
    <dgm:pt modelId="{AD2F0C20-1A11-D847-851E-277F009D4F13}">
      <dgm:prSet phldrT="[Text]"/>
      <dgm:spPr/>
      <dgm:t>
        <a:bodyPr/>
        <a:lstStyle/>
        <a:p>
          <a:pPr>
            <a:buNone/>
          </a:pPr>
          <a:r>
            <a:rPr lang="en-PK">
              <a:latin typeface="Times New Roman" panose="02020603050405020304" pitchFamily="18" charset="0"/>
              <a:cs typeface="Times New Roman" panose="02020603050405020304" pitchFamily="18" charset="0"/>
            </a:rPr>
            <a:t>·  </a:t>
          </a:r>
          <a:r>
            <a:rPr lang="en-PK" b="1">
              <a:latin typeface="Times New Roman" panose="02020603050405020304" pitchFamily="18" charset="0"/>
              <a:cs typeface="Times New Roman" panose="02020603050405020304" pitchFamily="18" charset="0"/>
            </a:rPr>
            <a:t>Respect for intellectual property:</a:t>
          </a:r>
          <a:r>
            <a:rPr lang="en-PK">
              <a:latin typeface="Times New Roman" panose="02020603050405020304" pitchFamily="18" charset="0"/>
              <a:cs typeface="Times New Roman" panose="02020603050405020304" pitchFamily="18" charset="0"/>
            </a:rPr>
            <a:t> full Harvard-style referencing; careful paraphrasing; no plagiarism.</a:t>
          </a:r>
          <a:endParaRPr lang="en-GB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ACD1B12-6607-8047-B95C-A6C9FBFBA285}" type="parTrans" cxnId="{BEDC2630-E9FF-0E40-B93E-C988EB1BA396}">
      <dgm:prSet/>
      <dgm:spPr/>
      <dgm:t>
        <a:bodyPr/>
        <a:lstStyle/>
        <a:p>
          <a:endParaRPr lang="en-GB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BC3EABE-627A-684D-99C3-A841113A2176}" type="sibTrans" cxnId="{BEDC2630-E9FF-0E40-B93E-C988EB1BA396}">
      <dgm:prSet/>
      <dgm:spPr/>
      <dgm:t>
        <a:bodyPr/>
        <a:lstStyle/>
        <a:p>
          <a:endParaRPr lang="en-GB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245C645-203D-5F42-B03D-826402D507DB}">
      <dgm:prSet/>
      <dgm:spPr/>
      <dgm:t>
        <a:bodyPr/>
        <a:lstStyle/>
        <a:p>
          <a:pPr>
            <a:buNone/>
          </a:pPr>
          <a:r>
            <a:rPr lang="en-PK">
              <a:latin typeface="Times New Roman" panose="02020603050405020304" pitchFamily="18" charset="0"/>
              <a:cs typeface="Times New Roman" panose="02020603050405020304" pitchFamily="18" charset="0"/>
            </a:rPr>
            <a:t>·  </a:t>
          </a:r>
          <a:r>
            <a:rPr lang="en-PK" b="1">
              <a:latin typeface="Times New Roman" panose="02020603050405020304" pitchFamily="18" charset="0"/>
              <a:cs typeface="Times New Roman" panose="02020603050405020304" pitchFamily="18" charset="0"/>
            </a:rPr>
            <a:t>Data integrity:</a:t>
          </a:r>
          <a:r>
            <a:rPr lang="en-PK">
              <a:latin typeface="Times New Roman" panose="02020603050405020304" pitchFamily="18" charset="0"/>
              <a:cs typeface="Times New Roman" panose="02020603050405020304" pitchFamily="18" charset="0"/>
            </a:rPr>
            <a:t> prioritised credible sources and reported both supportive and critical findings (not just success stories).</a:t>
          </a:r>
        </a:p>
      </dgm:t>
    </dgm:pt>
    <dgm:pt modelId="{2D124D85-9909-EB4C-84FF-FDF84D5E9C5B}" type="parTrans" cxnId="{403C2C13-B1B1-BE49-A0BC-581B0B765920}">
      <dgm:prSet/>
      <dgm:spPr/>
      <dgm:t>
        <a:bodyPr/>
        <a:lstStyle/>
        <a:p>
          <a:endParaRPr lang="en-GB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E1A059B-4A1A-0043-823C-E81FB252C9C0}" type="sibTrans" cxnId="{403C2C13-B1B1-BE49-A0BC-581B0B765920}">
      <dgm:prSet/>
      <dgm:spPr/>
      <dgm:t>
        <a:bodyPr/>
        <a:lstStyle/>
        <a:p>
          <a:endParaRPr lang="en-GB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5C27A43-2EFD-6843-AC51-90496B7AE004}">
      <dgm:prSet/>
      <dgm:spPr/>
      <dgm:t>
        <a:bodyPr/>
        <a:lstStyle/>
        <a:p>
          <a:pPr>
            <a:buNone/>
          </a:pPr>
          <a:r>
            <a:rPr lang="en-PK">
              <a:latin typeface="Times New Roman" panose="02020603050405020304" pitchFamily="18" charset="0"/>
              <a:cs typeface="Times New Roman" panose="02020603050405020304" pitchFamily="18" charset="0"/>
            </a:rPr>
            <a:t>·  </a:t>
          </a:r>
          <a:r>
            <a:rPr lang="en-PK" b="1">
              <a:latin typeface="Times New Roman" panose="02020603050405020304" pitchFamily="18" charset="0"/>
              <a:cs typeface="Times New Roman" panose="02020603050405020304" pitchFamily="18" charset="0"/>
            </a:rPr>
            <a:t>Bias awareness:</a:t>
          </a:r>
          <a:r>
            <a:rPr lang="en-PK">
              <a:latin typeface="Times New Roman" panose="02020603050405020304" pitchFamily="18" charset="0"/>
              <a:cs typeface="Times New Roman" panose="02020603050405020304" pitchFamily="18" charset="0"/>
            </a:rPr>
            <a:t> clear inclusion/exclusion criteria to reduce cherry-picking.</a:t>
          </a:r>
        </a:p>
      </dgm:t>
    </dgm:pt>
    <dgm:pt modelId="{FB9F7D8C-B4BC-7246-A1A9-214F9E1339EE}" type="parTrans" cxnId="{F0576E58-D9DA-F84D-977E-DD3BCF211A2A}">
      <dgm:prSet/>
      <dgm:spPr/>
      <dgm:t>
        <a:bodyPr/>
        <a:lstStyle/>
        <a:p>
          <a:endParaRPr lang="en-GB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251B572-68D6-2B4C-BC04-D7223FB69B62}" type="sibTrans" cxnId="{F0576E58-D9DA-F84D-977E-DD3BCF211A2A}">
      <dgm:prSet/>
      <dgm:spPr/>
      <dgm:t>
        <a:bodyPr/>
        <a:lstStyle/>
        <a:p>
          <a:endParaRPr lang="en-GB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38A0368-FED3-CD49-9D0A-82D00AE3DFBF}">
      <dgm:prSet/>
      <dgm:spPr/>
      <dgm:t>
        <a:bodyPr/>
        <a:lstStyle/>
        <a:p>
          <a:pPr>
            <a:buNone/>
          </a:pPr>
          <a:r>
            <a:rPr lang="en-PK">
              <a:latin typeface="Times New Roman" panose="02020603050405020304" pitchFamily="18" charset="0"/>
              <a:cs typeface="Times New Roman" panose="02020603050405020304" pitchFamily="18" charset="0"/>
            </a:rPr>
            <a:t>·  </a:t>
          </a:r>
          <a:r>
            <a:rPr lang="en-PK" b="1">
              <a:latin typeface="Times New Roman" panose="02020603050405020304" pitchFamily="18" charset="0"/>
              <a:cs typeface="Times New Roman" panose="02020603050405020304" pitchFamily="18" charset="0"/>
            </a:rPr>
            <a:t>Privacy &amp; governance:</a:t>
          </a:r>
          <a:r>
            <a:rPr lang="en-PK">
              <a:latin typeface="Times New Roman" panose="02020603050405020304" pitchFamily="18" charset="0"/>
              <a:cs typeface="Times New Roman" panose="02020603050405020304" pitchFamily="18" charset="0"/>
            </a:rPr>
            <a:t> acknowledged data-protection relevance (e.g., GDPR and NHS information governance), especially where rural populations may be identifiable in small communities.</a:t>
          </a:r>
        </a:p>
      </dgm:t>
    </dgm:pt>
    <dgm:pt modelId="{6ECA6FBD-5946-6C49-A0D9-0CA43A63C24D}" type="parTrans" cxnId="{361DDC01-78B5-C143-9E43-132C553D494E}">
      <dgm:prSet/>
      <dgm:spPr/>
      <dgm:t>
        <a:bodyPr/>
        <a:lstStyle/>
        <a:p>
          <a:endParaRPr lang="en-GB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B36869A-FC27-9D4E-9077-204E1020A352}" type="sibTrans" cxnId="{361DDC01-78B5-C143-9E43-132C553D494E}">
      <dgm:prSet/>
      <dgm:spPr/>
      <dgm:t>
        <a:bodyPr/>
        <a:lstStyle/>
        <a:p>
          <a:endParaRPr lang="en-GB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A3CF793-C45E-284D-9A0F-2AD0766CE4A3}">
      <dgm:prSet/>
      <dgm:spPr/>
      <dgm:t>
        <a:bodyPr/>
        <a:lstStyle/>
        <a:p>
          <a:pPr>
            <a:buNone/>
          </a:pPr>
          <a:r>
            <a:rPr lang="en-PK">
              <a:latin typeface="Times New Roman" panose="02020603050405020304" pitchFamily="18" charset="0"/>
              <a:cs typeface="Times New Roman" panose="02020603050405020304" pitchFamily="18" charset="0"/>
            </a:rPr>
            <a:t>·  </a:t>
          </a:r>
          <a:r>
            <a:rPr lang="en-PK" b="1">
              <a:latin typeface="Times New Roman" panose="02020603050405020304" pitchFamily="18" charset="0"/>
              <a:cs typeface="Times New Roman" panose="02020603050405020304" pitchFamily="18" charset="0"/>
            </a:rPr>
            <a:t>No direct participants:</a:t>
          </a:r>
          <a:r>
            <a:rPr lang="en-PK">
              <a:latin typeface="Times New Roman" panose="02020603050405020304" pitchFamily="18" charset="0"/>
              <a:cs typeface="Times New Roman" panose="02020603050405020304" pitchFamily="18" charset="0"/>
            </a:rPr>
            <a:t> no primary data collection, no patient recruitment, and no collection of identifiable personal data.</a:t>
          </a:r>
        </a:p>
      </dgm:t>
    </dgm:pt>
    <dgm:pt modelId="{38DE0117-2931-3643-9324-2EA6734B879A}" type="parTrans" cxnId="{0A945993-82B3-7A4F-9724-C45130BE5B6A}">
      <dgm:prSet/>
      <dgm:spPr/>
      <dgm:t>
        <a:bodyPr/>
        <a:lstStyle/>
        <a:p>
          <a:endParaRPr lang="en-GB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E60401E-7A53-3A4C-B0A4-63B03E686881}" type="sibTrans" cxnId="{0A945993-82B3-7A4F-9724-C45130BE5B6A}">
      <dgm:prSet/>
      <dgm:spPr/>
      <dgm:t>
        <a:bodyPr/>
        <a:lstStyle/>
        <a:p>
          <a:endParaRPr lang="en-GB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C4CD0C3-B9C9-4A46-96C4-89D420957C96}" type="pres">
      <dgm:prSet presAssocID="{A5C30763-8FDD-644C-B6BA-D45DA4922A20}" presName="linearFlow" presStyleCnt="0">
        <dgm:presLayoutVars>
          <dgm:dir/>
          <dgm:resizeHandles val="exact"/>
        </dgm:presLayoutVars>
      </dgm:prSet>
      <dgm:spPr/>
    </dgm:pt>
    <dgm:pt modelId="{12FB2A45-95C6-0D4A-9D34-2BA54798C91A}" type="pres">
      <dgm:prSet presAssocID="{AD2F0C20-1A11-D847-851E-277F009D4F13}" presName="composite" presStyleCnt="0"/>
      <dgm:spPr/>
    </dgm:pt>
    <dgm:pt modelId="{AFC3A533-E24C-E549-8543-4C86668241C1}" type="pres">
      <dgm:prSet presAssocID="{AD2F0C20-1A11-D847-851E-277F009D4F13}" presName="imgShp" presStyleLbl="fgImgPlace1" presStyleIdx="0" presStyleCnt="5"/>
      <dgm:spPr/>
    </dgm:pt>
    <dgm:pt modelId="{0D101406-D8EC-694A-A6CD-2D1566B66020}" type="pres">
      <dgm:prSet presAssocID="{AD2F0C20-1A11-D847-851E-277F009D4F13}" presName="txShp" presStyleLbl="node1" presStyleIdx="0" presStyleCnt="5">
        <dgm:presLayoutVars>
          <dgm:bulletEnabled val="1"/>
        </dgm:presLayoutVars>
      </dgm:prSet>
      <dgm:spPr/>
    </dgm:pt>
    <dgm:pt modelId="{C8F593FC-3691-5F49-A213-6D614D569C8C}" type="pres">
      <dgm:prSet presAssocID="{6BC3EABE-627A-684D-99C3-A841113A2176}" presName="spacing" presStyleCnt="0"/>
      <dgm:spPr/>
    </dgm:pt>
    <dgm:pt modelId="{19E4C413-95FA-B846-9A43-C6F2AC6FC223}" type="pres">
      <dgm:prSet presAssocID="{6245C645-203D-5F42-B03D-826402D507DB}" presName="composite" presStyleCnt="0"/>
      <dgm:spPr/>
    </dgm:pt>
    <dgm:pt modelId="{2C67FFE3-486D-1E42-9AB0-5ED7374E616D}" type="pres">
      <dgm:prSet presAssocID="{6245C645-203D-5F42-B03D-826402D507DB}" presName="imgShp" presStyleLbl="fgImgPlace1" presStyleIdx="1" presStyleCnt="5"/>
      <dgm:spPr/>
    </dgm:pt>
    <dgm:pt modelId="{C25E6091-0E8F-D745-9198-89A43032E794}" type="pres">
      <dgm:prSet presAssocID="{6245C645-203D-5F42-B03D-826402D507DB}" presName="txShp" presStyleLbl="node1" presStyleIdx="1" presStyleCnt="5">
        <dgm:presLayoutVars>
          <dgm:bulletEnabled val="1"/>
        </dgm:presLayoutVars>
      </dgm:prSet>
      <dgm:spPr/>
    </dgm:pt>
    <dgm:pt modelId="{F22F79EC-8AAE-BB48-B8D5-1F1C5968B113}" type="pres">
      <dgm:prSet presAssocID="{AE1A059B-4A1A-0043-823C-E81FB252C9C0}" presName="spacing" presStyleCnt="0"/>
      <dgm:spPr/>
    </dgm:pt>
    <dgm:pt modelId="{D1AE0B94-B4A7-D64E-9707-7793632A7F04}" type="pres">
      <dgm:prSet presAssocID="{D5C27A43-2EFD-6843-AC51-90496B7AE004}" presName="composite" presStyleCnt="0"/>
      <dgm:spPr/>
    </dgm:pt>
    <dgm:pt modelId="{1A9EE8BE-919F-9042-AE61-114D73F50AC9}" type="pres">
      <dgm:prSet presAssocID="{D5C27A43-2EFD-6843-AC51-90496B7AE004}" presName="imgShp" presStyleLbl="fgImgPlace1" presStyleIdx="2" presStyleCnt="5"/>
      <dgm:spPr/>
    </dgm:pt>
    <dgm:pt modelId="{A83F7AD3-3202-8B4B-9898-476DF8CEC79B}" type="pres">
      <dgm:prSet presAssocID="{D5C27A43-2EFD-6843-AC51-90496B7AE004}" presName="txShp" presStyleLbl="node1" presStyleIdx="2" presStyleCnt="5">
        <dgm:presLayoutVars>
          <dgm:bulletEnabled val="1"/>
        </dgm:presLayoutVars>
      </dgm:prSet>
      <dgm:spPr/>
    </dgm:pt>
    <dgm:pt modelId="{FDCA2D8B-E2E7-FB4B-A673-8DA6EF97B0E8}" type="pres">
      <dgm:prSet presAssocID="{F251B572-68D6-2B4C-BC04-D7223FB69B62}" presName="spacing" presStyleCnt="0"/>
      <dgm:spPr/>
    </dgm:pt>
    <dgm:pt modelId="{282D1428-7CA1-3E4C-B9EC-1F03A8A243A3}" type="pres">
      <dgm:prSet presAssocID="{538A0368-FED3-CD49-9D0A-82D00AE3DFBF}" presName="composite" presStyleCnt="0"/>
      <dgm:spPr/>
    </dgm:pt>
    <dgm:pt modelId="{361E9564-554D-B84C-8AC0-266B3E9A0528}" type="pres">
      <dgm:prSet presAssocID="{538A0368-FED3-CD49-9D0A-82D00AE3DFBF}" presName="imgShp" presStyleLbl="fgImgPlace1" presStyleIdx="3" presStyleCnt="5"/>
      <dgm:spPr/>
    </dgm:pt>
    <dgm:pt modelId="{5194299B-A444-2E48-AB56-FA42138DD3C1}" type="pres">
      <dgm:prSet presAssocID="{538A0368-FED3-CD49-9D0A-82D00AE3DFBF}" presName="txShp" presStyleLbl="node1" presStyleIdx="3" presStyleCnt="5">
        <dgm:presLayoutVars>
          <dgm:bulletEnabled val="1"/>
        </dgm:presLayoutVars>
      </dgm:prSet>
      <dgm:spPr/>
    </dgm:pt>
    <dgm:pt modelId="{36D6EBE5-6AD7-E74E-80DB-0FB11D2058F9}" type="pres">
      <dgm:prSet presAssocID="{0B36869A-FC27-9D4E-9077-204E1020A352}" presName="spacing" presStyleCnt="0"/>
      <dgm:spPr/>
    </dgm:pt>
    <dgm:pt modelId="{E555E8E6-4219-F94E-AC39-7A8E796931C3}" type="pres">
      <dgm:prSet presAssocID="{8A3CF793-C45E-284D-9A0F-2AD0766CE4A3}" presName="composite" presStyleCnt="0"/>
      <dgm:spPr/>
    </dgm:pt>
    <dgm:pt modelId="{9137CB65-78EA-4A44-88C3-FB8EA06B3976}" type="pres">
      <dgm:prSet presAssocID="{8A3CF793-C45E-284D-9A0F-2AD0766CE4A3}" presName="imgShp" presStyleLbl="fgImgPlace1" presStyleIdx="4" presStyleCnt="5"/>
      <dgm:spPr/>
    </dgm:pt>
    <dgm:pt modelId="{277784EB-4D6A-B949-BE00-E1A5F8B6F952}" type="pres">
      <dgm:prSet presAssocID="{8A3CF793-C45E-284D-9A0F-2AD0766CE4A3}" presName="txShp" presStyleLbl="node1" presStyleIdx="4" presStyleCnt="5">
        <dgm:presLayoutVars>
          <dgm:bulletEnabled val="1"/>
        </dgm:presLayoutVars>
      </dgm:prSet>
      <dgm:spPr/>
    </dgm:pt>
  </dgm:ptLst>
  <dgm:cxnLst>
    <dgm:cxn modelId="{361DDC01-78B5-C143-9E43-132C553D494E}" srcId="{A5C30763-8FDD-644C-B6BA-D45DA4922A20}" destId="{538A0368-FED3-CD49-9D0A-82D00AE3DFBF}" srcOrd="3" destOrd="0" parTransId="{6ECA6FBD-5946-6C49-A0D9-0CA43A63C24D}" sibTransId="{0B36869A-FC27-9D4E-9077-204E1020A352}"/>
    <dgm:cxn modelId="{403C2C13-B1B1-BE49-A0BC-581B0B765920}" srcId="{A5C30763-8FDD-644C-B6BA-D45DA4922A20}" destId="{6245C645-203D-5F42-B03D-826402D507DB}" srcOrd="1" destOrd="0" parTransId="{2D124D85-9909-EB4C-84FF-FDF84D5E9C5B}" sibTransId="{AE1A059B-4A1A-0043-823C-E81FB252C9C0}"/>
    <dgm:cxn modelId="{BEDC2630-E9FF-0E40-B93E-C988EB1BA396}" srcId="{A5C30763-8FDD-644C-B6BA-D45DA4922A20}" destId="{AD2F0C20-1A11-D847-851E-277F009D4F13}" srcOrd="0" destOrd="0" parTransId="{FACD1B12-6607-8047-B95C-A6C9FBFBA285}" sibTransId="{6BC3EABE-627A-684D-99C3-A841113A2176}"/>
    <dgm:cxn modelId="{F0576E58-D9DA-F84D-977E-DD3BCF211A2A}" srcId="{A5C30763-8FDD-644C-B6BA-D45DA4922A20}" destId="{D5C27A43-2EFD-6843-AC51-90496B7AE004}" srcOrd="2" destOrd="0" parTransId="{FB9F7D8C-B4BC-7246-A1A9-214F9E1339EE}" sibTransId="{F251B572-68D6-2B4C-BC04-D7223FB69B62}"/>
    <dgm:cxn modelId="{BBC39A8C-7E7B-6C44-908F-4E38B72E70B7}" type="presOf" srcId="{538A0368-FED3-CD49-9D0A-82D00AE3DFBF}" destId="{5194299B-A444-2E48-AB56-FA42138DD3C1}" srcOrd="0" destOrd="0" presId="urn:microsoft.com/office/officeart/2005/8/layout/vList3"/>
    <dgm:cxn modelId="{0A945993-82B3-7A4F-9724-C45130BE5B6A}" srcId="{A5C30763-8FDD-644C-B6BA-D45DA4922A20}" destId="{8A3CF793-C45E-284D-9A0F-2AD0766CE4A3}" srcOrd="4" destOrd="0" parTransId="{38DE0117-2931-3643-9324-2EA6734B879A}" sibTransId="{0E60401E-7A53-3A4C-B0A4-63B03E686881}"/>
    <dgm:cxn modelId="{B11801A9-8CF3-1D4D-BD1A-2CB0CF38757A}" type="presOf" srcId="{D5C27A43-2EFD-6843-AC51-90496B7AE004}" destId="{A83F7AD3-3202-8B4B-9898-476DF8CEC79B}" srcOrd="0" destOrd="0" presId="urn:microsoft.com/office/officeart/2005/8/layout/vList3"/>
    <dgm:cxn modelId="{F199BDC9-ABB2-894F-A8A7-350CE99D541A}" type="presOf" srcId="{8A3CF793-C45E-284D-9A0F-2AD0766CE4A3}" destId="{277784EB-4D6A-B949-BE00-E1A5F8B6F952}" srcOrd="0" destOrd="0" presId="urn:microsoft.com/office/officeart/2005/8/layout/vList3"/>
    <dgm:cxn modelId="{728EECCF-FE2B-174D-AE99-21B8CA8428EF}" type="presOf" srcId="{AD2F0C20-1A11-D847-851E-277F009D4F13}" destId="{0D101406-D8EC-694A-A6CD-2D1566B66020}" srcOrd="0" destOrd="0" presId="urn:microsoft.com/office/officeart/2005/8/layout/vList3"/>
    <dgm:cxn modelId="{D3E5D3E0-B380-C24A-BE40-7BF356C6BEE5}" type="presOf" srcId="{A5C30763-8FDD-644C-B6BA-D45DA4922A20}" destId="{4C4CD0C3-B9C9-4A46-96C4-89D420957C96}" srcOrd="0" destOrd="0" presId="urn:microsoft.com/office/officeart/2005/8/layout/vList3"/>
    <dgm:cxn modelId="{A6AE3EE2-0B0A-4141-A60C-321BE9D41C85}" type="presOf" srcId="{6245C645-203D-5F42-B03D-826402D507DB}" destId="{C25E6091-0E8F-D745-9198-89A43032E794}" srcOrd="0" destOrd="0" presId="urn:microsoft.com/office/officeart/2005/8/layout/vList3"/>
    <dgm:cxn modelId="{560FC350-985A-C245-9A2B-36FA2C0F6373}" type="presParOf" srcId="{4C4CD0C3-B9C9-4A46-96C4-89D420957C96}" destId="{12FB2A45-95C6-0D4A-9D34-2BA54798C91A}" srcOrd="0" destOrd="0" presId="urn:microsoft.com/office/officeart/2005/8/layout/vList3"/>
    <dgm:cxn modelId="{1F5AEF25-31CF-7B45-8465-52E92E035541}" type="presParOf" srcId="{12FB2A45-95C6-0D4A-9D34-2BA54798C91A}" destId="{AFC3A533-E24C-E549-8543-4C86668241C1}" srcOrd="0" destOrd="0" presId="urn:microsoft.com/office/officeart/2005/8/layout/vList3"/>
    <dgm:cxn modelId="{5B8138DD-D127-6147-ABDC-A164EBFDD2AC}" type="presParOf" srcId="{12FB2A45-95C6-0D4A-9D34-2BA54798C91A}" destId="{0D101406-D8EC-694A-A6CD-2D1566B66020}" srcOrd="1" destOrd="0" presId="urn:microsoft.com/office/officeart/2005/8/layout/vList3"/>
    <dgm:cxn modelId="{690C02CE-4AC5-8040-BE0F-2C9D680378FF}" type="presParOf" srcId="{4C4CD0C3-B9C9-4A46-96C4-89D420957C96}" destId="{C8F593FC-3691-5F49-A213-6D614D569C8C}" srcOrd="1" destOrd="0" presId="urn:microsoft.com/office/officeart/2005/8/layout/vList3"/>
    <dgm:cxn modelId="{8FE42AE3-7C67-9048-B7DD-5B673826A88F}" type="presParOf" srcId="{4C4CD0C3-B9C9-4A46-96C4-89D420957C96}" destId="{19E4C413-95FA-B846-9A43-C6F2AC6FC223}" srcOrd="2" destOrd="0" presId="urn:microsoft.com/office/officeart/2005/8/layout/vList3"/>
    <dgm:cxn modelId="{3586EB6B-553B-6A4C-A65C-AF1B7A20612F}" type="presParOf" srcId="{19E4C413-95FA-B846-9A43-C6F2AC6FC223}" destId="{2C67FFE3-486D-1E42-9AB0-5ED7374E616D}" srcOrd="0" destOrd="0" presId="urn:microsoft.com/office/officeart/2005/8/layout/vList3"/>
    <dgm:cxn modelId="{A0249DCD-AE5F-0C45-9680-CD3D32310567}" type="presParOf" srcId="{19E4C413-95FA-B846-9A43-C6F2AC6FC223}" destId="{C25E6091-0E8F-D745-9198-89A43032E794}" srcOrd="1" destOrd="0" presId="urn:microsoft.com/office/officeart/2005/8/layout/vList3"/>
    <dgm:cxn modelId="{2133ECD1-F980-6547-898F-6B9DD58EC94B}" type="presParOf" srcId="{4C4CD0C3-B9C9-4A46-96C4-89D420957C96}" destId="{F22F79EC-8AAE-BB48-B8D5-1F1C5968B113}" srcOrd="3" destOrd="0" presId="urn:microsoft.com/office/officeart/2005/8/layout/vList3"/>
    <dgm:cxn modelId="{521623B8-2366-D648-8556-4D3F17BC22B8}" type="presParOf" srcId="{4C4CD0C3-B9C9-4A46-96C4-89D420957C96}" destId="{D1AE0B94-B4A7-D64E-9707-7793632A7F04}" srcOrd="4" destOrd="0" presId="urn:microsoft.com/office/officeart/2005/8/layout/vList3"/>
    <dgm:cxn modelId="{A03F3745-7D5D-DD42-9D23-DFF31B917262}" type="presParOf" srcId="{D1AE0B94-B4A7-D64E-9707-7793632A7F04}" destId="{1A9EE8BE-919F-9042-AE61-114D73F50AC9}" srcOrd="0" destOrd="0" presId="urn:microsoft.com/office/officeart/2005/8/layout/vList3"/>
    <dgm:cxn modelId="{9BEF4776-4329-2346-ACBD-CCE5C98117CC}" type="presParOf" srcId="{D1AE0B94-B4A7-D64E-9707-7793632A7F04}" destId="{A83F7AD3-3202-8B4B-9898-476DF8CEC79B}" srcOrd="1" destOrd="0" presId="urn:microsoft.com/office/officeart/2005/8/layout/vList3"/>
    <dgm:cxn modelId="{648357AF-784D-8640-B442-DD3A3A076868}" type="presParOf" srcId="{4C4CD0C3-B9C9-4A46-96C4-89D420957C96}" destId="{FDCA2D8B-E2E7-FB4B-A673-8DA6EF97B0E8}" srcOrd="5" destOrd="0" presId="urn:microsoft.com/office/officeart/2005/8/layout/vList3"/>
    <dgm:cxn modelId="{1CD62FB0-BD29-B940-8470-58FA4917EF46}" type="presParOf" srcId="{4C4CD0C3-B9C9-4A46-96C4-89D420957C96}" destId="{282D1428-7CA1-3E4C-B9EC-1F03A8A243A3}" srcOrd="6" destOrd="0" presId="urn:microsoft.com/office/officeart/2005/8/layout/vList3"/>
    <dgm:cxn modelId="{073ABD8B-3576-3042-8DA0-D7AFFB7291CD}" type="presParOf" srcId="{282D1428-7CA1-3E4C-B9EC-1F03A8A243A3}" destId="{361E9564-554D-B84C-8AC0-266B3E9A0528}" srcOrd="0" destOrd="0" presId="urn:microsoft.com/office/officeart/2005/8/layout/vList3"/>
    <dgm:cxn modelId="{8AF6AC9B-8E88-A04F-BEAB-707D84BB71EB}" type="presParOf" srcId="{282D1428-7CA1-3E4C-B9EC-1F03A8A243A3}" destId="{5194299B-A444-2E48-AB56-FA42138DD3C1}" srcOrd="1" destOrd="0" presId="urn:microsoft.com/office/officeart/2005/8/layout/vList3"/>
    <dgm:cxn modelId="{5833D73D-4B8E-1745-B86F-5A0EDFDF5C75}" type="presParOf" srcId="{4C4CD0C3-B9C9-4A46-96C4-89D420957C96}" destId="{36D6EBE5-6AD7-E74E-80DB-0FB11D2058F9}" srcOrd="7" destOrd="0" presId="urn:microsoft.com/office/officeart/2005/8/layout/vList3"/>
    <dgm:cxn modelId="{96454B7D-8366-7041-95EE-4D3BD14A4703}" type="presParOf" srcId="{4C4CD0C3-B9C9-4A46-96C4-89D420957C96}" destId="{E555E8E6-4219-F94E-AC39-7A8E796931C3}" srcOrd="8" destOrd="0" presId="urn:microsoft.com/office/officeart/2005/8/layout/vList3"/>
    <dgm:cxn modelId="{CAC2DD9F-98AC-EE41-9279-3B5C59F610BE}" type="presParOf" srcId="{E555E8E6-4219-F94E-AC39-7A8E796931C3}" destId="{9137CB65-78EA-4A44-88C3-FB8EA06B3976}" srcOrd="0" destOrd="0" presId="urn:microsoft.com/office/officeart/2005/8/layout/vList3"/>
    <dgm:cxn modelId="{0C810BF3-3900-7542-94FD-3CE2CC74DA0E}" type="presParOf" srcId="{E555E8E6-4219-F94E-AC39-7A8E796931C3}" destId="{277784EB-4D6A-B949-BE00-E1A5F8B6F952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D101406-D8EC-694A-A6CD-2D1566B66020}">
      <dsp:nvSpPr>
        <dsp:cNvPr id="0" name=""/>
        <dsp:cNvSpPr/>
      </dsp:nvSpPr>
      <dsp:spPr>
        <a:xfrm rot="10800000">
          <a:off x="1409597" y="977"/>
          <a:ext cx="5265537" cy="333260"/>
        </a:xfrm>
        <a:prstGeom prst="homePlat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959" tIns="34290" rIns="64008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PK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·  </a:t>
          </a:r>
          <a:r>
            <a:rPr lang="en-PK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Respect for intellectual property:</a:t>
          </a:r>
          <a:r>
            <a:rPr lang="en-PK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full Harvard-style referencing; careful paraphrasing; no plagiarism.</a:t>
          </a:r>
          <a:endParaRPr lang="en-GB" sz="9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10800000">
        <a:off x="1492912" y="977"/>
        <a:ext cx="5182222" cy="333260"/>
      </dsp:txXfrm>
    </dsp:sp>
    <dsp:sp modelId="{AFC3A533-E24C-E549-8543-4C86668241C1}">
      <dsp:nvSpPr>
        <dsp:cNvPr id="0" name=""/>
        <dsp:cNvSpPr/>
      </dsp:nvSpPr>
      <dsp:spPr>
        <a:xfrm>
          <a:off x="1242966" y="977"/>
          <a:ext cx="333260" cy="333260"/>
        </a:xfrm>
        <a:prstGeom prst="ellipse">
          <a:avLst/>
        </a:prstGeom>
        <a:solidFill>
          <a:schemeClr val="accent2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25E6091-0E8F-D745-9198-89A43032E794}">
      <dsp:nvSpPr>
        <dsp:cNvPr id="0" name=""/>
        <dsp:cNvSpPr/>
      </dsp:nvSpPr>
      <dsp:spPr>
        <a:xfrm rot="10800000">
          <a:off x="1409597" y="417553"/>
          <a:ext cx="5265537" cy="333260"/>
        </a:xfrm>
        <a:prstGeom prst="homePlat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959" tIns="34290" rIns="64008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PK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·  </a:t>
          </a:r>
          <a:r>
            <a:rPr lang="en-PK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Data integrity:</a:t>
          </a:r>
          <a:r>
            <a:rPr lang="en-PK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prioritised credible sources and reported both supportive and critical findings (not just success stories).</a:t>
          </a:r>
        </a:p>
      </dsp:txBody>
      <dsp:txXfrm rot="10800000">
        <a:off x="1492912" y="417553"/>
        <a:ext cx="5182222" cy="333260"/>
      </dsp:txXfrm>
    </dsp:sp>
    <dsp:sp modelId="{2C67FFE3-486D-1E42-9AB0-5ED7374E616D}">
      <dsp:nvSpPr>
        <dsp:cNvPr id="0" name=""/>
        <dsp:cNvSpPr/>
      </dsp:nvSpPr>
      <dsp:spPr>
        <a:xfrm>
          <a:off x="1242966" y="417553"/>
          <a:ext cx="333260" cy="333260"/>
        </a:xfrm>
        <a:prstGeom prst="ellipse">
          <a:avLst/>
        </a:prstGeom>
        <a:solidFill>
          <a:schemeClr val="accent3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83F7AD3-3202-8B4B-9898-476DF8CEC79B}">
      <dsp:nvSpPr>
        <dsp:cNvPr id="0" name=""/>
        <dsp:cNvSpPr/>
      </dsp:nvSpPr>
      <dsp:spPr>
        <a:xfrm rot="10800000">
          <a:off x="1409597" y="834129"/>
          <a:ext cx="5265537" cy="333260"/>
        </a:xfrm>
        <a:prstGeom prst="homePlat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959" tIns="34290" rIns="64008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PK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·  </a:t>
          </a:r>
          <a:r>
            <a:rPr lang="en-PK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Bias awareness:</a:t>
          </a:r>
          <a:r>
            <a:rPr lang="en-PK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clear inclusion/exclusion criteria to reduce cherry-picking.</a:t>
          </a:r>
        </a:p>
      </dsp:txBody>
      <dsp:txXfrm rot="10800000">
        <a:off x="1492912" y="834129"/>
        <a:ext cx="5182222" cy="333260"/>
      </dsp:txXfrm>
    </dsp:sp>
    <dsp:sp modelId="{1A9EE8BE-919F-9042-AE61-114D73F50AC9}">
      <dsp:nvSpPr>
        <dsp:cNvPr id="0" name=""/>
        <dsp:cNvSpPr/>
      </dsp:nvSpPr>
      <dsp:spPr>
        <a:xfrm>
          <a:off x="1242966" y="834129"/>
          <a:ext cx="333260" cy="333260"/>
        </a:xfrm>
        <a:prstGeom prst="ellipse">
          <a:avLst/>
        </a:prstGeom>
        <a:solidFill>
          <a:schemeClr val="accent4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194299B-A444-2E48-AB56-FA42138DD3C1}">
      <dsp:nvSpPr>
        <dsp:cNvPr id="0" name=""/>
        <dsp:cNvSpPr/>
      </dsp:nvSpPr>
      <dsp:spPr>
        <a:xfrm rot="10800000">
          <a:off x="1409597" y="1250705"/>
          <a:ext cx="5265537" cy="333260"/>
        </a:xfrm>
        <a:prstGeom prst="homePlat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959" tIns="34290" rIns="64008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PK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·  </a:t>
          </a:r>
          <a:r>
            <a:rPr lang="en-PK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Privacy &amp; governance:</a:t>
          </a:r>
          <a:r>
            <a:rPr lang="en-PK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acknowledged data-protection relevance (e.g., GDPR and NHS information governance), especially where rural populations may be identifiable in small communities.</a:t>
          </a:r>
        </a:p>
      </dsp:txBody>
      <dsp:txXfrm rot="10800000">
        <a:off x="1492912" y="1250705"/>
        <a:ext cx="5182222" cy="333260"/>
      </dsp:txXfrm>
    </dsp:sp>
    <dsp:sp modelId="{361E9564-554D-B84C-8AC0-266B3E9A0528}">
      <dsp:nvSpPr>
        <dsp:cNvPr id="0" name=""/>
        <dsp:cNvSpPr/>
      </dsp:nvSpPr>
      <dsp:spPr>
        <a:xfrm>
          <a:off x="1242966" y="1250705"/>
          <a:ext cx="333260" cy="333260"/>
        </a:xfrm>
        <a:prstGeom prst="ellipse">
          <a:avLst/>
        </a:prstGeom>
        <a:solidFill>
          <a:schemeClr val="accent5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77784EB-4D6A-B949-BE00-E1A5F8B6F952}">
      <dsp:nvSpPr>
        <dsp:cNvPr id="0" name=""/>
        <dsp:cNvSpPr/>
      </dsp:nvSpPr>
      <dsp:spPr>
        <a:xfrm rot="10800000">
          <a:off x="1409597" y="1667281"/>
          <a:ext cx="5265537" cy="333260"/>
        </a:xfrm>
        <a:prstGeom prst="homePlat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959" tIns="34290" rIns="64008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PK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·  </a:t>
          </a:r>
          <a:r>
            <a:rPr lang="en-PK" sz="9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No direct participants:</a:t>
          </a:r>
          <a:r>
            <a:rPr lang="en-PK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no primary data collection, no patient recruitment, and no collection of identifiable personal data.</a:t>
          </a:r>
        </a:p>
      </dsp:txBody>
      <dsp:txXfrm rot="10800000">
        <a:off x="1492912" y="1667281"/>
        <a:ext cx="5182222" cy="333260"/>
      </dsp:txXfrm>
    </dsp:sp>
    <dsp:sp modelId="{9137CB65-78EA-4A44-88C3-FB8EA06B3976}">
      <dsp:nvSpPr>
        <dsp:cNvPr id="0" name=""/>
        <dsp:cNvSpPr/>
      </dsp:nvSpPr>
      <dsp:spPr>
        <a:xfrm>
          <a:off x="1242966" y="1667281"/>
          <a:ext cx="333260" cy="333260"/>
        </a:xfrm>
        <a:prstGeom prst="ellipse">
          <a:avLst/>
        </a:prstGeom>
        <a:solidFill>
          <a:schemeClr val="accent6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747BCDF-CA21-D44E-8CD1-BB9BDBCF6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540</Words>
  <Characters>3080</Characters>
  <Application>Microsoft Office Word</Application>
  <DocSecurity>0</DocSecurity>
  <Lines>25</Lines>
  <Paragraphs>7</Paragraphs>
  <ScaleCrop>false</ScaleCrop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 FILE</dc:creator>
  <cp:keywords/>
  <dc:description/>
  <cp:lastModifiedBy>Naqi Mir</cp:lastModifiedBy>
  <cp:revision>11</cp:revision>
  <dcterms:created xsi:type="dcterms:W3CDTF">2026-01-28T10:02:00Z</dcterms:created>
  <dcterms:modified xsi:type="dcterms:W3CDTF">2026-02-01T17:32:00Z</dcterms:modified>
</cp:coreProperties>
</file>