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C62F87" w14:textId="77777777" w:rsidR="00AC7B1D" w:rsidRDefault="00AC7B1D" w:rsidP="00122D1B">
      <w:pPr>
        <w:spacing w:after="0" w:line="240" w:lineRule="auto"/>
        <w:ind w:left="-180" w:right="-334"/>
        <w:jc w:val="center"/>
        <w:rPr>
          <w:rFonts w:ascii="Arial" w:eastAsia="SimSun" w:hAnsi="Arial" w:cs="Arial"/>
          <w:b/>
          <w:color w:val="000000"/>
          <w:sz w:val="28"/>
          <w:szCs w:val="28"/>
          <w:lang w:val="cy-GB" w:eastAsia="zh-CN"/>
        </w:rPr>
      </w:pPr>
    </w:p>
    <w:p w14:paraId="271A0E7C" w14:textId="77777777" w:rsidR="00122D1B" w:rsidRPr="00847A10" w:rsidRDefault="00122D1B" w:rsidP="00122D1B">
      <w:pPr>
        <w:spacing w:after="0" w:line="240" w:lineRule="auto"/>
        <w:ind w:left="-180" w:right="-334"/>
        <w:jc w:val="center"/>
        <w:rPr>
          <w:rFonts w:ascii="Arial" w:eastAsia="SimSun" w:hAnsi="Arial" w:cs="Arial"/>
          <w:b/>
          <w:color w:val="000000"/>
          <w:sz w:val="28"/>
          <w:szCs w:val="28"/>
          <w:lang w:val="cy-GB" w:eastAsia="zh-CN"/>
        </w:rPr>
      </w:pPr>
      <w:r w:rsidRPr="00847A10">
        <w:rPr>
          <w:rFonts w:ascii="Arial" w:eastAsia="SimSun" w:hAnsi="Arial" w:cs="Arial"/>
          <w:b/>
          <w:color w:val="000000"/>
          <w:sz w:val="28"/>
          <w:szCs w:val="28"/>
          <w:lang w:val="cy-GB" w:eastAsia="zh-CN"/>
        </w:rPr>
        <w:t xml:space="preserve">Postgraduate/Distance Learning </w:t>
      </w:r>
    </w:p>
    <w:p w14:paraId="2DAA669E" w14:textId="77777777" w:rsidR="00122D1B" w:rsidRPr="00847A10" w:rsidRDefault="00122D1B" w:rsidP="00122D1B">
      <w:pPr>
        <w:spacing w:after="0" w:line="240" w:lineRule="auto"/>
        <w:ind w:left="-180" w:right="-334"/>
        <w:jc w:val="center"/>
        <w:rPr>
          <w:rFonts w:ascii="Arial" w:eastAsia="SimSun" w:hAnsi="Arial" w:cs="Arial"/>
          <w:b/>
          <w:color w:val="000000"/>
          <w:sz w:val="28"/>
          <w:szCs w:val="28"/>
          <w:lang w:eastAsia="zh-CN"/>
        </w:rPr>
      </w:pPr>
      <w:r w:rsidRPr="00847A10">
        <w:rPr>
          <w:rFonts w:ascii="Arial" w:eastAsia="SimSun" w:hAnsi="Arial" w:cs="Arial"/>
          <w:b/>
          <w:color w:val="000000"/>
          <w:sz w:val="28"/>
          <w:szCs w:val="28"/>
          <w:lang w:val="cy-GB" w:eastAsia="zh-CN"/>
        </w:rPr>
        <w:t>Assignment coversheet &amp; feedback form</w:t>
      </w:r>
    </w:p>
    <w:p w14:paraId="7D2F7E62" w14:textId="77777777" w:rsidR="00122D1B" w:rsidRPr="00847A10" w:rsidRDefault="00122D1B" w:rsidP="00122D1B">
      <w:pPr>
        <w:rPr>
          <w:rFonts w:ascii="Arial" w:hAnsi="Arial" w:cs="Arial"/>
          <w:sz w:val="28"/>
          <w:szCs w:val="28"/>
          <w:lang w:val="cy-GB"/>
        </w:rPr>
      </w:pPr>
    </w:p>
    <w:p w14:paraId="22105E47" w14:textId="77777777" w:rsidR="00122D1B" w:rsidRPr="00847A10" w:rsidRDefault="00122D1B" w:rsidP="00122D1B">
      <w:pPr>
        <w:keepNext/>
        <w:spacing w:after="0" w:line="240" w:lineRule="auto"/>
        <w:ind w:left="720"/>
        <w:jc w:val="center"/>
        <w:outlineLvl w:val="2"/>
        <w:rPr>
          <w:rFonts w:ascii="Tahoma" w:eastAsia="SimSun" w:hAnsi="Tahoma" w:cs="Tahoma"/>
          <w:b/>
          <w:bCs/>
          <w:sz w:val="20"/>
          <w:szCs w:val="20"/>
          <w:lang w:val="cy-GB" w:eastAsia="zh-CN"/>
        </w:rPr>
      </w:pPr>
      <w:r w:rsidRPr="00847A10">
        <w:rPr>
          <w:rFonts w:ascii="Tahoma" w:eastAsia="SimSun" w:hAnsi="Tahoma" w:cs="Tahoma"/>
          <w:b/>
          <w:bCs/>
          <w:sz w:val="20"/>
          <w:szCs w:val="20"/>
          <w:lang w:val="cy-GB" w:eastAsia="zh-CN"/>
        </w:rPr>
        <w:t>THIS SHEET MUST BE THE FIRST PAGE OF THE ASSIGNMENT YOU ARE SUBMITTING  (DO NOT SEND AS A SEPARATE FILE)</w:t>
      </w:r>
    </w:p>
    <w:p w14:paraId="68FD9A30" w14:textId="77777777" w:rsidR="00122D1B" w:rsidRPr="00847A10" w:rsidRDefault="00122D1B" w:rsidP="00122D1B">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2266"/>
        <w:gridCol w:w="1802"/>
      </w:tblGrid>
      <w:tr w:rsidR="00122D1B" w:rsidRPr="00847A10" w14:paraId="7FFE82D8" w14:textId="77777777" w:rsidTr="00A77774">
        <w:trPr>
          <w:trHeight w:val="614"/>
        </w:trPr>
        <w:tc>
          <w:tcPr>
            <w:tcW w:w="8856" w:type="dxa"/>
            <w:gridSpan w:val="3"/>
            <w:tcBorders>
              <w:top w:val="single" w:sz="4" w:space="0" w:color="000000"/>
              <w:left w:val="single" w:sz="4" w:space="0" w:color="000000"/>
              <w:bottom w:val="single" w:sz="4" w:space="0" w:color="000000"/>
              <w:right w:val="single" w:sz="4" w:space="0" w:color="000000"/>
            </w:tcBorders>
            <w:hideMark/>
          </w:tcPr>
          <w:p w14:paraId="64111FD1" w14:textId="77777777" w:rsidR="00122D1B" w:rsidRPr="00847A10" w:rsidRDefault="00122D1B" w:rsidP="00A77774">
            <w:pPr>
              <w:spacing w:after="0" w:line="240" w:lineRule="auto"/>
              <w:ind w:right="34"/>
              <w:rPr>
                <w:rFonts w:ascii="Arial" w:eastAsia="SimSun" w:hAnsi="Arial" w:cs="Arial"/>
                <w:color w:val="000000"/>
                <w:lang w:eastAsia="zh-CN"/>
              </w:rPr>
            </w:pPr>
            <w:r w:rsidRPr="00847A10">
              <w:rPr>
                <w:rFonts w:ascii="Arial" w:eastAsia="SimSun" w:hAnsi="Arial" w:cs="Arial"/>
                <w:b/>
                <w:color w:val="000000"/>
                <w:lang w:eastAsia="zh-CN"/>
              </w:rPr>
              <w:t>For completion by the student</w:t>
            </w:r>
            <w:r w:rsidRPr="00847A10">
              <w:rPr>
                <w:rFonts w:ascii="Arial" w:eastAsia="SimSun" w:hAnsi="Arial" w:cs="Arial"/>
                <w:color w:val="000000"/>
                <w:lang w:eastAsia="zh-CN"/>
              </w:rPr>
              <w:t>:</w:t>
            </w:r>
          </w:p>
        </w:tc>
      </w:tr>
      <w:tr w:rsidR="00122D1B" w:rsidRPr="00847A10" w14:paraId="650BE362" w14:textId="77777777" w:rsidTr="00A77774">
        <w:trPr>
          <w:trHeight w:val="718"/>
        </w:trPr>
        <w:tc>
          <w:tcPr>
            <w:tcW w:w="8856" w:type="dxa"/>
            <w:gridSpan w:val="3"/>
            <w:tcBorders>
              <w:top w:val="single" w:sz="4" w:space="0" w:color="000000"/>
              <w:left w:val="single" w:sz="4" w:space="0" w:color="000000"/>
              <w:bottom w:val="single" w:sz="4" w:space="0" w:color="000000"/>
              <w:right w:val="single" w:sz="4" w:space="0" w:color="000000"/>
            </w:tcBorders>
          </w:tcPr>
          <w:p w14:paraId="61EE8437" w14:textId="77777777" w:rsidR="00122D1B" w:rsidRPr="00847A10" w:rsidRDefault="00122D1B" w:rsidP="00A77774">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 xml:space="preserve">Student Name:                    </w:t>
            </w:r>
            <w:r>
              <w:rPr>
                <w:rFonts w:ascii="Arial" w:eastAsia="SimSun" w:hAnsi="Arial" w:cs="Arial"/>
                <w:color w:val="000000"/>
                <w:lang w:eastAsia="zh-CN"/>
              </w:rPr>
              <w:t>Stephanie AW Bradley</w:t>
            </w:r>
          </w:p>
          <w:p w14:paraId="1653139D" w14:textId="77777777" w:rsidR="00122D1B" w:rsidRPr="00847A10" w:rsidRDefault="00122D1B" w:rsidP="00A77774">
            <w:pPr>
              <w:spacing w:after="0" w:line="240" w:lineRule="auto"/>
              <w:ind w:right="34"/>
              <w:rPr>
                <w:rFonts w:ascii="Arial" w:eastAsia="SimSun" w:hAnsi="Arial" w:cs="Arial"/>
                <w:color w:val="000000"/>
                <w:lang w:eastAsia="zh-CN"/>
              </w:rPr>
            </w:pPr>
          </w:p>
          <w:p w14:paraId="0C243B84" w14:textId="77777777" w:rsidR="00122D1B" w:rsidRPr="00847A10" w:rsidRDefault="00122D1B" w:rsidP="00A77774">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 xml:space="preserve">Student </w:t>
            </w:r>
            <w:r w:rsidRPr="00847A10">
              <w:rPr>
                <w:rFonts w:ascii="Arial" w:eastAsia="SimSun" w:hAnsi="Arial" w:cs="Arial"/>
                <w:bCs/>
                <w:color w:val="000000"/>
                <w:u w:val="single"/>
                <w:lang w:eastAsia="zh-CN"/>
              </w:rPr>
              <w:t>University</w:t>
            </w:r>
            <w:r w:rsidRPr="00847A10">
              <w:rPr>
                <w:rFonts w:ascii="Arial" w:eastAsia="SimSun" w:hAnsi="Arial" w:cs="Arial"/>
                <w:color w:val="000000"/>
                <w:u w:val="single"/>
                <w:lang w:eastAsia="zh-CN"/>
              </w:rPr>
              <w:t xml:space="preserve"> </w:t>
            </w:r>
            <w:r w:rsidRPr="00847A10">
              <w:rPr>
                <w:rFonts w:ascii="Arial" w:eastAsia="SimSun" w:hAnsi="Arial" w:cs="Arial"/>
                <w:color w:val="000000"/>
                <w:lang w:eastAsia="zh-CN"/>
              </w:rPr>
              <w:t xml:space="preserve">Email: </w:t>
            </w:r>
            <w:r>
              <w:rPr>
                <w:rFonts w:ascii="Arial" w:eastAsia="SimSun" w:hAnsi="Arial" w:cs="Arial"/>
                <w:color w:val="000000"/>
                <w:lang w:eastAsia="zh-CN"/>
              </w:rPr>
              <w:t>25000970@student.uwtsd.ac.uk</w:t>
            </w:r>
          </w:p>
        </w:tc>
      </w:tr>
      <w:tr w:rsidR="00122D1B" w:rsidRPr="00847A10" w14:paraId="564DE25D" w14:textId="77777777" w:rsidTr="00A77774">
        <w:trPr>
          <w:trHeight w:val="849"/>
        </w:trPr>
        <w:tc>
          <w:tcPr>
            <w:tcW w:w="4788" w:type="dxa"/>
            <w:tcBorders>
              <w:top w:val="single" w:sz="4" w:space="0" w:color="000000"/>
              <w:left w:val="single" w:sz="4" w:space="0" w:color="000000"/>
              <w:bottom w:val="single" w:sz="4" w:space="0" w:color="000000"/>
              <w:right w:val="single" w:sz="4" w:space="0" w:color="000000"/>
            </w:tcBorders>
          </w:tcPr>
          <w:p w14:paraId="141F1BCB" w14:textId="77777777" w:rsidR="00122D1B" w:rsidRPr="00847A10" w:rsidRDefault="00122D1B" w:rsidP="00A77774">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Module code: CYCS7019</w:t>
            </w:r>
          </w:p>
          <w:p w14:paraId="0879F186" w14:textId="77777777" w:rsidR="00122D1B" w:rsidRPr="00847A10" w:rsidRDefault="00122D1B" w:rsidP="00A77774">
            <w:pPr>
              <w:spacing w:after="0" w:line="240" w:lineRule="auto"/>
              <w:ind w:right="34"/>
              <w:rPr>
                <w:rFonts w:ascii="Arial" w:eastAsia="SimSun" w:hAnsi="Arial" w:cs="Arial"/>
                <w:color w:val="000000"/>
                <w:lang w:eastAsia="zh-CN"/>
              </w:rPr>
            </w:pPr>
          </w:p>
          <w:p w14:paraId="49334CB0" w14:textId="77777777" w:rsidR="00122D1B" w:rsidRPr="00847A10" w:rsidRDefault="00122D1B" w:rsidP="00A77774">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 xml:space="preserve">Module title: </w:t>
            </w:r>
            <w:r w:rsidRPr="00847A10">
              <w:rPr>
                <w:rFonts w:ascii="Arial" w:eastAsia="SimSun" w:hAnsi="Arial" w:cs="Arial"/>
                <w:b/>
                <w:color w:val="000000"/>
                <w:lang w:eastAsia="zh-CN"/>
              </w:rPr>
              <w:t>Celtic Otherworld’s – from the Druids to the Monastic Voyage Tales.</w:t>
            </w:r>
          </w:p>
          <w:p w14:paraId="5011DFD1" w14:textId="77777777" w:rsidR="00122D1B" w:rsidRPr="00847A10" w:rsidRDefault="00122D1B" w:rsidP="00A77774">
            <w:pPr>
              <w:spacing w:after="0" w:line="240" w:lineRule="auto"/>
              <w:ind w:right="34"/>
              <w:rPr>
                <w:rFonts w:ascii="Arial" w:eastAsia="SimSun" w:hAnsi="Arial" w:cs="Arial"/>
                <w:color w:val="000000"/>
                <w:lang w:eastAsia="zh-CN"/>
              </w:rPr>
            </w:pPr>
          </w:p>
          <w:p w14:paraId="58C433A2" w14:textId="77777777" w:rsidR="00122D1B" w:rsidRPr="00847A10" w:rsidRDefault="00122D1B" w:rsidP="00A77774">
            <w:pPr>
              <w:spacing w:after="0" w:line="240" w:lineRule="auto"/>
              <w:ind w:right="34"/>
              <w:rPr>
                <w:rFonts w:ascii="Arial" w:eastAsia="SimSun" w:hAnsi="Arial" w:cs="Arial"/>
                <w:color w:val="000000"/>
                <w:lang w:eastAsia="zh-CN"/>
              </w:rPr>
            </w:pPr>
          </w:p>
        </w:tc>
        <w:tc>
          <w:tcPr>
            <w:tcW w:w="2266" w:type="dxa"/>
            <w:tcBorders>
              <w:top w:val="single" w:sz="4" w:space="0" w:color="000000"/>
              <w:left w:val="single" w:sz="4" w:space="0" w:color="000000"/>
              <w:bottom w:val="single" w:sz="4" w:space="0" w:color="000000"/>
              <w:right w:val="single" w:sz="4" w:space="0" w:color="000000"/>
            </w:tcBorders>
            <w:hideMark/>
          </w:tcPr>
          <w:p w14:paraId="79FDBE77" w14:textId="77777777" w:rsidR="00122D1B" w:rsidRDefault="00122D1B" w:rsidP="00A77774">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Student ID number:</w:t>
            </w:r>
          </w:p>
          <w:p w14:paraId="1680DBA9" w14:textId="77777777" w:rsidR="00122D1B" w:rsidRDefault="00122D1B" w:rsidP="00A77774">
            <w:pPr>
              <w:spacing w:after="0" w:line="240" w:lineRule="auto"/>
              <w:ind w:right="34"/>
              <w:rPr>
                <w:rFonts w:ascii="Arial" w:eastAsia="SimSun" w:hAnsi="Arial" w:cs="Arial"/>
                <w:color w:val="000000"/>
                <w:lang w:eastAsia="zh-CN"/>
              </w:rPr>
            </w:pPr>
          </w:p>
          <w:p w14:paraId="6877A2C1" w14:textId="77777777" w:rsidR="00122D1B" w:rsidRPr="00847A10" w:rsidRDefault="00122D1B" w:rsidP="00A77774">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25000970</w:t>
            </w:r>
          </w:p>
          <w:p w14:paraId="50ABC770" w14:textId="77777777" w:rsidR="00122D1B" w:rsidRPr="00847A10" w:rsidRDefault="00122D1B" w:rsidP="00A77774">
            <w:pPr>
              <w:spacing w:after="0" w:line="240" w:lineRule="auto"/>
              <w:ind w:right="34"/>
              <w:rPr>
                <w:rFonts w:ascii="Arial" w:eastAsia="SimSun" w:hAnsi="Arial" w:cs="Arial"/>
                <w:color w:val="000000"/>
                <w:lang w:eastAsia="zh-CN"/>
              </w:rPr>
            </w:pPr>
          </w:p>
          <w:p w14:paraId="690F0128" w14:textId="77777777" w:rsidR="00122D1B" w:rsidRPr="00847A10" w:rsidRDefault="00122D1B" w:rsidP="00A77774">
            <w:pPr>
              <w:spacing w:after="0" w:line="240" w:lineRule="auto"/>
              <w:ind w:right="34"/>
              <w:rPr>
                <w:rFonts w:ascii="Arial" w:eastAsia="SimSun" w:hAnsi="Arial" w:cs="Arial"/>
                <w:color w:val="000000"/>
                <w:lang w:eastAsia="zh-CN"/>
              </w:rPr>
            </w:pPr>
          </w:p>
        </w:tc>
        <w:tc>
          <w:tcPr>
            <w:tcW w:w="1802" w:type="dxa"/>
            <w:tcBorders>
              <w:top w:val="single" w:sz="4" w:space="0" w:color="000000"/>
              <w:left w:val="single" w:sz="4" w:space="0" w:color="000000"/>
              <w:bottom w:val="single" w:sz="4" w:space="0" w:color="000000"/>
              <w:right w:val="single" w:sz="4" w:space="0" w:color="000000"/>
            </w:tcBorders>
            <w:hideMark/>
          </w:tcPr>
          <w:p w14:paraId="7FAC43D4" w14:textId="77777777" w:rsidR="00122D1B" w:rsidRPr="00847A10" w:rsidRDefault="00122D1B" w:rsidP="00A77774">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Educational support needs:</w:t>
            </w:r>
          </w:p>
          <w:p w14:paraId="0EB3163A" w14:textId="77777777" w:rsidR="00122D1B" w:rsidRPr="00847A10" w:rsidRDefault="00122D1B" w:rsidP="00A77774">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Yes/No</w:t>
            </w:r>
          </w:p>
          <w:p w14:paraId="07686C71" w14:textId="77777777" w:rsidR="00122D1B" w:rsidRPr="00847A10" w:rsidRDefault="00122D1B" w:rsidP="00A77774">
            <w:pPr>
              <w:spacing w:after="0" w:line="240" w:lineRule="auto"/>
              <w:ind w:right="34"/>
              <w:rPr>
                <w:rFonts w:ascii="Arial" w:eastAsia="SimSun" w:hAnsi="Arial" w:cs="Arial"/>
                <w:color w:val="000000"/>
                <w:lang w:eastAsia="zh-CN"/>
              </w:rPr>
            </w:pPr>
          </w:p>
          <w:p w14:paraId="4C14D576" w14:textId="687E0698" w:rsidR="00122D1B" w:rsidRPr="00847A10" w:rsidRDefault="00C90AC6" w:rsidP="00A77774">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N</w:t>
            </w:r>
            <w:r w:rsidR="00122D1B" w:rsidRPr="00847A10">
              <w:rPr>
                <w:rFonts w:ascii="Arial" w:eastAsia="SimSun" w:hAnsi="Arial" w:cs="Arial"/>
                <w:color w:val="000000"/>
                <w:lang w:eastAsia="zh-CN"/>
              </w:rPr>
              <w:t>o</w:t>
            </w:r>
          </w:p>
        </w:tc>
      </w:tr>
      <w:tr w:rsidR="00122D1B" w:rsidRPr="00847A10" w14:paraId="6E857C4E" w14:textId="77777777" w:rsidTr="00A77774">
        <w:trPr>
          <w:trHeight w:val="1139"/>
        </w:trPr>
        <w:tc>
          <w:tcPr>
            <w:tcW w:w="8856" w:type="dxa"/>
            <w:gridSpan w:val="3"/>
            <w:tcBorders>
              <w:top w:val="single" w:sz="4" w:space="0" w:color="000000"/>
              <w:left w:val="single" w:sz="4" w:space="0" w:color="000000"/>
              <w:bottom w:val="single" w:sz="4" w:space="0" w:color="000000"/>
              <w:right w:val="single" w:sz="4" w:space="0" w:color="000000"/>
            </w:tcBorders>
          </w:tcPr>
          <w:p w14:paraId="04F1E31B" w14:textId="77777777" w:rsidR="00122D1B" w:rsidRPr="00847A10" w:rsidRDefault="00122D1B" w:rsidP="00A77774">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 xml:space="preserve">Assignment title:           </w:t>
            </w:r>
            <w:r>
              <w:rPr>
                <w:rFonts w:ascii="Arial" w:eastAsia="SimSun" w:hAnsi="Arial" w:cs="Arial"/>
                <w:color w:val="000000"/>
                <w:lang w:eastAsia="zh-CN"/>
              </w:rPr>
              <w:t>Comm</w:t>
            </w:r>
            <w:r w:rsidRPr="00ED3435">
              <w:rPr>
                <w:rFonts w:ascii="Arial" w:eastAsia="SimSun" w:hAnsi="Arial" w:cs="Arial"/>
                <w:color w:val="000000"/>
                <w:lang w:eastAsia="zh-CN"/>
              </w:rPr>
              <w:t xml:space="preserve">entary: </w:t>
            </w:r>
            <w:r w:rsidRPr="00ED3435">
              <w:rPr>
                <w:rFonts w:ascii="Arial" w:eastAsia="SimSun" w:hAnsi="Arial" w:cs="Arial"/>
                <w:i/>
                <w:color w:val="000000"/>
                <w:lang w:eastAsia="zh-CN"/>
              </w:rPr>
              <w:t>Immram Curaig M</w:t>
            </w:r>
            <w:r>
              <w:rPr>
                <w:rFonts w:ascii="Arial" w:eastAsia="SimSun" w:hAnsi="Arial" w:cs="Arial"/>
                <w:i/>
                <w:color w:val="000000"/>
                <w:lang w:eastAsia="zh-CN"/>
              </w:rPr>
              <w:t>á</w:t>
            </w:r>
            <w:r w:rsidRPr="00ED3435">
              <w:rPr>
                <w:rFonts w:ascii="Arial" w:eastAsia="SimSun" w:hAnsi="Arial" w:cs="Arial"/>
                <w:i/>
                <w:color w:val="000000"/>
                <w:lang w:eastAsia="zh-CN"/>
              </w:rPr>
              <w:t>ele D</w:t>
            </w:r>
            <w:r>
              <w:rPr>
                <w:rFonts w:ascii="Arial" w:eastAsia="SimSun" w:hAnsi="Arial" w:cs="Arial"/>
                <w:i/>
                <w:color w:val="000000"/>
                <w:lang w:eastAsia="zh-CN"/>
              </w:rPr>
              <w:t>ú</w:t>
            </w:r>
            <w:r w:rsidRPr="00ED3435">
              <w:rPr>
                <w:rFonts w:ascii="Arial" w:eastAsia="SimSun" w:hAnsi="Arial" w:cs="Arial"/>
                <w:i/>
                <w:color w:val="000000"/>
                <w:lang w:eastAsia="zh-CN"/>
              </w:rPr>
              <w:t>in</w:t>
            </w:r>
          </w:p>
          <w:p w14:paraId="4EA223B4" w14:textId="77777777" w:rsidR="00122D1B" w:rsidRPr="00847A10" w:rsidRDefault="00122D1B" w:rsidP="00A77774">
            <w:pPr>
              <w:spacing w:after="0" w:line="240" w:lineRule="auto"/>
              <w:ind w:right="34"/>
              <w:rPr>
                <w:rFonts w:ascii="Arial" w:eastAsia="SimSun" w:hAnsi="Arial" w:cs="Arial"/>
                <w:color w:val="000000"/>
                <w:lang w:eastAsia="zh-CN"/>
              </w:rPr>
            </w:pPr>
          </w:p>
          <w:p w14:paraId="3D408044" w14:textId="77777777" w:rsidR="00122D1B" w:rsidRPr="00847A10" w:rsidRDefault="00122D1B" w:rsidP="00A77774">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Assignment due date:</w:t>
            </w:r>
            <w:r>
              <w:rPr>
                <w:rFonts w:ascii="Arial" w:eastAsia="SimSun" w:hAnsi="Arial" w:cs="Arial"/>
                <w:color w:val="000000"/>
                <w:lang w:eastAsia="zh-CN"/>
              </w:rPr>
              <w:t xml:space="preserve"> 050418</w:t>
            </w:r>
          </w:p>
        </w:tc>
      </w:tr>
      <w:tr w:rsidR="00122D1B" w:rsidRPr="00847A10" w14:paraId="70695BC8" w14:textId="77777777" w:rsidTr="00A77774">
        <w:trPr>
          <w:trHeight w:val="978"/>
        </w:trPr>
        <w:tc>
          <w:tcPr>
            <w:tcW w:w="8856" w:type="dxa"/>
            <w:gridSpan w:val="3"/>
            <w:tcBorders>
              <w:top w:val="single" w:sz="4" w:space="0" w:color="000000"/>
              <w:left w:val="single" w:sz="4" w:space="0" w:color="000000"/>
              <w:bottom w:val="single" w:sz="4" w:space="0" w:color="000000"/>
              <w:right w:val="single" w:sz="4" w:space="0" w:color="000000"/>
            </w:tcBorders>
            <w:hideMark/>
          </w:tcPr>
          <w:p w14:paraId="11FEA0BE" w14:textId="77777777" w:rsidR="00122D1B" w:rsidRPr="00847A10" w:rsidRDefault="00122D1B" w:rsidP="00A77774">
            <w:pPr>
              <w:rPr>
                <w:rFonts w:ascii="Arial" w:hAnsi="Arial" w:cs="Arial"/>
              </w:rPr>
            </w:pPr>
            <w:r w:rsidRPr="00847A10">
              <w:rPr>
                <w:rFonts w:ascii="Arial" w:hAnsi="Arial" w:cs="Arial"/>
              </w:rPr>
              <w:t>This assignment is for the       1</w:t>
            </w:r>
            <w:r w:rsidRPr="00847A10">
              <w:rPr>
                <w:rFonts w:ascii="Arial" w:hAnsi="Arial" w:cs="Arial"/>
                <w:vertAlign w:val="superscript"/>
              </w:rPr>
              <w:t xml:space="preserve">st </w:t>
            </w:r>
            <w:r w:rsidR="00341876" w:rsidRPr="00847A10">
              <w:rPr>
                <w:rFonts w:ascii="Arial" w:hAnsi="Arial" w:cs="Arial"/>
              </w:rPr>
              <w:fldChar w:fldCharType="begin">
                <w:ffData>
                  <w:name w:val="Check13"/>
                  <w:enabled/>
                  <w:calcOnExit w:val="0"/>
                  <w:checkBox>
                    <w:sizeAuto/>
                    <w:default w:val="0"/>
                  </w:checkBox>
                </w:ffData>
              </w:fldChar>
            </w:r>
            <w:bookmarkStart w:id="0" w:name="Check13"/>
            <w:r w:rsidRPr="00847A10">
              <w:rPr>
                <w:rFonts w:ascii="Arial" w:hAnsi="Arial" w:cs="Arial"/>
              </w:rPr>
              <w:instrText xml:space="preserve"> FORMCHECKBOX </w:instrText>
            </w:r>
            <w:r w:rsidR="004F0282">
              <w:rPr>
                <w:rFonts w:ascii="Arial" w:hAnsi="Arial" w:cs="Arial"/>
              </w:rPr>
            </w:r>
            <w:r w:rsidR="004F0282">
              <w:rPr>
                <w:rFonts w:ascii="Arial" w:hAnsi="Arial" w:cs="Arial"/>
              </w:rPr>
              <w:fldChar w:fldCharType="separate"/>
            </w:r>
            <w:r w:rsidR="00341876" w:rsidRPr="00847A10">
              <w:rPr>
                <w:rFonts w:ascii="Times New Roman" w:hAnsi="Times New Roman" w:cs="Times New Roman"/>
                <w:sz w:val="24"/>
                <w:szCs w:val="24"/>
              </w:rPr>
              <w:fldChar w:fldCharType="end"/>
            </w:r>
            <w:bookmarkEnd w:id="0"/>
            <w:r w:rsidRPr="00847A10">
              <w:rPr>
                <w:rFonts w:ascii="Arial" w:hAnsi="Arial" w:cs="Arial"/>
              </w:rPr>
              <w:t xml:space="preserve">    2</w:t>
            </w:r>
            <w:r w:rsidRPr="00847A10">
              <w:rPr>
                <w:rFonts w:ascii="Arial" w:hAnsi="Arial" w:cs="Arial"/>
                <w:vertAlign w:val="superscript"/>
              </w:rPr>
              <w:t>nd</w:t>
            </w:r>
            <w:r w:rsidRPr="00847A10">
              <w:rPr>
                <w:rFonts w:ascii="Arial" w:hAnsi="Arial" w:cs="Arial"/>
              </w:rPr>
              <w:t xml:space="preserve">  </w:t>
            </w:r>
            <w:r w:rsidR="00341876" w:rsidRPr="00847A10">
              <w:rPr>
                <w:rFonts w:ascii="Arial" w:hAnsi="Arial" w:cs="Arial"/>
              </w:rPr>
              <w:fldChar w:fldCharType="begin">
                <w:ffData>
                  <w:name w:val="Check14"/>
                  <w:enabled/>
                  <w:calcOnExit w:val="0"/>
                  <w:checkBox>
                    <w:sizeAuto/>
                    <w:default w:val="0"/>
                  </w:checkBox>
                </w:ffData>
              </w:fldChar>
            </w:r>
            <w:bookmarkStart w:id="1" w:name="Check14"/>
            <w:r w:rsidRPr="00847A10">
              <w:rPr>
                <w:rFonts w:ascii="Arial" w:hAnsi="Arial" w:cs="Arial"/>
              </w:rPr>
              <w:instrText xml:space="preserve"> FORMCHECKBOX </w:instrText>
            </w:r>
            <w:r w:rsidR="004F0282">
              <w:rPr>
                <w:rFonts w:ascii="Arial" w:hAnsi="Arial" w:cs="Arial"/>
              </w:rPr>
            </w:r>
            <w:r w:rsidR="004F0282">
              <w:rPr>
                <w:rFonts w:ascii="Arial" w:hAnsi="Arial" w:cs="Arial"/>
              </w:rPr>
              <w:fldChar w:fldCharType="separate"/>
            </w:r>
            <w:r w:rsidR="00341876" w:rsidRPr="00847A10">
              <w:rPr>
                <w:rFonts w:ascii="Times New Roman" w:hAnsi="Times New Roman" w:cs="Times New Roman"/>
                <w:sz w:val="24"/>
                <w:szCs w:val="24"/>
              </w:rPr>
              <w:fldChar w:fldCharType="end"/>
            </w:r>
            <w:bookmarkEnd w:id="1"/>
            <w:r w:rsidRPr="00847A10">
              <w:rPr>
                <w:rFonts w:ascii="Arial" w:hAnsi="Arial" w:cs="Arial"/>
              </w:rPr>
              <w:t xml:space="preserve">     3</w:t>
            </w:r>
            <w:r w:rsidRPr="00847A10">
              <w:rPr>
                <w:rFonts w:ascii="Arial" w:hAnsi="Arial" w:cs="Arial"/>
                <w:vertAlign w:val="superscript"/>
              </w:rPr>
              <w:t>rd</w:t>
            </w:r>
            <w:r w:rsidRPr="00847A10">
              <w:rPr>
                <w:rFonts w:ascii="Arial" w:hAnsi="Arial" w:cs="Arial"/>
              </w:rPr>
              <w:t xml:space="preserve">  </w:t>
            </w:r>
            <w:r w:rsidR="00341876" w:rsidRPr="00847A10">
              <w:rPr>
                <w:rFonts w:ascii="Arial" w:hAnsi="Arial" w:cs="Arial"/>
              </w:rPr>
              <w:fldChar w:fldCharType="begin">
                <w:ffData>
                  <w:name w:val="Check15"/>
                  <w:enabled/>
                  <w:calcOnExit w:val="0"/>
                  <w:checkBox>
                    <w:sizeAuto/>
                    <w:default w:val="0"/>
                  </w:checkBox>
                </w:ffData>
              </w:fldChar>
            </w:r>
            <w:bookmarkStart w:id="2" w:name="Check15"/>
            <w:r w:rsidRPr="00847A10">
              <w:rPr>
                <w:rFonts w:ascii="Arial" w:hAnsi="Arial" w:cs="Arial"/>
              </w:rPr>
              <w:instrText xml:space="preserve"> FORMCHECKBOX </w:instrText>
            </w:r>
            <w:r w:rsidR="004F0282">
              <w:rPr>
                <w:rFonts w:ascii="Arial" w:hAnsi="Arial" w:cs="Arial"/>
              </w:rPr>
            </w:r>
            <w:r w:rsidR="004F0282">
              <w:rPr>
                <w:rFonts w:ascii="Arial" w:hAnsi="Arial" w:cs="Arial"/>
              </w:rPr>
              <w:fldChar w:fldCharType="separate"/>
            </w:r>
            <w:r w:rsidR="00341876" w:rsidRPr="00847A10">
              <w:rPr>
                <w:rFonts w:ascii="Times New Roman" w:hAnsi="Times New Roman" w:cs="Times New Roman"/>
                <w:sz w:val="24"/>
                <w:szCs w:val="24"/>
              </w:rPr>
              <w:fldChar w:fldCharType="end"/>
            </w:r>
            <w:bookmarkEnd w:id="2"/>
            <w:r w:rsidRPr="00847A10">
              <w:rPr>
                <w:rFonts w:ascii="Arial" w:hAnsi="Arial" w:cs="Arial"/>
              </w:rPr>
              <w:t xml:space="preserve">      4</w:t>
            </w:r>
            <w:r w:rsidRPr="00847A10">
              <w:rPr>
                <w:rFonts w:ascii="Arial" w:hAnsi="Arial" w:cs="Arial"/>
                <w:vertAlign w:val="superscript"/>
              </w:rPr>
              <w:t>th</w:t>
            </w:r>
            <w:r w:rsidRPr="00847A10">
              <w:rPr>
                <w:rFonts w:ascii="Arial" w:hAnsi="Arial" w:cs="Arial"/>
              </w:rPr>
              <w:t xml:space="preserve"> </w:t>
            </w:r>
            <w:r w:rsidR="00341876" w:rsidRPr="00847A10">
              <w:rPr>
                <w:rFonts w:ascii="Arial" w:hAnsi="Arial" w:cs="Arial"/>
              </w:rPr>
              <w:fldChar w:fldCharType="begin">
                <w:ffData>
                  <w:name w:val="Check16"/>
                  <w:enabled/>
                  <w:calcOnExit w:val="0"/>
                  <w:checkBox>
                    <w:sizeAuto/>
                    <w:default w:val="0"/>
                  </w:checkBox>
                </w:ffData>
              </w:fldChar>
            </w:r>
            <w:bookmarkStart w:id="3" w:name="Check16"/>
            <w:r w:rsidRPr="00847A10">
              <w:rPr>
                <w:rFonts w:ascii="Arial" w:hAnsi="Arial" w:cs="Arial"/>
              </w:rPr>
              <w:instrText xml:space="preserve"> FORMCHECKBOX </w:instrText>
            </w:r>
            <w:r w:rsidR="004F0282">
              <w:rPr>
                <w:rFonts w:ascii="Arial" w:hAnsi="Arial" w:cs="Arial"/>
              </w:rPr>
            </w:r>
            <w:r w:rsidR="004F0282">
              <w:rPr>
                <w:rFonts w:ascii="Arial" w:hAnsi="Arial" w:cs="Arial"/>
              </w:rPr>
              <w:fldChar w:fldCharType="separate"/>
            </w:r>
            <w:r w:rsidR="00341876" w:rsidRPr="00847A10">
              <w:rPr>
                <w:rFonts w:ascii="Times New Roman" w:hAnsi="Times New Roman" w:cs="Times New Roman"/>
                <w:sz w:val="24"/>
                <w:szCs w:val="24"/>
              </w:rPr>
              <w:fldChar w:fldCharType="end"/>
            </w:r>
            <w:bookmarkEnd w:id="3"/>
            <w:r w:rsidRPr="00847A10">
              <w:rPr>
                <w:rFonts w:ascii="Arial" w:hAnsi="Arial" w:cs="Arial"/>
              </w:rPr>
              <w:t xml:space="preserve">      5</w:t>
            </w:r>
            <w:r w:rsidRPr="00847A10">
              <w:rPr>
                <w:rFonts w:ascii="Arial" w:hAnsi="Arial" w:cs="Arial"/>
                <w:vertAlign w:val="superscript"/>
              </w:rPr>
              <w:t>th</w:t>
            </w:r>
            <w:r w:rsidRPr="00847A10">
              <w:rPr>
                <w:rFonts w:ascii="Arial" w:hAnsi="Arial" w:cs="Arial"/>
              </w:rPr>
              <w:t xml:space="preserve"> </w:t>
            </w:r>
            <w:r w:rsidR="00341876" w:rsidRPr="00847A10">
              <w:rPr>
                <w:rFonts w:ascii="Arial" w:hAnsi="Arial" w:cs="Arial"/>
              </w:rPr>
              <w:fldChar w:fldCharType="begin">
                <w:ffData>
                  <w:name w:val="Check17"/>
                  <w:enabled/>
                  <w:calcOnExit w:val="0"/>
                  <w:checkBox>
                    <w:sizeAuto/>
                    <w:default w:val="0"/>
                  </w:checkBox>
                </w:ffData>
              </w:fldChar>
            </w:r>
            <w:bookmarkStart w:id="4" w:name="Check17"/>
            <w:r w:rsidRPr="00847A10">
              <w:rPr>
                <w:rFonts w:ascii="Arial" w:hAnsi="Arial" w:cs="Arial"/>
              </w:rPr>
              <w:instrText xml:space="preserve"> FORMCHECKBOX </w:instrText>
            </w:r>
            <w:r w:rsidR="004F0282">
              <w:rPr>
                <w:rFonts w:ascii="Arial" w:hAnsi="Arial" w:cs="Arial"/>
              </w:rPr>
            </w:r>
            <w:r w:rsidR="004F0282">
              <w:rPr>
                <w:rFonts w:ascii="Arial" w:hAnsi="Arial" w:cs="Arial"/>
              </w:rPr>
              <w:fldChar w:fldCharType="separate"/>
            </w:r>
            <w:r w:rsidR="00341876" w:rsidRPr="00847A10">
              <w:rPr>
                <w:rFonts w:ascii="Times New Roman" w:hAnsi="Times New Roman" w:cs="Times New Roman"/>
                <w:sz w:val="24"/>
                <w:szCs w:val="24"/>
              </w:rPr>
              <w:fldChar w:fldCharType="end"/>
            </w:r>
            <w:bookmarkEnd w:id="4"/>
            <w:r w:rsidRPr="00847A10">
              <w:rPr>
                <w:rFonts w:ascii="Arial" w:hAnsi="Arial" w:cs="Arial"/>
              </w:rPr>
              <w:t xml:space="preserve">      6</w:t>
            </w:r>
            <w:r w:rsidRPr="00847A10">
              <w:rPr>
                <w:rFonts w:ascii="Arial" w:hAnsi="Arial" w:cs="Arial"/>
                <w:vertAlign w:val="superscript"/>
              </w:rPr>
              <w:t>th</w:t>
            </w:r>
            <w:r w:rsidRPr="00847A10">
              <w:rPr>
                <w:rFonts w:ascii="Arial" w:hAnsi="Arial" w:cs="Arial"/>
              </w:rPr>
              <w:t xml:space="preserve"> </w:t>
            </w:r>
            <w:r>
              <w:rPr>
                <w:rFonts w:ascii="Calibri" w:hAnsi="Calibri" w:cs="Tahoma"/>
                <w:b/>
                <w:sz w:val="24"/>
                <w:szCs w:val="24"/>
              </w:rPr>
              <w:t>√</w:t>
            </w:r>
            <w:r w:rsidR="00341876" w:rsidRPr="00847A10">
              <w:rPr>
                <w:rFonts w:ascii="Arial" w:hAnsi="Arial" w:cs="Arial"/>
              </w:rPr>
              <w:fldChar w:fldCharType="begin">
                <w:ffData>
                  <w:name w:val="Check18"/>
                  <w:enabled/>
                  <w:calcOnExit w:val="0"/>
                  <w:checkBox>
                    <w:sizeAuto/>
                    <w:default w:val="0"/>
                  </w:checkBox>
                </w:ffData>
              </w:fldChar>
            </w:r>
            <w:bookmarkStart w:id="5" w:name="Check18"/>
            <w:r w:rsidRPr="00847A10">
              <w:rPr>
                <w:rFonts w:ascii="Arial" w:hAnsi="Arial" w:cs="Arial"/>
              </w:rPr>
              <w:instrText xml:space="preserve"> FORMCHECKBOX </w:instrText>
            </w:r>
            <w:r w:rsidR="004F0282">
              <w:rPr>
                <w:rFonts w:ascii="Arial" w:hAnsi="Arial" w:cs="Arial"/>
              </w:rPr>
            </w:r>
            <w:r w:rsidR="004F0282">
              <w:rPr>
                <w:rFonts w:ascii="Arial" w:hAnsi="Arial" w:cs="Arial"/>
              </w:rPr>
              <w:fldChar w:fldCharType="separate"/>
            </w:r>
            <w:r w:rsidR="00341876" w:rsidRPr="00847A10">
              <w:rPr>
                <w:rFonts w:ascii="Times New Roman" w:hAnsi="Times New Roman" w:cs="Times New Roman"/>
                <w:sz w:val="24"/>
                <w:szCs w:val="24"/>
              </w:rPr>
              <w:fldChar w:fldCharType="end"/>
            </w:r>
            <w:bookmarkEnd w:id="5"/>
            <w:r w:rsidRPr="00847A10">
              <w:rPr>
                <w:rFonts w:ascii="Arial" w:hAnsi="Arial" w:cs="Arial"/>
                <w:b/>
              </w:rPr>
              <w:t xml:space="preserve">   </w:t>
            </w:r>
            <w:r w:rsidRPr="00847A10">
              <w:rPr>
                <w:rFonts w:ascii="Arial" w:hAnsi="Arial" w:cs="Arial"/>
              </w:rPr>
              <w:t>module of the degree</w:t>
            </w:r>
          </w:p>
        </w:tc>
      </w:tr>
      <w:tr w:rsidR="00122D1B" w:rsidRPr="00847A10" w14:paraId="7A1BB8E5" w14:textId="77777777" w:rsidTr="00A77774">
        <w:trPr>
          <w:trHeight w:val="978"/>
        </w:trPr>
        <w:tc>
          <w:tcPr>
            <w:tcW w:w="8856" w:type="dxa"/>
            <w:gridSpan w:val="3"/>
            <w:tcBorders>
              <w:top w:val="single" w:sz="4" w:space="0" w:color="000000"/>
              <w:left w:val="single" w:sz="4" w:space="0" w:color="000000"/>
              <w:bottom w:val="single" w:sz="4" w:space="0" w:color="000000"/>
              <w:right w:val="single" w:sz="4" w:space="0" w:color="000000"/>
            </w:tcBorders>
            <w:shd w:val="clear" w:color="auto" w:fill="D9D9D9"/>
            <w:hideMark/>
          </w:tcPr>
          <w:p w14:paraId="14F301CB" w14:textId="77777777" w:rsidR="00122D1B" w:rsidRPr="00847A10" w:rsidRDefault="00122D1B" w:rsidP="00A77774">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I confirm that this is my original work and that I have adhered to the University policy on plagiarism.</w:t>
            </w:r>
          </w:p>
          <w:p w14:paraId="49987F38" w14:textId="77777777" w:rsidR="00122D1B" w:rsidRDefault="00122D1B" w:rsidP="00A77774">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Signed ………</w:t>
            </w:r>
            <w:r>
              <w:rPr>
                <w:rFonts w:ascii="Arial" w:eastAsia="SimSun" w:hAnsi="Arial" w:cs="Arial"/>
                <w:color w:val="000000"/>
                <w:lang w:eastAsia="zh-CN"/>
              </w:rPr>
              <w:t>.......SAW Bradley......................................................................................</w:t>
            </w:r>
          </w:p>
          <w:p w14:paraId="7A556334" w14:textId="77777777" w:rsidR="00122D1B" w:rsidRDefault="00122D1B" w:rsidP="00A77774">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14:paraId="38CBB641" w14:textId="77777777" w:rsidR="00122D1B" w:rsidRPr="00847A10" w:rsidRDefault="00122D1B" w:rsidP="00A77774">
            <w:pPr>
              <w:spacing w:after="0" w:line="240" w:lineRule="auto"/>
              <w:ind w:right="34"/>
              <w:rPr>
                <w:rFonts w:ascii="Arial" w:eastAsia="SimSun" w:hAnsi="Arial" w:cs="Arial"/>
                <w:color w:val="000000"/>
                <w:lang w:eastAsia="zh-CN"/>
              </w:rPr>
            </w:pPr>
            <w:r>
              <w:rPr>
                <w:rFonts w:ascii="Calibri" w:hAnsi="Calibri" w:cs="Tahoma"/>
                <w:b/>
                <w:sz w:val="24"/>
                <w:szCs w:val="24"/>
              </w:rPr>
              <w:t>(as a substitute for your signature) to confirm that you agree to the above declaration.</w:t>
            </w:r>
          </w:p>
        </w:tc>
      </w:tr>
    </w:tbl>
    <w:p w14:paraId="14912EDE" w14:textId="77777777" w:rsidR="00122D1B" w:rsidRDefault="00122D1B" w:rsidP="00122D1B"/>
    <w:p w14:paraId="20BFAFED" w14:textId="77777777" w:rsidR="00122D1B" w:rsidRDefault="00122D1B" w:rsidP="00122D1B"/>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211"/>
        <w:gridCol w:w="3645"/>
      </w:tblGrid>
      <w:tr w:rsidR="00122D1B" w14:paraId="026C6D95" w14:textId="77777777" w:rsidTr="00A77774">
        <w:trPr>
          <w:trHeight w:val="3972"/>
        </w:trPr>
        <w:tc>
          <w:tcPr>
            <w:tcW w:w="8856" w:type="dxa"/>
            <w:gridSpan w:val="2"/>
            <w:tcBorders>
              <w:top w:val="single" w:sz="4" w:space="0" w:color="000000"/>
              <w:left w:val="single" w:sz="4" w:space="0" w:color="000000"/>
              <w:bottom w:val="single" w:sz="4" w:space="0" w:color="000000"/>
              <w:right w:val="single" w:sz="4" w:space="0" w:color="000000"/>
            </w:tcBorders>
          </w:tcPr>
          <w:p w14:paraId="74CCD031" w14:textId="77777777" w:rsidR="00122D1B" w:rsidRDefault="00122D1B" w:rsidP="00A77774">
            <w:pPr>
              <w:pStyle w:val="NormalWeb"/>
              <w:spacing w:before="0" w:beforeAutospacing="0" w:after="0" w:afterAutospacing="0"/>
              <w:rPr>
                <w:rFonts w:ascii="Arial" w:hAnsi="Arial" w:cs="Arial"/>
                <w:b/>
                <w:sz w:val="22"/>
                <w:szCs w:val="22"/>
              </w:rPr>
            </w:pPr>
          </w:p>
          <w:p w14:paraId="705BD15F" w14:textId="77777777" w:rsidR="00122D1B" w:rsidRDefault="00122D1B" w:rsidP="00A77774">
            <w:pPr>
              <w:rPr>
                <w:rFonts w:ascii="Arial" w:hAnsi="Arial"/>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22D1B" w14:paraId="0E29C72D" w14:textId="77777777" w:rsidTr="00A77774">
              <w:tc>
                <w:tcPr>
                  <w:tcW w:w="6970" w:type="dxa"/>
                  <w:tcBorders>
                    <w:top w:val="single" w:sz="4" w:space="0" w:color="auto"/>
                    <w:left w:val="single" w:sz="4" w:space="0" w:color="auto"/>
                    <w:bottom w:val="single" w:sz="4" w:space="0" w:color="auto"/>
                    <w:right w:val="single" w:sz="4" w:space="0" w:color="auto"/>
                  </w:tcBorders>
                </w:tcPr>
                <w:p w14:paraId="0D7C272B" w14:textId="77777777" w:rsidR="00122D1B" w:rsidRDefault="00122D1B" w:rsidP="00A77774">
                  <w:pPr>
                    <w:rPr>
                      <w:rFonts w:ascii="Arial" w:hAnsi="Arial"/>
                      <w:sz w:val="20"/>
                      <w:szCs w:val="20"/>
                    </w:rPr>
                  </w:pPr>
                </w:p>
                <w:p w14:paraId="6EF7679F" w14:textId="77777777" w:rsidR="00122D1B" w:rsidRDefault="00122D1B" w:rsidP="00A77774">
                  <w:pPr>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5310240C" w14:textId="77777777" w:rsidR="00122D1B" w:rsidRDefault="00122D1B" w:rsidP="00A77774">
                  <w:pPr>
                    <w:rPr>
                      <w:rFonts w:ascii="Arial" w:hAnsi="Arial"/>
                      <w:sz w:val="20"/>
                      <w:szCs w:val="20"/>
                    </w:rPr>
                  </w:pPr>
                </w:p>
                <w:p w14:paraId="244F3826" w14:textId="4D66324F" w:rsidR="00C90AC6" w:rsidRDefault="00C90AC6" w:rsidP="00A77774">
                  <w:pPr>
                    <w:rPr>
                      <w:rFonts w:ascii="Arial" w:hAnsi="Arial"/>
                      <w:sz w:val="20"/>
                      <w:szCs w:val="20"/>
                    </w:rPr>
                  </w:pPr>
                  <w:r>
                    <w:rPr>
                      <w:rFonts w:ascii="Arial" w:hAnsi="Arial"/>
                      <w:sz w:val="20"/>
                      <w:szCs w:val="20"/>
                    </w:rPr>
                    <w:t>6</w:t>
                  </w:r>
                  <w:r w:rsidR="005D55B8">
                    <w:rPr>
                      <w:rFonts w:ascii="Arial" w:hAnsi="Arial"/>
                      <w:sz w:val="20"/>
                      <w:szCs w:val="20"/>
                    </w:rPr>
                    <w:t>8</w:t>
                  </w:r>
                  <w:r>
                    <w:rPr>
                      <w:rFonts w:ascii="Arial" w:hAnsi="Arial"/>
                      <w:sz w:val="20"/>
                      <w:szCs w:val="20"/>
                    </w:rPr>
                    <w:t>%</w:t>
                  </w:r>
                </w:p>
              </w:tc>
            </w:tr>
            <w:tr w:rsidR="00122D1B" w14:paraId="7381BB0E" w14:textId="77777777" w:rsidTr="00A77774">
              <w:tc>
                <w:tcPr>
                  <w:tcW w:w="6970" w:type="dxa"/>
                  <w:tcBorders>
                    <w:top w:val="single" w:sz="4" w:space="0" w:color="auto"/>
                    <w:left w:val="single" w:sz="4" w:space="0" w:color="auto"/>
                    <w:bottom w:val="single" w:sz="4" w:space="0" w:color="auto"/>
                    <w:right w:val="single" w:sz="4" w:space="0" w:color="auto"/>
                  </w:tcBorders>
                </w:tcPr>
                <w:p w14:paraId="73CAB3C1" w14:textId="77777777" w:rsidR="00122D1B" w:rsidRDefault="00122D1B" w:rsidP="00A77774">
                  <w:pPr>
                    <w:rPr>
                      <w:rFonts w:ascii="Arial" w:hAnsi="Arial"/>
                      <w:sz w:val="20"/>
                      <w:szCs w:val="20"/>
                    </w:rPr>
                  </w:pPr>
                </w:p>
                <w:p w14:paraId="425EEBF9" w14:textId="77777777" w:rsidR="00122D1B" w:rsidRDefault="00122D1B" w:rsidP="00A77774">
                  <w:pPr>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4E8F88D9" w14:textId="77777777" w:rsidR="00122D1B" w:rsidRDefault="00122D1B" w:rsidP="00A77774">
                  <w:pPr>
                    <w:rPr>
                      <w:rFonts w:ascii="Arial" w:hAnsi="Arial"/>
                      <w:sz w:val="20"/>
                      <w:szCs w:val="20"/>
                    </w:rPr>
                  </w:pPr>
                </w:p>
              </w:tc>
            </w:tr>
            <w:tr w:rsidR="00122D1B" w14:paraId="5A9AB8D1" w14:textId="77777777" w:rsidTr="00A77774">
              <w:tc>
                <w:tcPr>
                  <w:tcW w:w="6970" w:type="dxa"/>
                  <w:tcBorders>
                    <w:top w:val="single" w:sz="4" w:space="0" w:color="auto"/>
                    <w:left w:val="single" w:sz="4" w:space="0" w:color="auto"/>
                    <w:bottom w:val="single" w:sz="4" w:space="0" w:color="auto"/>
                    <w:right w:val="single" w:sz="4" w:space="0" w:color="auto"/>
                  </w:tcBorders>
                </w:tcPr>
                <w:p w14:paraId="52F1FA33" w14:textId="77777777" w:rsidR="00122D1B" w:rsidRDefault="00122D1B" w:rsidP="00A77774">
                  <w:pPr>
                    <w:rPr>
                      <w:rFonts w:ascii="Arial" w:hAnsi="Arial"/>
                      <w:sz w:val="20"/>
                      <w:szCs w:val="20"/>
                    </w:rPr>
                  </w:pPr>
                </w:p>
                <w:p w14:paraId="281868F2" w14:textId="77777777" w:rsidR="00122D1B" w:rsidRDefault="00122D1B" w:rsidP="00A77774">
                  <w:pPr>
                    <w:rPr>
                      <w:rFonts w:ascii="Arial" w:hAnsi="Arial"/>
                      <w:sz w:val="20"/>
                      <w:szCs w:val="20"/>
                    </w:rPr>
                  </w:pPr>
                  <w:r>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4B7ECD67" w14:textId="77777777" w:rsidR="00122D1B" w:rsidRDefault="00122D1B" w:rsidP="00A77774">
                  <w:pPr>
                    <w:rPr>
                      <w:rFonts w:ascii="Arial" w:hAnsi="Arial"/>
                      <w:sz w:val="20"/>
                      <w:szCs w:val="20"/>
                    </w:rPr>
                  </w:pPr>
                </w:p>
              </w:tc>
            </w:tr>
            <w:tr w:rsidR="00122D1B" w14:paraId="7C17BFC8" w14:textId="77777777" w:rsidTr="00A77774">
              <w:tc>
                <w:tcPr>
                  <w:tcW w:w="6970" w:type="dxa"/>
                  <w:tcBorders>
                    <w:top w:val="single" w:sz="4" w:space="0" w:color="auto"/>
                    <w:left w:val="single" w:sz="4" w:space="0" w:color="auto"/>
                    <w:bottom w:val="single" w:sz="4" w:space="0" w:color="auto"/>
                    <w:right w:val="single" w:sz="4" w:space="0" w:color="auto"/>
                  </w:tcBorders>
                </w:tcPr>
                <w:p w14:paraId="7CB0FFF1" w14:textId="77777777" w:rsidR="00122D1B" w:rsidRDefault="00122D1B" w:rsidP="00A77774">
                  <w:pPr>
                    <w:rPr>
                      <w:rFonts w:ascii="Arial" w:hAnsi="Arial"/>
                      <w:sz w:val="20"/>
                      <w:szCs w:val="20"/>
                    </w:rPr>
                  </w:pPr>
                </w:p>
                <w:p w14:paraId="2D57AE79" w14:textId="77777777" w:rsidR="00122D1B" w:rsidRDefault="00122D1B" w:rsidP="00A77774">
                  <w:pPr>
                    <w:rPr>
                      <w:rFonts w:ascii="Arial" w:hAnsi="Arial"/>
                      <w:b/>
                      <w:sz w:val="20"/>
                      <w:szCs w:val="20"/>
                    </w:rPr>
                  </w:pPr>
                  <w:r>
                    <w:rPr>
                      <w:rFonts w:ascii="Arial" w:hAnsi="Arial"/>
                      <w:b/>
                      <w:sz w:val="20"/>
                      <w:szCs w:val="20"/>
                    </w:rPr>
                    <w:t>Final Mark</w:t>
                  </w:r>
                </w:p>
                <w:p w14:paraId="17CD1D6B" w14:textId="77777777" w:rsidR="00122D1B" w:rsidRDefault="00122D1B" w:rsidP="00A77774">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tcPr>
                <w:p w14:paraId="32EE53F5" w14:textId="77777777" w:rsidR="00122D1B" w:rsidRDefault="00122D1B" w:rsidP="00A77774">
                  <w:pPr>
                    <w:rPr>
                      <w:rFonts w:ascii="Arial" w:hAnsi="Arial"/>
                      <w:sz w:val="20"/>
                      <w:szCs w:val="20"/>
                    </w:rPr>
                  </w:pPr>
                </w:p>
              </w:tc>
            </w:tr>
          </w:tbl>
          <w:p w14:paraId="36255D6F" w14:textId="77777777" w:rsidR="00122D1B" w:rsidRDefault="00122D1B" w:rsidP="00A77774">
            <w:pPr>
              <w:pStyle w:val="NormalWeb"/>
              <w:spacing w:before="0" w:beforeAutospacing="0" w:after="0" w:afterAutospacing="0"/>
              <w:ind w:left="142" w:right="34"/>
              <w:rPr>
                <w:rFonts w:ascii="Arial" w:hAnsi="Arial" w:cs="Arial"/>
                <w:b/>
                <w:sz w:val="22"/>
                <w:szCs w:val="22"/>
              </w:rPr>
            </w:pPr>
          </w:p>
          <w:p w14:paraId="527E35E1" w14:textId="77777777" w:rsidR="00122D1B" w:rsidRDefault="00122D1B" w:rsidP="00A77774">
            <w:pPr>
              <w:pStyle w:val="NormalWeb"/>
              <w:spacing w:before="0" w:beforeAutospacing="0" w:after="0" w:afterAutospacing="0"/>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14:paraId="4EE5C850" w14:textId="77777777" w:rsidR="00122D1B" w:rsidRDefault="00122D1B" w:rsidP="00A77774">
            <w:pPr>
              <w:pStyle w:val="NormalWeb"/>
              <w:spacing w:before="0" w:beforeAutospacing="0" w:after="0" w:afterAutospacing="0"/>
              <w:rPr>
                <w:rFonts w:ascii="Arial" w:hAnsi="Arial" w:cs="Arial"/>
                <w:b/>
                <w:sz w:val="22"/>
                <w:szCs w:val="22"/>
              </w:rPr>
            </w:pPr>
          </w:p>
          <w:p w14:paraId="60427B27" w14:textId="77777777" w:rsidR="00122D1B" w:rsidRDefault="00122D1B" w:rsidP="00A77774">
            <w:pPr>
              <w:pStyle w:val="NormalWeb"/>
              <w:spacing w:before="0" w:beforeAutospacing="0" w:after="0" w:afterAutospacing="0"/>
              <w:rPr>
                <w:rFonts w:ascii="Arial" w:hAnsi="Arial" w:cs="Arial"/>
                <w:b/>
                <w:sz w:val="22"/>
                <w:szCs w:val="22"/>
              </w:rPr>
            </w:pPr>
          </w:p>
          <w:p w14:paraId="717B7C0E" w14:textId="6947E11A" w:rsidR="00122D1B" w:rsidRDefault="00122D1B" w:rsidP="00A77774">
            <w:pPr>
              <w:pStyle w:val="NormalWeb"/>
              <w:spacing w:before="0" w:beforeAutospacing="0" w:after="0" w:afterAutospacing="0"/>
              <w:rPr>
                <w:rFonts w:ascii="Arial" w:hAnsi="Arial" w:cs="Arial"/>
                <w:b/>
                <w:sz w:val="22"/>
                <w:szCs w:val="22"/>
              </w:rPr>
            </w:pPr>
            <w:r>
              <w:rPr>
                <w:rFonts w:ascii="Arial" w:hAnsi="Arial" w:cs="Arial"/>
                <w:b/>
                <w:sz w:val="22"/>
                <w:szCs w:val="22"/>
              </w:rPr>
              <w:t>For completion by Marker 1 :</w:t>
            </w:r>
          </w:p>
          <w:p w14:paraId="059397C9" w14:textId="0A32BEBB" w:rsidR="00C90AC6" w:rsidRDefault="00C90AC6" w:rsidP="00A77774">
            <w:pPr>
              <w:pStyle w:val="NormalWeb"/>
              <w:spacing w:before="0" w:beforeAutospacing="0" w:after="0" w:afterAutospacing="0"/>
              <w:rPr>
                <w:rFonts w:ascii="Arial" w:hAnsi="Arial" w:cs="Arial"/>
                <w:b/>
                <w:sz w:val="22"/>
                <w:szCs w:val="22"/>
              </w:rPr>
            </w:pPr>
          </w:p>
          <w:p w14:paraId="57CBD510" w14:textId="3C34F2AE" w:rsidR="00C90AC6" w:rsidRDefault="00C90AC6" w:rsidP="00A77774">
            <w:pPr>
              <w:pStyle w:val="NormalWeb"/>
              <w:spacing w:before="0" w:beforeAutospacing="0" w:after="0" w:afterAutospacing="0"/>
              <w:rPr>
                <w:rFonts w:ascii="Arial" w:hAnsi="Arial" w:cs="Arial"/>
                <w:b/>
                <w:sz w:val="22"/>
                <w:szCs w:val="22"/>
              </w:rPr>
            </w:pPr>
            <w:r>
              <w:rPr>
                <w:rFonts w:ascii="Arial" w:hAnsi="Arial" w:cs="Arial"/>
                <w:b/>
                <w:sz w:val="22"/>
                <w:szCs w:val="22"/>
              </w:rPr>
              <w:t>Comments:</w:t>
            </w:r>
          </w:p>
          <w:p w14:paraId="564EC537" w14:textId="77777777" w:rsidR="00C90AC6" w:rsidRDefault="00C90AC6" w:rsidP="00A77774">
            <w:pPr>
              <w:pStyle w:val="NormalWeb"/>
              <w:spacing w:before="0" w:beforeAutospacing="0" w:after="0" w:afterAutospacing="0"/>
              <w:rPr>
                <w:rFonts w:ascii="Arial" w:hAnsi="Arial" w:cs="Arial"/>
                <w:b/>
                <w:sz w:val="22"/>
                <w:szCs w:val="22"/>
              </w:rPr>
            </w:pPr>
          </w:p>
          <w:p w14:paraId="7804A444" w14:textId="07639928" w:rsidR="00254BDD" w:rsidRPr="00C02FC8" w:rsidRDefault="00254BDD" w:rsidP="00254BDD">
            <w:r w:rsidRPr="00C02FC8">
              <w:t>This is a good commentary which shows that the student ha</w:t>
            </w:r>
            <w:r w:rsidR="00F97ED6">
              <w:t>s</w:t>
            </w:r>
            <w:r w:rsidRPr="00C02FC8">
              <w:t xml:space="preserve"> engaged with the text while brin</w:t>
            </w:r>
            <w:r w:rsidR="00F97ED6">
              <w:t>g</w:t>
            </w:r>
            <w:r w:rsidRPr="00C02FC8">
              <w:t>ing her own ideas and analysis as well as providing solid textual analysis with apposite examples. Unfortunately, most of these have been included in footnotes</w:t>
            </w:r>
            <w:r>
              <w:t>. A</w:t>
            </w:r>
            <w:r w:rsidRPr="00C02FC8">
              <w:t xml:space="preserve">lthough they do show a good understanding of the text and how much the student </w:t>
            </w:r>
            <w:r>
              <w:t>ha</w:t>
            </w:r>
            <w:r w:rsidR="00F97ED6">
              <w:t>s</w:t>
            </w:r>
            <w:r>
              <w:t xml:space="preserve"> </w:t>
            </w:r>
            <w:r w:rsidRPr="00C02FC8">
              <w:t>read to fo</w:t>
            </w:r>
            <w:r>
              <w:t>r</w:t>
            </w:r>
            <w:r w:rsidRPr="00C02FC8">
              <w:t>m her points</w:t>
            </w:r>
            <w:r>
              <w:t xml:space="preserve"> and arguments, I would have liked to see some of the points made in footnotes within the main text (while excluding some of the othe</w:t>
            </w:r>
            <w:r w:rsidR="005D55B8">
              <w:t>s</w:t>
            </w:r>
            <w:r>
              <w:t>). However, clearly the work she has done is to be applaud</w:t>
            </w:r>
            <w:r w:rsidR="00F97ED6">
              <w:t>ed</w:t>
            </w:r>
            <w:r>
              <w:t xml:space="preserve"> and there are some very good points noted. The biliography also shows that she is very </w:t>
            </w:r>
            <w:r w:rsidR="005D55B8">
              <w:t>committed</w:t>
            </w:r>
            <w:r>
              <w:t xml:space="preserve"> to this work. </w:t>
            </w:r>
          </w:p>
          <w:p w14:paraId="651EB039" w14:textId="41AC62D4" w:rsidR="00254BDD" w:rsidRPr="00C02FC8" w:rsidRDefault="00254BDD" w:rsidP="00254BDD">
            <w:r w:rsidRPr="00C02FC8">
              <w:t xml:space="preserve">She gives good examples of parallels to </w:t>
            </w:r>
            <w:r w:rsidRPr="00C02FC8">
              <w:rPr>
                <w:i/>
              </w:rPr>
              <w:t>Navigatio Sancti Brendani</w:t>
            </w:r>
            <w:r w:rsidRPr="00C02FC8">
              <w:t xml:space="preserve"> and in general they are cited well.</w:t>
            </w:r>
            <w:r>
              <w:t xml:space="preserve"> </w:t>
            </w:r>
            <w:r w:rsidRPr="00C02FC8">
              <w:t xml:space="preserve"> Comparisons with other Irish and Welsh tales add</w:t>
            </w:r>
            <w:r w:rsidR="005D55B8">
              <w:t>s</w:t>
            </w:r>
            <w:r w:rsidRPr="00C02FC8">
              <w:t xml:space="preserve"> to the argument</w:t>
            </w:r>
            <w:r w:rsidR="005D55B8">
              <w:t>s</w:t>
            </w:r>
            <w:r w:rsidRPr="00C02FC8">
              <w:t>, but again, these are mostly discussed in footnotes. The examples of motifs included are well discussed and it seems that when dealing with the smaller details that this student is most successful.</w:t>
            </w:r>
            <w:r>
              <w:t xml:space="preserve"> Well done.</w:t>
            </w:r>
            <w:r w:rsidRPr="00C02FC8">
              <w:t xml:space="preserve">  </w:t>
            </w:r>
          </w:p>
          <w:p w14:paraId="655B6DB8" w14:textId="0E5E9137" w:rsidR="00254BDD" w:rsidRPr="00C02FC8" w:rsidRDefault="00254BDD" w:rsidP="00254BDD">
            <w:r w:rsidRPr="00C02FC8">
              <w:t>The approach and style of writing is interesting (and a good choice to use abbreviations). It certainly gives it a good structure overall as an appreciation of the text. However, I would like a more traditional style for the Essay. The formatting of the footnote</w:t>
            </w:r>
            <w:r w:rsidR="00F97ED6">
              <w:t>s</w:t>
            </w:r>
            <w:r w:rsidRPr="00C02FC8">
              <w:t xml:space="preserve"> needs a little attention also</w:t>
            </w:r>
            <w:r>
              <w:t xml:space="preserve"> (and </w:t>
            </w:r>
            <w:r w:rsidR="00F97ED6">
              <w:t>fewer</w:t>
            </w:r>
            <w:bookmarkStart w:id="6" w:name="_GoBack"/>
            <w:bookmarkEnd w:id="6"/>
            <w:r>
              <w:t xml:space="preserve"> of them)</w:t>
            </w:r>
            <w:r w:rsidRPr="00C02FC8">
              <w:t xml:space="preserve">. </w:t>
            </w:r>
          </w:p>
          <w:p w14:paraId="24A5A9B6" w14:textId="77777777" w:rsidR="00122D1B" w:rsidRDefault="00122D1B" w:rsidP="00A77774">
            <w:pPr>
              <w:pStyle w:val="NormalWeb"/>
              <w:rPr>
                <w:rFonts w:ascii="Arial" w:hAnsi="Arial" w:cs="Arial"/>
                <w:sz w:val="22"/>
                <w:szCs w:val="22"/>
              </w:rPr>
            </w:pPr>
          </w:p>
        </w:tc>
      </w:tr>
      <w:tr w:rsidR="00122D1B" w14:paraId="37189420" w14:textId="77777777" w:rsidTr="00A77774">
        <w:trPr>
          <w:trHeight w:val="492"/>
        </w:trPr>
        <w:tc>
          <w:tcPr>
            <w:tcW w:w="5211" w:type="dxa"/>
            <w:tcBorders>
              <w:top w:val="single" w:sz="4" w:space="0" w:color="000000"/>
              <w:left w:val="single" w:sz="4" w:space="0" w:color="000000"/>
              <w:bottom w:val="single" w:sz="4" w:space="0" w:color="000000"/>
              <w:right w:val="single" w:sz="4" w:space="0" w:color="000000"/>
            </w:tcBorders>
            <w:hideMark/>
          </w:tcPr>
          <w:p w14:paraId="14B4A507" w14:textId="7EA44D56" w:rsidR="00122D1B" w:rsidRDefault="00122D1B" w:rsidP="00A77774">
            <w:pPr>
              <w:pStyle w:val="NormalWeb"/>
              <w:spacing w:beforeAutospacing="0" w:afterAutospacing="0"/>
              <w:ind w:left="142" w:right="34"/>
              <w:rPr>
                <w:rFonts w:ascii="Arial" w:hAnsi="Arial" w:cs="Arial"/>
                <w:sz w:val="22"/>
                <w:szCs w:val="22"/>
              </w:rPr>
            </w:pPr>
            <w:r>
              <w:rPr>
                <w:rFonts w:ascii="Arial" w:hAnsi="Arial" w:cs="Arial"/>
                <w:sz w:val="22"/>
                <w:szCs w:val="22"/>
              </w:rPr>
              <w:t>Marker’s Signature:</w:t>
            </w:r>
            <w:r w:rsidR="007037C0">
              <w:rPr>
                <w:rFonts w:ascii="Arial" w:hAnsi="Arial" w:cs="Arial"/>
                <w:sz w:val="22"/>
                <w:szCs w:val="22"/>
              </w:rPr>
              <w:t xml:space="preserve"> Alaw Mai Edwards</w:t>
            </w:r>
          </w:p>
        </w:tc>
        <w:tc>
          <w:tcPr>
            <w:tcW w:w="3645" w:type="dxa"/>
            <w:tcBorders>
              <w:top w:val="single" w:sz="4" w:space="0" w:color="000000"/>
              <w:left w:val="single" w:sz="4" w:space="0" w:color="000000"/>
              <w:bottom w:val="single" w:sz="4" w:space="0" w:color="000000"/>
              <w:right w:val="single" w:sz="4" w:space="0" w:color="000000"/>
            </w:tcBorders>
            <w:hideMark/>
          </w:tcPr>
          <w:p w14:paraId="712BC45A" w14:textId="3DB6C597" w:rsidR="00122D1B" w:rsidRDefault="00122D1B" w:rsidP="00A77774">
            <w:pPr>
              <w:pStyle w:val="NormalWeb"/>
              <w:spacing w:beforeAutospacing="0" w:after="0" w:afterAutospacing="0"/>
              <w:ind w:left="142" w:right="34"/>
              <w:rPr>
                <w:rFonts w:ascii="Arial" w:hAnsi="Arial" w:cs="Arial"/>
                <w:sz w:val="22"/>
                <w:szCs w:val="22"/>
              </w:rPr>
            </w:pPr>
            <w:r>
              <w:rPr>
                <w:rFonts w:ascii="Arial" w:hAnsi="Arial" w:cs="Arial"/>
                <w:sz w:val="22"/>
                <w:szCs w:val="22"/>
              </w:rPr>
              <w:t>Date:</w:t>
            </w:r>
            <w:r w:rsidR="007037C0">
              <w:rPr>
                <w:rFonts w:ascii="Arial" w:hAnsi="Arial" w:cs="Arial"/>
                <w:sz w:val="22"/>
                <w:szCs w:val="22"/>
              </w:rPr>
              <w:t xml:space="preserve"> 20/04/18</w:t>
            </w:r>
            <w:r>
              <w:rPr>
                <w:rFonts w:ascii="Arial" w:hAnsi="Arial" w:cs="Arial"/>
                <w:sz w:val="22"/>
                <w:szCs w:val="22"/>
              </w:rPr>
              <w:t xml:space="preserve"> </w:t>
            </w:r>
          </w:p>
        </w:tc>
      </w:tr>
      <w:tr w:rsidR="00122D1B" w14:paraId="09445418" w14:textId="77777777" w:rsidTr="00A77774">
        <w:tc>
          <w:tcPr>
            <w:tcW w:w="8856" w:type="dxa"/>
            <w:gridSpan w:val="2"/>
            <w:tcBorders>
              <w:top w:val="single" w:sz="4" w:space="0" w:color="000000"/>
              <w:left w:val="single" w:sz="4" w:space="0" w:color="000000"/>
              <w:bottom w:val="single" w:sz="4" w:space="0" w:color="000000"/>
              <w:right w:val="single" w:sz="4" w:space="0" w:color="000000"/>
            </w:tcBorders>
          </w:tcPr>
          <w:p w14:paraId="44F76AF6" w14:textId="77777777" w:rsidR="00122D1B" w:rsidRDefault="00122D1B" w:rsidP="00A77774">
            <w:pPr>
              <w:pStyle w:val="NormalWeb"/>
              <w:spacing w:before="0" w:beforeAutospacing="0" w:after="0" w:afterAutospacing="0"/>
              <w:ind w:right="-334"/>
              <w:rPr>
                <w:rFonts w:ascii="Arial" w:hAnsi="Arial" w:cs="Arial"/>
                <w:bCs/>
                <w:i/>
                <w:sz w:val="22"/>
                <w:szCs w:val="22"/>
              </w:rPr>
            </w:pPr>
          </w:p>
          <w:p w14:paraId="62CF4950" w14:textId="77777777" w:rsidR="00122D1B" w:rsidRDefault="00122D1B" w:rsidP="00A77774">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2/Moderator:</w:t>
            </w:r>
          </w:p>
          <w:p w14:paraId="453C7C1F" w14:textId="77777777" w:rsidR="00122D1B" w:rsidRDefault="00122D1B" w:rsidP="00A77774">
            <w:pPr>
              <w:pStyle w:val="NormalWeb"/>
              <w:spacing w:before="0" w:beforeAutospacing="0" w:after="0" w:afterAutospacing="0"/>
              <w:ind w:right="-334"/>
              <w:rPr>
                <w:rFonts w:ascii="Arial" w:hAnsi="Arial" w:cs="Arial"/>
                <w:b/>
                <w:bCs/>
                <w:sz w:val="22"/>
                <w:szCs w:val="22"/>
              </w:rPr>
            </w:pPr>
          </w:p>
          <w:p w14:paraId="3C7286FB" w14:textId="77777777" w:rsidR="00122D1B" w:rsidRDefault="00122D1B" w:rsidP="00A77774">
            <w:pPr>
              <w:pStyle w:val="NormalWeb"/>
              <w:spacing w:before="0" w:beforeAutospacing="0" w:after="0" w:afterAutospacing="0"/>
              <w:ind w:right="-334"/>
              <w:rPr>
                <w:rFonts w:ascii="Arial" w:hAnsi="Arial" w:cs="Arial"/>
                <w:bCs/>
                <w:sz w:val="22"/>
                <w:szCs w:val="22"/>
              </w:rPr>
            </w:pPr>
          </w:p>
          <w:p w14:paraId="10B11D3C" w14:textId="77777777" w:rsidR="00122D1B" w:rsidRDefault="00122D1B" w:rsidP="00A77774">
            <w:pPr>
              <w:pStyle w:val="NormalWeb"/>
              <w:spacing w:before="0" w:beforeAutospacing="0" w:after="0" w:afterAutospacing="0"/>
              <w:ind w:right="-334"/>
              <w:rPr>
                <w:rFonts w:ascii="Arial" w:hAnsi="Arial" w:cs="Arial"/>
                <w:bCs/>
                <w:sz w:val="22"/>
                <w:szCs w:val="22"/>
              </w:rPr>
            </w:pPr>
          </w:p>
          <w:p w14:paraId="75BB364C" w14:textId="77777777" w:rsidR="00122D1B" w:rsidRDefault="00122D1B" w:rsidP="00A77774">
            <w:pPr>
              <w:pStyle w:val="NormalWeb"/>
              <w:spacing w:before="0" w:beforeAutospacing="0" w:after="0" w:afterAutospacing="0"/>
              <w:ind w:right="-334"/>
              <w:rPr>
                <w:rFonts w:ascii="Arial" w:hAnsi="Arial" w:cs="Arial"/>
                <w:bCs/>
                <w:sz w:val="22"/>
                <w:szCs w:val="22"/>
              </w:rPr>
            </w:pPr>
          </w:p>
          <w:p w14:paraId="2A1F07F5" w14:textId="77777777" w:rsidR="00122D1B" w:rsidRDefault="00122D1B" w:rsidP="00A77774">
            <w:pPr>
              <w:pStyle w:val="NormalWeb"/>
              <w:spacing w:before="0" w:beforeAutospacing="0" w:after="0" w:afterAutospacing="0"/>
              <w:ind w:right="-334"/>
              <w:rPr>
                <w:rFonts w:ascii="Arial" w:hAnsi="Arial" w:cs="Arial"/>
                <w:bCs/>
                <w:sz w:val="22"/>
                <w:szCs w:val="22"/>
              </w:rPr>
            </w:pPr>
          </w:p>
          <w:p w14:paraId="03810FB5" w14:textId="77777777" w:rsidR="00122D1B" w:rsidRDefault="00122D1B" w:rsidP="00A77774">
            <w:pPr>
              <w:pStyle w:val="NormalWeb"/>
              <w:spacing w:before="0" w:beforeAutospacing="0" w:after="0" w:afterAutospacing="0"/>
              <w:ind w:right="-334"/>
              <w:rPr>
                <w:rFonts w:ascii="Arial" w:hAnsi="Arial" w:cs="Arial"/>
                <w:bCs/>
                <w:sz w:val="22"/>
                <w:szCs w:val="22"/>
              </w:rPr>
            </w:pPr>
          </w:p>
        </w:tc>
      </w:tr>
      <w:tr w:rsidR="00122D1B" w14:paraId="6427A843" w14:textId="77777777" w:rsidTr="00A77774">
        <w:trPr>
          <w:trHeight w:val="720"/>
        </w:trPr>
        <w:tc>
          <w:tcPr>
            <w:tcW w:w="5211" w:type="dxa"/>
            <w:tcBorders>
              <w:top w:val="single" w:sz="4" w:space="0" w:color="000000"/>
              <w:left w:val="single" w:sz="4" w:space="0" w:color="000000"/>
              <w:bottom w:val="single" w:sz="4" w:space="0" w:color="000000"/>
              <w:right w:val="single" w:sz="4" w:space="0" w:color="000000"/>
            </w:tcBorders>
            <w:hideMark/>
          </w:tcPr>
          <w:p w14:paraId="1D5ADF2F" w14:textId="77777777" w:rsidR="00122D1B" w:rsidRDefault="00122D1B" w:rsidP="00A77774">
            <w:pPr>
              <w:pStyle w:val="NormalWeb"/>
              <w:spacing w:before="0" w:beforeAutospacing="0" w:after="0" w:afterAutospacing="0"/>
              <w:ind w:right="-334"/>
              <w:rPr>
                <w:rFonts w:ascii="Arial" w:hAnsi="Arial" w:cs="Arial"/>
                <w:bCs/>
                <w:sz w:val="22"/>
                <w:szCs w:val="22"/>
              </w:rPr>
            </w:pPr>
            <w:r>
              <w:rPr>
                <w:rFonts w:ascii="Arial" w:hAnsi="Arial" w:cs="Arial"/>
                <w:bCs/>
                <w:sz w:val="22"/>
                <w:szCs w:val="22"/>
              </w:rPr>
              <w:lastRenderedPageBreak/>
              <w:t xml:space="preserve">Marker’s Signature:  </w:t>
            </w:r>
          </w:p>
        </w:tc>
        <w:tc>
          <w:tcPr>
            <w:tcW w:w="3645" w:type="dxa"/>
            <w:tcBorders>
              <w:top w:val="single" w:sz="4" w:space="0" w:color="000000"/>
              <w:left w:val="single" w:sz="4" w:space="0" w:color="000000"/>
              <w:bottom w:val="single" w:sz="4" w:space="0" w:color="000000"/>
              <w:right w:val="single" w:sz="4" w:space="0" w:color="000000"/>
            </w:tcBorders>
            <w:hideMark/>
          </w:tcPr>
          <w:p w14:paraId="4230C5F9" w14:textId="77777777" w:rsidR="00122D1B" w:rsidRDefault="00122D1B" w:rsidP="00A77774">
            <w:pPr>
              <w:pStyle w:val="NormalWeb"/>
              <w:spacing w:before="0" w:beforeAutospacing="0" w:after="0" w:afterAutospacing="0"/>
              <w:ind w:right="-334"/>
              <w:rPr>
                <w:rFonts w:ascii="Arial" w:hAnsi="Arial" w:cs="Arial"/>
                <w:bCs/>
                <w:sz w:val="22"/>
                <w:szCs w:val="22"/>
              </w:rPr>
            </w:pPr>
            <w:r>
              <w:rPr>
                <w:rFonts w:ascii="Arial" w:hAnsi="Arial" w:cs="Arial"/>
                <w:bCs/>
                <w:sz w:val="22"/>
                <w:szCs w:val="22"/>
              </w:rPr>
              <w:t xml:space="preserve">Date: </w:t>
            </w:r>
          </w:p>
        </w:tc>
      </w:tr>
      <w:tr w:rsidR="00122D1B" w14:paraId="07E268AB" w14:textId="77777777" w:rsidTr="00A77774">
        <w:trPr>
          <w:trHeight w:val="720"/>
        </w:trPr>
        <w:tc>
          <w:tcPr>
            <w:tcW w:w="8856" w:type="dxa"/>
            <w:gridSpan w:val="2"/>
            <w:tcBorders>
              <w:top w:val="single" w:sz="4" w:space="0" w:color="000000"/>
              <w:left w:val="single" w:sz="4" w:space="0" w:color="000000"/>
              <w:bottom w:val="single" w:sz="4" w:space="0" w:color="000000"/>
              <w:right w:val="single" w:sz="4" w:space="0" w:color="000000"/>
            </w:tcBorders>
          </w:tcPr>
          <w:p w14:paraId="606F0521" w14:textId="77777777" w:rsidR="00122D1B" w:rsidRDefault="00122D1B" w:rsidP="00A77774">
            <w:pPr>
              <w:rPr>
                <w:rFonts w:ascii="Arial" w:hAnsi="Arial" w:cs="Arial"/>
                <w:b/>
              </w:rPr>
            </w:pPr>
            <w:r>
              <w:rPr>
                <w:rFonts w:ascii="Arial" w:hAnsi="Arial" w:cs="Arial"/>
                <w:b/>
              </w:rPr>
              <w:t>External Examiner’s comments (if relevant)</w:t>
            </w:r>
          </w:p>
          <w:p w14:paraId="1E24A752" w14:textId="77777777" w:rsidR="00122D1B" w:rsidRDefault="00122D1B" w:rsidP="00A77774">
            <w:pPr>
              <w:pStyle w:val="NormalWeb"/>
              <w:spacing w:before="0" w:beforeAutospacing="0" w:after="0" w:afterAutospacing="0"/>
              <w:ind w:right="-334"/>
              <w:rPr>
                <w:rFonts w:ascii="Arial" w:hAnsi="Arial" w:cs="Arial"/>
                <w:bCs/>
                <w:sz w:val="22"/>
                <w:szCs w:val="22"/>
              </w:rPr>
            </w:pPr>
          </w:p>
          <w:p w14:paraId="7F33B094" w14:textId="77777777" w:rsidR="00122D1B" w:rsidRDefault="00122D1B" w:rsidP="00A77774">
            <w:pPr>
              <w:pStyle w:val="NormalWeb"/>
              <w:spacing w:before="0" w:beforeAutospacing="0" w:after="0" w:afterAutospacing="0"/>
              <w:ind w:right="-334"/>
              <w:rPr>
                <w:rFonts w:ascii="Arial" w:hAnsi="Arial" w:cs="Arial"/>
                <w:bCs/>
                <w:sz w:val="22"/>
                <w:szCs w:val="22"/>
              </w:rPr>
            </w:pPr>
          </w:p>
          <w:p w14:paraId="7D0A1C04" w14:textId="77777777" w:rsidR="00122D1B" w:rsidRDefault="00122D1B" w:rsidP="00A77774">
            <w:pPr>
              <w:pStyle w:val="NormalWeb"/>
              <w:spacing w:before="0" w:beforeAutospacing="0" w:after="0" w:afterAutospacing="0"/>
              <w:ind w:right="-334"/>
              <w:rPr>
                <w:rFonts w:ascii="Arial" w:hAnsi="Arial" w:cs="Arial"/>
                <w:bCs/>
                <w:sz w:val="22"/>
                <w:szCs w:val="22"/>
              </w:rPr>
            </w:pPr>
          </w:p>
          <w:p w14:paraId="07E1C835" w14:textId="77777777" w:rsidR="00122D1B" w:rsidRDefault="00122D1B" w:rsidP="00A77774">
            <w:pPr>
              <w:pStyle w:val="NormalWeb"/>
              <w:spacing w:before="0" w:beforeAutospacing="0" w:after="0" w:afterAutospacing="0"/>
              <w:ind w:right="-334"/>
              <w:rPr>
                <w:rFonts w:ascii="Arial" w:hAnsi="Arial" w:cs="Arial"/>
                <w:bCs/>
                <w:sz w:val="22"/>
                <w:szCs w:val="22"/>
              </w:rPr>
            </w:pPr>
          </w:p>
          <w:p w14:paraId="7BCA4B61" w14:textId="77777777" w:rsidR="00122D1B" w:rsidRDefault="00122D1B" w:rsidP="00A77774">
            <w:pPr>
              <w:pStyle w:val="NormalWeb"/>
              <w:spacing w:before="0" w:beforeAutospacing="0" w:after="0" w:afterAutospacing="0"/>
              <w:ind w:right="-334"/>
              <w:rPr>
                <w:rFonts w:ascii="Arial" w:hAnsi="Arial" w:cs="Arial"/>
                <w:bCs/>
                <w:sz w:val="22"/>
                <w:szCs w:val="22"/>
              </w:rPr>
            </w:pPr>
          </w:p>
          <w:p w14:paraId="1ABAB5F0" w14:textId="77777777" w:rsidR="00122D1B" w:rsidRDefault="00122D1B" w:rsidP="00A77774">
            <w:pPr>
              <w:pStyle w:val="NormalWeb"/>
              <w:spacing w:before="0" w:beforeAutospacing="0" w:after="0" w:afterAutospacing="0"/>
              <w:ind w:right="-334"/>
              <w:rPr>
                <w:rFonts w:ascii="Arial" w:hAnsi="Arial" w:cs="Arial"/>
                <w:bCs/>
                <w:sz w:val="22"/>
                <w:szCs w:val="22"/>
              </w:rPr>
            </w:pPr>
          </w:p>
        </w:tc>
      </w:tr>
      <w:tr w:rsidR="00122D1B" w14:paraId="12E79DD0" w14:textId="77777777" w:rsidTr="00A77774">
        <w:trPr>
          <w:trHeight w:val="720"/>
        </w:trPr>
        <w:tc>
          <w:tcPr>
            <w:tcW w:w="5211" w:type="dxa"/>
            <w:tcBorders>
              <w:top w:val="single" w:sz="4" w:space="0" w:color="000000"/>
              <w:left w:val="single" w:sz="4" w:space="0" w:color="000000"/>
              <w:bottom w:val="single" w:sz="4" w:space="0" w:color="000000"/>
              <w:right w:val="single" w:sz="4" w:space="0" w:color="000000"/>
            </w:tcBorders>
            <w:hideMark/>
          </w:tcPr>
          <w:p w14:paraId="13D62F9B" w14:textId="77777777" w:rsidR="00122D1B" w:rsidRDefault="00122D1B" w:rsidP="00A77774">
            <w:pPr>
              <w:rPr>
                <w:rFonts w:ascii="Arial" w:hAnsi="Arial" w:cs="Arial"/>
              </w:rPr>
            </w:pPr>
            <w:r>
              <w:rPr>
                <w:rFonts w:ascii="Arial" w:hAnsi="Arial" w:cs="Arial"/>
              </w:rPr>
              <w:t>External Examiner’s Signature:</w:t>
            </w:r>
          </w:p>
        </w:tc>
        <w:tc>
          <w:tcPr>
            <w:tcW w:w="3645" w:type="dxa"/>
            <w:tcBorders>
              <w:top w:val="single" w:sz="4" w:space="0" w:color="000000"/>
              <w:left w:val="single" w:sz="4" w:space="0" w:color="000000"/>
              <w:bottom w:val="single" w:sz="4" w:space="0" w:color="000000"/>
              <w:right w:val="single" w:sz="4" w:space="0" w:color="000000"/>
            </w:tcBorders>
            <w:hideMark/>
          </w:tcPr>
          <w:p w14:paraId="1AED0BBA" w14:textId="77777777" w:rsidR="00122D1B" w:rsidRDefault="00122D1B" w:rsidP="00A77774">
            <w:pPr>
              <w:rPr>
                <w:rFonts w:ascii="Arial" w:hAnsi="Arial" w:cs="Arial"/>
              </w:rPr>
            </w:pPr>
            <w:r>
              <w:rPr>
                <w:rFonts w:ascii="Arial" w:hAnsi="Arial" w:cs="Arial"/>
              </w:rPr>
              <w:t>Date:</w:t>
            </w:r>
          </w:p>
        </w:tc>
      </w:tr>
    </w:tbl>
    <w:p w14:paraId="5A9DF3BA" w14:textId="77777777" w:rsidR="00122D1B" w:rsidRDefault="00122D1B" w:rsidP="00122D1B"/>
    <w:p w14:paraId="789C0520" w14:textId="77777777" w:rsidR="00AC4178" w:rsidRDefault="00AC4178" w:rsidP="00122D1B"/>
    <w:p w14:paraId="147DA5AC" w14:textId="77777777" w:rsidR="00D728E2" w:rsidRPr="00AC7B1D" w:rsidRDefault="008C3442" w:rsidP="00D728E2">
      <w:pPr>
        <w:spacing w:before="100" w:beforeAutospacing="1" w:after="100" w:afterAutospacing="1" w:line="240" w:lineRule="auto"/>
        <w:jc w:val="center"/>
        <w:rPr>
          <w:rFonts w:eastAsia="Times New Roman" w:cs="Times New Roman"/>
          <w:sz w:val="28"/>
          <w:szCs w:val="24"/>
          <w:u w:val="single"/>
          <w:lang w:eastAsia="en-GB"/>
        </w:rPr>
      </w:pPr>
      <w:r>
        <w:rPr>
          <w:rFonts w:eastAsia="Times New Roman" w:cs="Times New Roman"/>
          <w:sz w:val="28"/>
          <w:szCs w:val="24"/>
          <w:u w:val="single"/>
          <w:lang w:eastAsia="en-GB"/>
        </w:rPr>
        <w:t xml:space="preserve">Echoes of the </w:t>
      </w:r>
      <w:r w:rsidR="00D728E2" w:rsidRPr="00D759ED">
        <w:rPr>
          <w:rFonts w:eastAsia="Times New Roman" w:cs="Times New Roman"/>
          <w:sz w:val="28"/>
          <w:szCs w:val="24"/>
          <w:u w:val="single"/>
          <w:lang w:eastAsia="en-GB"/>
        </w:rPr>
        <w:t>Otherworld</w:t>
      </w:r>
      <w:r>
        <w:rPr>
          <w:rFonts w:eastAsia="Times New Roman" w:cs="Times New Roman"/>
          <w:sz w:val="28"/>
          <w:szCs w:val="24"/>
          <w:u w:val="single"/>
          <w:lang w:eastAsia="en-GB"/>
        </w:rPr>
        <w:t xml:space="preserve"> </w:t>
      </w:r>
      <w:r w:rsidR="00D728E2" w:rsidRPr="00D759ED">
        <w:rPr>
          <w:rFonts w:eastAsia="Times New Roman" w:cs="Times New Roman"/>
          <w:sz w:val="28"/>
          <w:szCs w:val="24"/>
          <w:u w:val="single"/>
          <w:lang w:eastAsia="en-GB"/>
        </w:rPr>
        <w:t xml:space="preserve">in the Voyager Tale of </w:t>
      </w:r>
      <w:r w:rsidR="00D728E2" w:rsidRPr="000566B7">
        <w:rPr>
          <w:rFonts w:eastAsia="Times New Roman" w:cs="Times New Roman"/>
          <w:i/>
          <w:sz w:val="28"/>
          <w:szCs w:val="24"/>
          <w:u w:val="single"/>
          <w:lang w:eastAsia="en-GB"/>
        </w:rPr>
        <w:t>Máele Dúin</w:t>
      </w:r>
      <w:r w:rsidR="00AC7B1D">
        <w:rPr>
          <w:rFonts w:eastAsia="Times New Roman" w:cs="Times New Roman"/>
          <w:sz w:val="28"/>
          <w:szCs w:val="24"/>
          <w:u w:val="single"/>
          <w:lang w:eastAsia="en-GB"/>
        </w:rPr>
        <w:t>: A Commentary</w:t>
      </w:r>
    </w:p>
    <w:p w14:paraId="33497381" w14:textId="77777777" w:rsidR="000C5629" w:rsidRDefault="000C5629" w:rsidP="00D728E2">
      <w:pPr>
        <w:spacing w:before="100" w:beforeAutospacing="1" w:after="100" w:afterAutospacing="1" w:line="240" w:lineRule="auto"/>
        <w:jc w:val="center"/>
        <w:rPr>
          <w:rFonts w:eastAsia="Times New Roman" w:cs="Times New Roman"/>
          <w:sz w:val="24"/>
          <w:szCs w:val="24"/>
          <w:lang w:eastAsia="en-GB"/>
        </w:rPr>
      </w:pPr>
    </w:p>
    <w:p w14:paraId="23E0E24C" w14:textId="77777777" w:rsidR="00AC4178" w:rsidRDefault="00AC4178" w:rsidP="00D728E2">
      <w:pPr>
        <w:spacing w:before="100" w:beforeAutospacing="1" w:after="100" w:afterAutospacing="1" w:line="240" w:lineRule="auto"/>
        <w:jc w:val="center"/>
        <w:rPr>
          <w:rFonts w:eastAsia="Times New Roman" w:cs="Times New Roman"/>
          <w:sz w:val="24"/>
          <w:szCs w:val="24"/>
          <w:lang w:eastAsia="en-GB"/>
        </w:rPr>
      </w:pPr>
    </w:p>
    <w:p w14:paraId="05564D90" w14:textId="77777777" w:rsidR="00AC4178" w:rsidRPr="00AC4178" w:rsidRDefault="00AC4178" w:rsidP="00AC4178">
      <w:pPr>
        <w:jc w:val="center"/>
        <w:rPr>
          <w:sz w:val="20"/>
          <w:u w:val="single"/>
        </w:rPr>
      </w:pPr>
      <w:r w:rsidRPr="00AC4178">
        <w:rPr>
          <w:sz w:val="20"/>
          <w:u w:val="single"/>
        </w:rPr>
        <w:t>List of Abbreviations Used:</w:t>
      </w:r>
    </w:p>
    <w:p w14:paraId="5AEA3985" w14:textId="77777777" w:rsidR="00AC4178" w:rsidRPr="00AC4178" w:rsidRDefault="00AC4178" w:rsidP="00AC4178">
      <w:pPr>
        <w:jc w:val="center"/>
        <w:rPr>
          <w:sz w:val="20"/>
          <w:u w:val="single"/>
        </w:rPr>
      </w:pPr>
    </w:p>
    <w:p w14:paraId="66AD8399" w14:textId="77777777" w:rsidR="00AC4178" w:rsidRPr="00AC4178" w:rsidRDefault="00AC4178" w:rsidP="00AC4178">
      <w:pPr>
        <w:jc w:val="center"/>
        <w:rPr>
          <w:i/>
          <w:sz w:val="20"/>
        </w:rPr>
      </w:pPr>
      <w:r w:rsidRPr="00AC4178">
        <w:rPr>
          <w:sz w:val="20"/>
        </w:rPr>
        <w:t xml:space="preserve">MD: </w:t>
      </w:r>
      <w:r w:rsidRPr="00AC4178">
        <w:rPr>
          <w:i/>
          <w:sz w:val="20"/>
        </w:rPr>
        <w:t>Immram Curaig Máele Dúin</w:t>
      </w:r>
    </w:p>
    <w:p w14:paraId="299E6E15" w14:textId="77777777" w:rsidR="00AC4178" w:rsidRPr="00AC4178" w:rsidRDefault="00AC4178" w:rsidP="00AC4178">
      <w:pPr>
        <w:jc w:val="center"/>
        <w:rPr>
          <w:sz w:val="20"/>
        </w:rPr>
      </w:pPr>
      <w:r w:rsidRPr="00AC4178">
        <w:rPr>
          <w:sz w:val="20"/>
        </w:rPr>
        <w:t>MS: manuscript</w:t>
      </w:r>
    </w:p>
    <w:p w14:paraId="3DF1EBE1" w14:textId="77777777" w:rsidR="00AC4178" w:rsidRPr="00AC4178" w:rsidRDefault="00AC4178" w:rsidP="00AC4178">
      <w:pPr>
        <w:jc w:val="center"/>
        <w:rPr>
          <w:sz w:val="20"/>
        </w:rPr>
      </w:pPr>
      <w:r w:rsidRPr="00AC4178">
        <w:rPr>
          <w:sz w:val="20"/>
        </w:rPr>
        <w:t xml:space="preserve">LH: </w:t>
      </w:r>
      <w:r w:rsidRPr="00AC4178">
        <w:rPr>
          <w:i/>
          <w:sz w:val="20"/>
        </w:rPr>
        <w:t xml:space="preserve">Lebor na Huidre </w:t>
      </w:r>
      <w:r w:rsidRPr="00AC4178">
        <w:rPr>
          <w:sz w:val="20"/>
        </w:rPr>
        <w:t>MS23 E25, Dublin Royal Academy.</w:t>
      </w:r>
    </w:p>
    <w:p w14:paraId="04F2DED3" w14:textId="77777777" w:rsidR="00AC4178" w:rsidRPr="00AC4178" w:rsidRDefault="00AC4178" w:rsidP="00AC4178">
      <w:pPr>
        <w:jc w:val="center"/>
        <w:rPr>
          <w:sz w:val="20"/>
        </w:rPr>
      </w:pPr>
      <w:r w:rsidRPr="00AC4178">
        <w:rPr>
          <w:sz w:val="20"/>
        </w:rPr>
        <w:t>YL: Yellow Book of Lecan MS1318, Dublin Trinity College.</w:t>
      </w:r>
    </w:p>
    <w:p w14:paraId="745AEE16" w14:textId="77777777" w:rsidR="00AC4178" w:rsidRPr="00AC4178" w:rsidRDefault="00AC4178" w:rsidP="00AC4178">
      <w:pPr>
        <w:jc w:val="center"/>
        <w:rPr>
          <w:sz w:val="20"/>
        </w:rPr>
      </w:pPr>
      <w:r w:rsidRPr="00AC4178">
        <w:rPr>
          <w:sz w:val="20"/>
        </w:rPr>
        <w:t>H: Harleian 5280 12-20, British Library</w:t>
      </w:r>
    </w:p>
    <w:p w14:paraId="5F6CACFD" w14:textId="77777777" w:rsidR="00AC4178" w:rsidRPr="00AC4178" w:rsidRDefault="00AC4178" w:rsidP="00AC4178">
      <w:pPr>
        <w:jc w:val="center"/>
        <w:rPr>
          <w:sz w:val="20"/>
        </w:rPr>
      </w:pPr>
      <w:r w:rsidRPr="00AC4178">
        <w:rPr>
          <w:sz w:val="20"/>
        </w:rPr>
        <w:t>E: Egerton 1782 124-5, British Library</w:t>
      </w:r>
    </w:p>
    <w:p w14:paraId="67354E6F" w14:textId="77777777" w:rsidR="00AC4178" w:rsidRPr="00AC4178" w:rsidRDefault="00AC4178" w:rsidP="00AC4178">
      <w:pPr>
        <w:jc w:val="center"/>
        <w:rPr>
          <w:i/>
          <w:sz w:val="20"/>
        </w:rPr>
      </w:pPr>
      <w:r w:rsidRPr="00AC4178">
        <w:rPr>
          <w:sz w:val="20"/>
        </w:rPr>
        <w:t xml:space="preserve">NB: </w:t>
      </w:r>
      <w:r w:rsidRPr="00AC4178">
        <w:rPr>
          <w:i/>
          <w:sz w:val="20"/>
        </w:rPr>
        <w:t>Navigatio Sancti Brendani</w:t>
      </w:r>
    </w:p>
    <w:p w14:paraId="030EE114" w14:textId="77777777" w:rsidR="00AC4178" w:rsidRPr="00AC4178" w:rsidRDefault="00AC4178" w:rsidP="00AC4178">
      <w:pPr>
        <w:jc w:val="center"/>
        <w:rPr>
          <w:sz w:val="20"/>
        </w:rPr>
      </w:pPr>
      <w:r w:rsidRPr="00AC4178">
        <w:rPr>
          <w:sz w:val="20"/>
        </w:rPr>
        <w:t xml:space="preserve">CDS: </w:t>
      </w:r>
      <w:r w:rsidRPr="00AC4178">
        <w:rPr>
          <w:i/>
          <w:sz w:val="20"/>
        </w:rPr>
        <w:t>Cín Dromna Snechta</w:t>
      </w:r>
      <w:r w:rsidRPr="00AC4178">
        <w:rPr>
          <w:sz w:val="20"/>
        </w:rPr>
        <w:t xml:space="preserve"> (no longer extant)</w:t>
      </w:r>
    </w:p>
    <w:p w14:paraId="6CDD6D31" w14:textId="77777777" w:rsidR="00AC4178" w:rsidRPr="00AC4178" w:rsidRDefault="00AC4178" w:rsidP="00AC4178">
      <w:pPr>
        <w:jc w:val="center"/>
        <w:rPr>
          <w:i/>
          <w:sz w:val="20"/>
        </w:rPr>
      </w:pPr>
      <w:r w:rsidRPr="00AC4178">
        <w:rPr>
          <w:sz w:val="20"/>
        </w:rPr>
        <w:t xml:space="preserve">UC: </w:t>
      </w:r>
      <w:r w:rsidRPr="00AC4178">
        <w:rPr>
          <w:i/>
          <w:sz w:val="20"/>
        </w:rPr>
        <w:t>Immram Curaig Ui Corra</w:t>
      </w:r>
    </w:p>
    <w:p w14:paraId="05B2E219" w14:textId="77777777" w:rsidR="00AC4178" w:rsidRPr="00AC4178" w:rsidRDefault="00AC4178" w:rsidP="00AC4178">
      <w:pPr>
        <w:jc w:val="center"/>
        <w:rPr>
          <w:i/>
          <w:sz w:val="20"/>
        </w:rPr>
      </w:pPr>
      <w:r w:rsidRPr="00AC4178">
        <w:rPr>
          <w:sz w:val="20"/>
        </w:rPr>
        <w:t>IB</w:t>
      </w:r>
      <w:r w:rsidRPr="00AC4178">
        <w:rPr>
          <w:i/>
          <w:sz w:val="20"/>
        </w:rPr>
        <w:t>: Imram Brain maic Febail</w:t>
      </w:r>
    </w:p>
    <w:p w14:paraId="3A9895D9" w14:textId="77777777" w:rsidR="00AC4178" w:rsidRPr="00AC4178" w:rsidRDefault="00AC4178" w:rsidP="00AC4178">
      <w:pPr>
        <w:jc w:val="center"/>
        <w:rPr>
          <w:i/>
          <w:sz w:val="20"/>
        </w:rPr>
      </w:pPr>
      <w:r w:rsidRPr="00AC4178">
        <w:rPr>
          <w:sz w:val="20"/>
        </w:rPr>
        <w:t>EC</w:t>
      </w:r>
      <w:r w:rsidRPr="00AC4178">
        <w:rPr>
          <w:i/>
          <w:sz w:val="20"/>
        </w:rPr>
        <w:t>: Echtra Condla</w:t>
      </w:r>
    </w:p>
    <w:p w14:paraId="0AB98B97" w14:textId="77777777" w:rsidR="00AC4178" w:rsidRDefault="00AC4178" w:rsidP="00AC4178">
      <w:pPr>
        <w:jc w:val="center"/>
        <w:rPr>
          <w:i/>
          <w:sz w:val="20"/>
        </w:rPr>
      </w:pPr>
    </w:p>
    <w:p w14:paraId="0B2CC699" w14:textId="77777777" w:rsidR="001B7B2A" w:rsidRPr="00AC4178" w:rsidRDefault="001B7B2A" w:rsidP="00AC4178">
      <w:pPr>
        <w:jc w:val="center"/>
        <w:rPr>
          <w:i/>
          <w:sz w:val="20"/>
        </w:rPr>
      </w:pPr>
    </w:p>
    <w:p w14:paraId="4FCB8B89" w14:textId="77777777" w:rsidR="00AC4178" w:rsidRPr="00AC4178" w:rsidRDefault="00AC4178" w:rsidP="001B7B2A">
      <w:pPr>
        <w:rPr>
          <w:sz w:val="20"/>
          <w:u w:val="single"/>
        </w:rPr>
      </w:pPr>
      <w:r w:rsidRPr="00AC4178">
        <w:rPr>
          <w:sz w:val="20"/>
          <w:u w:val="single"/>
        </w:rPr>
        <w:t>Definitions</w:t>
      </w:r>
    </w:p>
    <w:p w14:paraId="4EB4EA33" w14:textId="77777777" w:rsidR="00AC4178" w:rsidRPr="00AC4178" w:rsidRDefault="00AC4178" w:rsidP="001B7B2A">
      <w:pPr>
        <w:rPr>
          <w:sz w:val="20"/>
          <w:u w:val="single"/>
        </w:rPr>
      </w:pPr>
    </w:p>
    <w:p w14:paraId="0D8981CB" w14:textId="77777777" w:rsidR="00AC4178" w:rsidRPr="00AC4178" w:rsidRDefault="00AC4178" w:rsidP="001B7B2A">
      <w:pPr>
        <w:rPr>
          <w:sz w:val="20"/>
        </w:rPr>
      </w:pPr>
      <w:r w:rsidRPr="00AC4178">
        <w:rPr>
          <w:i/>
          <w:sz w:val="20"/>
        </w:rPr>
        <w:t>Immrama</w:t>
      </w:r>
      <w:r w:rsidRPr="00AC4178">
        <w:rPr>
          <w:sz w:val="20"/>
        </w:rPr>
        <w:t xml:space="preserve"> (sing. </w:t>
      </w:r>
      <w:r w:rsidRPr="00AC4178">
        <w:rPr>
          <w:i/>
          <w:sz w:val="20"/>
        </w:rPr>
        <w:t>immram</w:t>
      </w:r>
      <w:r w:rsidRPr="00AC4178">
        <w:rPr>
          <w:sz w:val="20"/>
        </w:rPr>
        <w:t>):  “rowing about”. Tales of sea voyages into supernatural places.</w:t>
      </w:r>
    </w:p>
    <w:p w14:paraId="6F45055C" w14:textId="77777777" w:rsidR="00AC4178" w:rsidRPr="00AC4178" w:rsidRDefault="00AC4178" w:rsidP="001B7B2A">
      <w:pPr>
        <w:rPr>
          <w:sz w:val="20"/>
        </w:rPr>
      </w:pPr>
    </w:p>
    <w:p w14:paraId="45EB989A" w14:textId="77777777" w:rsidR="00AC4178" w:rsidRPr="00AC4178" w:rsidRDefault="00AC4178" w:rsidP="001B7B2A">
      <w:pPr>
        <w:rPr>
          <w:sz w:val="20"/>
        </w:rPr>
      </w:pPr>
      <w:r w:rsidRPr="00AC4178">
        <w:rPr>
          <w:i/>
          <w:sz w:val="20"/>
        </w:rPr>
        <w:t>Echtrae</w:t>
      </w:r>
      <w:r w:rsidRPr="00AC4178">
        <w:rPr>
          <w:sz w:val="20"/>
        </w:rPr>
        <w:t xml:space="preserve"> (sing. </w:t>
      </w:r>
      <w:r w:rsidRPr="00AC4178">
        <w:rPr>
          <w:i/>
          <w:sz w:val="20"/>
        </w:rPr>
        <w:t>echtra</w:t>
      </w:r>
      <w:r w:rsidRPr="00AC4178">
        <w:rPr>
          <w:sz w:val="20"/>
        </w:rPr>
        <w:t>): Adventures in the Otherworld.</w:t>
      </w:r>
    </w:p>
    <w:p w14:paraId="7A4A2149" w14:textId="77777777" w:rsidR="008E3F50" w:rsidRPr="00AC4178" w:rsidRDefault="008E3F50" w:rsidP="001B7B2A">
      <w:pPr>
        <w:spacing w:before="100" w:beforeAutospacing="1" w:after="100" w:afterAutospacing="1" w:line="240" w:lineRule="auto"/>
        <w:rPr>
          <w:rFonts w:eastAsia="Times New Roman" w:cs="Times New Roman"/>
          <w:sz w:val="20"/>
          <w:szCs w:val="24"/>
          <w:lang w:eastAsia="en-GB"/>
        </w:rPr>
      </w:pPr>
    </w:p>
    <w:p w14:paraId="08EBE974" w14:textId="77777777" w:rsidR="00AC7B1D" w:rsidRDefault="00AC7B1D" w:rsidP="00D728E2">
      <w:pPr>
        <w:spacing w:before="100" w:beforeAutospacing="1" w:after="100" w:afterAutospacing="1" w:line="240" w:lineRule="auto"/>
        <w:jc w:val="center"/>
        <w:rPr>
          <w:rFonts w:eastAsia="Times New Roman" w:cs="Times New Roman"/>
          <w:i/>
          <w:sz w:val="28"/>
          <w:szCs w:val="24"/>
          <w:u w:val="single"/>
          <w:lang w:eastAsia="en-GB"/>
        </w:rPr>
      </w:pPr>
    </w:p>
    <w:p w14:paraId="5D67CB66" w14:textId="77777777" w:rsidR="00D728E2" w:rsidRPr="00D728E2" w:rsidRDefault="008C3442" w:rsidP="00D728E2">
      <w:pPr>
        <w:pStyle w:val="ListParagraph"/>
        <w:numPr>
          <w:ilvl w:val="0"/>
          <w:numId w:val="1"/>
        </w:numPr>
        <w:jc w:val="center"/>
        <w:rPr>
          <w:b/>
          <w:sz w:val="28"/>
        </w:rPr>
      </w:pPr>
      <w:r>
        <w:rPr>
          <w:b/>
          <w:sz w:val="28"/>
        </w:rPr>
        <w:t xml:space="preserve">A Rich and Varied Yarn </w:t>
      </w:r>
    </w:p>
    <w:p w14:paraId="71F2F419" w14:textId="77777777" w:rsidR="006901E0" w:rsidRPr="00D60DC2" w:rsidRDefault="006901E0" w:rsidP="00B76A46">
      <w:pPr>
        <w:spacing w:line="360" w:lineRule="auto"/>
      </w:pPr>
      <w:r w:rsidRPr="00D60DC2">
        <w:rPr>
          <w:i/>
        </w:rPr>
        <w:t>Máele Dúin</w:t>
      </w:r>
      <w:r w:rsidRPr="00D60DC2">
        <w:t xml:space="preserve"> is a</w:t>
      </w:r>
      <w:r w:rsidR="00D60DC2" w:rsidRPr="00D60DC2">
        <w:t xml:space="preserve"> Christian</w:t>
      </w:r>
      <w:r w:rsidR="00E613F8" w:rsidRPr="00E613F8">
        <w:t xml:space="preserve"> </w:t>
      </w:r>
      <w:r w:rsidR="00E613F8" w:rsidRPr="00D60DC2">
        <w:t xml:space="preserve">allegorical tale of a sea voyage which, in parts, closely mirrors the medieval best seller </w:t>
      </w:r>
      <w:r w:rsidR="00E613F8" w:rsidRPr="00D60DC2">
        <w:rPr>
          <w:i/>
        </w:rPr>
        <w:t>Navigatio Sancti Brendani</w:t>
      </w:r>
      <w:commentRangeStart w:id="7"/>
      <w:r w:rsidR="00E613F8" w:rsidRPr="00D60DC2">
        <w:t>.</w:t>
      </w:r>
      <w:r w:rsidR="00D60DC2" w:rsidRPr="00D60DC2">
        <w:rPr>
          <w:rStyle w:val="FootnoteReference"/>
        </w:rPr>
        <w:footnoteReference w:id="1"/>
      </w:r>
      <w:commentRangeEnd w:id="7"/>
      <w:r w:rsidR="002D0211">
        <w:rPr>
          <w:rStyle w:val="CommentReference"/>
        </w:rPr>
        <w:commentReference w:id="7"/>
      </w:r>
      <w:r w:rsidRPr="00D60DC2">
        <w:t xml:space="preserve"> In both texts the protagonist and his men visit </w:t>
      </w:r>
      <w:r w:rsidR="007E5B20" w:rsidRPr="00D60DC2">
        <w:t>a succession of islands</w:t>
      </w:r>
      <w:r w:rsidR="007E5B20" w:rsidRPr="00D60DC2">
        <w:rPr>
          <w:rStyle w:val="FootnoteReference"/>
        </w:rPr>
        <w:footnoteReference w:id="2"/>
      </w:r>
      <w:r w:rsidRPr="00D60DC2">
        <w:t>, having taken on three too many companions, who are lost one by one. The comrades have encounters with fantastical elements</w:t>
      </w:r>
      <w:r w:rsidR="00E613F8" w:rsidRPr="00E613F8">
        <w:t xml:space="preserve"> </w:t>
      </w:r>
      <w:r w:rsidR="00E613F8" w:rsidRPr="00D60DC2">
        <w:t>in each episode.</w:t>
      </w:r>
      <w:r w:rsidR="00EE1DE0">
        <w:rPr>
          <w:rStyle w:val="FootnoteReference"/>
        </w:rPr>
        <w:footnoteReference w:id="3"/>
      </w:r>
      <w:r w:rsidRPr="00D60DC2">
        <w:t xml:space="preserve"> </w:t>
      </w:r>
    </w:p>
    <w:p w14:paraId="108B6071" w14:textId="77777777" w:rsidR="006901E0" w:rsidRPr="00D60DC2" w:rsidRDefault="00EE1DE0" w:rsidP="00B76A46">
      <w:pPr>
        <w:spacing w:line="360" w:lineRule="auto"/>
      </w:pPr>
      <w:r>
        <w:t xml:space="preserve">In the frame tale, </w:t>
      </w:r>
      <w:r w:rsidR="006901E0" w:rsidRPr="00D60DC2">
        <w:t>Máele Dúin, progeny of a nun raped by a raider, fostered to a queen, is incited to revenge the death of his father</w:t>
      </w:r>
      <w:ins w:id="15" w:author="Alaw Mai" w:date="2018-04-19T21:08:00Z">
        <w:r w:rsidR="00066348">
          <w:t>,</w:t>
        </w:r>
      </w:ins>
      <w:r w:rsidR="006901E0" w:rsidRPr="00D60DC2">
        <w:t xml:space="preserve"> but </w:t>
      </w:r>
      <w:ins w:id="16" w:author="Alaw Mai" w:date="2018-04-19T21:09:00Z">
        <w:r w:rsidR="00066348">
          <w:t xml:space="preserve">eventually </w:t>
        </w:r>
      </w:ins>
      <w:del w:id="17" w:author="Alaw Mai" w:date="2018-04-19T21:08:00Z">
        <w:r w:rsidR="006901E0" w:rsidRPr="00D60DC2" w:rsidDel="00066348">
          <w:delText xml:space="preserve">after </w:delText>
        </w:r>
      </w:del>
      <w:r w:rsidR="006901E0" w:rsidRPr="00D60DC2">
        <w:t xml:space="preserve">his voyage chooses forgiveness, which suggests the purpose of the tale as a transformational </w:t>
      </w:r>
      <w:commentRangeStart w:id="18"/>
      <w:r w:rsidR="006901E0" w:rsidRPr="00D60DC2">
        <w:t>journey</w:t>
      </w:r>
      <w:commentRangeEnd w:id="18"/>
      <w:r w:rsidR="00066348">
        <w:rPr>
          <w:rStyle w:val="CommentReference"/>
        </w:rPr>
        <w:commentReference w:id="18"/>
      </w:r>
      <w:r w:rsidR="006901E0" w:rsidRPr="00D60DC2">
        <w:t xml:space="preserve">.  </w:t>
      </w:r>
      <w:r w:rsidR="007E5B20" w:rsidRPr="00D60DC2">
        <w:t>Much speculation abounds as to the original date of its composition</w:t>
      </w:r>
      <w:r w:rsidR="007E5B20" w:rsidRPr="00D60DC2">
        <w:rPr>
          <w:rStyle w:val="FootnoteReference"/>
        </w:rPr>
        <w:footnoteReference w:id="4"/>
      </w:r>
      <w:r w:rsidR="007E5B20" w:rsidRPr="00D60DC2">
        <w:t>.</w:t>
      </w:r>
      <w:r w:rsidR="0021572F">
        <w:t xml:space="preserve"> Whilst m</w:t>
      </w:r>
      <w:r w:rsidR="006901E0" w:rsidRPr="00D60DC2">
        <w:t xml:space="preserve">any scholars agree that the </w:t>
      </w:r>
      <w:r w:rsidR="006901E0" w:rsidRPr="00D60DC2">
        <w:rPr>
          <w:i/>
        </w:rPr>
        <w:t>Navigatio</w:t>
      </w:r>
      <w:r w:rsidR="006901E0" w:rsidRPr="00D60DC2">
        <w:t xml:space="preserve"> was the </w:t>
      </w:r>
      <w:r w:rsidR="007E5B20" w:rsidRPr="00D60DC2">
        <w:t xml:space="preserve">religious precursor for </w:t>
      </w:r>
      <w:r w:rsidR="007E5B20" w:rsidRPr="00D60DC2">
        <w:lastRenderedPageBreak/>
        <w:t xml:space="preserve">the secular </w:t>
      </w:r>
      <w:r w:rsidR="007E5B20" w:rsidRPr="00D60DC2">
        <w:rPr>
          <w:i/>
        </w:rPr>
        <w:t>Máele Dúin</w:t>
      </w:r>
      <w:r w:rsidR="007E5B20" w:rsidRPr="00D60DC2">
        <w:rPr>
          <w:rStyle w:val="FootnoteReference"/>
        </w:rPr>
        <w:footnoteReference w:id="5"/>
      </w:r>
      <w:r w:rsidR="0021572F">
        <w:t xml:space="preserve">, </w:t>
      </w:r>
      <w:r w:rsidR="007E5B20" w:rsidRPr="00D60DC2">
        <w:t>others</w:t>
      </w:r>
      <w:r w:rsidR="004707F0">
        <w:t xml:space="preserve">, myself </w:t>
      </w:r>
      <w:commentRangeStart w:id="19"/>
      <w:r w:rsidR="004707F0">
        <w:t>included</w:t>
      </w:r>
      <w:commentRangeEnd w:id="19"/>
      <w:r w:rsidR="002D0211">
        <w:rPr>
          <w:rStyle w:val="CommentReference"/>
        </w:rPr>
        <w:commentReference w:id="19"/>
      </w:r>
      <w:r w:rsidR="004707F0">
        <w:t>,</w:t>
      </w:r>
      <w:r w:rsidR="00D760E8" w:rsidRPr="00D760E8">
        <w:t xml:space="preserve"> </w:t>
      </w:r>
      <w:r w:rsidR="00D760E8" w:rsidRPr="00D60DC2">
        <w:t>believe there are elements in MD</w:t>
      </w:r>
      <w:r w:rsidR="00D760E8" w:rsidRPr="00D60DC2">
        <w:rPr>
          <w:i/>
        </w:rPr>
        <w:t xml:space="preserve"> </w:t>
      </w:r>
      <w:r w:rsidR="00D760E8" w:rsidRPr="00D60DC2">
        <w:t>that would have been in existence long before NB was composed.</w:t>
      </w:r>
      <w:r w:rsidR="007E5B20" w:rsidRPr="00D60DC2">
        <w:rPr>
          <w:rStyle w:val="FootnoteReference"/>
        </w:rPr>
        <w:footnoteReference w:id="6"/>
      </w:r>
      <w:r w:rsidR="006901E0" w:rsidRPr="00D60DC2">
        <w:t xml:space="preserve"> </w:t>
      </w:r>
    </w:p>
    <w:p w14:paraId="4DFF7E2E" w14:textId="77777777" w:rsidR="006901E0" w:rsidRPr="006901E0" w:rsidRDefault="006901E0" w:rsidP="00A43FA5">
      <w:pPr>
        <w:spacing w:line="360" w:lineRule="auto"/>
        <w:rPr>
          <w:b/>
          <w:color w:val="FF0000"/>
        </w:rPr>
      </w:pPr>
      <w:r w:rsidRPr="00D60DC2">
        <w:t>The 8-10</w:t>
      </w:r>
      <w:r w:rsidRPr="00D60DC2">
        <w:rPr>
          <w:vertAlign w:val="superscript"/>
        </w:rPr>
        <w:t>th</w:t>
      </w:r>
      <w:r w:rsidRPr="00D60DC2">
        <w:t xml:space="preserve"> century </w:t>
      </w:r>
      <w:r w:rsidRPr="00D60DC2">
        <w:rPr>
          <w:i/>
        </w:rPr>
        <w:t>immrama,</w:t>
      </w:r>
      <w:r w:rsidRPr="00D60DC2">
        <w:t xml:space="preserve"> to which MD belongs</w:t>
      </w:r>
      <w:r w:rsidR="00FD0B82">
        <w:rPr>
          <w:rStyle w:val="FootnoteReference"/>
        </w:rPr>
        <w:footnoteReference w:id="7"/>
      </w:r>
      <w:r w:rsidRPr="00D60DC2">
        <w:t xml:space="preserve">, are Christian products of a time of great change, including monastic pilgrimage, ocean exploration, and Viking raids; a time when knowledge of diverse traditions, from </w:t>
      </w:r>
      <w:r w:rsidR="007F0283">
        <w:t xml:space="preserve">those in </w:t>
      </w:r>
      <w:r w:rsidRPr="00D60DC2">
        <w:t>written Latin, G</w:t>
      </w:r>
      <w:r w:rsidR="00447121">
        <w:t>reek and Anglo Saxon, to</w:t>
      </w:r>
      <w:r w:rsidRPr="003A182C">
        <w:t xml:space="preserve"> </w:t>
      </w:r>
      <w:r w:rsidR="007F0283">
        <w:t xml:space="preserve">perhaps Norse and native </w:t>
      </w:r>
      <w:r w:rsidRPr="003A182C">
        <w:t>oral teachings</w:t>
      </w:r>
      <w:r w:rsidRPr="006901E0">
        <w:rPr>
          <w:b/>
        </w:rPr>
        <w:t xml:space="preserve"> </w:t>
      </w:r>
      <w:r w:rsidRPr="003A182C">
        <w:t>was available</w:t>
      </w:r>
      <w:r w:rsidR="00447121">
        <w:rPr>
          <w:rStyle w:val="FootnoteReference"/>
        </w:rPr>
        <w:footnoteReference w:id="8"/>
      </w:r>
      <w:r w:rsidRPr="003A182C">
        <w:t>.</w:t>
      </w:r>
      <w:r w:rsidRPr="006901E0">
        <w:rPr>
          <w:b/>
        </w:rPr>
        <w:t xml:space="preserve"> </w:t>
      </w:r>
      <w:r w:rsidR="00D45568">
        <w:t>C</w:t>
      </w:r>
      <w:r w:rsidRPr="00FE2024">
        <w:t>lerics</w:t>
      </w:r>
      <w:r w:rsidR="00BE5399">
        <w:t xml:space="preserve">, recording </w:t>
      </w:r>
      <w:r w:rsidR="00D45568">
        <w:t>I</w:t>
      </w:r>
      <w:r w:rsidR="00BE5399">
        <w:t>rish literature in</w:t>
      </w:r>
      <w:r w:rsidR="00FE2024" w:rsidRPr="00FE2024">
        <w:t xml:space="preserve"> Latin</w:t>
      </w:r>
      <w:r w:rsidR="001A1687">
        <w:t xml:space="preserve"> from the </w:t>
      </w:r>
      <w:r w:rsidR="00BE5399">
        <w:t xml:space="preserve">seventh </w:t>
      </w:r>
      <w:r w:rsidR="00BE5399">
        <w:lastRenderedPageBreak/>
        <w:t>century</w:t>
      </w:r>
      <w:r w:rsidR="00A2543E" w:rsidRPr="00A2543E">
        <w:t xml:space="preserve"> </w:t>
      </w:r>
      <w:r w:rsidR="00A2543E">
        <w:t xml:space="preserve">could have been </w:t>
      </w:r>
      <w:r w:rsidR="00A2543E" w:rsidRPr="00FE2024">
        <w:t>copying</w:t>
      </w:r>
      <w:r w:rsidR="00A2543E">
        <w:t xml:space="preserve"> from fifth century ogam</w:t>
      </w:r>
      <w:r w:rsidR="00A2543E" w:rsidRPr="00EC1A13">
        <w:t xml:space="preserve"> </w:t>
      </w:r>
      <w:r w:rsidR="00A2543E">
        <w:t>as well as taking down stories from the oral tradition.</w:t>
      </w:r>
      <w:r w:rsidR="00BE5399">
        <w:rPr>
          <w:rStyle w:val="FootnoteReference"/>
        </w:rPr>
        <w:footnoteReference w:id="9"/>
      </w:r>
    </w:p>
    <w:p w14:paraId="5D988E37" w14:textId="77777777" w:rsidR="006901E0" w:rsidRPr="00D60DC2" w:rsidRDefault="006901E0" w:rsidP="00A43FA5">
      <w:pPr>
        <w:spacing w:line="360" w:lineRule="auto"/>
      </w:pPr>
      <w:r w:rsidRPr="00D60DC2">
        <w:t xml:space="preserve">MD exists in two fragments in LH, from before 1106, </w:t>
      </w:r>
      <w:r w:rsidR="007E5B20" w:rsidRPr="00D60DC2">
        <w:t>used by Stokes</w:t>
      </w:r>
      <w:commentRangeStart w:id="22"/>
      <w:r w:rsidR="007E5B20" w:rsidRPr="00D60DC2">
        <w:rPr>
          <w:rStyle w:val="FootnoteReference"/>
        </w:rPr>
        <w:footnoteReference w:id="10"/>
      </w:r>
      <w:commentRangeEnd w:id="22"/>
      <w:r w:rsidR="002D0211">
        <w:rPr>
          <w:rStyle w:val="CommentReference"/>
        </w:rPr>
        <w:commentReference w:id="22"/>
      </w:r>
      <w:r w:rsidR="007E5B20" w:rsidRPr="00D60DC2">
        <w:t xml:space="preserve"> </w:t>
      </w:r>
      <w:r w:rsidRPr="00D60DC2">
        <w:t>in his 1898 translation, together with an almost complete</w:t>
      </w:r>
      <w:r w:rsidR="00573DC9">
        <w:t xml:space="preserve"> </w:t>
      </w:r>
      <w:r w:rsidR="00573DC9" w:rsidRPr="00D60DC2">
        <w:t>version in the fourteenth c</w:t>
      </w:r>
      <w:r w:rsidR="00573DC9">
        <w:t>entury YL, in prose and verse</w:t>
      </w:r>
      <w:r w:rsidR="00573DC9" w:rsidRPr="00D60DC2">
        <w:t>, and H, a sixteenth century copy of an original, common to YL.</w:t>
      </w:r>
      <w:r w:rsidR="007E5B20" w:rsidRPr="00D60DC2">
        <w:rPr>
          <w:rStyle w:val="FootnoteReference"/>
        </w:rPr>
        <w:footnoteReference w:id="11"/>
      </w:r>
      <w:r w:rsidRPr="00D60DC2">
        <w:t xml:space="preserve"> </w:t>
      </w:r>
    </w:p>
    <w:p w14:paraId="4094B636" w14:textId="77777777" w:rsidR="006901E0" w:rsidRDefault="006901E0" w:rsidP="00A43FA5">
      <w:pPr>
        <w:spacing w:line="360" w:lineRule="auto"/>
      </w:pPr>
      <w:r w:rsidRPr="001578A1">
        <w:t>One of a small group of secular</w:t>
      </w:r>
      <w:r w:rsidRPr="001578A1">
        <w:rPr>
          <w:i/>
        </w:rPr>
        <w:t xml:space="preserve"> immrama </w:t>
      </w:r>
      <w:r w:rsidR="009A0665">
        <w:t>that begin</w:t>
      </w:r>
      <w:r w:rsidRPr="001578A1">
        <w:t xml:space="preserve"> with a </w:t>
      </w:r>
      <w:r w:rsidR="001578A1" w:rsidRPr="001578A1">
        <w:t>crime,</w:t>
      </w:r>
      <w:r w:rsidR="001578A1" w:rsidRPr="001578A1">
        <w:rPr>
          <w:rStyle w:val="FootnoteReference"/>
        </w:rPr>
        <w:footnoteReference w:id="12"/>
      </w:r>
      <w:r w:rsidRPr="001578A1">
        <w:t xml:space="preserve"> MD is unique in that </w:t>
      </w:r>
      <w:r w:rsidR="007E5B20" w:rsidRPr="001578A1">
        <w:t>it</w:t>
      </w:r>
      <w:r w:rsidRPr="001578A1">
        <w:t xml:space="preserve"> was written down as prose </w:t>
      </w:r>
      <w:r w:rsidRPr="001578A1">
        <w:rPr>
          <w:i/>
        </w:rPr>
        <w:t>before</w:t>
      </w:r>
      <w:r w:rsidRPr="001578A1">
        <w:t xml:space="preserve"> a poetic version appeared</w:t>
      </w:r>
      <w:ins w:id="24" w:author="Alaw Mai" w:date="2018-04-19T21:24:00Z">
        <w:r w:rsidR="002D0211">
          <w:t>.</w:t>
        </w:r>
      </w:ins>
      <w:commentRangeStart w:id="25"/>
      <w:r w:rsidR="00776BFD">
        <w:rPr>
          <w:rStyle w:val="FootnoteReference"/>
        </w:rPr>
        <w:footnoteReference w:id="13"/>
      </w:r>
      <w:commentRangeEnd w:id="25"/>
      <w:r w:rsidR="002D0211">
        <w:rPr>
          <w:rStyle w:val="CommentReference"/>
        </w:rPr>
        <w:commentReference w:id="25"/>
      </w:r>
      <w:r w:rsidRPr="001578A1">
        <w:t xml:space="preserve">.  It reads like a selection of </w:t>
      </w:r>
      <w:ins w:id="26" w:author="Alaw Mai" w:date="2018-04-19T21:21:00Z">
        <w:r w:rsidR="002D0211">
          <w:t xml:space="preserve">a </w:t>
        </w:r>
      </w:ins>
      <w:r w:rsidRPr="001578A1">
        <w:t>storyteller’s notes with some portions considerably longer and more complete than others</w:t>
      </w:r>
      <w:r w:rsidR="001578A1">
        <w:t>.</w:t>
      </w:r>
      <w:r w:rsidR="001578A1" w:rsidRPr="001578A1">
        <w:t xml:space="preserve"> </w:t>
      </w:r>
      <w:r w:rsidR="001578A1" w:rsidRPr="001578A1">
        <w:rPr>
          <w:rStyle w:val="FootnoteReference"/>
        </w:rPr>
        <w:footnoteReference w:id="14"/>
      </w:r>
      <w:r w:rsidRPr="001578A1">
        <w:t xml:space="preserve"> Johnston, however, believes it was always a written tale, not written from </w:t>
      </w:r>
      <w:r w:rsidR="001578A1" w:rsidRPr="001578A1">
        <w:t>oral tradition</w:t>
      </w:r>
      <w:r w:rsidR="001578A1" w:rsidRPr="001578A1">
        <w:rPr>
          <w:rStyle w:val="FootnoteReference"/>
        </w:rPr>
        <w:footnoteReference w:id="15"/>
      </w:r>
      <w:r w:rsidRPr="001578A1">
        <w:t>. It is, according to van Hamel</w:t>
      </w:r>
      <w:r w:rsidR="00A2543E">
        <w:t xml:space="preserve"> </w:t>
      </w:r>
      <w:r w:rsidR="00A2543E" w:rsidRPr="001578A1">
        <w:t>“perhaps the only early Irish prose-tale of which an author</w:t>
      </w:r>
      <w:r w:rsidR="00A2543E">
        <w:t xml:space="preserve"> [Aed Finn] </w:t>
      </w:r>
      <w:r w:rsidR="00A2543E" w:rsidRPr="001578A1">
        <w:t>is named.”</w:t>
      </w:r>
      <w:r w:rsidR="00EE1DE0">
        <w:rPr>
          <w:rStyle w:val="FootnoteReference"/>
        </w:rPr>
        <w:footnoteReference w:id="16"/>
      </w:r>
    </w:p>
    <w:p w14:paraId="241F147A" w14:textId="77777777" w:rsidR="00AC7B1D" w:rsidRDefault="00AC7B1D" w:rsidP="00AC7B1D">
      <w:pPr>
        <w:pStyle w:val="ListParagraph"/>
        <w:spacing w:line="360" w:lineRule="auto"/>
        <w:rPr>
          <w:b/>
          <w:sz w:val="28"/>
        </w:rPr>
      </w:pPr>
    </w:p>
    <w:p w14:paraId="57616483" w14:textId="77777777" w:rsidR="00D728E2" w:rsidRPr="000566B7" w:rsidRDefault="008C3442" w:rsidP="00A43FA5">
      <w:pPr>
        <w:pStyle w:val="ListParagraph"/>
        <w:numPr>
          <w:ilvl w:val="0"/>
          <w:numId w:val="1"/>
        </w:numPr>
        <w:spacing w:line="360" w:lineRule="auto"/>
        <w:jc w:val="center"/>
        <w:rPr>
          <w:b/>
          <w:sz w:val="28"/>
        </w:rPr>
      </w:pPr>
      <w:r>
        <w:rPr>
          <w:b/>
          <w:sz w:val="28"/>
        </w:rPr>
        <w:lastRenderedPageBreak/>
        <w:t xml:space="preserve">Choosing the </w:t>
      </w:r>
      <w:commentRangeStart w:id="29"/>
      <w:r>
        <w:rPr>
          <w:b/>
          <w:sz w:val="28"/>
        </w:rPr>
        <w:t>Weave</w:t>
      </w:r>
      <w:commentRangeEnd w:id="29"/>
      <w:r w:rsidR="002D0211">
        <w:rPr>
          <w:rStyle w:val="CommentReference"/>
        </w:rPr>
        <w:commentReference w:id="29"/>
      </w:r>
      <w:r>
        <w:rPr>
          <w:b/>
          <w:sz w:val="28"/>
        </w:rPr>
        <w:t xml:space="preserve">: </w:t>
      </w:r>
      <w:r w:rsidR="000566B7">
        <w:rPr>
          <w:b/>
          <w:sz w:val="28"/>
        </w:rPr>
        <w:t xml:space="preserve">Echoes </w:t>
      </w:r>
      <w:r w:rsidR="00C2732F">
        <w:rPr>
          <w:b/>
          <w:sz w:val="28"/>
        </w:rPr>
        <w:t xml:space="preserve">of the Otherworld </w:t>
      </w:r>
    </w:p>
    <w:p w14:paraId="4E59C769" w14:textId="77777777" w:rsidR="00851A0C" w:rsidRDefault="00851A0C" w:rsidP="00A43FA5">
      <w:pPr>
        <w:spacing w:line="360" w:lineRule="auto"/>
        <w:rPr>
          <w:color w:val="00B050"/>
        </w:rPr>
      </w:pPr>
      <w:r w:rsidRPr="00851A0C">
        <w:t>Motifs in MD can be grouped into thos</w:t>
      </w:r>
      <w:r w:rsidR="00C2732F">
        <w:t xml:space="preserve">e which find a parallel in NB, </w:t>
      </w:r>
      <w:r w:rsidRPr="00851A0C">
        <w:t xml:space="preserve">such as the </w:t>
      </w:r>
      <w:r w:rsidR="00C2732F">
        <w:t>island of black and white sheep</w:t>
      </w:r>
      <w:r w:rsidRPr="00851A0C">
        <w:t>, those which echo the tale of</w:t>
      </w:r>
      <w:r w:rsidRPr="00851A0C">
        <w:rPr>
          <w:i/>
        </w:rPr>
        <w:t xml:space="preserve"> </w:t>
      </w:r>
      <w:r w:rsidRPr="00851A0C">
        <w:t>the earlier</w:t>
      </w:r>
      <w:r w:rsidR="00567F4D">
        <w:t xml:space="preserve"> IB</w:t>
      </w:r>
      <w:ins w:id="30" w:author="Alaw Mai" w:date="2018-04-19T21:24:00Z">
        <w:r w:rsidR="002D0211">
          <w:t>,</w:t>
        </w:r>
      </w:ins>
      <w:r w:rsidR="00DB54D0">
        <w:rPr>
          <w:rStyle w:val="FootnoteReference"/>
        </w:rPr>
        <w:footnoteReference w:id="17"/>
      </w:r>
      <w:r w:rsidR="00DB54D0">
        <w:t xml:space="preserve"> </w:t>
      </w:r>
      <w:del w:id="31" w:author="Alaw Mai" w:date="2018-04-19T21:24:00Z">
        <w:r w:rsidR="00C2732F" w:rsidDel="002D0211">
          <w:delText>,</w:delText>
        </w:r>
      </w:del>
      <w:ins w:id="32" w:author="Alaw Mai" w:date="2018-04-19T21:24:00Z">
        <w:r w:rsidR="002D0211">
          <w:t>(</w:t>
        </w:r>
      </w:ins>
      <w:del w:id="33" w:author="Alaw Mai" w:date="2018-04-19T21:24:00Z">
        <w:r w:rsidR="00C2732F" w:rsidDel="002D0211">
          <w:delText xml:space="preserve"> </w:delText>
        </w:r>
      </w:del>
      <w:r w:rsidRPr="00851A0C">
        <w:t>with its long passage concerning a sojourn in the land of women</w:t>
      </w:r>
      <w:ins w:id="34" w:author="Alaw Mai" w:date="2018-04-19T21:24:00Z">
        <w:r w:rsidR="002D0211">
          <w:t>)</w:t>
        </w:r>
      </w:ins>
      <w:r w:rsidR="00303F73">
        <w:rPr>
          <w:rStyle w:val="FootnoteReference"/>
        </w:rPr>
        <w:footnoteReference w:id="18"/>
      </w:r>
      <w:del w:id="35" w:author="Alaw Mai" w:date="2018-04-19T21:24:00Z">
        <w:r w:rsidRPr="00851A0C" w:rsidDel="002D0211">
          <w:delText>,</w:delText>
        </w:r>
      </w:del>
      <w:r w:rsidRPr="00851A0C">
        <w:t xml:space="preserve"> and those that have the early tale of Cormac</w:t>
      </w:r>
      <w:r w:rsidR="00B804E9" w:rsidRPr="00B804E9">
        <w:t xml:space="preserve"> </w:t>
      </w:r>
      <w:r w:rsidR="00B804E9" w:rsidRPr="00851A0C">
        <w:t>as the source</w:t>
      </w:r>
      <w:ins w:id="36" w:author="Alaw Mai" w:date="2018-04-19T21:26:00Z">
        <w:r w:rsidR="00705CA5">
          <w:t xml:space="preserve"> (</w:t>
        </w:r>
      </w:ins>
      <w:del w:id="37" w:author="Alaw Mai" w:date="2018-04-19T21:26:00Z">
        <w:r w:rsidR="00B804E9" w:rsidRPr="00851A0C" w:rsidDel="00705CA5">
          <w:delText xml:space="preserve">, </w:delText>
        </w:r>
      </w:del>
      <w:r w:rsidR="00B804E9" w:rsidRPr="00851A0C">
        <w:t>for example, the 3 latecomers</w:t>
      </w:r>
      <w:ins w:id="38" w:author="Alaw Mai" w:date="2018-04-19T21:26:00Z">
        <w:r w:rsidR="00705CA5">
          <w:t>)</w:t>
        </w:r>
      </w:ins>
      <w:r w:rsidR="00B804E9" w:rsidRPr="00851A0C">
        <w:t>.</w:t>
      </w:r>
      <w:r w:rsidR="00B804E9" w:rsidRPr="00851A0C">
        <w:rPr>
          <w:rStyle w:val="FootnoteReference"/>
        </w:rPr>
        <w:footnoteReference w:id="19"/>
      </w:r>
      <w:r w:rsidRPr="00851A0C">
        <w:t xml:space="preserve"> There are</w:t>
      </w:r>
      <w:ins w:id="41" w:author="Alaw Mai" w:date="2018-04-19T21:27:00Z">
        <w:r w:rsidR="00705CA5">
          <w:t xml:space="preserve"> also passages </w:t>
        </w:r>
      </w:ins>
      <w:del w:id="42" w:author="Alaw Mai" w:date="2018-04-19T21:27:00Z">
        <w:r w:rsidRPr="00851A0C" w:rsidDel="00705CA5">
          <w:delText xml:space="preserve">, too, passages </w:delText>
        </w:r>
      </w:del>
      <w:r w:rsidRPr="00851A0C">
        <w:t xml:space="preserve">unique to MD, such as the sinless maiden who feeds him and his men but refuses to sleep with </w:t>
      </w:r>
      <w:r>
        <w:t>him.</w:t>
      </w:r>
      <w:r>
        <w:rPr>
          <w:rStyle w:val="FootnoteReference"/>
        </w:rPr>
        <w:footnoteReference w:id="20"/>
      </w:r>
    </w:p>
    <w:p w14:paraId="6543EE78" w14:textId="77777777" w:rsidR="00851A0C" w:rsidRDefault="00851A0C" w:rsidP="00A43FA5">
      <w:pPr>
        <w:spacing w:line="360" w:lineRule="auto"/>
      </w:pPr>
      <w:r>
        <w:t>Aldhouse-Green</w:t>
      </w:r>
      <w:r>
        <w:rPr>
          <w:rStyle w:val="FootnoteReference"/>
        </w:rPr>
        <w:footnoteReference w:id="21"/>
      </w:r>
      <w:r>
        <w:t xml:space="preserve">  has outlined the challenges of identifying the providence of motifs in medieval </w:t>
      </w:r>
      <w:commentRangeStart w:id="44"/>
      <w:r>
        <w:t>texts</w:t>
      </w:r>
      <w:commentRangeEnd w:id="44"/>
      <w:r w:rsidR="00705CA5">
        <w:rPr>
          <w:rStyle w:val="CommentReference"/>
        </w:rPr>
        <w:commentReference w:id="44"/>
      </w:r>
      <w:r>
        <w:t>. Mac Cana</w:t>
      </w:r>
      <w:r w:rsidR="00BE75C6" w:rsidRPr="00BE75C6">
        <w:t xml:space="preserve"> </w:t>
      </w:r>
      <w:r w:rsidR="00BE75C6">
        <w:t>and Yocum</w:t>
      </w:r>
      <w:r w:rsidR="00BE75C6">
        <w:rPr>
          <w:rStyle w:val="FootnoteReference"/>
        </w:rPr>
        <w:t xml:space="preserve"> </w:t>
      </w:r>
      <w:r w:rsidR="00BE75C6">
        <w:t>give us clear criteria for identifying Irish elements within the voyager tales.</w:t>
      </w:r>
      <w:r>
        <w:rPr>
          <w:rStyle w:val="FootnoteReference"/>
        </w:rPr>
        <w:footnoteReference w:id="22"/>
      </w:r>
      <w:r>
        <w:t xml:space="preserve"> </w:t>
      </w:r>
    </w:p>
    <w:p w14:paraId="7A205DF0" w14:textId="77777777" w:rsidR="00851A0C" w:rsidRDefault="00851A0C" w:rsidP="00A43FA5">
      <w:pPr>
        <w:spacing w:line="360" w:lineRule="auto"/>
      </w:pPr>
      <w:r>
        <w:t>At the risk of being accused of ‘mining’ the tales</w:t>
      </w:r>
      <w:r w:rsidR="00186015">
        <w:t>,</w:t>
      </w:r>
      <w:r w:rsidR="00186015" w:rsidRPr="00186015">
        <w:t xml:space="preserve"> </w:t>
      </w:r>
      <w:r w:rsidR="00186015">
        <w:t>as an oral storyteller I prefer the metaphor of picking out threads of our ancestors’ relationship to nature.</w:t>
      </w:r>
      <w:r>
        <w:rPr>
          <w:rStyle w:val="FootnoteReference"/>
        </w:rPr>
        <w:footnoteReference w:id="23"/>
      </w:r>
      <w:r w:rsidR="00186015">
        <w:t xml:space="preserve"> </w:t>
      </w:r>
      <w:commentRangeStart w:id="46"/>
      <w:r w:rsidR="00B1587D">
        <w:t>Themes</w:t>
      </w:r>
      <w:commentRangeEnd w:id="46"/>
      <w:r w:rsidR="00705CA5">
        <w:rPr>
          <w:rStyle w:val="CommentReference"/>
        </w:rPr>
        <w:commentReference w:id="46"/>
      </w:r>
      <w:r w:rsidR="00B1587D">
        <w:t xml:space="preserve"> within MD and NB</w:t>
      </w:r>
      <w:r w:rsidR="00776BFD">
        <w:t>,</w:t>
      </w:r>
      <w:r w:rsidR="00B1587D">
        <w:t xml:space="preserve"> deal with </w:t>
      </w:r>
      <w:r>
        <w:t>dea</w:t>
      </w:r>
      <w:r w:rsidR="00776BFD">
        <w:t>th, transformation,</w:t>
      </w:r>
      <w:r>
        <w:t xml:space="preserve"> and rebirth; motifs of the triple goddes</w:t>
      </w:r>
      <w:r w:rsidRPr="00DB6D89">
        <w:t>s</w:t>
      </w:r>
      <w:ins w:id="47" w:author="Alaw Mai" w:date="2018-04-19T21:29:00Z">
        <w:r w:rsidR="00705CA5">
          <w:t>.</w:t>
        </w:r>
      </w:ins>
      <w:r w:rsidRPr="00DB6D89">
        <w:rPr>
          <w:rStyle w:val="FootnoteReference"/>
        </w:rPr>
        <w:footnoteReference w:id="24"/>
      </w:r>
      <w:r w:rsidRPr="00DB6D89">
        <w:t>.</w:t>
      </w:r>
      <w:r w:rsidRPr="00851A0C">
        <w:rPr>
          <w:color w:val="FF0000"/>
        </w:rPr>
        <w:t xml:space="preserve"> </w:t>
      </w:r>
    </w:p>
    <w:p w14:paraId="46C0B30D" w14:textId="77777777" w:rsidR="00851A0C" w:rsidRDefault="00851A0C" w:rsidP="00A43FA5">
      <w:pPr>
        <w:spacing w:line="360" w:lineRule="auto"/>
      </w:pPr>
      <w:r>
        <w:lastRenderedPageBreak/>
        <w:t>Traces of ancient gods linger</w:t>
      </w:r>
      <w:ins w:id="48" w:author="Alaw Mai" w:date="2018-04-19T21:32:00Z">
        <w:r w:rsidR="00705CA5">
          <w:t>,</w:t>
        </w:r>
      </w:ins>
      <w:r w:rsidR="001A1687">
        <w:rPr>
          <w:rStyle w:val="FootnoteReference"/>
        </w:rPr>
        <w:footnoteReference w:id="25"/>
      </w:r>
      <w:ins w:id="49" w:author="Alaw Mai" w:date="2018-04-19T21:32:00Z">
        <w:r w:rsidR="00705CA5">
          <w:t xml:space="preserve"> such as</w:t>
        </w:r>
      </w:ins>
      <w:del w:id="50" w:author="Alaw Mai" w:date="2018-04-19T21:32:00Z">
        <w:r w:rsidDel="00705CA5">
          <w:delText>;</w:delText>
        </w:r>
      </w:del>
      <w:r>
        <w:t xml:space="preserve"> the myth of the ever young Mac Oc</w:t>
      </w:r>
      <w:r w:rsidR="00EF0756" w:rsidRPr="00EF0756">
        <w:t xml:space="preserve"> </w:t>
      </w:r>
      <w:r w:rsidR="00EF0756">
        <w:t>with his beautiful singing birds</w:t>
      </w:r>
      <w:del w:id="51" w:author="Alaw Mai" w:date="2018-04-19T21:32:00Z">
        <w:r w:rsidR="00EF0756" w:rsidDel="00705CA5">
          <w:delText>,</w:delText>
        </w:r>
      </w:del>
      <w:r>
        <w:rPr>
          <w:rStyle w:val="FootnoteReference"/>
        </w:rPr>
        <w:footnoteReference w:id="26"/>
      </w:r>
      <w:r>
        <w:t xml:space="preserve"> </w:t>
      </w:r>
      <w:ins w:id="52" w:author="Alaw Mai" w:date="2018-04-19T21:32:00Z">
        <w:r w:rsidR="00705CA5">
          <w:t xml:space="preserve">and </w:t>
        </w:r>
      </w:ins>
      <w:r>
        <w:t>Manannan and his silvery musical branch</w:t>
      </w:r>
      <w:r w:rsidR="00EF0756" w:rsidRPr="00EF0756">
        <w:t xml:space="preserve"> </w:t>
      </w:r>
      <w:r w:rsidR="00EF0756">
        <w:t>an</w:t>
      </w:r>
      <w:r w:rsidR="00EF0756" w:rsidRPr="000F034E">
        <w:t>d his divine son Mongán.</w:t>
      </w:r>
      <w:r w:rsidR="00EF0756">
        <w:rPr>
          <w:rStyle w:val="FootnoteReference"/>
        </w:rPr>
        <w:footnoteReference w:id="27"/>
      </w:r>
    </w:p>
    <w:p w14:paraId="69A1E518" w14:textId="77777777" w:rsidR="00E00C74" w:rsidRDefault="008D0200" w:rsidP="00A43FA5">
      <w:pPr>
        <w:spacing w:line="360" w:lineRule="auto"/>
      </w:pPr>
      <w:r>
        <w:t>I follow Oskamp in considering</w:t>
      </w:r>
      <w:r w:rsidR="000F034E">
        <w:t xml:space="preserve"> the island of women</w:t>
      </w:r>
      <w:r>
        <w:t xml:space="preserve">, </w:t>
      </w:r>
      <w:r w:rsidR="009768CE">
        <w:t>the branch</w:t>
      </w:r>
      <w:r w:rsidR="00EA6E92" w:rsidRPr="00EA6E92">
        <w:t xml:space="preserve"> </w:t>
      </w:r>
      <w:r w:rsidR="00EA6E92">
        <w:t>and magical music as early motifs</w:t>
      </w:r>
      <w:r w:rsidR="00EA6E92" w:rsidRPr="0049672B">
        <w:t>,</w:t>
      </w:r>
      <w:r w:rsidR="00EA6E92" w:rsidRPr="00EA6E92">
        <w:t xml:space="preserve"> </w:t>
      </w:r>
      <w:r w:rsidR="00EA6E92">
        <w:t>albeit appropriated in MD for a Christian purpose in a rather garbled fashion</w:t>
      </w:r>
      <w:ins w:id="53" w:author="Alaw Mai" w:date="2018-04-19T21:32:00Z">
        <w:r w:rsidR="00705CA5">
          <w:t>.</w:t>
        </w:r>
      </w:ins>
      <w:r w:rsidR="00EA6E92" w:rsidRPr="0049672B">
        <w:rPr>
          <w:rStyle w:val="FootnoteReference"/>
        </w:rPr>
        <w:t xml:space="preserve"> </w:t>
      </w:r>
      <w:r w:rsidR="00EA6E92" w:rsidRPr="0049672B">
        <w:rPr>
          <w:rStyle w:val="FootnoteReference"/>
        </w:rPr>
        <w:footnoteReference w:id="28"/>
      </w:r>
      <w:r w:rsidR="00297841">
        <w:t>.</w:t>
      </w:r>
    </w:p>
    <w:p w14:paraId="02DEAEBA" w14:textId="77777777" w:rsidR="00D728E2" w:rsidRDefault="00D728E2" w:rsidP="00A43FA5">
      <w:pPr>
        <w:pStyle w:val="ListParagraph"/>
        <w:numPr>
          <w:ilvl w:val="1"/>
          <w:numId w:val="1"/>
        </w:numPr>
        <w:spacing w:line="360" w:lineRule="auto"/>
        <w:rPr>
          <w:b/>
          <w:sz w:val="28"/>
        </w:rPr>
      </w:pPr>
      <w:r>
        <w:rPr>
          <w:b/>
          <w:sz w:val="28"/>
        </w:rPr>
        <w:t xml:space="preserve">The </w:t>
      </w:r>
      <w:r w:rsidR="005F1751">
        <w:rPr>
          <w:b/>
          <w:sz w:val="28"/>
        </w:rPr>
        <w:t xml:space="preserve">Blossoming </w:t>
      </w:r>
      <w:r>
        <w:rPr>
          <w:b/>
          <w:sz w:val="28"/>
        </w:rPr>
        <w:t>Branch</w:t>
      </w:r>
    </w:p>
    <w:p w14:paraId="33E1C35A" w14:textId="77777777" w:rsidR="000F034E" w:rsidRDefault="00717D15" w:rsidP="00A43FA5">
      <w:pPr>
        <w:spacing w:line="360" w:lineRule="auto"/>
      </w:pPr>
      <w:r>
        <w:lastRenderedPageBreak/>
        <w:t xml:space="preserve">Without </w:t>
      </w:r>
      <w:r w:rsidR="00AF2F36">
        <w:t xml:space="preserve">prior </w:t>
      </w:r>
      <w:r w:rsidR="008B376F">
        <w:t xml:space="preserve">knowledge of other </w:t>
      </w:r>
      <w:r w:rsidR="009C7E9E">
        <w:t>Celtic</w:t>
      </w:r>
      <w:r w:rsidR="00BB59F3" w:rsidRPr="00BB59F3">
        <w:t xml:space="preserve"> </w:t>
      </w:r>
      <w:r w:rsidR="00BB59F3">
        <w:t>tales</w:t>
      </w:r>
      <w:ins w:id="54" w:author="Alaw Mai" w:date="2018-04-19T21:33:00Z">
        <w:r w:rsidR="00705CA5">
          <w:t>,</w:t>
        </w:r>
      </w:ins>
      <w:r w:rsidR="00BB59F3">
        <w:t xml:space="preserve"> the reference to a magical branch in MD would perhaps go unnoticed.</w:t>
      </w:r>
      <w:r w:rsidR="00BB59F3">
        <w:rPr>
          <w:rStyle w:val="FootnoteReference"/>
        </w:rPr>
        <w:footnoteReference w:id="29"/>
      </w:r>
      <w:r w:rsidR="00BB59F3">
        <w:t xml:space="preserve"> </w:t>
      </w:r>
      <w:r w:rsidR="009C7E9E">
        <w:t xml:space="preserve"> </w:t>
      </w:r>
    </w:p>
    <w:p w14:paraId="77102CDC" w14:textId="77777777" w:rsidR="000F034E" w:rsidRPr="000F034E" w:rsidRDefault="000F034E" w:rsidP="00A43FA5">
      <w:pPr>
        <w:spacing w:line="360" w:lineRule="auto"/>
        <w:jc w:val="center"/>
        <w:rPr>
          <w:i/>
        </w:rPr>
      </w:pPr>
      <w:r w:rsidRPr="000F034E">
        <w:rPr>
          <w:i/>
        </w:rPr>
        <w:t xml:space="preserve">He found a </w:t>
      </w:r>
      <w:r w:rsidR="000563BE">
        <w:rPr>
          <w:i/>
        </w:rPr>
        <w:t xml:space="preserve">[magical] </w:t>
      </w:r>
      <w:r w:rsidRPr="000F034E">
        <w:rPr>
          <w:i/>
        </w:rPr>
        <w:t>c</w:t>
      </w:r>
      <w:r w:rsidR="000563BE">
        <w:rPr>
          <w:i/>
        </w:rPr>
        <w:t>luster of apples at the end of the</w:t>
      </w:r>
      <w:r w:rsidRPr="000F034E">
        <w:rPr>
          <w:i/>
        </w:rPr>
        <w:t xml:space="preserve"> rod</w:t>
      </w:r>
      <w:r w:rsidR="0024736D">
        <w:rPr>
          <w:rStyle w:val="FootnoteReference"/>
          <w:i/>
        </w:rPr>
        <w:footnoteReference w:id="30"/>
      </w:r>
    </w:p>
    <w:p w14:paraId="4295EA9C" w14:textId="77777777" w:rsidR="00F16426" w:rsidRPr="00F16426" w:rsidRDefault="00F16426" w:rsidP="00A43FA5">
      <w:pPr>
        <w:spacing w:line="360" w:lineRule="auto"/>
      </w:pPr>
      <w:r w:rsidRPr="00F16426">
        <w:t>T</w:t>
      </w:r>
      <w:r w:rsidR="00AF2F36" w:rsidRPr="00F16426">
        <w:t>he magical branch makes i</w:t>
      </w:r>
      <w:r w:rsidR="00713A08" w:rsidRPr="00F16426">
        <w:t xml:space="preserve">ts appearance in all </w:t>
      </w:r>
      <w:r w:rsidR="00AF2F36" w:rsidRPr="00F16426">
        <w:t xml:space="preserve">Irish and Welsh </w:t>
      </w:r>
      <w:r w:rsidR="00C455AC" w:rsidRPr="00F16426">
        <w:t xml:space="preserve">Otherworld </w:t>
      </w:r>
      <w:r w:rsidR="00AF2F36" w:rsidRPr="00F16426">
        <w:t>journey</w:t>
      </w:r>
      <w:r w:rsidR="00713A08" w:rsidRPr="00F16426">
        <w:t xml:space="preserve"> tales</w:t>
      </w:r>
      <w:r w:rsidR="00AF2F36" w:rsidRPr="00F16426">
        <w:t xml:space="preserve"> as the item which either gives a character entrance to the Otherworld</w:t>
      </w:r>
      <w:r w:rsidR="00823DD2" w:rsidRPr="00823DD2">
        <w:t xml:space="preserve"> </w:t>
      </w:r>
      <w:r w:rsidR="00823DD2" w:rsidRPr="00F16426">
        <w:t>or remains with him afterwards</w:t>
      </w:r>
      <w:ins w:id="55" w:author="Alaw Mai" w:date="2018-04-19T21:36:00Z">
        <w:r w:rsidR="0021054B">
          <w:t xml:space="preserve">. </w:t>
        </w:r>
      </w:ins>
      <w:commentRangeStart w:id="56"/>
      <w:del w:id="57" w:author="Alaw Mai" w:date="2018-04-19T21:36:00Z">
        <w:r w:rsidR="00823DD2" w:rsidDel="0021054B">
          <w:delText xml:space="preserve">, </w:delText>
        </w:r>
      </w:del>
      <w:ins w:id="58" w:author="Alaw Mai" w:date="2018-04-19T21:36:00Z">
        <w:r w:rsidR="0021054B">
          <w:t>I</w:t>
        </w:r>
      </w:ins>
      <w:del w:id="59" w:author="Alaw Mai" w:date="2018-04-19T21:36:00Z">
        <w:r w:rsidR="00823DD2" w:rsidDel="0021054B">
          <w:delText>i</w:delText>
        </w:r>
      </w:del>
      <w:r w:rsidR="00823DD2" w:rsidRPr="00A867CB">
        <w:t>t</w:t>
      </w:r>
      <w:commentRangeEnd w:id="56"/>
      <w:r w:rsidR="0021054B">
        <w:rPr>
          <w:rStyle w:val="CommentReference"/>
        </w:rPr>
        <w:commentReference w:id="56"/>
      </w:r>
      <w:r w:rsidR="00823DD2" w:rsidRPr="00A867CB">
        <w:t xml:space="preserve"> also</w:t>
      </w:r>
      <w:r w:rsidR="00823DD2" w:rsidRPr="00F16426">
        <w:t xml:space="preserve"> gives supernatural personages power to in</w:t>
      </w:r>
      <w:r w:rsidR="00823DD2">
        <w:t>fluence human</w:t>
      </w:r>
      <w:r w:rsidR="00823DD2" w:rsidRPr="00F16426">
        <w:t>s, usually by sleep inducing healing</w:t>
      </w:r>
      <w:r w:rsidR="00823DD2">
        <w:t xml:space="preserve"> music.</w:t>
      </w:r>
      <w:r w:rsidR="00823DD2">
        <w:rPr>
          <w:rStyle w:val="FootnoteReference"/>
        </w:rPr>
        <w:footnoteReference w:id="31"/>
      </w:r>
      <w:r w:rsidR="00AF2F36" w:rsidRPr="00F16426">
        <w:t xml:space="preserve"> </w:t>
      </w:r>
      <w:r w:rsidR="00C130B1">
        <w:t xml:space="preserve">In MD the sleep-inducing </w:t>
      </w:r>
      <w:r w:rsidRPr="00F16426">
        <w:t>music appears separately: in verse 17</w:t>
      </w:r>
      <w:r w:rsidR="00943951">
        <w:t>,</w:t>
      </w:r>
      <w:r w:rsidR="00943951" w:rsidRPr="00943951">
        <w:t xml:space="preserve"> </w:t>
      </w:r>
      <w:r w:rsidR="00943951" w:rsidRPr="00F16426">
        <w:t>hinting at the sinless maiden being an Otherworldly woman.</w:t>
      </w:r>
      <w:r w:rsidR="008055CD">
        <w:rPr>
          <w:rStyle w:val="FootnoteReference"/>
        </w:rPr>
        <w:footnoteReference w:id="32"/>
      </w:r>
      <w:r w:rsidRPr="00F16426">
        <w:rPr>
          <w:color w:val="00B050"/>
        </w:rPr>
        <w:t xml:space="preserve"> </w:t>
      </w:r>
      <w:r w:rsidRPr="00F16426">
        <w:t>In IB and EC</w:t>
      </w:r>
      <w:r w:rsidR="00943951" w:rsidRPr="00943951">
        <w:t xml:space="preserve"> </w:t>
      </w:r>
      <w:r w:rsidR="00943951" w:rsidRPr="00F16426">
        <w:t>women are the link to the Otherworld</w:t>
      </w:r>
      <w:r w:rsidR="00943951">
        <w:t>.</w:t>
      </w:r>
      <w:r w:rsidRPr="00F16426">
        <w:t xml:space="preserve"> </w:t>
      </w:r>
      <w:r w:rsidRPr="00F16426">
        <w:rPr>
          <w:rStyle w:val="FootnoteReference"/>
        </w:rPr>
        <w:footnoteReference w:id="33"/>
      </w:r>
      <w:r w:rsidRPr="00F16426">
        <w:t xml:space="preserve"> </w:t>
      </w:r>
      <w:r w:rsidR="00C130B1">
        <w:t>They offer the magical</w:t>
      </w:r>
      <w:r w:rsidRPr="00F16426">
        <w:t xml:space="preserve"> branch</w:t>
      </w:r>
      <w:r w:rsidR="002B1DF8">
        <w:t>,</w:t>
      </w:r>
      <w:r w:rsidRPr="00F16426">
        <w:t xml:space="preserve"> </w:t>
      </w:r>
      <w:r w:rsidR="00920C1A">
        <w:t xml:space="preserve">perhaps </w:t>
      </w:r>
      <w:r w:rsidRPr="00F16426">
        <w:t xml:space="preserve">as a symbolic promise of regeneration, or sovereignty, through their </w:t>
      </w:r>
      <w:commentRangeStart w:id="60"/>
      <w:r w:rsidRPr="00F16426">
        <w:t>fertility</w:t>
      </w:r>
      <w:commentRangeEnd w:id="60"/>
      <w:r w:rsidR="0021054B">
        <w:rPr>
          <w:rStyle w:val="CommentReference"/>
        </w:rPr>
        <w:commentReference w:id="60"/>
      </w:r>
      <w:ins w:id="61" w:author="Alaw Mai" w:date="2018-04-19T21:37:00Z">
        <w:r w:rsidR="0021054B">
          <w:t>.</w:t>
        </w:r>
      </w:ins>
      <w:r w:rsidR="00DB54D0">
        <w:rPr>
          <w:rStyle w:val="FootnoteReference"/>
        </w:rPr>
        <w:footnoteReference w:id="34"/>
      </w:r>
      <w:del w:id="63" w:author="Alaw Mai" w:date="2018-04-19T21:37:00Z">
        <w:r w:rsidRPr="00F16426" w:rsidDel="0021054B">
          <w:delText>.</w:delText>
        </w:r>
      </w:del>
    </w:p>
    <w:p w14:paraId="0C5631BA" w14:textId="77777777" w:rsidR="00D728E2" w:rsidRDefault="00D728E2" w:rsidP="00A43FA5">
      <w:pPr>
        <w:pStyle w:val="ListParagraph"/>
        <w:numPr>
          <w:ilvl w:val="1"/>
          <w:numId w:val="1"/>
        </w:numPr>
        <w:spacing w:line="360" w:lineRule="auto"/>
        <w:rPr>
          <w:b/>
          <w:sz w:val="28"/>
        </w:rPr>
      </w:pPr>
      <w:r>
        <w:rPr>
          <w:b/>
          <w:sz w:val="28"/>
        </w:rPr>
        <w:lastRenderedPageBreak/>
        <w:t>Otherworld Women</w:t>
      </w:r>
      <w:r w:rsidR="005F1751">
        <w:rPr>
          <w:b/>
          <w:sz w:val="28"/>
        </w:rPr>
        <w:t xml:space="preserve"> as Initiators</w:t>
      </w:r>
    </w:p>
    <w:p w14:paraId="61BE51E2" w14:textId="77777777" w:rsidR="000C5629" w:rsidRPr="00DB54D0" w:rsidRDefault="000C5629" w:rsidP="00A43FA5">
      <w:pPr>
        <w:spacing w:line="360" w:lineRule="auto"/>
      </w:pPr>
      <w:r w:rsidRPr="00DB54D0">
        <w:t>The Isle of Women</w:t>
      </w:r>
      <w:r w:rsidR="00E568AC" w:rsidRPr="00E568AC">
        <w:t xml:space="preserve"> </w:t>
      </w:r>
      <w:r w:rsidR="00E568AC">
        <w:t>is a substantial</w:t>
      </w:r>
      <w:r w:rsidR="00E568AC" w:rsidRPr="00DB54D0">
        <w:t xml:space="preserve"> text in MD.</w:t>
      </w:r>
      <w:r w:rsidR="00E568AC" w:rsidRPr="00DB54D0">
        <w:rPr>
          <w:rStyle w:val="FootnoteReference"/>
        </w:rPr>
        <w:footnoteReference w:id="35"/>
      </w:r>
      <w:r w:rsidR="00E568AC" w:rsidRPr="00DB54D0">
        <w:t xml:space="preserve"> </w:t>
      </w:r>
      <w:r w:rsidRPr="00DB54D0">
        <w:t>In it, the queen persuades MD to remain her lover</w:t>
      </w:r>
      <w:r w:rsidR="00E568AC" w:rsidRPr="00E568AC">
        <w:t xml:space="preserve"> </w:t>
      </w:r>
      <w:r w:rsidR="00E568AC" w:rsidRPr="00DB54D0">
        <w:t xml:space="preserve">for </w:t>
      </w:r>
      <w:r w:rsidR="00E568AC">
        <w:t>‘thrice three months’,</w:t>
      </w:r>
      <w:r w:rsidR="00E568AC" w:rsidRPr="00DB54D0">
        <w:t xml:space="preserve"> before the companions manage </w:t>
      </w:r>
      <w:r w:rsidR="00E568AC">
        <w:t xml:space="preserve">to </w:t>
      </w:r>
      <w:r w:rsidR="00E568AC" w:rsidRPr="00DB54D0">
        <w:t xml:space="preserve">escape. </w:t>
      </w:r>
      <w:r w:rsidR="00E568AC" w:rsidRPr="00DB54D0">
        <w:rPr>
          <w:rStyle w:val="FootnoteReference"/>
        </w:rPr>
        <w:footnoteReference w:id="36"/>
      </w:r>
      <w:r w:rsidRPr="00DB54D0">
        <w:t xml:space="preserve"> </w:t>
      </w:r>
    </w:p>
    <w:p w14:paraId="5D583679" w14:textId="77777777" w:rsidR="0092377A" w:rsidRPr="00C53EFA" w:rsidRDefault="000C5629" w:rsidP="00A43FA5">
      <w:pPr>
        <w:spacing w:line="360" w:lineRule="auto"/>
      </w:pPr>
      <w:r w:rsidRPr="00DB54D0">
        <w:t xml:space="preserve">The presentation of the pagan myth of </w:t>
      </w:r>
      <w:r w:rsidRPr="00DB54D0">
        <w:rPr>
          <w:i/>
        </w:rPr>
        <w:t>Tir na mBan</w:t>
      </w:r>
      <w:r w:rsidR="00AF4DCF">
        <w:rPr>
          <w:rStyle w:val="FootnoteReference"/>
          <w:i/>
        </w:rPr>
        <w:footnoteReference w:id="37"/>
      </w:r>
      <w:r w:rsidRPr="00DB54D0">
        <w:t>, alongside a representation of a</w:t>
      </w:r>
      <w:r w:rsidR="001226A6">
        <w:t xml:space="preserve"> woman</w:t>
      </w:r>
      <w:r w:rsidRPr="00DB54D0">
        <w:rPr>
          <w:rStyle w:val="FootnoteReference"/>
        </w:rPr>
        <w:footnoteReference w:id="38"/>
      </w:r>
      <w:r w:rsidRPr="00DB54D0">
        <w:t xml:space="preserve"> with contemporary Christian values</w:t>
      </w:r>
      <w:r w:rsidR="000563BE">
        <w:t>, in the motif of the sinless maiden,</w:t>
      </w:r>
      <w:r w:rsidRPr="00DB54D0">
        <w:t xml:space="preserve"> may have been used as a devi</w:t>
      </w:r>
      <w:r w:rsidR="006A2949">
        <w:t>ce</w:t>
      </w:r>
      <w:r w:rsidR="00DB0091">
        <w:t xml:space="preserve"> to speak to readers of varied</w:t>
      </w:r>
      <w:r w:rsidRPr="00DB54D0">
        <w:t xml:space="preserve"> sympathies</w:t>
      </w:r>
      <w:ins w:id="64" w:author="Alaw Mai" w:date="2018-04-19T21:40:00Z">
        <w:r w:rsidR="0021054B">
          <w:t>.</w:t>
        </w:r>
      </w:ins>
      <w:r w:rsidRPr="00DB54D0">
        <w:rPr>
          <w:rStyle w:val="FootnoteReference"/>
        </w:rPr>
        <w:footnoteReference w:id="39"/>
      </w:r>
      <w:del w:id="65" w:author="Alaw Mai" w:date="2018-04-19T21:40:00Z">
        <w:r w:rsidRPr="00DB54D0" w:rsidDel="0021054B">
          <w:delText>.</w:delText>
        </w:r>
      </w:del>
      <w:r w:rsidR="001226A6">
        <w:t xml:space="preserve">  Yet both episodes </w:t>
      </w:r>
      <w:r w:rsidR="00E426C9">
        <w:t xml:space="preserve">parallel </w:t>
      </w:r>
      <w:r w:rsidR="001226A6">
        <w:t xml:space="preserve">tales of </w:t>
      </w:r>
      <w:r w:rsidR="005947F8" w:rsidRPr="00DB54D0">
        <w:t>Annwn and</w:t>
      </w:r>
      <w:r w:rsidRPr="00DB54D0">
        <w:t xml:space="preserve"> </w:t>
      </w:r>
      <w:r w:rsidR="008000C3" w:rsidRPr="00DB54D0">
        <w:t>priestesses on islands</w:t>
      </w:r>
      <w:r w:rsidR="001226A6">
        <w:t xml:space="preserve"> pointing</w:t>
      </w:r>
      <w:r w:rsidR="009768CE" w:rsidRPr="00DB54D0">
        <w:t xml:space="preserve"> to a common </w:t>
      </w:r>
      <w:r w:rsidR="00E426C9">
        <w:t>pagan</w:t>
      </w:r>
      <w:r w:rsidRPr="00DB54D0">
        <w:t xml:space="preserve"> </w:t>
      </w:r>
      <w:r w:rsidR="009768CE" w:rsidRPr="00DB54D0">
        <w:t>source.</w:t>
      </w:r>
      <w:r w:rsidR="00EC45BD" w:rsidRPr="00DB54D0">
        <w:rPr>
          <w:rStyle w:val="FootnoteReference"/>
        </w:rPr>
        <w:footnoteReference w:id="40"/>
      </w:r>
      <w:r w:rsidR="008000C3" w:rsidRPr="00DB54D0">
        <w:t xml:space="preserve"> </w:t>
      </w:r>
      <w:r w:rsidR="0092377A" w:rsidRPr="00DB54D0">
        <w:t xml:space="preserve">Perhaps these tales are in some way connected to </w:t>
      </w:r>
      <w:r w:rsidR="0092377A" w:rsidRPr="00DB54D0">
        <w:lastRenderedPageBreak/>
        <w:t>goddess worship and divi</w:t>
      </w:r>
      <w:r w:rsidR="0092377A" w:rsidRPr="008B376F">
        <w:t>ne marriage</w:t>
      </w:r>
      <w:r w:rsidR="0092377A" w:rsidRPr="008B376F">
        <w:rPr>
          <w:rStyle w:val="FootnoteReference"/>
        </w:rPr>
        <w:footnoteReference w:id="41"/>
      </w:r>
      <w:r w:rsidR="0092377A" w:rsidRPr="00C53EFA">
        <w:t>. In Pre-Christian Ireland</w:t>
      </w:r>
      <w:ins w:id="66" w:author="Alaw Mai" w:date="2018-04-19T21:42:00Z">
        <w:r w:rsidR="0021054B">
          <w:t>,</w:t>
        </w:r>
      </w:ins>
      <w:r w:rsidR="0092377A" w:rsidRPr="00C53EFA">
        <w:t xml:space="preserve"> kingship was conferred by marriage </w:t>
      </w:r>
      <w:r w:rsidR="00C53EFA">
        <w:t>-</w:t>
      </w:r>
      <w:r w:rsidR="0092377A" w:rsidRPr="00C53EFA">
        <w:t>to- the- land rites.</w:t>
      </w:r>
      <w:r w:rsidR="0092377A" w:rsidRPr="00C53EFA">
        <w:rPr>
          <w:rStyle w:val="FootnoteReference"/>
        </w:rPr>
        <w:footnoteReference w:id="42"/>
      </w:r>
    </w:p>
    <w:p w14:paraId="1C2EA4F6" w14:textId="77777777" w:rsidR="000C5629" w:rsidRPr="00DB54D0" w:rsidRDefault="000C5629" w:rsidP="00A43FA5">
      <w:pPr>
        <w:spacing w:line="360" w:lineRule="auto"/>
      </w:pPr>
      <w:r w:rsidRPr="008B376F">
        <w:t xml:space="preserve"> In MD the branch of apples is not handed to him, but found. In Brendan, on the other hand, both branch and women have been </w:t>
      </w:r>
      <w:r w:rsidR="00DB54D0" w:rsidRPr="008B376F">
        <w:t>lost altogether</w:t>
      </w:r>
      <w:r w:rsidR="00E568AC" w:rsidRPr="00E568AC">
        <w:t xml:space="preserve"> </w:t>
      </w:r>
      <w:r w:rsidR="00E568AC" w:rsidRPr="008B376F">
        <w:t>suggesting the author of MD had access to elements the author of NB didn’t, or chose to ignore</w:t>
      </w:r>
      <w:r w:rsidR="00E568AC">
        <w:t>.</w:t>
      </w:r>
      <w:r w:rsidR="00E568AC" w:rsidRPr="008B376F">
        <w:rPr>
          <w:rStyle w:val="FootnoteReference"/>
        </w:rPr>
        <w:footnoteReference w:id="43"/>
      </w:r>
      <w:r w:rsidR="00E568AC" w:rsidRPr="008B376F">
        <w:t xml:space="preserve"> </w:t>
      </w:r>
      <w:r w:rsidRPr="008B376F">
        <w:t>The author of MD</w:t>
      </w:r>
      <w:r w:rsidR="00DB54D0" w:rsidRPr="008B376F">
        <w:t>, however, choos</w:t>
      </w:r>
      <w:r w:rsidR="00DB54D0" w:rsidRPr="00DB54D0">
        <w:t xml:space="preserve">es to </w:t>
      </w:r>
      <w:r w:rsidRPr="00DB54D0">
        <w:t xml:space="preserve">keep the </w:t>
      </w:r>
      <w:r w:rsidR="00DB54D0" w:rsidRPr="00DB54D0">
        <w:t xml:space="preserve">theme </w:t>
      </w:r>
      <w:r w:rsidRPr="00DB54D0">
        <w:t xml:space="preserve">as an extended part of his narrative, suggesting an assumed relevance to his readers, even though its link to the branch appears severed. </w:t>
      </w:r>
    </w:p>
    <w:p w14:paraId="447B4583" w14:textId="77777777" w:rsidR="000C5629" w:rsidRPr="008000C3" w:rsidRDefault="008000C3" w:rsidP="00A43FA5">
      <w:pPr>
        <w:spacing w:line="360" w:lineRule="auto"/>
      </w:pPr>
      <w:r>
        <w:t xml:space="preserve"> </w:t>
      </w:r>
      <w:r w:rsidR="00870FB9">
        <w:t xml:space="preserve"> </w:t>
      </w:r>
    </w:p>
    <w:p w14:paraId="48268BC1" w14:textId="77777777" w:rsidR="00D728E2" w:rsidRDefault="00D728E2" w:rsidP="00A43FA5">
      <w:pPr>
        <w:pStyle w:val="ListParagraph"/>
        <w:numPr>
          <w:ilvl w:val="1"/>
          <w:numId w:val="1"/>
        </w:numPr>
        <w:spacing w:line="360" w:lineRule="auto"/>
        <w:rPr>
          <w:b/>
          <w:sz w:val="28"/>
        </w:rPr>
      </w:pPr>
      <w:r>
        <w:rPr>
          <w:b/>
          <w:sz w:val="28"/>
        </w:rPr>
        <w:t>Birds</w:t>
      </w:r>
      <w:r w:rsidR="005F1751">
        <w:rPr>
          <w:b/>
          <w:sz w:val="28"/>
        </w:rPr>
        <w:t xml:space="preserve"> as Portents</w:t>
      </w:r>
      <w:r w:rsidR="000566B7">
        <w:rPr>
          <w:b/>
          <w:sz w:val="28"/>
        </w:rPr>
        <w:t xml:space="preserve"> </w:t>
      </w:r>
    </w:p>
    <w:p w14:paraId="09CC4ACD" w14:textId="77777777" w:rsidR="00BC6177" w:rsidRPr="00752F85" w:rsidRDefault="00BC6177" w:rsidP="00A43FA5">
      <w:pPr>
        <w:spacing w:line="360" w:lineRule="auto"/>
        <w:jc w:val="both"/>
      </w:pPr>
      <w:r w:rsidRPr="00752F85">
        <w:t>Birds, mentioned several times in MD,</w:t>
      </w:r>
      <w:r w:rsidR="002555CA" w:rsidRPr="002555CA">
        <w:t xml:space="preserve"> </w:t>
      </w:r>
      <w:r w:rsidR="002555CA" w:rsidRPr="00752F85">
        <w:t>in addition to being a universal theme</w:t>
      </w:r>
      <w:r w:rsidR="002555CA" w:rsidRPr="00752F85">
        <w:rPr>
          <w:rStyle w:val="FootnoteReference"/>
        </w:rPr>
        <w:t xml:space="preserve"> </w:t>
      </w:r>
      <w:r w:rsidR="002555CA" w:rsidRPr="00752F85">
        <w:t>in early goddess worship, were seen as portents</w:t>
      </w:r>
      <w:r w:rsidR="002555CA" w:rsidRPr="002555CA">
        <w:t xml:space="preserve"> </w:t>
      </w:r>
      <w:r w:rsidR="002555CA" w:rsidRPr="00752F85">
        <w:t>of death</w:t>
      </w:r>
      <w:r w:rsidR="002555CA" w:rsidRPr="002555CA">
        <w:t xml:space="preserve"> </w:t>
      </w:r>
      <w:r w:rsidR="002555CA" w:rsidRPr="00752F85">
        <w:t>and rebirth by the druids Christian clergy replaced</w:t>
      </w:r>
      <w:r w:rsidR="008001B0">
        <w:t>.</w:t>
      </w:r>
      <w:r w:rsidR="002555CA" w:rsidRPr="00752F85">
        <w:rPr>
          <w:rStyle w:val="FootnoteReference"/>
        </w:rPr>
        <w:t xml:space="preserve"> </w:t>
      </w:r>
      <w:r w:rsidR="002555CA" w:rsidRPr="00752F85">
        <w:rPr>
          <w:rStyle w:val="FootnoteReference"/>
        </w:rPr>
        <w:footnoteReference w:id="44"/>
      </w:r>
      <w:r w:rsidRPr="00752F85">
        <w:t xml:space="preserve">  </w:t>
      </w:r>
    </w:p>
    <w:p w14:paraId="7D5E4C39" w14:textId="77777777" w:rsidR="007F2CD0" w:rsidRDefault="00BC6177" w:rsidP="007F2CD0">
      <w:pPr>
        <w:spacing w:line="360" w:lineRule="auto"/>
        <w:jc w:val="both"/>
        <w:rPr>
          <w:color w:val="0070C0"/>
        </w:rPr>
      </w:pPr>
      <w:r w:rsidRPr="00752F85">
        <w:lastRenderedPageBreak/>
        <w:t xml:space="preserve"> Singing birds, as in verse 18,</w:t>
      </w:r>
      <w:r w:rsidRPr="00752F85">
        <w:rPr>
          <w:rStyle w:val="FootnoteReference"/>
        </w:rPr>
        <w:footnoteReference w:id="45"/>
      </w:r>
      <w:r w:rsidRPr="00752F85">
        <w:t xml:space="preserve"> are a common theme in early Irish and Welsh tales</w:t>
      </w:r>
      <w:r w:rsidR="007F2CD0" w:rsidRPr="007F2CD0">
        <w:t xml:space="preserve"> </w:t>
      </w:r>
      <w:r w:rsidR="007F2CD0" w:rsidRPr="00752F85">
        <w:t>where references could hint at sky myth.</w:t>
      </w:r>
      <w:r w:rsidRPr="00752F85">
        <w:rPr>
          <w:rStyle w:val="FootnoteReference"/>
        </w:rPr>
        <w:footnoteReference w:id="46"/>
      </w:r>
      <w:r w:rsidRPr="00752F85">
        <w:t xml:space="preserve"> There is no space here to go into detail, but the notion of birds </w:t>
      </w:r>
      <w:r w:rsidR="00DA4585">
        <w:t>coming across to</w:t>
      </w:r>
      <w:r w:rsidRPr="00752F85">
        <w:t xml:space="preserve"> </w:t>
      </w:r>
      <w:r w:rsidR="00DA4585">
        <w:t>br</w:t>
      </w:r>
      <w:r w:rsidRPr="00752F85">
        <w:t>eed in spring</w:t>
      </w:r>
      <w:r w:rsidR="007F2CD0" w:rsidRPr="007F2CD0">
        <w:t xml:space="preserve"> </w:t>
      </w:r>
      <w:r w:rsidR="007F2CD0">
        <w:t>or migrating</w:t>
      </w:r>
      <w:r w:rsidR="007F2CD0" w:rsidRPr="00752F85">
        <w:t xml:space="preserve"> from colder climes as winter comes</w:t>
      </w:r>
      <w:r w:rsidR="007F2CD0" w:rsidRPr="007F2CD0">
        <w:t xml:space="preserve"> </w:t>
      </w:r>
      <w:r w:rsidR="007F2CD0" w:rsidRPr="00752F85">
        <w:t>would situate these myths in time and space.</w:t>
      </w:r>
      <w:r w:rsidR="007F2CD0" w:rsidRPr="00752F85">
        <w:rPr>
          <w:rStyle w:val="FootnoteReference"/>
        </w:rPr>
        <w:footnoteReference w:id="47"/>
      </w:r>
      <w:r w:rsidR="00A764FC">
        <w:t xml:space="preserve"> </w:t>
      </w:r>
      <w:r w:rsidRPr="00752F85">
        <w:t xml:space="preserve">The singing birds in MD are </w:t>
      </w:r>
      <w:ins w:id="67" w:author="Alaw Mai" w:date="2018-04-19T21:42:00Z">
        <w:r w:rsidR="0021054B">
          <w:t>‘</w:t>
        </w:r>
      </w:ins>
      <w:del w:id="68" w:author="Alaw Mai" w:date="2018-04-19T21:42:00Z">
        <w:r w:rsidRPr="00752F85" w:rsidDel="0021054B">
          <w:delText>“</w:delText>
        </w:r>
      </w:del>
      <w:r w:rsidRPr="00752F85">
        <w:t xml:space="preserve">black and dun and </w:t>
      </w:r>
      <w:r w:rsidR="00752F85" w:rsidRPr="00752F85">
        <w:t>speckled</w:t>
      </w:r>
      <w:ins w:id="69" w:author="Alaw Mai" w:date="2018-04-19T21:42:00Z">
        <w:r w:rsidR="0021054B">
          <w:t>’.</w:t>
        </w:r>
      </w:ins>
      <w:del w:id="70" w:author="Alaw Mai" w:date="2018-04-19T21:42:00Z">
        <w:r w:rsidR="00752F85" w:rsidRPr="00752F85" w:rsidDel="0021054B">
          <w:delText>”</w:delText>
        </w:r>
      </w:del>
      <w:r w:rsidR="00752F85" w:rsidRPr="00752F85">
        <w:rPr>
          <w:rStyle w:val="FootnoteReference"/>
        </w:rPr>
        <w:footnoteReference w:id="48"/>
      </w:r>
      <w:ins w:id="71" w:author="Alaw Mai" w:date="2018-04-19T21:42:00Z">
        <w:r w:rsidR="0021054B">
          <w:t xml:space="preserve"> </w:t>
        </w:r>
      </w:ins>
      <w:del w:id="72" w:author="Alaw Mai" w:date="2018-04-19T21:42:00Z">
        <w:r w:rsidRPr="00752F85" w:rsidDel="0021054B">
          <w:delText xml:space="preserve">. </w:delText>
        </w:r>
      </w:del>
      <w:r w:rsidRPr="00752F85">
        <w:t xml:space="preserve">What is fascinating is that the name of the poison tongued member of the clergy who incited MD to take his voyage of revenge, Briccne, means </w:t>
      </w:r>
      <w:ins w:id="73" w:author="Alaw Mai" w:date="2018-04-19T21:43:00Z">
        <w:r w:rsidR="0021054B">
          <w:t>‘</w:t>
        </w:r>
      </w:ins>
      <w:del w:id="74" w:author="Alaw Mai" w:date="2018-04-19T21:43:00Z">
        <w:r w:rsidRPr="00752F85" w:rsidDel="0021054B">
          <w:delText>“</w:delText>
        </w:r>
      </w:del>
      <w:r w:rsidRPr="00752F85">
        <w:t xml:space="preserve">speckled or </w:t>
      </w:r>
      <w:r w:rsidR="00752F85" w:rsidRPr="00752F85">
        <w:t>tawny</w:t>
      </w:r>
      <w:ins w:id="75" w:author="Alaw Mai" w:date="2018-04-19T21:43:00Z">
        <w:r w:rsidR="0021054B">
          <w:t>’</w:t>
        </w:r>
      </w:ins>
      <w:del w:id="76" w:author="Alaw Mai" w:date="2018-04-19T21:43:00Z">
        <w:r w:rsidR="00752F85" w:rsidRPr="00752F85" w:rsidDel="0021054B">
          <w:delText>”</w:delText>
        </w:r>
      </w:del>
      <w:r w:rsidR="007F2CD0" w:rsidRPr="007F2CD0">
        <w:t xml:space="preserve"> </w:t>
      </w:r>
      <w:r w:rsidR="007F2CD0" w:rsidRPr="00752F85">
        <w:t>and was an epithet of Bran.</w:t>
      </w:r>
      <w:r w:rsidR="007F2CD0" w:rsidRPr="00752F85">
        <w:rPr>
          <w:rStyle w:val="FootnoteReference"/>
        </w:rPr>
        <w:footnoteReference w:id="49"/>
      </w:r>
    </w:p>
    <w:p w14:paraId="259F17ED" w14:textId="77777777" w:rsidR="00BC6177" w:rsidRPr="00BC6177" w:rsidRDefault="00752F85" w:rsidP="00A43FA5">
      <w:pPr>
        <w:spacing w:line="360" w:lineRule="auto"/>
        <w:jc w:val="both"/>
      </w:pPr>
      <w:r w:rsidRPr="00752F85">
        <w:rPr>
          <w:color w:val="FF0000"/>
        </w:rPr>
        <w:lastRenderedPageBreak/>
        <w:t xml:space="preserve"> </w:t>
      </w:r>
      <w:r w:rsidR="003D22CB">
        <w:t xml:space="preserve">Birds-as-souls is </w:t>
      </w:r>
      <w:r w:rsidR="00BC6177" w:rsidRPr="00BC6177">
        <w:t>a</w:t>
      </w:r>
      <w:r w:rsidR="003D22CB">
        <w:t>n Irish</w:t>
      </w:r>
      <w:r w:rsidR="00BC6177" w:rsidRPr="00BC6177">
        <w:t xml:space="preserve"> theme, </w:t>
      </w:r>
      <w:r w:rsidR="003D22CB">
        <w:t>and</w:t>
      </w:r>
      <w:r w:rsidR="00BC6177" w:rsidRPr="00BC6177">
        <w:t xml:space="preserve"> if pre-Christian peoples once perceived the Isle of Man and its islets, kingdom of Manannan, an Otherworld, then what might be preserved here is a remnant of a localised Otherworld myth from the seaboard of the Irish sea</w:t>
      </w:r>
      <w:commentRangeStart w:id="77"/>
      <w:ins w:id="78" w:author="Alaw Mai" w:date="2018-04-19T21:43:00Z">
        <w:r w:rsidR="0021054B">
          <w:t>.</w:t>
        </w:r>
      </w:ins>
      <w:r w:rsidR="00BC6177" w:rsidRPr="00BC6177">
        <w:rPr>
          <w:rStyle w:val="FootnoteReference"/>
        </w:rPr>
        <w:footnoteReference w:id="50"/>
      </w:r>
      <w:commentRangeEnd w:id="77"/>
      <w:r w:rsidR="0021054B">
        <w:rPr>
          <w:rStyle w:val="CommentReference"/>
        </w:rPr>
        <w:commentReference w:id="77"/>
      </w:r>
      <w:ins w:id="79" w:author="Alaw Mai" w:date="2018-04-19T21:43:00Z">
        <w:r w:rsidR="0021054B">
          <w:t xml:space="preserve"> </w:t>
        </w:r>
      </w:ins>
      <w:del w:id="80" w:author="Alaw Mai" w:date="2018-04-19T21:43:00Z">
        <w:r w:rsidR="00BC6177" w:rsidRPr="00BC6177" w:rsidDel="0021054B">
          <w:delText>.</w:delText>
        </w:r>
      </w:del>
      <w:r w:rsidR="00BC6177" w:rsidRPr="00BC6177">
        <w:t xml:space="preserve"> </w:t>
      </w:r>
    </w:p>
    <w:p w14:paraId="6365A441" w14:textId="77777777" w:rsidR="00AC7B1D" w:rsidRDefault="006E0359" w:rsidP="00A43FA5">
      <w:pPr>
        <w:spacing w:line="360" w:lineRule="auto"/>
        <w:jc w:val="both"/>
        <w:rPr>
          <w:color w:val="00B050"/>
        </w:rPr>
      </w:pPr>
      <w:r w:rsidRPr="005947F8">
        <w:rPr>
          <w:color w:val="00B050"/>
        </w:rPr>
        <w:t xml:space="preserve"> </w:t>
      </w:r>
    </w:p>
    <w:p w14:paraId="4D5B448E" w14:textId="77777777" w:rsidR="00D84331" w:rsidRPr="001D151C" w:rsidRDefault="00D84331" w:rsidP="00A43FA5">
      <w:pPr>
        <w:pStyle w:val="ListParagraph"/>
        <w:numPr>
          <w:ilvl w:val="0"/>
          <w:numId w:val="1"/>
        </w:numPr>
        <w:spacing w:line="360" w:lineRule="auto"/>
        <w:jc w:val="center"/>
        <w:rPr>
          <w:b/>
          <w:sz w:val="28"/>
        </w:rPr>
      </w:pPr>
      <w:r w:rsidRPr="001D151C">
        <w:rPr>
          <w:b/>
          <w:sz w:val="28"/>
        </w:rPr>
        <w:t>Concluding Threads</w:t>
      </w:r>
    </w:p>
    <w:p w14:paraId="4161C77D" w14:textId="77777777" w:rsidR="00844E1E" w:rsidRDefault="00844E1E" w:rsidP="00A43FA5">
      <w:pPr>
        <w:spacing w:line="360" w:lineRule="auto"/>
        <w:rPr>
          <w:sz w:val="24"/>
        </w:rPr>
      </w:pPr>
      <w:r>
        <w:rPr>
          <w:sz w:val="24"/>
        </w:rPr>
        <w:t>MD</w:t>
      </w:r>
      <w:r w:rsidR="002848E3">
        <w:rPr>
          <w:sz w:val="24"/>
        </w:rPr>
        <w:t xml:space="preserve"> is a</w:t>
      </w:r>
      <w:r w:rsidR="00F84CB5" w:rsidRPr="00F84CB5">
        <w:rPr>
          <w:sz w:val="24"/>
        </w:rPr>
        <w:t xml:space="preserve"> tale of transformation</w:t>
      </w:r>
      <w:r w:rsidR="00F671B2" w:rsidRPr="00F671B2">
        <w:rPr>
          <w:sz w:val="24"/>
        </w:rPr>
        <w:t xml:space="preserve"> </w:t>
      </w:r>
      <w:r w:rsidR="00F671B2">
        <w:rPr>
          <w:sz w:val="24"/>
        </w:rPr>
        <w:t>mirroring the ecclesiastical tale of NB</w:t>
      </w:r>
      <w:r w:rsidR="00F671B2" w:rsidRPr="00F84CB5">
        <w:rPr>
          <w:sz w:val="24"/>
        </w:rPr>
        <w:t>.</w:t>
      </w:r>
      <w:r w:rsidR="00F84CB5">
        <w:rPr>
          <w:rStyle w:val="FootnoteReference"/>
          <w:sz w:val="24"/>
        </w:rPr>
        <w:footnoteReference w:id="51"/>
      </w:r>
      <w:r w:rsidR="00F84CB5">
        <w:rPr>
          <w:sz w:val="24"/>
        </w:rPr>
        <w:t xml:space="preserve"> </w:t>
      </w:r>
      <w:r>
        <w:rPr>
          <w:sz w:val="24"/>
        </w:rPr>
        <w:t>Though many features could be said to run parallel</w:t>
      </w:r>
      <w:r w:rsidR="002848E3">
        <w:rPr>
          <w:sz w:val="24"/>
        </w:rPr>
        <w:t xml:space="preserve"> in </w:t>
      </w:r>
      <w:r>
        <w:rPr>
          <w:sz w:val="24"/>
        </w:rPr>
        <w:t>the tale</w:t>
      </w:r>
      <w:r w:rsidR="002848E3">
        <w:rPr>
          <w:sz w:val="24"/>
        </w:rPr>
        <w:t>s</w:t>
      </w:r>
      <w:r>
        <w:rPr>
          <w:sz w:val="24"/>
        </w:rPr>
        <w:t>, others do not.</w:t>
      </w:r>
    </w:p>
    <w:p w14:paraId="5F2EE053" w14:textId="77777777" w:rsidR="00844E1E" w:rsidRDefault="008B376F" w:rsidP="00A43FA5">
      <w:pPr>
        <w:spacing w:line="360" w:lineRule="auto"/>
        <w:rPr>
          <w:sz w:val="24"/>
        </w:rPr>
      </w:pPr>
      <w:r>
        <w:rPr>
          <w:sz w:val="24"/>
        </w:rPr>
        <w:t>It is essentially a redemption</w:t>
      </w:r>
      <w:r w:rsidR="00844E1E">
        <w:rPr>
          <w:sz w:val="24"/>
        </w:rPr>
        <w:t xml:space="preserve"> tale told to instil the Christian value of forgiveness. Otherworld motifs such as singing birds, branches and supernatural women</w:t>
      </w:r>
      <w:r w:rsidR="00131F77" w:rsidRPr="00131F77">
        <w:rPr>
          <w:sz w:val="24"/>
        </w:rPr>
        <w:t xml:space="preserve"> </w:t>
      </w:r>
      <w:r w:rsidR="00131F77">
        <w:rPr>
          <w:sz w:val="24"/>
        </w:rPr>
        <w:t>however, may belong to the pagan tradition</w:t>
      </w:r>
      <w:r w:rsidR="00131F77" w:rsidRPr="00131F77">
        <w:rPr>
          <w:sz w:val="24"/>
        </w:rPr>
        <w:t xml:space="preserve"> </w:t>
      </w:r>
      <w:r w:rsidR="00131F77">
        <w:rPr>
          <w:sz w:val="24"/>
        </w:rPr>
        <w:t>in which humankind had</w:t>
      </w:r>
      <w:r w:rsidR="00131F77" w:rsidRPr="007E046A">
        <w:rPr>
          <w:sz w:val="24"/>
        </w:rPr>
        <w:t xml:space="preserve"> </w:t>
      </w:r>
      <w:r w:rsidR="00131F77">
        <w:rPr>
          <w:sz w:val="24"/>
        </w:rPr>
        <w:t>an innate understanding of the cyclical nature of birth, death and rebirth</w:t>
      </w:r>
      <w:r w:rsidR="004B78B5" w:rsidRPr="004B78B5">
        <w:rPr>
          <w:sz w:val="24"/>
        </w:rPr>
        <w:t xml:space="preserve"> </w:t>
      </w:r>
      <w:r w:rsidR="004B78B5">
        <w:rPr>
          <w:sz w:val="24"/>
        </w:rPr>
        <w:t>with woman seen as the intermediary, the living embodiment of the land and its seasons.</w:t>
      </w:r>
      <w:r w:rsidR="00131F77">
        <w:rPr>
          <w:rStyle w:val="FootnoteReference"/>
          <w:sz w:val="24"/>
        </w:rPr>
        <w:footnoteReference w:id="52"/>
      </w:r>
    </w:p>
    <w:p w14:paraId="2460A8CB" w14:textId="77777777" w:rsidR="00AC4178" w:rsidRDefault="00AC4178" w:rsidP="00AC4178">
      <w:pPr>
        <w:spacing w:line="360" w:lineRule="auto"/>
        <w:jc w:val="center"/>
        <w:rPr>
          <w:sz w:val="28"/>
          <w:u w:val="single"/>
        </w:rPr>
      </w:pPr>
      <w:r w:rsidRPr="00AC4178">
        <w:rPr>
          <w:sz w:val="28"/>
          <w:u w:val="single"/>
        </w:rPr>
        <w:t>Bibliography</w:t>
      </w:r>
    </w:p>
    <w:p w14:paraId="2B384904" w14:textId="77777777" w:rsidR="00BA4FE1" w:rsidRDefault="00BA4FE1" w:rsidP="00BA4FE1">
      <w:pPr>
        <w:pStyle w:val="ListParagraph"/>
        <w:numPr>
          <w:ilvl w:val="0"/>
          <w:numId w:val="3"/>
        </w:numPr>
        <w:rPr>
          <w:b/>
          <w:bCs/>
        </w:rPr>
      </w:pPr>
      <w:r w:rsidRPr="006E7F3A">
        <w:rPr>
          <w:b/>
          <w:bCs/>
        </w:rPr>
        <w:t>Printed Primary Sources</w:t>
      </w:r>
    </w:p>
    <w:p w14:paraId="2955ED0E" w14:textId="77777777" w:rsidR="00BA4FE1" w:rsidRDefault="00BA4FE1" w:rsidP="00BA4FE1">
      <w:pPr>
        <w:rPr>
          <w:bCs/>
        </w:rPr>
      </w:pPr>
      <w:r w:rsidRPr="00B64C86">
        <w:rPr>
          <w:bCs/>
          <w:i/>
        </w:rPr>
        <w:lastRenderedPageBreak/>
        <w:t>Culhwch and Olwen</w:t>
      </w:r>
      <w:r>
        <w:rPr>
          <w:bCs/>
          <w:i/>
        </w:rPr>
        <w:t>,</w:t>
      </w:r>
      <w:r>
        <w:rPr>
          <w:bCs/>
        </w:rPr>
        <w:t xml:space="preserve"> eds. </w:t>
      </w:r>
      <w:r w:rsidRPr="00B64C86">
        <w:rPr>
          <w:bCs/>
        </w:rPr>
        <w:t>Bromwich</w:t>
      </w:r>
      <w:r>
        <w:rPr>
          <w:bCs/>
        </w:rPr>
        <w:t>, Rachel and</w:t>
      </w:r>
      <w:r w:rsidRPr="00B64C86">
        <w:rPr>
          <w:bCs/>
        </w:rPr>
        <w:t xml:space="preserve"> Evans</w:t>
      </w:r>
      <w:r>
        <w:rPr>
          <w:bCs/>
        </w:rPr>
        <w:t>, D, Simon, (Cardiff: University of Wales Press, 1992)</w:t>
      </w:r>
    </w:p>
    <w:p w14:paraId="6073FA51" w14:textId="77777777" w:rsidR="00BA4FE1" w:rsidRDefault="00BA4FE1" w:rsidP="00BA4FE1">
      <w:pPr>
        <w:rPr>
          <w:bCs/>
        </w:rPr>
      </w:pPr>
      <w:r>
        <w:rPr>
          <w:bCs/>
          <w:i/>
        </w:rPr>
        <w:t xml:space="preserve">Culhwch ac Olwen, </w:t>
      </w:r>
      <w:r>
        <w:rPr>
          <w:bCs/>
        </w:rPr>
        <w:t>eds.</w:t>
      </w:r>
      <w:r w:rsidRPr="00B64C86">
        <w:rPr>
          <w:bCs/>
        </w:rPr>
        <w:t xml:space="preserve"> Bromwic</w:t>
      </w:r>
      <w:r>
        <w:rPr>
          <w:bCs/>
        </w:rPr>
        <w:t>h, Rachel and</w:t>
      </w:r>
      <w:r w:rsidRPr="00B64C86">
        <w:rPr>
          <w:bCs/>
        </w:rPr>
        <w:t xml:space="preserve"> Evans</w:t>
      </w:r>
      <w:r>
        <w:rPr>
          <w:bCs/>
        </w:rPr>
        <w:t>, D. Simon, 3</w:t>
      </w:r>
      <w:r w:rsidRPr="00B64C86">
        <w:rPr>
          <w:bCs/>
          <w:vertAlign w:val="superscript"/>
        </w:rPr>
        <w:t>rd</w:t>
      </w:r>
      <w:r>
        <w:rPr>
          <w:bCs/>
        </w:rPr>
        <w:t xml:space="preserve"> edn. (Caerdydd: Gwasg Prisfysgol Cymru, 2012)</w:t>
      </w:r>
    </w:p>
    <w:p w14:paraId="5C56D329" w14:textId="77777777" w:rsidR="00B03E17" w:rsidRDefault="00B03E17" w:rsidP="00B03E17">
      <w:r w:rsidRPr="00E462FB">
        <w:t xml:space="preserve"> Immram Curaig Mail D</w:t>
      </w:r>
      <w:r>
        <w:t>ú</w:t>
      </w:r>
      <w:r w:rsidRPr="00E462FB">
        <w:t>in</w:t>
      </w:r>
      <w:r>
        <w:t>, the text of, v</w:t>
      </w:r>
      <w:r w:rsidRPr="00E462FB">
        <w:t xml:space="preserve">an Hamel, A.G., </w:t>
      </w:r>
      <w:r>
        <w:t xml:space="preserve">in </w:t>
      </w:r>
      <w:r w:rsidRPr="00E462FB">
        <w:rPr>
          <w:i/>
        </w:rPr>
        <w:t>É</w:t>
      </w:r>
      <w:r>
        <w:rPr>
          <w:i/>
        </w:rPr>
        <w:t>tudes Celtiqu</w:t>
      </w:r>
      <w:r w:rsidRPr="007F0543">
        <w:rPr>
          <w:i/>
        </w:rPr>
        <w:t xml:space="preserve">e </w:t>
      </w:r>
      <w:r w:rsidRPr="007F0543">
        <w:t>3:</w:t>
      </w:r>
      <w:r>
        <w:t xml:space="preserve"> (1938) 1-20</w:t>
      </w:r>
    </w:p>
    <w:p w14:paraId="09EFAEA7" w14:textId="77777777" w:rsidR="00BA4FE1" w:rsidRPr="0068615C" w:rsidRDefault="00BA4FE1" w:rsidP="00BA4FE1">
      <w:pPr>
        <w:rPr>
          <w:bCs/>
        </w:rPr>
      </w:pPr>
      <w:r w:rsidRPr="0068615C">
        <w:rPr>
          <w:bCs/>
          <w:i/>
        </w:rPr>
        <w:t>Preiddeu Annwn</w:t>
      </w:r>
      <w:r w:rsidRPr="0068615C">
        <w:rPr>
          <w:bCs/>
        </w:rPr>
        <w:t>, Haycock, M.,</w:t>
      </w:r>
      <w:r>
        <w:rPr>
          <w:bCs/>
        </w:rPr>
        <w:t xml:space="preserve"> ed, trans, in ‘’Preiddeu Annwn’ and the Figure of Taliesin’, </w:t>
      </w:r>
      <w:r w:rsidRPr="0068615C">
        <w:rPr>
          <w:bCs/>
          <w:i/>
        </w:rPr>
        <w:t>Studia Celtica</w:t>
      </w:r>
      <w:r>
        <w:rPr>
          <w:bCs/>
        </w:rPr>
        <w:t xml:space="preserve"> 18/19 (1983-4), 60-77</w:t>
      </w:r>
    </w:p>
    <w:p w14:paraId="4B0BFF94" w14:textId="77777777" w:rsidR="00BA4FE1" w:rsidRDefault="00BA4FE1" w:rsidP="00BA4FE1">
      <w:pPr>
        <w:rPr>
          <w:bCs/>
        </w:rPr>
      </w:pPr>
      <w:r>
        <w:rPr>
          <w:i/>
        </w:rPr>
        <w:t>Prophecies from the Book of Taliesin</w:t>
      </w:r>
      <w:r>
        <w:t>,</w:t>
      </w:r>
      <w:r w:rsidRPr="0068615C">
        <w:t xml:space="preserve"> </w:t>
      </w:r>
      <w:r>
        <w:t>Haycock, M., ed, trans, (Aberystwyth: CMCS Publications, 2013)</w:t>
      </w:r>
    </w:p>
    <w:p w14:paraId="2658B279" w14:textId="77777777" w:rsidR="00BA4FE1" w:rsidRDefault="00BA4FE1" w:rsidP="00A9559F">
      <w:pPr>
        <w:shd w:val="clear" w:color="auto" w:fill="FEFDFA"/>
        <w:spacing w:line="240" w:lineRule="auto"/>
        <w:rPr>
          <w:rStyle w:val="exlavailabilitycallnumber"/>
          <w:rFonts w:cs="Arial"/>
          <w:bdr w:val="none" w:sz="0" w:space="0" w:color="auto" w:frame="1"/>
        </w:rPr>
      </w:pPr>
      <w:r w:rsidRPr="006A1A87">
        <w:rPr>
          <w:rStyle w:val="exlavailabilitycallnumber"/>
          <w:rFonts w:cs="Arial"/>
          <w:i/>
          <w:bdr w:val="none" w:sz="0" w:space="0" w:color="auto" w:frame="1"/>
        </w:rPr>
        <w:t xml:space="preserve">Teigue mac Cein’s Adventure </w:t>
      </w:r>
      <w:r w:rsidRPr="006A1A87">
        <w:rPr>
          <w:rStyle w:val="exlavailabilitycallnumber"/>
          <w:rFonts w:cs="Arial"/>
          <w:bdr w:val="none" w:sz="0" w:space="0" w:color="auto" w:frame="1"/>
        </w:rPr>
        <w:t>in O’Grady, S.H. ed &amp; trans,</w:t>
      </w:r>
      <w:r w:rsidRPr="006A1A87">
        <w:rPr>
          <w:rStyle w:val="exlavailabilitycallnumber"/>
          <w:rFonts w:cs="Arial"/>
          <w:i/>
          <w:bdr w:val="none" w:sz="0" w:space="0" w:color="auto" w:frame="1"/>
        </w:rPr>
        <w:t xml:space="preserve"> Silva Gadelica </w:t>
      </w:r>
      <w:r w:rsidRPr="006A1A87">
        <w:rPr>
          <w:rStyle w:val="exlavailabilitycallnumber"/>
          <w:rFonts w:cs="Arial"/>
          <w:bdr w:val="none" w:sz="0" w:space="0" w:color="auto" w:frame="1"/>
        </w:rPr>
        <w:t>(London: Williams &amp; Norgate, 1892) Xvii pp385-400</w:t>
      </w:r>
    </w:p>
    <w:p w14:paraId="33C3A067" w14:textId="77777777" w:rsidR="00BA4FE1" w:rsidRDefault="00BA4FE1" w:rsidP="00BA4FE1">
      <w:r w:rsidRPr="004927D7">
        <w:rPr>
          <w:i/>
        </w:rPr>
        <w:t>The Bible: King James illustrated Holy Bible</w:t>
      </w:r>
      <w:r>
        <w:t xml:space="preserve"> (Cambridge: Cambridge University Press, nd)</w:t>
      </w:r>
    </w:p>
    <w:p w14:paraId="72ED5E17" w14:textId="77777777" w:rsidR="00BA4FE1" w:rsidRDefault="00BA4FE1" w:rsidP="00A9559F">
      <w:pPr>
        <w:spacing w:line="240" w:lineRule="auto"/>
      </w:pPr>
      <w:r w:rsidRPr="006A1A87">
        <w:rPr>
          <w:rFonts w:eastAsia="Times New Roman" w:cs="Times New Roman"/>
          <w:bCs/>
          <w:i/>
          <w:kern w:val="36"/>
          <w:lang w:eastAsia="en-GB"/>
        </w:rPr>
        <w:t>The Obsolescence of Oracles</w:t>
      </w:r>
      <w:r>
        <w:rPr>
          <w:rFonts w:eastAsia="Times New Roman" w:cs="Times New Roman"/>
          <w:bCs/>
          <w:i/>
          <w:kern w:val="36"/>
          <w:lang w:eastAsia="en-GB"/>
        </w:rPr>
        <w:t>,</w:t>
      </w:r>
      <w:r w:rsidRPr="006A1A87">
        <w:rPr>
          <w:rFonts w:ascii="Times New Roman" w:eastAsia="Times New Roman" w:hAnsi="Times New Roman" w:cs="Times New Roman"/>
          <w:sz w:val="42"/>
          <w:szCs w:val="42"/>
          <w:lang w:eastAsia="en-GB"/>
        </w:rPr>
        <w:t xml:space="preserve"> </w:t>
      </w:r>
      <w:r w:rsidRPr="006A1A87">
        <w:rPr>
          <w:rFonts w:eastAsia="Times New Roman" w:cs="Times New Roman"/>
          <w:bCs/>
          <w:lang w:eastAsia="en-GB"/>
        </w:rPr>
        <w:t>Plutarch, </w:t>
      </w:r>
      <w:r>
        <w:rPr>
          <w:rFonts w:eastAsia="Times New Roman" w:cs="Times New Roman"/>
          <w:bCs/>
          <w:lang w:eastAsia="en-GB"/>
        </w:rPr>
        <w:t xml:space="preserve">in </w:t>
      </w:r>
      <w:r w:rsidRPr="006A1A87">
        <w:rPr>
          <w:rFonts w:eastAsia="Times New Roman" w:cs="Times New Roman"/>
          <w:bCs/>
          <w:i/>
          <w:lang w:eastAsia="en-GB"/>
        </w:rPr>
        <w:t>Moralia</w:t>
      </w:r>
      <w:r>
        <w:rPr>
          <w:rFonts w:eastAsia="Times New Roman" w:cs="Times New Roman"/>
          <w:bCs/>
          <w:lang w:eastAsia="en-GB"/>
        </w:rPr>
        <w:t xml:space="preserve"> (</w:t>
      </w:r>
      <w:r w:rsidRPr="006A1A87">
        <w:rPr>
          <w:rFonts w:eastAsia="Times New Roman" w:cs="Times New Roman"/>
          <w:lang w:eastAsia="en-GB"/>
        </w:rPr>
        <w:t xml:space="preserve">Loeb Classical Library </w:t>
      </w:r>
      <w:r>
        <w:rPr>
          <w:rFonts w:eastAsia="Times New Roman" w:cs="Times New Roman"/>
          <w:lang w:eastAsia="en-GB"/>
        </w:rPr>
        <w:t>V, 1936) pp347</w:t>
      </w:r>
      <w:r>
        <w:rPr>
          <w:rFonts w:eastAsia="Times New Roman" w:cs="Times New Roman"/>
          <w:lang w:eastAsia="en-GB"/>
        </w:rPr>
        <w:noBreakHyphen/>
        <w:t>501.</w:t>
      </w:r>
      <w:r w:rsidRPr="006A1A87">
        <w:rPr>
          <w:rFonts w:eastAsia="Times New Roman" w:cs="Times New Roman"/>
          <w:lang w:eastAsia="en-GB"/>
        </w:rPr>
        <w:t xml:space="preserve"> The Greek text and the English translation (by F. C. Babbitt) are now in the public domain pursuant to the 1978 revision of the U. S. Copyright Code, </w:t>
      </w:r>
      <w:r w:rsidRPr="001D1217">
        <w:rPr>
          <w:rFonts w:eastAsia="Times New Roman" w:cs="Times New Roman"/>
          <w:lang w:eastAsia="en-GB"/>
        </w:rPr>
        <w:t>since the copyright expired in 1964</w:t>
      </w:r>
      <w:r>
        <w:rPr>
          <w:rFonts w:eastAsia="Times New Roman" w:cs="Times New Roman"/>
          <w:lang w:eastAsia="en-GB"/>
        </w:rPr>
        <w:t xml:space="preserve">   [Online at </w:t>
      </w:r>
      <w:hyperlink r:id="rId11" w:history="1">
        <w:r w:rsidRPr="00B40F46">
          <w:rPr>
            <w:rStyle w:val="Hyperlink"/>
          </w:rPr>
          <w:t>http://penelope.uchicago.edu/Thayer/E/Roman/Texts/Plutarch/Moralia/De_defectu_oraculorum*.html</w:t>
        </w:r>
      </w:hyperlink>
      <w:r>
        <w:t xml:space="preserve">] &lt;Accessed on 280218&gt; </w:t>
      </w:r>
    </w:p>
    <w:p w14:paraId="173F8DEC" w14:textId="77777777" w:rsidR="00BA4FE1" w:rsidRPr="00D7534B" w:rsidRDefault="00BA4FE1" w:rsidP="00A9559F">
      <w:pPr>
        <w:spacing w:line="240" w:lineRule="auto"/>
      </w:pPr>
      <w:r>
        <w:rPr>
          <w:i/>
        </w:rPr>
        <w:t>The Mabinogion</w:t>
      </w:r>
      <w:r>
        <w:t xml:space="preserve">, trans. Lady Charlotte Guest, Transcribed from the 1849 edition text by David Price, email </w:t>
      </w:r>
      <w:hyperlink r:id="rId12" w:history="1">
        <w:r w:rsidRPr="00597AD4">
          <w:rPr>
            <w:rStyle w:val="Hyperlink"/>
          </w:rPr>
          <w:t>ccx074@coventry.ac.uk</w:t>
        </w:r>
      </w:hyperlink>
      <w:r>
        <w:t xml:space="preserve"> (Project Gutenberg, 2002) [Online: </w:t>
      </w:r>
      <w:hyperlink r:id="rId13" w:history="1">
        <w:r w:rsidRPr="00597AD4">
          <w:rPr>
            <w:rStyle w:val="Hyperlink"/>
          </w:rPr>
          <w:t>http://public-library.uk/pdfs/7/661.pdf</w:t>
        </w:r>
      </w:hyperlink>
      <w:r>
        <w:t xml:space="preserve"> ] &lt;Accessed 300318&gt; </w:t>
      </w:r>
    </w:p>
    <w:p w14:paraId="7C344A0F" w14:textId="77777777" w:rsidR="00BA4FE1" w:rsidRDefault="00BA4FE1" w:rsidP="00BA4FE1">
      <w:pPr>
        <w:rPr>
          <w:bCs/>
        </w:rPr>
      </w:pPr>
      <w:r w:rsidRPr="00DE69A2">
        <w:rPr>
          <w:bCs/>
          <w:i/>
        </w:rPr>
        <w:t>The Mabinogion</w:t>
      </w:r>
      <w:r>
        <w:rPr>
          <w:bCs/>
          <w:i/>
        </w:rPr>
        <w:t>,</w:t>
      </w:r>
      <w:r>
        <w:rPr>
          <w:bCs/>
        </w:rPr>
        <w:t xml:space="preserve"> trans. Jones, Gwyn and Jones, Thomas, (London: Everyman’s Library, 1949)</w:t>
      </w:r>
    </w:p>
    <w:p w14:paraId="7D0A0B8B" w14:textId="77777777" w:rsidR="00BA4FE1" w:rsidRPr="00DE69A2" w:rsidRDefault="00BA4FE1" w:rsidP="00BA4FE1">
      <w:pPr>
        <w:rPr>
          <w:bCs/>
        </w:rPr>
      </w:pPr>
      <w:r w:rsidRPr="00DE69A2">
        <w:rPr>
          <w:bCs/>
          <w:i/>
        </w:rPr>
        <w:t>The Mabinogion</w:t>
      </w:r>
      <w:r>
        <w:rPr>
          <w:bCs/>
          <w:i/>
        </w:rPr>
        <w:t xml:space="preserve">, </w:t>
      </w:r>
      <w:r>
        <w:rPr>
          <w:bCs/>
        </w:rPr>
        <w:t>trans. Davies, Sioned, (Oxford, Oxford University Press, 2007)</w:t>
      </w:r>
    </w:p>
    <w:p w14:paraId="0569DB7F" w14:textId="77777777" w:rsidR="00BA4FE1" w:rsidRDefault="00BA4FE1" w:rsidP="00BA4FE1">
      <w:pPr>
        <w:rPr>
          <w:bCs/>
          <w:i/>
        </w:rPr>
      </w:pPr>
      <w:r w:rsidRPr="00180023">
        <w:rPr>
          <w:bCs/>
          <w:i/>
        </w:rPr>
        <w:t>The Voyage of Bran Son of Febal to the Land of the Living</w:t>
      </w:r>
      <w:r>
        <w:rPr>
          <w:bCs/>
          <w:i/>
        </w:rPr>
        <w:t xml:space="preserve">, </w:t>
      </w:r>
      <w:r>
        <w:rPr>
          <w:bCs/>
        </w:rPr>
        <w:t>ed. t</w:t>
      </w:r>
      <w:r w:rsidRPr="00180023">
        <w:rPr>
          <w:bCs/>
        </w:rPr>
        <w:t>rans.</w:t>
      </w:r>
      <w:r>
        <w:rPr>
          <w:bCs/>
        </w:rPr>
        <w:t xml:space="preserve"> Meyer, Kuno, (London: David Nutt, 1895)</w:t>
      </w:r>
      <w:r w:rsidRPr="00180023">
        <w:rPr>
          <w:bCs/>
        </w:rPr>
        <w:t xml:space="preserve"> </w:t>
      </w:r>
      <w:r>
        <w:rPr>
          <w:bCs/>
          <w:i/>
        </w:rPr>
        <w:t xml:space="preserve"> </w:t>
      </w:r>
    </w:p>
    <w:p w14:paraId="49163E53" w14:textId="77777777" w:rsidR="00BA4FE1" w:rsidRPr="00E462FB" w:rsidRDefault="00BA4FE1" w:rsidP="00A9559F">
      <w:pPr>
        <w:spacing w:line="240" w:lineRule="auto"/>
        <w:rPr>
          <w:bCs/>
        </w:rPr>
      </w:pPr>
      <w:r w:rsidRPr="00E462FB">
        <w:rPr>
          <w:bCs/>
          <w:i/>
        </w:rPr>
        <w:t xml:space="preserve">The </w:t>
      </w:r>
      <w:r>
        <w:rPr>
          <w:bCs/>
          <w:i/>
        </w:rPr>
        <w:t xml:space="preserve">Voyage of Máel Dúin’s Boat, </w:t>
      </w:r>
      <w:r>
        <w:rPr>
          <w:bCs/>
        </w:rPr>
        <w:t xml:space="preserve">trans. Whitely Stokes, </w:t>
      </w:r>
      <w:r w:rsidRPr="00E462FB">
        <w:rPr>
          <w:bCs/>
          <w:i/>
        </w:rPr>
        <w:t>Revue Celtique</w:t>
      </w:r>
      <w:r>
        <w:rPr>
          <w:bCs/>
          <w:i/>
        </w:rPr>
        <w:t xml:space="preserve">  </w:t>
      </w:r>
      <w:r w:rsidRPr="00E462FB">
        <w:rPr>
          <w:b/>
          <w:bCs/>
        </w:rPr>
        <w:t>9</w:t>
      </w:r>
      <w:r>
        <w:rPr>
          <w:bCs/>
        </w:rPr>
        <w:t xml:space="preserve">: (1888), pp447-495; </w:t>
      </w:r>
      <w:r w:rsidRPr="00E462FB">
        <w:rPr>
          <w:b/>
          <w:bCs/>
        </w:rPr>
        <w:t>10</w:t>
      </w:r>
      <w:r>
        <w:rPr>
          <w:bCs/>
        </w:rPr>
        <w:t>: (1889), pp50-95, 264</w:t>
      </w:r>
    </w:p>
    <w:p w14:paraId="7561CFEA" w14:textId="77777777" w:rsidR="00BA4FE1" w:rsidRPr="00D1212D" w:rsidRDefault="00BA4FE1" w:rsidP="00A9559F">
      <w:pPr>
        <w:spacing w:line="240" w:lineRule="auto"/>
        <w:rPr>
          <w:bCs/>
        </w:rPr>
      </w:pPr>
      <w:r w:rsidRPr="00D1212D">
        <w:rPr>
          <w:bCs/>
          <w:i/>
        </w:rPr>
        <w:t>The Voyage of</w:t>
      </w:r>
      <w:r>
        <w:rPr>
          <w:bCs/>
        </w:rPr>
        <w:t xml:space="preserve"> </w:t>
      </w:r>
      <w:r>
        <w:rPr>
          <w:bCs/>
          <w:i/>
        </w:rPr>
        <w:t>Máel Dúin, ed. &amp; trans .</w:t>
      </w:r>
      <w:r>
        <w:rPr>
          <w:bCs/>
        </w:rPr>
        <w:t xml:space="preserve">Oskamp, H.P.A., (Groningen: Walters-Noordholf, 1970) </w:t>
      </w:r>
      <w:r w:rsidRPr="007C22C5">
        <w:rPr>
          <w:bCs/>
        </w:rPr>
        <w:t xml:space="preserve">Part 2 text and translation </w:t>
      </w:r>
      <w:r>
        <w:rPr>
          <w:bCs/>
        </w:rPr>
        <w:t>pp</w:t>
      </w:r>
      <w:r w:rsidRPr="007C22C5">
        <w:rPr>
          <w:bCs/>
        </w:rPr>
        <w:t>99-180</w:t>
      </w:r>
    </w:p>
    <w:p w14:paraId="44723513" w14:textId="77777777" w:rsidR="00BA4FE1" w:rsidRPr="00180023" w:rsidRDefault="00BA4FE1" w:rsidP="00BA4FE1">
      <w:pPr>
        <w:rPr>
          <w:bCs/>
        </w:rPr>
      </w:pPr>
      <w:r>
        <w:rPr>
          <w:bCs/>
          <w:i/>
        </w:rPr>
        <w:t>The Voyage of St Brendan</w:t>
      </w:r>
      <w:r>
        <w:rPr>
          <w:bCs/>
        </w:rPr>
        <w:t>, trans.</w:t>
      </w:r>
      <w:r w:rsidRPr="00E0046F">
        <w:rPr>
          <w:bCs/>
        </w:rPr>
        <w:t xml:space="preserve"> O’Donoghue</w:t>
      </w:r>
      <w:r>
        <w:rPr>
          <w:bCs/>
        </w:rPr>
        <w:t xml:space="preserve">, Denis, in </w:t>
      </w:r>
      <w:r w:rsidRPr="00E0046F">
        <w:rPr>
          <w:bCs/>
          <w:i/>
        </w:rPr>
        <w:t>Brendaniana</w:t>
      </w:r>
      <w:r>
        <w:rPr>
          <w:bCs/>
        </w:rPr>
        <w:t>, (Dublin: 1893)</w:t>
      </w:r>
    </w:p>
    <w:p w14:paraId="6C6AF77C" w14:textId="77777777" w:rsidR="00BA4FE1" w:rsidRDefault="00BA4FE1" w:rsidP="00A9559F">
      <w:pPr>
        <w:spacing w:line="240" w:lineRule="auto"/>
        <w:rPr>
          <w:bCs/>
        </w:rPr>
      </w:pPr>
      <w:r w:rsidRPr="00BA724A">
        <w:rPr>
          <w:bCs/>
          <w:i/>
        </w:rPr>
        <w:t>The Voyage of Saint Brendan</w:t>
      </w:r>
      <w:r>
        <w:rPr>
          <w:bCs/>
        </w:rPr>
        <w:t>, trans. O’Meara, John, O., 3</w:t>
      </w:r>
      <w:r w:rsidRPr="00A76475">
        <w:rPr>
          <w:bCs/>
          <w:vertAlign w:val="superscript"/>
        </w:rPr>
        <w:t>rd</w:t>
      </w:r>
      <w:r>
        <w:rPr>
          <w:bCs/>
        </w:rPr>
        <w:t xml:space="preserve"> edn (Buckinghamshire: Colin Smythe Limited, 1991)</w:t>
      </w:r>
    </w:p>
    <w:p w14:paraId="5EA54B3A" w14:textId="77777777" w:rsidR="00045A22" w:rsidRDefault="00045A22" w:rsidP="00045A22">
      <w:pPr>
        <w:spacing w:line="240" w:lineRule="auto"/>
        <w:rPr>
          <w:bCs/>
        </w:rPr>
      </w:pPr>
      <w:r w:rsidRPr="00DE55E2">
        <w:rPr>
          <w:bCs/>
          <w:i/>
        </w:rPr>
        <w:t>Trioedd Ynys Prydein</w:t>
      </w:r>
      <w:r>
        <w:rPr>
          <w:bCs/>
          <w:i/>
        </w:rPr>
        <w:t xml:space="preserve">: The Triads of the Island of Britain, </w:t>
      </w:r>
      <w:r>
        <w:rPr>
          <w:bCs/>
        </w:rPr>
        <w:t>Bromwich, R., 4</w:t>
      </w:r>
      <w:r w:rsidRPr="00BC79CF">
        <w:rPr>
          <w:bCs/>
          <w:vertAlign w:val="superscript"/>
        </w:rPr>
        <w:t>th</w:t>
      </w:r>
      <w:r>
        <w:rPr>
          <w:bCs/>
        </w:rPr>
        <w:t xml:space="preserve"> edn, (Cardiff: University of Wales Press, 2014)</w:t>
      </w:r>
    </w:p>
    <w:p w14:paraId="0643E197" w14:textId="77777777" w:rsidR="00406377" w:rsidRPr="00BC79CF" w:rsidRDefault="00406377" w:rsidP="00045A22">
      <w:pPr>
        <w:spacing w:line="240" w:lineRule="auto"/>
        <w:rPr>
          <w:bCs/>
        </w:rPr>
      </w:pPr>
    </w:p>
    <w:p w14:paraId="75321872" w14:textId="77777777" w:rsidR="00BA4FE1" w:rsidRPr="006E7F3A" w:rsidRDefault="00BA4FE1" w:rsidP="00BA4FE1">
      <w:pPr>
        <w:rPr>
          <w:b/>
          <w:bCs/>
        </w:rPr>
      </w:pPr>
    </w:p>
    <w:p w14:paraId="1DE0CF44" w14:textId="77777777" w:rsidR="00BA4FE1" w:rsidRPr="006E7F3A" w:rsidRDefault="00BA4FE1" w:rsidP="00BA4FE1">
      <w:pPr>
        <w:pStyle w:val="ListParagraph"/>
        <w:numPr>
          <w:ilvl w:val="0"/>
          <w:numId w:val="3"/>
        </w:numPr>
        <w:rPr>
          <w:b/>
          <w:bCs/>
        </w:rPr>
      </w:pPr>
      <w:r w:rsidRPr="006E7F3A">
        <w:rPr>
          <w:b/>
          <w:bCs/>
        </w:rPr>
        <w:t>Secondary Works</w:t>
      </w:r>
    </w:p>
    <w:p w14:paraId="547C354D" w14:textId="77777777" w:rsidR="00BA4FE1" w:rsidRDefault="00BA4FE1" w:rsidP="00BA4FE1">
      <w:pPr>
        <w:pStyle w:val="Default"/>
        <w:rPr>
          <w:rFonts w:asciiTheme="minorHAnsi" w:hAnsiTheme="minorHAnsi"/>
          <w:color w:val="auto"/>
          <w:sz w:val="22"/>
          <w:szCs w:val="22"/>
        </w:rPr>
      </w:pPr>
      <w:r w:rsidRPr="008832DF">
        <w:rPr>
          <w:rFonts w:asciiTheme="minorHAnsi" w:hAnsiTheme="minorHAnsi"/>
          <w:bCs/>
          <w:color w:val="auto"/>
          <w:sz w:val="22"/>
          <w:szCs w:val="22"/>
        </w:rPr>
        <w:lastRenderedPageBreak/>
        <w:t xml:space="preserve">Adderley, M., </w:t>
      </w:r>
      <w:r>
        <w:rPr>
          <w:rFonts w:asciiTheme="minorHAnsi" w:hAnsiTheme="minorHAnsi"/>
          <w:bCs/>
          <w:color w:val="auto"/>
          <w:sz w:val="22"/>
          <w:szCs w:val="22"/>
        </w:rPr>
        <w:t>‘</w:t>
      </w:r>
      <w:r w:rsidRPr="008832DF">
        <w:rPr>
          <w:rFonts w:asciiTheme="minorHAnsi" w:hAnsiTheme="minorHAnsi"/>
          <w:bCs/>
          <w:color w:val="auto"/>
          <w:sz w:val="22"/>
          <w:szCs w:val="22"/>
        </w:rPr>
        <w:t>Singing to the Silent Sentinel: “Preiddeu Annwn” and the Oral Tradition</w:t>
      </w:r>
      <w:r>
        <w:rPr>
          <w:rFonts w:asciiTheme="minorHAnsi" w:hAnsiTheme="minorHAnsi"/>
          <w:bCs/>
          <w:color w:val="auto"/>
          <w:sz w:val="22"/>
          <w:szCs w:val="22"/>
        </w:rPr>
        <w:t>’</w:t>
      </w:r>
      <w:r w:rsidRPr="008832DF">
        <w:rPr>
          <w:rFonts w:asciiTheme="minorHAnsi" w:hAnsiTheme="minorHAnsi"/>
          <w:bCs/>
          <w:color w:val="auto"/>
          <w:sz w:val="22"/>
          <w:szCs w:val="22"/>
        </w:rPr>
        <w:t>,</w:t>
      </w:r>
      <w:r>
        <w:rPr>
          <w:rFonts w:asciiTheme="minorHAnsi" w:hAnsiTheme="minorHAnsi"/>
          <w:bCs/>
          <w:color w:val="auto"/>
          <w:sz w:val="22"/>
          <w:szCs w:val="22"/>
        </w:rPr>
        <w:t xml:space="preserve"> in</w:t>
      </w:r>
      <w:r w:rsidRPr="008832DF">
        <w:rPr>
          <w:rFonts w:asciiTheme="minorHAnsi" w:hAnsiTheme="minorHAnsi"/>
          <w:bCs/>
          <w:color w:val="auto"/>
          <w:sz w:val="22"/>
          <w:szCs w:val="22"/>
        </w:rPr>
        <w:t xml:space="preserve"> </w:t>
      </w:r>
      <w:r w:rsidRPr="008832DF">
        <w:rPr>
          <w:rFonts w:asciiTheme="minorHAnsi" w:hAnsiTheme="minorHAnsi"/>
          <w:bCs/>
          <w:i/>
          <w:color w:val="auto"/>
          <w:sz w:val="22"/>
          <w:szCs w:val="22"/>
        </w:rPr>
        <w:t>The Review of English Studies</w:t>
      </w:r>
      <w:r w:rsidRPr="008832DF">
        <w:rPr>
          <w:rFonts w:asciiTheme="minorHAnsi" w:hAnsiTheme="minorHAnsi"/>
          <w:bCs/>
          <w:color w:val="auto"/>
          <w:sz w:val="22"/>
          <w:szCs w:val="22"/>
        </w:rPr>
        <w:t>,</w:t>
      </w:r>
      <w:r w:rsidRPr="008832DF">
        <w:rPr>
          <w:rFonts w:asciiTheme="minorHAnsi" w:hAnsiTheme="minorHAnsi"/>
          <w:bCs/>
          <w:i/>
          <w:color w:val="auto"/>
          <w:sz w:val="22"/>
          <w:szCs w:val="22"/>
        </w:rPr>
        <w:t xml:space="preserve"> New Series,</w:t>
      </w:r>
      <w:r w:rsidRPr="008832DF">
        <w:rPr>
          <w:rFonts w:asciiTheme="minorHAnsi" w:hAnsiTheme="minorHAnsi"/>
          <w:bCs/>
          <w:color w:val="auto"/>
          <w:sz w:val="22"/>
          <w:szCs w:val="22"/>
        </w:rPr>
        <w:t xml:space="preserve"> 60 (244): (April 2009) 175-193. [Online: </w:t>
      </w:r>
      <w:hyperlink r:id="rId14" w:history="1">
        <w:r w:rsidRPr="008832DF">
          <w:rPr>
            <w:rStyle w:val="Hyperlink"/>
            <w:rFonts w:asciiTheme="minorHAnsi" w:hAnsiTheme="minorHAnsi"/>
            <w:color w:val="0070C0"/>
            <w:sz w:val="22"/>
            <w:szCs w:val="22"/>
          </w:rPr>
          <w:t>http://www.jstor.org/stable/40267537</w:t>
        </w:r>
      </w:hyperlink>
      <w:r w:rsidRPr="008832DF">
        <w:rPr>
          <w:rFonts w:asciiTheme="minorHAnsi" w:hAnsiTheme="minorHAnsi"/>
          <w:color w:val="auto"/>
          <w:sz w:val="22"/>
          <w:szCs w:val="22"/>
        </w:rPr>
        <w:t xml:space="preserve"> ] &lt;Accessed 07-01-2018 13:50 UTC&gt; </w:t>
      </w:r>
    </w:p>
    <w:p w14:paraId="3C159D65" w14:textId="77777777" w:rsidR="00BA4FE1" w:rsidRDefault="00BA4FE1" w:rsidP="00BA4FE1">
      <w:pPr>
        <w:pStyle w:val="Default"/>
        <w:rPr>
          <w:rFonts w:asciiTheme="minorHAnsi" w:hAnsiTheme="minorHAnsi"/>
          <w:color w:val="auto"/>
          <w:sz w:val="22"/>
          <w:szCs w:val="22"/>
        </w:rPr>
      </w:pPr>
    </w:p>
    <w:p w14:paraId="2443FE0A" w14:textId="77777777" w:rsidR="00BA4FE1" w:rsidRDefault="00BA4FE1" w:rsidP="00BA4FE1">
      <w:pPr>
        <w:pStyle w:val="Default"/>
        <w:rPr>
          <w:rFonts w:asciiTheme="minorHAnsi" w:hAnsiTheme="minorHAnsi"/>
          <w:color w:val="auto"/>
          <w:sz w:val="22"/>
          <w:szCs w:val="22"/>
        </w:rPr>
      </w:pPr>
      <w:r>
        <w:rPr>
          <w:rFonts w:asciiTheme="minorHAnsi" w:hAnsiTheme="minorHAnsi"/>
          <w:color w:val="auto"/>
          <w:sz w:val="22"/>
          <w:szCs w:val="22"/>
        </w:rPr>
        <w:t>Aldhouse-Green, M., ‘Pagan Celtic Religion and Early Celtic Myth: Connections or Coincidence?’ in</w:t>
      </w:r>
      <w:r w:rsidRPr="00D96B51">
        <w:rPr>
          <w:rFonts w:asciiTheme="minorHAnsi" w:hAnsiTheme="minorHAnsi"/>
          <w:color w:val="auto"/>
          <w:sz w:val="22"/>
          <w:szCs w:val="22"/>
        </w:rPr>
        <w:t xml:space="preserve"> Black, R., Gillies, W., &amp; O’Maolaiagh, R.,</w:t>
      </w:r>
      <w:r>
        <w:rPr>
          <w:rFonts w:asciiTheme="minorHAnsi" w:hAnsiTheme="minorHAnsi"/>
          <w:color w:val="auto"/>
          <w:sz w:val="22"/>
          <w:szCs w:val="22"/>
        </w:rPr>
        <w:t xml:space="preserve"> eds, </w:t>
      </w:r>
      <w:r>
        <w:rPr>
          <w:rFonts w:asciiTheme="minorHAnsi" w:hAnsiTheme="minorHAnsi"/>
          <w:i/>
          <w:color w:val="auto"/>
          <w:sz w:val="22"/>
          <w:szCs w:val="22"/>
        </w:rPr>
        <w:t>Celtic Connections: Procee</w:t>
      </w:r>
      <w:r w:rsidRPr="00D96B51">
        <w:rPr>
          <w:rFonts w:asciiTheme="minorHAnsi" w:hAnsiTheme="minorHAnsi"/>
          <w:i/>
          <w:color w:val="auto"/>
          <w:sz w:val="22"/>
          <w:szCs w:val="22"/>
        </w:rPr>
        <w:t>dings of the Tenth International Congress of Celtic Studies</w:t>
      </w:r>
      <w:r>
        <w:rPr>
          <w:rFonts w:asciiTheme="minorHAnsi" w:hAnsiTheme="minorHAnsi"/>
          <w:i/>
          <w:color w:val="auto"/>
          <w:sz w:val="22"/>
          <w:szCs w:val="22"/>
        </w:rPr>
        <w:t xml:space="preserve">, </w:t>
      </w:r>
      <w:r w:rsidRPr="00D96B51">
        <w:rPr>
          <w:rFonts w:asciiTheme="minorHAnsi" w:hAnsiTheme="minorHAnsi"/>
          <w:color w:val="auto"/>
          <w:sz w:val="22"/>
          <w:szCs w:val="22"/>
        </w:rPr>
        <w:t>1,</w:t>
      </w:r>
      <w:r>
        <w:rPr>
          <w:rFonts w:asciiTheme="minorHAnsi" w:hAnsiTheme="minorHAnsi"/>
          <w:color w:val="auto"/>
          <w:sz w:val="22"/>
          <w:szCs w:val="22"/>
        </w:rPr>
        <w:t xml:space="preserve"> </w:t>
      </w:r>
      <w:r w:rsidRPr="00D96B51">
        <w:rPr>
          <w:rFonts w:asciiTheme="minorHAnsi" w:hAnsiTheme="minorHAnsi"/>
          <w:color w:val="auto"/>
          <w:sz w:val="22"/>
          <w:szCs w:val="22"/>
        </w:rPr>
        <w:t>(East Linton</w:t>
      </w:r>
      <w:r>
        <w:rPr>
          <w:rFonts w:asciiTheme="minorHAnsi" w:hAnsiTheme="minorHAnsi"/>
          <w:color w:val="auto"/>
          <w:sz w:val="22"/>
          <w:szCs w:val="22"/>
        </w:rPr>
        <w:t>: Tuckwell Press, 1999) 82-90.</w:t>
      </w:r>
    </w:p>
    <w:p w14:paraId="5F759102" w14:textId="77777777" w:rsidR="00BA4FE1" w:rsidRDefault="00BA4FE1" w:rsidP="00BA4FE1">
      <w:pPr>
        <w:pStyle w:val="Default"/>
        <w:rPr>
          <w:rFonts w:asciiTheme="minorHAnsi" w:hAnsiTheme="minorHAnsi"/>
          <w:color w:val="auto"/>
          <w:sz w:val="22"/>
          <w:szCs w:val="22"/>
        </w:rPr>
      </w:pPr>
    </w:p>
    <w:p w14:paraId="3C48EF97" w14:textId="77777777" w:rsidR="00BA4FE1" w:rsidRPr="008832DF" w:rsidRDefault="00BA4FE1" w:rsidP="00A9559F">
      <w:pPr>
        <w:spacing w:line="240" w:lineRule="auto"/>
      </w:pPr>
      <w:r w:rsidRPr="00FA081C">
        <w:rPr>
          <w:shd w:val="clear" w:color="auto" w:fill="FFFFFF"/>
        </w:rPr>
        <w:t>Anon.</w:t>
      </w:r>
      <w:r>
        <w:rPr>
          <w:shd w:val="clear" w:color="auto" w:fill="FFFFFF"/>
        </w:rPr>
        <w:t>,</w:t>
      </w:r>
      <w:r w:rsidRPr="00FA081C">
        <w:rPr>
          <w:shd w:val="clear" w:color="auto" w:fill="FFFFFF"/>
        </w:rPr>
        <w:t xml:space="preserve"> </w:t>
      </w:r>
      <w:r>
        <w:rPr>
          <w:shd w:val="clear" w:color="auto" w:fill="FFFFFF"/>
        </w:rPr>
        <w:t>‘</w:t>
      </w:r>
      <w:r w:rsidRPr="00FA081C">
        <w:rPr>
          <w:shd w:val="clear" w:color="auto" w:fill="FFFFFF"/>
        </w:rPr>
        <w:t>Prophecies from the Book of</w:t>
      </w:r>
      <w:r>
        <w:rPr>
          <w:shd w:val="clear" w:color="auto" w:fill="FFFFFF"/>
        </w:rPr>
        <w:t xml:space="preserve"> Taliesin’, in </w:t>
      </w:r>
      <w:r w:rsidRPr="00FA081C">
        <w:rPr>
          <w:i/>
          <w:iCs/>
          <w:shd w:val="clear" w:color="auto" w:fill="FFFFFF"/>
        </w:rPr>
        <w:t>Medium Aevum, </w:t>
      </w:r>
      <w:r w:rsidRPr="002D6EF2">
        <w:rPr>
          <w:bCs/>
          <w:shd w:val="clear" w:color="auto" w:fill="FFFFFF"/>
        </w:rPr>
        <w:t>85</w:t>
      </w:r>
      <w:r w:rsidRPr="00FA081C">
        <w:rPr>
          <w:shd w:val="clear" w:color="auto" w:fill="FFFFFF"/>
        </w:rPr>
        <w:t>(1)</w:t>
      </w:r>
      <w:r>
        <w:rPr>
          <w:shd w:val="clear" w:color="auto" w:fill="FFFFFF"/>
        </w:rPr>
        <w:t>:</w:t>
      </w:r>
      <w:r w:rsidRPr="00855FF9">
        <w:rPr>
          <w:shd w:val="clear" w:color="auto" w:fill="FFFFFF"/>
        </w:rPr>
        <w:t xml:space="preserve"> </w:t>
      </w:r>
      <w:r>
        <w:rPr>
          <w:shd w:val="clear" w:color="auto" w:fill="FFFFFF"/>
        </w:rPr>
        <w:t>(2016)</w:t>
      </w:r>
      <w:r w:rsidRPr="00FA081C">
        <w:rPr>
          <w:shd w:val="clear" w:color="auto" w:fill="FFFFFF"/>
        </w:rPr>
        <w:t xml:space="preserve"> 173-174.</w:t>
      </w:r>
      <w:r>
        <w:rPr>
          <w:shd w:val="clear" w:color="auto" w:fill="FFFFFF"/>
        </w:rPr>
        <w:t xml:space="preserve"> [Online:</w:t>
      </w:r>
      <w:r w:rsidRPr="00FA081C">
        <w:rPr>
          <w:shd w:val="clear" w:color="auto" w:fill="FFFFFF"/>
        </w:rPr>
        <w:t xml:space="preserve"> </w:t>
      </w:r>
      <w:hyperlink r:id="rId15" w:history="1">
        <w:r w:rsidRPr="00855FF9">
          <w:rPr>
            <w:rStyle w:val="Hyperlink"/>
            <w:color w:val="548DD4" w:themeColor="text2" w:themeTint="99"/>
            <w:shd w:val="clear" w:color="auto" w:fill="FFFFFF"/>
          </w:rPr>
          <w:t>https://search-proquest-com.ezproxy.uwtsd.ac.uk/docview/1822071509?accountid=130472&amp;rfr_id=info%3Axri%2Fsid%3Aprimo</w:t>
        </w:r>
      </w:hyperlink>
      <w:r>
        <w:t>]</w:t>
      </w:r>
      <w:r w:rsidRPr="00FA081C">
        <w:rPr>
          <w:shd w:val="clear" w:color="auto" w:fill="FFFFFF"/>
        </w:rPr>
        <w:t xml:space="preserve"> </w:t>
      </w:r>
      <w:r>
        <w:rPr>
          <w:shd w:val="clear" w:color="auto" w:fill="FFFFFF"/>
        </w:rPr>
        <w:t>&lt;Accessed:</w:t>
      </w:r>
      <w:r w:rsidRPr="00FA081C">
        <w:rPr>
          <w:shd w:val="clear" w:color="auto" w:fill="FFFFFF"/>
        </w:rPr>
        <w:t xml:space="preserve"> 070118</w:t>
      </w:r>
      <w:r>
        <w:rPr>
          <w:shd w:val="clear" w:color="auto" w:fill="FFFFFF"/>
        </w:rPr>
        <w:t>&gt;</w:t>
      </w:r>
    </w:p>
    <w:p w14:paraId="551C42FB" w14:textId="77777777" w:rsidR="00BA4FE1" w:rsidRDefault="00BA4FE1" w:rsidP="00A9559F">
      <w:pPr>
        <w:spacing w:line="240" w:lineRule="auto"/>
        <w:rPr>
          <w:rFonts w:cs="Times"/>
          <w:spacing w:val="3"/>
          <w:shd w:val="clear" w:color="auto" w:fill="FFFFFF"/>
        </w:rPr>
      </w:pPr>
      <w:r w:rsidRPr="008832DF">
        <w:rPr>
          <w:rFonts w:cs="Times"/>
          <w:spacing w:val="3"/>
          <w:shd w:val="clear" w:color="auto" w:fill="FFFFFF"/>
        </w:rPr>
        <w:t>Anthony, D. W., </w:t>
      </w:r>
      <w:r w:rsidRPr="008832DF">
        <w:rPr>
          <w:rFonts w:cs="Times"/>
          <w:i/>
          <w:iCs/>
          <w:spacing w:val="3"/>
          <w:shd w:val="clear" w:color="auto" w:fill="FFFFFF"/>
        </w:rPr>
        <w:t xml:space="preserve">The Horse, the Wheel, and Language: How Bronze-Age Riders From the Eurasian Steppes Shaped the Modern World </w:t>
      </w:r>
      <w:r w:rsidRPr="008832DF">
        <w:rPr>
          <w:rFonts w:cs="Times"/>
          <w:spacing w:val="3"/>
          <w:shd w:val="clear" w:color="auto" w:fill="FFFFFF"/>
        </w:rPr>
        <w:t>(</w:t>
      </w:r>
      <w:r>
        <w:rPr>
          <w:rFonts w:cs="Times"/>
          <w:spacing w:val="3"/>
          <w:shd w:val="clear" w:color="auto" w:fill="FFFFFF"/>
        </w:rPr>
        <w:t xml:space="preserve">Princeton: </w:t>
      </w:r>
      <w:r w:rsidRPr="008832DF">
        <w:rPr>
          <w:rFonts w:cs="Times"/>
          <w:spacing w:val="3"/>
          <w:shd w:val="clear" w:color="auto" w:fill="FFFFFF"/>
        </w:rPr>
        <w:t>Princeton Univ. Press, 2007)</w:t>
      </w:r>
    </w:p>
    <w:p w14:paraId="384269D5" w14:textId="77777777" w:rsidR="00BA4FE1" w:rsidRDefault="00BA4FE1" w:rsidP="00BA4FE1">
      <w:pPr>
        <w:pStyle w:val="Pa2"/>
        <w:rPr>
          <w:rFonts w:asciiTheme="minorHAnsi" w:hAnsiTheme="minorHAnsi" w:cs="Gill Sans MT"/>
          <w:color w:val="000000"/>
          <w:sz w:val="22"/>
          <w:szCs w:val="28"/>
        </w:rPr>
      </w:pPr>
      <w:r w:rsidRPr="00D84033">
        <w:rPr>
          <w:rFonts w:asciiTheme="minorHAnsi" w:hAnsiTheme="minorHAnsi" w:cs="Gill Sans MT"/>
          <w:b/>
          <w:bCs/>
          <w:color w:val="000000"/>
          <w:sz w:val="22"/>
          <w:szCs w:val="22"/>
        </w:rPr>
        <w:t xml:space="preserve"> </w:t>
      </w:r>
      <w:r w:rsidRPr="00D84033">
        <w:rPr>
          <w:rFonts w:asciiTheme="minorHAnsi" w:hAnsiTheme="minorHAnsi" w:cs="Gill Sans MT"/>
          <w:bCs/>
          <w:color w:val="000000"/>
          <w:sz w:val="22"/>
          <w:szCs w:val="22"/>
        </w:rPr>
        <w:t xml:space="preserve">Bernhardt-House, Phillip, A., </w:t>
      </w:r>
      <w:r>
        <w:rPr>
          <w:rFonts w:asciiTheme="minorHAnsi" w:hAnsiTheme="minorHAnsi" w:cs="Gill Sans MT"/>
          <w:bCs/>
          <w:color w:val="000000"/>
          <w:sz w:val="22"/>
          <w:szCs w:val="22"/>
        </w:rPr>
        <w:t>‘</w:t>
      </w:r>
      <w:r w:rsidRPr="00D84033">
        <w:rPr>
          <w:rFonts w:asciiTheme="minorHAnsi" w:hAnsiTheme="minorHAnsi" w:cs="Gill Sans MT"/>
          <w:color w:val="000000"/>
          <w:sz w:val="22"/>
          <w:szCs w:val="22"/>
        </w:rPr>
        <w:t>Warriors, Words, and Wood:</w:t>
      </w:r>
      <w:r>
        <w:rPr>
          <w:rFonts w:asciiTheme="minorHAnsi" w:hAnsiTheme="minorHAnsi" w:cs="Gill Sans MT"/>
          <w:color w:val="000000"/>
          <w:sz w:val="22"/>
          <w:szCs w:val="22"/>
        </w:rPr>
        <w:t xml:space="preserve"> </w:t>
      </w:r>
      <w:r w:rsidRPr="00D84033">
        <w:rPr>
          <w:rFonts w:asciiTheme="minorHAnsi" w:hAnsiTheme="minorHAnsi" w:cs="Gill Sans MT"/>
          <w:color w:val="000000"/>
          <w:sz w:val="22"/>
          <w:szCs w:val="22"/>
        </w:rPr>
        <w:t>Oral and Literary Wisdom in the Exploits of Irish Mythological Warriors</w:t>
      </w:r>
      <w:r>
        <w:rPr>
          <w:rFonts w:asciiTheme="minorHAnsi" w:hAnsiTheme="minorHAnsi" w:cs="Gill Sans MT"/>
          <w:color w:val="000000"/>
          <w:sz w:val="22"/>
          <w:szCs w:val="22"/>
        </w:rPr>
        <w:t>’ in</w:t>
      </w:r>
      <w:r w:rsidRPr="00D84033">
        <w:rPr>
          <w:rFonts w:asciiTheme="minorHAnsi" w:hAnsiTheme="minorHAnsi" w:cs="Gill Sans MT"/>
          <w:i/>
          <w:color w:val="000000"/>
          <w:sz w:val="22"/>
          <w:szCs w:val="28"/>
        </w:rPr>
        <w:t xml:space="preserve"> </w:t>
      </w:r>
      <w:r w:rsidRPr="006D1772">
        <w:rPr>
          <w:rFonts w:asciiTheme="minorHAnsi" w:hAnsiTheme="minorHAnsi" w:cs="Gill Sans MT"/>
          <w:i/>
          <w:color w:val="000000"/>
          <w:sz w:val="22"/>
          <w:szCs w:val="28"/>
        </w:rPr>
        <w:t>Studia Celtica Fennica</w:t>
      </w:r>
      <w:r w:rsidRPr="006D1772">
        <w:rPr>
          <w:rFonts w:asciiTheme="minorHAnsi" w:hAnsiTheme="minorHAnsi" w:cs="Gill Sans MT"/>
          <w:color w:val="000000"/>
          <w:sz w:val="22"/>
          <w:szCs w:val="28"/>
        </w:rPr>
        <w:t xml:space="preserve"> </w:t>
      </w:r>
      <w:r w:rsidRPr="002D6EF2">
        <w:rPr>
          <w:rFonts w:asciiTheme="minorHAnsi" w:hAnsiTheme="minorHAnsi" w:cs="Gill Sans MT"/>
          <w:color w:val="000000"/>
          <w:sz w:val="22"/>
          <w:szCs w:val="28"/>
        </w:rPr>
        <w:t>VI:</w:t>
      </w:r>
      <w:r>
        <w:rPr>
          <w:rFonts w:asciiTheme="minorHAnsi" w:hAnsiTheme="minorHAnsi" w:cs="Gill Sans MT"/>
          <w:b/>
          <w:color w:val="000000"/>
          <w:sz w:val="22"/>
          <w:szCs w:val="28"/>
        </w:rPr>
        <w:t xml:space="preserve"> </w:t>
      </w:r>
      <w:r>
        <w:rPr>
          <w:rFonts w:asciiTheme="minorHAnsi" w:hAnsiTheme="minorHAnsi" w:cs="Gill Sans MT"/>
          <w:color w:val="000000"/>
          <w:sz w:val="22"/>
          <w:szCs w:val="28"/>
        </w:rPr>
        <w:t>(</w:t>
      </w:r>
      <w:r w:rsidRPr="006D1772">
        <w:rPr>
          <w:rFonts w:asciiTheme="minorHAnsi" w:hAnsiTheme="minorHAnsi" w:cs="Gill Sans MT"/>
          <w:color w:val="000000"/>
          <w:sz w:val="22"/>
          <w:szCs w:val="28"/>
        </w:rPr>
        <w:t>2009</w:t>
      </w:r>
      <w:r>
        <w:rPr>
          <w:rFonts w:asciiTheme="minorHAnsi" w:hAnsiTheme="minorHAnsi" w:cs="Gill Sans MT"/>
          <w:color w:val="000000"/>
          <w:sz w:val="22"/>
          <w:szCs w:val="28"/>
        </w:rPr>
        <w:t xml:space="preserve">) 5-19. [Online: </w:t>
      </w:r>
      <w:hyperlink r:id="rId16" w:history="1">
        <w:r w:rsidRPr="00597AD4">
          <w:rPr>
            <w:rStyle w:val="Hyperlink"/>
            <w:rFonts w:asciiTheme="minorHAnsi" w:hAnsiTheme="minorHAnsi" w:cs="Gill Sans MT"/>
            <w:sz w:val="22"/>
            <w:szCs w:val="28"/>
          </w:rPr>
          <w:t>file:///C:/Users/User/Downloads/7546-Article%20Text-18256-1-10-20130114.pdf</w:t>
        </w:r>
      </w:hyperlink>
      <w:r>
        <w:rPr>
          <w:rFonts w:asciiTheme="minorHAnsi" w:hAnsiTheme="minorHAnsi" w:cs="Gill Sans MT"/>
          <w:color w:val="000000"/>
          <w:sz w:val="22"/>
          <w:szCs w:val="28"/>
        </w:rPr>
        <w:t>] &lt;Accessed 28 March 2018&gt;</w:t>
      </w:r>
    </w:p>
    <w:p w14:paraId="66E2D144" w14:textId="77777777" w:rsidR="00BA4FE1" w:rsidRPr="00D84033" w:rsidRDefault="00BA4FE1" w:rsidP="00BA4FE1">
      <w:pPr>
        <w:pStyle w:val="Default"/>
      </w:pPr>
    </w:p>
    <w:p w14:paraId="26830315" w14:textId="77777777" w:rsidR="00BA4FE1" w:rsidRDefault="00BA4FE1" w:rsidP="00A9559F">
      <w:pPr>
        <w:spacing w:line="240" w:lineRule="auto"/>
        <w:rPr>
          <w:shd w:val="clear" w:color="auto" w:fill="FFFFFF"/>
        </w:rPr>
      </w:pPr>
      <w:r w:rsidRPr="008832DF">
        <w:rPr>
          <w:shd w:val="clear" w:color="auto" w:fill="FFFFFF"/>
        </w:rPr>
        <w:t>B</w:t>
      </w:r>
      <w:r>
        <w:rPr>
          <w:shd w:val="clear" w:color="auto" w:fill="FFFFFF"/>
        </w:rPr>
        <w:t>ertuca</w:t>
      </w:r>
      <w:r w:rsidRPr="008832DF">
        <w:rPr>
          <w:shd w:val="clear" w:color="auto" w:fill="FFFFFF"/>
        </w:rPr>
        <w:t xml:space="preserve">, D.J., </w:t>
      </w:r>
      <w:r>
        <w:rPr>
          <w:shd w:val="clear" w:color="auto" w:fill="FFFFFF"/>
        </w:rPr>
        <w:t>‘</w:t>
      </w:r>
      <w:r w:rsidRPr="008832DF">
        <w:rPr>
          <w:shd w:val="clear" w:color="auto" w:fill="FFFFFF"/>
        </w:rPr>
        <w:t>Hy Brasil: The Metamorphosis of an Island from Carto</w:t>
      </w:r>
      <w:r>
        <w:rPr>
          <w:shd w:val="clear" w:color="auto" w:fill="FFFFFF"/>
        </w:rPr>
        <w:t>graphic Error to Celtic Elysium’,</w:t>
      </w:r>
      <w:r w:rsidRPr="008832DF">
        <w:rPr>
          <w:shd w:val="clear" w:color="auto" w:fill="FFFFFF"/>
        </w:rPr>
        <w:t> </w:t>
      </w:r>
      <w:r w:rsidRPr="008832DF">
        <w:rPr>
          <w:i/>
          <w:iCs/>
          <w:shd w:val="clear" w:color="auto" w:fill="FFFFFF"/>
        </w:rPr>
        <w:t>The Globe, </w:t>
      </w:r>
      <w:r w:rsidRPr="002D6EF2">
        <w:rPr>
          <w:shd w:val="clear" w:color="auto" w:fill="FFFFFF"/>
        </w:rPr>
        <w:t>74:</w:t>
      </w:r>
      <w:r>
        <w:rPr>
          <w:shd w:val="clear" w:color="auto" w:fill="FFFFFF"/>
        </w:rPr>
        <w:t xml:space="preserve"> (2014)</w:t>
      </w:r>
      <w:r w:rsidRPr="008832DF">
        <w:rPr>
          <w:shd w:val="clear" w:color="auto" w:fill="FFFFFF"/>
        </w:rPr>
        <w:t xml:space="preserve"> 52-53. </w:t>
      </w:r>
      <w:r>
        <w:rPr>
          <w:shd w:val="clear" w:color="auto" w:fill="FFFFFF"/>
        </w:rPr>
        <w:t>[Online:</w:t>
      </w:r>
      <w:r w:rsidRPr="008832DF">
        <w:rPr>
          <w:shd w:val="clear" w:color="auto" w:fill="FFFFFF"/>
        </w:rPr>
        <w:t xml:space="preserve"> </w:t>
      </w:r>
      <w:hyperlink r:id="rId17" w:history="1">
        <w:r w:rsidRPr="00B747A4">
          <w:rPr>
            <w:rStyle w:val="Hyperlink"/>
            <w:color w:val="548DD4" w:themeColor="text2" w:themeTint="99"/>
            <w:shd w:val="clear" w:color="auto" w:fill="FFFFFF"/>
          </w:rPr>
          <w:t>https://search-proquest-com.ezproxy.uwtsd.ac.uk/docview/1679408007?accountid=130472&amp;rfr_id=info%3Axri%2Fsid%3Aprimo</w:t>
        </w:r>
      </w:hyperlink>
      <w:r>
        <w:t>]&lt;A</w:t>
      </w:r>
      <w:r w:rsidRPr="008832DF">
        <w:rPr>
          <w:shd w:val="clear" w:color="auto" w:fill="FFFFFF"/>
        </w:rPr>
        <w:t>ccessed 30</w:t>
      </w:r>
      <w:r>
        <w:rPr>
          <w:shd w:val="clear" w:color="auto" w:fill="FFFFFF"/>
        </w:rPr>
        <w:t xml:space="preserve"> December 20</w:t>
      </w:r>
      <w:r w:rsidRPr="008832DF">
        <w:rPr>
          <w:shd w:val="clear" w:color="auto" w:fill="FFFFFF"/>
        </w:rPr>
        <w:t>17</w:t>
      </w:r>
      <w:r>
        <w:rPr>
          <w:shd w:val="clear" w:color="auto" w:fill="FFFFFF"/>
        </w:rPr>
        <w:t>&gt;</w:t>
      </w:r>
      <w:r w:rsidRPr="008832DF">
        <w:rPr>
          <w:shd w:val="clear" w:color="auto" w:fill="FFFFFF"/>
        </w:rPr>
        <w:t xml:space="preserve"> </w:t>
      </w:r>
      <w:r>
        <w:rPr>
          <w:shd w:val="clear" w:color="auto" w:fill="FFFFFF"/>
        </w:rPr>
        <w:t xml:space="preserve"> </w:t>
      </w:r>
    </w:p>
    <w:p w14:paraId="0B1A0D41" w14:textId="77777777" w:rsidR="00D334C5" w:rsidRDefault="00D334C5" w:rsidP="00D334C5">
      <w:pPr>
        <w:pStyle w:val="Default"/>
        <w:rPr>
          <w:rFonts w:asciiTheme="minorHAnsi" w:hAnsiTheme="minorHAnsi"/>
          <w:color w:val="auto"/>
          <w:sz w:val="22"/>
          <w:szCs w:val="22"/>
        </w:rPr>
      </w:pPr>
      <w:r w:rsidRPr="00D96B51">
        <w:rPr>
          <w:rFonts w:asciiTheme="minorHAnsi" w:hAnsiTheme="minorHAnsi"/>
          <w:color w:val="auto"/>
          <w:sz w:val="22"/>
          <w:szCs w:val="22"/>
        </w:rPr>
        <w:t>Black, R., Gillies, W., &amp; O’Maolaiagh, R.,</w:t>
      </w:r>
      <w:r>
        <w:rPr>
          <w:rFonts w:asciiTheme="minorHAnsi" w:hAnsiTheme="minorHAnsi"/>
          <w:color w:val="auto"/>
          <w:sz w:val="22"/>
          <w:szCs w:val="22"/>
        </w:rPr>
        <w:t xml:space="preserve"> eds, </w:t>
      </w:r>
      <w:r>
        <w:rPr>
          <w:rFonts w:asciiTheme="minorHAnsi" w:hAnsiTheme="minorHAnsi"/>
          <w:i/>
          <w:color w:val="auto"/>
          <w:sz w:val="22"/>
          <w:szCs w:val="22"/>
        </w:rPr>
        <w:t>Celtic Connections: Procee</w:t>
      </w:r>
      <w:r w:rsidRPr="00D96B51">
        <w:rPr>
          <w:rFonts w:asciiTheme="minorHAnsi" w:hAnsiTheme="minorHAnsi"/>
          <w:i/>
          <w:color w:val="auto"/>
          <w:sz w:val="22"/>
          <w:szCs w:val="22"/>
        </w:rPr>
        <w:t>dings of the Tenth International Congress of Celtic Studies</w:t>
      </w:r>
      <w:r>
        <w:rPr>
          <w:rFonts w:asciiTheme="minorHAnsi" w:hAnsiTheme="minorHAnsi"/>
          <w:i/>
          <w:color w:val="auto"/>
          <w:sz w:val="22"/>
          <w:szCs w:val="22"/>
        </w:rPr>
        <w:t xml:space="preserve">, </w:t>
      </w:r>
      <w:r w:rsidRPr="00D96B51">
        <w:rPr>
          <w:rFonts w:asciiTheme="minorHAnsi" w:hAnsiTheme="minorHAnsi"/>
          <w:color w:val="auto"/>
          <w:sz w:val="22"/>
          <w:szCs w:val="22"/>
        </w:rPr>
        <w:t>1,</w:t>
      </w:r>
      <w:r>
        <w:rPr>
          <w:rFonts w:asciiTheme="minorHAnsi" w:hAnsiTheme="minorHAnsi"/>
          <w:color w:val="auto"/>
          <w:sz w:val="22"/>
          <w:szCs w:val="22"/>
        </w:rPr>
        <w:t xml:space="preserve"> </w:t>
      </w:r>
      <w:r w:rsidRPr="00D96B51">
        <w:rPr>
          <w:rFonts w:asciiTheme="minorHAnsi" w:hAnsiTheme="minorHAnsi"/>
          <w:color w:val="auto"/>
          <w:sz w:val="22"/>
          <w:szCs w:val="22"/>
        </w:rPr>
        <w:t>(East Linton</w:t>
      </w:r>
      <w:r>
        <w:rPr>
          <w:rFonts w:asciiTheme="minorHAnsi" w:hAnsiTheme="minorHAnsi"/>
          <w:color w:val="auto"/>
          <w:sz w:val="22"/>
          <w:szCs w:val="22"/>
        </w:rPr>
        <w:t>: Tuckwell Press, 1999) 82-90.</w:t>
      </w:r>
    </w:p>
    <w:p w14:paraId="017B3B2D" w14:textId="77777777" w:rsidR="00D334C5" w:rsidRDefault="00D334C5" w:rsidP="00D334C5">
      <w:pPr>
        <w:pStyle w:val="Default"/>
        <w:rPr>
          <w:rFonts w:asciiTheme="minorHAnsi" w:hAnsiTheme="minorHAnsi"/>
          <w:color w:val="auto"/>
          <w:sz w:val="22"/>
          <w:szCs w:val="22"/>
        </w:rPr>
      </w:pPr>
    </w:p>
    <w:p w14:paraId="6F99E88A" w14:textId="77777777" w:rsidR="00BA4FE1" w:rsidRDefault="00BA4FE1" w:rsidP="00A9559F">
      <w:pPr>
        <w:spacing w:line="240" w:lineRule="auto"/>
        <w:rPr>
          <w:shd w:val="clear" w:color="auto" w:fill="FFFFFF"/>
        </w:rPr>
      </w:pPr>
      <w:r>
        <w:rPr>
          <w:shd w:val="clear" w:color="auto" w:fill="FFFFFF"/>
        </w:rPr>
        <w:t>Blackie, Sharon, ‘</w:t>
      </w:r>
      <w:r w:rsidRPr="009B3D18">
        <w:rPr>
          <w:shd w:val="clear" w:color="auto" w:fill="FFFFFF"/>
        </w:rPr>
        <w:t>The Otherworld in the Celtic Tradition</w:t>
      </w:r>
      <w:r>
        <w:rPr>
          <w:shd w:val="clear" w:color="auto" w:fill="FFFFFF"/>
        </w:rPr>
        <w:t xml:space="preserve">’, [Online]. Available:  </w:t>
      </w:r>
      <w:hyperlink r:id="rId18" w:history="1">
        <w:r w:rsidRPr="00597AD4">
          <w:rPr>
            <w:rStyle w:val="Hyperlink"/>
            <w:shd w:val="clear" w:color="auto" w:fill="FFFFFF"/>
          </w:rPr>
          <w:t>https://hedgewalking.org/2018/03/14/the-otherworld/</w:t>
        </w:r>
      </w:hyperlink>
      <w:r>
        <w:rPr>
          <w:shd w:val="clear" w:color="auto" w:fill="FFFFFF"/>
        </w:rPr>
        <w:t xml:space="preserve">  &lt;Accessed 14 March 2018&gt; </w:t>
      </w:r>
    </w:p>
    <w:p w14:paraId="7E7AE300" w14:textId="77777777" w:rsidR="00BA4FE1" w:rsidRDefault="00BA4FE1" w:rsidP="00A9559F">
      <w:pPr>
        <w:spacing w:line="240" w:lineRule="auto"/>
        <w:rPr>
          <w:shd w:val="clear" w:color="auto" w:fill="FFFFFF"/>
        </w:rPr>
      </w:pPr>
      <w:r>
        <w:rPr>
          <w:shd w:val="clear" w:color="auto" w:fill="FFFFFF"/>
        </w:rPr>
        <w:t xml:space="preserve">Blackie, Sharon, </w:t>
      </w:r>
      <w:r w:rsidRPr="009B3D18">
        <w:rPr>
          <w:shd w:val="clear" w:color="auto" w:fill="FFFFFF"/>
        </w:rPr>
        <w:t>‘Celebrating Spring: Spring Equinox and the Cailleach</w:t>
      </w:r>
      <w:r>
        <w:rPr>
          <w:shd w:val="clear" w:color="auto" w:fill="FFFFFF"/>
        </w:rPr>
        <w:t xml:space="preserve">’, [Online]. Available: </w:t>
      </w:r>
      <w:hyperlink r:id="rId19" w:history="1">
        <w:r w:rsidRPr="00597AD4">
          <w:rPr>
            <w:rStyle w:val="Hyperlink"/>
            <w:shd w:val="clear" w:color="auto" w:fill="FFFFFF"/>
          </w:rPr>
          <w:t>http://thehedgeschool.org/Blog/celebrating-spring-spring-equinox-and-the-cailleach/</w:t>
        </w:r>
      </w:hyperlink>
      <w:r>
        <w:rPr>
          <w:shd w:val="clear" w:color="auto" w:fill="FFFFFF"/>
        </w:rPr>
        <w:t xml:space="preserve"> &lt;Accessed 20 March 2018&gt; </w:t>
      </w:r>
    </w:p>
    <w:p w14:paraId="4B637FE5" w14:textId="77777777" w:rsidR="00BA4FE1" w:rsidRPr="0039632E" w:rsidRDefault="00BA4FE1" w:rsidP="00A9559F">
      <w:pPr>
        <w:shd w:val="clear" w:color="auto" w:fill="FFFFFF"/>
        <w:spacing w:line="240" w:lineRule="auto"/>
      </w:pPr>
      <w:r>
        <w:t xml:space="preserve">Bonwick, J., </w:t>
      </w:r>
      <w:r>
        <w:rPr>
          <w:i/>
        </w:rPr>
        <w:t>Irish Druids and Old Irish Religions,</w:t>
      </w:r>
      <w:r w:rsidRPr="008C0398">
        <w:t xml:space="preserve"> (London: Griffin, Farran, 1894)</w:t>
      </w:r>
      <w:r>
        <w:t>, available at</w:t>
      </w:r>
      <w:r w:rsidRPr="008C0398">
        <w:t xml:space="preserve">  </w:t>
      </w:r>
      <w:hyperlink r:id="rId20" w:history="1">
        <w:r w:rsidRPr="008C0398">
          <w:rPr>
            <w:rStyle w:val="Hyperlink"/>
          </w:rPr>
          <w:t>http://www.sacred-texts.com/pag/idr/index.htm</w:t>
        </w:r>
      </w:hyperlink>
      <w:r>
        <w:t xml:space="preserve">  &lt;Accessed </w:t>
      </w:r>
      <w:r w:rsidRPr="008C0398">
        <w:t>4</w:t>
      </w:r>
      <w:r>
        <w:t xml:space="preserve"> April 20</w:t>
      </w:r>
      <w:r w:rsidRPr="008C0398">
        <w:t>18&gt;</w:t>
      </w:r>
      <w:r>
        <w:rPr>
          <w:i/>
        </w:rPr>
        <w:t xml:space="preserve">  </w:t>
      </w:r>
    </w:p>
    <w:p w14:paraId="432E48A3" w14:textId="77777777" w:rsidR="00BA4FE1" w:rsidRDefault="00BA4FE1" w:rsidP="00BA4FE1">
      <w:pPr>
        <w:autoSpaceDE w:val="0"/>
        <w:autoSpaceDN w:val="0"/>
        <w:adjustRightInd w:val="0"/>
        <w:spacing w:after="0" w:line="240" w:lineRule="auto"/>
        <w:rPr>
          <w:rFonts w:cs="GentiumBasic"/>
        </w:rPr>
      </w:pPr>
      <w:r>
        <w:rPr>
          <w:rFonts w:cs="GentiumBasic-Italic"/>
          <w:iCs/>
        </w:rPr>
        <w:t>Borsje, J.</w:t>
      </w:r>
      <w:r w:rsidRPr="009040C7">
        <w:rPr>
          <w:rFonts w:cs="GentiumBasic-Italic"/>
          <w:iCs/>
        </w:rPr>
        <w:t xml:space="preserve">, </w:t>
      </w:r>
      <w:r>
        <w:rPr>
          <w:rFonts w:cs="GentiumBasic-Italic"/>
          <w:iCs/>
        </w:rPr>
        <w:t>‘</w:t>
      </w:r>
      <w:r w:rsidRPr="00AE2626">
        <w:rPr>
          <w:rFonts w:cs="SerlioLH"/>
        </w:rPr>
        <w:t>Celtic Spells and Counterspells</w:t>
      </w:r>
      <w:r>
        <w:rPr>
          <w:rFonts w:cs="SerlioLH"/>
        </w:rPr>
        <w:t>’</w:t>
      </w:r>
      <w:r w:rsidRPr="00AE2626">
        <w:rPr>
          <w:rFonts w:cs="SerlioLH"/>
        </w:rPr>
        <w:t xml:space="preserve"> </w:t>
      </w:r>
      <w:r w:rsidRPr="009040C7">
        <w:rPr>
          <w:rFonts w:cs="SerlioLH"/>
        </w:rPr>
        <w:t xml:space="preserve">in </w:t>
      </w:r>
      <w:r w:rsidRPr="009040C7">
        <w:rPr>
          <w:rFonts w:cs="Futura-Book"/>
        </w:rPr>
        <w:t>Bergholm</w:t>
      </w:r>
      <w:r>
        <w:rPr>
          <w:rFonts w:cs="Futura-Book"/>
        </w:rPr>
        <w:t xml:space="preserve">, A., and </w:t>
      </w:r>
      <w:r w:rsidRPr="009040C7">
        <w:rPr>
          <w:rFonts w:cs="Futura-Book"/>
        </w:rPr>
        <w:t>Ritari</w:t>
      </w:r>
      <w:r>
        <w:rPr>
          <w:rFonts w:cs="Futura-Book"/>
        </w:rPr>
        <w:t xml:space="preserve">, K., </w:t>
      </w:r>
      <w:r w:rsidRPr="009040C7">
        <w:rPr>
          <w:rFonts w:cs="Futura-Book"/>
        </w:rPr>
        <w:t>ed</w:t>
      </w:r>
      <w:r>
        <w:rPr>
          <w:rFonts w:cs="Futura-Book"/>
        </w:rPr>
        <w:t xml:space="preserve">s, </w:t>
      </w:r>
      <w:r w:rsidRPr="00AE2626">
        <w:rPr>
          <w:rFonts w:cs="Lithos-Regular"/>
          <w:i/>
        </w:rPr>
        <w:t>New Approaches to Celtic Religion and Mythology:</w:t>
      </w:r>
      <w:r>
        <w:rPr>
          <w:rFonts w:cs="Lithos-Regular"/>
          <w:i/>
        </w:rPr>
        <w:t xml:space="preserve"> </w:t>
      </w:r>
      <w:r w:rsidRPr="00AE2626">
        <w:rPr>
          <w:rFonts w:cs="Futura-Book"/>
          <w:i/>
        </w:rPr>
        <w:t>Understanding Celtic Religion Revisiting the Pagan Past</w:t>
      </w:r>
      <w:r>
        <w:rPr>
          <w:rFonts w:cs="Futura-Book"/>
        </w:rPr>
        <w:t>, (</w:t>
      </w:r>
      <w:r w:rsidRPr="009040C7">
        <w:rPr>
          <w:rFonts w:cs="GentiumBasic"/>
        </w:rPr>
        <w:t>Cardiff</w:t>
      </w:r>
      <w:r>
        <w:rPr>
          <w:rFonts w:cs="GentiumBasic"/>
        </w:rPr>
        <w:t>:</w:t>
      </w:r>
      <w:r w:rsidRPr="009040C7">
        <w:rPr>
          <w:rFonts w:cs="GentiumBasic"/>
        </w:rPr>
        <w:t xml:space="preserve"> </w:t>
      </w:r>
      <w:r>
        <w:rPr>
          <w:rFonts w:cs="GentiumBasic"/>
        </w:rPr>
        <w:t>U</w:t>
      </w:r>
      <w:r w:rsidRPr="009040C7">
        <w:rPr>
          <w:rFonts w:cs="GentiumBasic"/>
        </w:rPr>
        <w:t xml:space="preserve">niversity of </w:t>
      </w:r>
      <w:r>
        <w:rPr>
          <w:rFonts w:cs="GentiumBasic"/>
        </w:rPr>
        <w:t>W</w:t>
      </w:r>
      <w:r w:rsidRPr="009040C7">
        <w:rPr>
          <w:rFonts w:cs="GentiumBasic"/>
        </w:rPr>
        <w:t xml:space="preserve">ales </w:t>
      </w:r>
      <w:r>
        <w:rPr>
          <w:rFonts w:cs="GentiumBasic"/>
        </w:rPr>
        <w:t>P</w:t>
      </w:r>
      <w:r w:rsidRPr="009040C7">
        <w:rPr>
          <w:rFonts w:cs="GentiumBasic"/>
        </w:rPr>
        <w:t>ress</w:t>
      </w:r>
      <w:r>
        <w:rPr>
          <w:rFonts w:cs="GentiumBasic"/>
        </w:rPr>
        <w:t>,</w:t>
      </w:r>
      <w:r w:rsidRPr="009040C7">
        <w:rPr>
          <w:rFonts w:cs="GentiumBasic"/>
        </w:rPr>
        <w:t xml:space="preserve"> 2015</w:t>
      </w:r>
      <w:r>
        <w:rPr>
          <w:rFonts w:cs="GentiumBasic"/>
        </w:rPr>
        <w:t xml:space="preserve">), available at </w:t>
      </w:r>
      <w:hyperlink r:id="rId21" w:history="1">
        <w:r w:rsidRPr="00092458">
          <w:rPr>
            <w:rStyle w:val="Hyperlink"/>
            <w:rFonts w:cs="GentiumBasic"/>
          </w:rPr>
          <w:t>https://www.academia.edu/19783791/Celtic_Spells_and_Counterspells</w:t>
        </w:r>
      </w:hyperlink>
      <w:r>
        <w:rPr>
          <w:rFonts w:cs="GentiumBasic"/>
        </w:rPr>
        <w:t xml:space="preserve">   &lt;Accessed 3 October 2017&gt;</w:t>
      </w:r>
    </w:p>
    <w:p w14:paraId="61A563E3" w14:textId="77777777" w:rsidR="00BA4FE1" w:rsidRDefault="00BA4FE1" w:rsidP="00BA4FE1">
      <w:pPr>
        <w:autoSpaceDE w:val="0"/>
        <w:autoSpaceDN w:val="0"/>
        <w:adjustRightInd w:val="0"/>
        <w:spacing w:after="0" w:line="240" w:lineRule="auto"/>
        <w:rPr>
          <w:rFonts w:cs="GentiumBasic"/>
        </w:rPr>
      </w:pPr>
    </w:p>
    <w:p w14:paraId="20F5F108" w14:textId="77777777" w:rsidR="00BA4FE1" w:rsidRDefault="00BA4FE1" w:rsidP="00BA4FE1">
      <w:pPr>
        <w:autoSpaceDE w:val="0"/>
        <w:autoSpaceDN w:val="0"/>
        <w:adjustRightInd w:val="0"/>
        <w:spacing w:after="0" w:line="240" w:lineRule="auto"/>
        <w:rPr>
          <w:shd w:val="clear" w:color="auto" w:fill="FFFFFF"/>
        </w:rPr>
      </w:pPr>
      <w:r>
        <w:rPr>
          <w:shd w:val="clear" w:color="auto" w:fill="FFFFFF"/>
        </w:rPr>
        <w:t xml:space="preserve">Breatnach, C., ‘The Transmission and Structure of </w:t>
      </w:r>
      <w:r>
        <w:rPr>
          <w:i/>
          <w:shd w:val="clear" w:color="auto" w:fill="FFFFFF"/>
        </w:rPr>
        <w:t xml:space="preserve">Immram Curaig Ua Corra’ </w:t>
      </w:r>
      <w:r>
        <w:rPr>
          <w:shd w:val="clear" w:color="auto" w:fill="FFFFFF"/>
        </w:rPr>
        <w:t xml:space="preserve">in Mc Cana.P. ed, </w:t>
      </w:r>
      <w:r>
        <w:rPr>
          <w:i/>
          <w:shd w:val="clear" w:color="auto" w:fill="FFFFFF"/>
        </w:rPr>
        <w:t>Ériu</w:t>
      </w:r>
      <w:r>
        <w:rPr>
          <w:shd w:val="clear" w:color="auto" w:fill="FFFFFF"/>
        </w:rPr>
        <w:t xml:space="preserve"> Vol LIII</w:t>
      </w:r>
      <w:r w:rsidR="005A456E">
        <w:rPr>
          <w:shd w:val="clear" w:color="auto" w:fill="FFFFFF"/>
        </w:rPr>
        <w:t xml:space="preserve">: </w:t>
      </w:r>
      <w:r>
        <w:rPr>
          <w:shd w:val="clear" w:color="auto" w:fill="FFFFFF"/>
        </w:rPr>
        <w:t>(Dublin: Royal Irish Academy, 2003)</w:t>
      </w:r>
      <w:r w:rsidR="005A456E">
        <w:rPr>
          <w:shd w:val="clear" w:color="auto" w:fill="FFFFFF"/>
        </w:rPr>
        <w:t>, 91-107</w:t>
      </w:r>
    </w:p>
    <w:p w14:paraId="162C7329" w14:textId="77777777" w:rsidR="00BA4FE1" w:rsidRDefault="00BA4FE1" w:rsidP="00BA4FE1">
      <w:pPr>
        <w:autoSpaceDE w:val="0"/>
        <w:autoSpaceDN w:val="0"/>
        <w:adjustRightInd w:val="0"/>
        <w:spacing w:after="0" w:line="240" w:lineRule="auto"/>
        <w:rPr>
          <w:shd w:val="clear" w:color="auto" w:fill="FFFFFF"/>
        </w:rPr>
      </w:pPr>
    </w:p>
    <w:p w14:paraId="424AA8A9" w14:textId="77777777" w:rsidR="00BA4FE1" w:rsidRPr="005C611F" w:rsidRDefault="00BA4FE1" w:rsidP="00A9559F">
      <w:pPr>
        <w:shd w:val="clear" w:color="auto" w:fill="FFFFFF"/>
        <w:spacing w:line="240" w:lineRule="auto"/>
        <w:ind w:right="150"/>
        <w:textAlignment w:val="top"/>
        <w:rPr>
          <w:rFonts w:cs="Times"/>
          <w:bCs/>
          <w:spacing w:val="3"/>
        </w:rPr>
      </w:pPr>
      <w:r>
        <w:rPr>
          <w:rFonts w:cs="GillSans"/>
        </w:rPr>
        <w:t xml:space="preserve">Bridgeman, A., and Ritari, K., eds. </w:t>
      </w:r>
      <w:r w:rsidRPr="00B73EFC">
        <w:rPr>
          <w:rFonts w:cs="GillSans"/>
          <w:i/>
        </w:rPr>
        <w:t>Understanding Celtic Religion: Revisiting the Pagan Past</w:t>
      </w:r>
      <w:r>
        <w:rPr>
          <w:rFonts w:cs="GillSans"/>
        </w:rPr>
        <w:t>, New Approaches to Celtic Religion and Mythology Series, (Cardiff: University of Wales, 2015)</w:t>
      </w:r>
    </w:p>
    <w:p w14:paraId="45354126" w14:textId="77777777" w:rsidR="00BA4FE1" w:rsidRDefault="00BA4FE1" w:rsidP="00A9559F">
      <w:pPr>
        <w:spacing w:line="240" w:lineRule="auto"/>
      </w:pPr>
      <w:r w:rsidRPr="00B41348">
        <w:lastRenderedPageBreak/>
        <w:t>Brown, Patrick,</w:t>
      </w:r>
      <w:r>
        <w:rPr>
          <w:color w:val="FF0000"/>
        </w:rPr>
        <w:t xml:space="preserve"> ‘</w:t>
      </w:r>
      <w:r w:rsidRPr="00B8639A">
        <w:t>The Taking of the Sid Mound</w:t>
      </w:r>
      <w:r>
        <w:t>’</w:t>
      </w:r>
      <w:r>
        <w:rPr>
          <w:color w:val="FF0000"/>
        </w:rPr>
        <w:t xml:space="preserve"> </w:t>
      </w:r>
      <w:r w:rsidRPr="00B8639A">
        <w:t>[Online]</w:t>
      </w:r>
      <w:r>
        <w:rPr>
          <w:color w:val="FF0000"/>
        </w:rPr>
        <w:t xml:space="preserve"> </w:t>
      </w:r>
      <w:hyperlink r:id="rId22" w:history="1">
        <w:r w:rsidRPr="00C51CF8">
          <w:rPr>
            <w:rStyle w:val="Hyperlink"/>
          </w:rPr>
          <w:t>https://ulstercycle.wordpress.com/2009/11/07/the-taking-of-the-sid-mound/</w:t>
        </w:r>
      </w:hyperlink>
      <w:r>
        <w:t xml:space="preserve">  &lt;Accessed 5 March 2018&gt;</w:t>
      </w:r>
    </w:p>
    <w:p w14:paraId="27111BE8" w14:textId="77777777" w:rsidR="00BA4FE1" w:rsidRPr="0045403C" w:rsidRDefault="00BA4FE1" w:rsidP="00BA4FE1">
      <w:pPr>
        <w:rPr>
          <w:color w:val="548DD4" w:themeColor="text2" w:themeTint="99"/>
          <w:shd w:val="clear" w:color="auto" w:fill="FFFFFF"/>
        </w:rPr>
      </w:pPr>
      <w:r w:rsidRPr="00B41348">
        <w:t xml:space="preserve">Campion, N., </w:t>
      </w:r>
      <w:r>
        <w:t>‘</w:t>
      </w:r>
      <w:r w:rsidRPr="00B41348">
        <w:t>Review of Fiery Shapes: Celestial Portents and Astrology in Ireland and Wales 700–1700. Mark Williams</w:t>
      </w:r>
      <w:r>
        <w:t>’</w:t>
      </w:r>
      <w:r w:rsidRPr="00B41348">
        <w:t xml:space="preserve"> In </w:t>
      </w:r>
      <w:r w:rsidRPr="00B41348">
        <w:rPr>
          <w:i/>
        </w:rPr>
        <w:t xml:space="preserve">Journal for the History of Astronomy </w:t>
      </w:r>
      <w:r w:rsidRPr="00B41348">
        <w:t xml:space="preserve">Vo1 43 </w:t>
      </w:r>
      <w:r>
        <w:t>(3), (</w:t>
      </w:r>
      <w:r w:rsidRPr="00B41348">
        <w:t>2011</w:t>
      </w:r>
      <w:r>
        <w:t>)</w:t>
      </w:r>
      <w:r w:rsidRPr="00B41348">
        <w:t xml:space="preserve"> (Oxford</w:t>
      </w:r>
      <w:r>
        <w:t>: Oxford University Press,</w:t>
      </w:r>
      <w:r w:rsidRPr="00B41348">
        <w:t xml:space="preserve"> 2010)</w:t>
      </w:r>
      <w:r w:rsidRPr="0045403C">
        <w:rPr>
          <w:color w:val="548DD4" w:themeColor="text2" w:themeTint="99"/>
        </w:rPr>
        <w:t xml:space="preserve">. </w:t>
      </w:r>
    </w:p>
    <w:p w14:paraId="56686999" w14:textId="77777777" w:rsidR="00BA4FE1" w:rsidRDefault="00BA4FE1" w:rsidP="00A9559F">
      <w:pPr>
        <w:spacing w:line="240" w:lineRule="auto"/>
        <w:rPr>
          <w:shd w:val="clear" w:color="auto" w:fill="FFFFFF"/>
        </w:rPr>
      </w:pPr>
      <w:r>
        <w:rPr>
          <w:shd w:val="clear" w:color="auto" w:fill="FFFFFF"/>
        </w:rPr>
        <w:t xml:space="preserve">Carey, J., ‘Time, Space and the Otherworld’, </w:t>
      </w:r>
      <w:r>
        <w:rPr>
          <w:i/>
          <w:shd w:val="clear" w:color="auto" w:fill="FFFFFF"/>
        </w:rPr>
        <w:t xml:space="preserve">Proceedings of the Harvard Celtic Colloqium </w:t>
      </w:r>
      <w:r w:rsidRPr="00BD3AF5">
        <w:rPr>
          <w:shd w:val="clear" w:color="auto" w:fill="FFFFFF"/>
        </w:rPr>
        <w:t>7:</w:t>
      </w:r>
      <w:r>
        <w:rPr>
          <w:shd w:val="clear" w:color="auto" w:fill="FFFFFF"/>
        </w:rPr>
        <w:t xml:space="preserve"> (1987), 1-27.</w:t>
      </w:r>
    </w:p>
    <w:p w14:paraId="7EA7F602" w14:textId="77777777" w:rsidR="00BA4FE1" w:rsidRDefault="00BA4FE1" w:rsidP="00A9559F">
      <w:pPr>
        <w:shd w:val="clear" w:color="auto" w:fill="FFFFFF"/>
        <w:spacing w:line="240" w:lineRule="auto"/>
      </w:pPr>
      <w:r>
        <w:rPr>
          <w:shd w:val="clear" w:color="auto" w:fill="FFFFFF"/>
        </w:rPr>
        <w:t>Carey, J., ‘</w:t>
      </w:r>
      <w:r w:rsidRPr="008C0398">
        <w:rPr>
          <w:shd w:val="clear" w:color="auto" w:fill="FFFFFF"/>
        </w:rPr>
        <w:t>The Old Gods of Ireland in the Later Middle Ages</w:t>
      </w:r>
      <w:r>
        <w:rPr>
          <w:shd w:val="clear" w:color="auto" w:fill="FFFFFF"/>
        </w:rPr>
        <w:t>’</w:t>
      </w:r>
      <w:r>
        <w:rPr>
          <w:i/>
          <w:shd w:val="clear" w:color="auto" w:fill="FFFFFF"/>
        </w:rPr>
        <w:t xml:space="preserve"> </w:t>
      </w:r>
      <w:r>
        <w:rPr>
          <w:shd w:val="clear" w:color="auto" w:fill="FFFFFF"/>
        </w:rPr>
        <w:t xml:space="preserve">in </w:t>
      </w:r>
      <w:r w:rsidRPr="003235EF">
        <w:rPr>
          <w:rFonts w:cs="Futura-Book"/>
        </w:rPr>
        <w:t>Bergholm</w:t>
      </w:r>
      <w:r>
        <w:rPr>
          <w:rFonts w:cs="Futura-Book"/>
        </w:rPr>
        <w:t xml:space="preserve">, A., and  </w:t>
      </w:r>
      <w:r w:rsidRPr="003235EF">
        <w:rPr>
          <w:rFonts w:cs="Futura-Book"/>
        </w:rPr>
        <w:t>Ritari</w:t>
      </w:r>
      <w:r>
        <w:rPr>
          <w:rFonts w:cs="Futura-Book"/>
        </w:rPr>
        <w:t>, K., eds,</w:t>
      </w:r>
      <w:r w:rsidRPr="003235EF">
        <w:rPr>
          <w:rFonts w:cs="Futura-Book"/>
        </w:rPr>
        <w:t xml:space="preserve"> </w:t>
      </w:r>
      <w:r w:rsidRPr="008C0398">
        <w:rPr>
          <w:rFonts w:cs="Lithos-Regular"/>
          <w:i/>
        </w:rPr>
        <w:t xml:space="preserve">New Approaches to Celtic Religion and Mythology: </w:t>
      </w:r>
      <w:r w:rsidRPr="008C0398">
        <w:rPr>
          <w:rFonts w:cs="Futura-Book"/>
          <w:i/>
        </w:rPr>
        <w:t>Understanding Celtic Religion Revisiting the Pagan Past</w:t>
      </w:r>
      <w:r>
        <w:rPr>
          <w:rFonts w:cs="Futura-Book"/>
        </w:rPr>
        <w:t>. (</w:t>
      </w:r>
      <w:r w:rsidRPr="003235EF">
        <w:rPr>
          <w:rFonts w:cs="GentiumBasic"/>
        </w:rPr>
        <w:t>Cardiff</w:t>
      </w:r>
      <w:r>
        <w:rPr>
          <w:rFonts w:cs="GentiumBasic"/>
        </w:rPr>
        <w:t>: U</w:t>
      </w:r>
      <w:r w:rsidRPr="003235EF">
        <w:rPr>
          <w:rFonts w:cs="GentiumBasic"/>
        </w:rPr>
        <w:t>niversity of</w:t>
      </w:r>
      <w:r>
        <w:rPr>
          <w:rFonts w:cs="GentiumBasic"/>
        </w:rPr>
        <w:t xml:space="preserve"> W</w:t>
      </w:r>
      <w:r w:rsidRPr="003235EF">
        <w:rPr>
          <w:rFonts w:cs="GentiumBasic"/>
        </w:rPr>
        <w:t xml:space="preserve">ales </w:t>
      </w:r>
      <w:r>
        <w:rPr>
          <w:rFonts w:cs="GentiumBasic"/>
        </w:rPr>
        <w:t>P</w:t>
      </w:r>
      <w:r w:rsidRPr="003235EF">
        <w:rPr>
          <w:rFonts w:cs="GentiumBasic"/>
        </w:rPr>
        <w:t>ress</w:t>
      </w:r>
      <w:r>
        <w:rPr>
          <w:rFonts w:cs="GentiumBasic"/>
        </w:rPr>
        <w:t>,</w:t>
      </w:r>
      <w:r w:rsidRPr="003235EF">
        <w:rPr>
          <w:rFonts w:cs="GentiumBasic"/>
        </w:rPr>
        <w:t xml:space="preserve"> 2015</w:t>
      </w:r>
      <w:r>
        <w:rPr>
          <w:rFonts w:cs="GentiumBasic"/>
        </w:rPr>
        <w:t>), available at</w:t>
      </w:r>
      <w:r w:rsidRPr="003235EF">
        <w:t xml:space="preserve"> </w:t>
      </w:r>
      <w:hyperlink r:id="rId23" w:history="1">
        <w:r w:rsidRPr="00597AD4">
          <w:rPr>
            <w:rStyle w:val="Hyperlink"/>
            <w:rFonts w:cs="GentiumBasic"/>
          </w:rPr>
          <w:t>https://www-dawsonera-com.ezproxy.uwtsd.ac.uk/readonline/9781783167937</w:t>
        </w:r>
      </w:hyperlink>
      <w:r>
        <w:rPr>
          <w:rFonts w:cs="GentiumBasic"/>
        </w:rPr>
        <w:t xml:space="preserve">  </w:t>
      </w:r>
      <w:r>
        <w:t>&lt;Accessed 28 March 2018&gt;</w:t>
      </w:r>
    </w:p>
    <w:p w14:paraId="0C95AC5B" w14:textId="77777777" w:rsidR="00BA4FE1" w:rsidRPr="00BE743F" w:rsidRDefault="00BA4FE1" w:rsidP="00A9559F">
      <w:pPr>
        <w:spacing w:line="240" w:lineRule="auto"/>
      </w:pPr>
      <w:r>
        <w:t>Carney, J.</w:t>
      </w:r>
      <w:r w:rsidRPr="00BE743F">
        <w:t xml:space="preserve">, </w:t>
      </w:r>
      <w:r>
        <w:t>‘Review of</w:t>
      </w:r>
      <w:r>
        <w:rPr>
          <w:i/>
        </w:rPr>
        <w:t xml:space="preserve"> Navigatio Sancti Brendani Abbatis’, </w:t>
      </w:r>
      <w:r w:rsidRPr="008C0398">
        <w:t xml:space="preserve">in </w:t>
      </w:r>
      <w:r>
        <w:t xml:space="preserve"> Wooding, J.M., ed, </w:t>
      </w:r>
      <w:r>
        <w:rPr>
          <w:i/>
        </w:rPr>
        <w:t>The Otherworld Journey in Early Irish Literature</w:t>
      </w:r>
      <w:r>
        <w:t>, (Dublin: Four Courts Press, 2000)</w:t>
      </w:r>
    </w:p>
    <w:p w14:paraId="6501DBD3" w14:textId="77777777" w:rsidR="00BA4FE1" w:rsidRDefault="00BA4FE1" w:rsidP="00BA4FE1">
      <w:pPr>
        <w:rPr>
          <w:shd w:val="clear" w:color="auto" w:fill="FFFFFF"/>
        </w:rPr>
      </w:pPr>
      <w:r>
        <w:rPr>
          <w:shd w:val="clear" w:color="auto" w:fill="FFFFFF"/>
        </w:rPr>
        <w:t>Chadwick, N.</w:t>
      </w:r>
      <w:r w:rsidRPr="00C34832">
        <w:rPr>
          <w:shd w:val="clear" w:color="auto" w:fill="FFFFFF"/>
        </w:rPr>
        <w:t xml:space="preserve">, </w:t>
      </w:r>
      <w:r w:rsidRPr="00C34832">
        <w:rPr>
          <w:i/>
          <w:shd w:val="clear" w:color="auto" w:fill="FFFFFF"/>
        </w:rPr>
        <w:t>The Celts</w:t>
      </w:r>
      <w:r>
        <w:rPr>
          <w:i/>
          <w:shd w:val="clear" w:color="auto" w:fill="FFFFFF"/>
        </w:rPr>
        <w:t>,</w:t>
      </w:r>
      <w:r w:rsidRPr="00C34832">
        <w:rPr>
          <w:shd w:val="clear" w:color="auto" w:fill="FFFFFF"/>
        </w:rPr>
        <w:t xml:space="preserve"> 2</w:t>
      </w:r>
      <w:r w:rsidRPr="00C34832">
        <w:rPr>
          <w:shd w:val="clear" w:color="auto" w:fill="FFFFFF"/>
          <w:vertAlign w:val="superscript"/>
        </w:rPr>
        <w:t>nd</w:t>
      </w:r>
      <w:r w:rsidRPr="00C34832">
        <w:rPr>
          <w:shd w:val="clear" w:color="auto" w:fill="FFFFFF"/>
        </w:rPr>
        <w:t xml:space="preserve"> edn</w:t>
      </w:r>
      <w:r>
        <w:rPr>
          <w:shd w:val="clear" w:color="auto" w:fill="FFFFFF"/>
        </w:rPr>
        <w:t>,</w:t>
      </w:r>
      <w:r w:rsidRPr="00C34832">
        <w:rPr>
          <w:shd w:val="clear" w:color="auto" w:fill="FFFFFF"/>
        </w:rPr>
        <w:t xml:space="preserve"> (London: Penguin, 1997)</w:t>
      </w:r>
    </w:p>
    <w:p w14:paraId="135B1368" w14:textId="77777777" w:rsidR="00BA4FE1" w:rsidRPr="00C34832" w:rsidRDefault="00BA4FE1" w:rsidP="00BA4FE1">
      <w:pPr>
        <w:rPr>
          <w:shd w:val="clear" w:color="auto" w:fill="FFFFFF"/>
        </w:rPr>
      </w:pPr>
      <w:r>
        <w:t xml:space="preserve">Chadwick, N., </w:t>
      </w:r>
      <w:r w:rsidRPr="00E122F0">
        <w:rPr>
          <w:i/>
        </w:rPr>
        <w:t>The Druids</w:t>
      </w:r>
      <w:r>
        <w:rPr>
          <w:i/>
        </w:rPr>
        <w:t xml:space="preserve"> </w:t>
      </w:r>
      <w:r w:rsidRPr="00DE7D24">
        <w:t>2</w:t>
      </w:r>
      <w:r w:rsidRPr="00DE7D24">
        <w:rPr>
          <w:vertAlign w:val="superscript"/>
        </w:rPr>
        <w:t>nd</w:t>
      </w:r>
      <w:r w:rsidRPr="00DE7D24">
        <w:t xml:space="preserve"> edn,</w:t>
      </w:r>
      <w:r>
        <w:t xml:space="preserve"> (Cardiff: University of Wales Press, 1997)</w:t>
      </w:r>
    </w:p>
    <w:p w14:paraId="280449E2" w14:textId="77777777" w:rsidR="00BA4FE1" w:rsidRPr="00C34832" w:rsidRDefault="00BA4FE1" w:rsidP="00BA4FE1">
      <w:r w:rsidRPr="00C34832">
        <w:rPr>
          <w:rStyle w:val="instancename"/>
          <w:rFonts w:cs="Arial"/>
          <w:shd w:val="clear" w:color="auto" w:fill="FFFFFF"/>
        </w:rPr>
        <w:t xml:space="preserve">Charles-Edwards, T., </w:t>
      </w:r>
      <w:r>
        <w:rPr>
          <w:rStyle w:val="instancename"/>
          <w:rFonts w:cs="Arial"/>
          <w:shd w:val="clear" w:color="auto" w:fill="FFFFFF"/>
        </w:rPr>
        <w:t>‘</w:t>
      </w:r>
      <w:r w:rsidRPr="00C34832">
        <w:rPr>
          <w:rStyle w:val="instancename"/>
          <w:rFonts w:cs="Arial"/>
          <w:shd w:val="clear" w:color="auto" w:fill="FFFFFF"/>
        </w:rPr>
        <w:t xml:space="preserve">The Social Background to Irish </w:t>
      </w:r>
      <w:r w:rsidRPr="00DE7D24">
        <w:rPr>
          <w:rStyle w:val="instancename"/>
          <w:rFonts w:cs="Arial"/>
          <w:i/>
          <w:shd w:val="clear" w:color="auto" w:fill="FFFFFF"/>
        </w:rPr>
        <w:t>Peregrinatio</w:t>
      </w:r>
      <w:r>
        <w:rPr>
          <w:rStyle w:val="instancename"/>
          <w:rFonts w:cs="Arial"/>
          <w:shd w:val="clear" w:color="auto" w:fill="FFFFFF"/>
        </w:rPr>
        <w:t>’</w:t>
      </w:r>
      <w:r w:rsidRPr="00C34832">
        <w:rPr>
          <w:rStyle w:val="instancename"/>
          <w:rFonts w:cs="Arial"/>
          <w:shd w:val="clear" w:color="auto" w:fill="FFFFFF"/>
        </w:rPr>
        <w:t xml:space="preserve">, </w:t>
      </w:r>
      <w:r w:rsidRPr="00C34832">
        <w:rPr>
          <w:rStyle w:val="instancename"/>
          <w:rFonts w:cs="Arial"/>
          <w:i/>
          <w:shd w:val="clear" w:color="auto" w:fill="FFFFFF"/>
        </w:rPr>
        <w:t>Celtica</w:t>
      </w:r>
      <w:r w:rsidRPr="00C34832">
        <w:rPr>
          <w:rStyle w:val="instancename"/>
          <w:rFonts w:cs="Arial"/>
          <w:shd w:val="clear" w:color="auto" w:fill="FFFFFF"/>
        </w:rPr>
        <w:t xml:space="preserve"> </w:t>
      </w:r>
      <w:r w:rsidRPr="00DE7D24">
        <w:rPr>
          <w:rStyle w:val="instancename"/>
          <w:rFonts w:cs="Arial"/>
          <w:shd w:val="clear" w:color="auto" w:fill="FFFFFF"/>
        </w:rPr>
        <w:t>11:</w:t>
      </w:r>
      <w:r w:rsidRPr="00C34832">
        <w:rPr>
          <w:rStyle w:val="instancename"/>
          <w:rFonts w:cs="Arial"/>
          <w:shd w:val="clear" w:color="auto" w:fill="FFFFFF"/>
        </w:rPr>
        <w:t xml:space="preserve"> (1976), 43-59</w:t>
      </w:r>
    </w:p>
    <w:p w14:paraId="4793396B" w14:textId="77777777" w:rsidR="00BA4FE1" w:rsidRPr="0021402D" w:rsidRDefault="00BA4FE1" w:rsidP="00BA4FE1">
      <w:pPr>
        <w:rPr>
          <w:shd w:val="clear" w:color="auto" w:fill="FFFFFF"/>
        </w:rPr>
      </w:pPr>
      <w:r>
        <w:rPr>
          <w:shd w:val="clear" w:color="auto" w:fill="FFFFFF"/>
        </w:rPr>
        <w:t xml:space="preserve">Charles-Edwards, T.M., </w:t>
      </w:r>
      <w:r w:rsidRPr="0021402D">
        <w:rPr>
          <w:i/>
          <w:shd w:val="clear" w:color="auto" w:fill="FFFFFF"/>
        </w:rPr>
        <w:t>Early Christian Ireland</w:t>
      </w:r>
      <w:r>
        <w:rPr>
          <w:i/>
          <w:shd w:val="clear" w:color="auto" w:fill="FFFFFF"/>
        </w:rPr>
        <w:t xml:space="preserve">, </w:t>
      </w:r>
      <w:r>
        <w:rPr>
          <w:shd w:val="clear" w:color="auto" w:fill="FFFFFF"/>
        </w:rPr>
        <w:t>(Cambridge: Cambridge University Press, 2000)</w:t>
      </w:r>
    </w:p>
    <w:p w14:paraId="760EA14C" w14:textId="77777777" w:rsidR="00BA4FE1" w:rsidRDefault="00BA4FE1" w:rsidP="00A9559F">
      <w:pPr>
        <w:spacing w:line="240" w:lineRule="auto"/>
      </w:pPr>
      <w:r w:rsidRPr="008832DF">
        <w:t xml:space="preserve"> Creighton</w:t>
      </w:r>
      <w:r>
        <w:t>, J.,</w:t>
      </w:r>
      <w:r w:rsidRPr="008832DF">
        <w:t xml:space="preserve"> </w:t>
      </w:r>
      <w:r>
        <w:t>‘</w:t>
      </w:r>
      <w:r w:rsidRPr="008832DF">
        <w:t>Visions of Power: Imagery and Symbols in Late Iron Age Britain</w:t>
      </w:r>
      <w:r>
        <w:t xml:space="preserve">’, </w:t>
      </w:r>
      <w:r w:rsidRPr="00B747A4">
        <w:rPr>
          <w:i/>
        </w:rPr>
        <w:t>Britannia</w:t>
      </w:r>
      <w:r>
        <w:t xml:space="preserve">, </w:t>
      </w:r>
      <w:r w:rsidRPr="008832DF">
        <w:t>26</w:t>
      </w:r>
      <w:r>
        <w:t xml:space="preserve">: (1995) </w:t>
      </w:r>
      <w:r w:rsidRPr="008832DF">
        <w:t>285-301</w:t>
      </w:r>
      <w:r>
        <w:t xml:space="preserve">. [Online: </w:t>
      </w:r>
      <w:r w:rsidRPr="00B747A4">
        <w:rPr>
          <w:color w:val="548DD4" w:themeColor="text2" w:themeTint="99"/>
        </w:rPr>
        <w:t>http://www.jstor.org/stable/526880</w:t>
      </w:r>
      <w:r>
        <w:t xml:space="preserve">] &lt;Accessed: </w:t>
      </w:r>
      <w:r w:rsidRPr="008832DF">
        <w:t>7</w:t>
      </w:r>
      <w:r>
        <w:t xml:space="preserve"> January </w:t>
      </w:r>
      <w:r w:rsidRPr="008832DF">
        <w:t>2018</w:t>
      </w:r>
      <w:r>
        <w:t>&gt;</w:t>
      </w:r>
    </w:p>
    <w:p w14:paraId="2A4EE23D" w14:textId="77777777" w:rsidR="00BA4FE1" w:rsidRPr="00DB5244" w:rsidRDefault="00BA4FE1" w:rsidP="00BA4FE1">
      <w:r>
        <w:t xml:space="preserve">Cunliffe, B., </w:t>
      </w:r>
      <w:r>
        <w:rPr>
          <w:i/>
        </w:rPr>
        <w:t xml:space="preserve">Facing the Ocean: The Atlantic and it Peoples, </w:t>
      </w:r>
      <w:r>
        <w:t>(Oxford: Oxford University Press, 2001)</w:t>
      </w:r>
    </w:p>
    <w:tbl>
      <w:tblPr>
        <w:tblW w:w="5000" w:type="pct"/>
        <w:jc w:val="center"/>
        <w:tblCellSpacing w:w="0" w:type="dxa"/>
        <w:shd w:val="clear" w:color="auto" w:fill="FFFFFF"/>
        <w:tblCellMar>
          <w:top w:w="30" w:type="dxa"/>
          <w:left w:w="30" w:type="dxa"/>
          <w:bottom w:w="30" w:type="dxa"/>
          <w:right w:w="30" w:type="dxa"/>
        </w:tblCellMar>
        <w:tblLook w:val="04A0" w:firstRow="1" w:lastRow="0" w:firstColumn="1" w:lastColumn="0" w:noHBand="0" w:noVBand="1"/>
      </w:tblPr>
      <w:tblGrid>
        <w:gridCol w:w="8899"/>
        <w:gridCol w:w="127"/>
      </w:tblGrid>
      <w:tr w:rsidR="00BA4FE1" w:rsidRPr="00BF7A2C" w14:paraId="7000E74B" w14:textId="77777777" w:rsidTr="00A77774">
        <w:trPr>
          <w:trHeight w:val="285"/>
          <w:tblCellSpacing w:w="0" w:type="dxa"/>
          <w:jc w:val="center"/>
        </w:trPr>
        <w:tc>
          <w:tcPr>
            <w:tcW w:w="4930" w:type="pct"/>
            <w:shd w:val="clear" w:color="auto" w:fill="FFFFFF"/>
            <w:hideMark/>
          </w:tcPr>
          <w:p w14:paraId="2F49FAEE" w14:textId="77777777" w:rsidR="00BA4FE1" w:rsidRPr="00BF7A2C" w:rsidRDefault="00BA4FE1" w:rsidP="00A9559F">
            <w:pPr>
              <w:spacing w:before="100" w:beforeAutospacing="1" w:after="100" w:afterAutospacing="1" w:line="240" w:lineRule="auto"/>
              <w:rPr>
                <w:rFonts w:eastAsia="Times New Roman" w:cs="Times New Roman"/>
                <w:color w:val="000000"/>
                <w:lang w:eastAsia="en-GB"/>
              </w:rPr>
            </w:pPr>
            <w:r w:rsidRPr="002D21A1">
              <w:rPr>
                <w:rFonts w:eastAsia="Times New Roman" w:cs="Arial"/>
                <w:bCs/>
                <w:lang w:eastAsia="en-GB"/>
              </w:rPr>
              <w:t xml:space="preserve">Dillon, M., and Chadwick, N., ‘Celtic Religion and Mythology and the Literature of the Otherworld’ in </w:t>
            </w:r>
            <w:r w:rsidRPr="002D21A1">
              <w:rPr>
                <w:rFonts w:eastAsia="Times New Roman" w:cs="Arial"/>
                <w:bCs/>
                <w:i/>
                <w:iCs/>
                <w:lang w:eastAsia="en-GB"/>
              </w:rPr>
              <w:t>The Celtic Realms </w:t>
            </w:r>
            <w:r w:rsidRPr="002D21A1">
              <w:rPr>
                <w:rFonts w:eastAsia="Times New Roman" w:cs="Arial"/>
                <w:bCs/>
                <w:lang w:eastAsia="en-GB"/>
              </w:rPr>
              <w:t>[History and Civilisation], (London: Weidenfeld &amp; Nicholson 1967) Chap. 7, available at</w:t>
            </w:r>
            <w:r w:rsidRPr="00BF7A2C">
              <w:rPr>
                <w:rFonts w:eastAsia="Times New Roman" w:cs="Times New Roman"/>
                <w:color w:val="000000"/>
                <w:lang w:eastAsia="en-GB"/>
              </w:rPr>
              <w:t> </w:t>
            </w:r>
            <w:hyperlink r:id="rId24" w:history="1">
              <w:r w:rsidRPr="00BF7A2C">
                <w:rPr>
                  <w:rStyle w:val="Hyperlink"/>
                  <w:rFonts w:eastAsia="Times New Roman" w:cs="Times New Roman"/>
                  <w:lang w:eastAsia="en-GB"/>
                </w:rPr>
                <w:t>http://www.ricorso.net/rx/library/criticism/classic/Celtiana/Dillon_M/C_Realms/C_Realms03.htm</w:t>
              </w:r>
            </w:hyperlink>
            <w:r w:rsidRPr="00BF7A2C">
              <w:t xml:space="preserve"> &lt;A</w:t>
            </w:r>
            <w:r w:rsidRPr="00BF7A2C">
              <w:rPr>
                <w:rFonts w:eastAsia="Times New Roman" w:cs="Times New Roman"/>
                <w:color w:val="000000"/>
                <w:lang w:eastAsia="en-GB"/>
              </w:rPr>
              <w:t>ccessed 22</w:t>
            </w:r>
            <w:r>
              <w:rPr>
                <w:rFonts w:eastAsia="Times New Roman" w:cs="Times New Roman"/>
                <w:color w:val="000000"/>
                <w:lang w:eastAsia="en-GB"/>
              </w:rPr>
              <w:t xml:space="preserve"> January 20</w:t>
            </w:r>
            <w:r w:rsidRPr="00BF7A2C">
              <w:rPr>
                <w:rFonts w:eastAsia="Times New Roman" w:cs="Times New Roman"/>
                <w:color w:val="000000"/>
                <w:lang w:eastAsia="en-GB"/>
              </w:rPr>
              <w:t xml:space="preserve">18&gt; </w:t>
            </w:r>
          </w:p>
        </w:tc>
        <w:tc>
          <w:tcPr>
            <w:tcW w:w="70" w:type="pct"/>
            <w:shd w:val="clear" w:color="auto" w:fill="FFFFFF"/>
            <w:hideMark/>
          </w:tcPr>
          <w:p w14:paraId="442C3BDA" w14:textId="77777777" w:rsidR="00BA4FE1" w:rsidRPr="00BF7A2C" w:rsidRDefault="00BA4FE1" w:rsidP="00A9559F">
            <w:pPr>
              <w:spacing w:after="0" w:line="240" w:lineRule="auto"/>
              <w:jc w:val="center"/>
              <w:rPr>
                <w:rFonts w:eastAsia="Times New Roman" w:cs="Times New Roman"/>
                <w:lang w:eastAsia="en-GB"/>
              </w:rPr>
            </w:pPr>
            <w:r w:rsidRPr="00BF7A2C">
              <w:rPr>
                <w:rFonts w:eastAsia="Times New Roman" w:cs="Times New Roman"/>
                <w:lang w:eastAsia="en-GB"/>
              </w:rPr>
              <w:t>[</w:t>
            </w:r>
          </w:p>
        </w:tc>
      </w:tr>
    </w:tbl>
    <w:p w14:paraId="6DB624ED" w14:textId="77777777" w:rsidR="00BA4FE1" w:rsidRDefault="00BA4FE1" w:rsidP="00BA4FE1">
      <w:pPr>
        <w:autoSpaceDE w:val="0"/>
        <w:autoSpaceDN w:val="0"/>
        <w:adjustRightInd w:val="0"/>
        <w:spacing w:after="0" w:line="240" w:lineRule="auto"/>
        <w:rPr>
          <w:rFonts w:cs="Times New Roman"/>
        </w:rPr>
      </w:pPr>
    </w:p>
    <w:p w14:paraId="7FB37B86" w14:textId="77777777" w:rsidR="00BA4FE1" w:rsidRPr="00E122F0" w:rsidRDefault="00BA4FE1" w:rsidP="00BA4FE1">
      <w:pPr>
        <w:autoSpaceDE w:val="0"/>
        <w:autoSpaceDN w:val="0"/>
        <w:adjustRightInd w:val="0"/>
        <w:spacing w:after="0" w:line="240" w:lineRule="auto"/>
        <w:rPr>
          <w:rFonts w:cs="Georgia"/>
        </w:rPr>
      </w:pPr>
      <w:r w:rsidRPr="00E122F0">
        <w:rPr>
          <w:rFonts w:cs="Times New Roman"/>
        </w:rPr>
        <w:t>Duignan, L</w:t>
      </w:r>
      <w:r>
        <w:rPr>
          <w:rFonts w:cs="Times New Roman"/>
        </w:rPr>
        <w:t xml:space="preserve">., </w:t>
      </w:r>
      <w:r w:rsidRPr="00B61DD8">
        <w:rPr>
          <w:rFonts w:cs="Times New Roman"/>
        </w:rPr>
        <w:t>T</w:t>
      </w:r>
      <w:r w:rsidRPr="00B61DD8">
        <w:rPr>
          <w:rFonts w:cs="Georgia"/>
        </w:rPr>
        <w:t xml:space="preserve">he </w:t>
      </w:r>
      <w:r w:rsidRPr="00B61DD8">
        <w:rPr>
          <w:rFonts w:cs="Times New Roman"/>
          <w:bCs/>
          <w:iCs/>
        </w:rPr>
        <w:t xml:space="preserve">Echtrae </w:t>
      </w:r>
      <w:r w:rsidRPr="00B61DD8">
        <w:rPr>
          <w:rFonts w:cs="Georgia"/>
        </w:rPr>
        <w:t>as an Early Irish Literary Genre</w:t>
      </w:r>
      <w:r>
        <w:rPr>
          <w:rFonts w:cs="Georgia"/>
        </w:rPr>
        <w:t>, (unpublished PhD,</w:t>
      </w:r>
      <w:r w:rsidRPr="00B61DD8">
        <w:rPr>
          <w:rFonts w:cs="Times New Roman"/>
        </w:rPr>
        <w:t xml:space="preserve"> </w:t>
      </w:r>
      <w:r>
        <w:rPr>
          <w:rFonts w:cs="Times New Roman"/>
        </w:rPr>
        <w:t xml:space="preserve">The National University of Ireland, </w:t>
      </w:r>
      <w:r w:rsidRPr="00E122F0">
        <w:rPr>
          <w:rFonts w:cs="Times New Roman"/>
        </w:rPr>
        <w:t>Maynooth</w:t>
      </w:r>
      <w:r>
        <w:rPr>
          <w:rFonts w:cs="Times New Roman"/>
        </w:rPr>
        <w:t>, 2010).</w:t>
      </w:r>
    </w:p>
    <w:p w14:paraId="2396C562" w14:textId="77777777" w:rsidR="00BA4FE1" w:rsidRPr="00E122F0" w:rsidRDefault="00BA4FE1" w:rsidP="00BA4FE1">
      <w:pPr>
        <w:autoSpaceDE w:val="0"/>
        <w:autoSpaceDN w:val="0"/>
        <w:adjustRightInd w:val="0"/>
        <w:spacing w:after="0" w:line="240" w:lineRule="auto"/>
        <w:rPr>
          <w:rFonts w:cs="Times New Roman"/>
        </w:rPr>
      </w:pPr>
    </w:p>
    <w:p w14:paraId="6A1F0442" w14:textId="77777777" w:rsidR="00BA4FE1" w:rsidRDefault="00BA4FE1" w:rsidP="00BA4FE1">
      <w:r w:rsidRPr="002444CA">
        <w:t>Duignan,</w:t>
      </w:r>
      <w:r>
        <w:t xml:space="preserve"> L.,</w:t>
      </w:r>
      <w:r w:rsidRPr="002444CA">
        <w:t xml:space="preserve"> </w:t>
      </w:r>
      <w:r w:rsidRPr="0029581F">
        <w:rPr>
          <w:i/>
        </w:rPr>
        <w:t>The Echtrae as an Early Irish literary genre</w:t>
      </w:r>
      <w:r w:rsidRPr="002444CA">
        <w:t xml:space="preserve"> (</w:t>
      </w:r>
      <w:r>
        <w:t xml:space="preserve">Leidorf: </w:t>
      </w:r>
      <w:r w:rsidRPr="002444CA">
        <w:t>Rahden/Westf</w:t>
      </w:r>
      <w:r>
        <w:t>,</w:t>
      </w:r>
      <w:r w:rsidRPr="002444CA">
        <w:t xml:space="preserve"> </w:t>
      </w:r>
      <w:r>
        <w:t>2011)</w:t>
      </w:r>
    </w:p>
    <w:p w14:paraId="42F35901" w14:textId="77777777" w:rsidR="00BA4FE1" w:rsidRPr="00074EA0" w:rsidRDefault="00BA4FE1" w:rsidP="00BA4FE1">
      <w:r>
        <w:t>Dumville, D., ‘</w:t>
      </w:r>
      <w:r>
        <w:rPr>
          <w:i/>
        </w:rPr>
        <w:t>Echtrae a</w:t>
      </w:r>
      <w:r>
        <w:t xml:space="preserve">nd </w:t>
      </w:r>
      <w:r>
        <w:rPr>
          <w:i/>
        </w:rPr>
        <w:t>Immram</w:t>
      </w:r>
      <w:r>
        <w:t xml:space="preserve"> Some Problems of Definition’ in</w:t>
      </w:r>
      <w:r w:rsidRPr="006D1379">
        <w:rPr>
          <w:i/>
        </w:rPr>
        <w:t xml:space="preserve"> Ériu</w:t>
      </w:r>
      <w:r>
        <w:t xml:space="preserve"> </w:t>
      </w:r>
      <w:r w:rsidRPr="00B61DD8">
        <w:t>27</w:t>
      </w:r>
      <w:r>
        <w:rPr>
          <w:b/>
        </w:rPr>
        <w:t>:</w:t>
      </w:r>
      <w:r w:rsidRPr="006D1379">
        <w:rPr>
          <w:b/>
        </w:rPr>
        <w:t xml:space="preserve"> </w:t>
      </w:r>
      <w:r>
        <w:rPr>
          <w:b/>
        </w:rPr>
        <w:t>(</w:t>
      </w:r>
      <w:r>
        <w:t>1976) 73-94</w:t>
      </w:r>
    </w:p>
    <w:p w14:paraId="0CAA4CF7" w14:textId="77777777" w:rsidR="00BA4FE1" w:rsidRPr="00E122F0" w:rsidRDefault="00BA4FE1" w:rsidP="00A9559F">
      <w:pPr>
        <w:spacing w:line="240" w:lineRule="auto"/>
      </w:pPr>
      <w:r>
        <w:rPr>
          <w:shd w:val="clear" w:color="auto" w:fill="FFFFFF"/>
        </w:rPr>
        <w:t>Dunn</w:t>
      </w:r>
      <w:r w:rsidRPr="00E122F0">
        <w:rPr>
          <w:shd w:val="clear" w:color="auto" w:fill="FFFFFF"/>
        </w:rPr>
        <w:t>, J.,</w:t>
      </w:r>
      <w:r>
        <w:rPr>
          <w:shd w:val="clear" w:color="auto" w:fill="FFFFFF"/>
        </w:rPr>
        <w:t>’</w:t>
      </w:r>
      <w:r w:rsidRPr="00E122F0">
        <w:rPr>
          <w:shd w:val="clear" w:color="auto" w:fill="FFFFFF"/>
        </w:rPr>
        <w:t xml:space="preserve"> The Brendan Problem</w:t>
      </w:r>
      <w:r>
        <w:rPr>
          <w:shd w:val="clear" w:color="auto" w:fill="FFFFFF"/>
        </w:rPr>
        <w:t>’</w:t>
      </w:r>
      <w:r w:rsidRPr="00B61DD8">
        <w:rPr>
          <w:shd w:val="clear" w:color="auto" w:fill="FFFFFF"/>
        </w:rPr>
        <w:t>, </w:t>
      </w:r>
      <w:r w:rsidRPr="00B61DD8">
        <w:rPr>
          <w:i/>
          <w:iCs/>
          <w:shd w:val="clear" w:color="auto" w:fill="FFFFFF"/>
        </w:rPr>
        <w:t>Catholic Historical Review, </w:t>
      </w:r>
      <w:r w:rsidRPr="00B61DD8">
        <w:rPr>
          <w:bCs/>
          <w:shd w:val="clear" w:color="auto" w:fill="FFFFFF"/>
        </w:rPr>
        <w:t>6</w:t>
      </w:r>
      <w:r w:rsidRPr="00B61DD8">
        <w:rPr>
          <w:shd w:val="clear" w:color="auto" w:fill="FFFFFF"/>
        </w:rPr>
        <w:t>:</w:t>
      </w:r>
      <w:r w:rsidRPr="00E122F0">
        <w:rPr>
          <w:shd w:val="clear" w:color="auto" w:fill="FFFFFF"/>
        </w:rPr>
        <w:t xml:space="preserve"> (1920)</w:t>
      </w:r>
      <w:r>
        <w:rPr>
          <w:shd w:val="clear" w:color="auto" w:fill="FFFFFF"/>
        </w:rPr>
        <w:t xml:space="preserve"> </w:t>
      </w:r>
      <w:r w:rsidRPr="00B61DD8">
        <w:rPr>
          <w:shd w:val="clear" w:color="auto" w:fill="FFFFFF"/>
        </w:rPr>
        <w:t>395</w:t>
      </w:r>
      <w:r w:rsidRPr="00E122F0">
        <w:rPr>
          <w:color w:val="FF0000"/>
          <w:shd w:val="clear" w:color="auto" w:fill="FFFFFF"/>
        </w:rPr>
        <w:t>.</w:t>
      </w:r>
      <w:r>
        <w:rPr>
          <w:color w:val="FF0000"/>
          <w:shd w:val="clear" w:color="auto" w:fill="FFFFFF"/>
        </w:rPr>
        <w:t xml:space="preserve"> </w:t>
      </w:r>
      <w:r w:rsidRPr="00E122F0">
        <w:t xml:space="preserve">[Online: </w:t>
      </w:r>
      <w:hyperlink r:id="rId25" w:history="1">
        <w:r w:rsidRPr="00E122F0">
          <w:rPr>
            <w:rStyle w:val="Hyperlink"/>
          </w:rPr>
          <w:t>http://eprints.maynoothuniversity.ie/7801/1/Leonie%20Duignan.pdf</w:t>
        </w:r>
      </w:hyperlink>
      <w:r w:rsidRPr="00E122F0">
        <w:t>]</w:t>
      </w:r>
      <w:r>
        <w:t xml:space="preserve"> </w:t>
      </w:r>
      <w:r w:rsidRPr="00E122F0">
        <w:t>&lt;Accessed: 28</w:t>
      </w:r>
      <w:r>
        <w:t xml:space="preserve"> February 20</w:t>
      </w:r>
      <w:r w:rsidRPr="00E122F0">
        <w:t>18&gt;</w:t>
      </w:r>
    </w:p>
    <w:p w14:paraId="7C574BC9" w14:textId="77777777" w:rsidR="00BA4FE1" w:rsidRPr="00613A7D" w:rsidRDefault="00BA4FE1" w:rsidP="00BA4FE1">
      <w:r>
        <w:t xml:space="preserve">Freeman,P., </w:t>
      </w:r>
      <w:r>
        <w:rPr>
          <w:i/>
        </w:rPr>
        <w:t xml:space="preserve">The World of Saint Patrick  </w:t>
      </w:r>
      <w:r>
        <w:t xml:space="preserve">(Oxford Scholarship Online, 2014) [Online: </w:t>
      </w:r>
      <w:hyperlink r:id="rId26" w:history="1">
        <w:r w:rsidRPr="00613A7D">
          <w:rPr>
            <w:rStyle w:val="Hyperlink"/>
          </w:rPr>
          <w:t>http://www.oxfordscholarship.com.ezproxy.uwtsd.ac.uk/view/10.1093/acprof:oso/9780199372584.001.0001/acprof-9780199372584-chapter-6</w:t>
        </w:r>
      </w:hyperlink>
      <w:r>
        <w:t xml:space="preserve">] &lt;Accessed: 30 March 2018&gt; </w:t>
      </w:r>
      <w:r w:rsidRPr="00613A7D">
        <w:t xml:space="preserve"> </w:t>
      </w:r>
    </w:p>
    <w:p w14:paraId="3C0356BB" w14:textId="77777777" w:rsidR="00BA4FE1" w:rsidRDefault="00BA4FE1" w:rsidP="00BA4FE1">
      <w:r>
        <w:t xml:space="preserve">Freitag, B., </w:t>
      </w:r>
      <w:r w:rsidRPr="00A76475">
        <w:rPr>
          <w:i/>
        </w:rPr>
        <w:t>Hy Brasil: The Metamorphosis of an Island</w:t>
      </w:r>
      <w:r>
        <w:rPr>
          <w:i/>
        </w:rPr>
        <w:t xml:space="preserve"> </w:t>
      </w:r>
      <w:r>
        <w:t>(Amsterdam, New York: Rodopi, 2013)</w:t>
      </w:r>
    </w:p>
    <w:p w14:paraId="67230F62" w14:textId="77777777" w:rsidR="00BA4FE1" w:rsidRDefault="00BA4FE1" w:rsidP="00A9559F">
      <w:pPr>
        <w:spacing w:line="240" w:lineRule="auto"/>
      </w:pPr>
      <w:r>
        <w:lastRenderedPageBreak/>
        <w:t xml:space="preserve">Freitag, B., </w:t>
      </w:r>
      <w:r w:rsidRPr="00F90D1B">
        <w:rPr>
          <w:i/>
        </w:rPr>
        <w:t>Sheela-Na-Gigs: Unravelling an Enigma</w:t>
      </w:r>
      <w:r>
        <w:rPr>
          <w:i/>
        </w:rPr>
        <w:t xml:space="preserve"> </w:t>
      </w:r>
      <w:r>
        <w:t>(Abingdon: Routledge, 2004)</w:t>
      </w:r>
    </w:p>
    <w:p w14:paraId="47121F6F" w14:textId="77777777" w:rsidR="00BA4FE1" w:rsidRPr="008832DF" w:rsidRDefault="00BA4FE1" w:rsidP="00A9559F">
      <w:pPr>
        <w:shd w:val="clear" w:color="auto" w:fill="FEFDFA"/>
        <w:spacing w:line="240" w:lineRule="auto"/>
        <w:rPr>
          <w:rStyle w:val="exlavailabilitycallnumber"/>
          <w:rFonts w:cs="Arial"/>
          <w:bdr w:val="none" w:sz="0" w:space="0" w:color="auto" w:frame="1"/>
        </w:rPr>
      </w:pPr>
      <w:r w:rsidRPr="008832DF">
        <w:rPr>
          <w:rStyle w:val="exlavailabilitycallnumber"/>
          <w:rFonts w:cs="Arial"/>
          <w:bdr w:val="none" w:sz="0" w:space="0" w:color="auto" w:frame="1"/>
        </w:rPr>
        <w:t>Gimbutas</w:t>
      </w:r>
      <w:r>
        <w:rPr>
          <w:rStyle w:val="exlavailabilitycallnumber"/>
          <w:rFonts w:cs="Arial"/>
          <w:bdr w:val="none" w:sz="0" w:space="0" w:color="auto" w:frame="1"/>
        </w:rPr>
        <w:t>,</w:t>
      </w:r>
      <w:r w:rsidRPr="008832DF">
        <w:rPr>
          <w:rStyle w:val="exlavailabilitycallnumber"/>
          <w:rFonts w:cs="Arial"/>
          <w:bdr w:val="none" w:sz="0" w:space="0" w:color="auto" w:frame="1"/>
        </w:rPr>
        <w:t xml:space="preserve"> M</w:t>
      </w:r>
      <w:r>
        <w:rPr>
          <w:rStyle w:val="exlavailabilitycallnumber"/>
          <w:rFonts w:cs="Arial"/>
          <w:bdr w:val="none" w:sz="0" w:space="0" w:color="auto" w:frame="1"/>
        </w:rPr>
        <w:t>.,</w:t>
      </w:r>
      <w:r w:rsidRPr="008832DF">
        <w:rPr>
          <w:rStyle w:val="exlavailabilitycallnumber"/>
          <w:rFonts w:cs="Arial"/>
          <w:bdr w:val="none" w:sz="0" w:space="0" w:color="auto" w:frame="1"/>
        </w:rPr>
        <w:t xml:space="preserve"> </w:t>
      </w:r>
      <w:r w:rsidRPr="004166AD">
        <w:rPr>
          <w:rStyle w:val="exlavailabilitycallnumber"/>
          <w:rFonts w:cs="Arial"/>
          <w:i/>
          <w:bdr w:val="none" w:sz="0" w:space="0" w:color="auto" w:frame="1"/>
        </w:rPr>
        <w:t>The Goddesses and Gods of Old Europe Myths and Cult images</w:t>
      </w:r>
      <w:r>
        <w:rPr>
          <w:rStyle w:val="exlavailabilitycallnumber"/>
          <w:rFonts w:cs="Arial"/>
          <w:i/>
          <w:bdr w:val="none" w:sz="0" w:space="0" w:color="auto" w:frame="1"/>
        </w:rPr>
        <w:t xml:space="preserve">, </w:t>
      </w:r>
      <w:r w:rsidRPr="008363D3">
        <w:rPr>
          <w:rStyle w:val="exlavailabilitycallnumber"/>
          <w:rFonts w:cs="Arial"/>
          <w:bdr w:val="none" w:sz="0" w:space="0" w:color="auto" w:frame="1"/>
        </w:rPr>
        <w:t>2</w:t>
      </w:r>
      <w:r w:rsidRPr="008363D3">
        <w:rPr>
          <w:rStyle w:val="exlavailabilitycallnumber"/>
          <w:rFonts w:cs="Arial"/>
          <w:bdr w:val="none" w:sz="0" w:space="0" w:color="auto" w:frame="1"/>
          <w:vertAlign w:val="superscript"/>
        </w:rPr>
        <w:t>nd</w:t>
      </w:r>
      <w:r w:rsidRPr="008363D3">
        <w:rPr>
          <w:rStyle w:val="exlavailabilitycallnumber"/>
          <w:rFonts w:cs="Arial"/>
          <w:bdr w:val="none" w:sz="0" w:space="0" w:color="auto" w:frame="1"/>
        </w:rPr>
        <w:t xml:space="preserve"> edn,</w:t>
      </w:r>
      <w:r w:rsidRPr="008832DF">
        <w:rPr>
          <w:rStyle w:val="exlavailabilitycallnumber"/>
          <w:rFonts w:cs="Arial"/>
          <w:bdr w:val="none" w:sz="0" w:space="0" w:color="auto" w:frame="1"/>
        </w:rPr>
        <w:t xml:space="preserve"> </w:t>
      </w:r>
      <w:r>
        <w:rPr>
          <w:rStyle w:val="exlavailabilitycallnumber"/>
          <w:rFonts w:cs="Arial"/>
          <w:bdr w:val="none" w:sz="0" w:space="0" w:color="auto" w:frame="1"/>
        </w:rPr>
        <w:t xml:space="preserve">(London: </w:t>
      </w:r>
      <w:r w:rsidRPr="008832DF">
        <w:rPr>
          <w:rStyle w:val="exlavailabilitycallnumber"/>
          <w:rFonts w:cs="Arial"/>
          <w:bdr w:val="none" w:sz="0" w:space="0" w:color="auto" w:frame="1"/>
        </w:rPr>
        <w:t>Thames and Hudson</w:t>
      </w:r>
      <w:r>
        <w:rPr>
          <w:rStyle w:val="exlavailabilitycallnumber"/>
          <w:rFonts w:cs="Arial"/>
          <w:bdr w:val="none" w:sz="0" w:space="0" w:color="auto" w:frame="1"/>
        </w:rPr>
        <w:t>,</w:t>
      </w:r>
      <w:r w:rsidRPr="008832DF">
        <w:rPr>
          <w:rStyle w:val="exlavailabilitycallnumber"/>
          <w:rFonts w:cs="Arial"/>
          <w:bdr w:val="none" w:sz="0" w:space="0" w:color="auto" w:frame="1"/>
        </w:rPr>
        <w:t xml:space="preserve"> 1996</w:t>
      </w:r>
      <w:r>
        <w:rPr>
          <w:rStyle w:val="exlavailabilitycallnumber"/>
          <w:rFonts w:cs="Arial"/>
          <w:bdr w:val="none" w:sz="0" w:space="0" w:color="auto" w:frame="1"/>
        </w:rPr>
        <w:t>)</w:t>
      </w:r>
      <w:r w:rsidRPr="008832DF">
        <w:rPr>
          <w:rStyle w:val="exlavailabilitycallnumber"/>
          <w:rFonts w:cs="Arial"/>
          <w:bdr w:val="none" w:sz="0" w:space="0" w:color="auto" w:frame="1"/>
        </w:rPr>
        <w:t xml:space="preserve"> </w:t>
      </w:r>
    </w:p>
    <w:p w14:paraId="1D4CB054" w14:textId="77777777" w:rsidR="00BA4FE1" w:rsidRDefault="00BA4FE1" w:rsidP="00A9559F">
      <w:pPr>
        <w:shd w:val="clear" w:color="auto" w:fill="FEFDFA"/>
        <w:spacing w:line="240" w:lineRule="auto"/>
        <w:rPr>
          <w:rStyle w:val="exlavailabilitycallnumber"/>
          <w:rFonts w:cs="Arial"/>
          <w:color w:val="FF0000"/>
          <w:bdr w:val="none" w:sz="0" w:space="0" w:color="auto" w:frame="1"/>
        </w:rPr>
      </w:pPr>
      <w:r w:rsidRPr="008832DF">
        <w:rPr>
          <w:rStyle w:val="exlavailabilitycallnumber"/>
          <w:rFonts w:cs="Arial"/>
          <w:bdr w:val="none" w:sz="0" w:space="0" w:color="auto" w:frame="1"/>
        </w:rPr>
        <w:t>Gimbutas, M.</w:t>
      </w:r>
      <w:r>
        <w:rPr>
          <w:rStyle w:val="exlavailabilitycallnumber"/>
          <w:rFonts w:cs="Arial"/>
          <w:bdr w:val="none" w:sz="0" w:space="0" w:color="auto" w:frame="1"/>
        </w:rPr>
        <w:t>,</w:t>
      </w:r>
      <w:r w:rsidRPr="008832DF">
        <w:rPr>
          <w:rStyle w:val="exlavailabilitycallnumber"/>
          <w:rFonts w:cs="Arial"/>
          <w:bdr w:val="none" w:sz="0" w:space="0" w:color="auto" w:frame="1"/>
        </w:rPr>
        <w:t xml:space="preserve"> </w:t>
      </w:r>
      <w:r w:rsidRPr="00B76C52">
        <w:rPr>
          <w:rStyle w:val="exlavailabilitycallnumber"/>
          <w:rFonts w:cs="Arial"/>
          <w:i/>
          <w:bdr w:val="none" w:sz="0" w:space="0" w:color="auto" w:frame="1"/>
        </w:rPr>
        <w:t>The Language of the Goddess</w:t>
      </w:r>
      <w:r>
        <w:rPr>
          <w:rStyle w:val="exlavailabilitycallnumber"/>
          <w:rFonts w:cs="Arial"/>
          <w:bdr w:val="none" w:sz="0" w:space="0" w:color="auto" w:frame="1"/>
        </w:rPr>
        <w:t xml:space="preserve"> 2</w:t>
      </w:r>
      <w:r w:rsidRPr="008363D3">
        <w:rPr>
          <w:rStyle w:val="exlavailabilitycallnumber"/>
          <w:rFonts w:cs="Arial"/>
          <w:bdr w:val="none" w:sz="0" w:space="0" w:color="auto" w:frame="1"/>
          <w:vertAlign w:val="superscript"/>
        </w:rPr>
        <w:t>nd</w:t>
      </w:r>
      <w:r>
        <w:rPr>
          <w:rStyle w:val="exlavailabilitycallnumber"/>
          <w:rFonts w:cs="Arial"/>
          <w:bdr w:val="none" w:sz="0" w:space="0" w:color="auto" w:frame="1"/>
        </w:rPr>
        <w:t xml:space="preserve"> edn, (London:</w:t>
      </w:r>
      <w:r w:rsidRPr="008832DF">
        <w:rPr>
          <w:rStyle w:val="exlavailabilitycallnumber"/>
          <w:rFonts w:cs="Arial"/>
          <w:bdr w:val="none" w:sz="0" w:space="0" w:color="auto" w:frame="1"/>
        </w:rPr>
        <w:t xml:space="preserve"> Thames and Hudson</w:t>
      </w:r>
      <w:r>
        <w:rPr>
          <w:rStyle w:val="exlavailabilitycallnumber"/>
          <w:rFonts w:cs="Arial"/>
          <w:bdr w:val="none" w:sz="0" w:space="0" w:color="auto" w:frame="1"/>
        </w:rPr>
        <w:t>,</w:t>
      </w:r>
      <w:r w:rsidRPr="008832DF">
        <w:rPr>
          <w:rStyle w:val="exlavailabilitycallnumber"/>
          <w:rFonts w:cs="Arial"/>
          <w:bdr w:val="none" w:sz="0" w:space="0" w:color="auto" w:frame="1"/>
        </w:rPr>
        <w:t xml:space="preserve"> 2001</w:t>
      </w:r>
      <w:r>
        <w:rPr>
          <w:rStyle w:val="exlavailabilitycallnumber"/>
          <w:rFonts w:cs="Arial"/>
          <w:bdr w:val="none" w:sz="0" w:space="0" w:color="auto" w:frame="1"/>
        </w:rPr>
        <w:t>)</w:t>
      </w:r>
    </w:p>
    <w:p w14:paraId="2215598A" w14:textId="77777777" w:rsidR="00BA4FE1" w:rsidRPr="008C0E50" w:rsidRDefault="00BA4FE1" w:rsidP="00A9559F">
      <w:pPr>
        <w:shd w:val="clear" w:color="auto" w:fill="FEFDFA"/>
        <w:spacing w:line="240" w:lineRule="auto"/>
        <w:rPr>
          <w:rStyle w:val="exlavailabilitycallnumber"/>
          <w:rFonts w:cs="Arial"/>
          <w:bdr w:val="none" w:sz="0" w:space="0" w:color="auto" w:frame="1"/>
        </w:rPr>
      </w:pPr>
      <w:r w:rsidRPr="008C0E50">
        <w:rPr>
          <w:rStyle w:val="exlavailabilitycallnumber"/>
          <w:rFonts w:cs="Arial"/>
          <w:bdr w:val="none" w:sz="0" w:space="0" w:color="auto" w:frame="1"/>
        </w:rPr>
        <w:t xml:space="preserve">Green, M., </w:t>
      </w:r>
      <w:r>
        <w:rPr>
          <w:rStyle w:val="exlavailabilitycallnumber"/>
          <w:rFonts w:cs="Arial"/>
          <w:bdr w:val="none" w:sz="0" w:space="0" w:color="auto" w:frame="1"/>
        </w:rPr>
        <w:t xml:space="preserve">ed, </w:t>
      </w:r>
      <w:r w:rsidRPr="008C0E50">
        <w:rPr>
          <w:rStyle w:val="exlavailabilitycallnumber"/>
          <w:rFonts w:cs="Arial"/>
          <w:bdr w:val="none" w:sz="0" w:space="0" w:color="auto" w:frame="1"/>
        </w:rPr>
        <w:t>The Celtic World</w:t>
      </w:r>
      <w:r>
        <w:rPr>
          <w:rStyle w:val="exlavailabilitycallnumber"/>
          <w:rFonts w:cs="Arial"/>
          <w:bdr w:val="none" w:sz="0" w:space="0" w:color="auto" w:frame="1"/>
        </w:rPr>
        <w:t xml:space="preserve"> (London: Routledge,1995)</w:t>
      </w:r>
    </w:p>
    <w:p w14:paraId="2818C080" w14:textId="77777777" w:rsidR="00BA4FE1" w:rsidRPr="00E209B2" w:rsidRDefault="00BA4FE1" w:rsidP="00BA4FE1">
      <w:pPr>
        <w:pStyle w:val="Heading2"/>
        <w:shd w:val="clear" w:color="auto" w:fill="FFFFFE"/>
        <w:spacing w:before="0"/>
        <w:rPr>
          <w:rFonts w:asciiTheme="minorHAnsi" w:hAnsiTheme="minorHAnsi" w:cs="Arial"/>
          <w:b w:val="0"/>
          <w:color w:val="auto"/>
          <w:sz w:val="22"/>
          <w:szCs w:val="22"/>
          <w:bdr w:val="none" w:sz="0" w:space="0" w:color="auto" w:frame="1"/>
        </w:rPr>
      </w:pPr>
      <w:r w:rsidRPr="007D11A2">
        <w:rPr>
          <w:rFonts w:asciiTheme="minorHAnsi" w:hAnsiTheme="minorHAnsi" w:cs="Arial"/>
          <w:b w:val="0"/>
          <w:color w:val="auto"/>
          <w:sz w:val="22"/>
          <w:szCs w:val="22"/>
        </w:rPr>
        <w:t>Haeussler, R.</w:t>
      </w:r>
      <w:r>
        <w:rPr>
          <w:rFonts w:asciiTheme="minorHAnsi" w:hAnsiTheme="minorHAnsi" w:cs="Arial"/>
          <w:b w:val="0"/>
          <w:color w:val="auto"/>
          <w:sz w:val="22"/>
          <w:szCs w:val="22"/>
        </w:rPr>
        <w:t xml:space="preserve"> &amp;</w:t>
      </w:r>
      <w:r w:rsidRPr="007D11A2">
        <w:rPr>
          <w:rFonts w:asciiTheme="minorHAnsi" w:hAnsiTheme="minorHAnsi" w:cs="Arial"/>
          <w:b w:val="0"/>
          <w:color w:val="auto"/>
          <w:sz w:val="22"/>
          <w:szCs w:val="22"/>
        </w:rPr>
        <w:t xml:space="preserve"> King, T.,</w:t>
      </w:r>
      <w:r w:rsidRPr="007D11A2">
        <w:rPr>
          <w:rStyle w:val="exlavailabilitycallnumber"/>
          <w:rFonts w:asciiTheme="minorHAnsi" w:hAnsiTheme="minorHAnsi" w:cs="Arial"/>
          <w:b w:val="0"/>
          <w:color w:val="auto"/>
          <w:sz w:val="22"/>
          <w:szCs w:val="22"/>
          <w:bdr w:val="none" w:sz="0" w:space="0" w:color="auto" w:frame="1"/>
        </w:rPr>
        <w:t xml:space="preserve"> eds, </w:t>
      </w:r>
      <w:r w:rsidRPr="007D11A2">
        <w:rPr>
          <w:rStyle w:val="exlavailabilitycallnumber"/>
          <w:rFonts w:asciiTheme="minorHAnsi" w:hAnsiTheme="minorHAnsi" w:cs="Arial"/>
          <w:b w:val="0"/>
          <w:i/>
          <w:color w:val="auto"/>
          <w:sz w:val="22"/>
          <w:szCs w:val="22"/>
          <w:bdr w:val="none" w:sz="0" w:space="0" w:color="auto" w:frame="1"/>
        </w:rPr>
        <w:t>Celtic Religions in the Roman Period: Personal, Local, and Global</w:t>
      </w:r>
      <w:r>
        <w:rPr>
          <w:rStyle w:val="exlavailabilitycallnumber"/>
          <w:rFonts w:asciiTheme="minorHAnsi" w:hAnsiTheme="minorHAnsi" w:cs="Arial"/>
          <w:b w:val="0"/>
          <w:i/>
          <w:color w:val="auto"/>
          <w:sz w:val="22"/>
          <w:szCs w:val="22"/>
          <w:bdr w:val="none" w:sz="0" w:space="0" w:color="auto" w:frame="1"/>
        </w:rPr>
        <w:t>,</w:t>
      </w:r>
      <w:r w:rsidRPr="007D11A2">
        <w:rPr>
          <w:rStyle w:val="exlavailabilitycallnumber"/>
          <w:rFonts w:asciiTheme="minorHAnsi" w:hAnsiTheme="minorHAnsi" w:cs="Arial"/>
          <w:b w:val="0"/>
          <w:color w:val="auto"/>
          <w:sz w:val="22"/>
          <w:szCs w:val="22"/>
          <w:bdr w:val="none" w:sz="0" w:space="0" w:color="auto" w:frame="1"/>
        </w:rPr>
        <w:t xml:space="preserve"> (</w:t>
      </w:r>
      <w:r>
        <w:rPr>
          <w:rStyle w:val="exlavailabilitycallnumber"/>
          <w:rFonts w:asciiTheme="minorHAnsi" w:hAnsiTheme="minorHAnsi" w:cs="Arial"/>
          <w:b w:val="0"/>
          <w:color w:val="auto"/>
          <w:sz w:val="22"/>
          <w:szCs w:val="22"/>
          <w:bdr w:val="none" w:sz="0" w:space="0" w:color="auto" w:frame="1"/>
        </w:rPr>
        <w:t>Aberystwyth</w:t>
      </w:r>
      <w:r w:rsidRPr="007D11A2">
        <w:rPr>
          <w:rStyle w:val="exlavailabilitycallnumber"/>
          <w:rFonts w:asciiTheme="minorHAnsi" w:hAnsiTheme="minorHAnsi" w:cs="Arial"/>
          <w:b w:val="0"/>
          <w:color w:val="auto"/>
          <w:sz w:val="22"/>
          <w:szCs w:val="22"/>
          <w:bdr w:val="none" w:sz="0" w:space="0" w:color="auto" w:frame="1"/>
        </w:rPr>
        <w:t xml:space="preserve">: Celtic </w:t>
      </w:r>
      <w:r>
        <w:rPr>
          <w:rStyle w:val="exlavailabilitycallnumber"/>
          <w:rFonts w:asciiTheme="minorHAnsi" w:hAnsiTheme="minorHAnsi" w:cs="Arial"/>
          <w:b w:val="0"/>
          <w:color w:val="auto"/>
          <w:sz w:val="22"/>
          <w:szCs w:val="22"/>
          <w:bdr w:val="none" w:sz="0" w:space="0" w:color="auto" w:frame="1"/>
        </w:rPr>
        <w:t xml:space="preserve">Studies </w:t>
      </w:r>
      <w:r w:rsidRPr="007D11A2">
        <w:rPr>
          <w:rStyle w:val="exlavailabilitycallnumber"/>
          <w:rFonts w:asciiTheme="minorHAnsi" w:hAnsiTheme="minorHAnsi" w:cs="Arial"/>
          <w:b w:val="0"/>
          <w:color w:val="auto"/>
          <w:sz w:val="22"/>
          <w:szCs w:val="22"/>
          <w:bdr w:val="none" w:sz="0" w:space="0" w:color="auto" w:frame="1"/>
        </w:rPr>
        <w:t>Publications, 2017)</w:t>
      </w:r>
    </w:p>
    <w:p w14:paraId="589DBF46" w14:textId="77777777" w:rsidR="00BA4FE1" w:rsidRPr="007D11A2" w:rsidRDefault="00BA4FE1" w:rsidP="00BA4FE1">
      <w:pPr>
        <w:rPr>
          <w:sz w:val="10"/>
        </w:rPr>
      </w:pPr>
    </w:p>
    <w:p w14:paraId="36BFB2ED" w14:textId="77777777" w:rsidR="00BA4FE1" w:rsidRDefault="00BA4FE1" w:rsidP="00BA4FE1">
      <w:pPr>
        <w:rPr>
          <w:color w:val="FF0000"/>
        </w:rPr>
      </w:pPr>
      <w:r w:rsidRPr="008832DF">
        <w:t>Harpur, J.</w:t>
      </w:r>
      <w:r>
        <w:t>,</w:t>
      </w:r>
      <w:r w:rsidRPr="008832DF">
        <w:t xml:space="preserve"> </w:t>
      </w:r>
      <w:r w:rsidRPr="00FA081C">
        <w:rPr>
          <w:i/>
        </w:rPr>
        <w:t>Sacred Tracks: 2000 years of Christian Pilgrimage</w:t>
      </w:r>
      <w:r w:rsidRPr="008832DF">
        <w:t xml:space="preserve"> </w:t>
      </w:r>
      <w:r>
        <w:t>(</w:t>
      </w:r>
      <w:r w:rsidRPr="008832DF">
        <w:t>Berkeley, University of California Press</w:t>
      </w:r>
      <w:r>
        <w:t>, 2002)</w:t>
      </w:r>
      <w:r w:rsidRPr="008832DF">
        <w:t xml:space="preserve"> </w:t>
      </w:r>
    </w:p>
    <w:p w14:paraId="73400769" w14:textId="77777777" w:rsidR="00BA4FE1" w:rsidRDefault="00BA4FE1" w:rsidP="00BA4FE1">
      <w:r w:rsidRPr="002C1575">
        <w:t>Haycock, M., ‘</w:t>
      </w:r>
      <w:r w:rsidRPr="002C1575">
        <w:rPr>
          <w:rFonts w:cs="Arial"/>
        </w:rPr>
        <w:t>Merlin [Myrddin] (supp. fl. 6th cent.), poet and seer’, </w:t>
      </w:r>
      <w:r w:rsidRPr="002C1575">
        <w:rPr>
          <w:rStyle w:val="Emphasis"/>
          <w:rFonts w:cs="Arial"/>
        </w:rPr>
        <w:t>Oxford Dictionary of National Biography.</w:t>
      </w:r>
      <w:r w:rsidRPr="002C1575">
        <w:t xml:space="preserve"> [Online: </w:t>
      </w:r>
      <w:hyperlink r:id="rId27" w:history="1">
        <w:r w:rsidRPr="00C51CF8">
          <w:rPr>
            <w:rStyle w:val="Hyperlink"/>
          </w:rPr>
          <w:t>http://www.oxforddnb.com.ezproxy.uwtsd.ac.uk/view/10.1093/ref:odnb/9780198614128.001.0001/odnb-9780198614128-e-19711</w:t>
        </w:r>
      </w:hyperlink>
      <w:r>
        <w:t>]</w:t>
      </w:r>
      <w:r w:rsidRPr="008832DF">
        <w:t xml:space="preserve"> </w:t>
      </w:r>
      <w:r>
        <w:t>&lt;A</w:t>
      </w:r>
      <w:r w:rsidRPr="008832DF">
        <w:t>ccessed 07</w:t>
      </w:r>
      <w:r>
        <w:t xml:space="preserve"> January 20</w:t>
      </w:r>
      <w:r w:rsidRPr="008832DF">
        <w:t>18</w:t>
      </w:r>
      <w:r>
        <w:t>&gt;</w:t>
      </w:r>
    </w:p>
    <w:p w14:paraId="7A6934C3" w14:textId="77777777" w:rsidR="00BA4FE1" w:rsidRDefault="00BA4FE1" w:rsidP="00BA4FE1">
      <w:r>
        <w:t xml:space="preserve">Haycock, M., ‘‘Preiddeu Annwn’ and the Figure of Taliesen’ in </w:t>
      </w:r>
      <w:r>
        <w:rPr>
          <w:i/>
        </w:rPr>
        <w:t>Studia Celtica</w:t>
      </w:r>
      <w:r>
        <w:t xml:space="preserve"> </w:t>
      </w:r>
      <w:r w:rsidRPr="000F7F45">
        <w:t>18/19</w:t>
      </w:r>
      <w:r>
        <w:t>: (1983-1984)</w:t>
      </w:r>
    </w:p>
    <w:p w14:paraId="311A1327" w14:textId="77777777" w:rsidR="00BA4FE1" w:rsidRPr="00D96B51" w:rsidRDefault="00BA4FE1" w:rsidP="00BA4FE1">
      <w:pPr>
        <w:pStyle w:val="Default"/>
        <w:rPr>
          <w:rFonts w:asciiTheme="minorHAnsi" w:hAnsiTheme="minorHAnsi"/>
          <w:i/>
          <w:color w:val="auto"/>
          <w:sz w:val="22"/>
          <w:szCs w:val="22"/>
        </w:rPr>
      </w:pPr>
      <w:r w:rsidRPr="00D96B51">
        <w:rPr>
          <w:rFonts w:asciiTheme="minorHAnsi" w:hAnsiTheme="minorHAnsi"/>
          <w:sz w:val="22"/>
          <w:szCs w:val="22"/>
        </w:rPr>
        <w:t xml:space="preserve">Herbert, M., </w:t>
      </w:r>
      <w:r>
        <w:rPr>
          <w:rFonts w:asciiTheme="minorHAnsi" w:hAnsiTheme="minorHAnsi"/>
          <w:sz w:val="22"/>
          <w:szCs w:val="22"/>
        </w:rPr>
        <w:t>‘</w:t>
      </w:r>
      <w:r w:rsidRPr="00D96B51">
        <w:rPr>
          <w:rFonts w:asciiTheme="minorHAnsi" w:hAnsiTheme="minorHAnsi"/>
          <w:sz w:val="22"/>
          <w:szCs w:val="22"/>
        </w:rPr>
        <w:t xml:space="preserve">Literary Sea-Voyages and Early Munster Hagiography </w:t>
      </w:r>
      <w:r>
        <w:rPr>
          <w:rFonts w:asciiTheme="minorHAnsi" w:hAnsiTheme="minorHAnsi"/>
          <w:sz w:val="22"/>
          <w:szCs w:val="22"/>
        </w:rPr>
        <w:t>‘i</w:t>
      </w:r>
      <w:r>
        <w:rPr>
          <w:rFonts w:asciiTheme="minorHAnsi" w:hAnsiTheme="minorHAnsi"/>
          <w:color w:val="auto"/>
          <w:sz w:val="22"/>
          <w:szCs w:val="22"/>
        </w:rPr>
        <w:t>n</w:t>
      </w:r>
      <w:r w:rsidRPr="00D96B51">
        <w:rPr>
          <w:rFonts w:asciiTheme="minorHAnsi" w:hAnsiTheme="minorHAnsi"/>
          <w:color w:val="auto"/>
          <w:sz w:val="22"/>
          <w:szCs w:val="22"/>
        </w:rPr>
        <w:t xml:space="preserve"> Black, R., Gillies, W., </w:t>
      </w:r>
      <w:r>
        <w:rPr>
          <w:rFonts w:asciiTheme="minorHAnsi" w:hAnsiTheme="minorHAnsi"/>
          <w:color w:val="auto"/>
          <w:sz w:val="22"/>
          <w:szCs w:val="22"/>
        </w:rPr>
        <w:t xml:space="preserve">and </w:t>
      </w:r>
      <w:r w:rsidRPr="00D96B51">
        <w:rPr>
          <w:rFonts w:asciiTheme="minorHAnsi" w:hAnsiTheme="minorHAnsi"/>
          <w:color w:val="auto"/>
          <w:sz w:val="22"/>
          <w:szCs w:val="22"/>
        </w:rPr>
        <w:t>O’Maolaiagh, R.,</w:t>
      </w:r>
      <w:r>
        <w:rPr>
          <w:rFonts w:asciiTheme="minorHAnsi" w:hAnsiTheme="minorHAnsi"/>
          <w:color w:val="auto"/>
          <w:sz w:val="22"/>
          <w:szCs w:val="22"/>
        </w:rPr>
        <w:t xml:space="preserve"> eds, </w:t>
      </w:r>
      <w:r w:rsidRPr="00D96B51">
        <w:rPr>
          <w:rFonts w:asciiTheme="minorHAnsi" w:hAnsiTheme="minorHAnsi"/>
          <w:i/>
          <w:color w:val="auto"/>
          <w:sz w:val="22"/>
          <w:szCs w:val="22"/>
        </w:rPr>
        <w:t xml:space="preserve">Celtic Connections: Proceedings of the Tenth International Congress of Celtic Studies, </w:t>
      </w:r>
      <w:r w:rsidRPr="00D96B51">
        <w:rPr>
          <w:rFonts w:asciiTheme="minorHAnsi" w:hAnsiTheme="minorHAnsi"/>
          <w:color w:val="auto"/>
          <w:sz w:val="22"/>
          <w:szCs w:val="22"/>
        </w:rPr>
        <w:t>1, (East</w:t>
      </w:r>
      <w:r>
        <w:rPr>
          <w:rFonts w:asciiTheme="minorHAnsi" w:hAnsiTheme="minorHAnsi"/>
          <w:color w:val="auto"/>
          <w:sz w:val="22"/>
          <w:szCs w:val="22"/>
        </w:rPr>
        <w:t xml:space="preserve"> Linton: Tuckwell Press, 1999) </w:t>
      </w:r>
      <w:r w:rsidRPr="00D96B51">
        <w:rPr>
          <w:rFonts w:asciiTheme="minorHAnsi" w:hAnsiTheme="minorHAnsi"/>
          <w:color w:val="auto"/>
          <w:sz w:val="22"/>
          <w:szCs w:val="22"/>
        </w:rPr>
        <w:t>182-189</w:t>
      </w:r>
    </w:p>
    <w:p w14:paraId="505D91D0" w14:textId="77777777" w:rsidR="00BA4FE1" w:rsidRDefault="00BA4FE1" w:rsidP="00BA4FE1">
      <w:pPr>
        <w:pStyle w:val="Default"/>
      </w:pPr>
      <w:r>
        <w:rPr>
          <w:rFonts w:asciiTheme="minorHAnsi" w:hAnsiTheme="minorHAnsi"/>
          <w:color w:val="auto"/>
          <w:sz w:val="22"/>
          <w:szCs w:val="22"/>
        </w:rPr>
        <w:t xml:space="preserve"> </w:t>
      </w:r>
    </w:p>
    <w:p w14:paraId="30AFBFD1" w14:textId="77777777" w:rsidR="00BA4FE1" w:rsidRPr="00367077" w:rsidRDefault="00BA4FE1" w:rsidP="00A9559F">
      <w:pPr>
        <w:spacing w:line="240" w:lineRule="auto"/>
      </w:pPr>
      <w:r w:rsidRPr="00367077">
        <w:t>Hillers, B., Hopkins, P., Hunter, J.,</w:t>
      </w:r>
      <w:r>
        <w:t xml:space="preserve"> ‘Voyages Between Heaven and Hell: Navigating the Early Irish </w:t>
      </w:r>
      <w:r w:rsidRPr="00426EC1">
        <w:rPr>
          <w:i/>
        </w:rPr>
        <w:t>Immram</w:t>
      </w:r>
      <w:r>
        <w:t xml:space="preserve"> tales’:</w:t>
      </w:r>
      <w:r w:rsidRPr="00367077">
        <w:t xml:space="preserve">  </w:t>
      </w:r>
      <w:r w:rsidRPr="00367077">
        <w:rPr>
          <w:i/>
        </w:rPr>
        <w:t>Proceedings of the Harvard Celtic Colloquium (April 28</w:t>
      </w:r>
      <w:r w:rsidRPr="00367077">
        <w:rPr>
          <w:i/>
          <w:vertAlign w:val="superscript"/>
        </w:rPr>
        <w:t>th</w:t>
      </w:r>
      <w:r w:rsidRPr="00367077">
        <w:rPr>
          <w:i/>
        </w:rPr>
        <w:t xml:space="preserve"> – May 1</w:t>
      </w:r>
      <w:r w:rsidRPr="00367077">
        <w:rPr>
          <w:i/>
          <w:vertAlign w:val="superscript"/>
        </w:rPr>
        <w:t>st</w:t>
      </w:r>
      <w:r w:rsidRPr="00367077">
        <w:rPr>
          <w:i/>
        </w:rPr>
        <w:t xml:space="preserve"> 1993)</w:t>
      </w:r>
      <w:r>
        <w:rPr>
          <w:i/>
        </w:rPr>
        <w:t xml:space="preserve"> </w:t>
      </w:r>
      <w:r w:rsidRPr="0006494F">
        <w:t>13</w:t>
      </w:r>
      <w:r>
        <w:t>,</w:t>
      </w:r>
      <w:r w:rsidRPr="00367077">
        <w:t xml:space="preserve"> (Harvard:  the Department of Celtic Languages and Literatures Faculty of Arts and Sciences, Harvard University, 1993)</w:t>
      </w:r>
    </w:p>
    <w:p w14:paraId="615E73F0" w14:textId="77777777" w:rsidR="00BA4FE1" w:rsidRDefault="00BA4FE1" w:rsidP="00A9559F">
      <w:pPr>
        <w:spacing w:line="240" w:lineRule="auto"/>
      </w:pPr>
      <w:r>
        <w:t>Hornell, J.</w:t>
      </w:r>
      <w:r w:rsidRPr="00C04361">
        <w:t>,</w:t>
      </w:r>
      <w:r>
        <w:t xml:space="preserve"> ‘The Curraghs of Ireland’, in </w:t>
      </w:r>
      <w:r>
        <w:rPr>
          <w:i/>
        </w:rPr>
        <w:t>The Quarterly Journal of the Society for Nautical Research</w:t>
      </w:r>
      <w:r>
        <w:t xml:space="preserve"> reprinted from </w:t>
      </w:r>
      <w:r>
        <w:rPr>
          <w:i/>
        </w:rPr>
        <w:t xml:space="preserve">The Mariner’s Mirror </w:t>
      </w:r>
      <w:r>
        <w:t xml:space="preserve">vol XXIV:III,(1), (1938) [Online at </w:t>
      </w:r>
      <w:hyperlink r:id="rId28" w:history="1">
        <w:r w:rsidRPr="00597AD4">
          <w:rPr>
            <w:rStyle w:val="Hyperlink"/>
          </w:rPr>
          <w:t>http://www.texascoritani.com/British_Coracles_and_Irish_Curraghs.pdf</w:t>
        </w:r>
      </w:hyperlink>
      <w:r>
        <w:t xml:space="preserve"> ] &lt;Accessed 28 March 2018&gt;</w:t>
      </w:r>
    </w:p>
    <w:p w14:paraId="7F92B52C" w14:textId="77777777" w:rsidR="00BA4FE1" w:rsidRPr="007B2A67" w:rsidRDefault="00BA4FE1" w:rsidP="00BA4FE1">
      <w:pPr>
        <w:pStyle w:val="Default"/>
        <w:rPr>
          <w:rFonts w:asciiTheme="minorHAnsi" w:hAnsiTheme="minorHAnsi"/>
          <w:sz w:val="22"/>
          <w:szCs w:val="22"/>
        </w:rPr>
      </w:pPr>
      <w:r>
        <w:rPr>
          <w:rFonts w:asciiTheme="minorHAnsi" w:hAnsiTheme="minorHAnsi"/>
          <w:sz w:val="22"/>
          <w:szCs w:val="22"/>
        </w:rPr>
        <w:t>Hull, E.</w:t>
      </w:r>
      <w:r w:rsidRPr="007B2A67">
        <w:rPr>
          <w:rFonts w:asciiTheme="minorHAnsi" w:hAnsiTheme="minorHAnsi"/>
          <w:sz w:val="22"/>
          <w:szCs w:val="22"/>
        </w:rPr>
        <w:t xml:space="preserve">, </w:t>
      </w:r>
      <w:r>
        <w:rPr>
          <w:rFonts w:asciiTheme="minorHAnsi" w:hAnsiTheme="minorHAnsi"/>
          <w:sz w:val="22"/>
          <w:szCs w:val="22"/>
        </w:rPr>
        <w:t>‘</w:t>
      </w:r>
      <w:r w:rsidRPr="007B2A67">
        <w:rPr>
          <w:rFonts w:asciiTheme="minorHAnsi" w:hAnsiTheme="minorHAnsi"/>
          <w:sz w:val="22"/>
          <w:szCs w:val="22"/>
        </w:rPr>
        <w:t>Whitley Stokes</w:t>
      </w:r>
      <w:r>
        <w:rPr>
          <w:rFonts w:asciiTheme="minorHAnsi" w:hAnsiTheme="minorHAnsi"/>
          <w:sz w:val="22"/>
          <w:szCs w:val="22"/>
        </w:rPr>
        <w:t xml:space="preserve">’ </w:t>
      </w:r>
      <w:r w:rsidRPr="007B2A67">
        <w:rPr>
          <w:rFonts w:asciiTheme="minorHAnsi" w:hAnsiTheme="minorHAnsi"/>
          <w:sz w:val="22"/>
          <w:szCs w:val="22"/>
        </w:rPr>
        <w:t xml:space="preserve">in </w:t>
      </w:r>
      <w:r w:rsidRPr="007B2A67">
        <w:rPr>
          <w:rFonts w:asciiTheme="minorHAnsi" w:hAnsiTheme="minorHAnsi"/>
          <w:i/>
          <w:sz w:val="22"/>
          <w:szCs w:val="22"/>
        </w:rPr>
        <w:t>Folklore</w:t>
      </w:r>
      <w:r w:rsidRPr="007B2A67">
        <w:rPr>
          <w:rFonts w:asciiTheme="minorHAnsi" w:hAnsiTheme="minorHAnsi"/>
          <w:sz w:val="22"/>
          <w:szCs w:val="22"/>
        </w:rPr>
        <w:t xml:space="preserve">, Vol. 20, </w:t>
      </w:r>
      <w:r>
        <w:rPr>
          <w:rFonts w:asciiTheme="minorHAnsi" w:hAnsiTheme="minorHAnsi"/>
          <w:sz w:val="22"/>
          <w:szCs w:val="22"/>
        </w:rPr>
        <w:t>(</w:t>
      </w:r>
      <w:r w:rsidRPr="007B2A67">
        <w:rPr>
          <w:rFonts w:asciiTheme="minorHAnsi" w:hAnsiTheme="minorHAnsi"/>
          <w:sz w:val="22"/>
          <w:szCs w:val="22"/>
        </w:rPr>
        <w:t>3</w:t>
      </w:r>
      <w:r>
        <w:rPr>
          <w:rFonts w:asciiTheme="minorHAnsi" w:hAnsiTheme="minorHAnsi"/>
          <w:sz w:val="22"/>
          <w:szCs w:val="22"/>
        </w:rPr>
        <w:t xml:space="preserve">). </w:t>
      </w:r>
      <w:r w:rsidRPr="007B2A67">
        <w:rPr>
          <w:rFonts w:asciiTheme="minorHAnsi" w:hAnsiTheme="minorHAnsi"/>
          <w:sz w:val="22"/>
          <w:szCs w:val="22"/>
        </w:rPr>
        <w:t xml:space="preserve"> (1909), 356-360</w:t>
      </w:r>
    </w:p>
    <w:p w14:paraId="3A3D43E8" w14:textId="77777777" w:rsidR="00BA4FE1" w:rsidRDefault="00BA4FE1" w:rsidP="00BA4FE1">
      <w:pPr>
        <w:pStyle w:val="Default"/>
        <w:rPr>
          <w:rFonts w:asciiTheme="minorHAnsi" w:hAnsiTheme="minorHAnsi"/>
          <w:sz w:val="22"/>
          <w:szCs w:val="22"/>
        </w:rPr>
      </w:pPr>
      <w:r>
        <w:rPr>
          <w:rFonts w:asciiTheme="minorHAnsi" w:hAnsiTheme="minorHAnsi"/>
          <w:sz w:val="22"/>
          <w:szCs w:val="22"/>
        </w:rPr>
        <w:t xml:space="preserve">[Online: </w:t>
      </w:r>
      <w:r w:rsidRPr="007B2A67">
        <w:rPr>
          <w:rFonts w:asciiTheme="minorHAnsi" w:hAnsiTheme="minorHAnsi"/>
          <w:sz w:val="22"/>
          <w:szCs w:val="22"/>
        </w:rPr>
        <w:t xml:space="preserve"> </w:t>
      </w:r>
      <w:hyperlink r:id="rId29" w:history="1">
        <w:r w:rsidRPr="007B2A67">
          <w:rPr>
            <w:rStyle w:val="Hyperlink"/>
            <w:rFonts w:asciiTheme="minorHAnsi" w:hAnsiTheme="minorHAnsi"/>
            <w:sz w:val="22"/>
            <w:szCs w:val="22"/>
          </w:rPr>
          <w:t>http://www.jstor.org/stable/1254095</w:t>
        </w:r>
      </w:hyperlink>
      <w:r w:rsidRPr="007B2A67">
        <w:rPr>
          <w:rFonts w:asciiTheme="minorHAnsi" w:hAnsiTheme="minorHAnsi"/>
          <w:sz w:val="22"/>
          <w:szCs w:val="22"/>
        </w:rPr>
        <w:t>] &lt;Ac</w:t>
      </w:r>
      <w:r>
        <w:rPr>
          <w:rFonts w:asciiTheme="minorHAnsi" w:hAnsiTheme="minorHAnsi"/>
          <w:sz w:val="22"/>
          <w:szCs w:val="22"/>
        </w:rPr>
        <w:t xml:space="preserve">cessed: </w:t>
      </w:r>
      <w:r w:rsidRPr="007B2A67">
        <w:rPr>
          <w:rFonts w:asciiTheme="minorHAnsi" w:hAnsiTheme="minorHAnsi"/>
          <w:sz w:val="22"/>
          <w:szCs w:val="22"/>
        </w:rPr>
        <w:t>1</w:t>
      </w:r>
      <w:r>
        <w:rPr>
          <w:rFonts w:asciiTheme="minorHAnsi" w:hAnsiTheme="minorHAnsi"/>
          <w:sz w:val="22"/>
          <w:szCs w:val="22"/>
        </w:rPr>
        <w:t xml:space="preserve"> February </w:t>
      </w:r>
      <w:r w:rsidRPr="007B2A67">
        <w:rPr>
          <w:rFonts w:asciiTheme="minorHAnsi" w:hAnsiTheme="minorHAnsi"/>
          <w:sz w:val="22"/>
          <w:szCs w:val="22"/>
        </w:rPr>
        <w:t xml:space="preserve">2018&gt; </w:t>
      </w:r>
    </w:p>
    <w:p w14:paraId="5B62FCE9" w14:textId="77777777" w:rsidR="00A9559F" w:rsidRPr="007B2A67" w:rsidRDefault="00A9559F" w:rsidP="00BA4FE1">
      <w:pPr>
        <w:pStyle w:val="Default"/>
        <w:rPr>
          <w:rFonts w:asciiTheme="minorHAnsi" w:hAnsiTheme="minorHAnsi"/>
          <w:sz w:val="22"/>
          <w:szCs w:val="22"/>
        </w:rPr>
      </w:pPr>
    </w:p>
    <w:p w14:paraId="7F8D6A7B" w14:textId="77777777" w:rsidR="00BA4FE1" w:rsidRPr="00C72D1D" w:rsidRDefault="00BA4FE1" w:rsidP="00A9559F">
      <w:pPr>
        <w:shd w:val="clear" w:color="auto" w:fill="FEFDFA"/>
        <w:spacing w:line="240" w:lineRule="auto"/>
        <w:rPr>
          <w:rStyle w:val="exlavailabilitycallnumber"/>
          <w:rFonts w:cs="Arial"/>
          <w:color w:val="FF0000"/>
          <w:bdr w:val="none" w:sz="0" w:space="0" w:color="auto" w:frame="1"/>
        </w:rPr>
      </w:pPr>
      <w:r w:rsidRPr="00C72D1D">
        <w:rPr>
          <w:rStyle w:val="exlavailabilitycallnumber"/>
          <w:rFonts w:cs="Arial"/>
          <w:bdr w:val="none" w:sz="0" w:space="0" w:color="auto" w:frame="1"/>
        </w:rPr>
        <w:t>Hutton, R.,</w:t>
      </w:r>
      <w:r w:rsidRPr="00C72D1D">
        <w:rPr>
          <w:rStyle w:val="exlavailabilitycallnumber"/>
          <w:rFonts w:cs="Arial"/>
          <w:i/>
          <w:bdr w:val="none" w:sz="0" w:space="0" w:color="auto" w:frame="1"/>
        </w:rPr>
        <w:t xml:space="preserve"> Blood and Mistletoe: the History of the Druids in Britain, </w:t>
      </w:r>
      <w:r w:rsidRPr="00C72D1D">
        <w:rPr>
          <w:rStyle w:val="exlavailabilitycallnumber"/>
          <w:rFonts w:cs="Arial"/>
          <w:bdr w:val="none" w:sz="0" w:space="0" w:color="auto" w:frame="1"/>
        </w:rPr>
        <w:t>2</w:t>
      </w:r>
      <w:r w:rsidRPr="00C72D1D">
        <w:rPr>
          <w:rStyle w:val="exlavailabilitycallnumber"/>
          <w:rFonts w:cs="Arial"/>
          <w:bdr w:val="none" w:sz="0" w:space="0" w:color="auto" w:frame="1"/>
          <w:vertAlign w:val="superscript"/>
        </w:rPr>
        <w:t>nd</w:t>
      </w:r>
      <w:r w:rsidRPr="00C72D1D">
        <w:rPr>
          <w:rStyle w:val="exlavailabilitycallnumber"/>
          <w:rFonts w:cs="Arial"/>
          <w:bdr w:val="none" w:sz="0" w:space="0" w:color="auto" w:frame="1"/>
        </w:rPr>
        <w:t xml:space="preserve"> edn,  (London: Yale University Press, 2011) </w:t>
      </w:r>
    </w:p>
    <w:p w14:paraId="6F3AE9D7" w14:textId="77777777" w:rsidR="00BA4FE1" w:rsidRPr="00C72D1D" w:rsidRDefault="00BA4FE1" w:rsidP="00A9559F">
      <w:pPr>
        <w:shd w:val="clear" w:color="auto" w:fill="FEFDFA"/>
        <w:spacing w:line="240" w:lineRule="auto"/>
        <w:rPr>
          <w:color w:val="FF0000"/>
          <w:shd w:val="clear" w:color="auto" w:fill="FFFFFF"/>
        </w:rPr>
      </w:pPr>
      <w:r w:rsidRPr="00C72D1D">
        <w:rPr>
          <w:shd w:val="clear" w:color="auto" w:fill="FFFFFF"/>
        </w:rPr>
        <w:t xml:space="preserve">Iannello, F., </w:t>
      </w:r>
      <w:r>
        <w:rPr>
          <w:shd w:val="clear" w:color="auto" w:fill="FFFFFF"/>
        </w:rPr>
        <w:t xml:space="preserve"> English Abstract of ‘</w:t>
      </w:r>
      <w:r w:rsidRPr="00C72D1D">
        <w:rPr>
          <w:shd w:val="clear" w:color="auto" w:fill="FFFFFF"/>
        </w:rPr>
        <w:t>Il processo di cristianizzazione dell'aldilà celtico e delle divinità marine irlandesi nella Navigatio sancti Brendani/The Christianization Process of the Celtic Otherworld and Irish Sea-Gods in the Navigatio Sancti Brendani</w:t>
      </w:r>
      <w:r>
        <w:rPr>
          <w:shd w:val="clear" w:color="auto" w:fill="FFFFFF"/>
        </w:rPr>
        <w:t>’</w:t>
      </w:r>
      <w:r w:rsidRPr="00C72D1D">
        <w:rPr>
          <w:shd w:val="clear" w:color="auto" w:fill="FFFFFF"/>
        </w:rPr>
        <w:t xml:space="preserve">, in </w:t>
      </w:r>
      <w:r w:rsidRPr="00C72D1D">
        <w:rPr>
          <w:i/>
          <w:iCs/>
          <w:shd w:val="clear" w:color="auto" w:fill="FFFFFF"/>
        </w:rPr>
        <w:t>'Ilu, Revista de Ciencias de las Religiones, </w:t>
      </w:r>
      <w:r w:rsidRPr="00C72D1D">
        <w:rPr>
          <w:bCs/>
          <w:shd w:val="clear" w:color="auto" w:fill="FFFFFF"/>
        </w:rPr>
        <w:t>16</w:t>
      </w:r>
      <w:r w:rsidRPr="00C72D1D">
        <w:rPr>
          <w:shd w:val="clear" w:color="auto" w:fill="FFFFFF"/>
        </w:rPr>
        <w:t>, (2011): 127-151</w:t>
      </w:r>
    </w:p>
    <w:p w14:paraId="4229D25E" w14:textId="77777777" w:rsidR="00BA4FE1" w:rsidRDefault="00BA4FE1" w:rsidP="00A9559F">
      <w:pPr>
        <w:spacing w:line="240" w:lineRule="auto"/>
      </w:pPr>
      <w:r>
        <w:rPr>
          <w:rFonts w:cs="ArnoPro"/>
          <w:color w:val="000000"/>
        </w:rPr>
        <w:t>Ireland, D,</w:t>
      </w:r>
      <w:r w:rsidRPr="00C72D1D">
        <w:rPr>
          <w:rFonts w:cs="ArnoPro"/>
          <w:color w:val="000000"/>
        </w:rPr>
        <w:t xml:space="preserve"> E.</w:t>
      </w:r>
      <w:r>
        <w:rPr>
          <w:rFonts w:cs="ArnoPro"/>
          <w:color w:val="000000"/>
        </w:rPr>
        <w:t>,</w:t>
      </w:r>
      <w:r>
        <w:t xml:space="preserve"> ‘</w:t>
      </w:r>
      <w:r w:rsidRPr="00DE7D24">
        <w:t xml:space="preserve">Navigating the use of biblical numerology in </w:t>
      </w:r>
      <w:r w:rsidRPr="00DE7D24">
        <w:rPr>
          <w:i/>
        </w:rPr>
        <w:t>Nauigatio Sancti Brendani</w:t>
      </w:r>
      <w:r>
        <w:t>’, (unpublished Theology Graduate thesis, Ireland Providence College, 2015).  [Online:</w:t>
      </w:r>
      <w:r w:rsidRPr="00DE7D24">
        <w:rPr>
          <w:color w:val="548DD4" w:themeColor="text2" w:themeTint="99"/>
        </w:rPr>
        <w:t xml:space="preserve"> </w:t>
      </w:r>
      <w:hyperlink r:id="rId30" w:history="1">
        <w:r w:rsidRPr="00DE7D24">
          <w:rPr>
            <w:rStyle w:val="Hyperlink"/>
            <w:color w:val="548DD4" w:themeColor="text2" w:themeTint="99"/>
          </w:rPr>
          <w:t>direlan1@providence.edu</w:t>
        </w:r>
      </w:hyperlink>
      <w:r w:rsidRPr="00DE7D24">
        <w:rPr>
          <w:color w:val="548DD4" w:themeColor="text2" w:themeTint="99"/>
        </w:rPr>
        <w:t xml:space="preserve">, </w:t>
      </w:r>
      <w:hyperlink r:id="rId31" w:history="1">
        <w:r w:rsidRPr="00DE7D24">
          <w:rPr>
            <w:rStyle w:val="Hyperlink"/>
            <w:color w:val="548DD4" w:themeColor="text2" w:themeTint="99"/>
          </w:rPr>
          <w:t>https://digitalcommons.providence.edu/theology_graduate_theses/7/</w:t>
        </w:r>
      </w:hyperlink>
      <w:r>
        <w:t xml:space="preserve">], &lt;Accessed: 28 February 2018&gt; </w:t>
      </w:r>
    </w:p>
    <w:p w14:paraId="59784454" w14:textId="77777777" w:rsidR="00BA4FE1" w:rsidRDefault="00BA4FE1" w:rsidP="00BA4FE1">
      <w:pPr>
        <w:autoSpaceDE w:val="0"/>
        <w:autoSpaceDN w:val="0"/>
        <w:adjustRightInd w:val="0"/>
        <w:spacing w:after="0" w:line="240" w:lineRule="auto"/>
        <w:rPr>
          <w:rFonts w:cs="ArnoPro"/>
          <w:color w:val="000000"/>
        </w:rPr>
      </w:pPr>
      <w:r>
        <w:rPr>
          <w:rFonts w:cs="ArnoPro"/>
          <w:color w:val="000000"/>
        </w:rPr>
        <w:lastRenderedPageBreak/>
        <w:t>Jacobs, N., ‘</w:t>
      </w:r>
      <w:r w:rsidRPr="00584E5E">
        <w:rPr>
          <w:rFonts w:cs="ArnoPro"/>
          <w:i/>
          <w:color w:val="000000"/>
        </w:rPr>
        <w:t>‘The Seafarer’ and the Birds</w:t>
      </w:r>
      <w:r>
        <w:rPr>
          <w:rFonts w:cs="ArnoPro"/>
          <w:color w:val="000000"/>
        </w:rPr>
        <w:t xml:space="preserve"> in</w:t>
      </w:r>
      <w:r w:rsidRPr="00584E5E">
        <w:rPr>
          <w:b/>
        </w:rPr>
        <w:t xml:space="preserve"> </w:t>
      </w:r>
      <w:r w:rsidRPr="00584E5E">
        <w:t>The Voyage of St Brenda</w:t>
      </w:r>
      <w:r w:rsidRPr="0006494F">
        <w:t xml:space="preserve">n’ in </w:t>
      </w:r>
      <w:r w:rsidRPr="0006494F">
        <w:rPr>
          <w:rFonts w:cs="Arial"/>
          <w:i/>
        </w:rPr>
        <w:t>Celtica</w:t>
      </w:r>
      <w:r w:rsidRPr="0006494F">
        <w:rPr>
          <w:rFonts w:cs="Arial"/>
        </w:rPr>
        <w:t>, 23: (1999): Essays in honour of James Patrick Carney</w:t>
      </w:r>
      <w:r w:rsidRPr="00584E5E">
        <w:rPr>
          <w:rFonts w:cs="Arial"/>
          <w:color w:val="333333"/>
        </w:rPr>
        <w:t xml:space="preserve"> </w:t>
      </w:r>
      <w:r w:rsidRPr="00584E5E">
        <w:t>[O</w:t>
      </w:r>
      <w:r w:rsidRPr="008F580A">
        <w:t xml:space="preserve">nline: </w:t>
      </w:r>
      <w:hyperlink r:id="rId32" w:history="1">
        <w:r w:rsidRPr="008F580A">
          <w:rPr>
            <w:rStyle w:val="Hyperlink"/>
          </w:rPr>
          <w:t>https://www.dias.ie/wp-content/uploads/webstore/celt/pubs/celtica/c23/c23-369.pdf</w:t>
        </w:r>
      </w:hyperlink>
      <w:r w:rsidRPr="008F580A">
        <w:t xml:space="preserve"> ] &lt;Accessed 2</w:t>
      </w:r>
      <w:r>
        <w:t>9 March 20</w:t>
      </w:r>
      <w:r w:rsidRPr="008F580A">
        <w:t>18&gt;</w:t>
      </w:r>
    </w:p>
    <w:p w14:paraId="75E21EBB" w14:textId="77777777" w:rsidR="00BA4FE1" w:rsidRDefault="00BA4FE1" w:rsidP="00BA4FE1">
      <w:pPr>
        <w:autoSpaceDE w:val="0"/>
        <w:autoSpaceDN w:val="0"/>
        <w:adjustRightInd w:val="0"/>
        <w:spacing w:after="0" w:line="240" w:lineRule="auto"/>
        <w:rPr>
          <w:rFonts w:cs="ArnoPro"/>
          <w:color w:val="000000"/>
        </w:rPr>
      </w:pPr>
    </w:p>
    <w:p w14:paraId="7EC1F26D" w14:textId="77777777" w:rsidR="00BA4FE1" w:rsidRPr="00D20AEB" w:rsidRDefault="00BA4FE1" w:rsidP="00BA4FE1">
      <w:pPr>
        <w:autoSpaceDE w:val="0"/>
        <w:autoSpaceDN w:val="0"/>
        <w:adjustRightInd w:val="0"/>
        <w:spacing w:after="0" w:line="240" w:lineRule="auto"/>
        <w:rPr>
          <w:shd w:val="clear" w:color="auto" w:fill="FFFFFF"/>
        </w:rPr>
      </w:pPr>
      <w:r>
        <w:rPr>
          <w:shd w:val="clear" w:color="auto" w:fill="FFFFFF"/>
        </w:rPr>
        <w:t>Johnston, E.</w:t>
      </w:r>
      <w:r w:rsidRPr="00D20AEB">
        <w:rPr>
          <w:shd w:val="clear" w:color="auto" w:fill="FFFFFF"/>
        </w:rPr>
        <w:t xml:space="preserve">, </w:t>
      </w:r>
      <w:r w:rsidRPr="00382017">
        <w:rPr>
          <w:i/>
          <w:shd w:val="clear" w:color="auto" w:fill="FFFFFF"/>
        </w:rPr>
        <w:t>A Sailor on the Seas of Faith: The Individual and the Church in the Voyage of Mael Dúin</w:t>
      </w:r>
      <w:r w:rsidRPr="00D20AEB">
        <w:rPr>
          <w:shd w:val="clear" w:color="auto" w:fill="FFFFFF"/>
        </w:rPr>
        <w:t xml:space="preserve">, </w:t>
      </w:r>
      <w:r>
        <w:rPr>
          <w:shd w:val="clear" w:color="auto" w:fill="FFFFFF"/>
        </w:rPr>
        <w:t>(</w:t>
      </w:r>
      <w:r w:rsidRPr="00D20AEB">
        <w:rPr>
          <w:shd w:val="clear" w:color="auto" w:fill="FFFFFF"/>
        </w:rPr>
        <w:t>UCD Press</w:t>
      </w:r>
      <w:r>
        <w:rPr>
          <w:shd w:val="clear" w:color="auto" w:fill="FFFFFF"/>
        </w:rPr>
        <w:t>,</w:t>
      </w:r>
      <w:r w:rsidRPr="00D20AEB">
        <w:rPr>
          <w:shd w:val="clear" w:color="auto" w:fill="FFFFFF"/>
        </w:rPr>
        <w:t xml:space="preserve"> 2003) </w:t>
      </w:r>
      <w:r>
        <w:rPr>
          <w:shd w:val="clear" w:color="auto" w:fill="FFFFFF"/>
        </w:rPr>
        <w:t xml:space="preserve">available at </w:t>
      </w:r>
      <w:hyperlink r:id="rId33" w:history="1">
        <w:r w:rsidRPr="00D20AEB">
          <w:rPr>
            <w:rStyle w:val="Hyperlink"/>
            <w:shd w:val="clear" w:color="auto" w:fill="FFFFFF"/>
          </w:rPr>
          <w:t>http://www.ucdpress.ie/display.asp?K=9781900621878&amp;sfl=eh_cat_class&amp;st1=B100&amp;=53&amp;dc=135</w:t>
        </w:r>
      </w:hyperlink>
      <w:r w:rsidRPr="00D20AEB">
        <w:rPr>
          <w:shd w:val="clear" w:color="auto" w:fill="FFFFFF"/>
        </w:rPr>
        <w:t xml:space="preserve"> ]</w:t>
      </w:r>
      <w:r>
        <w:rPr>
          <w:shd w:val="clear" w:color="auto" w:fill="FFFFFF"/>
        </w:rPr>
        <w:t xml:space="preserve"> </w:t>
      </w:r>
      <w:r w:rsidRPr="00D20AEB">
        <w:rPr>
          <w:shd w:val="clear" w:color="auto" w:fill="FFFFFF"/>
        </w:rPr>
        <w:t>&lt;Accessed 11</w:t>
      </w:r>
      <w:r>
        <w:rPr>
          <w:shd w:val="clear" w:color="auto" w:fill="FFFFFF"/>
        </w:rPr>
        <w:t xml:space="preserve"> February 20</w:t>
      </w:r>
      <w:r w:rsidRPr="00D20AEB">
        <w:rPr>
          <w:shd w:val="clear" w:color="auto" w:fill="FFFFFF"/>
        </w:rPr>
        <w:t>18&gt;</w:t>
      </w:r>
    </w:p>
    <w:p w14:paraId="717E4198" w14:textId="77777777" w:rsidR="00BA4FE1" w:rsidRDefault="00BA4FE1" w:rsidP="00BA4FE1">
      <w:pPr>
        <w:pStyle w:val="Default"/>
        <w:rPr>
          <w:sz w:val="23"/>
          <w:szCs w:val="23"/>
        </w:rPr>
      </w:pPr>
    </w:p>
    <w:p w14:paraId="13A76A1E" w14:textId="77777777" w:rsidR="00BA4FE1" w:rsidRPr="00D20AEB" w:rsidRDefault="00BA4FE1" w:rsidP="00BA4FE1">
      <w:pPr>
        <w:pStyle w:val="Default"/>
        <w:rPr>
          <w:rFonts w:asciiTheme="minorHAnsi" w:hAnsiTheme="minorHAnsi"/>
          <w:sz w:val="22"/>
          <w:szCs w:val="22"/>
        </w:rPr>
      </w:pPr>
      <w:r>
        <w:rPr>
          <w:rFonts w:asciiTheme="minorHAnsi" w:hAnsiTheme="minorHAnsi"/>
          <w:sz w:val="22"/>
          <w:szCs w:val="22"/>
        </w:rPr>
        <w:t>Kitchell, Jr., K.</w:t>
      </w:r>
      <w:r w:rsidRPr="00D20AEB">
        <w:rPr>
          <w:rFonts w:asciiTheme="minorHAnsi" w:hAnsiTheme="minorHAnsi"/>
          <w:sz w:val="22"/>
          <w:szCs w:val="22"/>
        </w:rPr>
        <w:t xml:space="preserve"> F., </w:t>
      </w:r>
      <w:r>
        <w:rPr>
          <w:rFonts w:asciiTheme="minorHAnsi" w:hAnsiTheme="minorHAnsi"/>
          <w:sz w:val="22"/>
          <w:szCs w:val="22"/>
        </w:rPr>
        <w:t>‘</w:t>
      </w:r>
      <w:r w:rsidRPr="00D20AEB">
        <w:rPr>
          <w:rFonts w:asciiTheme="minorHAnsi" w:hAnsiTheme="minorHAnsi"/>
          <w:sz w:val="22"/>
          <w:szCs w:val="22"/>
        </w:rPr>
        <w:t>V</w:t>
      </w:r>
      <w:r w:rsidRPr="00D20AEB">
        <w:rPr>
          <w:rFonts w:asciiTheme="minorHAnsi" w:hAnsiTheme="minorHAnsi"/>
          <w:sz w:val="22"/>
          <w:szCs w:val="23"/>
        </w:rPr>
        <w:t xml:space="preserve">irgil's </w:t>
      </w:r>
      <w:r>
        <w:rPr>
          <w:rFonts w:asciiTheme="minorHAnsi" w:hAnsiTheme="minorHAnsi"/>
          <w:sz w:val="22"/>
          <w:szCs w:val="23"/>
        </w:rPr>
        <w:t>B</w:t>
      </w:r>
      <w:r w:rsidRPr="00D20AEB">
        <w:rPr>
          <w:rFonts w:asciiTheme="minorHAnsi" w:hAnsiTheme="minorHAnsi"/>
          <w:sz w:val="22"/>
          <w:szCs w:val="23"/>
        </w:rPr>
        <w:t xml:space="preserve">allasting </w:t>
      </w:r>
      <w:r>
        <w:rPr>
          <w:rFonts w:asciiTheme="minorHAnsi" w:hAnsiTheme="minorHAnsi"/>
          <w:sz w:val="22"/>
          <w:szCs w:val="23"/>
        </w:rPr>
        <w:t>B</w:t>
      </w:r>
      <w:r w:rsidRPr="00D20AEB">
        <w:rPr>
          <w:rFonts w:asciiTheme="minorHAnsi" w:hAnsiTheme="minorHAnsi"/>
          <w:sz w:val="22"/>
          <w:szCs w:val="23"/>
        </w:rPr>
        <w:t>ees</w:t>
      </w:r>
      <w:r>
        <w:rPr>
          <w:rFonts w:asciiTheme="minorHAnsi" w:hAnsiTheme="minorHAnsi"/>
          <w:sz w:val="22"/>
          <w:szCs w:val="23"/>
        </w:rPr>
        <w:t xml:space="preserve">’, </w:t>
      </w:r>
      <w:r w:rsidRPr="00D20AEB">
        <w:rPr>
          <w:rFonts w:asciiTheme="minorHAnsi" w:hAnsiTheme="minorHAnsi"/>
          <w:i/>
          <w:sz w:val="22"/>
          <w:szCs w:val="22"/>
        </w:rPr>
        <w:t xml:space="preserve"> Vergilius (1959-)</w:t>
      </w:r>
      <w:r>
        <w:rPr>
          <w:sz w:val="23"/>
          <w:szCs w:val="23"/>
        </w:rPr>
        <w:t>,</w:t>
      </w:r>
      <w:r w:rsidRPr="00D20AEB">
        <w:rPr>
          <w:rFonts w:asciiTheme="minorHAnsi" w:hAnsiTheme="minorHAnsi"/>
          <w:sz w:val="22"/>
          <w:szCs w:val="22"/>
        </w:rPr>
        <w:t xml:space="preserve"> 34</w:t>
      </w:r>
      <w:r>
        <w:rPr>
          <w:rFonts w:asciiTheme="minorHAnsi" w:hAnsiTheme="minorHAnsi"/>
          <w:sz w:val="22"/>
          <w:szCs w:val="22"/>
        </w:rPr>
        <w:t>: (</w:t>
      </w:r>
      <w:r w:rsidRPr="00D20AEB">
        <w:rPr>
          <w:rFonts w:asciiTheme="minorHAnsi" w:hAnsiTheme="minorHAnsi"/>
          <w:sz w:val="22"/>
          <w:szCs w:val="22"/>
        </w:rPr>
        <w:t>The Vergilian Society</w:t>
      </w:r>
      <w:r>
        <w:rPr>
          <w:rFonts w:asciiTheme="minorHAnsi" w:hAnsiTheme="minorHAnsi"/>
          <w:sz w:val="22"/>
          <w:szCs w:val="22"/>
        </w:rPr>
        <w:t>, 1988),</w:t>
      </w:r>
      <w:r w:rsidRPr="00D20AEB">
        <w:rPr>
          <w:rFonts w:asciiTheme="minorHAnsi" w:hAnsiTheme="minorHAnsi"/>
          <w:sz w:val="22"/>
          <w:szCs w:val="22"/>
        </w:rPr>
        <w:t xml:space="preserve"> 36-43</w:t>
      </w:r>
    </w:p>
    <w:p w14:paraId="189ECB28" w14:textId="77777777" w:rsidR="00BA4FE1" w:rsidRDefault="00BA4FE1" w:rsidP="00BA4FE1">
      <w:pPr>
        <w:pStyle w:val="Default"/>
        <w:rPr>
          <w:rFonts w:asciiTheme="minorHAnsi" w:hAnsiTheme="minorHAnsi"/>
          <w:sz w:val="22"/>
          <w:szCs w:val="22"/>
        </w:rPr>
      </w:pPr>
      <w:r>
        <w:rPr>
          <w:rFonts w:asciiTheme="minorHAnsi" w:hAnsiTheme="minorHAnsi"/>
          <w:sz w:val="22"/>
          <w:szCs w:val="22"/>
        </w:rPr>
        <w:t xml:space="preserve">[Online at </w:t>
      </w:r>
      <w:hyperlink r:id="rId34" w:history="1">
        <w:r w:rsidRPr="00597AD4">
          <w:rPr>
            <w:rStyle w:val="Hyperlink"/>
            <w:rFonts w:asciiTheme="minorHAnsi" w:hAnsiTheme="minorHAnsi"/>
            <w:sz w:val="22"/>
            <w:szCs w:val="22"/>
          </w:rPr>
          <w:t>http://www.jstor.org/stable/41592350</w:t>
        </w:r>
      </w:hyperlink>
      <w:r>
        <w:rPr>
          <w:rFonts w:asciiTheme="minorHAnsi" w:hAnsiTheme="minorHAnsi"/>
          <w:sz w:val="22"/>
          <w:szCs w:val="22"/>
        </w:rPr>
        <w:t xml:space="preserve"> ] </w:t>
      </w:r>
      <w:r w:rsidRPr="00D20AEB">
        <w:rPr>
          <w:rFonts w:asciiTheme="minorHAnsi" w:hAnsiTheme="minorHAnsi"/>
          <w:sz w:val="22"/>
          <w:szCs w:val="22"/>
        </w:rPr>
        <w:t>&lt;Accessed: 28</w:t>
      </w:r>
      <w:r>
        <w:rPr>
          <w:rFonts w:asciiTheme="minorHAnsi" w:hAnsiTheme="minorHAnsi"/>
          <w:sz w:val="22"/>
          <w:szCs w:val="22"/>
        </w:rPr>
        <w:t xml:space="preserve"> March </w:t>
      </w:r>
      <w:r w:rsidRPr="00D20AEB">
        <w:rPr>
          <w:rFonts w:asciiTheme="minorHAnsi" w:hAnsiTheme="minorHAnsi"/>
          <w:sz w:val="22"/>
          <w:szCs w:val="22"/>
        </w:rPr>
        <w:t>2018&gt;</w:t>
      </w:r>
    </w:p>
    <w:p w14:paraId="1EE4713C" w14:textId="77777777" w:rsidR="00BA4FE1" w:rsidRDefault="00BA4FE1" w:rsidP="00BA4FE1">
      <w:pPr>
        <w:pStyle w:val="Default"/>
        <w:rPr>
          <w:rFonts w:asciiTheme="minorHAnsi" w:hAnsiTheme="minorHAnsi"/>
          <w:sz w:val="22"/>
          <w:szCs w:val="22"/>
        </w:rPr>
      </w:pPr>
    </w:p>
    <w:p w14:paraId="3CD8CB03" w14:textId="77777777" w:rsidR="00BA4FE1" w:rsidRDefault="00BA4FE1" w:rsidP="00A9559F">
      <w:pPr>
        <w:spacing w:line="240" w:lineRule="auto"/>
      </w:pPr>
      <w:r>
        <w:t xml:space="preserve">Koch, J.T.  &amp; Carey, J., eds, </w:t>
      </w:r>
      <w:r w:rsidRPr="00B41348">
        <w:rPr>
          <w:i/>
        </w:rPr>
        <w:t>The Celtic Heroic Age: Literary Sources for Ancient Celtic Europe &amp; Early Ireland and Wales</w:t>
      </w:r>
      <w:r>
        <w:t>, (Aberystwyth: Celtic Studies Publications, 2003)</w:t>
      </w:r>
    </w:p>
    <w:p w14:paraId="63F0FF1D" w14:textId="77777777" w:rsidR="00BA4FE1" w:rsidRPr="00B33BD4" w:rsidRDefault="00BA4FE1" w:rsidP="00BA4FE1">
      <w:pPr>
        <w:autoSpaceDE w:val="0"/>
        <w:autoSpaceDN w:val="0"/>
        <w:adjustRightInd w:val="0"/>
        <w:spacing w:after="0" w:line="240" w:lineRule="auto"/>
        <w:rPr>
          <w:rFonts w:cs="AdvP7C34"/>
        </w:rPr>
      </w:pPr>
      <w:r w:rsidRPr="00B33BD4">
        <w:t>Lines, J., ‘</w:t>
      </w:r>
      <w:r w:rsidRPr="00B33BD4">
        <w:rPr>
          <w:rFonts w:cs="AdvP7C2E"/>
        </w:rPr>
        <w:t xml:space="preserve">Barbara Freitag, </w:t>
      </w:r>
      <w:r w:rsidRPr="00B33BD4">
        <w:rPr>
          <w:rFonts w:cs="AdvP7C34"/>
        </w:rPr>
        <w:t>Hy Brasil: The Metamorphosis of an Island from</w:t>
      </w:r>
    </w:p>
    <w:p w14:paraId="2F77F140" w14:textId="77777777" w:rsidR="00BA4FE1" w:rsidRPr="00B33BD4" w:rsidRDefault="00BA4FE1" w:rsidP="00BA4FE1">
      <w:pPr>
        <w:autoSpaceDE w:val="0"/>
        <w:autoSpaceDN w:val="0"/>
        <w:adjustRightInd w:val="0"/>
        <w:spacing w:after="0" w:line="240" w:lineRule="auto"/>
        <w:rPr>
          <w:rFonts w:cs="AdvP7C2E"/>
        </w:rPr>
      </w:pPr>
      <w:r w:rsidRPr="00B33BD4">
        <w:rPr>
          <w:rFonts w:cs="AdvP7C34"/>
        </w:rPr>
        <w:t>Cartographic Error to Celtic Elysium</w:t>
      </w:r>
      <w:r w:rsidRPr="00B33BD4">
        <w:rPr>
          <w:rFonts w:cs="AdvP7C2E"/>
        </w:rPr>
        <w:t>( Amsterdam: Rodopi, 2013)</w:t>
      </w:r>
      <w:r>
        <w:rPr>
          <w:rFonts w:cs="AdvP7C2E"/>
        </w:rPr>
        <w:t>’</w:t>
      </w:r>
      <w:r w:rsidRPr="0006494F">
        <w:rPr>
          <w:rFonts w:cs="AdvP7C2E"/>
        </w:rPr>
        <w:t xml:space="preserve"> in  </w:t>
      </w:r>
      <w:r w:rsidRPr="0006494F">
        <w:rPr>
          <w:rFonts w:cs="AdvP7C2E"/>
          <w:i/>
        </w:rPr>
        <w:t>Irish University Review</w:t>
      </w:r>
      <w:r w:rsidRPr="0006494F">
        <w:t xml:space="preserve">: 46 (2), 404-408, (2016), </w:t>
      </w:r>
      <w:r>
        <w:t>[Online</w:t>
      </w:r>
      <w:r w:rsidRPr="00B33BD4">
        <w:rPr>
          <w:color w:val="333333"/>
        </w:rPr>
        <w:t xml:space="preserve"> </w:t>
      </w:r>
      <w:hyperlink r:id="rId35" w:history="1">
        <w:r w:rsidRPr="00B33BD4">
          <w:rPr>
            <w:rStyle w:val="Hyperlink"/>
          </w:rPr>
          <w:t>https://web-b-ebscohost-com.ezproxy.uwtsd.ac.uk/ehost/pdfviewer/pdfviewer?vid=1&amp;sid=b70fafda-6fca-4055-b025-d97bee3b1dd4%40sessionmgr120</w:t>
        </w:r>
      </w:hyperlink>
      <w:r w:rsidRPr="00B33BD4">
        <w:rPr>
          <w:color w:val="333333"/>
        </w:rPr>
        <w:t xml:space="preserve"> ] &lt;Accessed on 24 January 2018&gt;</w:t>
      </w:r>
    </w:p>
    <w:p w14:paraId="276EE570" w14:textId="77777777" w:rsidR="00BA4FE1" w:rsidRDefault="00BA4FE1" w:rsidP="00BA4FE1">
      <w:pPr>
        <w:pStyle w:val="Default"/>
        <w:tabs>
          <w:tab w:val="left" w:pos="6075"/>
        </w:tabs>
        <w:rPr>
          <w:shd w:val="clear" w:color="auto" w:fill="FFFFFF"/>
        </w:rPr>
      </w:pPr>
      <w:r>
        <w:rPr>
          <w:shd w:val="clear" w:color="auto" w:fill="FFFFFF"/>
        </w:rPr>
        <w:tab/>
      </w:r>
    </w:p>
    <w:p w14:paraId="6464D493" w14:textId="77777777" w:rsidR="00BA4FE1" w:rsidRPr="0006494F" w:rsidRDefault="00BA4FE1" w:rsidP="00BA4FE1">
      <w:pPr>
        <w:shd w:val="clear" w:color="auto" w:fill="FFFFFF"/>
        <w:rPr>
          <w:rFonts w:cs="Arial"/>
        </w:rPr>
      </w:pPr>
      <w:r w:rsidRPr="0006494F">
        <w:rPr>
          <w:rFonts w:cs="Arial"/>
        </w:rPr>
        <w:t xml:space="preserve">Mac an Bhaird, A., ‘Varia II. Tadhg mac Céin and the Badgers’ in </w:t>
      </w:r>
      <w:r w:rsidRPr="0006494F">
        <w:rPr>
          <w:rStyle w:val="HTMLCite"/>
          <w:rFonts w:cs="Arial"/>
        </w:rPr>
        <w:t xml:space="preserve">Ériu </w:t>
      </w:r>
      <w:r w:rsidRPr="0006494F">
        <w:rPr>
          <w:rStyle w:val="HTMLCite"/>
          <w:rFonts w:cs="Arial"/>
          <w:i w:val="0"/>
        </w:rPr>
        <w:t>31:</w:t>
      </w:r>
      <w:r w:rsidRPr="0006494F">
        <w:rPr>
          <w:rStyle w:val="HTMLCite"/>
          <w:rFonts w:cs="Arial"/>
          <w:b/>
          <w:i w:val="0"/>
        </w:rPr>
        <w:t xml:space="preserve"> </w:t>
      </w:r>
      <w:r w:rsidRPr="0006494F">
        <w:rPr>
          <w:rStyle w:val="HTMLCite"/>
          <w:rFonts w:cs="Arial"/>
          <w:i w:val="0"/>
        </w:rPr>
        <w:t>(1980) 150-155</w:t>
      </w:r>
    </w:p>
    <w:p w14:paraId="0B3BF1E8" w14:textId="77777777" w:rsidR="00BA4FE1" w:rsidRPr="0006494F" w:rsidRDefault="00BA4FE1" w:rsidP="00BA4FE1">
      <w:pPr>
        <w:pStyle w:val="Default"/>
        <w:tabs>
          <w:tab w:val="left" w:pos="6075"/>
        </w:tabs>
        <w:rPr>
          <w:rFonts w:asciiTheme="minorHAnsi" w:hAnsiTheme="minorHAnsi" w:cs="Arial"/>
          <w:color w:val="auto"/>
          <w:sz w:val="22"/>
          <w:szCs w:val="22"/>
        </w:rPr>
      </w:pPr>
      <w:r w:rsidRPr="0006494F">
        <w:rPr>
          <w:rFonts w:asciiTheme="minorHAnsi" w:hAnsiTheme="minorHAnsi"/>
          <w:color w:val="auto"/>
          <w:sz w:val="22"/>
          <w:szCs w:val="22"/>
          <w:shd w:val="clear" w:color="auto" w:fill="FFFFFF"/>
        </w:rPr>
        <w:t>MacCana, P., ‘Mongan Mac Fiachna and</w:t>
      </w:r>
      <w:r w:rsidRPr="0006494F">
        <w:rPr>
          <w:rFonts w:asciiTheme="minorHAnsi" w:hAnsiTheme="minorHAnsi"/>
          <w:i/>
          <w:color w:val="auto"/>
          <w:sz w:val="22"/>
          <w:szCs w:val="22"/>
          <w:shd w:val="clear" w:color="auto" w:fill="FFFFFF"/>
        </w:rPr>
        <w:t xml:space="preserve"> Immram Brain’</w:t>
      </w:r>
      <w:r w:rsidRPr="0006494F">
        <w:rPr>
          <w:rFonts w:asciiTheme="minorHAnsi" w:hAnsiTheme="minorHAnsi"/>
          <w:color w:val="auto"/>
          <w:sz w:val="22"/>
          <w:szCs w:val="22"/>
          <w:shd w:val="clear" w:color="auto" w:fill="FFFFFF"/>
        </w:rPr>
        <w:t xml:space="preserve"> in </w:t>
      </w:r>
      <w:r w:rsidRPr="0006494F">
        <w:rPr>
          <w:rStyle w:val="HTMLCite"/>
          <w:rFonts w:asciiTheme="minorHAnsi" w:hAnsiTheme="minorHAnsi" w:cs="Arial"/>
          <w:color w:val="auto"/>
          <w:sz w:val="22"/>
          <w:szCs w:val="22"/>
        </w:rPr>
        <w:t xml:space="preserve">Ériu </w:t>
      </w:r>
      <w:r w:rsidRPr="0006494F">
        <w:rPr>
          <w:rFonts w:asciiTheme="minorHAnsi" w:hAnsiTheme="minorHAnsi" w:cs="Arial"/>
          <w:color w:val="auto"/>
          <w:sz w:val="22"/>
          <w:szCs w:val="22"/>
        </w:rPr>
        <w:t xml:space="preserve">23: (1972) 102-142 </w:t>
      </w:r>
    </w:p>
    <w:p w14:paraId="15BC1758" w14:textId="77777777" w:rsidR="00BA4FE1" w:rsidRPr="0006494F" w:rsidRDefault="00BA4FE1" w:rsidP="00BA4FE1">
      <w:pPr>
        <w:pStyle w:val="Default"/>
        <w:tabs>
          <w:tab w:val="left" w:pos="6075"/>
        </w:tabs>
        <w:rPr>
          <w:rFonts w:asciiTheme="minorHAnsi" w:hAnsiTheme="minorHAnsi" w:cs="Arial"/>
          <w:color w:val="auto"/>
          <w:sz w:val="22"/>
          <w:szCs w:val="22"/>
        </w:rPr>
      </w:pPr>
    </w:p>
    <w:p w14:paraId="6BD83813" w14:textId="77777777" w:rsidR="00BA4FE1" w:rsidRPr="0006494F" w:rsidRDefault="00BA4FE1" w:rsidP="00BA4FE1">
      <w:pPr>
        <w:shd w:val="clear" w:color="auto" w:fill="FFFFFF"/>
        <w:rPr>
          <w:shd w:val="clear" w:color="auto" w:fill="FFFFFF"/>
        </w:rPr>
      </w:pPr>
      <w:r w:rsidRPr="0006494F">
        <w:rPr>
          <w:shd w:val="clear" w:color="auto" w:fill="FFFFFF"/>
        </w:rPr>
        <w:t xml:space="preserve">Mac Cana, P., ‘On the ‘Prehistory’ of </w:t>
      </w:r>
      <w:r w:rsidRPr="0006494F">
        <w:rPr>
          <w:i/>
          <w:shd w:val="clear" w:color="auto" w:fill="FFFFFF"/>
        </w:rPr>
        <w:t xml:space="preserve">Immram Brain’, </w:t>
      </w:r>
      <w:r w:rsidRPr="0006494F">
        <w:rPr>
          <w:shd w:val="clear" w:color="auto" w:fill="FFFFFF"/>
        </w:rPr>
        <w:t xml:space="preserve">in </w:t>
      </w:r>
      <w:r w:rsidRPr="0006494F">
        <w:rPr>
          <w:i/>
          <w:shd w:val="clear" w:color="auto" w:fill="FFFFFF"/>
        </w:rPr>
        <w:t>Ériu</w:t>
      </w:r>
      <w:r w:rsidRPr="0006494F">
        <w:rPr>
          <w:shd w:val="clear" w:color="auto" w:fill="FFFFFF"/>
        </w:rPr>
        <w:t xml:space="preserve"> 26: (1975) 33-52 </w:t>
      </w:r>
    </w:p>
    <w:p w14:paraId="60EC1814" w14:textId="77777777" w:rsidR="00BA4FE1" w:rsidRPr="0006494F" w:rsidRDefault="00BA4FE1" w:rsidP="00A9559F">
      <w:pPr>
        <w:shd w:val="clear" w:color="auto" w:fill="FFFFFF"/>
        <w:spacing w:line="240" w:lineRule="auto"/>
        <w:rPr>
          <w:rFonts w:ascii="Arial" w:eastAsia="Times New Roman" w:hAnsi="Arial" w:cs="Arial"/>
          <w:sz w:val="21"/>
          <w:szCs w:val="21"/>
          <w:lang w:eastAsia="en-GB"/>
        </w:rPr>
      </w:pPr>
      <w:r w:rsidRPr="0006494F">
        <w:rPr>
          <w:shd w:val="clear" w:color="auto" w:fill="FFFFFF"/>
        </w:rPr>
        <w:t xml:space="preserve">Mac Cana, P., ‘The Sinless Otherworld of </w:t>
      </w:r>
      <w:r w:rsidRPr="0006494F">
        <w:rPr>
          <w:i/>
          <w:shd w:val="clear" w:color="auto" w:fill="FFFFFF"/>
        </w:rPr>
        <w:t>Immram Brain’</w:t>
      </w:r>
      <w:r w:rsidRPr="0006494F">
        <w:rPr>
          <w:shd w:val="clear" w:color="auto" w:fill="FFFFFF"/>
        </w:rPr>
        <w:t xml:space="preserve"> in </w:t>
      </w:r>
      <w:r w:rsidRPr="0006494F">
        <w:rPr>
          <w:rFonts w:eastAsia="Times New Roman" w:cs="Arial"/>
          <w:i/>
          <w:iCs/>
          <w:lang w:eastAsia="en-GB"/>
        </w:rPr>
        <w:t xml:space="preserve">Ériu </w:t>
      </w:r>
      <w:r w:rsidRPr="0006494F">
        <w:rPr>
          <w:rFonts w:eastAsia="Times New Roman" w:cs="Arial"/>
          <w:lang w:eastAsia="en-GB"/>
        </w:rPr>
        <w:t>27: (1976) 95-115</w:t>
      </w:r>
    </w:p>
    <w:p w14:paraId="5C6495C0" w14:textId="77777777" w:rsidR="00BA4FE1" w:rsidRPr="00532BE1" w:rsidRDefault="00BA4FE1" w:rsidP="00A9559F">
      <w:pPr>
        <w:shd w:val="clear" w:color="auto" w:fill="FEFDFA"/>
        <w:spacing w:line="240" w:lineRule="auto"/>
        <w:rPr>
          <w:shd w:val="clear" w:color="auto" w:fill="FFFFFF"/>
        </w:rPr>
      </w:pPr>
      <w:r w:rsidRPr="00711D90">
        <w:rPr>
          <w:shd w:val="clear" w:color="auto" w:fill="FFFFFF"/>
        </w:rPr>
        <w:t xml:space="preserve"> </w:t>
      </w:r>
      <w:r>
        <w:rPr>
          <w:shd w:val="clear" w:color="auto" w:fill="FFFFFF"/>
        </w:rPr>
        <w:t xml:space="preserve">McCone, K., </w:t>
      </w:r>
      <w:r w:rsidRPr="00532BE1">
        <w:rPr>
          <w:i/>
          <w:shd w:val="clear" w:color="auto" w:fill="FFFFFF"/>
        </w:rPr>
        <w:t>Pagan Past and Christian Present in Early Irish Literature</w:t>
      </w:r>
      <w:r>
        <w:rPr>
          <w:shd w:val="clear" w:color="auto" w:fill="FFFFFF"/>
        </w:rPr>
        <w:t>, (Maynooth: Department of Old Irish, National University of Ireland, 2000)</w:t>
      </w:r>
    </w:p>
    <w:p w14:paraId="19D1C277" w14:textId="77777777" w:rsidR="00BA4FE1" w:rsidRPr="0055539D" w:rsidRDefault="00BA4FE1" w:rsidP="00A9559F">
      <w:pPr>
        <w:pStyle w:val="Default"/>
        <w:spacing w:before="400"/>
        <w:rPr>
          <w:rFonts w:asciiTheme="minorHAnsi" w:hAnsiTheme="minorHAnsi"/>
          <w:sz w:val="22"/>
          <w:szCs w:val="22"/>
        </w:rPr>
      </w:pPr>
      <w:r>
        <w:t xml:space="preserve"> </w:t>
      </w:r>
      <w:r>
        <w:rPr>
          <w:rFonts w:asciiTheme="minorHAnsi" w:hAnsiTheme="minorHAnsi"/>
          <w:sz w:val="22"/>
          <w:szCs w:val="22"/>
        </w:rPr>
        <w:t>McGinn , B.</w:t>
      </w:r>
      <w:r w:rsidRPr="0055539D">
        <w:rPr>
          <w:rFonts w:asciiTheme="minorHAnsi" w:hAnsiTheme="minorHAnsi"/>
          <w:sz w:val="22"/>
          <w:szCs w:val="22"/>
        </w:rPr>
        <w:t xml:space="preserve">, </w:t>
      </w:r>
      <w:r>
        <w:rPr>
          <w:rFonts w:asciiTheme="minorHAnsi" w:hAnsiTheme="minorHAnsi"/>
          <w:sz w:val="22"/>
          <w:szCs w:val="22"/>
        </w:rPr>
        <w:t>‘</w:t>
      </w:r>
      <w:r w:rsidRPr="0055539D">
        <w:rPr>
          <w:rFonts w:asciiTheme="minorHAnsi" w:hAnsiTheme="minorHAnsi"/>
          <w:sz w:val="22"/>
          <w:szCs w:val="22"/>
        </w:rPr>
        <w:t>Ocean and Desert as Symbols of Mystical Absorption in the Christian Tradition</w:t>
      </w:r>
      <w:r>
        <w:rPr>
          <w:rFonts w:asciiTheme="minorHAnsi" w:hAnsiTheme="minorHAnsi"/>
          <w:sz w:val="22"/>
          <w:szCs w:val="22"/>
        </w:rPr>
        <w:t>’</w:t>
      </w:r>
      <w:r w:rsidRPr="0055539D">
        <w:rPr>
          <w:rFonts w:asciiTheme="minorHAnsi" w:hAnsiTheme="minorHAnsi"/>
          <w:sz w:val="22"/>
          <w:szCs w:val="22"/>
        </w:rPr>
        <w:t xml:space="preserve"> </w:t>
      </w:r>
      <w:r w:rsidRPr="0055539D">
        <w:rPr>
          <w:rFonts w:asciiTheme="minorHAnsi" w:hAnsiTheme="minorHAnsi"/>
          <w:i/>
          <w:sz w:val="22"/>
          <w:szCs w:val="22"/>
        </w:rPr>
        <w:t>The Journal of Religion</w:t>
      </w:r>
      <w:r>
        <w:rPr>
          <w:rFonts w:asciiTheme="minorHAnsi" w:hAnsiTheme="minorHAnsi"/>
          <w:sz w:val="22"/>
          <w:szCs w:val="22"/>
        </w:rPr>
        <w:t>,  74 (</w:t>
      </w:r>
      <w:r w:rsidRPr="0055539D">
        <w:rPr>
          <w:rFonts w:asciiTheme="minorHAnsi" w:hAnsiTheme="minorHAnsi"/>
          <w:sz w:val="22"/>
          <w:szCs w:val="22"/>
        </w:rPr>
        <w:t>2</w:t>
      </w:r>
      <w:r>
        <w:rPr>
          <w:rFonts w:asciiTheme="minorHAnsi" w:hAnsiTheme="minorHAnsi"/>
          <w:sz w:val="22"/>
          <w:szCs w:val="22"/>
        </w:rPr>
        <w:t>): (</w:t>
      </w:r>
      <w:r w:rsidRPr="0055539D">
        <w:rPr>
          <w:rFonts w:asciiTheme="minorHAnsi" w:hAnsiTheme="minorHAnsi"/>
          <w:sz w:val="22"/>
          <w:szCs w:val="22"/>
        </w:rPr>
        <w:t>The University of Chicago Press</w:t>
      </w:r>
      <w:r>
        <w:rPr>
          <w:rFonts w:asciiTheme="minorHAnsi" w:hAnsiTheme="minorHAnsi"/>
          <w:sz w:val="22"/>
          <w:szCs w:val="22"/>
        </w:rPr>
        <w:t>, 1994),</w:t>
      </w:r>
      <w:r w:rsidRPr="0055539D">
        <w:rPr>
          <w:rFonts w:asciiTheme="minorHAnsi" w:hAnsiTheme="minorHAnsi"/>
          <w:sz w:val="22"/>
          <w:szCs w:val="22"/>
        </w:rPr>
        <w:t>155-181</w:t>
      </w:r>
      <w:r>
        <w:rPr>
          <w:rFonts w:asciiTheme="minorHAnsi" w:hAnsiTheme="minorHAnsi"/>
          <w:sz w:val="22"/>
          <w:szCs w:val="22"/>
        </w:rPr>
        <w:t xml:space="preserve"> [Online:</w:t>
      </w:r>
      <w:r w:rsidRPr="0055539D">
        <w:rPr>
          <w:rFonts w:asciiTheme="minorHAnsi" w:hAnsiTheme="minorHAnsi"/>
          <w:sz w:val="22"/>
          <w:szCs w:val="22"/>
        </w:rPr>
        <w:t xml:space="preserve"> </w:t>
      </w:r>
    </w:p>
    <w:p w14:paraId="1F1E0F4C" w14:textId="77777777" w:rsidR="00BA4FE1" w:rsidRDefault="00BA4FE1" w:rsidP="00A9559F">
      <w:pPr>
        <w:pStyle w:val="Default"/>
        <w:rPr>
          <w:rFonts w:asciiTheme="minorHAnsi" w:hAnsiTheme="minorHAnsi"/>
          <w:sz w:val="22"/>
          <w:szCs w:val="22"/>
        </w:rPr>
      </w:pPr>
      <w:r w:rsidRPr="0055539D">
        <w:rPr>
          <w:rFonts w:asciiTheme="minorHAnsi" w:hAnsiTheme="minorHAnsi"/>
          <w:sz w:val="22"/>
          <w:szCs w:val="22"/>
        </w:rPr>
        <w:t xml:space="preserve"> </w:t>
      </w:r>
      <w:hyperlink r:id="rId36" w:history="1">
        <w:r w:rsidRPr="0055539D">
          <w:rPr>
            <w:rStyle w:val="Hyperlink"/>
            <w:rFonts w:asciiTheme="minorHAnsi" w:hAnsiTheme="minorHAnsi"/>
            <w:sz w:val="22"/>
            <w:szCs w:val="22"/>
          </w:rPr>
          <w:t>http://www.jstor.org/stable/1205274</w:t>
        </w:r>
      </w:hyperlink>
      <w:r w:rsidRPr="0055539D">
        <w:rPr>
          <w:rFonts w:asciiTheme="minorHAnsi" w:hAnsiTheme="minorHAnsi"/>
          <w:sz w:val="22"/>
          <w:szCs w:val="22"/>
        </w:rPr>
        <w:t xml:space="preserve"> </w:t>
      </w:r>
      <w:r>
        <w:rPr>
          <w:rFonts w:asciiTheme="minorHAnsi" w:hAnsiTheme="minorHAnsi"/>
          <w:sz w:val="22"/>
          <w:szCs w:val="22"/>
        </w:rPr>
        <w:t>] &lt;</w:t>
      </w:r>
      <w:r w:rsidRPr="0055539D">
        <w:rPr>
          <w:rFonts w:asciiTheme="minorHAnsi" w:hAnsiTheme="minorHAnsi"/>
          <w:sz w:val="22"/>
          <w:szCs w:val="22"/>
        </w:rPr>
        <w:t>Accessed 1</w:t>
      </w:r>
      <w:r>
        <w:rPr>
          <w:rFonts w:asciiTheme="minorHAnsi" w:hAnsiTheme="minorHAnsi"/>
          <w:sz w:val="22"/>
          <w:szCs w:val="22"/>
        </w:rPr>
        <w:t xml:space="preserve"> March 2</w:t>
      </w:r>
      <w:r w:rsidRPr="0055539D">
        <w:rPr>
          <w:rFonts w:asciiTheme="minorHAnsi" w:hAnsiTheme="minorHAnsi"/>
          <w:sz w:val="22"/>
          <w:szCs w:val="22"/>
        </w:rPr>
        <w:t>018</w:t>
      </w:r>
      <w:r>
        <w:rPr>
          <w:rFonts w:asciiTheme="minorHAnsi" w:hAnsiTheme="minorHAnsi"/>
          <w:sz w:val="22"/>
          <w:szCs w:val="22"/>
        </w:rPr>
        <w:t>&gt;</w:t>
      </w:r>
      <w:r w:rsidRPr="0055539D">
        <w:rPr>
          <w:rFonts w:asciiTheme="minorHAnsi" w:hAnsiTheme="minorHAnsi"/>
          <w:sz w:val="22"/>
          <w:szCs w:val="22"/>
        </w:rPr>
        <w:t xml:space="preserve"> </w:t>
      </w:r>
    </w:p>
    <w:p w14:paraId="5F3D95B3" w14:textId="77777777" w:rsidR="00BA4FE1" w:rsidRDefault="00BA4FE1" w:rsidP="00BA4FE1">
      <w:pPr>
        <w:pStyle w:val="Default"/>
        <w:rPr>
          <w:rFonts w:asciiTheme="minorHAnsi" w:hAnsiTheme="minorHAnsi"/>
          <w:sz w:val="22"/>
          <w:szCs w:val="22"/>
        </w:rPr>
      </w:pPr>
    </w:p>
    <w:p w14:paraId="58A4CB9E" w14:textId="77777777" w:rsidR="00BA4FE1" w:rsidRPr="006578B0" w:rsidRDefault="00BA4FE1" w:rsidP="00A9559F">
      <w:pPr>
        <w:spacing w:line="240" w:lineRule="auto"/>
      </w:pPr>
      <w:r w:rsidRPr="006578B0">
        <w:rPr>
          <w:rStyle w:val="exlavailabilitycallnumber"/>
          <w:rFonts w:cs="Arial"/>
          <w:bdr w:val="none" w:sz="0" w:space="0" w:color="auto" w:frame="1"/>
        </w:rPr>
        <w:t>McGrath, C.,</w:t>
      </w:r>
      <w:r w:rsidRPr="006578B0">
        <w:rPr>
          <w:rFonts w:cs="GillSansMT"/>
        </w:rPr>
        <w:t xml:space="preserve"> ‘The Apple in Early Irish Narrative Tradition: A Thoroughly Christian Symbol?’ In </w:t>
      </w:r>
      <w:r w:rsidRPr="006578B0">
        <w:rPr>
          <w:rFonts w:cs="GillSansMT"/>
          <w:i/>
        </w:rPr>
        <w:t>Studia Celtica Fennica</w:t>
      </w:r>
      <w:r w:rsidRPr="006578B0">
        <w:rPr>
          <w:rFonts w:cs="GillSansMT"/>
        </w:rPr>
        <w:t xml:space="preserve"> VII: (2010), 18-25 [Online: </w:t>
      </w:r>
      <w:hyperlink r:id="rId37" w:history="1">
        <w:r w:rsidRPr="006578B0">
          <w:rPr>
            <w:rStyle w:val="Hyperlink"/>
          </w:rPr>
          <w:t>http://www.sfks.org/SC_VI_2009_24112010.pdf</w:t>
        </w:r>
      </w:hyperlink>
      <w:r>
        <w:t xml:space="preserve"> ] &lt;Accessed </w:t>
      </w:r>
      <w:r w:rsidRPr="006578B0">
        <w:t>5</w:t>
      </w:r>
      <w:r>
        <w:t xml:space="preserve"> and 29 March 20</w:t>
      </w:r>
      <w:r w:rsidRPr="006578B0">
        <w:t>18&gt;</w:t>
      </w:r>
    </w:p>
    <w:p w14:paraId="45245333" w14:textId="77777777" w:rsidR="00BA4FE1" w:rsidRDefault="00BA4FE1" w:rsidP="00BA4FE1">
      <w:r>
        <w:t xml:space="preserve">Mackillop, J., </w:t>
      </w:r>
      <w:r w:rsidRPr="003D1DDA">
        <w:rPr>
          <w:i/>
        </w:rPr>
        <w:t>Dictionary of Celtic Mythology</w:t>
      </w:r>
      <w:r>
        <w:t>, (Oxford:  Oxford University Press, 1998) 15-16</w:t>
      </w:r>
    </w:p>
    <w:p w14:paraId="1D98AD76" w14:textId="77777777" w:rsidR="00BA4FE1" w:rsidRPr="00EA442B" w:rsidRDefault="004F0282" w:rsidP="00A9559F">
      <w:pPr>
        <w:spacing w:line="240" w:lineRule="auto"/>
        <w:textAlignment w:val="baseline"/>
        <w:rPr>
          <w:rFonts w:cs="Helvetica"/>
        </w:rPr>
      </w:pPr>
      <w:hyperlink r:id="rId38" w:tooltip="Search for Mackley, Jude S." w:history="1">
        <w:r w:rsidR="00BA4FE1" w:rsidRPr="00EA442B">
          <w:rPr>
            <w:rStyle w:val="Hyperlink"/>
            <w:rFonts w:cs="Helvetica"/>
            <w:color w:val="auto"/>
            <w:bdr w:val="none" w:sz="0" w:space="0" w:color="auto" w:frame="1"/>
          </w:rPr>
          <w:t>Mackley, J. S.</w:t>
        </w:r>
      </w:hyperlink>
      <w:r w:rsidR="00BA4FE1" w:rsidRPr="00EA442B">
        <w:t>, ‘</w:t>
      </w:r>
      <w:r w:rsidR="00BA4FE1" w:rsidRPr="00EA442B">
        <w:rPr>
          <w:rFonts w:cs="Helvetica"/>
        </w:rPr>
        <w:t xml:space="preserve">Book Review </w:t>
      </w:r>
      <w:hyperlink r:id="rId39" w:tooltip="Search for SEAFARING Saint, The (Book)" w:history="1">
        <w:r w:rsidR="00BA4FE1" w:rsidRPr="00EA442B">
          <w:rPr>
            <w:rStyle w:val="Hyperlink"/>
            <w:rFonts w:cs="Helvetica"/>
            <w:color w:val="auto"/>
            <w:bdr w:val="none" w:sz="0" w:space="0" w:color="auto" w:frame="1"/>
          </w:rPr>
          <w:t>SEAFARING Saint, The (Book)</w:t>
        </w:r>
      </w:hyperlink>
      <w:r w:rsidR="00BA4FE1" w:rsidRPr="00EA442B">
        <w:t xml:space="preserve"> </w:t>
      </w:r>
      <w:r w:rsidR="00BA4FE1" w:rsidRPr="00EA442B">
        <w:rPr>
          <w:rFonts w:cs="Helvetica"/>
        </w:rPr>
        <w:t xml:space="preserve">Reviews the book 'The Seafaring Saint: Sources and Analogues of the Twelfth Century 'Voyage of Saint Brendan', by Clara Strijbosch and translated by Thea Summerfield.’ </w:t>
      </w:r>
      <w:r w:rsidR="00BA4FE1">
        <w:rPr>
          <w:rFonts w:cs="Helvetica"/>
        </w:rPr>
        <w:t xml:space="preserve">in </w:t>
      </w:r>
      <w:r w:rsidR="00BA4FE1" w:rsidRPr="00EA442B">
        <w:rPr>
          <w:i/>
        </w:rPr>
        <w:t xml:space="preserve"> </w:t>
      </w:r>
      <w:hyperlink r:id="rId40" w:tooltip="Search for Medium Aevum" w:history="1">
        <w:r w:rsidR="00BA4FE1" w:rsidRPr="00EA442B">
          <w:rPr>
            <w:rStyle w:val="Hyperlink"/>
            <w:rFonts w:cs="Helvetica"/>
            <w:i/>
            <w:color w:val="auto"/>
            <w:bdr w:val="none" w:sz="0" w:space="0" w:color="auto" w:frame="1"/>
          </w:rPr>
          <w:t>Medium Aevum</w:t>
        </w:r>
      </w:hyperlink>
      <w:r w:rsidR="00BA4FE1" w:rsidRPr="00EA442B">
        <w:rPr>
          <w:i/>
        </w:rPr>
        <w:t xml:space="preserve"> </w:t>
      </w:r>
      <w:r w:rsidR="00BA4FE1" w:rsidRPr="00EA442B">
        <w:t xml:space="preserve">71 (1): </w:t>
      </w:r>
      <w:r w:rsidR="00BA4FE1" w:rsidRPr="00EA442B">
        <w:rPr>
          <w:rFonts w:cs="Helvetica"/>
          <w:i/>
        </w:rPr>
        <w:t xml:space="preserve"> (</w:t>
      </w:r>
      <w:r w:rsidR="00BA4FE1" w:rsidRPr="00EA442B">
        <w:rPr>
          <w:rFonts w:cs="Helvetica"/>
        </w:rPr>
        <w:t>2002), 160</w:t>
      </w:r>
    </w:p>
    <w:p w14:paraId="05434ADB" w14:textId="77777777" w:rsidR="00BA4FE1" w:rsidRPr="00685EF3" w:rsidRDefault="00BA4FE1" w:rsidP="00A9559F">
      <w:pPr>
        <w:autoSpaceDE w:val="0"/>
        <w:autoSpaceDN w:val="0"/>
        <w:adjustRightInd w:val="0"/>
        <w:spacing w:after="0" w:line="240" w:lineRule="auto"/>
        <w:rPr>
          <w:rFonts w:cs="Times New Roman"/>
          <w:i/>
        </w:rPr>
      </w:pPr>
      <w:r w:rsidRPr="00685EF3">
        <w:rPr>
          <w:rFonts w:cs="Times New Roman"/>
          <w:iCs/>
        </w:rPr>
        <w:t xml:space="preserve">Mac Mathúna, S., ‘Review of:  </w:t>
      </w:r>
      <w:r w:rsidRPr="00685EF3">
        <w:rPr>
          <w:rFonts w:cs="Times New Roman"/>
          <w:i/>
          <w:iCs/>
        </w:rPr>
        <w:t xml:space="preserve">The Seafaring Saint: Sources and Analogues of the Twelfth-Century Voyage of Saint Brendan. </w:t>
      </w:r>
      <w:r w:rsidRPr="00685EF3">
        <w:rPr>
          <w:rFonts w:cs="Times New Roman"/>
          <w:i/>
        </w:rPr>
        <w:t>By Clara Strijbosch. Translated by Thea Summerfield,</w:t>
      </w:r>
    </w:p>
    <w:p w14:paraId="019B75E0" w14:textId="77777777" w:rsidR="00BA4FE1" w:rsidRPr="00685EF3" w:rsidRDefault="00BA4FE1" w:rsidP="00A9559F">
      <w:pPr>
        <w:shd w:val="clear" w:color="auto" w:fill="FFFFFF"/>
        <w:spacing w:line="240" w:lineRule="auto"/>
        <w:rPr>
          <w:rFonts w:eastAsia="Times New Roman" w:cs="Arial"/>
          <w:lang w:eastAsia="en-GB"/>
        </w:rPr>
      </w:pPr>
      <w:r w:rsidRPr="00685EF3">
        <w:rPr>
          <w:rFonts w:cs="Times New Roman"/>
          <w:i/>
        </w:rPr>
        <w:t xml:space="preserve">(Dublin: Four Courts Press, Distributed by ISBS, Portland, Oregon, 2000)’ in </w:t>
      </w:r>
      <w:r w:rsidRPr="00685EF3">
        <w:rPr>
          <w:rFonts w:eastAsia="Times New Roman" w:cs="Arial"/>
          <w:i/>
          <w:lang w:eastAsia="en-GB"/>
        </w:rPr>
        <w:t>The Catholic Historical Review</w:t>
      </w:r>
      <w:r w:rsidRPr="00685EF3">
        <w:rPr>
          <w:rFonts w:eastAsia="Times New Roman" w:cs="Arial"/>
          <w:lang w:eastAsia="en-GB"/>
        </w:rPr>
        <w:t>,</w:t>
      </w:r>
      <w:r w:rsidRPr="00685EF3">
        <w:rPr>
          <w:color w:val="333333"/>
        </w:rPr>
        <w:t>91 (1):</w:t>
      </w:r>
      <w:r w:rsidRPr="00685EF3">
        <w:rPr>
          <w:rFonts w:eastAsia="Times New Roman" w:cs="Arial"/>
          <w:lang w:eastAsia="en-GB"/>
        </w:rPr>
        <w:t xml:space="preserve"> (2005)</w:t>
      </w:r>
      <w:r w:rsidRPr="00685EF3">
        <w:rPr>
          <w:color w:val="333333"/>
        </w:rPr>
        <w:t>, 138-139</w:t>
      </w:r>
      <w:r>
        <w:rPr>
          <w:color w:val="333333"/>
        </w:rPr>
        <w:t>,</w:t>
      </w:r>
      <w:r w:rsidRPr="00685EF3">
        <w:rPr>
          <w:rFonts w:eastAsia="Times New Roman" w:cs="Arial"/>
          <w:color w:val="006621"/>
          <w:lang w:eastAsia="en-GB"/>
        </w:rPr>
        <w:t xml:space="preserve"> </w:t>
      </w:r>
      <w:r w:rsidRPr="00685EF3">
        <w:rPr>
          <w:rFonts w:eastAsia="Times New Roman" w:cs="Arial"/>
          <w:lang w:eastAsia="en-GB"/>
        </w:rPr>
        <w:t xml:space="preserve"> [Online at</w:t>
      </w:r>
      <w:r w:rsidRPr="00685EF3">
        <w:t xml:space="preserve"> </w:t>
      </w:r>
      <w:hyperlink r:id="rId41" w:anchor="AN=16742984&amp;db=rlh" w:history="1">
        <w:r w:rsidRPr="00685EF3">
          <w:rPr>
            <w:rStyle w:val="Hyperlink"/>
            <w:rFonts w:eastAsia="Times New Roman" w:cs="Arial"/>
            <w:lang w:eastAsia="en-GB"/>
          </w:rPr>
          <w:t>https://web-b-ebscohost-com.ezproxy.uwtsd.ac.uk/ehost/detail/detail?vid=0&amp;sid=61a99982-9051-4928-9f7c-</w:t>
        </w:r>
        <w:r w:rsidRPr="00685EF3">
          <w:rPr>
            <w:rStyle w:val="Hyperlink"/>
            <w:rFonts w:eastAsia="Times New Roman" w:cs="Arial"/>
            <w:lang w:eastAsia="en-GB"/>
          </w:rPr>
          <w:lastRenderedPageBreak/>
          <w:t>08baecd79acd%40sessionmgr104&amp;bdata=JnNpdGU9ZWhvc3QtbGl2ZQ%3d%3d#AN=16742984&amp;db=rlh</w:t>
        </w:r>
      </w:hyperlink>
      <w:r w:rsidRPr="00685EF3">
        <w:rPr>
          <w:rFonts w:eastAsia="Times New Roman" w:cs="Arial"/>
          <w:color w:val="006621"/>
          <w:lang w:eastAsia="en-GB"/>
        </w:rPr>
        <w:t xml:space="preserve"> ]</w:t>
      </w:r>
      <w:r>
        <w:rPr>
          <w:rFonts w:eastAsia="Times New Roman" w:cs="Arial"/>
          <w:lang w:eastAsia="en-GB"/>
        </w:rPr>
        <w:t xml:space="preserve"> &lt;Accessed  </w:t>
      </w:r>
      <w:r w:rsidRPr="00685EF3">
        <w:rPr>
          <w:rFonts w:eastAsia="Times New Roman" w:cs="Arial"/>
          <w:lang w:eastAsia="en-GB"/>
        </w:rPr>
        <w:t>5</w:t>
      </w:r>
      <w:r>
        <w:rPr>
          <w:rFonts w:eastAsia="Times New Roman" w:cs="Arial"/>
          <w:lang w:eastAsia="en-GB"/>
        </w:rPr>
        <w:t xml:space="preserve"> March 20</w:t>
      </w:r>
      <w:r w:rsidRPr="00685EF3">
        <w:rPr>
          <w:rFonts w:eastAsia="Times New Roman" w:cs="Arial"/>
          <w:lang w:eastAsia="en-GB"/>
        </w:rPr>
        <w:t>18&gt;</w:t>
      </w:r>
    </w:p>
    <w:p w14:paraId="4405BC56" w14:textId="77777777" w:rsidR="00BA4FE1" w:rsidRPr="00F673E3" w:rsidRDefault="00BA4FE1" w:rsidP="00A9559F">
      <w:pPr>
        <w:shd w:val="clear" w:color="auto" w:fill="FFFFFF"/>
        <w:spacing w:line="240" w:lineRule="auto"/>
        <w:rPr>
          <w:rFonts w:ascii="Arial" w:eastAsia="Times New Roman" w:hAnsi="Arial" w:cs="Arial"/>
          <w:color w:val="006621"/>
          <w:sz w:val="20"/>
          <w:szCs w:val="20"/>
          <w:lang w:eastAsia="en-GB"/>
        </w:rPr>
      </w:pPr>
      <w:r w:rsidRPr="00FC2407">
        <w:t>Mac Mathúna, S.</w:t>
      </w:r>
      <w:r>
        <w:t xml:space="preserve"> </w:t>
      </w:r>
      <w:r w:rsidRPr="00E122F0">
        <w:rPr>
          <w:i/>
        </w:rPr>
        <w:t>Immram Brain: Bran’s Journey to the Land of the Women</w:t>
      </w:r>
      <w:r>
        <w:t xml:space="preserve">, (Tübingen: Niemeyer , 1985) </w:t>
      </w:r>
    </w:p>
    <w:p w14:paraId="2B16FE4B" w14:textId="77777777" w:rsidR="00BA4FE1" w:rsidRDefault="00BA4FE1" w:rsidP="00BA4FE1">
      <w:pPr>
        <w:shd w:val="clear" w:color="auto" w:fill="FEFDFA"/>
        <w:spacing w:line="390" w:lineRule="atLeast"/>
        <w:rPr>
          <w:rStyle w:val="exlavailabilitycallnumber"/>
          <w:rFonts w:cs="Arial"/>
          <w:color w:val="FF0000"/>
          <w:bdr w:val="none" w:sz="0" w:space="0" w:color="auto" w:frame="1"/>
        </w:rPr>
      </w:pPr>
      <w:r w:rsidRPr="008832DF">
        <w:rPr>
          <w:rStyle w:val="exlavailabilitycallnumber"/>
          <w:rFonts w:cs="Arial"/>
          <w:bdr w:val="none" w:sz="0" w:space="0" w:color="auto" w:frame="1"/>
        </w:rPr>
        <w:t>McNeill,</w:t>
      </w:r>
      <w:r>
        <w:rPr>
          <w:rStyle w:val="exlavailabilitycallnumber"/>
          <w:rFonts w:cs="Arial"/>
          <w:bdr w:val="none" w:sz="0" w:space="0" w:color="auto" w:frame="1"/>
        </w:rPr>
        <w:t xml:space="preserve"> </w:t>
      </w:r>
      <w:r w:rsidRPr="008832DF">
        <w:rPr>
          <w:rStyle w:val="exlavailabilitycallnumber"/>
          <w:rFonts w:cs="Arial"/>
          <w:bdr w:val="none" w:sz="0" w:space="0" w:color="auto" w:frame="1"/>
        </w:rPr>
        <w:t>F.M.</w:t>
      </w:r>
      <w:r>
        <w:rPr>
          <w:rStyle w:val="exlavailabilitycallnumber"/>
          <w:rFonts w:cs="Arial"/>
          <w:bdr w:val="none" w:sz="0" w:space="0" w:color="auto" w:frame="1"/>
        </w:rPr>
        <w:t xml:space="preserve">, </w:t>
      </w:r>
      <w:r w:rsidRPr="00855FF9">
        <w:rPr>
          <w:rStyle w:val="exlavailabilitycallnumber"/>
          <w:rFonts w:cs="Arial"/>
          <w:i/>
          <w:bdr w:val="none" w:sz="0" w:space="0" w:color="auto" w:frame="1"/>
        </w:rPr>
        <w:t>The Silver Bough</w:t>
      </w:r>
      <w:r w:rsidRPr="008832DF">
        <w:rPr>
          <w:rStyle w:val="exlavailabilitycallnumber"/>
          <w:rFonts w:cs="Arial"/>
          <w:bdr w:val="none" w:sz="0" w:space="0" w:color="auto" w:frame="1"/>
        </w:rPr>
        <w:t xml:space="preserve"> </w:t>
      </w:r>
      <w:r>
        <w:rPr>
          <w:rStyle w:val="exlavailabilitycallnumber"/>
          <w:rFonts w:cs="Arial"/>
          <w:bdr w:val="none" w:sz="0" w:space="0" w:color="auto" w:frame="1"/>
        </w:rPr>
        <w:t>3</w:t>
      </w:r>
      <w:r w:rsidRPr="00855FF9">
        <w:rPr>
          <w:rStyle w:val="exlavailabilitycallnumber"/>
          <w:rFonts w:cs="Arial"/>
          <w:bdr w:val="none" w:sz="0" w:space="0" w:color="auto" w:frame="1"/>
          <w:vertAlign w:val="superscript"/>
        </w:rPr>
        <w:t>rd</w:t>
      </w:r>
      <w:r>
        <w:rPr>
          <w:rStyle w:val="exlavailabilitycallnumber"/>
          <w:rFonts w:cs="Arial"/>
          <w:bdr w:val="none" w:sz="0" w:space="0" w:color="auto" w:frame="1"/>
        </w:rPr>
        <w:t xml:space="preserve"> edn, (</w:t>
      </w:r>
      <w:r w:rsidRPr="008832DF">
        <w:rPr>
          <w:rStyle w:val="exlavailabilitycallnumber"/>
          <w:rFonts w:cs="Arial"/>
          <w:bdr w:val="none" w:sz="0" w:space="0" w:color="auto" w:frame="1"/>
        </w:rPr>
        <w:t>Edinburgh</w:t>
      </w:r>
      <w:r>
        <w:rPr>
          <w:rStyle w:val="exlavailabilitycallnumber"/>
          <w:rFonts w:cs="Arial"/>
          <w:bdr w:val="none" w:sz="0" w:space="0" w:color="auto" w:frame="1"/>
        </w:rPr>
        <w:t>:</w:t>
      </w:r>
      <w:r w:rsidRPr="008832DF">
        <w:rPr>
          <w:rStyle w:val="exlavailabilitycallnumber"/>
          <w:rFonts w:cs="Arial"/>
          <w:bdr w:val="none" w:sz="0" w:space="0" w:color="auto" w:frame="1"/>
        </w:rPr>
        <w:t xml:space="preserve"> Canon</w:t>
      </w:r>
      <w:r>
        <w:rPr>
          <w:rStyle w:val="exlavailabilitycallnumber"/>
          <w:rFonts w:cs="Arial"/>
          <w:bdr w:val="none" w:sz="0" w:space="0" w:color="auto" w:frame="1"/>
        </w:rPr>
        <w:t xml:space="preserve"> </w:t>
      </w:r>
      <w:r w:rsidRPr="008832DF">
        <w:rPr>
          <w:rStyle w:val="exlavailabilitycallnumber"/>
          <w:rFonts w:cs="Arial"/>
          <w:bdr w:val="none" w:sz="0" w:space="0" w:color="auto" w:frame="1"/>
        </w:rPr>
        <w:t xml:space="preserve">Gate Classics, </w:t>
      </w:r>
      <w:r>
        <w:rPr>
          <w:rStyle w:val="exlavailabilitycallnumber"/>
          <w:rFonts w:cs="Arial"/>
          <w:bdr w:val="none" w:sz="0" w:space="0" w:color="auto" w:frame="1"/>
        </w:rPr>
        <w:t xml:space="preserve">1989) </w:t>
      </w:r>
    </w:p>
    <w:p w14:paraId="2C265A64" w14:textId="77777777" w:rsidR="00BA4FE1" w:rsidRDefault="00BA4FE1" w:rsidP="00A9559F">
      <w:pPr>
        <w:shd w:val="clear" w:color="auto" w:fill="FEFDFA"/>
        <w:spacing w:line="240" w:lineRule="auto"/>
        <w:rPr>
          <w:rStyle w:val="exlavailabilitycallnumber"/>
          <w:rFonts w:cs="Arial"/>
          <w:bdr w:val="none" w:sz="0" w:space="0" w:color="auto" w:frame="1"/>
        </w:rPr>
      </w:pPr>
      <w:r w:rsidRPr="00783D7E">
        <w:rPr>
          <w:rStyle w:val="exlavailabilitycallnumber"/>
          <w:rFonts w:cs="Arial"/>
          <w:bdr w:val="none" w:sz="0" w:space="0" w:color="auto" w:frame="1"/>
        </w:rPr>
        <w:t>Matthew</w:t>
      </w:r>
      <w:r>
        <w:rPr>
          <w:rStyle w:val="exlavailabilitycallnumber"/>
          <w:rFonts w:cs="Arial"/>
          <w:bdr w:val="none" w:sz="0" w:space="0" w:color="auto" w:frame="1"/>
        </w:rPr>
        <w:t>s</w:t>
      </w:r>
      <w:r w:rsidRPr="00783D7E">
        <w:rPr>
          <w:rStyle w:val="exlavailabilitycallnumber"/>
          <w:rFonts w:cs="Arial"/>
          <w:bdr w:val="none" w:sz="0" w:space="0" w:color="auto" w:frame="1"/>
        </w:rPr>
        <w:t xml:space="preserve">, Caitlin, </w:t>
      </w:r>
      <w:r w:rsidRPr="00783D7E">
        <w:rPr>
          <w:rStyle w:val="exlavailabilitycallnumber"/>
          <w:rFonts w:cs="Arial"/>
          <w:i/>
          <w:bdr w:val="none" w:sz="0" w:space="0" w:color="auto" w:frame="1"/>
        </w:rPr>
        <w:t>The Celtic Book of the Dead</w:t>
      </w:r>
      <w:r>
        <w:rPr>
          <w:rStyle w:val="exlavailabilitycallnumber"/>
          <w:rFonts w:cs="Arial"/>
          <w:i/>
          <w:bdr w:val="none" w:sz="0" w:space="0" w:color="auto" w:frame="1"/>
        </w:rPr>
        <w:t>: A Guide for your Voyage to the Celtic Otherworld</w:t>
      </w:r>
      <w:r>
        <w:rPr>
          <w:rStyle w:val="exlavailabilitycallnumber"/>
          <w:rFonts w:cs="Arial"/>
          <w:bdr w:val="none" w:sz="0" w:space="0" w:color="auto" w:frame="1"/>
        </w:rPr>
        <w:t xml:space="preserve"> </w:t>
      </w:r>
      <w:r w:rsidRPr="00783D7E">
        <w:rPr>
          <w:rStyle w:val="exlavailabilitycallnumber"/>
          <w:rFonts w:cs="Arial"/>
          <w:bdr w:val="none" w:sz="0" w:space="0" w:color="auto" w:frame="1"/>
        </w:rPr>
        <w:t xml:space="preserve">(New York: St </w:t>
      </w:r>
      <w:r>
        <w:rPr>
          <w:rStyle w:val="exlavailabilitycallnumber"/>
          <w:rFonts w:cs="Arial"/>
          <w:bdr w:val="none" w:sz="0" w:space="0" w:color="auto" w:frame="1"/>
        </w:rPr>
        <w:t>M</w:t>
      </w:r>
      <w:r w:rsidRPr="00783D7E">
        <w:rPr>
          <w:rStyle w:val="exlavailabilitycallnumber"/>
          <w:rFonts w:cs="Arial"/>
          <w:bdr w:val="none" w:sz="0" w:space="0" w:color="auto" w:frame="1"/>
        </w:rPr>
        <w:t>artin</w:t>
      </w:r>
      <w:r>
        <w:rPr>
          <w:rStyle w:val="exlavailabilitycallnumber"/>
          <w:rFonts w:cs="Arial"/>
          <w:bdr w:val="none" w:sz="0" w:space="0" w:color="auto" w:frame="1"/>
        </w:rPr>
        <w:t>’</w:t>
      </w:r>
      <w:r w:rsidRPr="00783D7E">
        <w:rPr>
          <w:rStyle w:val="exlavailabilitycallnumber"/>
          <w:rFonts w:cs="Arial"/>
          <w:bdr w:val="none" w:sz="0" w:space="0" w:color="auto" w:frame="1"/>
        </w:rPr>
        <w:t>s</w:t>
      </w:r>
      <w:r>
        <w:rPr>
          <w:rStyle w:val="exlavailabilitycallnumber"/>
          <w:rFonts w:cs="Arial"/>
          <w:bdr w:val="none" w:sz="0" w:space="0" w:color="auto" w:frame="1"/>
        </w:rPr>
        <w:t xml:space="preserve"> </w:t>
      </w:r>
      <w:r w:rsidRPr="00783D7E">
        <w:rPr>
          <w:rStyle w:val="exlavailabilitycallnumber"/>
          <w:rFonts w:cs="Arial"/>
          <w:bdr w:val="none" w:sz="0" w:space="0" w:color="auto" w:frame="1"/>
        </w:rPr>
        <w:t>Press</w:t>
      </w:r>
      <w:r>
        <w:rPr>
          <w:rStyle w:val="exlavailabilitycallnumber"/>
          <w:rFonts w:cs="Arial"/>
          <w:bdr w:val="none" w:sz="0" w:space="0" w:color="auto" w:frame="1"/>
        </w:rPr>
        <w:t>, 1992)</w:t>
      </w:r>
    </w:p>
    <w:p w14:paraId="56666B52" w14:textId="77777777" w:rsidR="00A52F6D" w:rsidRDefault="00A52F6D" w:rsidP="00A52F6D">
      <w:pPr>
        <w:shd w:val="clear" w:color="auto" w:fill="FEFDFA"/>
        <w:spacing w:line="240" w:lineRule="auto"/>
      </w:pPr>
      <w:r>
        <w:t xml:space="preserve">Murphy, A., The Cygnus Enigma, Mythical Ireland.com. Available: </w:t>
      </w:r>
      <w:hyperlink r:id="rId42" w:history="1">
        <w:r w:rsidRPr="00092458">
          <w:rPr>
            <w:rStyle w:val="Hyperlink"/>
          </w:rPr>
          <w:t>https://mythicalireland.com/astronomy/the-cygnus-enigma/</w:t>
        </w:r>
      </w:hyperlink>
      <w:r>
        <w:t xml:space="preserve"> &lt;Accessed300318&gt;</w:t>
      </w:r>
    </w:p>
    <w:p w14:paraId="322FFD16" w14:textId="77777777" w:rsidR="00576212" w:rsidRDefault="00576212" w:rsidP="00A9559F">
      <w:pPr>
        <w:autoSpaceDE w:val="0"/>
        <w:autoSpaceDN w:val="0"/>
        <w:adjustRightInd w:val="0"/>
        <w:spacing w:after="0" w:line="240" w:lineRule="auto"/>
        <w:rPr>
          <w:rFonts w:cs="Arial"/>
        </w:rPr>
      </w:pPr>
      <w:r>
        <w:rPr>
          <w:rStyle w:val="exlavailabilitycallnumber"/>
          <w:rFonts w:cs="Arial"/>
          <w:bdr w:val="none" w:sz="0" w:space="0" w:color="auto" w:frame="1"/>
        </w:rPr>
        <w:t>Nash Briggs, D., ‘</w:t>
      </w:r>
      <w:r w:rsidRPr="001C1163">
        <w:rPr>
          <w:rFonts w:cs="Arial"/>
        </w:rPr>
        <w:t xml:space="preserve">Reading the images on Iron </w:t>
      </w:r>
      <w:r>
        <w:rPr>
          <w:rFonts w:cs="Arial"/>
        </w:rPr>
        <w:t>Age</w:t>
      </w:r>
      <w:r w:rsidRPr="001C1163">
        <w:rPr>
          <w:rFonts w:cs="Arial"/>
        </w:rPr>
        <w:t xml:space="preserve"> coins: One Eye</w:t>
      </w:r>
      <w:r>
        <w:rPr>
          <w:rFonts w:cs="Arial"/>
        </w:rPr>
        <w:t xml:space="preserve">’ in </w:t>
      </w:r>
      <w:r w:rsidRPr="001C1163">
        <w:rPr>
          <w:rFonts w:cs="Arial"/>
          <w:i/>
        </w:rPr>
        <w:t>Chris Rudd List</w:t>
      </w:r>
      <w:r>
        <w:rPr>
          <w:rFonts w:cs="Arial"/>
          <w:i/>
        </w:rPr>
        <w:t xml:space="preserve"> </w:t>
      </w:r>
      <w:r>
        <w:rPr>
          <w:rFonts w:cs="Arial"/>
        </w:rPr>
        <w:t xml:space="preserve">112: (2010) [Online: </w:t>
      </w:r>
      <w:hyperlink r:id="rId43" w:history="1">
        <w:r w:rsidRPr="00597AD4">
          <w:rPr>
            <w:rStyle w:val="Hyperlink"/>
            <w:rFonts w:cs="Arial"/>
          </w:rPr>
          <w:t>https://www.academia.edu/27787447/Reading_the_images_on_Iron_Age_coins_4._One_eye</w:t>
        </w:r>
      </w:hyperlink>
      <w:r>
        <w:rPr>
          <w:rFonts w:cs="Arial"/>
        </w:rPr>
        <w:t xml:space="preserve"> ] &lt;Accessed 11 February 2018&gt;</w:t>
      </w:r>
    </w:p>
    <w:p w14:paraId="760CF5BA" w14:textId="77777777" w:rsidR="00576212" w:rsidRDefault="00576212" w:rsidP="00576212">
      <w:pPr>
        <w:autoSpaceDE w:val="0"/>
        <w:autoSpaceDN w:val="0"/>
        <w:adjustRightInd w:val="0"/>
        <w:spacing w:after="0" w:line="240" w:lineRule="auto"/>
        <w:rPr>
          <w:rFonts w:cs="Arial"/>
        </w:rPr>
      </w:pPr>
    </w:p>
    <w:p w14:paraId="6A3BDE5F" w14:textId="77777777" w:rsidR="00576212" w:rsidRPr="001C1163" w:rsidRDefault="00576212" w:rsidP="00A9559F">
      <w:pPr>
        <w:spacing w:line="240" w:lineRule="auto"/>
        <w:rPr>
          <w:rFonts w:ascii="Arial" w:hAnsi="Arial" w:cs="Arial"/>
          <w:sz w:val="43"/>
          <w:szCs w:val="43"/>
        </w:rPr>
      </w:pPr>
      <w:r>
        <w:rPr>
          <w:rFonts w:cs="Arial"/>
        </w:rPr>
        <w:t>Nash Briggs, D., ‘The Chronology of Celtic Coinage in Gaul: The Avernian ‘Hegemony’ Reconsidered’ Reprinted from the</w:t>
      </w:r>
      <w:r w:rsidRPr="00F637FD">
        <w:rPr>
          <w:rFonts w:cs="Arial"/>
          <w:i/>
        </w:rPr>
        <w:t xml:space="preserve"> Numismatic Chronicle</w:t>
      </w:r>
      <w:r>
        <w:rPr>
          <w:rFonts w:cs="Arial"/>
          <w:i/>
        </w:rPr>
        <w:t>,</w:t>
      </w:r>
      <w:r>
        <w:rPr>
          <w:rFonts w:cs="Arial"/>
        </w:rPr>
        <w:t xml:space="preserve"> 7</w:t>
      </w:r>
      <w:r w:rsidRPr="00B41348">
        <w:rPr>
          <w:rFonts w:cs="Arial"/>
          <w:vertAlign w:val="superscript"/>
        </w:rPr>
        <w:t>th</w:t>
      </w:r>
      <w:r>
        <w:rPr>
          <w:rFonts w:cs="Arial"/>
        </w:rPr>
        <w:t xml:space="preserve"> series, XV: (1975),  [Online: </w:t>
      </w:r>
      <w:hyperlink r:id="rId44" w:history="1">
        <w:r w:rsidRPr="00597AD4">
          <w:rPr>
            <w:rStyle w:val="Hyperlink"/>
            <w:rFonts w:cs="Arial"/>
          </w:rPr>
          <w:t>https://www.academia.edu/36087709/Nash_1975_Arverni_NC</w:t>
        </w:r>
      </w:hyperlink>
      <w:r>
        <w:rPr>
          <w:rFonts w:cs="Arial"/>
        </w:rPr>
        <w:t>] &lt;Accessed</w:t>
      </w:r>
      <w:r>
        <w:t xml:space="preserve"> 6 March 2018&gt;</w:t>
      </w:r>
    </w:p>
    <w:p w14:paraId="15CEE1D1" w14:textId="77777777" w:rsidR="00576212" w:rsidRPr="0055539D" w:rsidRDefault="00576212" w:rsidP="00A9559F">
      <w:pPr>
        <w:shd w:val="clear" w:color="auto" w:fill="FFFFFF"/>
        <w:spacing w:line="240" w:lineRule="auto"/>
      </w:pPr>
      <w:r w:rsidRPr="0055539D">
        <w:rPr>
          <w:rStyle w:val="exlavailabilitycallnumber"/>
          <w:rFonts w:cs="Arial"/>
          <w:bdr w:val="none" w:sz="0" w:space="0" w:color="auto" w:frame="1"/>
        </w:rPr>
        <w:t>Nagy, J, F.,</w:t>
      </w:r>
      <w:r>
        <w:rPr>
          <w:rStyle w:val="exlavailabilitycallnumber"/>
          <w:rFonts w:cs="Arial"/>
          <w:bdr w:val="none" w:sz="0" w:space="0" w:color="auto" w:frame="1"/>
        </w:rPr>
        <w:t xml:space="preserve"> ‘</w:t>
      </w:r>
      <w:r w:rsidRPr="00023635">
        <w:rPr>
          <w:rStyle w:val="exlavailabilitycallnumber"/>
          <w:rFonts w:cs="Arial"/>
          <w:bdr w:val="none" w:sz="0" w:space="0" w:color="auto" w:frame="1"/>
        </w:rPr>
        <w:t>Staging the Otherworld in Medieval Irish Tradition</w:t>
      </w:r>
      <w:r>
        <w:rPr>
          <w:rStyle w:val="exlavailabilitycallnumber"/>
          <w:rFonts w:cs="Arial"/>
          <w:bdr w:val="none" w:sz="0" w:space="0" w:color="auto" w:frame="1"/>
        </w:rPr>
        <w:t xml:space="preserve">’ in </w:t>
      </w:r>
      <w:r w:rsidRPr="003235EF">
        <w:rPr>
          <w:rFonts w:cs="Futura-Book"/>
        </w:rPr>
        <w:t>Bergholm</w:t>
      </w:r>
      <w:r>
        <w:rPr>
          <w:rFonts w:cs="Futura-Book"/>
        </w:rPr>
        <w:t xml:space="preserve"> , A., and</w:t>
      </w:r>
      <w:r w:rsidRPr="00023635">
        <w:rPr>
          <w:rFonts w:cs="Futura-Book"/>
        </w:rPr>
        <w:t xml:space="preserve"> </w:t>
      </w:r>
      <w:r w:rsidRPr="003235EF">
        <w:rPr>
          <w:rFonts w:cs="Futura-Book"/>
        </w:rPr>
        <w:t>Ritari</w:t>
      </w:r>
      <w:r>
        <w:rPr>
          <w:rFonts w:cs="Futura-Book"/>
        </w:rPr>
        <w:t xml:space="preserve">, K., eds, </w:t>
      </w:r>
      <w:r w:rsidRPr="003235EF">
        <w:rPr>
          <w:rFonts w:cs="Futura-Book"/>
        </w:rPr>
        <w:t xml:space="preserve"> </w:t>
      </w:r>
      <w:r w:rsidRPr="00023635">
        <w:rPr>
          <w:rFonts w:cs="Lithos-Regular"/>
          <w:i/>
        </w:rPr>
        <w:t xml:space="preserve">New Approaches to Celtic Religion and Mythology: </w:t>
      </w:r>
      <w:r w:rsidRPr="00023635">
        <w:rPr>
          <w:rFonts w:cs="Futura-Book"/>
          <w:i/>
        </w:rPr>
        <w:t>Understanding Celtic Religion Revisiting the Pagan Past</w:t>
      </w:r>
      <w:r>
        <w:rPr>
          <w:rFonts w:cs="Futura-Book"/>
        </w:rPr>
        <w:t>. (</w:t>
      </w:r>
      <w:r w:rsidRPr="003235EF">
        <w:rPr>
          <w:rFonts w:cs="GentiumBasic"/>
        </w:rPr>
        <w:t>Cardiff</w:t>
      </w:r>
      <w:r>
        <w:rPr>
          <w:rFonts w:cs="GentiumBasic"/>
        </w:rPr>
        <w:t>: U</w:t>
      </w:r>
      <w:r w:rsidRPr="003235EF">
        <w:rPr>
          <w:rFonts w:cs="GentiumBasic"/>
        </w:rPr>
        <w:t>niversity of</w:t>
      </w:r>
      <w:r>
        <w:rPr>
          <w:rFonts w:cs="GentiumBasic"/>
        </w:rPr>
        <w:t xml:space="preserve"> W</w:t>
      </w:r>
      <w:r w:rsidRPr="003235EF">
        <w:rPr>
          <w:rFonts w:cs="GentiumBasic"/>
        </w:rPr>
        <w:t xml:space="preserve">ales </w:t>
      </w:r>
      <w:r>
        <w:rPr>
          <w:rFonts w:cs="GentiumBasic"/>
        </w:rPr>
        <w:t>P</w:t>
      </w:r>
      <w:r w:rsidRPr="003235EF">
        <w:rPr>
          <w:rFonts w:cs="GentiumBasic"/>
        </w:rPr>
        <w:t>ress</w:t>
      </w:r>
      <w:r>
        <w:rPr>
          <w:rFonts w:cs="GentiumBasic"/>
        </w:rPr>
        <w:t>,</w:t>
      </w:r>
      <w:r w:rsidRPr="003235EF">
        <w:rPr>
          <w:rFonts w:cs="GentiumBasic"/>
        </w:rPr>
        <w:t xml:space="preserve"> 2015</w:t>
      </w:r>
      <w:r>
        <w:rPr>
          <w:rFonts w:cs="GentiumBasic"/>
        </w:rPr>
        <w:t xml:space="preserve">), available at </w:t>
      </w:r>
      <w:hyperlink r:id="rId45" w:history="1">
        <w:r w:rsidRPr="00597AD4">
          <w:rPr>
            <w:rStyle w:val="Hyperlink"/>
            <w:rFonts w:cs="GentiumBasic"/>
          </w:rPr>
          <w:t>https://www-dawsonera-com.ezproxy.uwtsd.ac.uk/readonline/9781783167937</w:t>
        </w:r>
      </w:hyperlink>
      <w:r>
        <w:rPr>
          <w:rFonts w:cs="GentiumBasic"/>
        </w:rPr>
        <w:t xml:space="preserve"> </w:t>
      </w:r>
      <w:r>
        <w:t>&lt;Accessed 28 March 2018&gt;</w:t>
      </w:r>
    </w:p>
    <w:p w14:paraId="3CB9D9B4" w14:textId="77777777" w:rsidR="00576212" w:rsidRDefault="00576212" w:rsidP="00A9559F">
      <w:pPr>
        <w:shd w:val="clear" w:color="auto" w:fill="FFFFFF"/>
        <w:spacing w:line="240" w:lineRule="auto"/>
        <w:ind w:right="150"/>
        <w:textAlignment w:val="top"/>
        <w:rPr>
          <w:rFonts w:cs="Times"/>
          <w:bCs/>
          <w:spacing w:val="3"/>
        </w:rPr>
      </w:pPr>
      <w:r w:rsidRPr="008832DF">
        <w:rPr>
          <w:rStyle w:val="exlavailabilitycallnumber"/>
          <w:rFonts w:cs="Arial"/>
          <w:bdr w:val="none" w:sz="0" w:space="0" w:color="auto" w:frame="1"/>
        </w:rPr>
        <w:t>November, J</w:t>
      </w:r>
      <w:r>
        <w:rPr>
          <w:rStyle w:val="exlavailabilitycallnumber"/>
          <w:rFonts w:cs="Arial"/>
          <w:bdr w:val="none" w:sz="0" w:space="0" w:color="auto" w:frame="1"/>
        </w:rPr>
        <w:t>.</w:t>
      </w:r>
      <w:r w:rsidRPr="008832DF">
        <w:rPr>
          <w:rStyle w:val="exlavailabilitycallnumber"/>
          <w:rFonts w:cs="Arial"/>
          <w:bdr w:val="none" w:sz="0" w:space="0" w:color="auto" w:frame="1"/>
        </w:rPr>
        <w:t xml:space="preserve">, </w:t>
      </w:r>
      <w:r>
        <w:rPr>
          <w:rStyle w:val="exlavailabilitycallnumber"/>
          <w:rFonts w:cs="Arial"/>
          <w:bdr w:val="none" w:sz="0" w:space="0" w:color="auto" w:frame="1"/>
        </w:rPr>
        <w:t>‘</w:t>
      </w:r>
      <w:r w:rsidRPr="008832DF">
        <w:rPr>
          <w:rFonts w:cs="Times"/>
          <w:bCs/>
          <w:spacing w:val="3"/>
        </w:rPr>
        <w:t>Human evolution: Ancient DNA steps into the language debate</w:t>
      </w:r>
      <w:r>
        <w:rPr>
          <w:rFonts w:cs="Times"/>
          <w:bCs/>
          <w:spacing w:val="3"/>
        </w:rPr>
        <w:t>’</w:t>
      </w:r>
      <w:r w:rsidRPr="008832DF">
        <w:rPr>
          <w:rFonts w:cs="Times"/>
          <w:bCs/>
          <w:spacing w:val="3"/>
        </w:rPr>
        <w:t xml:space="preserve"> </w:t>
      </w:r>
      <w:r w:rsidRPr="00855FF9">
        <w:rPr>
          <w:rFonts w:cs="Times"/>
          <w:bCs/>
          <w:i/>
          <w:spacing w:val="3"/>
        </w:rPr>
        <w:t>Nature</w:t>
      </w:r>
      <w:r w:rsidRPr="008832DF">
        <w:rPr>
          <w:rFonts w:cs="Times"/>
          <w:bCs/>
          <w:spacing w:val="3"/>
        </w:rPr>
        <w:t xml:space="preserve"> 522</w:t>
      </w:r>
      <w:r>
        <w:rPr>
          <w:rFonts w:cs="Times"/>
          <w:bCs/>
          <w:spacing w:val="3"/>
        </w:rPr>
        <w:t>:</w:t>
      </w:r>
      <w:r w:rsidRPr="008832DF">
        <w:rPr>
          <w:rFonts w:cs="Times"/>
          <w:bCs/>
          <w:spacing w:val="3"/>
        </w:rPr>
        <w:t xml:space="preserve"> </w:t>
      </w:r>
      <w:r>
        <w:rPr>
          <w:rFonts w:cs="Times"/>
          <w:bCs/>
          <w:spacing w:val="3"/>
        </w:rPr>
        <w:t>(</w:t>
      </w:r>
      <w:r w:rsidRPr="008832DF">
        <w:rPr>
          <w:rStyle w:val="exlavailabilitycallnumber"/>
          <w:rFonts w:cs="Arial"/>
          <w:bdr w:val="none" w:sz="0" w:space="0" w:color="auto" w:frame="1"/>
        </w:rPr>
        <w:t>2015</w:t>
      </w:r>
      <w:r>
        <w:rPr>
          <w:rStyle w:val="exlavailabilitycallnumber"/>
          <w:rFonts w:cs="Arial"/>
          <w:bdr w:val="none" w:sz="0" w:space="0" w:color="auto" w:frame="1"/>
        </w:rPr>
        <w:t>)</w:t>
      </w:r>
      <w:r w:rsidRPr="00855FF9">
        <w:rPr>
          <w:rFonts w:cs="Times"/>
          <w:bCs/>
          <w:spacing w:val="3"/>
        </w:rPr>
        <w:t xml:space="preserve"> </w:t>
      </w:r>
      <w:r w:rsidRPr="008832DF">
        <w:rPr>
          <w:rFonts w:cs="Times"/>
          <w:bCs/>
          <w:spacing w:val="3"/>
        </w:rPr>
        <w:t xml:space="preserve">164-165 </w:t>
      </w:r>
      <w:r>
        <w:rPr>
          <w:rFonts w:cs="Times"/>
          <w:bCs/>
          <w:spacing w:val="3"/>
        </w:rPr>
        <w:t xml:space="preserve">[Online: </w:t>
      </w:r>
      <w:hyperlink r:id="rId46" w:history="1">
        <w:r w:rsidRPr="00855FF9">
          <w:rPr>
            <w:rStyle w:val="Hyperlink"/>
            <w:rFonts w:cs="Times"/>
            <w:bCs/>
            <w:color w:val="548DD4" w:themeColor="text2" w:themeTint="99"/>
            <w:spacing w:val="3"/>
          </w:rPr>
          <w:t>https://www.nature.com/articles/522164a</w:t>
        </w:r>
      </w:hyperlink>
      <w:r w:rsidRPr="00855FF9">
        <w:t>]</w:t>
      </w:r>
      <w:r>
        <w:t xml:space="preserve"> </w:t>
      </w:r>
      <w:r>
        <w:rPr>
          <w:rFonts w:cs="Times"/>
          <w:bCs/>
          <w:spacing w:val="3"/>
        </w:rPr>
        <w:t xml:space="preserve">&lt;Accessed </w:t>
      </w:r>
      <w:r w:rsidRPr="008832DF">
        <w:rPr>
          <w:rFonts w:cs="Times"/>
          <w:bCs/>
          <w:spacing w:val="3"/>
        </w:rPr>
        <w:t>7</w:t>
      </w:r>
      <w:r>
        <w:rPr>
          <w:rFonts w:cs="Times"/>
          <w:bCs/>
          <w:spacing w:val="3"/>
        </w:rPr>
        <w:t xml:space="preserve"> January 20</w:t>
      </w:r>
      <w:r w:rsidRPr="008832DF">
        <w:rPr>
          <w:rFonts w:cs="Times"/>
          <w:bCs/>
          <w:spacing w:val="3"/>
        </w:rPr>
        <w:t>18</w:t>
      </w:r>
      <w:r>
        <w:rPr>
          <w:rFonts w:cs="Times"/>
          <w:bCs/>
          <w:spacing w:val="3"/>
        </w:rPr>
        <w:t>&gt;</w:t>
      </w:r>
      <w:r w:rsidRPr="008832DF">
        <w:rPr>
          <w:rFonts w:cs="Times"/>
          <w:bCs/>
          <w:spacing w:val="3"/>
        </w:rPr>
        <w:t xml:space="preserve"> </w:t>
      </w:r>
    </w:p>
    <w:p w14:paraId="40E1B2DF" w14:textId="77777777" w:rsidR="00BA4FE1" w:rsidRDefault="00BA4FE1" w:rsidP="00A9559F">
      <w:pPr>
        <w:shd w:val="clear" w:color="auto" w:fill="FEFDFA"/>
        <w:spacing w:line="240" w:lineRule="auto"/>
        <w:rPr>
          <w:rStyle w:val="exlavailabilitycallnumber"/>
          <w:rFonts w:cs="Arial"/>
          <w:bdr w:val="none" w:sz="0" w:space="0" w:color="auto" w:frame="1"/>
        </w:rPr>
      </w:pPr>
      <w:r>
        <w:rPr>
          <w:rStyle w:val="exlavailabilitycallnumber"/>
          <w:rFonts w:cs="Arial"/>
          <w:bdr w:val="none" w:sz="0" w:space="0" w:color="auto" w:frame="1"/>
        </w:rPr>
        <w:t xml:space="preserve">O’Cathasaigh, T., </w:t>
      </w:r>
      <w:r w:rsidRPr="00AB33CF">
        <w:rPr>
          <w:rStyle w:val="exlavailabilitycallnumber"/>
          <w:rFonts w:cs="Arial"/>
          <w:i/>
          <w:bdr w:val="none" w:sz="0" w:space="0" w:color="auto" w:frame="1"/>
        </w:rPr>
        <w:t>Coire Sois</w:t>
      </w:r>
      <w:r>
        <w:rPr>
          <w:rStyle w:val="exlavailabilitycallnumber"/>
          <w:rFonts w:cs="Arial"/>
          <w:i/>
          <w:bdr w:val="none" w:sz="0" w:space="0" w:color="auto" w:frame="1"/>
        </w:rPr>
        <w:t>,</w:t>
      </w:r>
      <w:r w:rsidRPr="00AB33CF">
        <w:rPr>
          <w:rStyle w:val="exlavailabilitycallnumber"/>
          <w:rFonts w:cs="Arial"/>
          <w:i/>
          <w:bdr w:val="none" w:sz="0" w:space="0" w:color="auto" w:frame="1"/>
        </w:rPr>
        <w:t xml:space="preserve"> the Cauldron of Knowledge: A Companion to Early Irish Saga</w:t>
      </w:r>
      <w:r>
        <w:rPr>
          <w:rStyle w:val="exlavailabilitycallnumber"/>
          <w:rFonts w:cs="Arial"/>
          <w:i/>
          <w:bdr w:val="none" w:sz="0" w:space="0" w:color="auto" w:frame="1"/>
        </w:rPr>
        <w:t xml:space="preserve"> </w:t>
      </w:r>
      <w:r w:rsidRPr="00505D43">
        <w:rPr>
          <w:rStyle w:val="exlavailabilitycallnumber"/>
          <w:rFonts w:cs="Arial"/>
          <w:bdr w:val="none" w:sz="0" w:space="0" w:color="auto" w:frame="1"/>
        </w:rPr>
        <w:t>(No</w:t>
      </w:r>
      <w:r>
        <w:rPr>
          <w:rStyle w:val="exlavailabilitycallnumber"/>
          <w:rFonts w:cs="Arial"/>
          <w:bdr w:val="none" w:sz="0" w:space="0" w:color="auto" w:frame="1"/>
        </w:rPr>
        <w:t>t</w:t>
      </w:r>
      <w:r w:rsidRPr="00505D43">
        <w:rPr>
          <w:rStyle w:val="exlavailabilitycallnumber"/>
          <w:rFonts w:cs="Arial"/>
          <w:bdr w:val="none" w:sz="0" w:space="0" w:color="auto" w:frame="1"/>
        </w:rPr>
        <w:t>re</w:t>
      </w:r>
      <w:r>
        <w:rPr>
          <w:rStyle w:val="exlavailabilitycallnumber"/>
          <w:rFonts w:cs="Arial"/>
          <w:bdr w:val="none" w:sz="0" w:space="0" w:color="auto" w:frame="1"/>
        </w:rPr>
        <w:t xml:space="preserve"> Dame, Indiana: University of Notre Dame Press,2014)</w:t>
      </w:r>
    </w:p>
    <w:p w14:paraId="2D97DEBE" w14:textId="77777777" w:rsidR="00BA4FE1" w:rsidRDefault="00BA4FE1" w:rsidP="00A9559F">
      <w:pPr>
        <w:shd w:val="clear" w:color="auto" w:fill="FEFDFA"/>
        <w:spacing w:line="240" w:lineRule="auto"/>
        <w:rPr>
          <w:rStyle w:val="exlavailabilitycallnumber"/>
          <w:rFonts w:cs="Arial"/>
          <w:bdr w:val="none" w:sz="0" w:space="0" w:color="auto" w:frame="1"/>
        </w:rPr>
      </w:pPr>
      <w:r>
        <w:rPr>
          <w:rStyle w:val="exlavailabilitycallnumber"/>
          <w:rFonts w:cs="Arial"/>
          <w:bdr w:val="none" w:sz="0" w:space="0" w:color="auto" w:frame="1"/>
        </w:rPr>
        <w:t xml:space="preserve">Ó Crualaoich, G., </w:t>
      </w:r>
      <w:r w:rsidRPr="00F30FB5">
        <w:rPr>
          <w:rStyle w:val="exlavailabilitycallnumber"/>
          <w:rFonts w:cs="Arial"/>
          <w:i/>
          <w:bdr w:val="none" w:sz="0" w:space="0" w:color="auto" w:frame="1"/>
        </w:rPr>
        <w:t>The Book of the Cailleach</w:t>
      </w:r>
      <w:r>
        <w:rPr>
          <w:rStyle w:val="exlavailabilitycallnumber"/>
          <w:rFonts w:cs="Arial"/>
          <w:i/>
          <w:bdr w:val="none" w:sz="0" w:space="0" w:color="auto" w:frame="1"/>
        </w:rPr>
        <w:t>: Stories of the Wise-Woman healer</w:t>
      </w:r>
      <w:r w:rsidRPr="00F30FB5">
        <w:rPr>
          <w:rStyle w:val="exlavailabilitycallnumber"/>
          <w:rFonts w:cs="Arial"/>
          <w:bdr w:val="none" w:sz="0" w:space="0" w:color="auto" w:frame="1"/>
        </w:rPr>
        <w:t xml:space="preserve"> (Cork: Cork University Press, 2003)</w:t>
      </w:r>
    </w:p>
    <w:p w14:paraId="3648EEAC" w14:textId="77777777" w:rsidR="00576212" w:rsidRDefault="00576212" w:rsidP="00576212">
      <w:pPr>
        <w:pStyle w:val="Default"/>
        <w:rPr>
          <w:rFonts w:asciiTheme="minorHAnsi" w:hAnsiTheme="minorHAnsi" w:cs="Sylfaen"/>
          <w:sz w:val="22"/>
          <w:szCs w:val="22"/>
        </w:rPr>
      </w:pPr>
      <w:r w:rsidRPr="001F7397">
        <w:rPr>
          <w:rFonts w:asciiTheme="minorHAnsi" w:hAnsiTheme="minorHAnsi" w:cs="Times"/>
          <w:bCs/>
          <w:spacing w:val="3"/>
          <w:sz w:val="22"/>
          <w:szCs w:val="22"/>
        </w:rPr>
        <w:t xml:space="preserve">O’Donnell, T. C., </w:t>
      </w:r>
      <w:r w:rsidRPr="001F7397">
        <w:rPr>
          <w:rFonts w:asciiTheme="minorHAnsi" w:hAnsiTheme="minorHAnsi" w:cs="Sylfaen"/>
          <w:i/>
          <w:sz w:val="22"/>
          <w:szCs w:val="22"/>
        </w:rPr>
        <w:t xml:space="preserve">The Affect of Fosterage in Medieval Ireland, (unpublished PhD thesis, </w:t>
      </w:r>
      <w:r w:rsidRPr="001F7397">
        <w:rPr>
          <w:rFonts w:asciiTheme="minorHAnsi" w:hAnsiTheme="minorHAnsi" w:cs="Sylfaen"/>
          <w:sz w:val="22"/>
          <w:szCs w:val="22"/>
        </w:rPr>
        <w:t>University College London, 2016)</w:t>
      </w:r>
    </w:p>
    <w:p w14:paraId="26F9198C" w14:textId="77777777" w:rsidR="00576212" w:rsidRPr="001F7397" w:rsidRDefault="00576212" w:rsidP="00576212">
      <w:pPr>
        <w:pStyle w:val="Default"/>
        <w:rPr>
          <w:rFonts w:asciiTheme="minorHAnsi" w:hAnsiTheme="minorHAnsi" w:cs="Sylfaen"/>
          <w:sz w:val="22"/>
          <w:szCs w:val="22"/>
        </w:rPr>
      </w:pPr>
    </w:p>
    <w:p w14:paraId="3D55DA43" w14:textId="77777777" w:rsidR="00BA4FE1" w:rsidRPr="00210AAE" w:rsidRDefault="00BA4FE1" w:rsidP="00576212">
      <w:pPr>
        <w:shd w:val="clear" w:color="auto" w:fill="FEFDFA"/>
        <w:spacing w:line="240" w:lineRule="auto"/>
        <w:rPr>
          <w:rStyle w:val="exlavailabilitycallnumber"/>
          <w:rFonts w:cs="Arial"/>
          <w:i/>
          <w:bdr w:val="none" w:sz="0" w:space="0" w:color="auto" w:frame="1"/>
        </w:rPr>
      </w:pPr>
      <w:r>
        <w:rPr>
          <w:rStyle w:val="exlavailabilitycallnumber"/>
          <w:rFonts w:cs="Arial"/>
          <w:bdr w:val="none" w:sz="0" w:space="0" w:color="auto" w:frame="1"/>
        </w:rPr>
        <w:t xml:space="preserve">Olsen, K.E., ‘Female Voices from the Otherworld: The Role of Women in the Early Irish Echtrai’, in  Olsen, K.E., &amp; Veenstra, J. R., eds, </w:t>
      </w:r>
      <w:r>
        <w:rPr>
          <w:rStyle w:val="exlavailabilitycallnumber"/>
          <w:rFonts w:cs="Arial"/>
          <w:i/>
          <w:bdr w:val="none" w:sz="0" w:space="0" w:color="auto" w:frame="1"/>
        </w:rPr>
        <w:t>Airy Nothings: Imagining the Otherworld of Faerie from the Middle Ages to the Age of Reason: essays in honour of Alasdair A.</w:t>
      </w:r>
      <w:r w:rsidR="00576212">
        <w:rPr>
          <w:rStyle w:val="exlavailabilitycallnumber"/>
          <w:rFonts w:cs="Arial"/>
          <w:i/>
          <w:bdr w:val="none" w:sz="0" w:space="0" w:color="auto" w:frame="1"/>
        </w:rPr>
        <w:t xml:space="preserve"> </w:t>
      </w:r>
      <w:r>
        <w:rPr>
          <w:rStyle w:val="exlavailabilitycallnumber"/>
          <w:rFonts w:cs="Arial"/>
          <w:i/>
          <w:bdr w:val="none" w:sz="0" w:space="0" w:color="auto" w:frame="1"/>
        </w:rPr>
        <w:t>McDonald</w:t>
      </w:r>
      <w:r>
        <w:rPr>
          <w:rStyle w:val="exlavailabilitycallnumber"/>
          <w:rFonts w:cs="Arial"/>
          <w:bdr w:val="none" w:sz="0" w:space="0" w:color="auto" w:frame="1"/>
        </w:rPr>
        <w:t>, (Leiden; Boston: Brill,2014)</w:t>
      </w:r>
      <w:r>
        <w:rPr>
          <w:rStyle w:val="exlavailabilitycallnumber"/>
          <w:rFonts w:cs="Arial"/>
          <w:i/>
          <w:bdr w:val="none" w:sz="0" w:space="0" w:color="auto" w:frame="1"/>
        </w:rPr>
        <w:t xml:space="preserve"> </w:t>
      </w:r>
    </w:p>
    <w:p w14:paraId="21A32458" w14:textId="77777777" w:rsidR="00BA4FE1" w:rsidRDefault="00BA4FE1" w:rsidP="00BA4FE1">
      <w:pPr>
        <w:shd w:val="clear" w:color="auto" w:fill="FFFFFF"/>
        <w:rPr>
          <w:rStyle w:val="exlavailabilitycallnumber"/>
          <w:rFonts w:cs="Arial"/>
          <w:bdr w:val="none" w:sz="0" w:space="0" w:color="auto" w:frame="1"/>
        </w:rPr>
      </w:pPr>
      <w:r>
        <w:rPr>
          <w:rStyle w:val="exlavailabilitycallnumber"/>
          <w:rFonts w:cs="Arial"/>
          <w:bdr w:val="none" w:sz="0" w:space="0" w:color="auto" w:frame="1"/>
        </w:rPr>
        <w:t xml:space="preserve">O’Meara, J.J., &amp; Wooding, J., ‘The Latin Version, in Barron, W.R.J., &amp; Burgess, G.S., eds, </w:t>
      </w:r>
      <w:r w:rsidRPr="0047045B">
        <w:rPr>
          <w:rStyle w:val="exlavailabilitycallnumber"/>
          <w:rFonts w:cs="Arial"/>
          <w:i/>
          <w:bdr w:val="none" w:sz="0" w:space="0" w:color="auto" w:frame="1"/>
        </w:rPr>
        <w:t>The Voyage of Saint Brendan: Representative Versions of the legend in the English Translation</w:t>
      </w:r>
      <w:r>
        <w:rPr>
          <w:rStyle w:val="exlavailabilitycallnumber"/>
          <w:rFonts w:cs="Arial"/>
          <w:bdr w:val="none" w:sz="0" w:space="0" w:color="auto" w:frame="1"/>
        </w:rPr>
        <w:t>’  (Exeter: University of Exeter, 2002), 13-25</w:t>
      </w:r>
    </w:p>
    <w:p w14:paraId="0AB5FBF2" w14:textId="77777777" w:rsidR="00BA4FE1" w:rsidRPr="00631C56" w:rsidRDefault="00BA4FE1" w:rsidP="00A9559F">
      <w:pPr>
        <w:shd w:val="clear" w:color="auto" w:fill="FFFFFF"/>
        <w:spacing w:line="240" w:lineRule="auto"/>
        <w:ind w:right="150"/>
        <w:textAlignment w:val="top"/>
        <w:rPr>
          <w:rFonts w:cs="GillSans"/>
        </w:rPr>
      </w:pPr>
      <w:r w:rsidRPr="00631C56">
        <w:rPr>
          <w:rFonts w:cs="GillSans"/>
        </w:rPr>
        <w:t>Parkins</w:t>
      </w:r>
      <w:r>
        <w:rPr>
          <w:rFonts w:cs="GillSans"/>
        </w:rPr>
        <w:t>on, R.,</w:t>
      </w:r>
      <w:r w:rsidRPr="00631C56">
        <w:rPr>
          <w:rFonts w:cs="GillSans"/>
        </w:rPr>
        <w:t xml:space="preserve"> </w:t>
      </w:r>
      <w:r w:rsidRPr="00621B6D">
        <w:rPr>
          <w:rFonts w:cs="GillSans"/>
        </w:rPr>
        <w:t>The Voyage of Mael Duin</w:t>
      </w:r>
      <w:r w:rsidRPr="00631C56">
        <w:rPr>
          <w:rFonts w:cs="GillSans"/>
        </w:rPr>
        <w:t>,</w:t>
      </w:r>
      <w:r>
        <w:rPr>
          <w:rFonts w:cs="GillSans"/>
        </w:rPr>
        <w:t xml:space="preserve"> Imaginary Journeys.co.uk, available at</w:t>
      </w:r>
      <w:r w:rsidRPr="00631C56">
        <w:rPr>
          <w:rFonts w:cs="GillSans"/>
        </w:rPr>
        <w:t xml:space="preserve"> </w:t>
      </w:r>
      <w:hyperlink r:id="rId47" w:history="1">
        <w:r w:rsidRPr="00597AD4">
          <w:rPr>
            <w:rStyle w:val="Hyperlink"/>
            <w:rFonts w:cs="GillSans"/>
          </w:rPr>
          <w:t>http://www.imaginaryjourneys.co.uk/wp-content/uploads/2013/03/Maeldun-download-2.pdf</w:t>
        </w:r>
      </w:hyperlink>
      <w:r>
        <w:rPr>
          <w:rFonts w:cs="GillSans"/>
        </w:rPr>
        <w:t xml:space="preserve"> ] &lt;Accessed 29 March 2018&gt;</w:t>
      </w:r>
    </w:p>
    <w:p w14:paraId="028F1A55" w14:textId="77777777" w:rsidR="00BA4FE1" w:rsidRDefault="00BA4FE1" w:rsidP="00A9559F">
      <w:pPr>
        <w:shd w:val="clear" w:color="auto" w:fill="FFFFFF"/>
        <w:spacing w:line="240" w:lineRule="auto"/>
        <w:ind w:right="150"/>
        <w:textAlignment w:val="top"/>
        <w:rPr>
          <w:rFonts w:cs="GillSans"/>
        </w:rPr>
      </w:pPr>
      <w:r>
        <w:rPr>
          <w:rFonts w:cs="GillSans"/>
        </w:rPr>
        <w:t>Pax Leon, S.</w:t>
      </w:r>
      <w:r w:rsidRPr="00631C56">
        <w:rPr>
          <w:rFonts w:cs="GillSans"/>
        </w:rPr>
        <w:t xml:space="preserve">, </w:t>
      </w:r>
      <w:r>
        <w:rPr>
          <w:rFonts w:cs="GillSans"/>
        </w:rPr>
        <w:t>‘</w:t>
      </w:r>
      <w:r w:rsidRPr="00631C56">
        <w:rPr>
          <w:rFonts w:cs="GillSans"/>
        </w:rPr>
        <w:t xml:space="preserve">Faroese </w:t>
      </w:r>
      <w:r w:rsidRPr="00631C56">
        <w:rPr>
          <w:rFonts w:cs="GillSans"/>
          <w:i/>
        </w:rPr>
        <w:t xml:space="preserve">skjaldur </w:t>
      </w:r>
      <w:r w:rsidRPr="00631C56">
        <w:rPr>
          <w:rFonts w:cs="GillSans"/>
        </w:rPr>
        <w:t>An endangered tradition of the North Atlantic</w:t>
      </w:r>
      <w:r>
        <w:rPr>
          <w:rFonts w:cs="GillSans"/>
        </w:rPr>
        <w:t>’</w:t>
      </w:r>
      <w:r w:rsidRPr="00631C56">
        <w:rPr>
          <w:rFonts w:cs="GillSans"/>
        </w:rPr>
        <w:t xml:space="preserve">, World Oral </w:t>
      </w:r>
      <w:r>
        <w:rPr>
          <w:rFonts w:cs="GillSans"/>
        </w:rPr>
        <w:t xml:space="preserve">Literary Project – voices of vanishing worlds – occasional paper 1, Cambridge, Cambridge University Press, </w:t>
      </w:r>
      <w:r>
        <w:rPr>
          <w:rFonts w:cs="GillSans"/>
        </w:rPr>
        <w:lastRenderedPageBreak/>
        <w:t xml:space="preserve">(2010) [online:  </w:t>
      </w:r>
      <w:hyperlink r:id="rId48" w:history="1">
        <w:r w:rsidRPr="00092458">
          <w:rPr>
            <w:rStyle w:val="Hyperlink"/>
            <w:rFonts w:cs="GillSans"/>
          </w:rPr>
          <w:t>https://www.repository.cam.ac.uk/bitstream/handle/1810/225600/WOLP_OP_01.pdf</w:t>
        </w:r>
      </w:hyperlink>
      <w:r>
        <w:rPr>
          <w:rFonts w:cs="GillSans"/>
        </w:rPr>
        <w:t xml:space="preserve"> ] &lt;Accessed March 2018&gt;</w:t>
      </w:r>
    </w:p>
    <w:p w14:paraId="46F1D0D2" w14:textId="77777777" w:rsidR="00BA4FE1" w:rsidRPr="009A0F57" w:rsidRDefault="00BA4FE1" w:rsidP="00BA4FE1">
      <w:pPr>
        <w:pStyle w:val="Heading1"/>
        <w:shd w:val="clear" w:color="auto" w:fill="FFFFFF"/>
        <w:spacing w:before="0" w:beforeAutospacing="0" w:after="263" w:afterAutospacing="0" w:line="300" w:lineRule="atLeast"/>
        <w:rPr>
          <w:rFonts w:asciiTheme="minorHAnsi" w:hAnsiTheme="minorHAnsi" w:cs="Arial"/>
          <w:b w:val="0"/>
          <w:color w:val="333333"/>
          <w:sz w:val="22"/>
          <w:szCs w:val="22"/>
        </w:rPr>
      </w:pPr>
      <w:r w:rsidRPr="009805ED">
        <w:rPr>
          <w:rFonts w:asciiTheme="minorHAnsi" w:hAnsiTheme="minorHAnsi" w:cs="Arial"/>
          <w:b w:val="0"/>
          <w:sz w:val="22"/>
          <w:szCs w:val="22"/>
        </w:rPr>
        <w:t>Peete Cross, T., ‘The Celtic Origin of the Lay of Yonec’ i</w:t>
      </w:r>
      <w:r w:rsidRPr="009805ED">
        <w:rPr>
          <w:rStyle w:val="HTMLCite"/>
          <w:rFonts w:asciiTheme="minorHAnsi" w:hAnsiTheme="minorHAnsi" w:cs="Arial"/>
          <w:b w:val="0"/>
          <w:i w:val="0"/>
          <w:sz w:val="22"/>
          <w:szCs w:val="22"/>
        </w:rPr>
        <w:t xml:space="preserve">n </w:t>
      </w:r>
      <w:r w:rsidRPr="009805ED">
        <w:rPr>
          <w:rStyle w:val="HTMLCite"/>
          <w:rFonts w:asciiTheme="minorHAnsi" w:hAnsiTheme="minorHAnsi" w:cs="Arial"/>
          <w:b w:val="0"/>
          <w:sz w:val="22"/>
          <w:szCs w:val="22"/>
        </w:rPr>
        <w:t xml:space="preserve">Studies in Philology </w:t>
      </w:r>
      <w:r w:rsidRPr="009805ED">
        <w:rPr>
          <w:rFonts w:asciiTheme="minorHAnsi" w:hAnsiTheme="minorHAnsi" w:cs="Arial"/>
          <w:b w:val="0"/>
          <w:sz w:val="22"/>
          <w:szCs w:val="22"/>
        </w:rPr>
        <w:t>11: (1913), 26-60,  [Online:</w:t>
      </w:r>
      <w:r w:rsidRPr="009A0F57">
        <w:rPr>
          <w:rFonts w:asciiTheme="minorHAnsi" w:hAnsiTheme="minorHAnsi" w:cs="Arial"/>
          <w:b w:val="0"/>
          <w:color w:val="333333"/>
          <w:sz w:val="22"/>
          <w:szCs w:val="22"/>
        </w:rPr>
        <w:t xml:space="preserve"> </w:t>
      </w:r>
      <w:hyperlink r:id="rId49" w:history="1">
        <w:r w:rsidRPr="009A0F57">
          <w:rPr>
            <w:rStyle w:val="Hyperlink"/>
            <w:rFonts w:asciiTheme="minorHAnsi" w:hAnsiTheme="minorHAnsi" w:cs="Arial"/>
            <w:b w:val="0"/>
            <w:sz w:val="22"/>
            <w:szCs w:val="22"/>
          </w:rPr>
          <w:t>http://www.jstor.org.ezproxy.uwtsd.ac.uk/stable/4171667</w:t>
        </w:r>
      </w:hyperlink>
      <w:r w:rsidRPr="009A0F57">
        <w:rPr>
          <w:rFonts w:asciiTheme="minorHAnsi" w:hAnsiTheme="minorHAnsi" w:cs="Arial"/>
          <w:b w:val="0"/>
          <w:color w:val="333333"/>
          <w:sz w:val="22"/>
          <w:szCs w:val="22"/>
        </w:rPr>
        <w:t xml:space="preserve">] </w:t>
      </w:r>
      <w:r w:rsidRPr="009805ED">
        <w:rPr>
          <w:rFonts w:asciiTheme="minorHAnsi" w:hAnsiTheme="minorHAnsi" w:cs="Arial"/>
          <w:b w:val="0"/>
          <w:sz w:val="22"/>
          <w:szCs w:val="22"/>
        </w:rPr>
        <w:t>&lt;Accessed 28 March 2018&gt;</w:t>
      </w:r>
    </w:p>
    <w:p w14:paraId="45E4ECFF" w14:textId="77777777" w:rsidR="00BA4FE1" w:rsidRDefault="00BA4FE1" w:rsidP="00BA4FE1">
      <w:pPr>
        <w:shd w:val="clear" w:color="auto" w:fill="FFFFFF"/>
        <w:ind w:right="150"/>
        <w:textAlignment w:val="top"/>
        <w:rPr>
          <w:rFonts w:cs="Times"/>
          <w:bCs/>
          <w:spacing w:val="3"/>
        </w:rPr>
      </w:pPr>
      <w:r>
        <w:rPr>
          <w:rFonts w:cs="Times"/>
          <w:bCs/>
          <w:spacing w:val="3"/>
        </w:rPr>
        <w:t xml:space="preserve">Ross, A. </w:t>
      </w:r>
      <w:r w:rsidRPr="0021402D">
        <w:rPr>
          <w:rFonts w:cs="Times"/>
          <w:bCs/>
          <w:i/>
          <w:spacing w:val="3"/>
        </w:rPr>
        <w:t>Pagan Celtic Britain</w:t>
      </w:r>
      <w:r>
        <w:rPr>
          <w:rFonts w:cs="Times"/>
          <w:bCs/>
          <w:i/>
          <w:spacing w:val="3"/>
        </w:rPr>
        <w:t xml:space="preserve"> </w:t>
      </w:r>
      <w:r>
        <w:rPr>
          <w:rFonts w:cs="Times"/>
          <w:bCs/>
          <w:spacing w:val="3"/>
        </w:rPr>
        <w:t>2</w:t>
      </w:r>
      <w:r w:rsidRPr="0021402D">
        <w:rPr>
          <w:rFonts w:cs="Times"/>
          <w:bCs/>
          <w:spacing w:val="3"/>
          <w:vertAlign w:val="superscript"/>
        </w:rPr>
        <w:t>nd</w:t>
      </w:r>
      <w:r>
        <w:rPr>
          <w:rFonts w:cs="Times"/>
          <w:bCs/>
          <w:spacing w:val="3"/>
        </w:rPr>
        <w:t xml:space="preserve"> edn (Chicago: Academy Chicago Publishers, 1996)</w:t>
      </w:r>
    </w:p>
    <w:p w14:paraId="7A64C1E8" w14:textId="77777777" w:rsidR="00BA4FE1" w:rsidRPr="00065246" w:rsidRDefault="00BA4FE1" w:rsidP="00A9559F">
      <w:pPr>
        <w:shd w:val="clear" w:color="auto" w:fill="FFFFFF"/>
        <w:spacing w:line="240" w:lineRule="auto"/>
        <w:ind w:right="150"/>
        <w:textAlignment w:val="top"/>
        <w:rPr>
          <w:rFonts w:cs="Times"/>
          <w:bCs/>
          <w:spacing w:val="3"/>
        </w:rPr>
      </w:pPr>
      <w:r>
        <w:rPr>
          <w:rFonts w:cs="Times"/>
          <w:bCs/>
          <w:spacing w:val="3"/>
        </w:rPr>
        <w:t xml:space="preserve">Sayers, W., ‘Netherworld and Otherworld in Early Irish Literature’, in </w:t>
      </w:r>
      <w:r w:rsidRPr="00065246">
        <w:rPr>
          <w:rFonts w:cs="Times"/>
          <w:bCs/>
          <w:i/>
          <w:spacing w:val="3"/>
        </w:rPr>
        <w:t>Zeitschrift fur celtische Philologie</w:t>
      </w:r>
      <w:r>
        <w:rPr>
          <w:rFonts w:cs="Times"/>
          <w:bCs/>
          <w:i/>
          <w:spacing w:val="3"/>
        </w:rPr>
        <w:t xml:space="preserve"> </w:t>
      </w:r>
      <w:r w:rsidRPr="00044C4E">
        <w:rPr>
          <w:rFonts w:cs="Times"/>
          <w:bCs/>
          <w:spacing w:val="3"/>
        </w:rPr>
        <w:t>59:</w:t>
      </w:r>
      <w:r>
        <w:rPr>
          <w:rFonts w:cs="Times"/>
          <w:b/>
          <w:bCs/>
          <w:spacing w:val="3"/>
        </w:rPr>
        <w:t xml:space="preserve"> </w:t>
      </w:r>
      <w:r>
        <w:rPr>
          <w:rFonts w:cs="Times"/>
          <w:bCs/>
          <w:spacing w:val="3"/>
        </w:rPr>
        <w:t>(2012) 210-230</w:t>
      </w:r>
    </w:p>
    <w:p w14:paraId="066FE83B" w14:textId="77777777" w:rsidR="00BA4FE1" w:rsidRDefault="00BA4FE1" w:rsidP="00A9559F">
      <w:pPr>
        <w:shd w:val="clear" w:color="auto" w:fill="FFFFFF"/>
        <w:spacing w:line="240" w:lineRule="auto"/>
        <w:ind w:right="150"/>
        <w:textAlignment w:val="top"/>
      </w:pPr>
      <w:r w:rsidRPr="00A9559F">
        <w:rPr>
          <w:rFonts w:ascii="Verdana" w:hAnsi="Verdana"/>
          <w:sz w:val="18"/>
          <w:szCs w:val="18"/>
          <w:shd w:val="clear" w:color="auto" w:fill="FFFFFF"/>
        </w:rPr>
        <w:t>Sayers, W.,</w:t>
      </w:r>
      <w:r w:rsidRPr="00E00DF8">
        <w:rPr>
          <w:rFonts w:ascii="Verdana" w:hAnsi="Verdana"/>
          <w:color w:val="FF0000"/>
          <w:sz w:val="18"/>
          <w:szCs w:val="18"/>
          <w:shd w:val="clear" w:color="auto" w:fill="FFFFFF"/>
        </w:rPr>
        <w:t xml:space="preserve"> </w:t>
      </w:r>
      <w:r w:rsidRPr="00044C4E">
        <w:rPr>
          <w:shd w:val="clear" w:color="auto" w:fill="FFFFFF"/>
        </w:rPr>
        <w:t>‘</w:t>
      </w:r>
      <w:r>
        <w:rPr>
          <w:shd w:val="clear" w:color="auto" w:fill="FFFFFF"/>
        </w:rPr>
        <w:t>M</w:t>
      </w:r>
      <w:r w:rsidRPr="00044C4E">
        <w:rPr>
          <w:shd w:val="clear" w:color="auto" w:fill="FFFFFF"/>
        </w:rPr>
        <w:t xml:space="preserve">esocosms and the </w:t>
      </w:r>
      <w:r>
        <w:rPr>
          <w:shd w:val="clear" w:color="auto" w:fill="FFFFFF"/>
        </w:rPr>
        <w:t>Organization of Interior Space in Early I</w:t>
      </w:r>
      <w:r w:rsidRPr="00044C4E">
        <w:rPr>
          <w:shd w:val="clear" w:color="auto" w:fill="FFFFFF"/>
        </w:rPr>
        <w:t>reland’</w:t>
      </w:r>
      <w:r w:rsidRPr="00E00DF8">
        <w:rPr>
          <w:rFonts w:ascii="Verdana" w:hAnsi="Verdana"/>
          <w:color w:val="FF0000"/>
          <w:sz w:val="18"/>
          <w:szCs w:val="18"/>
          <w:shd w:val="clear" w:color="auto" w:fill="FFFFFF"/>
        </w:rPr>
        <w:t> </w:t>
      </w:r>
      <w:r>
        <w:rPr>
          <w:shd w:val="clear" w:color="auto" w:fill="FFFFFF"/>
        </w:rPr>
        <w:t>i</w:t>
      </w:r>
      <w:r w:rsidRPr="00044C4E">
        <w:rPr>
          <w:shd w:val="clear" w:color="auto" w:fill="FFFFFF"/>
        </w:rPr>
        <w:t xml:space="preserve">n </w:t>
      </w:r>
      <w:r w:rsidRPr="00044C4E">
        <w:rPr>
          <w:i/>
          <w:shd w:val="clear" w:color="auto" w:fill="FFFFFF"/>
        </w:rPr>
        <w:t>Traditio</w:t>
      </w:r>
      <w:r>
        <w:rPr>
          <w:shd w:val="clear" w:color="auto" w:fill="FFFFFF"/>
        </w:rPr>
        <w:t xml:space="preserve"> 70</w:t>
      </w:r>
      <w:r w:rsidRPr="00044C4E">
        <w:rPr>
          <w:shd w:val="clear" w:color="auto" w:fill="FFFFFF"/>
        </w:rPr>
        <w:t>: (2015): 75-110</w:t>
      </w:r>
      <w:r w:rsidRPr="00044C4E">
        <w:t xml:space="preserve"> </w:t>
      </w:r>
      <w:r>
        <w:rPr>
          <w:color w:val="FF0000"/>
        </w:rPr>
        <w:t xml:space="preserve"> </w:t>
      </w:r>
      <w:r w:rsidRPr="00E00DF8">
        <w:t>[Online:</w:t>
      </w:r>
      <w:r>
        <w:rPr>
          <w:color w:val="FF0000"/>
        </w:rPr>
        <w:t xml:space="preserve"> </w:t>
      </w:r>
      <w:hyperlink r:id="rId50" w:history="1">
        <w:r w:rsidRPr="00C51CF8">
          <w:rPr>
            <w:rStyle w:val="Hyperlink"/>
          </w:rPr>
          <w:t>https://search-proquest-com.ezproxy.uwtsd.ac.uk/docview/1781337255/fulltextPDF/917889FB99C540B6PQ/1?accountid=130472</w:t>
        </w:r>
      </w:hyperlink>
      <w:r>
        <w:rPr>
          <w:color w:val="FF0000"/>
        </w:rPr>
        <w:t xml:space="preserve">] </w:t>
      </w:r>
      <w:r w:rsidRPr="00E00DF8">
        <w:t xml:space="preserve">&lt;Accessed : </w:t>
      </w:r>
      <w:r>
        <w:t xml:space="preserve"> </w:t>
      </w:r>
      <w:r w:rsidRPr="00E00DF8">
        <w:t>5</w:t>
      </w:r>
      <w:r>
        <w:t xml:space="preserve"> March 20</w:t>
      </w:r>
      <w:r w:rsidRPr="00E00DF8">
        <w:t>18&gt;</w:t>
      </w:r>
    </w:p>
    <w:p w14:paraId="0E2CD828" w14:textId="77777777" w:rsidR="00BA4FE1" w:rsidRDefault="00BA4FE1" w:rsidP="00A9559F">
      <w:pPr>
        <w:shd w:val="clear" w:color="auto" w:fill="FFFFFF"/>
        <w:spacing w:line="240" w:lineRule="auto"/>
        <w:ind w:right="150"/>
        <w:textAlignment w:val="top"/>
      </w:pPr>
      <w:r>
        <w:t xml:space="preserve">Sims-Williams, P., ‘Celtomania and Celtoscepticism;  in </w:t>
      </w:r>
      <w:r>
        <w:rPr>
          <w:i/>
        </w:rPr>
        <w:t xml:space="preserve">Cambrian Medieval  Celtic Studies, </w:t>
      </w:r>
      <w:r w:rsidRPr="00847840">
        <w:t>36:</w:t>
      </w:r>
      <w:r>
        <w:t xml:space="preserve"> (</w:t>
      </w:r>
      <w:r w:rsidRPr="00C94147">
        <w:t>1998),</w:t>
      </w:r>
      <w:r>
        <w:t xml:space="preserve"> 1-35</w:t>
      </w:r>
    </w:p>
    <w:p w14:paraId="696D3D43" w14:textId="77777777" w:rsidR="00BA4FE1" w:rsidRDefault="00BA4FE1" w:rsidP="00A9559F">
      <w:pPr>
        <w:shd w:val="clear" w:color="auto" w:fill="FFFFFF"/>
        <w:spacing w:line="240" w:lineRule="auto"/>
      </w:pPr>
      <w:r w:rsidRPr="0029581F">
        <w:t xml:space="preserve"> Sims-Williams, P., </w:t>
      </w:r>
      <w:r>
        <w:t>‘</w:t>
      </w:r>
      <w:r w:rsidRPr="0029581F">
        <w:t>Bronze- and Iron-Age Celtic-Speakers: what don’t we know, what can’t we know, and what could we know? Language, genetics and archaeology in the twenty-first century</w:t>
      </w:r>
      <w:r>
        <w:t>’</w:t>
      </w:r>
      <w:r w:rsidRPr="0029581F">
        <w:t xml:space="preserve">, </w:t>
      </w:r>
      <w:r>
        <w:t xml:space="preserve">in </w:t>
      </w:r>
      <w:r w:rsidRPr="0029581F">
        <w:rPr>
          <w:i/>
        </w:rPr>
        <w:t>The Antiquaries Journal</w:t>
      </w:r>
      <w:r w:rsidRPr="0029581F">
        <w:t xml:space="preserve">, 92: (2012), 427–49 [Online:  </w:t>
      </w:r>
      <w:hyperlink r:id="rId51" w:history="1">
        <w:r w:rsidRPr="0029581F">
          <w:rPr>
            <w:rStyle w:val="Hyperlink"/>
            <w:bCs/>
          </w:rPr>
          <w:t>https://search-proquest-com.ezproxy.uwtsd.ac.uk/docview/1289680845?accountid=130472&amp;rfr_id=info%3Axri%2Fsid%3Aprimo</w:t>
        </w:r>
      </w:hyperlink>
      <w:r w:rsidRPr="0029581F">
        <w:t>] &lt;Accessed 22</w:t>
      </w:r>
      <w:r>
        <w:t xml:space="preserve"> January 20</w:t>
      </w:r>
      <w:r w:rsidRPr="0029581F">
        <w:t>18 &amp; 12</w:t>
      </w:r>
      <w:r>
        <w:t xml:space="preserve"> February 20</w:t>
      </w:r>
      <w:r w:rsidRPr="0029581F">
        <w:t xml:space="preserve">18&gt; </w:t>
      </w:r>
    </w:p>
    <w:p w14:paraId="1ED41F2A" w14:textId="77777777" w:rsidR="00BA4FE1" w:rsidRPr="00E122F0" w:rsidRDefault="00BA4FE1" w:rsidP="00A9559F">
      <w:pPr>
        <w:shd w:val="clear" w:color="auto" w:fill="FFFFFF"/>
        <w:spacing w:line="240" w:lineRule="auto"/>
      </w:pPr>
      <w:r>
        <w:t xml:space="preserve">Sims-Williams, P., ‘The Early Welsh Arthurian Poems’ in </w:t>
      </w:r>
      <w:r w:rsidRPr="00E122F0">
        <w:rPr>
          <w:i/>
        </w:rPr>
        <w:t>The Arthur of the Welsh</w:t>
      </w:r>
      <w:r>
        <w:rPr>
          <w:i/>
        </w:rPr>
        <w:t>’</w:t>
      </w:r>
      <w:r>
        <w:t xml:space="preserve">, eds, Bromwich, R., Jarman, A.O.H., and Roberts, B.F., </w:t>
      </w:r>
      <w:r w:rsidRPr="00276B34">
        <w:t>(Cardiff: University of Wales Press, 1991)</w:t>
      </w:r>
      <w:r>
        <w:t xml:space="preserve"> 33-71</w:t>
      </w:r>
    </w:p>
    <w:p w14:paraId="4ABC5058" w14:textId="77777777" w:rsidR="00BA4FE1" w:rsidRDefault="00BA4FE1" w:rsidP="00A9559F">
      <w:pPr>
        <w:shd w:val="clear" w:color="auto" w:fill="FFFFFF"/>
        <w:spacing w:line="240" w:lineRule="auto"/>
      </w:pPr>
      <w:r w:rsidRPr="00521B13">
        <w:t>Sjoestedt, Marie-Louise</w:t>
      </w:r>
      <w:r>
        <w:t xml:space="preserve">, trans, Dillon, M., </w:t>
      </w:r>
      <w:r>
        <w:rPr>
          <w:i/>
        </w:rPr>
        <w:t xml:space="preserve">Gods and Heroes of the Celts, </w:t>
      </w:r>
      <w:r>
        <w:t>(Dublin: Four Courts Press, 1994 [1949])</w:t>
      </w:r>
    </w:p>
    <w:p w14:paraId="356321C0" w14:textId="77777777" w:rsidR="00BA4FE1" w:rsidRPr="0055539D" w:rsidRDefault="00BA4FE1" w:rsidP="00A9559F">
      <w:pPr>
        <w:shd w:val="clear" w:color="auto" w:fill="FFFFFF"/>
        <w:spacing w:line="240" w:lineRule="auto"/>
      </w:pPr>
      <w:r>
        <w:t>Stacey, R.</w:t>
      </w:r>
      <w:r w:rsidRPr="0055539D">
        <w:t>, C</w:t>
      </w:r>
      <w:r>
        <w:t>.</w:t>
      </w:r>
      <w:r w:rsidRPr="0055539D">
        <w:t>,</w:t>
      </w:r>
      <w:r>
        <w:t xml:space="preserve"> </w:t>
      </w:r>
      <w:r w:rsidRPr="003B7B66">
        <w:t>‘Ancient Irish Law Revisited: Rereading the Laws of Status and Franchise</w:t>
      </w:r>
      <w:r>
        <w:t>’</w:t>
      </w:r>
      <w:r w:rsidRPr="003B7B66">
        <w:t xml:space="preserve"> </w:t>
      </w:r>
      <w:r>
        <w:t>in</w:t>
      </w:r>
      <w:r w:rsidRPr="003235EF">
        <w:rPr>
          <w:rFonts w:cs="Futura-Book"/>
        </w:rPr>
        <w:t xml:space="preserve"> Bergholm</w:t>
      </w:r>
      <w:r>
        <w:rPr>
          <w:rFonts w:cs="Futura-Book"/>
        </w:rPr>
        <w:t xml:space="preserve">, A., and Ritari, K., </w:t>
      </w:r>
      <w:r w:rsidRPr="003B7B66">
        <w:rPr>
          <w:rFonts w:cs="Lithos-Regular"/>
          <w:i/>
        </w:rPr>
        <w:t xml:space="preserve"> </w:t>
      </w:r>
      <w:r w:rsidRPr="003B7B66">
        <w:rPr>
          <w:rFonts w:cs="Lithos-Regular"/>
        </w:rPr>
        <w:t xml:space="preserve">eds, </w:t>
      </w:r>
      <w:r w:rsidRPr="003B7B66">
        <w:rPr>
          <w:rFonts w:cs="Lithos-Regular"/>
          <w:i/>
        </w:rPr>
        <w:t xml:space="preserve">New Approaches to Celtic Religion and Mythology: </w:t>
      </w:r>
      <w:r w:rsidRPr="003B7B66">
        <w:rPr>
          <w:rFonts w:cs="Futura-Book"/>
          <w:i/>
        </w:rPr>
        <w:t>Understanding Celtic Religion Revisiting the Pagan Past.</w:t>
      </w:r>
      <w:r>
        <w:rPr>
          <w:rFonts w:cs="Futura-Book"/>
        </w:rPr>
        <w:t xml:space="preserve"> (</w:t>
      </w:r>
      <w:r w:rsidRPr="003235EF">
        <w:rPr>
          <w:rFonts w:cs="GentiumBasic"/>
        </w:rPr>
        <w:t>Cardiff</w:t>
      </w:r>
      <w:r>
        <w:rPr>
          <w:rFonts w:cs="GentiumBasic"/>
        </w:rPr>
        <w:t>: U</w:t>
      </w:r>
      <w:r w:rsidRPr="003235EF">
        <w:rPr>
          <w:rFonts w:cs="GentiumBasic"/>
        </w:rPr>
        <w:t>niversity of</w:t>
      </w:r>
      <w:r>
        <w:rPr>
          <w:rFonts w:cs="GentiumBasic"/>
        </w:rPr>
        <w:t xml:space="preserve"> W</w:t>
      </w:r>
      <w:r w:rsidRPr="003235EF">
        <w:rPr>
          <w:rFonts w:cs="GentiumBasic"/>
        </w:rPr>
        <w:t xml:space="preserve">ales </w:t>
      </w:r>
      <w:r>
        <w:rPr>
          <w:rFonts w:cs="GentiumBasic"/>
        </w:rPr>
        <w:t>P</w:t>
      </w:r>
      <w:r w:rsidRPr="003235EF">
        <w:rPr>
          <w:rFonts w:cs="GentiumBasic"/>
        </w:rPr>
        <w:t>ress</w:t>
      </w:r>
      <w:r>
        <w:rPr>
          <w:rFonts w:cs="GentiumBasic"/>
        </w:rPr>
        <w:t>,</w:t>
      </w:r>
      <w:r w:rsidRPr="003235EF">
        <w:rPr>
          <w:rFonts w:cs="GentiumBasic"/>
        </w:rPr>
        <w:t xml:space="preserve"> 2015</w:t>
      </w:r>
      <w:r>
        <w:rPr>
          <w:rFonts w:cs="GentiumBasic"/>
        </w:rPr>
        <w:t>) [Online at:</w:t>
      </w:r>
      <w:r w:rsidRPr="003235EF">
        <w:t xml:space="preserve"> </w:t>
      </w:r>
      <w:hyperlink r:id="rId52" w:history="1">
        <w:r w:rsidRPr="00597AD4">
          <w:rPr>
            <w:rStyle w:val="Hyperlink"/>
            <w:rFonts w:cs="GentiumBasic"/>
          </w:rPr>
          <w:t>https://www-dawsonera-com.ezproxy.uwtsd.ac.uk/readonline/9781783167937</w:t>
        </w:r>
      </w:hyperlink>
      <w:r>
        <w:rPr>
          <w:rFonts w:cs="GentiumBasic"/>
        </w:rPr>
        <w:t xml:space="preserve"> ] </w:t>
      </w:r>
      <w:r>
        <w:t>&lt;Accessed 28 March 2018&gt;</w:t>
      </w:r>
    </w:p>
    <w:p w14:paraId="37129E2A" w14:textId="77777777" w:rsidR="00BA4FE1" w:rsidRDefault="00BA4FE1" w:rsidP="00A9559F">
      <w:pPr>
        <w:spacing w:line="240" w:lineRule="auto"/>
        <w:textAlignment w:val="baseline"/>
      </w:pPr>
      <w:r w:rsidRPr="008832DF">
        <w:t xml:space="preserve"> Stout,</w:t>
      </w:r>
      <w:r>
        <w:t xml:space="preserve"> A., R</w:t>
      </w:r>
      <w:r w:rsidRPr="008832DF">
        <w:t>eview of </w:t>
      </w:r>
      <w:r w:rsidRPr="008832DF">
        <w:rPr>
          <w:rStyle w:val="Emphasis"/>
          <w:bdr w:val="none" w:sz="0" w:space="0" w:color="auto" w:frame="1"/>
        </w:rPr>
        <w:t>Blood and Mistletoe: The History of the Druids in Britain</w:t>
      </w:r>
      <w:r w:rsidRPr="008832DF">
        <w:t>, (review no. 846)</w:t>
      </w:r>
      <w:r w:rsidRPr="008832DF">
        <w:br/>
      </w:r>
      <w:r>
        <w:t xml:space="preserve">available at </w:t>
      </w:r>
      <w:r w:rsidRPr="0005761B">
        <w:rPr>
          <w:color w:val="548DD4" w:themeColor="text2" w:themeTint="99"/>
        </w:rPr>
        <w:t xml:space="preserve"> </w:t>
      </w:r>
      <w:hyperlink r:id="rId53" w:history="1">
        <w:r w:rsidRPr="0005761B">
          <w:rPr>
            <w:rStyle w:val="Hyperlink"/>
            <w:color w:val="548DD4" w:themeColor="text2" w:themeTint="99"/>
          </w:rPr>
          <w:t>http://www.history.ac.uk/reviews/review/846</w:t>
        </w:r>
      </w:hyperlink>
      <w:r w:rsidRPr="0005761B">
        <w:rPr>
          <w:color w:val="548DD4" w:themeColor="text2" w:themeTint="99"/>
        </w:rPr>
        <w:t xml:space="preserve"> </w:t>
      </w:r>
      <w:r>
        <w:t xml:space="preserve"> &lt;A</w:t>
      </w:r>
      <w:r w:rsidRPr="008832DF">
        <w:t>ccessed: 10 January, 2018</w:t>
      </w:r>
      <w:r>
        <w:t>&gt;</w:t>
      </w:r>
    </w:p>
    <w:p w14:paraId="604A7BCF" w14:textId="77777777" w:rsidR="00BA4FE1" w:rsidRDefault="00BA4FE1" w:rsidP="00BA4FE1">
      <w:pPr>
        <w:pStyle w:val="Heading1"/>
        <w:spacing w:before="0" w:beforeAutospacing="0" w:after="300" w:afterAutospacing="0"/>
        <w:rPr>
          <w:rFonts w:asciiTheme="minorHAnsi" w:hAnsiTheme="minorHAnsi"/>
          <w:b w:val="0"/>
          <w:sz w:val="22"/>
          <w:szCs w:val="22"/>
        </w:rPr>
      </w:pPr>
      <w:r w:rsidRPr="008F580A">
        <w:rPr>
          <w:rFonts w:asciiTheme="minorHAnsi" w:hAnsiTheme="minorHAnsi"/>
          <w:b w:val="0"/>
          <w:sz w:val="22"/>
          <w:szCs w:val="22"/>
        </w:rPr>
        <w:t xml:space="preserve">Strijbosch, Clara, </w:t>
      </w:r>
      <w:r>
        <w:rPr>
          <w:rFonts w:asciiTheme="minorHAnsi" w:hAnsiTheme="minorHAnsi"/>
          <w:b w:val="0"/>
          <w:sz w:val="22"/>
          <w:szCs w:val="22"/>
        </w:rPr>
        <w:t>‘</w:t>
      </w:r>
      <w:r w:rsidRPr="008F580A">
        <w:rPr>
          <w:rFonts w:asciiTheme="minorHAnsi" w:hAnsiTheme="minorHAnsi"/>
          <w:b w:val="0"/>
          <w:i/>
          <w:sz w:val="22"/>
          <w:szCs w:val="22"/>
        </w:rPr>
        <w:t>The Heathen Giant</w:t>
      </w:r>
      <w:r w:rsidRPr="008F580A">
        <w:rPr>
          <w:rFonts w:asciiTheme="minorHAnsi" w:hAnsiTheme="minorHAnsi"/>
          <w:b w:val="0"/>
          <w:sz w:val="22"/>
          <w:szCs w:val="22"/>
        </w:rPr>
        <w:t xml:space="preserve"> in The Voyage of St Brendan</w:t>
      </w:r>
      <w:r>
        <w:rPr>
          <w:rFonts w:asciiTheme="minorHAnsi" w:hAnsiTheme="minorHAnsi"/>
          <w:b w:val="0"/>
          <w:sz w:val="22"/>
          <w:szCs w:val="22"/>
        </w:rPr>
        <w:t>’</w:t>
      </w:r>
      <w:r w:rsidRPr="008F580A">
        <w:rPr>
          <w:rFonts w:asciiTheme="minorHAnsi" w:hAnsiTheme="minorHAnsi"/>
          <w:b w:val="0"/>
          <w:sz w:val="22"/>
          <w:szCs w:val="22"/>
        </w:rPr>
        <w:t xml:space="preserve"> in </w:t>
      </w:r>
      <w:r w:rsidRPr="008F580A">
        <w:rPr>
          <w:rFonts w:asciiTheme="minorHAnsi" w:hAnsiTheme="minorHAnsi" w:cs="Arial"/>
          <w:b w:val="0"/>
          <w:i/>
          <w:color w:val="333333"/>
          <w:sz w:val="22"/>
          <w:szCs w:val="22"/>
        </w:rPr>
        <w:t>Celtica</w:t>
      </w:r>
      <w:r w:rsidRPr="008F580A">
        <w:rPr>
          <w:rFonts w:asciiTheme="minorHAnsi" w:hAnsiTheme="minorHAnsi" w:cs="Arial"/>
          <w:b w:val="0"/>
          <w:color w:val="333333"/>
          <w:sz w:val="22"/>
          <w:szCs w:val="22"/>
        </w:rPr>
        <w:t xml:space="preserve"> Volume 23</w:t>
      </w:r>
      <w:r>
        <w:rPr>
          <w:rFonts w:asciiTheme="minorHAnsi" w:hAnsiTheme="minorHAnsi" w:cs="Arial"/>
          <w:b w:val="0"/>
          <w:color w:val="333333"/>
          <w:sz w:val="22"/>
          <w:szCs w:val="22"/>
        </w:rPr>
        <w:t>:</w:t>
      </w:r>
      <w:r w:rsidRPr="008F580A">
        <w:rPr>
          <w:rFonts w:asciiTheme="minorHAnsi" w:hAnsiTheme="minorHAnsi" w:cs="Arial"/>
          <w:b w:val="0"/>
          <w:color w:val="333333"/>
          <w:sz w:val="22"/>
          <w:szCs w:val="22"/>
        </w:rPr>
        <w:t xml:space="preserve"> (1999): Essays in honour of James Patrick Carney</w:t>
      </w:r>
      <w:r>
        <w:rPr>
          <w:rFonts w:asciiTheme="minorHAnsi" w:hAnsiTheme="minorHAnsi" w:cs="Arial"/>
          <w:b w:val="0"/>
          <w:color w:val="333333"/>
          <w:sz w:val="22"/>
          <w:szCs w:val="22"/>
        </w:rPr>
        <w:t xml:space="preserve"> </w:t>
      </w:r>
      <w:r w:rsidRPr="008F580A">
        <w:rPr>
          <w:rFonts w:asciiTheme="minorHAnsi" w:hAnsiTheme="minorHAnsi"/>
          <w:b w:val="0"/>
          <w:sz w:val="22"/>
          <w:szCs w:val="22"/>
        </w:rPr>
        <w:t xml:space="preserve">[Online: </w:t>
      </w:r>
      <w:hyperlink r:id="rId54" w:history="1">
        <w:r w:rsidRPr="008F580A">
          <w:rPr>
            <w:rStyle w:val="Hyperlink"/>
            <w:rFonts w:asciiTheme="minorHAnsi" w:hAnsiTheme="minorHAnsi"/>
            <w:b w:val="0"/>
            <w:sz w:val="22"/>
            <w:szCs w:val="22"/>
          </w:rPr>
          <w:t>https://www.dias.ie/wp-content/uploads/webstore/celt/pubs/celtica/c23/c23-369.pdf</w:t>
        </w:r>
      </w:hyperlink>
      <w:r w:rsidRPr="008F580A">
        <w:rPr>
          <w:rFonts w:asciiTheme="minorHAnsi" w:hAnsiTheme="minorHAnsi"/>
          <w:b w:val="0"/>
          <w:sz w:val="22"/>
          <w:szCs w:val="22"/>
        </w:rPr>
        <w:t xml:space="preserve"> ] &lt;Accessed 28</w:t>
      </w:r>
      <w:r>
        <w:rPr>
          <w:rFonts w:asciiTheme="minorHAnsi" w:hAnsiTheme="minorHAnsi"/>
          <w:b w:val="0"/>
          <w:sz w:val="22"/>
          <w:szCs w:val="22"/>
        </w:rPr>
        <w:t xml:space="preserve"> March 20</w:t>
      </w:r>
      <w:r w:rsidRPr="008F580A">
        <w:rPr>
          <w:rFonts w:asciiTheme="minorHAnsi" w:hAnsiTheme="minorHAnsi"/>
          <w:b w:val="0"/>
          <w:sz w:val="22"/>
          <w:szCs w:val="22"/>
        </w:rPr>
        <w:t>18&gt;</w:t>
      </w:r>
    </w:p>
    <w:p w14:paraId="247CAA23" w14:textId="77777777" w:rsidR="00BA4FE1" w:rsidRPr="00501879" w:rsidRDefault="00BA4FE1" w:rsidP="00BA4FE1">
      <w:pPr>
        <w:pStyle w:val="Heading1"/>
        <w:spacing w:before="0" w:beforeAutospacing="0" w:after="300" w:afterAutospacing="0"/>
        <w:rPr>
          <w:rFonts w:asciiTheme="minorHAnsi" w:hAnsiTheme="minorHAnsi"/>
          <w:b w:val="0"/>
          <w:sz w:val="22"/>
          <w:szCs w:val="22"/>
        </w:rPr>
      </w:pPr>
      <w:r w:rsidRPr="00501879">
        <w:rPr>
          <w:rFonts w:asciiTheme="minorHAnsi" w:hAnsiTheme="minorHAnsi"/>
          <w:b w:val="0"/>
          <w:sz w:val="22"/>
          <w:szCs w:val="22"/>
        </w:rPr>
        <w:t xml:space="preserve">Strijbosch, C., </w:t>
      </w:r>
      <w:r w:rsidRPr="007F0543">
        <w:rPr>
          <w:rFonts w:asciiTheme="minorHAnsi" w:hAnsiTheme="minorHAnsi"/>
          <w:b w:val="0"/>
          <w:sz w:val="22"/>
          <w:szCs w:val="22"/>
        </w:rPr>
        <w:t>trans. Summerfield.T.,</w:t>
      </w:r>
      <w:r>
        <w:rPr>
          <w:rFonts w:asciiTheme="minorHAnsi" w:hAnsiTheme="minorHAnsi"/>
          <w:b w:val="0"/>
          <w:sz w:val="22"/>
          <w:szCs w:val="22"/>
        </w:rPr>
        <w:t xml:space="preserve"> </w:t>
      </w:r>
      <w:r w:rsidRPr="00501879">
        <w:rPr>
          <w:rFonts w:asciiTheme="minorHAnsi" w:hAnsiTheme="minorHAnsi"/>
          <w:b w:val="0"/>
          <w:i/>
          <w:sz w:val="22"/>
          <w:szCs w:val="22"/>
        </w:rPr>
        <w:t>The Seafaring Saint; Sources and Analogues of the Twelfth-century Voyage of Saint Brendan</w:t>
      </w:r>
      <w:r w:rsidRPr="007F0543">
        <w:rPr>
          <w:rFonts w:asciiTheme="minorHAnsi" w:hAnsiTheme="minorHAnsi"/>
          <w:b w:val="0"/>
          <w:sz w:val="22"/>
          <w:szCs w:val="22"/>
        </w:rPr>
        <w:t xml:space="preserve">, </w:t>
      </w:r>
      <w:r w:rsidRPr="00501879">
        <w:rPr>
          <w:rFonts w:asciiTheme="minorHAnsi" w:hAnsiTheme="minorHAnsi"/>
          <w:b w:val="0"/>
          <w:sz w:val="22"/>
          <w:szCs w:val="22"/>
        </w:rPr>
        <w:t>(Dublin: Four Courts Press, 2000)</w:t>
      </w:r>
    </w:p>
    <w:p w14:paraId="5D97D6CE" w14:textId="77777777" w:rsidR="00BA4FE1" w:rsidRPr="00501879" w:rsidRDefault="00BA4FE1" w:rsidP="00A9559F">
      <w:pPr>
        <w:spacing w:line="240" w:lineRule="auto"/>
        <w:textAlignment w:val="baseline"/>
      </w:pPr>
      <w:r>
        <w:rPr>
          <w:rFonts w:cs="ArialUnicodeMS"/>
        </w:rPr>
        <w:t xml:space="preserve"> Sumner, N., Hillers, B.,</w:t>
      </w:r>
      <w:r w:rsidRPr="00501879">
        <w:rPr>
          <w:rFonts w:cs="ArialUnicodeMS"/>
        </w:rPr>
        <w:t xml:space="preserve"> &amp; McKenna, C</w:t>
      </w:r>
      <w:r>
        <w:rPr>
          <w:rFonts w:cs="ArialUnicodeMS"/>
        </w:rPr>
        <w:t>.</w:t>
      </w:r>
      <w:r w:rsidRPr="00501879">
        <w:rPr>
          <w:rFonts w:cs="ArialUnicodeMS"/>
        </w:rPr>
        <w:t xml:space="preserve"> </w:t>
      </w:r>
      <w:r>
        <w:rPr>
          <w:rFonts w:cs="ArialUnicodeMS"/>
        </w:rPr>
        <w:t>‘</w:t>
      </w:r>
      <w:r w:rsidRPr="00501879">
        <w:rPr>
          <w:rFonts w:cs="ArialUnicodeMS"/>
        </w:rPr>
        <w:t>A Night of Storytelling and Years in the ‘Z-Closet’: The Re-discovery and Restoration of Oidhche Sheanchais, Robert Flaherty's ‘Lost’ Irish Folklore Film</w:t>
      </w:r>
      <w:r>
        <w:rPr>
          <w:rFonts w:cs="ArialUnicodeMS"/>
        </w:rPr>
        <w:t>’</w:t>
      </w:r>
      <w:r w:rsidRPr="00501879">
        <w:rPr>
          <w:rFonts w:cs="ArialUnicodeMS"/>
        </w:rPr>
        <w:t>,</w:t>
      </w:r>
      <w:r>
        <w:rPr>
          <w:rFonts w:cs="ArialUnicodeMS"/>
        </w:rPr>
        <w:t xml:space="preserve"> in</w:t>
      </w:r>
      <w:r w:rsidRPr="00501879">
        <w:rPr>
          <w:rFonts w:cs="ArialUnicodeMS"/>
        </w:rPr>
        <w:t xml:space="preserve"> </w:t>
      </w:r>
      <w:r w:rsidRPr="00501879">
        <w:rPr>
          <w:rFonts w:cs="ArialUnicodeMS"/>
          <w:i/>
        </w:rPr>
        <w:t>Folklore</w:t>
      </w:r>
      <w:r w:rsidRPr="00501879">
        <w:rPr>
          <w:rFonts w:cs="ArialUnicodeMS"/>
        </w:rPr>
        <w:t>, (2015) 126:1, 1-19</w:t>
      </w:r>
      <w:r>
        <w:rPr>
          <w:rFonts w:cs="ArialUnicodeMS"/>
        </w:rPr>
        <w:t>,</w:t>
      </w:r>
      <w:r w:rsidRPr="00501879">
        <w:rPr>
          <w:rFonts w:cs="ArialUnicodeMS"/>
        </w:rPr>
        <w:t xml:space="preserve"> [Online: </w:t>
      </w:r>
      <w:r w:rsidRPr="00501879">
        <w:rPr>
          <w:rFonts w:cs="OpenSans-Semibold"/>
        </w:rPr>
        <w:t xml:space="preserve"> </w:t>
      </w:r>
      <w:hyperlink r:id="rId55" w:history="1">
        <w:r w:rsidRPr="00501879">
          <w:rPr>
            <w:rStyle w:val="Hyperlink"/>
            <w:rFonts w:cs="OpenSans"/>
          </w:rPr>
          <w:t>https://doi.org/10.1080/0015587X.2014.1001214</w:t>
        </w:r>
      </w:hyperlink>
      <w:r>
        <w:rPr>
          <w:rFonts w:cs="OpenSans"/>
        </w:rPr>
        <w:t xml:space="preserve">] &lt;Accessed </w:t>
      </w:r>
      <w:r w:rsidRPr="00501879">
        <w:rPr>
          <w:rFonts w:cs="OpenSans"/>
        </w:rPr>
        <w:t>6</w:t>
      </w:r>
      <w:r>
        <w:rPr>
          <w:rFonts w:cs="OpenSans"/>
        </w:rPr>
        <w:t xml:space="preserve"> March 20</w:t>
      </w:r>
      <w:r w:rsidRPr="00501879">
        <w:rPr>
          <w:rFonts w:cs="OpenSans"/>
        </w:rPr>
        <w:t>18&gt;</w:t>
      </w:r>
    </w:p>
    <w:p w14:paraId="251891BA" w14:textId="77777777" w:rsidR="00BA4FE1" w:rsidRPr="007F70A2" w:rsidRDefault="00BA4FE1" w:rsidP="00BA4FE1">
      <w:pPr>
        <w:pStyle w:val="Default"/>
        <w:rPr>
          <w:rFonts w:asciiTheme="minorHAnsi" w:hAnsiTheme="minorHAnsi"/>
          <w:sz w:val="22"/>
          <w:szCs w:val="22"/>
        </w:rPr>
      </w:pPr>
      <w:r w:rsidRPr="007F70A2">
        <w:rPr>
          <w:rFonts w:asciiTheme="minorHAnsi" w:hAnsiTheme="minorHAnsi"/>
          <w:sz w:val="22"/>
          <w:szCs w:val="22"/>
        </w:rPr>
        <w:lastRenderedPageBreak/>
        <w:t>Thompson</w:t>
      </w:r>
      <w:r>
        <w:rPr>
          <w:rFonts w:asciiTheme="minorHAnsi" w:hAnsiTheme="minorHAnsi"/>
          <w:sz w:val="22"/>
          <w:szCs w:val="22"/>
        </w:rPr>
        <w:t>,</w:t>
      </w:r>
      <w:r w:rsidRPr="007F70A2">
        <w:rPr>
          <w:rFonts w:asciiTheme="minorHAnsi" w:hAnsiTheme="minorHAnsi"/>
          <w:sz w:val="22"/>
          <w:szCs w:val="22"/>
        </w:rPr>
        <w:t xml:space="preserve"> E. A.</w:t>
      </w:r>
      <w:r>
        <w:rPr>
          <w:rFonts w:asciiTheme="minorHAnsi" w:hAnsiTheme="minorHAnsi"/>
          <w:sz w:val="22"/>
          <w:szCs w:val="22"/>
        </w:rPr>
        <w:t>,</w:t>
      </w:r>
      <w:r w:rsidRPr="007F70A2">
        <w:rPr>
          <w:rFonts w:asciiTheme="minorHAnsi" w:hAnsiTheme="minorHAnsi"/>
          <w:sz w:val="22"/>
          <w:szCs w:val="22"/>
        </w:rPr>
        <w:t xml:space="preserve"> </w:t>
      </w:r>
      <w:r>
        <w:rPr>
          <w:rFonts w:asciiTheme="minorHAnsi" w:hAnsiTheme="minorHAnsi"/>
          <w:sz w:val="22"/>
          <w:szCs w:val="22"/>
        </w:rPr>
        <w:t>‘</w:t>
      </w:r>
      <w:r w:rsidRPr="007F70A2">
        <w:rPr>
          <w:rFonts w:asciiTheme="minorHAnsi" w:hAnsiTheme="minorHAnsi"/>
          <w:sz w:val="22"/>
          <w:szCs w:val="22"/>
        </w:rPr>
        <w:t>Procopius on Brittia and Britannia</w:t>
      </w:r>
      <w:r>
        <w:rPr>
          <w:rFonts w:asciiTheme="minorHAnsi" w:hAnsiTheme="minorHAnsi"/>
          <w:sz w:val="22"/>
          <w:szCs w:val="22"/>
        </w:rPr>
        <w:t>’,</w:t>
      </w:r>
      <w:r w:rsidRPr="007F70A2">
        <w:rPr>
          <w:rFonts w:asciiTheme="minorHAnsi" w:hAnsiTheme="minorHAnsi"/>
          <w:sz w:val="22"/>
          <w:szCs w:val="22"/>
        </w:rPr>
        <w:t xml:space="preserve"> in </w:t>
      </w:r>
      <w:r w:rsidRPr="007F70A2">
        <w:rPr>
          <w:rFonts w:asciiTheme="minorHAnsi" w:hAnsiTheme="minorHAnsi"/>
          <w:i/>
          <w:sz w:val="22"/>
          <w:szCs w:val="22"/>
        </w:rPr>
        <w:t>The Classical Quarterly</w:t>
      </w:r>
      <w:r w:rsidRPr="007F70A2">
        <w:rPr>
          <w:rFonts w:asciiTheme="minorHAnsi" w:hAnsiTheme="minorHAnsi"/>
          <w:sz w:val="22"/>
          <w:szCs w:val="22"/>
        </w:rPr>
        <w:t xml:space="preserve">, </w:t>
      </w:r>
      <w:r w:rsidRPr="00501879">
        <w:rPr>
          <w:rFonts w:asciiTheme="minorHAnsi" w:hAnsiTheme="minorHAnsi"/>
          <w:sz w:val="22"/>
          <w:szCs w:val="22"/>
        </w:rPr>
        <w:t>30</w:t>
      </w:r>
      <w:r>
        <w:rPr>
          <w:rFonts w:asciiTheme="minorHAnsi" w:hAnsiTheme="minorHAnsi"/>
          <w:sz w:val="22"/>
          <w:szCs w:val="22"/>
        </w:rPr>
        <w:t>: (</w:t>
      </w:r>
      <w:r w:rsidRPr="007F70A2">
        <w:rPr>
          <w:rFonts w:asciiTheme="minorHAnsi" w:hAnsiTheme="minorHAnsi"/>
          <w:sz w:val="22"/>
          <w:szCs w:val="22"/>
        </w:rPr>
        <w:t>2</w:t>
      </w:r>
      <w:r>
        <w:rPr>
          <w:rFonts w:asciiTheme="minorHAnsi" w:hAnsiTheme="minorHAnsi"/>
          <w:sz w:val="22"/>
          <w:szCs w:val="22"/>
        </w:rPr>
        <w:t>), (</w:t>
      </w:r>
      <w:r w:rsidRPr="007F70A2">
        <w:rPr>
          <w:rFonts w:asciiTheme="minorHAnsi" w:hAnsiTheme="minorHAnsi"/>
          <w:sz w:val="22"/>
          <w:szCs w:val="22"/>
        </w:rPr>
        <w:t>Cambridge University Press on behalf of The Classical Association</w:t>
      </w:r>
      <w:r>
        <w:rPr>
          <w:rFonts w:asciiTheme="minorHAnsi" w:hAnsiTheme="minorHAnsi"/>
          <w:sz w:val="22"/>
          <w:szCs w:val="22"/>
        </w:rPr>
        <w:t>, 1980)</w:t>
      </w:r>
      <w:r w:rsidRPr="007F70A2">
        <w:rPr>
          <w:rFonts w:asciiTheme="minorHAnsi" w:hAnsiTheme="minorHAnsi"/>
          <w:sz w:val="22"/>
          <w:szCs w:val="22"/>
        </w:rPr>
        <w:t xml:space="preserve">, pp. 498-507 </w:t>
      </w:r>
    </w:p>
    <w:p w14:paraId="3A9B4DD5" w14:textId="77777777" w:rsidR="00BA4FE1" w:rsidRDefault="00BA4FE1" w:rsidP="00BA4FE1">
      <w:pPr>
        <w:pStyle w:val="Default"/>
        <w:rPr>
          <w:rFonts w:asciiTheme="minorHAnsi" w:hAnsiTheme="minorHAnsi"/>
          <w:sz w:val="22"/>
          <w:szCs w:val="22"/>
        </w:rPr>
      </w:pPr>
      <w:r w:rsidRPr="007F70A2">
        <w:rPr>
          <w:rFonts w:asciiTheme="minorHAnsi" w:hAnsiTheme="minorHAnsi"/>
          <w:sz w:val="22"/>
          <w:szCs w:val="22"/>
        </w:rPr>
        <w:t xml:space="preserve"> [Online: </w:t>
      </w:r>
      <w:hyperlink r:id="rId56" w:history="1">
        <w:r w:rsidRPr="007F70A2">
          <w:rPr>
            <w:rStyle w:val="Hyperlink"/>
            <w:rFonts w:asciiTheme="minorHAnsi" w:hAnsiTheme="minorHAnsi"/>
            <w:sz w:val="22"/>
            <w:szCs w:val="22"/>
          </w:rPr>
          <w:t>http://www.jstor.org/stable/638518</w:t>
        </w:r>
      </w:hyperlink>
      <w:r w:rsidRPr="007F70A2">
        <w:rPr>
          <w:rFonts w:asciiTheme="minorHAnsi" w:hAnsiTheme="minorHAnsi"/>
          <w:sz w:val="22"/>
          <w:szCs w:val="22"/>
        </w:rPr>
        <w:t>] &lt;Accessed: 28</w:t>
      </w:r>
      <w:r>
        <w:rPr>
          <w:rFonts w:asciiTheme="minorHAnsi" w:hAnsiTheme="minorHAnsi"/>
          <w:sz w:val="22"/>
          <w:szCs w:val="22"/>
        </w:rPr>
        <w:t xml:space="preserve"> February </w:t>
      </w:r>
      <w:r w:rsidRPr="007F70A2">
        <w:rPr>
          <w:rFonts w:asciiTheme="minorHAnsi" w:hAnsiTheme="minorHAnsi"/>
          <w:sz w:val="22"/>
          <w:szCs w:val="22"/>
        </w:rPr>
        <w:t xml:space="preserve">2018&gt;  </w:t>
      </w:r>
    </w:p>
    <w:p w14:paraId="7305C63C" w14:textId="77777777" w:rsidR="00BA4FE1" w:rsidRDefault="00BA4FE1" w:rsidP="00BA4FE1">
      <w:pPr>
        <w:pStyle w:val="Default"/>
        <w:rPr>
          <w:rFonts w:cs="Arial"/>
        </w:rPr>
      </w:pPr>
    </w:p>
    <w:p w14:paraId="3F92CE2E" w14:textId="77777777" w:rsidR="00576212" w:rsidRPr="00DA2BEB" w:rsidRDefault="00576212" w:rsidP="00A9559F">
      <w:pPr>
        <w:spacing w:line="240" w:lineRule="auto"/>
        <w:rPr>
          <w:rFonts w:ascii="Arial" w:hAnsi="Arial" w:cs="Arial"/>
          <w:color w:val="000000"/>
          <w:sz w:val="23"/>
          <w:szCs w:val="23"/>
        </w:rPr>
      </w:pPr>
      <w:r>
        <w:rPr>
          <w:rFonts w:cs="Arial"/>
          <w:color w:val="000000"/>
        </w:rPr>
        <w:t>Thompson, L.</w:t>
      </w:r>
      <w:r w:rsidRPr="00432030">
        <w:rPr>
          <w:rFonts w:cs="Arial"/>
          <w:color w:val="000000"/>
        </w:rPr>
        <w:t xml:space="preserve">, The </w:t>
      </w:r>
      <w:r w:rsidRPr="00432030">
        <w:rPr>
          <w:rFonts w:cs="Arial"/>
          <w:i/>
          <w:iCs/>
          <w:color w:val="000000"/>
        </w:rPr>
        <w:t xml:space="preserve">Mari Lwyd </w:t>
      </w:r>
      <w:r w:rsidRPr="00432030">
        <w:rPr>
          <w:rFonts w:cs="Arial"/>
          <w:color w:val="000000"/>
        </w:rPr>
        <w:t>and the Horse Queen: Palimpsests of Ancient ideas</w:t>
      </w:r>
      <w:r>
        <w:rPr>
          <w:rFonts w:cs="Arial"/>
          <w:color w:val="000000"/>
        </w:rPr>
        <w:t xml:space="preserve">, (unpublished MA thesis, </w:t>
      </w:r>
      <w:r w:rsidRPr="00432030">
        <w:rPr>
          <w:rFonts w:cs="Arial"/>
          <w:color w:val="000000"/>
        </w:rPr>
        <w:t>the University of Wales Trinity Saint David</w:t>
      </w:r>
      <w:r>
        <w:rPr>
          <w:rFonts w:cs="Arial"/>
          <w:color w:val="000000"/>
        </w:rPr>
        <w:t>, 2012).</w:t>
      </w:r>
      <w:r w:rsidRPr="00432030">
        <w:rPr>
          <w:rFonts w:cs="Arial"/>
          <w:color w:val="000000"/>
        </w:rPr>
        <w:t xml:space="preserve"> </w:t>
      </w:r>
    </w:p>
    <w:p w14:paraId="7DFC8137" w14:textId="77777777" w:rsidR="00BA4FE1" w:rsidRDefault="00BA4FE1" w:rsidP="00A9559F">
      <w:pPr>
        <w:spacing w:line="240" w:lineRule="auto"/>
        <w:rPr>
          <w:color w:val="FF0000"/>
        </w:rPr>
      </w:pPr>
      <w:r>
        <w:t xml:space="preserve">Tierney, J., ‘The Celtic Ethnography of Posidonius’, </w:t>
      </w:r>
      <w:r w:rsidRPr="00517457">
        <w:rPr>
          <w:i/>
        </w:rPr>
        <w:t>Proceedings of the Royal Irish Academy</w:t>
      </w:r>
      <w:r>
        <w:rPr>
          <w:i/>
        </w:rPr>
        <w:t>,</w:t>
      </w:r>
      <w:r>
        <w:t xml:space="preserve"> 60 (Section C #5):</w:t>
      </w:r>
      <w:r w:rsidRPr="00517457">
        <w:rPr>
          <w:color w:val="FF0000"/>
        </w:rPr>
        <w:t xml:space="preserve"> </w:t>
      </w:r>
      <w:r w:rsidRPr="00BF776D">
        <w:t>(Dublin, 1960)</w:t>
      </w:r>
    </w:p>
    <w:p w14:paraId="5AF61842" w14:textId="77777777" w:rsidR="00BA4FE1" w:rsidRDefault="00BA4FE1" w:rsidP="00A9559F">
      <w:pPr>
        <w:autoSpaceDE w:val="0"/>
        <w:autoSpaceDN w:val="0"/>
        <w:adjustRightInd w:val="0"/>
        <w:spacing w:after="0" w:line="240" w:lineRule="auto"/>
        <w:rPr>
          <w:rFonts w:cs="Times New Roman"/>
          <w:bCs/>
        </w:rPr>
      </w:pPr>
      <w:r w:rsidRPr="00C046DD">
        <w:rPr>
          <w:rFonts w:cs="Times New Roman"/>
          <w:bCs/>
        </w:rPr>
        <w:t xml:space="preserve">Warner, R., </w:t>
      </w:r>
      <w:r>
        <w:rPr>
          <w:rFonts w:cs="Times New Roman"/>
          <w:bCs/>
        </w:rPr>
        <w:t>‘</w:t>
      </w:r>
      <w:r w:rsidRPr="00C046DD">
        <w:rPr>
          <w:rFonts w:cs="Times New Roman"/>
          <w:bCs/>
        </w:rPr>
        <w:t>The Broighter hoard – a question of ownership</w:t>
      </w:r>
      <w:r>
        <w:rPr>
          <w:rFonts w:cs="Times New Roman"/>
          <w:bCs/>
        </w:rPr>
        <w:t xml:space="preserve">’, in O’Brien, G., </w:t>
      </w:r>
      <w:r w:rsidRPr="00C046DD">
        <w:rPr>
          <w:rFonts w:cs="Times New Roman"/>
          <w:bCs/>
        </w:rPr>
        <w:t>ed</w:t>
      </w:r>
      <w:r>
        <w:rPr>
          <w:rFonts w:cs="Times New Roman"/>
          <w:bCs/>
        </w:rPr>
        <w:t>,</w:t>
      </w:r>
      <w:r w:rsidRPr="00C046DD">
        <w:rPr>
          <w:rFonts w:cs="Times New Roman"/>
          <w:bCs/>
        </w:rPr>
        <w:t xml:space="preserve"> </w:t>
      </w:r>
      <w:r w:rsidRPr="00C046DD">
        <w:rPr>
          <w:rFonts w:cs="Times New Roman"/>
          <w:bCs/>
          <w:i/>
          <w:iCs/>
        </w:rPr>
        <w:t>Derry &amp; Londonderry: History and</w:t>
      </w:r>
      <w:r>
        <w:rPr>
          <w:rFonts w:cs="Times New Roman"/>
          <w:bCs/>
          <w:i/>
          <w:iCs/>
        </w:rPr>
        <w:t xml:space="preserve"> </w:t>
      </w:r>
      <w:r w:rsidRPr="00C046DD">
        <w:rPr>
          <w:rFonts w:cs="Times New Roman"/>
          <w:bCs/>
          <w:i/>
          <w:iCs/>
        </w:rPr>
        <w:t xml:space="preserve">Society </w:t>
      </w:r>
      <w:r>
        <w:rPr>
          <w:rFonts w:cs="Times New Roman"/>
          <w:bCs/>
        </w:rPr>
        <w:t>(Dublin:</w:t>
      </w:r>
      <w:r w:rsidRPr="00C046DD">
        <w:rPr>
          <w:rFonts w:cs="Times New Roman"/>
          <w:bCs/>
        </w:rPr>
        <w:t xml:space="preserve"> Geography Publications, 1999), 69-90. </w:t>
      </w:r>
      <w:r>
        <w:rPr>
          <w:rFonts w:cs="Times New Roman"/>
          <w:bCs/>
        </w:rPr>
        <w:t xml:space="preserve">[Online: </w:t>
      </w:r>
      <w:hyperlink r:id="rId57" w:history="1">
        <w:r w:rsidRPr="00597AD4">
          <w:rPr>
            <w:rStyle w:val="Hyperlink"/>
            <w:rFonts w:cs="Times New Roman"/>
            <w:bCs/>
          </w:rPr>
          <w:t>https://www.academia.edu/7149570/The_Broighter_hoard_-_a_question_of_ownership</w:t>
        </w:r>
      </w:hyperlink>
      <w:r>
        <w:rPr>
          <w:rFonts w:cs="Times New Roman"/>
          <w:bCs/>
        </w:rPr>
        <w:t xml:space="preserve">] </w:t>
      </w:r>
      <w:r w:rsidRPr="00C046DD">
        <w:rPr>
          <w:rFonts w:cs="Times New Roman"/>
          <w:bCs/>
        </w:rPr>
        <w:t>&lt;Accessed 10</w:t>
      </w:r>
      <w:r>
        <w:rPr>
          <w:rFonts w:cs="Times New Roman"/>
          <w:bCs/>
        </w:rPr>
        <w:t xml:space="preserve"> March 20</w:t>
      </w:r>
      <w:r w:rsidRPr="00C046DD">
        <w:rPr>
          <w:rFonts w:cs="Times New Roman"/>
          <w:bCs/>
        </w:rPr>
        <w:t>18&gt;</w:t>
      </w:r>
    </w:p>
    <w:p w14:paraId="2E0D90CB" w14:textId="77777777" w:rsidR="00BA4FE1" w:rsidRPr="00C046DD" w:rsidRDefault="00BA4FE1" w:rsidP="00BA4FE1">
      <w:pPr>
        <w:autoSpaceDE w:val="0"/>
        <w:autoSpaceDN w:val="0"/>
        <w:adjustRightInd w:val="0"/>
        <w:spacing w:after="0" w:line="240" w:lineRule="auto"/>
        <w:rPr>
          <w:i/>
        </w:rPr>
      </w:pPr>
    </w:p>
    <w:p w14:paraId="5978760A" w14:textId="77777777" w:rsidR="00BA4FE1" w:rsidRDefault="00BA4FE1" w:rsidP="00A9559F">
      <w:pPr>
        <w:spacing w:line="240" w:lineRule="auto"/>
      </w:pPr>
      <w:r w:rsidRPr="000910B5">
        <w:t>Warner, Moles and Chapman</w:t>
      </w:r>
      <w:r>
        <w:t>, ‘</w:t>
      </w:r>
      <w:r w:rsidRPr="000910B5">
        <w:t>Evidence for Early Bronze Age Tin and Gold Extraction</w:t>
      </w:r>
      <w:r>
        <w:t xml:space="preserve"> in the Mourne Mountains, County Down’, </w:t>
      </w:r>
      <w:r w:rsidRPr="00517457">
        <w:rPr>
          <w:i/>
        </w:rPr>
        <w:t>Journal of the Mining Heritage Trust of Ireland</w:t>
      </w:r>
      <w:r w:rsidRPr="000910B5">
        <w:t xml:space="preserve"> </w:t>
      </w:r>
      <w:r>
        <w:t>, 10: (</w:t>
      </w:r>
      <w:r w:rsidRPr="000910B5">
        <w:t>2010</w:t>
      </w:r>
      <w:r>
        <w:t xml:space="preserve">) 29-36   [Online at: </w:t>
      </w:r>
      <w:hyperlink r:id="rId58" w:history="1">
        <w:r w:rsidRPr="00C51CF8">
          <w:rPr>
            <w:rStyle w:val="Hyperlink"/>
          </w:rPr>
          <w:t>https://s3.amazonaws.com/academia.edu.documents/33804431/Tin_Gold.pdf?AWSAccessKeyId=AKIAIWOWYYGZ2Y53UL3A&amp;Expires=1507829143&amp;Signature=H35DK0R%2B1o%2F8N7Knob6Kkx6TInc%3D&amp;response-content-disposition=inline%3B%20filename%3DEvidence_for_Early_Bronze_Age_tin_and_go.pdf</w:t>
        </w:r>
      </w:hyperlink>
      <w:r>
        <w:t>]</w:t>
      </w:r>
    </w:p>
    <w:p w14:paraId="7D55439B" w14:textId="77777777" w:rsidR="00BA4FE1" w:rsidRDefault="00BA4FE1" w:rsidP="00A9559F">
      <w:pPr>
        <w:spacing w:line="240" w:lineRule="auto"/>
      </w:pPr>
      <w:r>
        <w:t xml:space="preserve">&lt;Accessed 12 October 2017&gt; </w:t>
      </w:r>
    </w:p>
    <w:p w14:paraId="4B0F99AD" w14:textId="77777777" w:rsidR="00BA4FE1" w:rsidRDefault="00BA4FE1" w:rsidP="00BA4FE1">
      <w:pPr>
        <w:autoSpaceDE w:val="0"/>
        <w:autoSpaceDN w:val="0"/>
        <w:adjustRightInd w:val="0"/>
        <w:spacing w:after="0" w:line="240" w:lineRule="auto"/>
      </w:pPr>
      <w:r>
        <w:t xml:space="preserve">Webster, Jane, </w:t>
      </w:r>
      <w:r w:rsidRPr="00302A84">
        <w:t>‘A Dirty Window on the Iron Age? Recent Developments in the Archaeology of Pre-Roman Celtic Religion</w:t>
      </w:r>
      <w:r>
        <w:t>,</w:t>
      </w:r>
      <w:r>
        <w:rPr>
          <w:i/>
        </w:rPr>
        <w:t xml:space="preserve">’ </w:t>
      </w:r>
      <w:r>
        <w:t xml:space="preserve">in </w:t>
      </w:r>
      <w:r w:rsidRPr="00302A84">
        <w:rPr>
          <w:rFonts w:cs="Lithos-Regular"/>
          <w:i/>
        </w:rPr>
        <w:t xml:space="preserve">New Approaches to Celtic Religion and Mythology: </w:t>
      </w:r>
      <w:r w:rsidRPr="00302A84">
        <w:rPr>
          <w:rFonts w:cs="Futura-Book"/>
          <w:i/>
        </w:rPr>
        <w:t>Understanding Celtic Religion Revisiting the Pagan Past.</w:t>
      </w:r>
      <w:r>
        <w:rPr>
          <w:rFonts w:cs="Futura-Book"/>
        </w:rPr>
        <w:t xml:space="preserve"> Eds,</w:t>
      </w:r>
      <w:r w:rsidRPr="003235EF">
        <w:rPr>
          <w:rFonts w:cs="Futura-Book"/>
        </w:rPr>
        <w:t xml:space="preserve"> Bergholm</w:t>
      </w:r>
      <w:r>
        <w:rPr>
          <w:rFonts w:cs="Futura-Book"/>
        </w:rPr>
        <w:t>, A., and</w:t>
      </w:r>
      <w:r w:rsidRPr="003235EF">
        <w:rPr>
          <w:rFonts w:cs="Futura-Book"/>
        </w:rPr>
        <w:t xml:space="preserve"> Ritari</w:t>
      </w:r>
      <w:r>
        <w:rPr>
          <w:rFonts w:cs="Futura-Book"/>
        </w:rPr>
        <w:t>, K.,</w:t>
      </w:r>
      <w:r w:rsidRPr="003235EF">
        <w:rPr>
          <w:rFonts w:cs="Futura-Book"/>
        </w:rPr>
        <w:t xml:space="preserve"> and </w:t>
      </w:r>
      <w:r>
        <w:rPr>
          <w:rFonts w:cs="Futura-Book"/>
        </w:rPr>
        <w:t>(</w:t>
      </w:r>
      <w:r w:rsidRPr="003235EF">
        <w:rPr>
          <w:rFonts w:cs="GentiumBasic"/>
        </w:rPr>
        <w:t>Cardiff</w:t>
      </w:r>
      <w:r>
        <w:rPr>
          <w:rFonts w:cs="GentiumBasic"/>
        </w:rPr>
        <w:t>: U</w:t>
      </w:r>
      <w:r w:rsidRPr="003235EF">
        <w:rPr>
          <w:rFonts w:cs="GentiumBasic"/>
        </w:rPr>
        <w:t>niversity of</w:t>
      </w:r>
      <w:r>
        <w:rPr>
          <w:rFonts w:cs="GentiumBasic"/>
        </w:rPr>
        <w:t xml:space="preserve"> W</w:t>
      </w:r>
      <w:r w:rsidRPr="003235EF">
        <w:rPr>
          <w:rFonts w:cs="GentiumBasic"/>
        </w:rPr>
        <w:t xml:space="preserve">ales </w:t>
      </w:r>
      <w:r>
        <w:rPr>
          <w:rFonts w:cs="GentiumBasic"/>
        </w:rPr>
        <w:t>P</w:t>
      </w:r>
      <w:r w:rsidRPr="003235EF">
        <w:rPr>
          <w:rFonts w:cs="GentiumBasic"/>
        </w:rPr>
        <w:t>ress</w:t>
      </w:r>
      <w:r>
        <w:rPr>
          <w:rFonts w:cs="GentiumBasic"/>
        </w:rPr>
        <w:t>,</w:t>
      </w:r>
      <w:r w:rsidRPr="003235EF">
        <w:rPr>
          <w:rFonts w:cs="GentiumBasic"/>
        </w:rPr>
        <w:t xml:space="preserve"> 2015</w:t>
      </w:r>
      <w:r>
        <w:rPr>
          <w:rFonts w:cs="GentiumBasic"/>
        </w:rPr>
        <w:t xml:space="preserve">), available at </w:t>
      </w:r>
      <w:r w:rsidRPr="003235EF">
        <w:t xml:space="preserve"> </w:t>
      </w:r>
      <w:hyperlink r:id="rId59" w:history="1">
        <w:r w:rsidRPr="00597AD4">
          <w:rPr>
            <w:rStyle w:val="Hyperlink"/>
            <w:rFonts w:cs="GentiumBasic"/>
          </w:rPr>
          <w:t>https://www-dawsonera-com.ezproxy.uwtsd.ac.uk/readonline/9781783167937</w:t>
        </w:r>
      </w:hyperlink>
      <w:r>
        <w:rPr>
          <w:rFonts w:cs="GentiumBasic"/>
        </w:rPr>
        <w:t xml:space="preserve">  </w:t>
      </w:r>
      <w:r>
        <w:t>&lt;Accessed 28 March 2018&gt;</w:t>
      </w:r>
    </w:p>
    <w:p w14:paraId="3087722B" w14:textId="77777777" w:rsidR="00BA4FE1" w:rsidRPr="003235EF" w:rsidRDefault="00BA4FE1" w:rsidP="00BA4FE1">
      <w:pPr>
        <w:autoSpaceDE w:val="0"/>
        <w:autoSpaceDN w:val="0"/>
        <w:adjustRightInd w:val="0"/>
        <w:spacing w:after="0" w:line="240" w:lineRule="auto"/>
      </w:pPr>
    </w:p>
    <w:p w14:paraId="573399CF" w14:textId="77777777" w:rsidR="00BA4FE1" w:rsidRDefault="00BA4FE1" w:rsidP="00A9559F">
      <w:pPr>
        <w:spacing w:line="240" w:lineRule="auto"/>
      </w:pPr>
      <w:r>
        <w:t xml:space="preserve">Williams, M., </w:t>
      </w:r>
      <w:r w:rsidRPr="006F792F">
        <w:rPr>
          <w:i/>
        </w:rPr>
        <w:t>Ireland’s Immortal</w:t>
      </w:r>
      <w:r>
        <w:rPr>
          <w:i/>
        </w:rPr>
        <w:t>: a history of the gods of Irish Myth</w:t>
      </w:r>
      <w:r>
        <w:t xml:space="preserve"> (Oxford: Princeton University Press, 2016)</w:t>
      </w:r>
    </w:p>
    <w:p w14:paraId="71A09142" w14:textId="77777777" w:rsidR="00BA4FE1" w:rsidRDefault="00BA4FE1" w:rsidP="00A9559F">
      <w:pPr>
        <w:spacing w:line="240" w:lineRule="auto"/>
        <w:textAlignment w:val="baseline"/>
      </w:pPr>
      <w:r>
        <w:t xml:space="preserve">Wooding, J.M., ed, </w:t>
      </w:r>
      <w:r w:rsidRPr="003C4705">
        <w:rPr>
          <w:i/>
        </w:rPr>
        <w:t>The Otherworld Voyage</w:t>
      </w:r>
      <w:r>
        <w:rPr>
          <w:i/>
        </w:rPr>
        <w:t xml:space="preserve"> in Early Irish Literature: An Anthology of Criticism </w:t>
      </w:r>
      <w:r>
        <w:t>(Dublin: Four Courts Press, 2000)</w:t>
      </w:r>
    </w:p>
    <w:p w14:paraId="37F182DE" w14:textId="77777777" w:rsidR="00BA4FE1" w:rsidRDefault="00BA4FE1" w:rsidP="00A9559F">
      <w:pPr>
        <w:pStyle w:val="Pa1"/>
        <w:spacing w:line="240" w:lineRule="auto"/>
        <w:rPr>
          <w:rFonts w:asciiTheme="minorHAnsi" w:hAnsiTheme="minorHAnsi" w:cs="Gill Sans MT"/>
          <w:color w:val="000000"/>
          <w:sz w:val="22"/>
          <w:szCs w:val="28"/>
        </w:rPr>
      </w:pPr>
      <w:r w:rsidRPr="006D1772">
        <w:rPr>
          <w:rFonts w:asciiTheme="minorHAnsi" w:hAnsiTheme="minorHAnsi"/>
          <w:sz w:val="22"/>
          <w:szCs w:val="22"/>
        </w:rPr>
        <w:t xml:space="preserve">Wooding, J.M., </w:t>
      </w:r>
      <w:r>
        <w:rPr>
          <w:rFonts w:asciiTheme="minorHAnsi" w:hAnsiTheme="minorHAnsi"/>
          <w:sz w:val="22"/>
          <w:szCs w:val="22"/>
        </w:rPr>
        <w:t>‘</w:t>
      </w:r>
      <w:r w:rsidRPr="006D1772">
        <w:rPr>
          <w:rFonts w:asciiTheme="minorHAnsi" w:hAnsiTheme="minorHAnsi"/>
          <w:sz w:val="22"/>
          <w:szCs w:val="22"/>
        </w:rPr>
        <w:t>Reapproaching the Pagan Celtic Past</w:t>
      </w:r>
      <w:r w:rsidRPr="006D1772">
        <w:rPr>
          <w:rFonts w:asciiTheme="minorHAnsi" w:hAnsiTheme="minorHAnsi" w:cs="Gill Sans MT"/>
          <w:color w:val="000000"/>
          <w:sz w:val="22"/>
          <w:szCs w:val="22"/>
        </w:rPr>
        <w:t xml:space="preserve"> – Anti-Nativism, Asterisk Reality and the Late-Antiquity Paradigm</w:t>
      </w:r>
      <w:r>
        <w:rPr>
          <w:rFonts w:asciiTheme="minorHAnsi" w:hAnsiTheme="minorHAnsi" w:cs="Gill Sans MT"/>
          <w:color w:val="000000"/>
          <w:sz w:val="22"/>
          <w:szCs w:val="22"/>
        </w:rPr>
        <w:t>’</w:t>
      </w:r>
      <w:r w:rsidRPr="006D1772">
        <w:rPr>
          <w:rFonts w:asciiTheme="minorHAnsi" w:hAnsiTheme="minorHAnsi" w:cs="Gill Sans MT"/>
          <w:color w:val="000000"/>
          <w:sz w:val="22"/>
          <w:szCs w:val="22"/>
        </w:rPr>
        <w:t xml:space="preserve"> </w:t>
      </w:r>
      <w:r>
        <w:rPr>
          <w:rFonts w:asciiTheme="minorHAnsi" w:hAnsiTheme="minorHAnsi" w:cs="Gill Sans MT"/>
          <w:color w:val="000000"/>
          <w:sz w:val="22"/>
          <w:szCs w:val="22"/>
        </w:rPr>
        <w:t xml:space="preserve"> in </w:t>
      </w:r>
      <w:r w:rsidRPr="006D1772">
        <w:rPr>
          <w:rFonts w:asciiTheme="minorHAnsi" w:hAnsiTheme="minorHAnsi" w:cs="Gill Sans MT"/>
          <w:i/>
          <w:color w:val="000000"/>
          <w:sz w:val="22"/>
          <w:szCs w:val="28"/>
        </w:rPr>
        <w:t>Studia Celtica Fennica</w:t>
      </w:r>
      <w:r w:rsidRPr="006D1772">
        <w:rPr>
          <w:rFonts w:asciiTheme="minorHAnsi" w:hAnsiTheme="minorHAnsi" w:cs="Gill Sans MT"/>
          <w:color w:val="000000"/>
          <w:sz w:val="22"/>
          <w:szCs w:val="28"/>
        </w:rPr>
        <w:t xml:space="preserve"> VI</w:t>
      </w:r>
      <w:r>
        <w:rPr>
          <w:rFonts w:asciiTheme="minorHAnsi" w:hAnsiTheme="minorHAnsi" w:cs="Gill Sans MT"/>
          <w:color w:val="000000"/>
          <w:sz w:val="22"/>
          <w:szCs w:val="28"/>
        </w:rPr>
        <w:t>:</w:t>
      </w:r>
      <w:r w:rsidRPr="006D1772">
        <w:rPr>
          <w:rFonts w:asciiTheme="minorHAnsi" w:hAnsiTheme="minorHAnsi" w:cs="Gill Sans MT"/>
          <w:color w:val="000000"/>
          <w:sz w:val="22"/>
          <w:szCs w:val="28"/>
        </w:rPr>
        <w:t xml:space="preserve"> </w:t>
      </w:r>
      <w:r>
        <w:rPr>
          <w:rFonts w:asciiTheme="minorHAnsi" w:hAnsiTheme="minorHAnsi" w:cs="Gill Sans MT"/>
          <w:color w:val="000000"/>
          <w:sz w:val="22"/>
          <w:szCs w:val="28"/>
        </w:rPr>
        <w:t>(</w:t>
      </w:r>
      <w:r w:rsidRPr="006D1772">
        <w:rPr>
          <w:rFonts w:asciiTheme="minorHAnsi" w:hAnsiTheme="minorHAnsi" w:cs="Gill Sans MT"/>
          <w:color w:val="000000"/>
          <w:sz w:val="22"/>
          <w:szCs w:val="28"/>
        </w:rPr>
        <w:t>2009</w:t>
      </w:r>
      <w:r>
        <w:rPr>
          <w:rFonts w:asciiTheme="minorHAnsi" w:hAnsiTheme="minorHAnsi" w:cs="Gill Sans MT"/>
          <w:color w:val="000000"/>
          <w:sz w:val="22"/>
          <w:szCs w:val="28"/>
        </w:rPr>
        <w:t xml:space="preserve">), 61-74  [Online: </w:t>
      </w:r>
      <w:hyperlink r:id="rId60" w:history="1">
        <w:r w:rsidRPr="00597AD4">
          <w:rPr>
            <w:rStyle w:val="Hyperlink"/>
            <w:rFonts w:asciiTheme="minorHAnsi" w:hAnsiTheme="minorHAnsi" w:cs="Gill Sans MT"/>
            <w:sz w:val="22"/>
            <w:szCs w:val="28"/>
          </w:rPr>
          <w:t>http://www.sfks.org/SC_VI_2009_24112010.pdf</w:t>
        </w:r>
      </w:hyperlink>
      <w:r>
        <w:rPr>
          <w:rFonts w:asciiTheme="minorHAnsi" w:hAnsiTheme="minorHAnsi" w:cs="Gill Sans MT"/>
          <w:color w:val="000000"/>
          <w:sz w:val="22"/>
          <w:szCs w:val="28"/>
        </w:rPr>
        <w:t xml:space="preserve">] &lt;Accessed 5 March 2018&gt; </w:t>
      </w:r>
    </w:p>
    <w:p w14:paraId="47365C15" w14:textId="77777777" w:rsidR="00BA4FE1" w:rsidRDefault="00BA4FE1" w:rsidP="00BA4FE1">
      <w:pPr>
        <w:pStyle w:val="Default"/>
      </w:pPr>
    </w:p>
    <w:p w14:paraId="0B777EE1" w14:textId="77777777" w:rsidR="00BA4FE1" w:rsidRPr="007A4EA8" w:rsidRDefault="00BA4FE1" w:rsidP="00A9559F">
      <w:pPr>
        <w:pStyle w:val="Default"/>
        <w:rPr>
          <w:rFonts w:asciiTheme="minorHAnsi" w:hAnsiTheme="minorHAnsi"/>
          <w:sz w:val="22"/>
        </w:rPr>
      </w:pPr>
      <w:r w:rsidRPr="007A4EA8">
        <w:rPr>
          <w:rFonts w:asciiTheme="minorHAnsi" w:hAnsiTheme="minorHAnsi"/>
          <w:sz w:val="22"/>
        </w:rPr>
        <w:t xml:space="preserve">Wooding, J.M., </w:t>
      </w:r>
      <w:r>
        <w:rPr>
          <w:rFonts w:asciiTheme="minorHAnsi" w:hAnsiTheme="minorHAnsi"/>
          <w:sz w:val="22"/>
        </w:rPr>
        <w:t>‘</w:t>
      </w:r>
      <w:r w:rsidRPr="007A4EA8">
        <w:rPr>
          <w:rFonts w:asciiTheme="minorHAnsi" w:hAnsiTheme="minorHAnsi"/>
          <w:sz w:val="22"/>
        </w:rPr>
        <w:t>Tyrannies of Distance? Medieval sources as evidence for indigenous Celtic and Romano-Celtic religion</w:t>
      </w:r>
      <w:r>
        <w:rPr>
          <w:rFonts w:asciiTheme="minorHAnsi" w:hAnsiTheme="minorHAnsi"/>
          <w:sz w:val="22"/>
        </w:rPr>
        <w:t>’</w:t>
      </w:r>
      <w:r w:rsidRPr="007A4EA8">
        <w:rPr>
          <w:rFonts w:asciiTheme="minorHAnsi" w:hAnsiTheme="minorHAnsi"/>
          <w:sz w:val="22"/>
        </w:rPr>
        <w:t xml:space="preserve"> in</w:t>
      </w:r>
      <w:r w:rsidRPr="00F50265">
        <w:rPr>
          <w:rFonts w:asciiTheme="minorHAnsi" w:hAnsiTheme="minorHAnsi"/>
          <w:sz w:val="22"/>
        </w:rPr>
        <w:t xml:space="preserve"> </w:t>
      </w:r>
      <w:r w:rsidRPr="007A4EA8">
        <w:rPr>
          <w:rFonts w:asciiTheme="minorHAnsi" w:hAnsiTheme="minorHAnsi"/>
          <w:sz w:val="22"/>
        </w:rPr>
        <w:t>Haeussler, R., &amp; King, A.,</w:t>
      </w:r>
      <w:r>
        <w:rPr>
          <w:rFonts w:asciiTheme="minorHAnsi" w:hAnsiTheme="minorHAnsi"/>
          <w:sz w:val="22"/>
        </w:rPr>
        <w:t xml:space="preserve"> eds, </w:t>
      </w:r>
      <w:r w:rsidRPr="007A4EA8">
        <w:rPr>
          <w:rFonts w:asciiTheme="minorHAnsi" w:hAnsiTheme="minorHAnsi"/>
          <w:i/>
          <w:sz w:val="22"/>
        </w:rPr>
        <w:t>Celtic Religions in the Roman Period</w:t>
      </w:r>
      <w:r w:rsidRPr="007A4EA8">
        <w:rPr>
          <w:rFonts w:asciiTheme="minorHAnsi" w:hAnsiTheme="minorHAnsi"/>
          <w:sz w:val="22"/>
        </w:rPr>
        <w:t xml:space="preserve"> </w:t>
      </w:r>
      <w:r>
        <w:rPr>
          <w:rFonts w:asciiTheme="minorHAnsi" w:hAnsiTheme="minorHAnsi"/>
          <w:sz w:val="22"/>
        </w:rPr>
        <w:t>,</w:t>
      </w:r>
      <w:r w:rsidRPr="007A4EA8">
        <w:rPr>
          <w:rFonts w:asciiTheme="minorHAnsi" w:hAnsiTheme="minorHAnsi"/>
          <w:sz w:val="22"/>
        </w:rPr>
        <w:t xml:space="preserve"> (Aberystwyth: Celtic Stu</w:t>
      </w:r>
      <w:r>
        <w:rPr>
          <w:rFonts w:asciiTheme="minorHAnsi" w:hAnsiTheme="minorHAnsi"/>
          <w:sz w:val="22"/>
        </w:rPr>
        <w:t xml:space="preserve">dies Publications XX, 2017) </w:t>
      </w:r>
      <w:r w:rsidRPr="007A4EA8">
        <w:rPr>
          <w:rFonts w:asciiTheme="minorHAnsi" w:hAnsiTheme="minorHAnsi"/>
          <w:sz w:val="22"/>
        </w:rPr>
        <w:t>57-70</w:t>
      </w:r>
      <w:r>
        <w:rPr>
          <w:rFonts w:asciiTheme="minorHAnsi" w:hAnsiTheme="minorHAnsi"/>
          <w:sz w:val="22"/>
        </w:rPr>
        <w:t>.</w:t>
      </w:r>
    </w:p>
    <w:p w14:paraId="024B2AC6" w14:textId="77777777" w:rsidR="00BA4FE1" w:rsidRPr="00A7038E" w:rsidRDefault="00BA4FE1" w:rsidP="00BA4FE1">
      <w:pPr>
        <w:pStyle w:val="Default"/>
      </w:pPr>
    </w:p>
    <w:p w14:paraId="18B4A7C7" w14:textId="77777777" w:rsidR="00BA4FE1" w:rsidRPr="00A7038E" w:rsidRDefault="00BA4FE1" w:rsidP="00A9559F">
      <w:pPr>
        <w:spacing w:line="240" w:lineRule="auto"/>
      </w:pPr>
      <w:r>
        <w:t>Yocum, C,</w:t>
      </w:r>
      <w:r w:rsidRPr="00A7038E">
        <w:t xml:space="preserve"> G</w:t>
      </w:r>
      <w:r>
        <w:t>.</w:t>
      </w:r>
      <w:r w:rsidRPr="00A7038E">
        <w:t xml:space="preserve">, </w:t>
      </w:r>
      <w:r>
        <w:t>‘Wisdom Literature in Early Ireland’ in S</w:t>
      </w:r>
      <w:r w:rsidRPr="00A7038E">
        <w:rPr>
          <w:rFonts w:cs="BaskervilleBT-Roman"/>
          <w:i/>
        </w:rPr>
        <w:t xml:space="preserve">tudia </w:t>
      </w:r>
      <w:r>
        <w:rPr>
          <w:rFonts w:cs="BaskervilleBT-Roman"/>
          <w:i/>
        </w:rPr>
        <w:t>C</w:t>
      </w:r>
      <w:r w:rsidRPr="00A7038E">
        <w:rPr>
          <w:rFonts w:cs="BaskervilleBT-Roman"/>
          <w:i/>
        </w:rPr>
        <w:t>eltica</w:t>
      </w:r>
      <w:r w:rsidRPr="00A7038E">
        <w:rPr>
          <w:rFonts w:cs="BaskervilleBT-Roman"/>
        </w:rPr>
        <w:t>, XLVI</w:t>
      </w:r>
      <w:r>
        <w:rPr>
          <w:rFonts w:cs="BaskervilleBT-Roman"/>
        </w:rPr>
        <w:t>:</w:t>
      </w:r>
      <w:r w:rsidRPr="00A7038E">
        <w:rPr>
          <w:rFonts w:cs="BaskervilleBT-Roman"/>
        </w:rPr>
        <w:t xml:space="preserve"> (2012), 39–58</w:t>
      </w:r>
      <w:r>
        <w:rPr>
          <w:rFonts w:cs="BaskervilleBT-Roman"/>
        </w:rPr>
        <w:t xml:space="preserve"> [Online: </w:t>
      </w:r>
      <w:hyperlink r:id="rId61" w:history="1">
        <w:r w:rsidRPr="00C51CF8">
          <w:rPr>
            <w:rStyle w:val="Hyperlink"/>
          </w:rPr>
          <w:t>https://s3.amazonaws.com/academia.edu.documents/37562644/wisdomlit.pdf?AWSAccessKeyId=AKIAIWOWYYGZ2Y53UL3A&amp;Expires=1520294880&amp;Signature=IW3gRmYSm%2F%2Bj4OP4cUKrpo4q6V0%3D&amp;response-content-disposition=inline%3B%20filename%3DWisdom_Literature_in_Early_Ireland.pdf</w:t>
        </w:r>
      </w:hyperlink>
      <w:r>
        <w:t xml:space="preserve"> ]  </w:t>
      </w:r>
      <w:r>
        <w:rPr>
          <w:rFonts w:cs="BaskervilleBT-Roman"/>
        </w:rPr>
        <w:t>&lt;Accessed 5 March 2018 &amp; 29 March 2018&gt;</w:t>
      </w:r>
    </w:p>
    <w:p w14:paraId="65953976" w14:textId="77777777" w:rsidR="00FD64C2" w:rsidRPr="00AC4178" w:rsidRDefault="00FD64C2" w:rsidP="00AC4178">
      <w:pPr>
        <w:spacing w:line="360" w:lineRule="auto"/>
        <w:jc w:val="center"/>
        <w:rPr>
          <w:sz w:val="28"/>
          <w:u w:val="single"/>
        </w:rPr>
      </w:pPr>
    </w:p>
    <w:p w14:paraId="28CA4F3E" w14:textId="77777777" w:rsidR="00D728E2" w:rsidRPr="00D728E2" w:rsidRDefault="00D728E2" w:rsidP="00A43FA5">
      <w:pPr>
        <w:spacing w:line="360" w:lineRule="auto"/>
      </w:pPr>
    </w:p>
    <w:p w14:paraId="744EBC29" w14:textId="77777777" w:rsidR="00D728E2" w:rsidRPr="00D728E2" w:rsidRDefault="00D728E2" w:rsidP="00A43FA5">
      <w:pPr>
        <w:spacing w:line="360" w:lineRule="auto"/>
        <w:jc w:val="center"/>
        <w:rPr>
          <w:b/>
          <w:sz w:val="28"/>
        </w:rPr>
      </w:pPr>
    </w:p>
    <w:sectPr w:rsidR="00D728E2" w:rsidRPr="00D728E2" w:rsidSect="000A545F">
      <w:headerReference w:type="default" r:id="rId62"/>
      <w:footerReference w:type="default" r:id="rId6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7" w:author="Alaw Mai" w:date="2018-04-19T21:15:00Z" w:initials="AM">
    <w:p w14:paraId="7E4627A7" w14:textId="77777777" w:rsidR="002D0211" w:rsidRDefault="002D0211">
      <w:pPr>
        <w:pStyle w:val="CommentText"/>
      </w:pPr>
      <w:r>
        <w:rPr>
          <w:rStyle w:val="CommentReference"/>
        </w:rPr>
        <w:annotationRef/>
      </w:r>
      <w:r>
        <w:t>Overall good use of textual examples and footnotes, but could be further improved by formatting better.</w:t>
      </w:r>
    </w:p>
  </w:comment>
  <w:comment w:id="18" w:author="Alaw Mai" w:date="2018-04-19T21:11:00Z" w:initials="AM">
    <w:p w14:paraId="646C3EAE" w14:textId="77777777" w:rsidR="002D0211" w:rsidRDefault="002D0211">
      <w:pPr>
        <w:pStyle w:val="CommentText"/>
      </w:pPr>
      <w:r>
        <w:rPr>
          <w:rStyle w:val="CommentReference"/>
        </w:rPr>
        <w:annotationRef/>
      </w:r>
      <w:r>
        <w:t>Yes, indeed, however there are many others possible ‘purposes’ of this tale.</w:t>
      </w:r>
    </w:p>
  </w:comment>
  <w:comment w:id="19" w:author="Alaw Mai" w:date="2018-04-19T21:16:00Z" w:initials="AM">
    <w:p w14:paraId="27AD93B8" w14:textId="77777777" w:rsidR="002D0211" w:rsidRDefault="002D0211">
      <w:pPr>
        <w:pStyle w:val="CommentText"/>
      </w:pPr>
      <w:r>
        <w:rPr>
          <w:rStyle w:val="CommentReference"/>
        </w:rPr>
        <w:annotationRef/>
      </w:r>
      <w:r>
        <w:t>Good to here your own voice!</w:t>
      </w:r>
    </w:p>
  </w:comment>
  <w:comment w:id="22" w:author="Alaw Mai" w:date="2018-04-19T21:17:00Z" w:initials="AM">
    <w:p w14:paraId="4908D302" w14:textId="77777777" w:rsidR="002D0211" w:rsidRDefault="002D0211">
      <w:pPr>
        <w:pStyle w:val="CommentText"/>
      </w:pPr>
      <w:r>
        <w:rPr>
          <w:rStyle w:val="CommentReference"/>
        </w:rPr>
        <w:annotationRef/>
      </w:r>
      <w:r>
        <w:t>A very long footnote – which is fine, but is it necessary?</w:t>
      </w:r>
    </w:p>
  </w:comment>
  <w:comment w:id="25" w:author="Alaw Mai" w:date="2018-04-19T21:20:00Z" w:initials="AM">
    <w:p w14:paraId="7293D368" w14:textId="77777777" w:rsidR="002D0211" w:rsidRDefault="002D0211">
      <w:pPr>
        <w:pStyle w:val="CommentText"/>
      </w:pPr>
      <w:r>
        <w:rPr>
          <w:rStyle w:val="CommentReference"/>
        </w:rPr>
        <w:annotationRef/>
      </w:r>
      <w:r>
        <w:t>Could include more about the manuscripts tradition here.</w:t>
      </w:r>
    </w:p>
  </w:comment>
  <w:comment w:id="29" w:author="Alaw Mai" w:date="2018-04-19T21:23:00Z" w:initials="AM">
    <w:p w14:paraId="2C223B43" w14:textId="77777777" w:rsidR="002D0211" w:rsidRDefault="002D0211">
      <w:pPr>
        <w:pStyle w:val="CommentText"/>
      </w:pPr>
      <w:r>
        <w:rPr>
          <w:rStyle w:val="CommentReference"/>
        </w:rPr>
        <w:annotationRef/>
      </w:r>
      <w:r>
        <w:t>You have interesting subheadings!</w:t>
      </w:r>
    </w:p>
  </w:comment>
  <w:comment w:id="44" w:author="Alaw Mai" w:date="2018-04-19T21:27:00Z" w:initials="AM">
    <w:p w14:paraId="38484432" w14:textId="77777777" w:rsidR="00705CA5" w:rsidRDefault="00705CA5">
      <w:pPr>
        <w:pStyle w:val="CommentText"/>
      </w:pPr>
      <w:r>
        <w:rPr>
          <w:rStyle w:val="CommentReference"/>
        </w:rPr>
        <w:annotationRef/>
      </w:r>
      <w:r>
        <w:t>Yes, but this is a very general and slightly obvious statement.</w:t>
      </w:r>
    </w:p>
  </w:comment>
  <w:comment w:id="46" w:author="Alaw Mai" w:date="2018-04-19T21:30:00Z" w:initials="AM">
    <w:p w14:paraId="476CF73F" w14:textId="77777777" w:rsidR="00705CA5" w:rsidRDefault="00705CA5">
      <w:pPr>
        <w:pStyle w:val="CommentText"/>
      </w:pPr>
      <w:r>
        <w:rPr>
          <w:rStyle w:val="CommentReference"/>
        </w:rPr>
        <w:annotationRef/>
      </w:r>
      <w:r>
        <w:t>Some of your notes in footnotes are valuable enough to be included in the main text – especially regarding themes.</w:t>
      </w:r>
    </w:p>
  </w:comment>
  <w:comment w:id="56" w:author="Alaw Mai" w:date="2018-04-19T21:36:00Z" w:initials="AM">
    <w:p w14:paraId="3A5617DC" w14:textId="77777777" w:rsidR="0021054B" w:rsidRDefault="0021054B">
      <w:pPr>
        <w:pStyle w:val="CommentText"/>
      </w:pPr>
      <w:r>
        <w:rPr>
          <w:rStyle w:val="CommentReference"/>
        </w:rPr>
        <w:annotationRef/>
      </w:r>
      <w:r>
        <w:t>I would start a new sentence here.</w:t>
      </w:r>
    </w:p>
  </w:comment>
  <w:comment w:id="60" w:author="Alaw Mai" w:date="2018-04-19T21:37:00Z" w:initials="AM">
    <w:p w14:paraId="13DE22F3" w14:textId="77777777" w:rsidR="0021054B" w:rsidRDefault="0021054B">
      <w:pPr>
        <w:pStyle w:val="CommentText"/>
      </w:pPr>
      <w:r>
        <w:rPr>
          <w:rStyle w:val="CommentReference"/>
        </w:rPr>
        <w:annotationRef/>
      </w:r>
      <w:r>
        <w:t xml:space="preserve">Good suggestion – women do have an interesting link to the Otherworld, especially in this tale. You also have some well made points and examples in this footnote. </w:t>
      </w:r>
    </w:p>
  </w:comment>
  <w:comment w:id="77" w:author="Alaw Mai" w:date="2018-04-19T21:44:00Z" w:initials="AM">
    <w:p w14:paraId="4BEF7774" w14:textId="77777777" w:rsidR="0021054B" w:rsidRDefault="0021054B">
      <w:pPr>
        <w:pStyle w:val="CommentText"/>
      </w:pPr>
      <w:r>
        <w:rPr>
          <w:rStyle w:val="CommentReference"/>
        </w:rPr>
        <w:annotationRef/>
      </w:r>
      <w:r>
        <w:t xml:space="preserve">Also the starling who </w:t>
      </w:r>
      <w:r w:rsidR="00377E43">
        <w:t>Branwen uses as a messenger</w:t>
      </w:r>
      <w:r>
        <w:t xml:space="preserve"> to talk</w:t>
      </w:r>
      <w:r w:rsidR="00377E43">
        <w:t xml:space="preserve"> to her brother, Bran.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E4627A7" w15:done="0"/>
  <w15:commentEx w15:paraId="646C3EAE" w15:done="0"/>
  <w15:commentEx w15:paraId="27AD93B8" w15:done="0"/>
  <w15:commentEx w15:paraId="4908D302" w15:done="0"/>
  <w15:commentEx w15:paraId="7293D368" w15:done="0"/>
  <w15:commentEx w15:paraId="2C223B43" w15:done="0"/>
  <w15:commentEx w15:paraId="38484432" w15:done="0"/>
  <w15:commentEx w15:paraId="476CF73F" w15:done="0"/>
  <w15:commentEx w15:paraId="3A5617DC" w15:done="0"/>
  <w15:commentEx w15:paraId="13DE22F3" w15:done="0"/>
  <w15:commentEx w15:paraId="4BEF7774"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E4627A7" w16cid:durableId="1E83856D"/>
  <w16cid:commentId w16cid:paraId="646C3EAE" w16cid:durableId="1E83846E"/>
  <w16cid:commentId w16cid:paraId="27AD93B8" w16cid:durableId="1E8385AF"/>
  <w16cid:commentId w16cid:paraId="4908D302" w16cid:durableId="1E8385FD"/>
  <w16cid:commentId w16cid:paraId="7293D368" w16cid:durableId="1E838686"/>
  <w16cid:commentId w16cid:paraId="2C223B43" w16cid:durableId="1E83875F"/>
  <w16cid:commentId w16cid:paraId="38484432" w16cid:durableId="1E838859"/>
  <w16cid:commentId w16cid:paraId="476CF73F" w16cid:durableId="1E8388D9"/>
  <w16cid:commentId w16cid:paraId="3A5617DC" w16cid:durableId="1E838A5E"/>
  <w16cid:commentId w16cid:paraId="13DE22F3" w16cid:durableId="1E838A9E"/>
  <w16cid:commentId w16cid:paraId="4BEF7774" w16cid:durableId="1E838C4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6D1661" w14:textId="77777777" w:rsidR="004F0282" w:rsidRDefault="004F0282" w:rsidP="00D728E2">
      <w:pPr>
        <w:spacing w:after="0" w:line="240" w:lineRule="auto"/>
      </w:pPr>
      <w:r>
        <w:separator/>
      </w:r>
    </w:p>
  </w:endnote>
  <w:endnote w:type="continuationSeparator" w:id="0">
    <w:p w14:paraId="554B716E" w14:textId="77777777" w:rsidR="004F0282" w:rsidRDefault="004F0282" w:rsidP="00D728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ode">
    <w:altName w:val="Calibri"/>
    <w:panose1 w:val="00000000000000000000"/>
    <w:charset w:val="00"/>
    <w:family w:val="swiss"/>
    <w:notTrueType/>
    <w:pitch w:val="default"/>
    <w:sig w:usb0="00000003" w:usb1="00000000" w:usb2="00000000" w:usb3="00000000" w:csb0="00000001" w:csb1="00000000"/>
  </w:font>
  <w:font w:name="Gill Sans MT">
    <w:panose1 w:val="020B0502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noPro">
    <w:panose1 w:val="00000000000000000000"/>
    <w:charset w:val="00"/>
    <w:family w:val="auto"/>
    <w:notTrueType/>
    <w:pitch w:val="default"/>
    <w:sig w:usb0="00000003" w:usb1="00000000" w:usb2="00000000" w:usb3="00000000" w:csb0="00000001" w:csb1="00000000"/>
  </w:font>
  <w:font w:name="Helvetica">
    <w:altName w:val="Arial"/>
    <w:panose1 w:val="020B0504020202020204"/>
    <w:charset w:val="00"/>
    <w:family w:val="swiss"/>
    <w:pitch w:val="variable"/>
    <w:sig w:usb0="00000003" w:usb1="00000000" w:usb2="00000000" w:usb3="00000000" w:csb0="00000001" w:csb1="00000000"/>
  </w:font>
  <w:font w:name="BaskervilleBT-Roman">
    <w:panose1 w:val="00000000000000000000"/>
    <w:charset w:val="00"/>
    <w:family w:val="swiss"/>
    <w:notTrueType/>
    <w:pitch w:val="default"/>
    <w:sig w:usb0="00000003" w:usb1="00000000" w:usb2="00000000" w:usb3="00000000" w:csb0="00000001" w:csb1="00000000"/>
  </w:font>
  <w:font w:name="Lithos-Regular">
    <w:panose1 w:val="00000000000000000000"/>
    <w:charset w:val="00"/>
    <w:family w:val="swiss"/>
    <w:notTrueType/>
    <w:pitch w:val="default"/>
    <w:sig w:usb0="00000003" w:usb1="00000000" w:usb2="00000000" w:usb3="00000000" w:csb0="00000001" w:csb1="00000000"/>
  </w:font>
  <w:font w:name="Futura-Book">
    <w:panose1 w:val="00000000000000000000"/>
    <w:charset w:val="00"/>
    <w:family w:val="swiss"/>
    <w:notTrueType/>
    <w:pitch w:val="default"/>
    <w:sig w:usb0="00000003" w:usb1="00000000" w:usb2="00000000" w:usb3="00000000" w:csb0="00000001" w:csb1="00000000"/>
  </w:font>
  <w:font w:name="GentiumBasic">
    <w:panose1 w:val="00000000000000000000"/>
    <w:charset w:val="00"/>
    <w:family w:val="roman"/>
    <w:notTrueType/>
    <w:pitch w:val="default"/>
    <w:sig w:usb0="00000003" w:usb1="00000000" w:usb2="00000000" w:usb3="00000000" w:csb0="00000001" w:csb1="00000000"/>
  </w:font>
  <w:font w:name="GillSans">
    <w:panose1 w:val="00000000000000000000"/>
    <w:charset w:val="00"/>
    <w:family w:val="auto"/>
    <w:notTrueType/>
    <w:pitch w:val="default"/>
    <w:sig w:usb0="00000003" w:usb1="00000000" w:usb2="00000000" w:usb3="00000000" w:csb0="00000001" w:csb1="00000000"/>
  </w:font>
  <w:font w:name="GillSansMT">
    <w:panose1 w:val="00000000000000000000"/>
    <w:charset w:val="00"/>
    <w:family w:val="auto"/>
    <w:notTrueType/>
    <w:pitch w:val="default"/>
    <w:sig w:usb0="00000003" w:usb1="00000000" w:usb2="00000000" w:usb3="00000000" w:csb0="00000001" w:csb1="00000000"/>
  </w:font>
  <w:font w:name="GentiumBasic-Italic">
    <w:panose1 w:val="00000000000000000000"/>
    <w:charset w:val="00"/>
    <w:family w:val="roman"/>
    <w:notTrueType/>
    <w:pitch w:val="default"/>
    <w:sig w:usb0="00000003" w:usb1="00000000" w:usb2="00000000" w:usb3="00000000" w:csb0="00000001" w:csb1="00000000"/>
  </w:font>
  <w:font w:name="SerlioLH">
    <w:panose1 w:val="00000000000000000000"/>
    <w:charset w:val="00"/>
    <w:family w:val="roman"/>
    <w:notTrueType/>
    <w:pitch w:val="default"/>
    <w:sig w:usb0="00000003" w:usb1="00000000" w:usb2="00000000" w:usb3="00000000" w:csb0="00000001" w:csb1="00000000"/>
  </w:font>
  <w:font w:name="Times">
    <w:panose1 w:val="02020603050405020304"/>
    <w:charset w:val="00"/>
    <w:family w:val="roman"/>
    <w:pitch w:val="variable"/>
    <w:sig w:usb0="E0002AFF" w:usb1="C0007841" w:usb2="00000009" w:usb3="00000000" w:csb0="000001FF" w:csb1="00000000"/>
  </w:font>
  <w:font w:name="AdvP7C34">
    <w:panose1 w:val="00000000000000000000"/>
    <w:charset w:val="00"/>
    <w:family w:val="swiss"/>
    <w:notTrueType/>
    <w:pitch w:val="default"/>
    <w:sig w:usb0="00000003" w:usb1="00000000" w:usb2="00000000" w:usb3="00000000" w:csb0="00000001" w:csb1="00000000"/>
  </w:font>
  <w:font w:name="AdvP7C2E">
    <w:panose1 w:val="00000000000000000000"/>
    <w:charset w:val="00"/>
    <w:family w:val="roman"/>
    <w:notTrueType/>
    <w:pitch w:val="default"/>
    <w:sig w:usb0="00000003" w:usb1="00000000" w:usb2="00000000" w:usb3="00000000" w:csb0="00000001" w:csb1="00000000"/>
  </w:font>
  <w:font w:name="Sylfaen">
    <w:panose1 w:val="010A0502050306030303"/>
    <w:charset w:val="00"/>
    <w:family w:val="roman"/>
    <w:pitch w:val="variable"/>
    <w:sig w:usb0="040006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ArialUnicodeMS">
    <w:panose1 w:val="00000000000000000000"/>
    <w:charset w:val="00"/>
    <w:family w:val="auto"/>
    <w:notTrueType/>
    <w:pitch w:val="default"/>
    <w:sig w:usb0="00000003" w:usb1="00000000" w:usb2="00000000" w:usb3="00000000" w:csb0="00000001" w:csb1="00000000"/>
  </w:font>
  <w:font w:name="OpenSans-Semibold">
    <w:panose1 w:val="00000000000000000000"/>
    <w:charset w:val="00"/>
    <w:family w:val="auto"/>
    <w:notTrueType/>
    <w:pitch w:val="default"/>
    <w:sig w:usb0="00000003" w:usb1="00000000" w:usb2="00000000" w:usb3="00000000" w:csb0="00000001" w:csb1="00000000"/>
  </w:font>
  <w:font w:name="OpenSans">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375192"/>
      <w:docPartObj>
        <w:docPartGallery w:val="Page Numbers (Bottom of Page)"/>
        <w:docPartUnique/>
      </w:docPartObj>
    </w:sdtPr>
    <w:sdtEndPr/>
    <w:sdtContent>
      <w:p w14:paraId="16E98F77" w14:textId="77777777" w:rsidR="002D0211" w:rsidRDefault="002D0211">
        <w:pPr>
          <w:pStyle w:val="Footer"/>
          <w:jc w:val="center"/>
        </w:pPr>
        <w:r>
          <w:fldChar w:fldCharType="begin"/>
        </w:r>
        <w:r>
          <w:instrText xml:space="preserve"> PAGE   \* MERGEFORMAT </w:instrText>
        </w:r>
        <w:r>
          <w:fldChar w:fldCharType="separate"/>
        </w:r>
        <w:r>
          <w:rPr>
            <w:noProof/>
          </w:rPr>
          <w:t>13</w:t>
        </w:r>
        <w:r>
          <w:rPr>
            <w:noProof/>
          </w:rPr>
          <w:fldChar w:fldCharType="end"/>
        </w:r>
      </w:p>
    </w:sdtContent>
  </w:sdt>
  <w:p w14:paraId="19319363" w14:textId="77777777" w:rsidR="002D0211" w:rsidRDefault="002D02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FA5DC5" w14:textId="77777777" w:rsidR="004F0282" w:rsidRDefault="004F0282" w:rsidP="00D728E2">
      <w:pPr>
        <w:spacing w:after="0" w:line="240" w:lineRule="auto"/>
      </w:pPr>
      <w:r>
        <w:separator/>
      </w:r>
    </w:p>
  </w:footnote>
  <w:footnote w:type="continuationSeparator" w:id="0">
    <w:p w14:paraId="38BCA517" w14:textId="77777777" w:rsidR="004F0282" w:rsidRDefault="004F0282" w:rsidP="00D728E2">
      <w:pPr>
        <w:spacing w:after="0" w:line="240" w:lineRule="auto"/>
      </w:pPr>
      <w:r>
        <w:continuationSeparator/>
      </w:r>
    </w:p>
  </w:footnote>
  <w:footnote w:id="1">
    <w:p w14:paraId="012C0E37" w14:textId="77777777" w:rsidR="002D0211" w:rsidRPr="00B5289E" w:rsidRDefault="002D0211" w:rsidP="00B76A46">
      <w:pPr>
        <w:autoSpaceDE w:val="0"/>
        <w:autoSpaceDN w:val="0"/>
        <w:adjustRightInd w:val="0"/>
        <w:spacing w:after="0" w:line="240" w:lineRule="auto"/>
        <w:rPr>
          <w:sz w:val="20"/>
        </w:rPr>
      </w:pPr>
      <w:r w:rsidRPr="00C31161">
        <w:rPr>
          <w:rStyle w:val="FootnoteReference"/>
          <w:b/>
          <w:sz w:val="20"/>
          <w:szCs w:val="20"/>
        </w:rPr>
        <w:footnoteRef/>
      </w:r>
      <w:r w:rsidRPr="00C31161">
        <w:rPr>
          <w:b/>
          <w:sz w:val="20"/>
          <w:szCs w:val="20"/>
        </w:rPr>
        <w:t xml:space="preserve"> </w:t>
      </w:r>
      <w:r w:rsidRPr="00C31161">
        <w:rPr>
          <w:sz w:val="20"/>
          <w:szCs w:val="20"/>
        </w:rPr>
        <w:t xml:space="preserve">H.P.A Oskamp, </w:t>
      </w:r>
      <w:r w:rsidRPr="00C31161">
        <w:rPr>
          <w:i/>
          <w:sz w:val="20"/>
          <w:szCs w:val="20"/>
        </w:rPr>
        <w:t xml:space="preserve">The Voyage of Máel Duin </w:t>
      </w:r>
      <w:r w:rsidRPr="00C31161">
        <w:rPr>
          <w:sz w:val="20"/>
          <w:szCs w:val="20"/>
        </w:rPr>
        <w:t>(Groningen,Wolters-Noordhoff Publishing, 1970) pp</w:t>
      </w:r>
      <w:ins w:id="8" w:author="Alaw Mai" w:date="2018-04-19T21:13:00Z">
        <w:r>
          <w:rPr>
            <w:sz w:val="20"/>
            <w:szCs w:val="20"/>
          </w:rPr>
          <w:t xml:space="preserve">. </w:t>
        </w:r>
      </w:ins>
      <w:r w:rsidRPr="00C31161">
        <w:rPr>
          <w:sz w:val="20"/>
          <w:szCs w:val="20"/>
        </w:rPr>
        <w:t xml:space="preserve">40-1 calls it </w:t>
      </w:r>
      <w:ins w:id="9" w:author="Alaw Mai" w:date="2018-04-19T21:13:00Z">
        <w:r>
          <w:rPr>
            <w:sz w:val="20"/>
            <w:szCs w:val="20"/>
          </w:rPr>
          <w:t>‘</w:t>
        </w:r>
      </w:ins>
      <w:del w:id="10" w:author="Alaw Mai" w:date="2018-04-19T21:13:00Z">
        <w:r w:rsidRPr="00C31161" w:rsidDel="00066348">
          <w:rPr>
            <w:sz w:val="20"/>
            <w:szCs w:val="20"/>
          </w:rPr>
          <w:delText>“</w:delText>
        </w:r>
      </w:del>
      <w:r w:rsidRPr="00C31161">
        <w:rPr>
          <w:sz w:val="20"/>
          <w:szCs w:val="20"/>
        </w:rPr>
        <w:t>a secular folkloristic tale belonging to the Christian era</w:t>
      </w:r>
      <w:ins w:id="11" w:author="Alaw Mai" w:date="2018-04-19T21:13:00Z">
        <w:r>
          <w:rPr>
            <w:sz w:val="20"/>
            <w:szCs w:val="20"/>
          </w:rPr>
          <w:t>’</w:t>
        </w:r>
      </w:ins>
      <w:del w:id="12" w:author="Alaw Mai" w:date="2018-04-19T21:13:00Z">
        <w:r w:rsidRPr="00C31161" w:rsidDel="00066348">
          <w:rPr>
            <w:sz w:val="20"/>
            <w:szCs w:val="20"/>
          </w:rPr>
          <w:delText>”</w:delText>
        </w:r>
      </w:del>
      <w:r w:rsidRPr="00C31161">
        <w:rPr>
          <w:sz w:val="20"/>
          <w:szCs w:val="20"/>
        </w:rPr>
        <w:t>; J. Carney</w:t>
      </w:r>
      <w:r>
        <w:rPr>
          <w:b/>
          <w:sz w:val="20"/>
          <w:szCs w:val="20"/>
        </w:rPr>
        <w:t>,</w:t>
      </w:r>
      <w:r w:rsidRPr="00C31161">
        <w:rPr>
          <w:sz w:val="20"/>
          <w:szCs w:val="20"/>
        </w:rPr>
        <w:t xml:space="preserve"> </w:t>
      </w:r>
      <w:r w:rsidRPr="00C31161">
        <w:rPr>
          <w:rStyle w:val="Emphasis"/>
          <w:sz w:val="20"/>
          <w:szCs w:val="20"/>
        </w:rPr>
        <w:t xml:space="preserve">Studies in Irish literature and history </w:t>
      </w:r>
      <w:r w:rsidRPr="00C31161">
        <w:rPr>
          <w:rStyle w:val="Emphasis"/>
          <w:i w:val="0"/>
          <w:sz w:val="20"/>
          <w:szCs w:val="20"/>
        </w:rPr>
        <w:t xml:space="preserve">(Dublin, Dublin Institute for Advanced Studies, 1955) and </w:t>
      </w:r>
      <w:r w:rsidRPr="00C31161">
        <w:rPr>
          <w:sz w:val="20"/>
          <w:szCs w:val="20"/>
        </w:rPr>
        <w:t xml:space="preserve"> D.</w:t>
      </w:r>
      <w:r w:rsidRPr="00333C60">
        <w:rPr>
          <w:sz w:val="20"/>
          <w:szCs w:val="20"/>
        </w:rPr>
        <w:t>N.</w:t>
      </w:r>
      <w:r w:rsidRPr="00C31161">
        <w:rPr>
          <w:b/>
          <w:sz w:val="20"/>
          <w:szCs w:val="20"/>
        </w:rPr>
        <w:t xml:space="preserve"> </w:t>
      </w:r>
      <w:r w:rsidRPr="00C31161">
        <w:rPr>
          <w:sz w:val="20"/>
          <w:szCs w:val="20"/>
        </w:rPr>
        <w:t xml:space="preserve">Dumville, </w:t>
      </w:r>
      <w:r>
        <w:rPr>
          <w:sz w:val="20"/>
          <w:szCs w:val="20"/>
        </w:rPr>
        <w:t>‘</w:t>
      </w:r>
      <w:r w:rsidRPr="00C31161">
        <w:rPr>
          <w:rFonts w:cs="Arial"/>
          <w:color w:val="333333"/>
          <w:sz w:val="20"/>
          <w:szCs w:val="20"/>
        </w:rPr>
        <w:t>Echtrae and Immram: Some Problems of Definition</w:t>
      </w:r>
      <w:r>
        <w:rPr>
          <w:rFonts w:cs="Arial"/>
          <w:color w:val="333333"/>
          <w:sz w:val="20"/>
          <w:szCs w:val="20"/>
        </w:rPr>
        <w:t>’</w:t>
      </w:r>
      <w:r w:rsidRPr="00333C60">
        <w:rPr>
          <w:rFonts w:cs="Arial"/>
          <w:color w:val="333333"/>
          <w:sz w:val="20"/>
          <w:szCs w:val="20"/>
        </w:rPr>
        <w:t>, in</w:t>
      </w:r>
      <w:r>
        <w:rPr>
          <w:rFonts w:cs="Arial"/>
          <w:b/>
          <w:color w:val="333333"/>
          <w:sz w:val="20"/>
          <w:szCs w:val="20"/>
        </w:rPr>
        <w:t xml:space="preserve"> </w:t>
      </w:r>
      <w:r w:rsidRPr="00C31161">
        <w:rPr>
          <w:rFonts w:eastAsia="Times New Roman" w:cs="Arial"/>
          <w:i/>
          <w:iCs/>
          <w:color w:val="333333"/>
          <w:sz w:val="20"/>
          <w:szCs w:val="20"/>
          <w:lang w:eastAsia="en-GB"/>
        </w:rPr>
        <w:t>Ériu</w:t>
      </w:r>
      <w:r>
        <w:rPr>
          <w:rFonts w:cs="Arial"/>
          <w:b/>
          <w:i/>
          <w:iCs/>
          <w:color w:val="333333"/>
          <w:sz w:val="20"/>
          <w:szCs w:val="20"/>
        </w:rPr>
        <w:t xml:space="preserve">, </w:t>
      </w:r>
      <w:r w:rsidRPr="00C31161">
        <w:rPr>
          <w:rFonts w:eastAsia="Times New Roman" w:cs="Arial"/>
          <w:color w:val="333333"/>
          <w:sz w:val="20"/>
          <w:szCs w:val="20"/>
          <w:lang w:eastAsia="en-GB"/>
        </w:rPr>
        <w:t>27</w:t>
      </w:r>
      <w:r>
        <w:rPr>
          <w:rFonts w:cs="Arial"/>
          <w:b/>
          <w:color w:val="333333"/>
          <w:sz w:val="20"/>
          <w:szCs w:val="20"/>
        </w:rPr>
        <w:t>:</w:t>
      </w:r>
      <w:r w:rsidRPr="00C31161">
        <w:rPr>
          <w:rFonts w:eastAsia="Times New Roman" w:cs="Arial"/>
          <w:color w:val="333333"/>
          <w:sz w:val="20"/>
          <w:szCs w:val="20"/>
          <w:lang w:eastAsia="en-GB"/>
        </w:rPr>
        <w:t xml:space="preserve"> (1976), pp. 73-94</w:t>
      </w:r>
      <w:r w:rsidRPr="00333C60">
        <w:rPr>
          <w:sz w:val="20"/>
          <w:szCs w:val="20"/>
        </w:rPr>
        <w:t xml:space="preserve"> in B. Hilliers et al, ‘Voyages Between Heaven and Hell: Navigating the Early Irish </w:t>
      </w:r>
      <w:r w:rsidRPr="00333C60">
        <w:rPr>
          <w:i/>
          <w:sz w:val="20"/>
          <w:szCs w:val="20"/>
        </w:rPr>
        <w:t>Immram</w:t>
      </w:r>
      <w:r w:rsidRPr="00333C60">
        <w:rPr>
          <w:sz w:val="20"/>
          <w:szCs w:val="20"/>
        </w:rPr>
        <w:t xml:space="preserve"> tales’: </w:t>
      </w:r>
      <w:r w:rsidRPr="00333C60">
        <w:rPr>
          <w:i/>
          <w:sz w:val="20"/>
          <w:szCs w:val="20"/>
        </w:rPr>
        <w:t>Proceedings of the Harvard Celtic Colloquium (April 28</w:t>
      </w:r>
      <w:r w:rsidRPr="00333C60">
        <w:rPr>
          <w:i/>
          <w:sz w:val="20"/>
          <w:szCs w:val="20"/>
          <w:vertAlign w:val="superscript"/>
        </w:rPr>
        <w:t>th</w:t>
      </w:r>
      <w:r w:rsidRPr="00333C60">
        <w:rPr>
          <w:i/>
          <w:sz w:val="20"/>
          <w:szCs w:val="20"/>
        </w:rPr>
        <w:t xml:space="preserve"> – May 1</w:t>
      </w:r>
      <w:r w:rsidRPr="00333C60">
        <w:rPr>
          <w:i/>
          <w:sz w:val="20"/>
          <w:szCs w:val="20"/>
          <w:vertAlign w:val="superscript"/>
        </w:rPr>
        <w:t>st</w:t>
      </w:r>
      <w:r w:rsidRPr="00333C60">
        <w:rPr>
          <w:i/>
          <w:sz w:val="20"/>
          <w:szCs w:val="20"/>
        </w:rPr>
        <w:t xml:space="preserve"> 1993),</w:t>
      </w:r>
      <w:ins w:id="13" w:author="Alaw Mai" w:date="2018-04-19T21:14:00Z">
        <w:r>
          <w:rPr>
            <w:i/>
            <w:sz w:val="20"/>
            <w:szCs w:val="20"/>
          </w:rPr>
          <w:t xml:space="preserve"> </w:t>
        </w:r>
      </w:ins>
      <w:r w:rsidRPr="00333C60">
        <w:rPr>
          <w:sz w:val="20"/>
          <w:szCs w:val="20"/>
        </w:rPr>
        <w:t>13 (Harvard:  the Department of Celtic Languages and Literatures Faculty of Arts and Sciences, Harvard University, 1993) p67; and E. Johnston,</w:t>
      </w:r>
      <w:r w:rsidRPr="00333C60">
        <w:rPr>
          <w:sz w:val="20"/>
          <w:szCs w:val="20"/>
          <w:shd w:val="clear" w:color="auto" w:fill="FFFFFF"/>
        </w:rPr>
        <w:t xml:space="preserve"> </w:t>
      </w:r>
      <w:r w:rsidRPr="00333C60">
        <w:rPr>
          <w:i/>
          <w:sz w:val="20"/>
          <w:szCs w:val="20"/>
          <w:shd w:val="clear" w:color="auto" w:fill="FFFFFF"/>
        </w:rPr>
        <w:t>A Sailor on the Seas of Faith: The Individual and the Church in the Voyage of Mael Dúin</w:t>
      </w:r>
      <w:r w:rsidRPr="00333C60">
        <w:rPr>
          <w:sz w:val="20"/>
          <w:szCs w:val="20"/>
          <w:shd w:val="clear" w:color="auto" w:fill="FFFFFF"/>
        </w:rPr>
        <w:t xml:space="preserve">, (UCD Press, 2003) available at </w:t>
      </w:r>
      <w:hyperlink r:id="rId1" w:history="1">
        <w:r w:rsidRPr="00092458">
          <w:rPr>
            <w:rStyle w:val="Hyperlink"/>
            <w:sz w:val="20"/>
            <w:szCs w:val="20"/>
            <w:shd w:val="clear" w:color="auto" w:fill="FFFFFF"/>
          </w:rPr>
          <w:t>http://www.ucdpress.ie/display.asp?K=9781900621878&amp;sfl=eh_cat_class&amp;st1=B100&amp;=53&amp;dc=135</w:t>
        </w:r>
      </w:hyperlink>
      <w:r w:rsidRPr="00333C60">
        <w:rPr>
          <w:sz w:val="20"/>
          <w:szCs w:val="20"/>
          <w:shd w:val="clear" w:color="auto" w:fill="FFFFFF"/>
        </w:rPr>
        <w:t xml:space="preserve"> ] &lt;Accessed 11 February 2018&gt;</w:t>
      </w:r>
      <w:r>
        <w:rPr>
          <w:sz w:val="20"/>
          <w:szCs w:val="20"/>
          <w:shd w:val="clear" w:color="auto" w:fill="FFFFFF"/>
        </w:rPr>
        <w:t xml:space="preserve"> </w:t>
      </w:r>
      <w:r w:rsidRPr="00B5289E">
        <w:rPr>
          <w:sz w:val="20"/>
        </w:rPr>
        <w:t xml:space="preserve"> argue for all the </w:t>
      </w:r>
      <w:r w:rsidRPr="00B5289E">
        <w:rPr>
          <w:i/>
          <w:sz w:val="20"/>
        </w:rPr>
        <w:t xml:space="preserve">immrama </w:t>
      </w:r>
      <w:r w:rsidRPr="00B5289E">
        <w:rPr>
          <w:sz w:val="20"/>
        </w:rPr>
        <w:t>being ecclesiastical.</w:t>
      </w:r>
    </w:p>
  </w:footnote>
  <w:footnote w:id="2">
    <w:p w14:paraId="1229F913" w14:textId="77777777" w:rsidR="002D0211" w:rsidRDefault="002D0211" w:rsidP="00B76A46">
      <w:pPr>
        <w:pStyle w:val="FootnoteText"/>
      </w:pPr>
      <w:r w:rsidRPr="00B5289E">
        <w:rPr>
          <w:rStyle w:val="FootnoteReference"/>
          <w:szCs w:val="22"/>
        </w:rPr>
        <w:footnoteRef/>
      </w:r>
      <w:r w:rsidRPr="00B5289E">
        <w:rPr>
          <w:szCs w:val="22"/>
        </w:rPr>
        <w:t xml:space="preserve"> 31 in M</w:t>
      </w:r>
      <w:r>
        <w:t>D</w:t>
      </w:r>
    </w:p>
  </w:footnote>
  <w:footnote w:id="3">
    <w:p w14:paraId="6F44FE01" w14:textId="77777777" w:rsidR="002D0211" w:rsidRDefault="002D0211" w:rsidP="00B76A46">
      <w:pPr>
        <w:pStyle w:val="FootnoteText"/>
      </w:pPr>
      <w:r>
        <w:rPr>
          <w:rStyle w:val="FootnoteReference"/>
        </w:rPr>
        <w:footnoteRef/>
      </w:r>
      <w:r>
        <w:t xml:space="preserve"> Dr K. Hughes, </w:t>
      </w:r>
      <w:r>
        <w:rPr>
          <w:i/>
        </w:rPr>
        <w:t xml:space="preserve">The Church in Early Irish </w:t>
      </w:r>
      <w:r w:rsidRPr="0021563D">
        <w:t>Society</w:t>
      </w:r>
      <w:r>
        <w:t xml:space="preserve"> (London, 1966)  in  Oskamp </w:t>
      </w:r>
      <w:r>
        <w:rPr>
          <w:i/>
        </w:rPr>
        <w:t>The Voyage</w:t>
      </w:r>
      <w:r>
        <w:t xml:space="preserve"> 1970;  T.O. Clancy, </w:t>
      </w:r>
      <w:r w:rsidRPr="0021563D">
        <w:t>Subversion at Sea:</w:t>
      </w:r>
      <w:ins w:id="14" w:author="Alaw Mai" w:date="2018-04-19T21:14:00Z">
        <w:r>
          <w:t xml:space="preserve"> </w:t>
        </w:r>
      </w:ins>
      <w:r w:rsidRPr="0021563D">
        <w:t xml:space="preserve">Structure,Style and Intent in the </w:t>
      </w:r>
      <w:r w:rsidRPr="0021563D">
        <w:rPr>
          <w:i/>
        </w:rPr>
        <w:t>Immrama</w:t>
      </w:r>
      <w:r>
        <w:t xml:space="preserve"> in J.M. Wooding, ed, </w:t>
      </w:r>
      <w:r w:rsidRPr="0021563D">
        <w:rPr>
          <w:i/>
        </w:rPr>
        <w:t>The Otherworld in early Irish Literature</w:t>
      </w:r>
      <w:r>
        <w:rPr>
          <w:i/>
        </w:rPr>
        <w:t xml:space="preserve"> </w:t>
      </w:r>
      <w:r w:rsidRPr="0021563D">
        <w:t>(</w:t>
      </w:r>
      <w:r>
        <w:t>Dublin: Four Courts Press,  2000]</w:t>
      </w:r>
    </w:p>
  </w:footnote>
  <w:footnote w:id="4">
    <w:p w14:paraId="44D1693B" w14:textId="77777777" w:rsidR="002D0211" w:rsidRPr="00BA5E35" w:rsidRDefault="002D0211" w:rsidP="00B76A46">
      <w:pPr>
        <w:spacing w:line="240" w:lineRule="auto"/>
        <w:rPr>
          <w:sz w:val="20"/>
          <w:szCs w:val="20"/>
          <w:highlight w:val="yellow"/>
        </w:rPr>
      </w:pPr>
      <w:r>
        <w:rPr>
          <w:rStyle w:val="FootnoteReference"/>
        </w:rPr>
        <w:footnoteRef/>
      </w:r>
      <w:r>
        <w:t xml:space="preserve"> </w:t>
      </w:r>
      <w:r w:rsidRPr="00BA5E35">
        <w:t xml:space="preserve"> </w:t>
      </w:r>
      <w:r w:rsidRPr="00BA5E35">
        <w:rPr>
          <w:sz w:val="20"/>
          <w:szCs w:val="20"/>
        </w:rPr>
        <w:t xml:space="preserve">B. Cunliffe, </w:t>
      </w:r>
      <w:r w:rsidRPr="00BA5E35">
        <w:rPr>
          <w:i/>
          <w:sz w:val="20"/>
          <w:szCs w:val="20"/>
        </w:rPr>
        <w:t xml:space="preserve">Facing the Ocean: The Atlantic and it Peoples, </w:t>
      </w:r>
      <w:r w:rsidRPr="00BA5E35">
        <w:rPr>
          <w:sz w:val="20"/>
          <w:szCs w:val="20"/>
        </w:rPr>
        <w:t xml:space="preserve">(Oxford: Oxford University Press, 2001) </w:t>
      </w:r>
      <w:r w:rsidRPr="00DD3840">
        <w:rPr>
          <w:sz w:val="20"/>
        </w:rPr>
        <w:t>p.12</w:t>
      </w:r>
      <w:r>
        <w:t xml:space="preserve"> b</w:t>
      </w:r>
      <w:r w:rsidRPr="00BA5E35">
        <w:rPr>
          <w:sz w:val="20"/>
          <w:szCs w:val="20"/>
        </w:rPr>
        <w:t xml:space="preserve">elieves it was the earliest </w:t>
      </w:r>
      <w:r w:rsidRPr="00BA5E35">
        <w:rPr>
          <w:i/>
          <w:sz w:val="20"/>
          <w:szCs w:val="20"/>
        </w:rPr>
        <w:t>immram</w:t>
      </w:r>
      <w:r>
        <w:rPr>
          <w:i/>
        </w:rPr>
        <w:t xml:space="preserve">. </w:t>
      </w:r>
      <w:r>
        <w:rPr>
          <w:sz w:val="20"/>
        </w:rPr>
        <w:t>Exact dating for the</w:t>
      </w:r>
      <w:r w:rsidRPr="00DD3840">
        <w:rPr>
          <w:sz w:val="20"/>
        </w:rPr>
        <w:t xml:space="preserve"> composition of MD is not possible</w:t>
      </w:r>
      <w:r w:rsidRPr="00222F30">
        <w:rPr>
          <w:sz w:val="20"/>
          <w:szCs w:val="20"/>
        </w:rPr>
        <w:t>. Va</w:t>
      </w:r>
      <w:r w:rsidRPr="00222F30">
        <w:rPr>
          <w:sz w:val="20"/>
        </w:rPr>
        <w:t>rious</w:t>
      </w:r>
      <w:r>
        <w:t xml:space="preserve"> </w:t>
      </w:r>
      <w:r w:rsidRPr="00222F30">
        <w:rPr>
          <w:sz w:val="20"/>
        </w:rPr>
        <w:t>s</w:t>
      </w:r>
      <w:r>
        <w:rPr>
          <w:sz w:val="20"/>
          <w:szCs w:val="20"/>
        </w:rPr>
        <w:t>cholars have suggested date</w:t>
      </w:r>
      <w:r w:rsidRPr="00DD3840">
        <w:rPr>
          <w:sz w:val="18"/>
          <w:szCs w:val="20"/>
        </w:rPr>
        <w:t>s</w:t>
      </w:r>
      <w:r w:rsidRPr="00DD3840">
        <w:rPr>
          <w:sz w:val="20"/>
        </w:rPr>
        <w:t xml:space="preserve"> ranging between the 8</w:t>
      </w:r>
      <w:r w:rsidRPr="00DD3840">
        <w:rPr>
          <w:sz w:val="20"/>
          <w:vertAlign w:val="superscript"/>
        </w:rPr>
        <w:t>th</w:t>
      </w:r>
      <w:r w:rsidRPr="00DD3840">
        <w:rPr>
          <w:sz w:val="20"/>
        </w:rPr>
        <w:t xml:space="preserve"> - </w:t>
      </w:r>
      <w:r>
        <w:rPr>
          <w:sz w:val="20"/>
        </w:rPr>
        <w:t>10</w:t>
      </w:r>
      <w:r w:rsidRPr="00DD3840">
        <w:rPr>
          <w:sz w:val="20"/>
          <w:vertAlign w:val="superscript"/>
        </w:rPr>
        <w:t>th</w:t>
      </w:r>
      <w:r w:rsidRPr="00DD3840">
        <w:rPr>
          <w:sz w:val="20"/>
        </w:rPr>
        <w:t xml:space="preserve"> centuries. N.</w:t>
      </w:r>
      <w:r>
        <w:rPr>
          <w:sz w:val="20"/>
        </w:rPr>
        <w:t xml:space="preserve"> </w:t>
      </w:r>
      <w:r w:rsidRPr="00DD3840">
        <w:rPr>
          <w:sz w:val="20"/>
        </w:rPr>
        <w:t>Chadwick,</w:t>
      </w:r>
      <w:r>
        <w:rPr>
          <w:sz w:val="20"/>
        </w:rPr>
        <w:t xml:space="preserve"> </w:t>
      </w:r>
      <w:r w:rsidRPr="00DD3840">
        <w:rPr>
          <w:i/>
          <w:sz w:val="20"/>
          <w:shd w:val="clear" w:color="auto" w:fill="FFFFFF"/>
        </w:rPr>
        <w:t>The Celts,</w:t>
      </w:r>
      <w:r w:rsidRPr="00DD3840">
        <w:rPr>
          <w:sz w:val="20"/>
          <w:shd w:val="clear" w:color="auto" w:fill="FFFFFF"/>
        </w:rPr>
        <w:t xml:space="preserve"> 2</w:t>
      </w:r>
      <w:r w:rsidRPr="00DD3840">
        <w:rPr>
          <w:sz w:val="20"/>
          <w:shd w:val="clear" w:color="auto" w:fill="FFFFFF"/>
          <w:vertAlign w:val="superscript"/>
        </w:rPr>
        <w:t>nd</w:t>
      </w:r>
      <w:r w:rsidRPr="00DD3840">
        <w:rPr>
          <w:sz w:val="20"/>
          <w:shd w:val="clear" w:color="auto" w:fill="FFFFFF"/>
        </w:rPr>
        <w:t xml:space="preserve"> edn, (London: Penguin, 1997)</w:t>
      </w:r>
      <w:r w:rsidRPr="00DD3840">
        <w:rPr>
          <w:sz w:val="20"/>
        </w:rPr>
        <w:t xml:space="preserve"> p. 285;</w:t>
      </w:r>
      <w:r>
        <w:t xml:space="preserve"> </w:t>
      </w:r>
      <w:r w:rsidRPr="00B76A46">
        <w:rPr>
          <w:sz w:val="20"/>
        </w:rPr>
        <w:t>van Hamel in H.P.A. Oskamp</w:t>
      </w:r>
      <w:r w:rsidRPr="00B76A46">
        <w:rPr>
          <w:bCs/>
          <w:i/>
          <w:sz w:val="20"/>
        </w:rPr>
        <w:t xml:space="preserve"> , </w:t>
      </w:r>
      <w:r w:rsidRPr="00B76A46">
        <w:rPr>
          <w:bCs/>
          <w:sz w:val="20"/>
        </w:rPr>
        <w:t xml:space="preserve">ed, &amp; trans, </w:t>
      </w:r>
      <w:r w:rsidRPr="00B76A46">
        <w:rPr>
          <w:bCs/>
          <w:i/>
          <w:sz w:val="20"/>
        </w:rPr>
        <w:t xml:space="preserve">The Voyage </w:t>
      </w:r>
      <w:r w:rsidRPr="00B76A46">
        <w:rPr>
          <w:bCs/>
          <w:sz w:val="20"/>
        </w:rPr>
        <w:t xml:space="preserve"> 1970</w:t>
      </w:r>
      <w:r>
        <w:rPr>
          <w:bCs/>
          <w:sz w:val="20"/>
        </w:rPr>
        <w:t>, p.18</w:t>
      </w:r>
      <w:r w:rsidRPr="00B76A46">
        <w:rPr>
          <w:sz w:val="20"/>
        </w:rPr>
        <w:t xml:space="preserve">; Dumville </w:t>
      </w:r>
      <w:r w:rsidRPr="00B76A46">
        <w:rPr>
          <w:i/>
          <w:sz w:val="20"/>
        </w:rPr>
        <w:t>Echtrae</w:t>
      </w:r>
      <w:r w:rsidRPr="00B76A46">
        <w:rPr>
          <w:sz w:val="20"/>
        </w:rPr>
        <w:t xml:space="preserve"> 1975</w:t>
      </w:r>
      <w:r>
        <w:rPr>
          <w:sz w:val="20"/>
        </w:rPr>
        <w:t>, p.88</w:t>
      </w:r>
      <w:r w:rsidRPr="00B76A46">
        <w:rPr>
          <w:sz w:val="20"/>
        </w:rPr>
        <w:t>; and Carney, in Bieler ‘Two Observations Concerning the</w:t>
      </w:r>
      <w:r w:rsidRPr="00B76A46">
        <w:rPr>
          <w:i/>
          <w:sz w:val="20"/>
        </w:rPr>
        <w:t xml:space="preserve"> Navigatio Brendani’</w:t>
      </w:r>
      <w:r w:rsidRPr="00B76A46">
        <w:rPr>
          <w:sz w:val="20"/>
        </w:rPr>
        <w:t xml:space="preserve">, in Wooding </w:t>
      </w:r>
      <w:r w:rsidRPr="00B76A46">
        <w:rPr>
          <w:i/>
          <w:sz w:val="20"/>
        </w:rPr>
        <w:t>The Otherworld</w:t>
      </w:r>
      <w:r w:rsidRPr="00B76A46">
        <w:rPr>
          <w:sz w:val="20"/>
        </w:rPr>
        <w:t>, 2000 p.91 fn6</w:t>
      </w:r>
      <w:r>
        <w:t>.</w:t>
      </w:r>
    </w:p>
  </w:footnote>
  <w:footnote w:id="5">
    <w:p w14:paraId="30BEDE37" w14:textId="77777777" w:rsidR="002D0211" w:rsidRPr="0091249C" w:rsidRDefault="002D0211" w:rsidP="00B76A46">
      <w:pPr>
        <w:pStyle w:val="Default"/>
        <w:spacing w:before="400"/>
        <w:rPr>
          <w:sz w:val="20"/>
        </w:rPr>
      </w:pPr>
      <w:r w:rsidRPr="00F41CE7">
        <w:rPr>
          <w:rStyle w:val="FootnoteReference"/>
          <w:sz w:val="20"/>
          <w:szCs w:val="20"/>
        </w:rPr>
        <w:footnoteRef/>
      </w:r>
      <w:r w:rsidRPr="0021572F">
        <w:rPr>
          <w:sz w:val="20"/>
          <w:szCs w:val="20"/>
        </w:rPr>
        <w:t xml:space="preserve"> </w:t>
      </w:r>
      <w:r w:rsidRPr="00172B2D">
        <w:rPr>
          <w:rFonts w:asciiTheme="minorHAnsi" w:hAnsiTheme="minorHAnsi"/>
          <w:sz w:val="20"/>
          <w:szCs w:val="20"/>
        </w:rPr>
        <w:t xml:space="preserve">J. Carney, Review of </w:t>
      </w:r>
      <w:r w:rsidRPr="00172B2D">
        <w:rPr>
          <w:rFonts w:asciiTheme="minorHAnsi" w:hAnsiTheme="minorHAnsi"/>
          <w:i/>
          <w:sz w:val="20"/>
          <w:szCs w:val="20"/>
        </w:rPr>
        <w:t xml:space="preserve">Navigatio sancti Brendani Abbatis </w:t>
      </w:r>
      <w:r w:rsidRPr="00172B2D">
        <w:rPr>
          <w:rFonts w:asciiTheme="minorHAnsi" w:hAnsiTheme="minorHAnsi"/>
          <w:sz w:val="20"/>
          <w:szCs w:val="20"/>
        </w:rPr>
        <w:t xml:space="preserve">in J.M. Wooding., ed, </w:t>
      </w:r>
      <w:r w:rsidRPr="00172B2D">
        <w:rPr>
          <w:rFonts w:asciiTheme="minorHAnsi" w:hAnsiTheme="minorHAnsi"/>
          <w:i/>
          <w:sz w:val="20"/>
          <w:szCs w:val="20"/>
        </w:rPr>
        <w:t xml:space="preserve">The Otherworld Voyage in Early Irish Literature: An Anthology of Criticism </w:t>
      </w:r>
      <w:r w:rsidRPr="00172B2D">
        <w:rPr>
          <w:rFonts w:asciiTheme="minorHAnsi" w:hAnsiTheme="minorHAnsi"/>
          <w:sz w:val="20"/>
          <w:szCs w:val="20"/>
        </w:rPr>
        <w:t xml:space="preserve">(Dublin: Four Courts Press, 2000), p46; Stokes in Carney, ibid., p. 47;Wooding ibid., xiii; L. Bieler in Wooding p.91; J.J. O’Meara &amp; J.M. Wooding </w:t>
      </w:r>
      <w:r w:rsidRPr="00172B2D">
        <w:rPr>
          <w:rStyle w:val="exlavailabilitycallnumber"/>
          <w:rFonts w:asciiTheme="minorHAnsi" w:hAnsiTheme="minorHAnsi" w:cs="Arial"/>
          <w:sz w:val="20"/>
          <w:szCs w:val="20"/>
          <w:bdr w:val="none" w:sz="0" w:space="0" w:color="auto" w:frame="1"/>
        </w:rPr>
        <w:t xml:space="preserve">‘The Latin Version, in Barron, W.R.J., &amp; Burgess, G.S., eds, </w:t>
      </w:r>
      <w:r w:rsidRPr="00172B2D">
        <w:rPr>
          <w:rStyle w:val="exlavailabilitycallnumber"/>
          <w:rFonts w:asciiTheme="minorHAnsi" w:hAnsiTheme="minorHAnsi" w:cs="Arial"/>
          <w:i/>
          <w:sz w:val="20"/>
          <w:szCs w:val="20"/>
          <w:bdr w:val="none" w:sz="0" w:space="0" w:color="auto" w:frame="1"/>
        </w:rPr>
        <w:t>The Voyage of Saint Brendan: Representative Versions of the legend in the English Translation</w:t>
      </w:r>
      <w:r w:rsidRPr="00172B2D">
        <w:rPr>
          <w:rStyle w:val="exlavailabilitycallnumber"/>
          <w:rFonts w:asciiTheme="minorHAnsi" w:hAnsiTheme="minorHAnsi" w:cs="Arial"/>
          <w:sz w:val="20"/>
          <w:szCs w:val="20"/>
          <w:bdr w:val="none" w:sz="0" w:space="0" w:color="auto" w:frame="1"/>
        </w:rPr>
        <w:t>’  (Exeter: University of Exeter, 2002), 13-25 p.23 and B.</w:t>
      </w:r>
      <w:r>
        <w:rPr>
          <w:rStyle w:val="exlavailabilitycallnumber"/>
          <w:rFonts w:asciiTheme="minorHAnsi" w:hAnsiTheme="minorHAnsi" w:cs="Arial"/>
          <w:sz w:val="20"/>
          <w:szCs w:val="20"/>
          <w:bdr w:val="none" w:sz="0" w:space="0" w:color="auto" w:frame="1"/>
        </w:rPr>
        <w:t xml:space="preserve"> </w:t>
      </w:r>
      <w:r w:rsidRPr="00172B2D">
        <w:rPr>
          <w:rFonts w:asciiTheme="minorHAnsi" w:hAnsiTheme="minorHAnsi"/>
          <w:sz w:val="20"/>
          <w:szCs w:val="20"/>
        </w:rPr>
        <w:t>McGinn,</w:t>
      </w:r>
      <w:r>
        <w:rPr>
          <w:rFonts w:asciiTheme="minorHAnsi" w:hAnsiTheme="minorHAnsi"/>
          <w:sz w:val="20"/>
          <w:szCs w:val="20"/>
        </w:rPr>
        <w:t xml:space="preserve"> </w:t>
      </w:r>
      <w:r w:rsidRPr="00172B2D">
        <w:rPr>
          <w:rFonts w:asciiTheme="minorHAnsi" w:hAnsiTheme="minorHAnsi"/>
          <w:sz w:val="20"/>
          <w:szCs w:val="20"/>
        </w:rPr>
        <w:t xml:space="preserve">‘Ocean and Desert as Symbols of Mystical Absorption in the Christian Tradition’ </w:t>
      </w:r>
      <w:r w:rsidRPr="00172B2D">
        <w:rPr>
          <w:rFonts w:asciiTheme="minorHAnsi" w:hAnsiTheme="minorHAnsi"/>
          <w:i/>
          <w:sz w:val="20"/>
          <w:szCs w:val="20"/>
        </w:rPr>
        <w:t>The Journal of Religion</w:t>
      </w:r>
      <w:r w:rsidRPr="00172B2D">
        <w:rPr>
          <w:rFonts w:asciiTheme="minorHAnsi" w:hAnsiTheme="minorHAnsi"/>
          <w:sz w:val="20"/>
          <w:szCs w:val="20"/>
        </w:rPr>
        <w:t xml:space="preserve">,  74 (2): (The University of Chicago Press, 1994),155-181 [Online:  </w:t>
      </w:r>
      <w:hyperlink r:id="rId2" w:history="1">
        <w:r w:rsidRPr="00172B2D">
          <w:rPr>
            <w:rStyle w:val="Hyperlink"/>
            <w:rFonts w:asciiTheme="minorHAnsi" w:hAnsiTheme="minorHAnsi"/>
            <w:sz w:val="20"/>
            <w:szCs w:val="20"/>
          </w:rPr>
          <w:t>http://www.jstor.org/stable/1205274</w:t>
        </w:r>
      </w:hyperlink>
      <w:r w:rsidRPr="00172B2D">
        <w:rPr>
          <w:rFonts w:asciiTheme="minorHAnsi" w:hAnsiTheme="minorHAnsi"/>
          <w:sz w:val="20"/>
          <w:szCs w:val="20"/>
        </w:rPr>
        <w:t xml:space="preserve"> ] &lt;Accessed 1 March 2018&gt;; and D.E. </w:t>
      </w:r>
      <w:r w:rsidRPr="00172B2D">
        <w:rPr>
          <w:rFonts w:asciiTheme="minorHAnsi" w:hAnsiTheme="minorHAnsi" w:cs="ArnoPro"/>
          <w:sz w:val="20"/>
          <w:szCs w:val="20"/>
        </w:rPr>
        <w:t xml:space="preserve">Ireland, </w:t>
      </w:r>
      <w:r w:rsidRPr="00172B2D">
        <w:rPr>
          <w:rFonts w:asciiTheme="minorHAnsi" w:hAnsiTheme="minorHAnsi"/>
          <w:sz w:val="20"/>
          <w:szCs w:val="20"/>
        </w:rPr>
        <w:t xml:space="preserve"> ‘Navigating the use of biblical numerology in </w:t>
      </w:r>
      <w:r w:rsidRPr="00172B2D">
        <w:rPr>
          <w:rFonts w:asciiTheme="minorHAnsi" w:hAnsiTheme="minorHAnsi"/>
          <w:i/>
          <w:sz w:val="20"/>
          <w:szCs w:val="20"/>
        </w:rPr>
        <w:t>Nauigatio Sancti Brendani</w:t>
      </w:r>
      <w:r w:rsidRPr="00172B2D">
        <w:rPr>
          <w:rFonts w:asciiTheme="minorHAnsi" w:hAnsiTheme="minorHAnsi"/>
          <w:sz w:val="20"/>
          <w:szCs w:val="20"/>
        </w:rPr>
        <w:t>’, (unpublished Theology Graduate thesis, Ireland Providence College, 2015).  [Online:</w:t>
      </w:r>
      <w:r w:rsidRPr="00172B2D">
        <w:rPr>
          <w:rFonts w:asciiTheme="minorHAnsi" w:hAnsiTheme="minorHAnsi"/>
          <w:color w:val="548DD4" w:themeColor="text2" w:themeTint="99"/>
          <w:sz w:val="20"/>
          <w:szCs w:val="20"/>
        </w:rPr>
        <w:t xml:space="preserve"> </w:t>
      </w:r>
      <w:hyperlink r:id="rId3" w:history="1">
        <w:r w:rsidRPr="00172B2D">
          <w:rPr>
            <w:rStyle w:val="Hyperlink"/>
            <w:rFonts w:asciiTheme="minorHAnsi" w:hAnsiTheme="minorHAnsi"/>
            <w:color w:val="548DD4" w:themeColor="text2" w:themeTint="99"/>
            <w:sz w:val="20"/>
            <w:szCs w:val="20"/>
          </w:rPr>
          <w:t>direlan1@providence.edu</w:t>
        </w:r>
      </w:hyperlink>
      <w:r w:rsidRPr="00172B2D">
        <w:rPr>
          <w:rFonts w:asciiTheme="minorHAnsi" w:hAnsiTheme="minorHAnsi"/>
          <w:color w:val="548DD4" w:themeColor="text2" w:themeTint="99"/>
          <w:sz w:val="20"/>
          <w:szCs w:val="20"/>
        </w:rPr>
        <w:t xml:space="preserve">, </w:t>
      </w:r>
      <w:hyperlink r:id="rId4" w:history="1">
        <w:r w:rsidRPr="00172B2D">
          <w:rPr>
            <w:rStyle w:val="Hyperlink"/>
            <w:rFonts w:asciiTheme="minorHAnsi" w:hAnsiTheme="minorHAnsi"/>
            <w:color w:val="548DD4" w:themeColor="text2" w:themeTint="99"/>
            <w:sz w:val="20"/>
            <w:szCs w:val="20"/>
          </w:rPr>
          <w:t>https://digitalcommons.providence.edu/theology_graduate_theses/7/</w:t>
        </w:r>
      </w:hyperlink>
      <w:r w:rsidRPr="00172B2D">
        <w:rPr>
          <w:rFonts w:asciiTheme="minorHAnsi" w:hAnsiTheme="minorHAnsi"/>
          <w:sz w:val="20"/>
          <w:szCs w:val="20"/>
        </w:rPr>
        <w:t>], &lt;Accessed: 28 February 2018&gt; considered it a secular copy of NB.</w:t>
      </w:r>
    </w:p>
  </w:footnote>
  <w:footnote w:id="6">
    <w:p w14:paraId="255FBF65" w14:textId="77777777" w:rsidR="002D0211" w:rsidRPr="00EC70E3" w:rsidRDefault="002D0211" w:rsidP="00FB2469">
      <w:pPr>
        <w:spacing w:line="240" w:lineRule="auto"/>
        <w:rPr>
          <w:sz w:val="20"/>
          <w:szCs w:val="20"/>
        </w:rPr>
      </w:pPr>
      <w:r w:rsidRPr="00894164">
        <w:rPr>
          <w:rStyle w:val="FootnoteReference"/>
          <w:sz w:val="20"/>
          <w:szCs w:val="20"/>
        </w:rPr>
        <w:footnoteRef/>
      </w:r>
      <w:r w:rsidRPr="00894164">
        <w:rPr>
          <w:sz w:val="20"/>
          <w:szCs w:val="20"/>
        </w:rPr>
        <w:t xml:space="preserve"> </w:t>
      </w:r>
      <w:r w:rsidRPr="00EC70E3">
        <w:rPr>
          <w:sz w:val="20"/>
          <w:szCs w:val="20"/>
        </w:rPr>
        <w:t xml:space="preserve"> J. Harpur, </w:t>
      </w:r>
      <w:r w:rsidRPr="00EC70E3">
        <w:rPr>
          <w:i/>
          <w:sz w:val="20"/>
          <w:szCs w:val="20"/>
        </w:rPr>
        <w:t>Sacred Tracks: 2000 years of Christian Pilgrimage</w:t>
      </w:r>
      <w:r w:rsidRPr="00EC70E3">
        <w:rPr>
          <w:sz w:val="20"/>
          <w:szCs w:val="20"/>
        </w:rPr>
        <w:t xml:space="preserve"> (Berkeley, University of California Press, 2002), pp37-47, p40;  Strijbosch, Clara, ‘</w:t>
      </w:r>
      <w:r w:rsidRPr="00EC70E3">
        <w:rPr>
          <w:i/>
          <w:sz w:val="20"/>
          <w:szCs w:val="20"/>
        </w:rPr>
        <w:t>The Heathen Giant</w:t>
      </w:r>
      <w:r w:rsidRPr="00EC70E3">
        <w:rPr>
          <w:sz w:val="20"/>
          <w:szCs w:val="20"/>
        </w:rPr>
        <w:t xml:space="preserve"> in The Voyage of St Brendan’ in </w:t>
      </w:r>
      <w:r w:rsidRPr="00EC70E3">
        <w:rPr>
          <w:rFonts w:cs="Arial"/>
          <w:i/>
          <w:color w:val="333333"/>
          <w:sz w:val="20"/>
          <w:szCs w:val="20"/>
        </w:rPr>
        <w:t>Celtica</w:t>
      </w:r>
      <w:r w:rsidRPr="00EC70E3">
        <w:rPr>
          <w:rFonts w:cs="Arial"/>
          <w:color w:val="333333"/>
          <w:sz w:val="20"/>
          <w:szCs w:val="20"/>
        </w:rPr>
        <w:t xml:space="preserve"> Volume 23 (1999): Essays in honour of James Patrick Carney </w:t>
      </w:r>
      <w:r w:rsidRPr="00EC70E3">
        <w:rPr>
          <w:sz w:val="20"/>
          <w:szCs w:val="20"/>
        </w:rPr>
        <w:t xml:space="preserve">[Online: </w:t>
      </w:r>
      <w:hyperlink r:id="rId5" w:history="1">
        <w:r w:rsidRPr="00EC70E3">
          <w:rPr>
            <w:rStyle w:val="Hyperlink"/>
            <w:sz w:val="20"/>
            <w:szCs w:val="20"/>
          </w:rPr>
          <w:t>https://www.dias.ie/wp-content/uploads/webstore/celt/pubs/celtica/c23/c23-369.pdf</w:t>
        </w:r>
      </w:hyperlink>
      <w:r w:rsidRPr="00EC70E3">
        <w:rPr>
          <w:sz w:val="20"/>
          <w:szCs w:val="20"/>
        </w:rPr>
        <w:t xml:space="preserve"> ] &lt;Accessed 28 March 2018&gt;; </w:t>
      </w:r>
      <w:r w:rsidRPr="00EC70E3">
        <w:rPr>
          <w:sz w:val="20"/>
        </w:rPr>
        <w:t xml:space="preserve">eadem, </w:t>
      </w:r>
      <w:r w:rsidRPr="00EC70E3">
        <w:rPr>
          <w:i/>
          <w:sz w:val="20"/>
        </w:rPr>
        <w:t xml:space="preserve">The Seafaring Saint; Sources and Analogues of the Twelfth-century Voyage of Saint Brendan  </w:t>
      </w:r>
      <w:r w:rsidRPr="00EC70E3">
        <w:rPr>
          <w:sz w:val="20"/>
        </w:rPr>
        <w:t>trans. Summerfield.T.,</w:t>
      </w:r>
      <w:r w:rsidRPr="00EC70E3">
        <w:rPr>
          <w:i/>
          <w:sz w:val="20"/>
        </w:rPr>
        <w:t xml:space="preserve"> </w:t>
      </w:r>
      <w:r w:rsidRPr="00EC70E3">
        <w:rPr>
          <w:sz w:val="20"/>
        </w:rPr>
        <w:t>(Dublin: Four Courts Press, 2000).  P.</w:t>
      </w:r>
      <w:r w:rsidRPr="00EC70E3">
        <w:rPr>
          <w:sz w:val="20"/>
          <w:szCs w:val="20"/>
        </w:rPr>
        <w:t xml:space="preserve"> </w:t>
      </w:r>
      <w:r w:rsidRPr="00EC70E3">
        <w:rPr>
          <w:sz w:val="20"/>
          <w:szCs w:val="20"/>
          <w:shd w:val="clear" w:color="auto" w:fill="FFFFFF"/>
        </w:rPr>
        <w:t xml:space="preserve">Mac Cana, ‘On the ‘Prehistory’ of </w:t>
      </w:r>
      <w:r w:rsidRPr="00EC70E3">
        <w:rPr>
          <w:i/>
          <w:sz w:val="20"/>
          <w:szCs w:val="20"/>
          <w:shd w:val="clear" w:color="auto" w:fill="FFFFFF"/>
        </w:rPr>
        <w:t xml:space="preserve">Immram Brain’ </w:t>
      </w:r>
      <w:r w:rsidRPr="00EC70E3">
        <w:rPr>
          <w:sz w:val="20"/>
          <w:szCs w:val="20"/>
          <w:shd w:val="clear" w:color="auto" w:fill="FFFFFF"/>
        </w:rPr>
        <w:t xml:space="preserve">in </w:t>
      </w:r>
      <w:r w:rsidRPr="00EC70E3">
        <w:rPr>
          <w:i/>
          <w:sz w:val="20"/>
          <w:szCs w:val="20"/>
          <w:shd w:val="clear" w:color="auto" w:fill="FFFFFF"/>
        </w:rPr>
        <w:t>Ériu</w:t>
      </w:r>
      <w:r w:rsidRPr="00EC70E3">
        <w:rPr>
          <w:sz w:val="20"/>
          <w:szCs w:val="20"/>
          <w:shd w:val="clear" w:color="auto" w:fill="FFFFFF"/>
        </w:rPr>
        <w:t xml:space="preserve"> 26: (1975) 33-52, </w:t>
      </w:r>
      <w:r w:rsidRPr="00EC70E3">
        <w:rPr>
          <w:sz w:val="20"/>
          <w:szCs w:val="20"/>
        </w:rPr>
        <w:t>was a big proponent of pre- Christian elements as the basis for IB. He goes as far as to suggest a common source for all the</w:t>
      </w:r>
      <w:r>
        <w:rPr>
          <w:sz w:val="20"/>
          <w:szCs w:val="20"/>
        </w:rPr>
        <w:t xml:space="preserve"> Otherworld texts in CDS, </w:t>
      </w:r>
      <w:r w:rsidRPr="00EC70E3">
        <w:rPr>
          <w:sz w:val="20"/>
          <w:szCs w:val="20"/>
        </w:rPr>
        <w:t>ibid</w:t>
      </w:r>
      <w:r>
        <w:rPr>
          <w:sz w:val="20"/>
          <w:szCs w:val="20"/>
        </w:rPr>
        <w:t>.,</w:t>
      </w:r>
      <w:r w:rsidRPr="00EC70E3">
        <w:rPr>
          <w:sz w:val="20"/>
          <w:szCs w:val="20"/>
        </w:rPr>
        <w:t xml:space="preserve"> pp. 38-40; Dumville, </w:t>
      </w:r>
      <w:r w:rsidRPr="00EC70E3">
        <w:rPr>
          <w:i/>
          <w:sz w:val="20"/>
          <w:szCs w:val="20"/>
        </w:rPr>
        <w:t>Echtrae</w:t>
      </w:r>
      <w:r w:rsidRPr="00EC70E3">
        <w:rPr>
          <w:sz w:val="20"/>
          <w:szCs w:val="20"/>
        </w:rPr>
        <w:t xml:space="preserve"> p.</w:t>
      </w:r>
      <w:ins w:id="20" w:author="Alaw Mai" w:date="2018-04-19T21:19:00Z">
        <w:r>
          <w:rPr>
            <w:sz w:val="20"/>
            <w:szCs w:val="20"/>
          </w:rPr>
          <w:t xml:space="preserve"> </w:t>
        </w:r>
      </w:ins>
      <w:r w:rsidRPr="00EC70E3">
        <w:rPr>
          <w:sz w:val="20"/>
          <w:szCs w:val="20"/>
        </w:rPr>
        <w:t>77, admits that there are native Irish elements contained within MD, but that they are not the main point. He goes on to say, ibid., p. 89 fn88, the dating for NB is disputed but cannot be earlier than the latter part of the 9</w:t>
      </w:r>
      <w:r w:rsidRPr="00EC70E3">
        <w:rPr>
          <w:sz w:val="20"/>
          <w:szCs w:val="20"/>
          <w:vertAlign w:val="superscript"/>
        </w:rPr>
        <w:t>th</w:t>
      </w:r>
      <w:r w:rsidRPr="00EC70E3">
        <w:rPr>
          <w:sz w:val="20"/>
          <w:szCs w:val="20"/>
        </w:rPr>
        <w:t xml:space="preserve"> century. J. Carney in Dumville, ibid., had proposed the 8</w:t>
      </w:r>
      <w:r w:rsidRPr="00EC70E3">
        <w:rPr>
          <w:sz w:val="20"/>
          <w:szCs w:val="20"/>
          <w:vertAlign w:val="superscript"/>
        </w:rPr>
        <w:t>th</w:t>
      </w:r>
      <w:r w:rsidRPr="00EC70E3">
        <w:rPr>
          <w:sz w:val="20"/>
          <w:szCs w:val="20"/>
        </w:rPr>
        <w:t xml:space="preserve"> century. Carney, ‘</w:t>
      </w:r>
      <w:r w:rsidRPr="00EC70E3">
        <w:rPr>
          <w:sz w:val="20"/>
          <w:szCs w:val="20"/>
          <w:shd w:val="clear" w:color="auto" w:fill="FFFFFF"/>
        </w:rPr>
        <w:t>Review of: </w:t>
      </w:r>
      <w:hyperlink r:id="rId6" w:tooltip="Selmer (Carl) 1959 1" w:history="1">
        <w:r w:rsidRPr="00EC70E3">
          <w:rPr>
            <w:rStyle w:val="Hyperlink"/>
            <w:color w:val="auto"/>
            <w:sz w:val="20"/>
            <w:szCs w:val="20"/>
            <w:u w:val="none"/>
            <w:shd w:val="clear" w:color="auto" w:fill="FFFFFF"/>
          </w:rPr>
          <w:t>Selmer, Carl, </w:t>
        </w:r>
        <w:r w:rsidRPr="00EC70E3">
          <w:rPr>
            <w:rStyle w:val="Emphasis"/>
            <w:sz w:val="20"/>
            <w:szCs w:val="20"/>
            <w:shd w:val="clear" w:color="auto" w:fill="FFFFFF"/>
          </w:rPr>
          <w:t>Navigatio sancti Brendani abbatis</w:t>
        </w:r>
        <w:r w:rsidRPr="00EC70E3">
          <w:rPr>
            <w:rStyle w:val="Hyperlink"/>
            <w:i/>
            <w:iCs/>
            <w:color w:val="auto"/>
            <w:sz w:val="20"/>
            <w:szCs w:val="20"/>
            <w:u w:val="none"/>
            <w:shd w:val="clear" w:color="auto" w:fill="FFFFFF"/>
          </w:rPr>
          <w:t> from early Latin manuscripts’</w:t>
        </w:r>
        <w:r w:rsidRPr="00EC70E3">
          <w:rPr>
            <w:rStyle w:val="Hyperlink"/>
            <w:color w:val="auto"/>
            <w:sz w:val="20"/>
            <w:szCs w:val="20"/>
            <w:u w:val="none"/>
            <w:shd w:val="clear" w:color="auto" w:fill="FFFFFF"/>
          </w:rPr>
          <w:t xml:space="preserve"> (Notre Dame, Indiana: University of Notre Dame Press, 1959</w:t>
        </w:r>
      </w:hyperlink>
      <w:r w:rsidRPr="00EC70E3">
        <w:rPr>
          <w:sz w:val="20"/>
          <w:szCs w:val="20"/>
        </w:rPr>
        <w:t xml:space="preserve">) cited in J. O’Meara, trans. </w:t>
      </w:r>
      <w:r w:rsidRPr="00EC70E3">
        <w:rPr>
          <w:bCs/>
          <w:i/>
          <w:sz w:val="20"/>
          <w:szCs w:val="20"/>
        </w:rPr>
        <w:t>The Voyage of Saint Brendan</w:t>
      </w:r>
      <w:r w:rsidRPr="00EC70E3">
        <w:rPr>
          <w:bCs/>
          <w:sz w:val="20"/>
          <w:szCs w:val="20"/>
        </w:rPr>
        <w:t>, 3</w:t>
      </w:r>
      <w:r w:rsidRPr="00EC70E3">
        <w:rPr>
          <w:bCs/>
          <w:sz w:val="20"/>
          <w:szCs w:val="20"/>
          <w:vertAlign w:val="superscript"/>
        </w:rPr>
        <w:t>rd</w:t>
      </w:r>
      <w:r w:rsidRPr="00EC70E3">
        <w:rPr>
          <w:bCs/>
          <w:sz w:val="20"/>
          <w:szCs w:val="20"/>
        </w:rPr>
        <w:t xml:space="preserve"> edn, (Buckinghamshire: Colin Smythe Limited, 1991)</w:t>
      </w:r>
      <w:r>
        <w:rPr>
          <w:bCs/>
          <w:sz w:val="20"/>
          <w:szCs w:val="20"/>
        </w:rPr>
        <w:t xml:space="preserve"> </w:t>
      </w:r>
      <w:r w:rsidRPr="00EC70E3">
        <w:rPr>
          <w:sz w:val="20"/>
          <w:szCs w:val="20"/>
        </w:rPr>
        <w:t>believed NB and MD could have had a common source.</w:t>
      </w:r>
    </w:p>
  </w:footnote>
  <w:footnote w:id="7">
    <w:p w14:paraId="653E503E" w14:textId="77777777" w:rsidR="002D0211" w:rsidRDefault="002D0211" w:rsidP="00FB2469">
      <w:pPr>
        <w:pStyle w:val="FootnoteText"/>
      </w:pPr>
      <w:r>
        <w:rPr>
          <w:rStyle w:val="FootnoteReference"/>
        </w:rPr>
        <w:footnoteRef/>
      </w:r>
      <w:r>
        <w:t xml:space="preserve"> See footnote 4 above. </w:t>
      </w:r>
    </w:p>
  </w:footnote>
  <w:footnote w:id="8">
    <w:p w14:paraId="22995076" w14:textId="77777777" w:rsidR="002D0211" w:rsidRPr="00007E2E" w:rsidRDefault="002D0211" w:rsidP="00007E2E">
      <w:pPr>
        <w:shd w:val="clear" w:color="auto" w:fill="FFFFFF"/>
        <w:spacing w:line="240" w:lineRule="auto"/>
        <w:rPr>
          <w:sz w:val="20"/>
          <w:szCs w:val="20"/>
        </w:rPr>
      </w:pPr>
      <w:r>
        <w:rPr>
          <w:rStyle w:val="FootnoteReference"/>
        </w:rPr>
        <w:footnoteRef/>
      </w:r>
      <w:r>
        <w:t xml:space="preserve"> </w:t>
      </w:r>
      <w:r w:rsidRPr="00B7511F">
        <w:rPr>
          <w:sz w:val="20"/>
          <w:szCs w:val="20"/>
        </w:rPr>
        <w:t xml:space="preserve">The Tale-lists include many </w:t>
      </w:r>
      <w:r w:rsidRPr="00B7511F">
        <w:rPr>
          <w:i/>
          <w:sz w:val="20"/>
          <w:szCs w:val="20"/>
        </w:rPr>
        <w:t>echtrae</w:t>
      </w:r>
      <w:r w:rsidRPr="00B7511F">
        <w:rPr>
          <w:sz w:val="20"/>
          <w:szCs w:val="20"/>
        </w:rPr>
        <w:t xml:space="preserve"> in list B and </w:t>
      </w:r>
      <w:r w:rsidRPr="00B7511F">
        <w:rPr>
          <w:i/>
          <w:sz w:val="20"/>
          <w:szCs w:val="20"/>
        </w:rPr>
        <w:t>echtrae</w:t>
      </w:r>
      <w:r w:rsidRPr="00B7511F">
        <w:rPr>
          <w:sz w:val="20"/>
          <w:szCs w:val="20"/>
        </w:rPr>
        <w:t xml:space="preserve"> and 3 </w:t>
      </w:r>
      <w:r w:rsidRPr="00B7511F">
        <w:rPr>
          <w:i/>
          <w:sz w:val="20"/>
          <w:szCs w:val="20"/>
        </w:rPr>
        <w:t>immrama</w:t>
      </w:r>
      <w:r w:rsidRPr="00B7511F">
        <w:rPr>
          <w:sz w:val="20"/>
          <w:szCs w:val="20"/>
        </w:rPr>
        <w:t xml:space="preserve"> in list A, MD amongst them. Dumville, </w:t>
      </w:r>
      <w:r w:rsidRPr="00B7511F">
        <w:rPr>
          <w:i/>
          <w:sz w:val="20"/>
          <w:szCs w:val="20"/>
        </w:rPr>
        <w:t>Echtrae</w:t>
      </w:r>
      <w:r w:rsidRPr="00B7511F">
        <w:rPr>
          <w:sz w:val="20"/>
          <w:szCs w:val="20"/>
        </w:rPr>
        <w:t xml:space="preserve"> p.90</w:t>
      </w:r>
      <w:r>
        <w:rPr>
          <w:sz w:val="20"/>
          <w:szCs w:val="20"/>
        </w:rPr>
        <w:t>;</w:t>
      </w:r>
      <w:r w:rsidRPr="00B7511F">
        <w:rPr>
          <w:sz w:val="20"/>
          <w:szCs w:val="20"/>
        </w:rPr>
        <w:t xml:space="preserve"> </w:t>
      </w:r>
      <w:r>
        <w:rPr>
          <w:sz w:val="20"/>
          <w:szCs w:val="20"/>
        </w:rPr>
        <w:t xml:space="preserve">S. Mac Mathúna, </w:t>
      </w:r>
      <w:r w:rsidRPr="00B7511F">
        <w:rPr>
          <w:i/>
          <w:sz w:val="20"/>
          <w:szCs w:val="20"/>
        </w:rPr>
        <w:t>Immram Brain: Bran’s Journey to the Land of the Women</w:t>
      </w:r>
      <w:r w:rsidRPr="00B7511F">
        <w:rPr>
          <w:sz w:val="20"/>
          <w:szCs w:val="20"/>
        </w:rPr>
        <w:t>, (Tübingen: Niemeyer , 1985) p.</w:t>
      </w:r>
      <w:ins w:id="21" w:author="Alaw Mai" w:date="2018-04-19T21:19:00Z">
        <w:r>
          <w:rPr>
            <w:sz w:val="20"/>
            <w:szCs w:val="20"/>
          </w:rPr>
          <w:t xml:space="preserve"> </w:t>
        </w:r>
      </w:ins>
      <w:r w:rsidRPr="00B7511F">
        <w:rPr>
          <w:sz w:val="20"/>
          <w:szCs w:val="20"/>
        </w:rPr>
        <w:t>276; Wooding</w:t>
      </w:r>
      <w:r>
        <w:rPr>
          <w:sz w:val="20"/>
          <w:szCs w:val="20"/>
        </w:rPr>
        <w:t xml:space="preserve">, </w:t>
      </w:r>
      <w:r w:rsidRPr="00B7511F">
        <w:rPr>
          <w:i/>
          <w:sz w:val="20"/>
          <w:szCs w:val="20"/>
        </w:rPr>
        <w:t>The Otherworld Voyage</w:t>
      </w:r>
      <w:r>
        <w:rPr>
          <w:sz w:val="20"/>
          <w:szCs w:val="20"/>
        </w:rPr>
        <w:t xml:space="preserve"> p. </w:t>
      </w:r>
      <w:r w:rsidRPr="00B7511F">
        <w:rPr>
          <w:sz w:val="20"/>
          <w:szCs w:val="20"/>
        </w:rPr>
        <w:t>Xii</w:t>
      </w:r>
      <w:r>
        <w:rPr>
          <w:sz w:val="20"/>
          <w:szCs w:val="20"/>
        </w:rPr>
        <w:t xml:space="preserve">;.  Dumville, </w:t>
      </w:r>
      <w:r w:rsidRPr="00B7511F">
        <w:rPr>
          <w:sz w:val="20"/>
          <w:szCs w:val="20"/>
        </w:rPr>
        <w:t>ibid</w:t>
      </w:r>
      <w:r>
        <w:rPr>
          <w:sz w:val="20"/>
          <w:szCs w:val="20"/>
        </w:rPr>
        <w:t xml:space="preserve"> p. 9</w:t>
      </w:r>
      <w:r w:rsidRPr="00B7511F">
        <w:rPr>
          <w:sz w:val="20"/>
          <w:szCs w:val="20"/>
        </w:rPr>
        <w:t>3</w:t>
      </w:r>
      <w:r>
        <w:rPr>
          <w:sz w:val="20"/>
          <w:szCs w:val="20"/>
        </w:rPr>
        <w:t>,</w:t>
      </w:r>
      <w:r w:rsidRPr="00B7511F">
        <w:rPr>
          <w:sz w:val="20"/>
          <w:szCs w:val="20"/>
        </w:rPr>
        <w:t xml:space="preserve"> was of the opinion that the secular </w:t>
      </w:r>
      <w:r w:rsidRPr="00B7511F">
        <w:rPr>
          <w:i/>
          <w:sz w:val="20"/>
          <w:szCs w:val="20"/>
        </w:rPr>
        <w:t xml:space="preserve">echtrae </w:t>
      </w:r>
      <w:r w:rsidRPr="00FB2469">
        <w:rPr>
          <w:sz w:val="20"/>
          <w:szCs w:val="20"/>
        </w:rPr>
        <w:t xml:space="preserve">could </w:t>
      </w:r>
      <w:r w:rsidRPr="00B7511F">
        <w:rPr>
          <w:sz w:val="20"/>
          <w:szCs w:val="20"/>
        </w:rPr>
        <w:t xml:space="preserve">have been written versions of oral stories, but </w:t>
      </w:r>
      <w:r w:rsidRPr="00FB2469">
        <w:rPr>
          <w:i/>
          <w:sz w:val="20"/>
          <w:szCs w:val="20"/>
        </w:rPr>
        <w:t>not</w:t>
      </w:r>
      <w:r w:rsidRPr="00B7511F">
        <w:rPr>
          <w:sz w:val="20"/>
          <w:szCs w:val="20"/>
        </w:rPr>
        <w:t xml:space="preserve"> the ecclesiastical </w:t>
      </w:r>
      <w:r w:rsidRPr="00B7511F">
        <w:rPr>
          <w:i/>
          <w:sz w:val="20"/>
          <w:szCs w:val="20"/>
        </w:rPr>
        <w:t>immrama</w:t>
      </w:r>
      <w:r w:rsidRPr="00B7511F">
        <w:rPr>
          <w:sz w:val="20"/>
          <w:szCs w:val="20"/>
        </w:rPr>
        <w:t xml:space="preserve">. I would argue, however, that the </w:t>
      </w:r>
      <w:r w:rsidRPr="00FB2469">
        <w:rPr>
          <w:b/>
          <w:sz w:val="20"/>
          <w:szCs w:val="20"/>
        </w:rPr>
        <w:t>secular</w:t>
      </w:r>
      <w:r w:rsidRPr="00B7511F">
        <w:rPr>
          <w:i/>
          <w:sz w:val="20"/>
          <w:szCs w:val="20"/>
        </w:rPr>
        <w:t xml:space="preserve"> immrama, </w:t>
      </w:r>
      <w:r w:rsidRPr="00B7511F">
        <w:rPr>
          <w:sz w:val="20"/>
          <w:szCs w:val="20"/>
        </w:rPr>
        <w:t>of which MD is one, bridge the gap between the two genres and do contain within them references to the oral tradition o</w:t>
      </w:r>
      <w:r>
        <w:rPr>
          <w:sz w:val="20"/>
          <w:szCs w:val="20"/>
        </w:rPr>
        <w:t>f the cult of Bran, to facilitiate the aim  of</w:t>
      </w:r>
      <w:r w:rsidRPr="00B7511F">
        <w:rPr>
          <w:sz w:val="20"/>
          <w:szCs w:val="20"/>
        </w:rPr>
        <w:t xml:space="preserve"> </w:t>
      </w:r>
      <w:r w:rsidRPr="00007E2E">
        <w:rPr>
          <w:sz w:val="20"/>
          <w:szCs w:val="20"/>
        </w:rPr>
        <w:t>teaching pagan people Christian values.</w:t>
      </w:r>
    </w:p>
  </w:footnote>
  <w:footnote w:id="9">
    <w:p w14:paraId="6EB094F5" w14:textId="77777777" w:rsidR="002D0211" w:rsidRPr="00007E2E" w:rsidRDefault="002D0211" w:rsidP="00007E2E">
      <w:pPr>
        <w:shd w:val="clear" w:color="auto" w:fill="FEFDFA"/>
        <w:spacing w:line="240" w:lineRule="auto"/>
        <w:rPr>
          <w:sz w:val="20"/>
          <w:szCs w:val="20"/>
        </w:rPr>
      </w:pPr>
      <w:r w:rsidRPr="00007E2E">
        <w:rPr>
          <w:rStyle w:val="FootnoteReference"/>
          <w:sz w:val="20"/>
          <w:szCs w:val="20"/>
        </w:rPr>
        <w:footnoteRef/>
      </w:r>
      <w:r>
        <w:t xml:space="preserve"> </w:t>
      </w:r>
      <w:r w:rsidRPr="00A2543E">
        <w:rPr>
          <w:sz w:val="20"/>
        </w:rPr>
        <w:t>Ibid., p.173.</w:t>
      </w:r>
      <w:r w:rsidRPr="00007E2E">
        <w:rPr>
          <w:sz w:val="20"/>
          <w:szCs w:val="20"/>
        </w:rPr>
        <w:t xml:space="preserve"> T. O’Cathasaigh,</w:t>
      </w:r>
      <w:r>
        <w:rPr>
          <w:sz w:val="20"/>
          <w:szCs w:val="20"/>
        </w:rPr>
        <w:t xml:space="preserve"> </w:t>
      </w:r>
      <w:r w:rsidRPr="00007E2E">
        <w:rPr>
          <w:rStyle w:val="exlavailabilitycallnumber"/>
          <w:rFonts w:cs="Arial"/>
          <w:i/>
          <w:sz w:val="20"/>
          <w:szCs w:val="20"/>
          <w:bdr w:val="none" w:sz="0" w:space="0" w:color="auto" w:frame="1"/>
        </w:rPr>
        <w:t xml:space="preserve">Coire Sois, the Cauldron of Knowledge: A Companion to Early Irish Saga </w:t>
      </w:r>
      <w:r w:rsidRPr="00007E2E">
        <w:rPr>
          <w:rStyle w:val="exlavailabilitycallnumber"/>
          <w:rFonts w:cs="Arial"/>
          <w:sz w:val="20"/>
          <w:szCs w:val="20"/>
          <w:bdr w:val="none" w:sz="0" w:space="0" w:color="auto" w:frame="1"/>
        </w:rPr>
        <w:t>(Notre Dame, Indiana: University of Notre Dame Press,2014)</w:t>
      </w:r>
      <w:r>
        <w:rPr>
          <w:rStyle w:val="exlavailabilitycallnumber"/>
          <w:rFonts w:cs="Arial"/>
          <w:sz w:val="20"/>
          <w:szCs w:val="20"/>
          <w:bdr w:val="none" w:sz="0" w:space="0" w:color="auto" w:frame="1"/>
        </w:rPr>
        <w:t>, p. 63.</w:t>
      </w:r>
    </w:p>
  </w:footnote>
  <w:footnote w:id="10">
    <w:p w14:paraId="074F6FE5" w14:textId="77777777" w:rsidR="002D0211" w:rsidRDefault="002D0211" w:rsidP="007E5B20">
      <w:r>
        <w:rPr>
          <w:rStyle w:val="FootnoteReference"/>
        </w:rPr>
        <w:footnoteRef/>
      </w:r>
      <w:r>
        <w:t xml:space="preserve"> </w:t>
      </w:r>
      <w:r w:rsidRPr="00D721A1">
        <w:rPr>
          <w:sz w:val="20"/>
          <w:szCs w:val="20"/>
        </w:rPr>
        <w:t>Other tra</w:t>
      </w:r>
      <w:r>
        <w:rPr>
          <w:sz w:val="20"/>
          <w:szCs w:val="20"/>
        </w:rPr>
        <w:t>nslators have been Kuno Meyer: t</w:t>
      </w:r>
      <w:r w:rsidRPr="00D721A1">
        <w:rPr>
          <w:sz w:val="20"/>
          <w:szCs w:val="20"/>
        </w:rPr>
        <w:t>he poetic version, Best and Bergin: a diplomatic edition of Lebor na Huidre, A.G. van Hamel:  A critical edition – he saw some differences between LH &amp; YL and believed that they came from different versions, the different parts of LH were scribed by Mael Muire. He felt his translation kept closer to the original than that of Stokes by using the text not edited by Mael Muire, to enable a closer look at the earlier rendition (a difference of 200 years)</w:t>
      </w:r>
      <w:ins w:id="23" w:author="Alaw Mai" w:date="2018-04-19T21:19:00Z">
        <w:r>
          <w:rPr>
            <w:sz w:val="20"/>
            <w:szCs w:val="20"/>
          </w:rPr>
          <w:t>.</w:t>
        </w:r>
      </w:ins>
      <w:r w:rsidRPr="00D721A1">
        <w:rPr>
          <w:sz w:val="20"/>
          <w:szCs w:val="20"/>
        </w:rPr>
        <w:t xml:space="preserve"> This approach has been criticised because he may have inadvertently changed language that may not have been from the earlier perio</w:t>
      </w:r>
      <w:r>
        <w:rPr>
          <w:sz w:val="20"/>
          <w:szCs w:val="20"/>
        </w:rPr>
        <w:t xml:space="preserve">d. Oskamp, </w:t>
      </w:r>
      <w:r w:rsidRPr="00942D14">
        <w:rPr>
          <w:i/>
          <w:sz w:val="20"/>
          <w:szCs w:val="20"/>
        </w:rPr>
        <w:t>The Voyage</w:t>
      </w:r>
      <w:r>
        <w:rPr>
          <w:sz w:val="20"/>
          <w:szCs w:val="20"/>
        </w:rPr>
        <w:t xml:space="preserve">, pp. 3-19. and pp. 89-98. </w:t>
      </w:r>
      <w:r w:rsidRPr="00D721A1">
        <w:rPr>
          <w:sz w:val="20"/>
          <w:szCs w:val="20"/>
        </w:rPr>
        <w:t>H.P.A. Oskamp</w:t>
      </w:r>
      <w:r>
        <w:rPr>
          <w:sz w:val="20"/>
          <w:szCs w:val="20"/>
        </w:rPr>
        <w:t xml:space="preserve">’s </w:t>
      </w:r>
      <w:r w:rsidRPr="00D721A1">
        <w:rPr>
          <w:sz w:val="20"/>
          <w:szCs w:val="20"/>
        </w:rPr>
        <w:t>diplomatic version of the prose and poetry of YL</w:t>
      </w:r>
      <w:r>
        <w:rPr>
          <w:sz w:val="20"/>
          <w:szCs w:val="20"/>
        </w:rPr>
        <w:t>, produced</w:t>
      </w:r>
      <w:r w:rsidRPr="00D721A1">
        <w:rPr>
          <w:sz w:val="20"/>
          <w:szCs w:val="20"/>
        </w:rPr>
        <w:t xml:space="preserve"> as a work of literature</w:t>
      </w:r>
      <w:r>
        <w:rPr>
          <w:sz w:val="20"/>
          <w:szCs w:val="20"/>
        </w:rPr>
        <w:t xml:space="preserve">, </w:t>
      </w:r>
      <w:r w:rsidRPr="00D721A1">
        <w:rPr>
          <w:sz w:val="20"/>
          <w:szCs w:val="20"/>
        </w:rPr>
        <w:t>reads really well.</w:t>
      </w:r>
      <w:r>
        <w:rPr>
          <w:sz w:val="20"/>
          <w:szCs w:val="20"/>
        </w:rPr>
        <w:t xml:space="preserve"> Ibid pp. 99-179.</w:t>
      </w:r>
    </w:p>
  </w:footnote>
  <w:footnote w:id="11">
    <w:p w14:paraId="0D846575" w14:textId="77777777" w:rsidR="002D0211" w:rsidRPr="00573DC9" w:rsidRDefault="002D0211">
      <w:pPr>
        <w:pStyle w:val="FootnoteText"/>
        <w:rPr>
          <w:i/>
        </w:rPr>
      </w:pPr>
      <w:r>
        <w:rPr>
          <w:rStyle w:val="FootnoteReference"/>
        </w:rPr>
        <w:footnoteRef/>
      </w:r>
      <w:r>
        <w:t xml:space="preserve"> YL is complete </w:t>
      </w:r>
      <w:r w:rsidRPr="007E5B20">
        <w:t>apart from the two concluding sentences</w:t>
      </w:r>
      <w:r>
        <w:t xml:space="preserve">. Oskamp, </w:t>
      </w:r>
      <w:r>
        <w:rPr>
          <w:i/>
        </w:rPr>
        <w:t>The Voyage</w:t>
      </w:r>
      <w:r w:rsidRPr="006F19C9">
        <w:t>, p.89</w:t>
      </w:r>
    </w:p>
  </w:footnote>
  <w:footnote w:id="12">
    <w:p w14:paraId="2B34F500" w14:textId="77777777" w:rsidR="002D0211" w:rsidRPr="000148EE" w:rsidRDefault="002D0211" w:rsidP="001578A1">
      <w:pPr>
        <w:pStyle w:val="FootnoteText"/>
      </w:pPr>
      <w:r>
        <w:rPr>
          <w:rStyle w:val="FootnoteReference"/>
        </w:rPr>
        <w:footnoteRef/>
      </w:r>
      <w:r>
        <w:t xml:space="preserve"> </w:t>
      </w:r>
      <w:r w:rsidRPr="005B4F4B">
        <w:t xml:space="preserve">Mathuna, </w:t>
      </w:r>
      <w:r w:rsidRPr="005B4F4B">
        <w:rPr>
          <w:i/>
        </w:rPr>
        <w:t>Immram Brain</w:t>
      </w:r>
      <w:r w:rsidRPr="005B4F4B">
        <w:t>, 1985,</w:t>
      </w:r>
      <w:r>
        <w:t xml:space="preserve"> in Hilliers, </w:t>
      </w:r>
      <w:r w:rsidRPr="005B4F4B">
        <w:rPr>
          <w:i/>
        </w:rPr>
        <w:t>Voyages Between Heaven and Hell</w:t>
      </w:r>
      <w:r>
        <w:t xml:space="preserve"> p. 68</w:t>
      </w:r>
      <w:r w:rsidRPr="005B4F4B">
        <w:t>] referred to them as penitential voyages</w:t>
      </w:r>
      <w:r>
        <w:t xml:space="preserve">. I speculate that this peculiarity of MD and the secular </w:t>
      </w:r>
      <w:r w:rsidRPr="000148EE">
        <w:rPr>
          <w:i/>
        </w:rPr>
        <w:t>immrama</w:t>
      </w:r>
      <w:r>
        <w:rPr>
          <w:i/>
        </w:rPr>
        <w:t xml:space="preserve"> </w:t>
      </w:r>
      <w:r>
        <w:t>links them closely to the texts in the lost 8</w:t>
      </w:r>
      <w:r w:rsidRPr="005B4F4B">
        <w:rPr>
          <w:vertAlign w:val="superscript"/>
        </w:rPr>
        <w:t>th</w:t>
      </w:r>
      <w:r>
        <w:t xml:space="preserve"> century CDS, referred to in Dumville, </w:t>
      </w:r>
      <w:r w:rsidRPr="005B4F4B">
        <w:rPr>
          <w:i/>
        </w:rPr>
        <w:t>Ec</w:t>
      </w:r>
      <w:r>
        <w:rPr>
          <w:i/>
        </w:rPr>
        <w:t>h</w:t>
      </w:r>
      <w:r w:rsidRPr="005B4F4B">
        <w:rPr>
          <w:i/>
        </w:rPr>
        <w:t>trae</w:t>
      </w:r>
      <w:r>
        <w:rPr>
          <w:i/>
        </w:rPr>
        <w:t>,</w:t>
      </w:r>
      <w:r>
        <w:t xml:space="preserve"> p.84, and Oskamp T</w:t>
      </w:r>
      <w:r w:rsidRPr="00354D87">
        <w:rPr>
          <w:i/>
        </w:rPr>
        <w:t>he Voyage</w:t>
      </w:r>
      <w:r>
        <w:rPr>
          <w:i/>
        </w:rPr>
        <w:t xml:space="preserve">, </w:t>
      </w:r>
      <w:r>
        <w:t>p.13, such as the tales concerning Oengus mac In Og whe</w:t>
      </w:r>
      <w:r w:rsidRPr="005B4F4B">
        <w:t>re exiled criminal foster brothers and vengeance are themes,</w:t>
      </w:r>
      <w:r>
        <w:t xml:space="preserve"> and as such places them absolutely in the group of texts that preserve pre-Christian Irish narratives.</w:t>
      </w:r>
    </w:p>
  </w:footnote>
  <w:footnote w:id="13">
    <w:p w14:paraId="29A7BD05" w14:textId="77777777" w:rsidR="002D0211" w:rsidRDefault="002D0211">
      <w:pPr>
        <w:pStyle w:val="FootnoteText"/>
      </w:pPr>
      <w:r>
        <w:rPr>
          <w:rStyle w:val="FootnoteReference"/>
        </w:rPr>
        <w:footnoteRef/>
      </w:r>
      <w:r>
        <w:t xml:space="preserve"> Clancy, </w:t>
      </w:r>
      <w:r w:rsidRPr="00BB3026">
        <w:rPr>
          <w:i/>
        </w:rPr>
        <w:t>Subversion at Sea</w:t>
      </w:r>
      <w:r>
        <w:t xml:space="preserve">, p. 203, says it is, linguistically, the earliest and clearest narrative. </w:t>
      </w:r>
    </w:p>
  </w:footnote>
  <w:footnote w:id="14">
    <w:p w14:paraId="230B2F40" w14:textId="77777777" w:rsidR="002D0211" w:rsidRPr="005A3252" w:rsidRDefault="002D0211" w:rsidP="005A3252">
      <w:pPr>
        <w:spacing w:line="240" w:lineRule="auto"/>
        <w:rPr>
          <w:sz w:val="20"/>
          <w:szCs w:val="20"/>
        </w:rPr>
      </w:pPr>
      <w:r>
        <w:rPr>
          <w:rStyle w:val="FootnoteReference"/>
        </w:rPr>
        <w:footnoteRef/>
      </w:r>
      <w:r>
        <w:t xml:space="preserve"> </w:t>
      </w:r>
      <w:r w:rsidRPr="005A3252">
        <w:rPr>
          <w:sz w:val="20"/>
          <w:szCs w:val="20"/>
        </w:rPr>
        <w:t xml:space="preserve">G. Murphy, ‘On the Dates of Two Sources used in Thurneysen’s Heldensage’ in </w:t>
      </w:r>
      <w:r w:rsidRPr="005A3252">
        <w:rPr>
          <w:i/>
          <w:sz w:val="20"/>
          <w:szCs w:val="20"/>
        </w:rPr>
        <w:t>Ériu</w:t>
      </w:r>
      <w:r w:rsidRPr="005A3252">
        <w:rPr>
          <w:sz w:val="20"/>
          <w:szCs w:val="20"/>
        </w:rPr>
        <w:t xml:space="preserve">, 16:(1952),pp.145-156 in Oskamp, </w:t>
      </w:r>
      <w:r w:rsidRPr="005A3252">
        <w:rPr>
          <w:i/>
          <w:sz w:val="20"/>
          <w:szCs w:val="20"/>
        </w:rPr>
        <w:t>The Voyage</w:t>
      </w:r>
      <w:r w:rsidRPr="005A3252">
        <w:rPr>
          <w:sz w:val="20"/>
          <w:szCs w:val="20"/>
        </w:rPr>
        <w:t xml:space="preserve">, p.14, describes it as a schemata. Oskamp, ibid., p.12 differentiates between </w:t>
      </w:r>
      <w:r w:rsidRPr="005A3252">
        <w:rPr>
          <w:i/>
          <w:sz w:val="20"/>
          <w:szCs w:val="20"/>
        </w:rPr>
        <w:t>immram</w:t>
      </w:r>
      <w:r w:rsidRPr="005A3252">
        <w:rPr>
          <w:sz w:val="20"/>
          <w:szCs w:val="20"/>
        </w:rPr>
        <w:t xml:space="preserve">a being written down and being written. Some scholars are reluctant to acknowledge the sophistication of oral storytelling; e.g. </w:t>
      </w:r>
      <w:r w:rsidRPr="005A3252">
        <w:rPr>
          <w:color w:val="333333"/>
          <w:sz w:val="20"/>
          <w:szCs w:val="20"/>
        </w:rPr>
        <w:t>J.P. Carney, ‘Review of:</w:t>
      </w:r>
      <w:r w:rsidRPr="005A3252">
        <w:rPr>
          <w:rFonts w:ascii="Helvetica" w:hAnsi="Helvetica"/>
          <w:color w:val="333333"/>
          <w:sz w:val="20"/>
          <w:szCs w:val="20"/>
        </w:rPr>
        <w:t xml:space="preserve"> </w:t>
      </w:r>
      <w:r w:rsidRPr="005A3252">
        <w:rPr>
          <w:sz w:val="20"/>
          <w:szCs w:val="20"/>
        </w:rPr>
        <w:t>Carl </w:t>
      </w:r>
      <w:r w:rsidRPr="005A3252">
        <w:rPr>
          <w:rStyle w:val="smallcaps"/>
          <w:smallCaps/>
          <w:sz w:val="20"/>
          <w:szCs w:val="20"/>
        </w:rPr>
        <w:t>Selmer</w:t>
      </w:r>
      <w:r w:rsidRPr="005A3252">
        <w:rPr>
          <w:sz w:val="20"/>
          <w:szCs w:val="20"/>
        </w:rPr>
        <w:t>, </w:t>
      </w:r>
      <w:hyperlink r:id="rId7" w:tooltip="Selmer (Carl) 1959 1" w:history="1">
        <w:r w:rsidRPr="005A3252">
          <w:rPr>
            <w:rStyle w:val="Emphasis"/>
            <w:sz w:val="20"/>
            <w:szCs w:val="20"/>
          </w:rPr>
          <w:t>Navigatio sancti Brendani abbatis</w:t>
        </w:r>
        <w:r w:rsidRPr="005A3252">
          <w:rPr>
            <w:rStyle w:val="Hyperlink"/>
            <w:i/>
            <w:iCs/>
            <w:color w:val="auto"/>
            <w:sz w:val="20"/>
            <w:szCs w:val="20"/>
            <w:u w:val="none"/>
          </w:rPr>
          <w:t> from early Latin manuscripts</w:t>
        </w:r>
      </w:hyperlink>
      <w:r w:rsidRPr="005A3252">
        <w:rPr>
          <w:i/>
          <w:iCs/>
          <w:sz w:val="20"/>
          <w:szCs w:val="20"/>
        </w:rPr>
        <w:t>’</w:t>
      </w:r>
      <w:r w:rsidRPr="005A3252">
        <w:rPr>
          <w:sz w:val="20"/>
          <w:szCs w:val="20"/>
        </w:rPr>
        <w:t xml:space="preserve"> (1959) in B. Freitag, </w:t>
      </w:r>
      <w:r w:rsidRPr="005A3252">
        <w:rPr>
          <w:i/>
          <w:sz w:val="20"/>
          <w:szCs w:val="20"/>
        </w:rPr>
        <w:t xml:space="preserve">Hy Brasil -The Metamorphosis of an island: from Cartographic Error to Celtic Elysium </w:t>
      </w:r>
      <w:r w:rsidRPr="005A3252">
        <w:rPr>
          <w:sz w:val="20"/>
          <w:szCs w:val="20"/>
        </w:rPr>
        <w:t>(Amsterdam, New York: Rodopi, 2013), p.108-9, whereas others are: Hillers,</w:t>
      </w:r>
      <w:r w:rsidRPr="005A3252">
        <w:rPr>
          <w:i/>
          <w:sz w:val="20"/>
          <w:szCs w:val="20"/>
        </w:rPr>
        <w:t xml:space="preserve"> Voyages Between Heaven and Hell, p.</w:t>
      </w:r>
      <w:r w:rsidRPr="005A3252">
        <w:rPr>
          <w:sz w:val="20"/>
          <w:szCs w:val="20"/>
        </w:rPr>
        <w:t>72.</w:t>
      </w:r>
    </w:p>
  </w:footnote>
  <w:footnote w:id="15">
    <w:p w14:paraId="7F207A32" w14:textId="77777777" w:rsidR="002D0211" w:rsidRDefault="002D0211" w:rsidP="005A3252">
      <w:pPr>
        <w:pStyle w:val="FootnoteText"/>
      </w:pPr>
      <w:r w:rsidRPr="005A3252">
        <w:rPr>
          <w:rStyle w:val="FootnoteReference"/>
        </w:rPr>
        <w:footnoteRef/>
      </w:r>
      <w:r w:rsidRPr="005A3252">
        <w:t xml:space="preserve"> J</w:t>
      </w:r>
      <w:r w:rsidRPr="00AC0056">
        <w:t xml:space="preserve"> </w:t>
      </w:r>
      <w:r>
        <w:t xml:space="preserve">Oskamp </w:t>
      </w:r>
      <w:r w:rsidRPr="00AC0056">
        <w:rPr>
          <w:i/>
        </w:rPr>
        <w:t>The Voyage</w:t>
      </w:r>
      <w:r>
        <w:t xml:space="preserve"> p.72 in J</w:t>
      </w:r>
      <w:r w:rsidRPr="005A3252">
        <w:t>ohnston</w:t>
      </w:r>
      <w:r>
        <w:t xml:space="preserve">, </w:t>
      </w:r>
      <w:r w:rsidRPr="00AC0056">
        <w:rPr>
          <w:i/>
        </w:rPr>
        <w:t>A Sailor on the Seas of Faith</w:t>
      </w:r>
      <w:r>
        <w:t xml:space="preserve"> p. 16 </w:t>
      </w:r>
    </w:p>
  </w:footnote>
  <w:footnote w:id="16">
    <w:p w14:paraId="1BFCC91A" w14:textId="77777777" w:rsidR="002D0211" w:rsidRPr="00822F06" w:rsidRDefault="002D0211">
      <w:pPr>
        <w:pStyle w:val="FootnoteText"/>
      </w:pPr>
      <w:r>
        <w:rPr>
          <w:rStyle w:val="FootnoteReference"/>
        </w:rPr>
        <w:footnoteRef/>
      </w:r>
      <w:r>
        <w:t xml:space="preserve">   A.G. van Hamel, ‘</w:t>
      </w:r>
      <w:r w:rsidRPr="00822F06">
        <w:t>The Text of Immram Curaig Maíldúin</w:t>
      </w:r>
      <w:r>
        <w:t xml:space="preserve">’, </w:t>
      </w:r>
      <w:r w:rsidRPr="00705CA5">
        <w:rPr>
          <w:i/>
          <w:rPrChange w:id="27" w:author="Alaw Mai" w:date="2018-04-19T21:26:00Z">
            <w:rPr/>
          </w:rPrChange>
        </w:rPr>
        <w:t>É</w:t>
      </w:r>
      <w:r w:rsidRPr="00822F06">
        <w:rPr>
          <w:i/>
        </w:rPr>
        <w:t>tudes Celtiques</w:t>
      </w:r>
      <w:r w:rsidRPr="00822F06">
        <w:t xml:space="preserve"> 3</w:t>
      </w:r>
      <w:r>
        <w:rPr>
          <w:i/>
        </w:rPr>
        <w:t xml:space="preserve"> (</w:t>
      </w:r>
      <w:r w:rsidRPr="001578A1">
        <w:t>1938</w:t>
      </w:r>
      <w:r>
        <w:t xml:space="preserve">) p. </w:t>
      </w:r>
      <w:r w:rsidRPr="001578A1">
        <w:t>8</w:t>
      </w:r>
      <w:r>
        <w:t xml:space="preserve"> in Oskamp, </w:t>
      </w:r>
      <w:r w:rsidRPr="00822F06">
        <w:rPr>
          <w:i/>
        </w:rPr>
        <w:t>The Voyage</w:t>
      </w:r>
      <w:r>
        <w:rPr>
          <w:i/>
        </w:rPr>
        <w:t xml:space="preserve"> </w:t>
      </w:r>
      <w:r>
        <w:t>p.</w:t>
      </w:r>
      <w:ins w:id="28" w:author="Alaw Mai" w:date="2018-04-19T21:26:00Z">
        <w:r w:rsidR="00705CA5">
          <w:t xml:space="preserve"> </w:t>
        </w:r>
      </w:ins>
      <w:r>
        <w:t xml:space="preserve">48. </w:t>
      </w:r>
      <w:r w:rsidRPr="001578A1">
        <w:t>The fourth of the extant versions of MD, the two fragments of E, a sixteenth century MS, is unique for its</w:t>
      </w:r>
      <w:r>
        <w:t xml:space="preserve"> nam</w:t>
      </w:r>
      <w:r w:rsidRPr="001137A1">
        <w:t xml:space="preserve">ing of the author. E has no verse, and prose the same as YL and H, without the mistakes. Oskamp, </w:t>
      </w:r>
      <w:r w:rsidRPr="001137A1">
        <w:rPr>
          <w:i/>
        </w:rPr>
        <w:t>The Voyag</w:t>
      </w:r>
      <w:r w:rsidRPr="001137A1">
        <w:t>e p. 94.</w:t>
      </w:r>
    </w:p>
  </w:footnote>
  <w:footnote w:id="17">
    <w:p w14:paraId="4BBBA484" w14:textId="77777777" w:rsidR="002D0211" w:rsidRPr="001137A1" w:rsidRDefault="002D0211">
      <w:pPr>
        <w:pStyle w:val="FootnoteText"/>
      </w:pPr>
      <w:r w:rsidRPr="001137A1">
        <w:rPr>
          <w:rStyle w:val="FootnoteReference"/>
        </w:rPr>
        <w:footnoteRef/>
      </w:r>
      <w:r w:rsidRPr="001137A1">
        <w:t xml:space="preserve"> J. O’Meara, J., </w:t>
      </w:r>
      <w:r w:rsidRPr="001137A1">
        <w:rPr>
          <w:i/>
        </w:rPr>
        <w:t>The Voyage of Saint Brendan: Journey to the Promised Land</w:t>
      </w:r>
      <w:r w:rsidRPr="001137A1">
        <w:t xml:space="preserve"> 3</w:t>
      </w:r>
      <w:r w:rsidRPr="001137A1">
        <w:rPr>
          <w:vertAlign w:val="superscript"/>
        </w:rPr>
        <w:t>rd</w:t>
      </w:r>
      <w:r w:rsidRPr="001137A1">
        <w:t xml:space="preserve"> edition (Gerard’s Cross: Colin Smyth Ltd.,1991) p.x;  Carey in Wooding, </w:t>
      </w:r>
      <w:r w:rsidRPr="001137A1">
        <w:rPr>
          <w:i/>
        </w:rPr>
        <w:t>The Otherworld Voyage</w:t>
      </w:r>
      <w:r w:rsidRPr="001137A1">
        <w:t>, p.xv.</w:t>
      </w:r>
    </w:p>
  </w:footnote>
  <w:footnote w:id="18">
    <w:p w14:paraId="78A32D06" w14:textId="77777777" w:rsidR="002D0211" w:rsidRPr="001137A1" w:rsidRDefault="002D0211">
      <w:pPr>
        <w:pStyle w:val="FootnoteText"/>
      </w:pPr>
      <w:r w:rsidRPr="001137A1">
        <w:rPr>
          <w:rStyle w:val="FootnoteReference"/>
        </w:rPr>
        <w:footnoteRef/>
      </w:r>
      <w:r w:rsidRPr="001137A1">
        <w:t xml:space="preserve"> Ibid., </w:t>
      </w:r>
      <w:r w:rsidRPr="001137A1">
        <w:rPr>
          <w:i/>
        </w:rPr>
        <w:t>The Otherworld Voyage</w:t>
      </w:r>
      <w:r w:rsidRPr="001137A1">
        <w:t xml:space="preserve"> p.xiii</w:t>
      </w:r>
    </w:p>
  </w:footnote>
  <w:footnote w:id="19">
    <w:p w14:paraId="27032D8D" w14:textId="77777777" w:rsidR="002D0211" w:rsidRPr="001137A1" w:rsidRDefault="002D0211" w:rsidP="00B804E9">
      <w:pPr>
        <w:pStyle w:val="FootnoteText"/>
      </w:pPr>
      <w:r w:rsidRPr="001137A1">
        <w:rPr>
          <w:rStyle w:val="FootnoteReference"/>
        </w:rPr>
        <w:footnoteRef/>
      </w:r>
      <w:r w:rsidRPr="001137A1">
        <w:t xml:space="preserve"> Some of the themes also occur in the later tale of </w:t>
      </w:r>
      <w:r w:rsidRPr="001137A1">
        <w:rPr>
          <w:i/>
        </w:rPr>
        <w:t>Ui Corra</w:t>
      </w:r>
      <w:r w:rsidRPr="001137A1">
        <w:rPr>
          <w:shd w:val="clear" w:color="auto" w:fill="FFFFFF"/>
        </w:rPr>
        <w:t xml:space="preserve"> . Breatnach, C.,</w:t>
      </w:r>
      <w:r>
        <w:rPr>
          <w:shd w:val="clear" w:color="auto" w:fill="FFFFFF"/>
        </w:rPr>
        <w:t xml:space="preserve"> ‘</w:t>
      </w:r>
      <w:r w:rsidRPr="001137A1">
        <w:rPr>
          <w:shd w:val="clear" w:color="auto" w:fill="FFFFFF"/>
        </w:rPr>
        <w:t xml:space="preserve">The Transmission and Structure of </w:t>
      </w:r>
      <w:r w:rsidRPr="001137A1">
        <w:rPr>
          <w:i/>
          <w:shd w:val="clear" w:color="auto" w:fill="FFFFFF"/>
        </w:rPr>
        <w:t xml:space="preserve">Immram Curaig Ua Corra’ </w:t>
      </w:r>
      <w:r w:rsidRPr="001137A1">
        <w:rPr>
          <w:shd w:val="clear" w:color="auto" w:fill="FFFFFF"/>
        </w:rPr>
        <w:t xml:space="preserve">in Mc Cana.P. ed, </w:t>
      </w:r>
      <w:r w:rsidRPr="001137A1">
        <w:rPr>
          <w:i/>
          <w:shd w:val="clear" w:color="auto" w:fill="FFFFFF"/>
        </w:rPr>
        <w:t>Ériu</w:t>
      </w:r>
      <w:r w:rsidRPr="001137A1">
        <w:rPr>
          <w:shd w:val="clear" w:color="auto" w:fill="FFFFFF"/>
        </w:rPr>
        <w:t xml:space="preserve"> Vol LIII (Dublin: Royal Irish Academy, 2003)</w:t>
      </w:r>
      <w:r>
        <w:rPr>
          <w:shd w:val="clear" w:color="auto" w:fill="FFFFFF"/>
        </w:rPr>
        <w:t>.</w:t>
      </w:r>
      <w:r w:rsidRPr="001137A1">
        <w:rPr>
          <w:shd w:val="clear" w:color="auto" w:fill="FFFFFF"/>
        </w:rPr>
        <w:t xml:space="preserve"> </w:t>
      </w:r>
      <w:r w:rsidRPr="001137A1">
        <w:t xml:space="preserve">Oskamp </w:t>
      </w:r>
      <w:r w:rsidRPr="001137A1">
        <w:rPr>
          <w:i/>
        </w:rPr>
        <w:t>The Voyage</w:t>
      </w:r>
      <w:r w:rsidRPr="001137A1">
        <w:t xml:space="preserve"> pp.</w:t>
      </w:r>
      <w:ins w:id="39" w:author="Alaw Mai" w:date="2018-04-19T21:26:00Z">
        <w:r w:rsidR="00705CA5">
          <w:t xml:space="preserve"> </w:t>
        </w:r>
      </w:ins>
      <w:r w:rsidRPr="001137A1">
        <w:t xml:space="preserve">6-7; &amp; Dumville, </w:t>
      </w:r>
      <w:r w:rsidRPr="001137A1">
        <w:rPr>
          <w:i/>
        </w:rPr>
        <w:t>Echtra</w:t>
      </w:r>
      <w:r w:rsidRPr="001137A1">
        <w:t>e p.</w:t>
      </w:r>
      <w:ins w:id="40" w:author="Alaw Mai" w:date="2018-04-19T21:26:00Z">
        <w:r w:rsidR="00705CA5">
          <w:t xml:space="preserve"> </w:t>
        </w:r>
      </w:ins>
      <w:r w:rsidRPr="001137A1">
        <w:t>78; situated in the 7</w:t>
      </w:r>
      <w:r w:rsidRPr="001137A1">
        <w:rPr>
          <w:vertAlign w:val="superscript"/>
        </w:rPr>
        <w:t>th</w:t>
      </w:r>
      <w:r w:rsidRPr="001137A1">
        <w:t xml:space="preserve"> century </w:t>
      </w:r>
      <w:r w:rsidRPr="001137A1">
        <w:rPr>
          <w:i/>
        </w:rPr>
        <w:t>Vita Columbae</w:t>
      </w:r>
      <w:r>
        <w:rPr>
          <w:i/>
        </w:rPr>
        <w:t>.</w:t>
      </w:r>
      <w:r w:rsidRPr="001137A1">
        <w:rPr>
          <w:i/>
        </w:rPr>
        <w:t xml:space="preserve"> </w:t>
      </w:r>
    </w:p>
  </w:footnote>
  <w:footnote w:id="20">
    <w:p w14:paraId="3FF74321" w14:textId="77777777" w:rsidR="002D0211" w:rsidRPr="00BE75C6" w:rsidRDefault="002D0211" w:rsidP="00851A0C">
      <w:pPr>
        <w:pStyle w:val="FootnoteText"/>
      </w:pPr>
      <w:r w:rsidRPr="001137A1">
        <w:rPr>
          <w:rStyle w:val="FootnoteReference"/>
        </w:rPr>
        <w:footnoteRef/>
      </w:r>
      <w:r w:rsidRPr="001137A1">
        <w:t xml:space="preserve"> I believe the origin of this element could be the medieval tale of </w:t>
      </w:r>
      <w:r w:rsidRPr="00BE75C6">
        <w:t xml:space="preserve">the 2 islands in the lake (now a bog) at Monaincha, Roscrea in C Tipperary, mentioned by Gerald of Wales in </w:t>
      </w:r>
      <w:r w:rsidRPr="00BE75C6">
        <w:rPr>
          <w:i/>
        </w:rPr>
        <w:t>Topographia Hibernicum.</w:t>
      </w:r>
      <w:r w:rsidRPr="00BE75C6">
        <w:t xml:space="preserve"> In this excerpt there is, apparently, an island of men who supposedly never die, and </w:t>
      </w:r>
      <w:r w:rsidRPr="00BE75C6">
        <w:rPr>
          <w:i/>
        </w:rPr>
        <w:t>a separate island of female monks</w:t>
      </w:r>
      <w:r w:rsidRPr="00BE75C6">
        <w:t xml:space="preserve">.  Unfortunately I have been unable to access a copy of the </w:t>
      </w:r>
      <w:r w:rsidRPr="00BE75C6">
        <w:rPr>
          <w:i/>
        </w:rPr>
        <w:t>Topographa</w:t>
      </w:r>
      <w:r w:rsidRPr="00BE75C6">
        <w:t xml:space="preserve"> in time to reference this.</w:t>
      </w:r>
    </w:p>
  </w:footnote>
  <w:footnote w:id="21">
    <w:p w14:paraId="0BD718B7" w14:textId="77777777" w:rsidR="002D0211" w:rsidRPr="00BE75C6" w:rsidRDefault="002D0211" w:rsidP="00BE75C6">
      <w:pPr>
        <w:pStyle w:val="Default"/>
        <w:rPr>
          <w:sz w:val="20"/>
          <w:szCs w:val="20"/>
        </w:rPr>
      </w:pPr>
      <w:r w:rsidRPr="00BE75C6">
        <w:rPr>
          <w:rStyle w:val="FootnoteReference"/>
          <w:sz w:val="20"/>
          <w:szCs w:val="20"/>
        </w:rPr>
        <w:footnoteRef/>
      </w:r>
      <w:r w:rsidRPr="00BE75C6">
        <w:rPr>
          <w:rFonts w:asciiTheme="minorHAnsi" w:hAnsiTheme="minorHAnsi"/>
          <w:color w:val="auto"/>
          <w:sz w:val="20"/>
          <w:szCs w:val="20"/>
        </w:rPr>
        <w:t xml:space="preserve">Aldhouse-Green, M., ‘Pagan Celtic Religion and Early Celtic Myth: Connections or Coincidence?’ in Black, R., Gillies, W., &amp; O’Maolaiagh, R., eds, </w:t>
      </w:r>
      <w:r w:rsidRPr="00BE75C6">
        <w:rPr>
          <w:rFonts w:asciiTheme="minorHAnsi" w:hAnsiTheme="minorHAnsi"/>
          <w:i/>
          <w:color w:val="auto"/>
          <w:sz w:val="20"/>
          <w:szCs w:val="20"/>
        </w:rPr>
        <w:t xml:space="preserve">Celtic Connections: Proceedings of the Tenth International Congress of Celtic Studies, </w:t>
      </w:r>
      <w:r w:rsidRPr="00BE75C6">
        <w:rPr>
          <w:rFonts w:asciiTheme="minorHAnsi" w:hAnsiTheme="minorHAnsi"/>
          <w:color w:val="auto"/>
          <w:sz w:val="20"/>
          <w:szCs w:val="20"/>
        </w:rPr>
        <w:t>1, (East Linton: Tuckwell Press, 1999) 82-90, pp.</w:t>
      </w:r>
      <w:ins w:id="43" w:author="Alaw Mai" w:date="2018-04-19T21:29:00Z">
        <w:r w:rsidR="00705CA5">
          <w:rPr>
            <w:rFonts w:asciiTheme="minorHAnsi" w:hAnsiTheme="minorHAnsi"/>
            <w:color w:val="auto"/>
            <w:sz w:val="20"/>
            <w:szCs w:val="20"/>
          </w:rPr>
          <w:t xml:space="preserve"> </w:t>
        </w:r>
      </w:ins>
      <w:r w:rsidRPr="00BE75C6">
        <w:rPr>
          <w:rFonts w:asciiTheme="minorHAnsi" w:hAnsiTheme="minorHAnsi"/>
          <w:color w:val="auto"/>
          <w:sz w:val="20"/>
          <w:szCs w:val="20"/>
        </w:rPr>
        <w:t>82-3.</w:t>
      </w:r>
      <w:r w:rsidRPr="00BE75C6">
        <w:rPr>
          <w:sz w:val="20"/>
          <w:szCs w:val="20"/>
        </w:rPr>
        <w:t xml:space="preserve"> </w:t>
      </w:r>
    </w:p>
  </w:footnote>
  <w:footnote w:id="22">
    <w:p w14:paraId="55DBE225" w14:textId="77777777" w:rsidR="002D0211" w:rsidRPr="00186015" w:rsidRDefault="002D0211" w:rsidP="00186015">
      <w:pPr>
        <w:spacing w:line="240" w:lineRule="auto"/>
        <w:rPr>
          <w:sz w:val="20"/>
          <w:szCs w:val="20"/>
        </w:rPr>
      </w:pPr>
      <w:r w:rsidRPr="00186015">
        <w:rPr>
          <w:rStyle w:val="FootnoteReference"/>
          <w:sz w:val="20"/>
          <w:szCs w:val="20"/>
        </w:rPr>
        <w:footnoteRef/>
      </w:r>
      <w:r w:rsidRPr="00186015">
        <w:rPr>
          <w:sz w:val="20"/>
          <w:szCs w:val="20"/>
        </w:rPr>
        <w:t xml:space="preserve">  P. McCana, </w:t>
      </w:r>
      <w:r w:rsidRPr="00186015">
        <w:rPr>
          <w:i/>
          <w:sz w:val="20"/>
          <w:szCs w:val="20"/>
        </w:rPr>
        <w:t xml:space="preserve">Mongán Mac Fiachna and Immram Brain </w:t>
      </w:r>
      <w:r w:rsidRPr="00186015">
        <w:rPr>
          <w:sz w:val="20"/>
          <w:szCs w:val="20"/>
          <w:shd w:val="clear" w:color="auto" w:fill="FFFFFF"/>
        </w:rPr>
        <w:t xml:space="preserve"> in </w:t>
      </w:r>
      <w:r w:rsidRPr="00186015">
        <w:rPr>
          <w:rStyle w:val="HTMLCite"/>
          <w:rFonts w:cs="Arial"/>
          <w:sz w:val="20"/>
          <w:szCs w:val="20"/>
        </w:rPr>
        <w:t xml:space="preserve">Ériu </w:t>
      </w:r>
      <w:r w:rsidRPr="00186015">
        <w:rPr>
          <w:rFonts w:cs="Arial"/>
          <w:sz w:val="20"/>
          <w:szCs w:val="20"/>
        </w:rPr>
        <w:t>23: (1972) 102-142, p.</w:t>
      </w:r>
      <w:ins w:id="45" w:author="Alaw Mai" w:date="2018-04-19T21:29:00Z">
        <w:r w:rsidR="00705CA5">
          <w:rPr>
            <w:rFonts w:cs="Arial"/>
            <w:sz w:val="20"/>
            <w:szCs w:val="20"/>
          </w:rPr>
          <w:t xml:space="preserve"> </w:t>
        </w:r>
      </w:ins>
      <w:r w:rsidRPr="00186015">
        <w:rPr>
          <w:rFonts w:cs="Arial"/>
          <w:sz w:val="20"/>
          <w:szCs w:val="20"/>
        </w:rPr>
        <w:t xml:space="preserve">141; </w:t>
      </w:r>
      <w:r w:rsidRPr="00186015">
        <w:rPr>
          <w:sz w:val="20"/>
          <w:szCs w:val="20"/>
        </w:rPr>
        <w:t>C. G., Yocum,  ‘Wisdom Literature in Early Ireland’ in S</w:t>
      </w:r>
      <w:r w:rsidRPr="00186015">
        <w:rPr>
          <w:rFonts w:cs="BaskervilleBT-Roman"/>
          <w:i/>
          <w:sz w:val="20"/>
          <w:szCs w:val="20"/>
        </w:rPr>
        <w:t>tudia Celtica</w:t>
      </w:r>
      <w:r w:rsidRPr="00186015">
        <w:rPr>
          <w:rFonts w:cs="BaskervilleBT-Roman"/>
          <w:sz w:val="20"/>
          <w:szCs w:val="20"/>
        </w:rPr>
        <w:t xml:space="preserve">, XLVI: (2012), 39–58 [Online: </w:t>
      </w:r>
      <w:hyperlink r:id="rId8" w:history="1">
        <w:r w:rsidRPr="00186015">
          <w:rPr>
            <w:rStyle w:val="Hyperlink"/>
            <w:sz w:val="20"/>
            <w:szCs w:val="20"/>
          </w:rPr>
          <w:t>https://s3.amazonaws.com/academia.edu.documents/37562644/wisdomlit.pdf?AWSAccessKeyId=AKIAIWOWYYGZ2Y53UL3A&amp;Expires=1520294880&amp;Signature=IW3gRmYSm%2F%2Bj4OP4cUKrpo4q6V0%3D&amp;response-content-disposition=inline%3B%20filename%3DWisdom_Literature_in_Early_Ireland.pdf</w:t>
        </w:r>
      </w:hyperlink>
      <w:r w:rsidRPr="00186015">
        <w:rPr>
          <w:sz w:val="20"/>
          <w:szCs w:val="20"/>
        </w:rPr>
        <w:t xml:space="preserve"> ]  </w:t>
      </w:r>
      <w:r w:rsidRPr="00186015">
        <w:rPr>
          <w:rFonts w:cs="BaskervilleBT-Roman"/>
          <w:sz w:val="20"/>
          <w:szCs w:val="20"/>
        </w:rPr>
        <w:t>&lt;Accessed 5 March 2018 &amp; 29 March 2018&gt;</w:t>
      </w:r>
      <w:r w:rsidRPr="00186015">
        <w:rPr>
          <w:sz w:val="20"/>
          <w:szCs w:val="20"/>
        </w:rPr>
        <w:t xml:space="preserve"> [2012:46] “if a motif occurs in numerous places in Irish literature, is unambiguous in its usage and is not capable of derivation from the biblical and classical literatures, then it is most likely Irish in origin.”</w:t>
      </w:r>
    </w:p>
  </w:footnote>
  <w:footnote w:id="23">
    <w:p w14:paraId="6F7F9216" w14:textId="77777777" w:rsidR="002D0211" w:rsidRPr="00186015" w:rsidRDefault="002D0211" w:rsidP="00186015">
      <w:pPr>
        <w:shd w:val="clear" w:color="auto" w:fill="FEFDFA"/>
        <w:spacing w:line="240" w:lineRule="auto"/>
        <w:rPr>
          <w:sz w:val="20"/>
          <w:szCs w:val="20"/>
        </w:rPr>
      </w:pPr>
      <w:r w:rsidRPr="00186015">
        <w:rPr>
          <w:rStyle w:val="FootnoteReference"/>
          <w:sz w:val="20"/>
          <w:szCs w:val="20"/>
        </w:rPr>
        <w:footnoteRef/>
      </w:r>
      <w:r w:rsidRPr="00186015">
        <w:rPr>
          <w:sz w:val="20"/>
          <w:szCs w:val="20"/>
        </w:rPr>
        <w:t xml:space="preserve"> Clancey, </w:t>
      </w:r>
      <w:r w:rsidRPr="00186015">
        <w:rPr>
          <w:i/>
          <w:sz w:val="20"/>
          <w:szCs w:val="20"/>
        </w:rPr>
        <w:t>Subversion at Sea</w:t>
      </w:r>
      <w:r>
        <w:rPr>
          <w:sz w:val="20"/>
          <w:szCs w:val="20"/>
        </w:rPr>
        <w:t xml:space="preserve"> p.203. </w:t>
      </w:r>
      <w:r w:rsidRPr="00186015">
        <w:rPr>
          <w:sz w:val="20"/>
          <w:szCs w:val="20"/>
        </w:rPr>
        <w:t xml:space="preserve"> M. Gimbutas,</w:t>
      </w:r>
      <w:r w:rsidRPr="00186015">
        <w:rPr>
          <w:rStyle w:val="exlavailabilitycallnumber"/>
          <w:rFonts w:cs="Arial"/>
          <w:sz w:val="20"/>
          <w:szCs w:val="20"/>
          <w:bdr w:val="none" w:sz="0" w:space="0" w:color="auto" w:frame="1"/>
        </w:rPr>
        <w:t xml:space="preserve"> </w:t>
      </w:r>
      <w:r w:rsidRPr="00186015">
        <w:rPr>
          <w:rStyle w:val="exlavailabilitycallnumber"/>
          <w:rFonts w:cs="Arial"/>
          <w:i/>
          <w:sz w:val="20"/>
          <w:szCs w:val="20"/>
          <w:bdr w:val="none" w:sz="0" w:space="0" w:color="auto" w:frame="1"/>
        </w:rPr>
        <w:t xml:space="preserve">The Goddesses and Gods of Old Europe Myths and Cult images, </w:t>
      </w:r>
      <w:r w:rsidRPr="00186015">
        <w:rPr>
          <w:rStyle w:val="exlavailabilitycallnumber"/>
          <w:rFonts w:cs="Arial"/>
          <w:sz w:val="20"/>
          <w:szCs w:val="20"/>
          <w:bdr w:val="none" w:sz="0" w:space="0" w:color="auto" w:frame="1"/>
        </w:rPr>
        <w:t>2</w:t>
      </w:r>
      <w:r w:rsidRPr="00186015">
        <w:rPr>
          <w:rStyle w:val="exlavailabilitycallnumber"/>
          <w:rFonts w:cs="Arial"/>
          <w:sz w:val="20"/>
          <w:szCs w:val="20"/>
          <w:bdr w:val="none" w:sz="0" w:space="0" w:color="auto" w:frame="1"/>
          <w:vertAlign w:val="superscript"/>
        </w:rPr>
        <w:t>nd</w:t>
      </w:r>
      <w:r w:rsidRPr="00186015">
        <w:rPr>
          <w:rStyle w:val="exlavailabilitycallnumber"/>
          <w:rFonts w:cs="Arial"/>
          <w:sz w:val="20"/>
          <w:szCs w:val="20"/>
          <w:bdr w:val="none" w:sz="0" w:space="0" w:color="auto" w:frame="1"/>
        </w:rPr>
        <w:t xml:space="preserve"> edn, (London: Thames and Hudson, 1996); eadem, </w:t>
      </w:r>
      <w:r w:rsidRPr="00186015">
        <w:rPr>
          <w:rStyle w:val="exlavailabilitycallnumber"/>
          <w:rFonts w:cs="Arial"/>
          <w:i/>
          <w:sz w:val="20"/>
          <w:szCs w:val="20"/>
          <w:bdr w:val="none" w:sz="0" w:space="0" w:color="auto" w:frame="1"/>
        </w:rPr>
        <w:t>The Language of the Goddess</w:t>
      </w:r>
      <w:r w:rsidRPr="00186015">
        <w:rPr>
          <w:rStyle w:val="exlavailabilitycallnumber"/>
          <w:rFonts w:cs="Arial"/>
          <w:sz w:val="20"/>
          <w:szCs w:val="20"/>
          <w:bdr w:val="none" w:sz="0" w:space="0" w:color="auto" w:frame="1"/>
        </w:rPr>
        <w:t xml:space="preserve"> 2</w:t>
      </w:r>
      <w:r w:rsidRPr="00186015">
        <w:rPr>
          <w:rStyle w:val="exlavailabilitycallnumber"/>
          <w:rFonts w:cs="Arial"/>
          <w:sz w:val="20"/>
          <w:szCs w:val="20"/>
          <w:bdr w:val="none" w:sz="0" w:space="0" w:color="auto" w:frame="1"/>
          <w:vertAlign w:val="superscript"/>
        </w:rPr>
        <w:t>nd</w:t>
      </w:r>
      <w:r w:rsidRPr="00186015">
        <w:rPr>
          <w:rStyle w:val="exlavailabilitycallnumber"/>
          <w:rFonts w:cs="Arial"/>
          <w:sz w:val="20"/>
          <w:szCs w:val="20"/>
          <w:bdr w:val="none" w:sz="0" w:space="0" w:color="auto" w:frame="1"/>
        </w:rPr>
        <w:t xml:space="preserve"> edn, (London: Thames and Hudson, 2001)</w:t>
      </w:r>
    </w:p>
  </w:footnote>
  <w:footnote w:id="24">
    <w:p w14:paraId="0C143E5F" w14:textId="77777777" w:rsidR="002D0211" w:rsidRPr="00977F03" w:rsidRDefault="002D0211" w:rsidP="00977F03">
      <w:pPr>
        <w:spacing w:line="240" w:lineRule="auto"/>
        <w:rPr>
          <w:rFonts w:cs="Arial"/>
          <w:i/>
          <w:sz w:val="20"/>
          <w:szCs w:val="20"/>
          <w:bdr w:val="none" w:sz="0" w:space="0" w:color="auto" w:frame="1"/>
        </w:rPr>
      </w:pPr>
      <w:r w:rsidRPr="00186015">
        <w:rPr>
          <w:rStyle w:val="FootnoteReference"/>
          <w:sz w:val="20"/>
          <w:szCs w:val="20"/>
        </w:rPr>
        <w:footnoteRef/>
      </w:r>
      <w:r w:rsidRPr="00186015">
        <w:rPr>
          <w:sz w:val="20"/>
          <w:szCs w:val="20"/>
        </w:rPr>
        <w:t xml:space="preserve"> Yocum</w:t>
      </w:r>
      <w:r>
        <w:t xml:space="preserve">, </w:t>
      </w:r>
      <w:r w:rsidRPr="00186015">
        <w:rPr>
          <w:i/>
          <w:sz w:val="20"/>
        </w:rPr>
        <w:t>Wisdom Literature,</w:t>
      </w:r>
      <w:r w:rsidRPr="00186015">
        <w:rPr>
          <w:sz w:val="20"/>
        </w:rPr>
        <w:t xml:space="preserve"> pp. 51-58</w:t>
      </w:r>
      <w:r w:rsidRPr="00186015">
        <w:rPr>
          <w:sz w:val="18"/>
          <w:szCs w:val="20"/>
        </w:rPr>
        <w:t xml:space="preserve"> dis</w:t>
      </w:r>
      <w:r w:rsidRPr="00186015">
        <w:rPr>
          <w:sz w:val="20"/>
          <w:szCs w:val="20"/>
        </w:rPr>
        <w:t>cusses the universal, biblical and Irish threads of wisdom literature and points that where the universal contributed form, and the biblical function and style, the Irish thread was content. Jane Webster , ‘A Dirty Window on the Iron Age? Recent Developments in the Archaeology of Pre-Roman Celtic Religion,</w:t>
      </w:r>
      <w:r w:rsidRPr="00186015">
        <w:rPr>
          <w:i/>
          <w:sz w:val="20"/>
          <w:szCs w:val="20"/>
        </w:rPr>
        <w:t xml:space="preserve">’ </w:t>
      </w:r>
      <w:r w:rsidRPr="00186015">
        <w:rPr>
          <w:sz w:val="20"/>
          <w:szCs w:val="20"/>
        </w:rPr>
        <w:t xml:space="preserve">in </w:t>
      </w:r>
      <w:r w:rsidRPr="00186015">
        <w:rPr>
          <w:rFonts w:cs="Lithos-Regular"/>
          <w:i/>
          <w:sz w:val="20"/>
          <w:szCs w:val="20"/>
        </w:rPr>
        <w:t xml:space="preserve">New Approaches to Celtic Religion and Mythology: </w:t>
      </w:r>
      <w:r w:rsidRPr="00186015">
        <w:rPr>
          <w:rFonts w:cs="Futura-Book"/>
          <w:i/>
          <w:sz w:val="20"/>
          <w:szCs w:val="20"/>
        </w:rPr>
        <w:t>Understanding Celtic Religion Revisiting the Pagan Past.</w:t>
      </w:r>
      <w:r w:rsidRPr="00186015">
        <w:rPr>
          <w:rFonts w:cs="Futura-Book"/>
          <w:sz w:val="20"/>
          <w:szCs w:val="20"/>
        </w:rPr>
        <w:t xml:space="preserve"> Eds, Bergholm, A., and Ritari, K., and (</w:t>
      </w:r>
      <w:r w:rsidRPr="00186015">
        <w:rPr>
          <w:rFonts w:cs="GentiumBasic"/>
          <w:sz w:val="20"/>
          <w:szCs w:val="20"/>
        </w:rPr>
        <w:t xml:space="preserve">Cardiff: University of Wales Press, 2015), available at </w:t>
      </w:r>
      <w:r w:rsidRPr="00186015">
        <w:rPr>
          <w:sz w:val="20"/>
          <w:szCs w:val="20"/>
        </w:rPr>
        <w:t xml:space="preserve"> </w:t>
      </w:r>
      <w:hyperlink r:id="rId9" w:history="1">
        <w:r w:rsidRPr="00186015">
          <w:rPr>
            <w:rStyle w:val="Hyperlink"/>
            <w:rFonts w:cs="GentiumBasic"/>
            <w:sz w:val="20"/>
            <w:szCs w:val="20"/>
          </w:rPr>
          <w:t>https://www-dawsonera-com.ezproxy.uwtsd.ac.uk/readonline/9781783167937</w:t>
        </w:r>
      </w:hyperlink>
      <w:r w:rsidRPr="00186015">
        <w:rPr>
          <w:rFonts w:cs="GentiumBasic"/>
          <w:sz w:val="20"/>
          <w:szCs w:val="20"/>
        </w:rPr>
        <w:t xml:space="preserve">  </w:t>
      </w:r>
      <w:r w:rsidRPr="00186015">
        <w:rPr>
          <w:sz w:val="20"/>
          <w:szCs w:val="20"/>
        </w:rPr>
        <w:t>&lt;Accessed 28 March 2018&gt; p.163,   reminds us that older gods get taken over by the religion of colonizing peoples. K.E. Olsen,</w:t>
      </w:r>
      <w:r w:rsidRPr="00186015">
        <w:rPr>
          <w:rStyle w:val="exlavailabilitycallnumber"/>
          <w:rFonts w:cs="Arial"/>
          <w:sz w:val="20"/>
          <w:szCs w:val="20"/>
          <w:bdr w:val="none" w:sz="0" w:space="0" w:color="auto" w:frame="1"/>
        </w:rPr>
        <w:t xml:space="preserve"> ‘Female Voices from the Otherworld: The Role of Women in the Early Irish Echtrai’ in  Olsen, K.E., &amp; </w:t>
      </w:r>
      <w:r w:rsidRPr="00977F03">
        <w:rPr>
          <w:rStyle w:val="exlavailabilitycallnumber"/>
          <w:rFonts w:cs="Arial"/>
          <w:sz w:val="20"/>
          <w:szCs w:val="20"/>
          <w:bdr w:val="none" w:sz="0" w:space="0" w:color="auto" w:frame="1"/>
        </w:rPr>
        <w:t xml:space="preserve">Veenstra, J. R., eds, </w:t>
      </w:r>
      <w:r w:rsidRPr="00977F03">
        <w:rPr>
          <w:rStyle w:val="exlavailabilitycallnumber"/>
          <w:rFonts w:cs="Arial"/>
          <w:i/>
          <w:sz w:val="20"/>
          <w:szCs w:val="20"/>
          <w:bdr w:val="none" w:sz="0" w:space="0" w:color="auto" w:frame="1"/>
        </w:rPr>
        <w:t>Airy Nothings: Imagining the Otherworld of Faerie from the Middle Ages to the Age of Reason: essays in honour of Alasdair A.McDonald</w:t>
      </w:r>
      <w:r w:rsidRPr="00977F03">
        <w:rPr>
          <w:rStyle w:val="exlavailabilitycallnumber"/>
          <w:rFonts w:cs="Arial"/>
          <w:sz w:val="20"/>
          <w:szCs w:val="20"/>
          <w:bdr w:val="none" w:sz="0" w:space="0" w:color="auto" w:frame="1"/>
        </w:rPr>
        <w:t>, (Leiden; Boston: Brill,2014)</w:t>
      </w:r>
      <w:r w:rsidRPr="00977F03">
        <w:rPr>
          <w:rStyle w:val="exlavailabilitycallnumber"/>
          <w:rFonts w:cs="Arial"/>
          <w:i/>
          <w:sz w:val="20"/>
          <w:szCs w:val="20"/>
          <w:bdr w:val="none" w:sz="0" w:space="0" w:color="auto" w:frame="1"/>
        </w:rPr>
        <w:t>,</w:t>
      </w:r>
      <w:r w:rsidRPr="00977F03">
        <w:rPr>
          <w:rStyle w:val="exlavailabilitycallnumber"/>
          <w:rFonts w:cs="Arial"/>
          <w:sz w:val="20"/>
          <w:szCs w:val="20"/>
          <w:bdr w:val="none" w:sz="0" w:space="0" w:color="auto" w:frame="1"/>
        </w:rPr>
        <w:t xml:space="preserve"> p58</w:t>
      </w:r>
      <w:r w:rsidRPr="00977F03">
        <w:rPr>
          <w:rStyle w:val="exlavailabilitycallnumber"/>
          <w:rFonts w:cs="Arial"/>
          <w:i/>
          <w:sz w:val="20"/>
          <w:szCs w:val="20"/>
          <w:bdr w:val="none" w:sz="0" w:space="0" w:color="auto" w:frame="1"/>
        </w:rPr>
        <w:t xml:space="preserve"> </w:t>
      </w:r>
      <w:r w:rsidRPr="00977F03">
        <w:rPr>
          <w:sz w:val="20"/>
          <w:szCs w:val="20"/>
        </w:rPr>
        <w:t xml:space="preserve">suggests that the sovereignty of the goddess was still intact in the Bran &amp; Connla tales and that the triple goddess in Ireland had the names Érui, Banba and Fodla.  P. </w:t>
      </w:r>
      <w:r w:rsidRPr="00977F03">
        <w:rPr>
          <w:sz w:val="20"/>
          <w:szCs w:val="20"/>
          <w:shd w:val="clear" w:color="auto" w:fill="FFFFFF"/>
        </w:rPr>
        <w:t xml:space="preserve">Mac Cana, ‘The Sinless Otherworld of </w:t>
      </w:r>
      <w:r w:rsidRPr="00977F03">
        <w:rPr>
          <w:i/>
          <w:sz w:val="20"/>
          <w:szCs w:val="20"/>
          <w:shd w:val="clear" w:color="auto" w:fill="FFFFFF"/>
        </w:rPr>
        <w:t>Immram Brain’</w:t>
      </w:r>
      <w:r w:rsidRPr="00977F03">
        <w:rPr>
          <w:sz w:val="20"/>
          <w:szCs w:val="20"/>
          <w:shd w:val="clear" w:color="auto" w:fill="FFFFFF"/>
        </w:rPr>
        <w:t xml:space="preserve"> in </w:t>
      </w:r>
      <w:r w:rsidRPr="00977F03">
        <w:rPr>
          <w:rFonts w:eastAsia="Times New Roman" w:cs="Arial"/>
          <w:i/>
          <w:iCs/>
          <w:sz w:val="20"/>
          <w:szCs w:val="20"/>
          <w:lang w:eastAsia="en-GB"/>
        </w:rPr>
        <w:t xml:space="preserve">Ériu </w:t>
      </w:r>
      <w:r w:rsidRPr="00977F03">
        <w:rPr>
          <w:rFonts w:eastAsia="Times New Roman" w:cs="Arial"/>
          <w:sz w:val="20"/>
          <w:szCs w:val="20"/>
          <w:lang w:eastAsia="en-GB"/>
        </w:rPr>
        <w:t>27: (1976) 95-115</w:t>
      </w:r>
      <w:r w:rsidRPr="00977F03">
        <w:rPr>
          <w:sz w:val="20"/>
          <w:szCs w:val="20"/>
        </w:rPr>
        <w:t xml:space="preserve"> makes several references to the various faces of the Irish goddess ibid., pp. 52-72 and ibid., pp.112-113] talks of different aspects of goddesses connected to Otherworlds in ancient Ireland and India. The Goddess as seductive maiden, goddess as initiator, and goddess of death, is represented in Ireland, I suggest, </w:t>
      </w:r>
      <w:r w:rsidRPr="00186015">
        <w:rPr>
          <w:sz w:val="20"/>
          <w:szCs w:val="20"/>
        </w:rPr>
        <w:t>by the Sheela na gig (stone images of a hag with prominent genitals who both entices in order t</w:t>
      </w:r>
      <w:r w:rsidRPr="00977F03">
        <w:rPr>
          <w:sz w:val="20"/>
          <w:szCs w:val="20"/>
        </w:rPr>
        <w:t>o give birth to the new, as she reminds us of our mortality.) There isn’t space here to explore this hypothesis, but B. Freitag,</w:t>
      </w:r>
      <w:r w:rsidRPr="00977F03">
        <w:t xml:space="preserve"> </w:t>
      </w:r>
      <w:r w:rsidRPr="00977F03">
        <w:rPr>
          <w:i/>
          <w:sz w:val="20"/>
          <w:szCs w:val="20"/>
        </w:rPr>
        <w:t xml:space="preserve">Sheela-Na-Gigs: Unravelling an Enigma </w:t>
      </w:r>
      <w:r w:rsidRPr="00977F03">
        <w:rPr>
          <w:sz w:val="20"/>
          <w:szCs w:val="20"/>
        </w:rPr>
        <w:t xml:space="preserve">(Abingdon: Routledge, 2004); S. Blackie, </w:t>
      </w:r>
      <w:r w:rsidRPr="00977F03">
        <w:rPr>
          <w:sz w:val="20"/>
          <w:szCs w:val="20"/>
          <w:shd w:val="clear" w:color="auto" w:fill="FFFFFF"/>
        </w:rPr>
        <w:t xml:space="preserve"> ‘Celebrating Spring: Spring Equinox and the Cailleach’, [Online] Available: </w:t>
      </w:r>
      <w:hyperlink r:id="rId10" w:history="1">
        <w:r w:rsidRPr="00977F03">
          <w:rPr>
            <w:rStyle w:val="Hyperlink"/>
            <w:sz w:val="20"/>
            <w:szCs w:val="20"/>
            <w:shd w:val="clear" w:color="auto" w:fill="FFFFFF"/>
          </w:rPr>
          <w:t>http://thehedgeschool.org/Blog/celebrating-spring-spring-equinox-and-the-cailleach/</w:t>
        </w:r>
      </w:hyperlink>
      <w:r w:rsidRPr="00977F03">
        <w:rPr>
          <w:sz w:val="20"/>
          <w:szCs w:val="20"/>
          <w:shd w:val="clear" w:color="auto" w:fill="FFFFFF"/>
        </w:rPr>
        <w:t xml:space="preserve"> &lt;Accessed 20 March 2018&gt;; and </w:t>
      </w:r>
      <w:r w:rsidRPr="00977F03">
        <w:rPr>
          <w:sz w:val="20"/>
          <w:szCs w:val="20"/>
        </w:rPr>
        <w:t>a paper in Finnish I have been unable to access in English</w:t>
      </w:r>
      <w:r w:rsidRPr="00977F03">
        <w:rPr>
          <w:color w:val="FF0000"/>
          <w:sz w:val="20"/>
          <w:szCs w:val="20"/>
        </w:rPr>
        <w:t xml:space="preserve"> </w:t>
      </w:r>
      <w:r w:rsidRPr="00977F03">
        <w:rPr>
          <w:sz w:val="20"/>
          <w:szCs w:val="20"/>
        </w:rPr>
        <w:t xml:space="preserve">in Black, R., Gillies, W., &amp; O’Maolaiagh, R., eds, </w:t>
      </w:r>
      <w:r w:rsidRPr="00977F03">
        <w:rPr>
          <w:i/>
          <w:sz w:val="20"/>
          <w:szCs w:val="20"/>
        </w:rPr>
        <w:t xml:space="preserve">Celtic Connections: Proceedings of the Tenth International Congress of Celtic Studies, </w:t>
      </w:r>
      <w:r w:rsidRPr="00977F03">
        <w:rPr>
          <w:sz w:val="20"/>
          <w:szCs w:val="20"/>
        </w:rPr>
        <w:t>1, (East Linton: Tuckwell Press, 1999),are all recent explorations into Sheela. Of particular interest is the proximity of the Irish St Sheela’s day (18</w:t>
      </w:r>
      <w:r w:rsidRPr="00977F03">
        <w:rPr>
          <w:sz w:val="20"/>
          <w:szCs w:val="20"/>
          <w:vertAlign w:val="superscript"/>
        </w:rPr>
        <w:t>th</w:t>
      </w:r>
      <w:r w:rsidRPr="00977F03">
        <w:rPr>
          <w:sz w:val="20"/>
          <w:szCs w:val="20"/>
        </w:rPr>
        <w:t>) to St Patrick’s Day (17</w:t>
      </w:r>
      <w:r w:rsidRPr="00977F03">
        <w:rPr>
          <w:sz w:val="20"/>
          <w:szCs w:val="20"/>
          <w:vertAlign w:val="superscript"/>
        </w:rPr>
        <w:t>th</w:t>
      </w:r>
      <w:r w:rsidRPr="00977F03">
        <w:rPr>
          <w:sz w:val="20"/>
          <w:szCs w:val="20"/>
        </w:rPr>
        <w:t>) and the Spring Equinox (20</w:t>
      </w:r>
      <w:r w:rsidRPr="00977F03">
        <w:rPr>
          <w:sz w:val="20"/>
          <w:szCs w:val="20"/>
          <w:vertAlign w:val="superscript"/>
        </w:rPr>
        <w:t>th</w:t>
      </w:r>
      <w:r w:rsidRPr="00977F03">
        <w:rPr>
          <w:sz w:val="20"/>
          <w:szCs w:val="20"/>
        </w:rPr>
        <w:t>) in Blackie.</w:t>
      </w:r>
    </w:p>
  </w:footnote>
  <w:footnote w:id="25">
    <w:p w14:paraId="7FA97708" w14:textId="77777777" w:rsidR="002D0211" w:rsidRDefault="002D0211">
      <w:pPr>
        <w:pStyle w:val="FootnoteText"/>
      </w:pPr>
      <w:r>
        <w:rPr>
          <w:rStyle w:val="FootnoteReference"/>
        </w:rPr>
        <w:footnoteRef/>
      </w:r>
      <w:r>
        <w:t xml:space="preserve"> As they do in other early Irish </w:t>
      </w:r>
      <w:r w:rsidRPr="00FE2024">
        <w:t xml:space="preserve">manuscripts </w:t>
      </w:r>
      <w:r>
        <w:t xml:space="preserve">such as “The Wooing of Étaín” cycle. O’Cathasaigh, </w:t>
      </w:r>
      <w:r w:rsidRPr="00FD7AAD">
        <w:rPr>
          <w:i/>
        </w:rPr>
        <w:t>Coire Sois</w:t>
      </w:r>
      <w:r>
        <w:t xml:space="preserve">, pp.165-184. </w:t>
      </w:r>
    </w:p>
  </w:footnote>
  <w:footnote w:id="26">
    <w:p w14:paraId="23487AC6" w14:textId="77777777" w:rsidR="002D0211" w:rsidRPr="00D510ED" w:rsidRDefault="002D0211" w:rsidP="00D510ED">
      <w:pPr>
        <w:shd w:val="clear" w:color="auto" w:fill="FEFDFA"/>
        <w:spacing w:line="240" w:lineRule="auto"/>
        <w:rPr>
          <w:sz w:val="20"/>
          <w:szCs w:val="20"/>
        </w:rPr>
      </w:pPr>
      <w:r>
        <w:rPr>
          <w:rStyle w:val="FootnoteReference"/>
        </w:rPr>
        <w:footnoteRef/>
      </w:r>
      <w:r>
        <w:t xml:space="preserve"> </w:t>
      </w:r>
      <w:r w:rsidRPr="00FD7AAD">
        <w:rPr>
          <w:sz w:val="20"/>
          <w:szCs w:val="20"/>
        </w:rPr>
        <w:t>The myth of Oengus was in the lost CDS, along with IB and EC, O’Cathasaigh, ibid., pp.165-172, tells the myth of Oengus mac In Og. K. McCone,</w:t>
      </w:r>
      <w:r w:rsidRPr="00FD7AAD">
        <w:rPr>
          <w:sz w:val="20"/>
          <w:szCs w:val="20"/>
          <w:shd w:val="clear" w:color="auto" w:fill="FFFFFF"/>
        </w:rPr>
        <w:t xml:space="preserve"> </w:t>
      </w:r>
      <w:r w:rsidRPr="00FD7AAD">
        <w:rPr>
          <w:i/>
          <w:sz w:val="20"/>
          <w:szCs w:val="20"/>
          <w:shd w:val="clear" w:color="auto" w:fill="FFFFFF"/>
        </w:rPr>
        <w:t>Pagan Past and Christian Present in Early Irish Literature</w:t>
      </w:r>
      <w:r w:rsidRPr="00FD7AAD">
        <w:rPr>
          <w:sz w:val="20"/>
          <w:szCs w:val="20"/>
          <w:shd w:val="clear" w:color="auto" w:fill="FFFFFF"/>
        </w:rPr>
        <w:t xml:space="preserve">, (Maynooth: Department of Old Irish, National University of Ireland, 2000), p.149 </w:t>
      </w:r>
      <w:r w:rsidRPr="00FD7AAD">
        <w:rPr>
          <w:sz w:val="20"/>
          <w:szCs w:val="20"/>
        </w:rPr>
        <w:t xml:space="preserve">refers to the process of humanising a </w:t>
      </w:r>
      <w:r w:rsidRPr="00D510ED">
        <w:rPr>
          <w:sz w:val="20"/>
          <w:szCs w:val="20"/>
        </w:rPr>
        <w:t xml:space="preserve">deity in relation to this fosterling. </w:t>
      </w:r>
    </w:p>
  </w:footnote>
  <w:footnote w:id="27">
    <w:p w14:paraId="2E9AC3FD" w14:textId="77777777" w:rsidR="002D0211" w:rsidRPr="00D510ED" w:rsidRDefault="002D0211" w:rsidP="00D510ED">
      <w:pPr>
        <w:shd w:val="clear" w:color="auto" w:fill="FFFFFF"/>
        <w:spacing w:line="240" w:lineRule="auto"/>
        <w:ind w:right="150"/>
        <w:textAlignment w:val="top"/>
        <w:rPr>
          <w:sz w:val="20"/>
          <w:szCs w:val="20"/>
        </w:rPr>
      </w:pPr>
      <w:r w:rsidRPr="00D510ED">
        <w:rPr>
          <w:rStyle w:val="FootnoteReference"/>
          <w:sz w:val="20"/>
          <w:szCs w:val="20"/>
        </w:rPr>
        <w:footnoteRef/>
      </w:r>
      <w:r w:rsidRPr="00D510ED">
        <w:rPr>
          <w:sz w:val="20"/>
          <w:szCs w:val="20"/>
        </w:rPr>
        <w:t xml:space="preserve"> P. McCana,</w:t>
      </w:r>
      <w:r w:rsidRPr="00D510ED">
        <w:rPr>
          <w:i/>
          <w:sz w:val="20"/>
          <w:szCs w:val="20"/>
        </w:rPr>
        <w:t xml:space="preserve"> Mongán</w:t>
      </w:r>
      <w:r w:rsidRPr="00D510ED">
        <w:rPr>
          <w:sz w:val="20"/>
          <w:szCs w:val="20"/>
        </w:rPr>
        <w:t xml:space="preserve"> and</w:t>
      </w:r>
      <w:r w:rsidRPr="00D510ED">
        <w:rPr>
          <w:color w:val="FF0000"/>
          <w:sz w:val="20"/>
          <w:szCs w:val="20"/>
        </w:rPr>
        <w:t xml:space="preserve"> </w:t>
      </w:r>
      <w:r w:rsidRPr="00D510ED">
        <w:rPr>
          <w:sz w:val="20"/>
          <w:szCs w:val="20"/>
          <w:shd w:val="clear" w:color="auto" w:fill="FFFFFF"/>
        </w:rPr>
        <w:t xml:space="preserve">idem, ‘The Sinless Otherworld of </w:t>
      </w:r>
      <w:r w:rsidRPr="00D510ED">
        <w:rPr>
          <w:i/>
          <w:sz w:val="20"/>
          <w:szCs w:val="20"/>
          <w:shd w:val="clear" w:color="auto" w:fill="FFFFFF"/>
        </w:rPr>
        <w:t>Immram Brain’</w:t>
      </w:r>
      <w:r w:rsidRPr="00D510ED">
        <w:rPr>
          <w:sz w:val="20"/>
          <w:szCs w:val="20"/>
          <w:shd w:val="clear" w:color="auto" w:fill="FFFFFF"/>
        </w:rPr>
        <w:t xml:space="preserve"> in </w:t>
      </w:r>
      <w:r w:rsidRPr="00D510ED">
        <w:rPr>
          <w:rFonts w:eastAsia="Times New Roman" w:cs="Arial"/>
          <w:i/>
          <w:iCs/>
          <w:sz w:val="20"/>
          <w:szCs w:val="20"/>
          <w:lang w:eastAsia="en-GB"/>
        </w:rPr>
        <w:t xml:space="preserve">Ériu </w:t>
      </w:r>
      <w:r w:rsidRPr="00D510ED">
        <w:rPr>
          <w:rFonts w:eastAsia="Times New Roman" w:cs="Arial"/>
          <w:sz w:val="20"/>
          <w:szCs w:val="20"/>
          <w:lang w:eastAsia="en-GB"/>
        </w:rPr>
        <w:t xml:space="preserve">27: (1976) 95-115. </w:t>
      </w:r>
      <w:r>
        <w:rPr>
          <w:rFonts w:eastAsia="Times New Roman" w:cs="Arial"/>
          <w:sz w:val="20"/>
          <w:szCs w:val="20"/>
          <w:lang w:eastAsia="en-GB"/>
        </w:rPr>
        <w:t xml:space="preserve"> Williams, </w:t>
      </w:r>
      <w:r w:rsidRPr="00FE1C1A">
        <w:rPr>
          <w:rFonts w:eastAsia="Times New Roman" w:cs="Arial"/>
          <w:i/>
          <w:sz w:val="20"/>
          <w:szCs w:val="20"/>
          <w:lang w:eastAsia="en-GB"/>
        </w:rPr>
        <w:t>Ireland’s Immortals,</w:t>
      </w:r>
      <w:r>
        <w:rPr>
          <w:rFonts w:eastAsia="Times New Roman" w:cs="Arial"/>
          <w:sz w:val="20"/>
          <w:szCs w:val="20"/>
          <w:lang w:eastAsia="en-GB"/>
        </w:rPr>
        <w:t xml:space="preserve">p.56. </w:t>
      </w:r>
      <w:r w:rsidRPr="00D510ED">
        <w:rPr>
          <w:rFonts w:eastAsia="Times New Roman" w:cs="Arial"/>
          <w:sz w:val="20"/>
          <w:szCs w:val="20"/>
          <w:lang w:eastAsia="en-GB"/>
        </w:rPr>
        <w:t>R</w:t>
      </w:r>
      <w:r w:rsidRPr="00D510ED">
        <w:rPr>
          <w:sz w:val="20"/>
          <w:szCs w:val="20"/>
        </w:rPr>
        <w:t>eferences to ancient gods &amp; rites incidentally that are found in the bible too in the book of Ezekiel,</w:t>
      </w:r>
      <w:r w:rsidRPr="00D510ED">
        <w:rPr>
          <w:i/>
          <w:sz w:val="20"/>
          <w:szCs w:val="20"/>
        </w:rPr>
        <w:t xml:space="preserve"> The Bible: King James illustrated Holy Bible</w:t>
      </w:r>
      <w:r w:rsidRPr="00D510ED">
        <w:rPr>
          <w:sz w:val="20"/>
          <w:szCs w:val="20"/>
        </w:rPr>
        <w:t xml:space="preserve"> (Cambridge: Cambridge University Press, nd), Old Testament, Book of Ezekiel.  J. Carey, in </w:t>
      </w:r>
      <w:r w:rsidRPr="00D510ED">
        <w:rPr>
          <w:sz w:val="20"/>
          <w:szCs w:val="20"/>
          <w:shd w:val="clear" w:color="auto" w:fill="FFFFFF"/>
        </w:rPr>
        <w:t xml:space="preserve">‘The Old Gods of Ireland in the Later Middle Ages’ </w:t>
      </w:r>
      <w:r w:rsidRPr="00D510ED">
        <w:rPr>
          <w:rFonts w:cs="GillSans"/>
          <w:sz w:val="20"/>
          <w:szCs w:val="20"/>
        </w:rPr>
        <w:t xml:space="preserve">Bridgeman, A., and Ritari, K., eds. </w:t>
      </w:r>
      <w:r w:rsidRPr="00D510ED">
        <w:rPr>
          <w:rFonts w:cs="GillSans"/>
          <w:i/>
          <w:sz w:val="20"/>
          <w:szCs w:val="20"/>
        </w:rPr>
        <w:t>Understanding Celtic Religion: Revisiting the Pagan Past</w:t>
      </w:r>
      <w:r w:rsidRPr="00D510ED">
        <w:rPr>
          <w:rFonts w:cs="GillSans"/>
          <w:sz w:val="20"/>
          <w:szCs w:val="20"/>
        </w:rPr>
        <w:t>, New Approaches to Celtic Religion and Mythology Series, (Cardiff: University of Wales, 2015), p. 42, says</w:t>
      </w:r>
      <w:r w:rsidRPr="00D510ED">
        <w:rPr>
          <w:sz w:val="20"/>
          <w:szCs w:val="20"/>
        </w:rPr>
        <w:t xml:space="preserve"> the Irish never really completely abandoned their gods. </w:t>
      </w:r>
    </w:p>
  </w:footnote>
  <w:footnote w:id="28">
    <w:p w14:paraId="025D9462" w14:textId="77777777" w:rsidR="002D0211" w:rsidRPr="00BB59F3" w:rsidRDefault="002D0211" w:rsidP="00D510ED">
      <w:pPr>
        <w:pStyle w:val="Default"/>
        <w:rPr>
          <w:rFonts w:asciiTheme="minorHAnsi" w:hAnsiTheme="minorHAnsi"/>
          <w:sz w:val="20"/>
          <w:szCs w:val="20"/>
        </w:rPr>
      </w:pPr>
      <w:r w:rsidRPr="00D510ED">
        <w:rPr>
          <w:rStyle w:val="FootnoteReference"/>
          <w:rFonts w:asciiTheme="minorHAnsi" w:hAnsiTheme="minorHAnsi"/>
          <w:sz w:val="20"/>
          <w:szCs w:val="20"/>
        </w:rPr>
        <w:footnoteRef/>
      </w:r>
      <w:r w:rsidRPr="00D510ED">
        <w:rPr>
          <w:rFonts w:asciiTheme="minorHAnsi" w:hAnsiTheme="minorHAnsi"/>
          <w:sz w:val="20"/>
          <w:szCs w:val="20"/>
        </w:rPr>
        <w:t xml:space="preserve"> Oskamp, </w:t>
      </w:r>
      <w:r w:rsidRPr="00D510ED">
        <w:rPr>
          <w:rFonts w:asciiTheme="minorHAnsi" w:hAnsiTheme="minorHAnsi"/>
          <w:i/>
          <w:sz w:val="20"/>
          <w:szCs w:val="20"/>
        </w:rPr>
        <w:t>The Voyage p.41</w:t>
      </w:r>
      <w:r w:rsidRPr="00D510ED">
        <w:rPr>
          <w:rFonts w:asciiTheme="minorHAnsi" w:hAnsiTheme="minorHAnsi"/>
          <w:sz w:val="20"/>
          <w:szCs w:val="20"/>
        </w:rPr>
        <w:t xml:space="preserve">; O’Mears and Wooding, </w:t>
      </w:r>
      <w:r w:rsidRPr="00D510ED">
        <w:rPr>
          <w:rFonts w:asciiTheme="minorHAnsi" w:hAnsiTheme="minorHAnsi"/>
          <w:i/>
          <w:sz w:val="20"/>
          <w:szCs w:val="20"/>
        </w:rPr>
        <w:t>The Latin Version</w:t>
      </w:r>
      <w:r w:rsidRPr="00D510ED">
        <w:rPr>
          <w:rFonts w:asciiTheme="minorHAnsi" w:hAnsiTheme="minorHAnsi"/>
          <w:sz w:val="20"/>
          <w:szCs w:val="20"/>
        </w:rPr>
        <w:t xml:space="preserve">, p.22. The motifs are also found in </w:t>
      </w:r>
      <w:r w:rsidRPr="00D510ED">
        <w:rPr>
          <w:rFonts w:asciiTheme="minorHAnsi" w:hAnsiTheme="minorHAnsi"/>
          <w:i/>
          <w:sz w:val="20"/>
          <w:szCs w:val="20"/>
        </w:rPr>
        <w:t xml:space="preserve">Echtra Condla </w:t>
      </w:r>
      <w:r w:rsidRPr="00D510ED">
        <w:rPr>
          <w:rFonts w:asciiTheme="minorHAnsi" w:hAnsiTheme="minorHAnsi"/>
          <w:color w:val="auto"/>
          <w:sz w:val="20"/>
          <w:szCs w:val="20"/>
        </w:rPr>
        <w:t xml:space="preserve">and </w:t>
      </w:r>
      <w:r w:rsidRPr="00D510ED">
        <w:rPr>
          <w:rFonts w:asciiTheme="minorHAnsi" w:hAnsiTheme="minorHAnsi"/>
          <w:i/>
          <w:color w:val="auto"/>
          <w:sz w:val="20"/>
          <w:szCs w:val="20"/>
        </w:rPr>
        <w:t>Ui Corra</w:t>
      </w:r>
      <w:r w:rsidRPr="00D510ED">
        <w:rPr>
          <w:rFonts w:asciiTheme="minorHAnsi" w:hAnsiTheme="minorHAnsi"/>
          <w:sz w:val="20"/>
          <w:szCs w:val="20"/>
        </w:rPr>
        <w:t xml:space="preserve">  It has been suggested that the Life of St Ailbe may have been the inspiration for </w:t>
      </w:r>
      <w:r w:rsidRPr="00EA6E92">
        <w:rPr>
          <w:rFonts w:asciiTheme="minorHAnsi" w:hAnsiTheme="minorHAnsi"/>
          <w:sz w:val="20"/>
          <w:szCs w:val="20"/>
        </w:rPr>
        <w:t xml:space="preserve">the sea voyage, magical music and the fruiting branch motifs </w:t>
      </w:r>
      <w:r>
        <w:rPr>
          <w:rFonts w:asciiTheme="minorHAnsi" w:hAnsiTheme="minorHAnsi"/>
          <w:sz w:val="20"/>
          <w:szCs w:val="20"/>
        </w:rPr>
        <w:t xml:space="preserve">Oskamp, </w:t>
      </w:r>
      <w:r w:rsidRPr="00EA6E92">
        <w:rPr>
          <w:rFonts w:asciiTheme="minorHAnsi" w:hAnsiTheme="minorHAnsi"/>
          <w:sz w:val="20"/>
          <w:szCs w:val="20"/>
        </w:rPr>
        <w:t>Ibid., pp</w:t>
      </w:r>
      <w:r>
        <w:rPr>
          <w:rFonts w:asciiTheme="minorHAnsi" w:hAnsiTheme="minorHAnsi"/>
          <w:sz w:val="20"/>
          <w:szCs w:val="20"/>
        </w:rPr>
        <w:t xml:space="preserve">. 37, 70;  and </w:t>
      </w:r>
      <w:r w:rsidRPr="00EA6E92">
        <w:rPr>
          <w:rFonts w:asciiTheme="minorHAnsi" w:hAnsiTheme="minorHAnsi"/>
          <w:sz w:val="20"/>
          <w:szCs w:val="20"/>
        </w:rPr>
        <w:t>Herbert, ‘Literary Sea-Voyages and Early Munster Hagiography ‘i</w:t>
      </w:r>
      <w:r w:rsidRPr="00EA6E92">
        <w:rPr>
          <w:rFonts w:asciiTheme="minorHAnsi" w:hAnsiTheme="minorHAnsi"/>
          <w:color w:val="auto"/>
          <w:sz w:val="20"/>
          <w:szCs w:val="20"/>
        </w:rPr>
        <w:t xml:space="preserve">n Black, R., Gillies, W., and O’Maolaiagh, R., eds, </w:t>
      </w:r>
      <w:r w:rsidRPr="00EA6E92">
        <w:rPr>
          <w:rFonts w:asciiTheme="minorHAnsi" w:hAnsiTheme="minorHAnsi"/>
          <w:i/>
          <w:color w:val="auto"/>
          <w:sz w:val="20"/>
          <w:szCs w:val="20"/>
        </w:rPr>
        <w:t xml:space="preserve">Celtic Connections: Proceedings of the Tenth International Congress of Celtic Studies, </w:t>
      </w:r>
      <w:r w:rsidRPr="00EA6E92">
        <w:rPr>
          <w:rFonts w:asciiTheme="minorHAnsi" w:hAnsiTheme="minorHAnsi"/>
          <w:color w:val="auto"/>
          <w:sz w:val="20"/>
          <w:szCs w:val="20"/>
        </w:rPr>
        <w:t xml:space="preserve">1, (East Linton: Tuckwell Press, 1999) 182-189, pp. 183-4. </w:t>
      </w:r>
      <w:r w:rsidRPr="00EA6E92">
        <w:rPr>
          <w:rFonts w:asciiTheme="minorHAnsi" w:hAnsiTheme="minorHAnsi"/>
          <w:sz w:val="20"/>
          <w:szCs w:val="20"/>
        </w:rPr>
        <w:t xml:space="preserve">Carey, </w:t>
      </w:r>
      <w:r w:rsidRPr="00EA6E92">
        <w:rPr>
          <w:rFonts w:asciiTheme="minorHAnsi" w:hAnsiTheme="minorHAnsi"/>
          <w:i/>
          <w:sz w:val="20"/>
          <w:szCs w:val="20"/>
        </w:rPr>
        <w:t>Subversion at Sea</w:t>
      </w:r>
      <w:r>
        <w:rPr>
          <w:rFonts w:asciiTheme="minorHAnsi" w:hAnsiTheme="minorHAnsi"/>
          <w:i/>
          <w:sz w:val="20"/>
          <w:szCs w:val="20"/>
        </w:rPr>
        <w:t>,</w:t>
      </w:r>
      <w:r w:rsidRPr="00EA6E92">
        <w:rPr>
          <w:rFonts w:asciiTheme="minorHAnsi" w:hAnsiTheme="minorHAnsi"/>
          <w:sz w:val="20"/>
          <w:szCs w:val="20"/>
        </w:rPr>
        <w:t xml:space="preserve"> p.119</w:t>
      </w:r>
      <w:r>
        <w:rPr>
          <w:rFonts w:asciiTheme="minorHAnsi" w:hAnsiTheme="minorHAnsi"/>
          <w:sz w:val="20"/>
          <w:szCs w:val="20"/>
        </w:rPr>
        <w:t>,</w:t>
      </w:r>
      <w:r w:rsidRPr="00EA6E92">
        <w:rPr>
          <w:rFonts w:asciiTheme="minorHAnsi" w:hAnsiTheme="minorHAnsi"/>
          <w:sz w:val="20"/>
          <w:szCs w:val="20"/>
        </w:rPr>
        <w:t xml:space="preserve"> states quite categorically that the overseas Otherworld is not an ancient motif but came out of the Ulster Literary movement.  </w:t>
      </w:r>
    </w:p>
  </w:footnote>
  <w:footnote w:id="29">
    <w:p w14:paraId="5B12346A" w14:textId="77777777" w:rsidR="002D0211" w:rsidRPr="00FD7AAD" w:rsidRDefault="002D0211" w:rsidP="00FD7AAD">
      <w:pPr>
        <w:rPr>
          <w:sz w:val="20"/>
          <w:szCs w:val="20"/>
        </w:rPr>
      </w:pPr>
      <w:r w:rsidRPr="00BB59F3">
        <w:rPr>
          <w:rStyle w:val="FootnoteReference"/>
          <w:sz w:val="20"/>
          <w:szCs w:val="20"/>
        </w:rPr>
        <w:footnoteRef/>
      </w:r>
      <w:r w:rsidRPr="00BB59F3">
        <w:rPr>
          <w:sz w:val="20"/>
          <w:szCs w:val="20"/>
        </w:rPr>
        <w:t xml:space="preserve"> I use the term ‘Celtic’ specifically, here, to refer to Irish and Welsh native tales, e.g. the E</w:t>
      </w:r>
      <w:r w:rsidRPr="00BB59F3">
        <w:rPr>
          <w:i/>
          <w:sz w:val="20"/>
          <w:szCs w:val="20"/>
        </w:rPr>
        <w:t>chtrae</w:t>
      </w:r>
      <w:r w:rsidRPr="00BB59F3">
        <w:rPr>
          <w:sz w:val="20"/>
          <w:szCs w:val="20"/>
        </w:rPr>
        <w:t xml:space="preserve">, the other secular </w:t>
      </w:r>
      <w:r w:rsidRPr="00BB59F3">
        <w:rPr>
          <w:i/>
          <w:sz w:val="20"/>
          <w:szCs w:val="20"/>
        </w:rPr>
        <w:t>immrama</w:t>
      </w:r>
      <w:r w:rsidRPr="00BB59F3">
        <w:rPr>
          <w:sz w:val="20"/>
          <w:szCs w:val="20"/>
        </w:rPr>
        <w:t xml:space="preserve">, and the other major tale types of the early Irish tradition, listed in O’Cathasaigh, </w:t>
      </w:r>
      <w:r w:rsidRPr="00BB59F3">
        <w:rPr>
          <w:i/>
          <w:sz w:val="20"/>
          <w:szCs w:val="20"/>
        </w:rPr>
        <w:t>Coire Soir</w:t>
      </w:r>
      <w:r w:rsidRPr="00BB59F3">
        <w:rPr>
          <w:sz w:val="20"/>
          <w:szCs w:val="20"/>
        </w:rPr>
        <w:t xml:space="preserve"> , p.175, and the Welsh tales from the Mabinogion, and of Taliesin. It is no longer straightforward to refer to the Celts as a homogeneous culture; M. Williams, </w:t>
      </w:r>
      <w:r w:rsidRPr="00BB59F3">
        <w:rPr>
          <w:i/>
          <w:sz w:val="20"/>
          <w:szCs w:val="20"/>
        </w:rPr>
        <w:t>Ireland’s Immortal: a history of the gods of Irish Myth</w:t>
      </w:r>
      <w:r w:rsidRPr="00BB59F3">
        <w:rPr>
          <w:sz w:val="20"/>
          <w:szCs w:val="20"/>
        </w:rPr>
        <w:t xml:space="preserve"> (Oxford: Princeton University Press, 2016), p.17; and J.M. Wooding ‘Tyrannies of Distance? Medieval sources as evidence for indigenous Celtic and Romano-Celtic religion’ in Haeussler, R., &amp; King, A., eds, </w:t>
      </w:r>
      <w:r w:rsidRPr="00BB59F3">
        <w:rPr>
          <w:i/>
          <w:sz w:val="20"/>
          <w:szCs w:val="20"/>
        </w:rPr>
        <w:t>Celtic Religions in the Roman Period</w:t>
      </w:r>
      <w:r w:rsidRPr="00BB59F3">
        <w:rPr>
          <w:sz w:val="20"/>
          <w:szCs w:val="20"/>
        </w:rPr>
        <w:t>, (Aberystwyth: Celtic Studies Publications XX, 2017) 57-70; alert us to the inherent dangers of referring to ‘Celtic’ as though it were a given, understandable term amongst all scholars.  I refer particularly to</w:t>
      </w:r>
      <w:r>
        <w:rPr>
          <w:sz w:val="20"/>
          <w:szCs w:val="20"/>
        </w:rPr>
        <w:t xml:space="preserve"> W.</w:t>
      </w:r>
      <w:r w:rsidRPr="00BB59F3">
        <w:rPr>
          <w:sz w:val="20"/>
          <w:szCs w:val="20"/>
        </w:rPr>
        <w:t xml:space="preserve"> Stoke’s translation where it is translated as ‘rod’, Stokes,</w:t>
      </w:r>
      <w:r w:rsidRPr="00BB59F3">
        <w:rPr>
          <w:bCs/>
          <w:i/>
          <w:sz w:val="20"/>
          <w:szCs w:val="20"/>
        </w:rPr>
        <w:t xml:space="preserve">The Voyage of Máel Dúin’s Boat, </w:t>
      </w:r>
      <w:r w:rsidRPr="00BB59F3">
        <w:rPr>
          <w:bCs/>
          <w:sz w:val="20"/>
          <w:szCs w:val="20"/>
        </w:rPr>
        <w:t xml:space="preserve">trans. Whitely Stokes, </w:t>
      </w:r>
      <w:r w:rsidRPr="00BB59F3">
        <w:rPr>
          <w:bCs/>
          <w:i/>
          <w:sz w:val="20"/>
          <w:szCs w:val="20"/>
        </w:rPr>
        <w:t xml:space="preserve">Revue Celtique  </w:t>
      </w:r>
      <w:r w:rsidRPr="00BB59F3">
        <w:rPr>
          <w:bCs/>
          <w:sz w:val="20"/>
          <w:szCs w:val="20"/>
        </w:rPr>
        <w:t>9: (1888), pp447-495; 10: (1889), pp50-95, 264</w:t>
      </w:r>
      <w:r>
        <w:rPr>
          <w:bCs/>
          <w:sz w:val="20"/>
          <w:szCs w:val="20"/>
        </w:rPr>
        <w:t xml:space="preserve">, v.7., </w:t>
      </w:r>
      <w:r w:rsidRPr="00BB59F3">
        <w:rPr>
          <w:sz w:val="20"/>
          <w:szCs w:val="20"/>
        </w:rPr>
        <w:t xml:space="preserve"> which evokes druidic imagery,</w:t>
      </w:r>
      <w:r w:rsidRPr="00BB59F3">
        <w:rPr>
          <w:color w:val="FF0000"/>
          <w:sz w:val="20"/>
          <w:szCs w:val="20"/>
        </w:rPr>
        <w:t xml:space="preserve"> </w:t>
      </w:r>
      <w:r w:rsidRPr="00BB59F3">
        <w:rPr>
          <w:sz w:val="20"/>
          <w:szCs w:val="20"/>
        </w:rPr>
        <w:t>but not necessarily Manannan’s silvery branch or the flowering branch the Otherworld woman gives Brain and Condla</w:t>
      </w:r>
      <w:r w:rsidRPr="00BB59F3">
        <w:rPr>
          <w:color w:val="FF0000"/>
          <w:sz w:val="20"/>
          <w:szCs w:val="20"/>
        </w:rPr>
        <w:t>.</w:t>
      </w:r>
      <w:r w:rsidRPr="00BB59F3">
        <w:rPr>
          <w:sz w:val="20"/>
          <w:szCs w:val="20"/>
        </w:rPr>
        <w:t xml:space="preserve"> In Oskamp</w:t>
      </w:r>
      <w:r>
        <w:rPr>
          <w:sz w:val="20"/>
          <w:szCs w:val="20"/>
        </w:rPr>
        <w:t xml:space="preserve">, </w:t>
      </w:r>
      <w:r w:rsidRPr="00BB59F3">
        <w:rPr>
          <w:i/>
          <w:sz w:val="20"/>
          <w:szCs w:val="20"/>
        </w:rPr>
        <w:t>The Voyage</w:t>
      </w:r>
      <w:r>
        <w:rPr>
          <w:i/>
          <w:sz w:val="20"/>
          <w:szCs w:val="20"/>
        </w:rPr>
        <w:t>, p.117:7</w:t>
      </w:r>
      <w:r w:rsidRPr="00BB59F3">
        <w:rPr>
          <w:sz w:val="20"/>
          <w:szCs w:val="20"/>
        </w:rPr>
        <w:t xml:space="preserve"> th</w:t>
      </w:r>
      <w:r>
        <w:rPr>
          <w:sz w:val="20"/>
          <w:szCs w:val="20"/>
        </w:rPr>
        <w:t>e translation is a branch</w:t>
      </w:r>
      <w:r w:rsidRPr="00BB59F3">
        <w:rPr>
          <w:sz w:val="20"/>
          <w:szCs w:val="20"/>
        </w:rPr>
        <w:t xml:space="preserve">. Were it not for the life giving apples motif, which might send a reader off to explore the myth of the garden of Eden, or Paris and the contest of the golden apple and many other classical and universal stories such as Snow White, the reader might miss the </w:t>
      </w:r>
      <w:r w:rsidRPr="00FD7AAD">
        <w:rPr>
          <w:sz w:val="20"/>
          <w:szCs w:val="20"/>
        </w:rPr>
        <w:t>reference altogether. The everlasting apple motif is found too in the tale of Condla.</w:t>
      </w:r>
      <w:r w:rsidRPr="00FD7AAD">
        <w:rPr>
          <w:rFonts w:cs="Times New Roman"/>
          <w:sz w:val="20"/>
          <w:szCs w:val="20"/>
        </w:rPr>
        <w:t xml:space="preserve"> Duignan, L., T</w:t>
      </w:r>
      <w:r w:rsidRPr="00FD7AAD">
        <w:rPr>
          <w:rFonts w:cs="Georgia"/>
          <w:sz w:val="20"/>
          <w:szCs w:val="20"/>
        </w:rPr>
        <w:t xml:space="preserve">he </w:t>
      </w:r>
      <w:r w:rsidRPr="00FD7AAD">
        <w:rPr>
          <w:rFonts w:cs="Times New Roman"/>
          <w:bCs/>
          <w:iCs/>
          <w:sz w:val="20"/>
          <w:szCs w:val="20"/>
        </w:rPr>
        <w:t xml:space="preserve">Echtrae </w:t>
      </w:r>
      <w:r w:rsidRPr="00FD7AAD">
        <w:rPr>
          <w:rFonts w:cs="Georgia"/>
          <w:sz w:val="20"/>
          <w:szCs w:val="20"/>
        </w:rPr>
        <w:t>as an Early Irish Literary Genre, (unpublished PhD,</w:t>
      </w:r>
      <w:r w:rsidRPr="00FD7AAD">
        <w:rPr>
          <w:rFonts w:cs="Times New Roman"/>
          <w:sz w:val="20"/>
          <w:szCs w:val="20"/>
        </w:rPr>
        <w:t xml:space="preserve"> The National University of Ireland, Maynooth, 2010), p. 173; C.</w:t>
      </w:r>
      <w:r w:rsidRPr="00FD7AAD">
        <w:rPr>
          <w:sz w:val="20"/>
          <w:szCs w:val="20"/>
        </w:rPr>
        <w:t xml:space="preserve"> McGrath,</w:t>
      </w:r>
      <w:r w:rsidRPr="00FD7AAD">
        <w:rPr>
          <w:rFonts w:cs="GillSansMT"/>
          <w:sz w:val="20"/>
          <w:szCs w:val="20"/>
        </w:rPr>
        <w:t xml:space="preserve"> ‘The Apple in Early Irish Narrative Tradition: A Thoroughly Christian Symbol?’ In </w:t>
      </w:r>
      <w:r w:rsidRPr="00FD7AAD">
        <w:rPr>
          <w:rFonts w:cs="GillSansMT"/>
          <w:i/>
          <w:sz w:val="20"/>
          <w:szCs w:val="20"/>
        </w:rPr>
        <w:t>Studia Celtica Fennica</w:t>
      </w:r>
      <w:r w:rsidRPr="00FD7AAD">
        <w:rPr>
          <w:rFonts w:cs="GillSansMT"/>
          <w:sz w:val="20"/>
          <w:szCs w:val="20"/>
        </w:rPr>
        <w:t xml:space="preserve"> VII: (2010), 18-25 [Online: </w:t>
      </w:r>
      <w:hyperlink r:id="rId11" w:history="1">
        <w:r w:rsidRPr="00FD7AAD">
          <w:rPr>
            <w:rStyle w:val="Hyperlink"/>
            <w:sz w:val="20"/>
            <w:szCs w:val="20"/>
          </w:rPr>
          <w:t>http://www.sfks.org/SC_VI_2009_24112010.pdf</w:t>
        </w:r>
      </w:hyperlink>
      <w:r w:rsidRPr="00FD7AAD">
        <w:rPr>
          <w:sz w:val="20"/>
          <w:szCs w:val="20"/>
        </w:rPr>
        <w:t xml:space="preserve"> ] &lt;Accessed 5 and 29 March 2018&gt;provides a study of the apple motif in Irish narrative.</w:t>
      </w:r>
    </w:p>
  </w:footnote>
  <w:footnote w:id="30">
    <w:p w14:paraId="6471A4EB" w14:textId="77777777" w:rsidR="002D0211" w:rsidRPr="00943951" w:rsidRDefault="002D0211">
      <w:pPr>
        <w:pStyle w:val="FootnoteText"/>
      </w:pPr>
      <w:r w:rsidRPr="00943951">
        <w:rPr>
          <w:rStyle w:val="FootnoteReference"/>
        </w:rPr>
        <w:footnoteRef/>
      </w:r>
      <w:r w:rsidRPr="00943951">
        <w:t xml:space="preserve"> W. Stokes,</w:t>
      </w:r>
      <w:r w:rsidRPr="00943951">
        <w:rPr>
          <w:bCs/>
          <w:i/>
        </w:rPr>
        <w:t xml:space="preserve"> Máel Dúin’s Boat</w:t>
      </w:r>
      <w:r>
        <w:t xml:space="preserve"> p. </w:t>
      </w:r>
      <w:r w:rsidRPr="00943951">
        <w:t>451:v7</w:t>
      </w:r>
    </w:p>
  </w:footnote>
  <w:footnote w:id="31">
    <w:p w14:paraId="76D0B71D" w14:textId="77777777" w:rsidR="002D0211" w:rsidRPr="00943951" w:rsidRDefault="002D0211" w:rsidP="00823DD2">
      <w:pPr>
        <w:pStyle w:val="FootnoteText"/>
      </w:pPr>
      <w:r w:rsidRPr="00943951">
        <w:rPr>
          <w:rStyle w:val="FootnoteReference"/>
        </w:rPr>
        <w:footnoteRef/>
      </w:r>
      <w:r w:rsidRPr="00943951">
        <w:t xml:space="preserve"> as in IB and EC, McCana, </w:t>
      </w:r>
      <w:r w:rsidRPr="00943951">
        <w:rPr>
          <w:i/>
        </w:rPr>
        <w:t>The Sinless World</w:t>
      </w:r>
      <w:r w:rsidRPr="00943951">
        <w:t xml:space="preserve">; Dumville, </w:t>
      </w:r>
      <w:r w:rsidRPr="00943951">
        <w:rPr>
          <w:i/>
        </w:rPr>
        <w:t>Echtrae</w:t>
      </w:r>
      <w:r w:rsidRPr="00943951">
        <w:t xml:space="preserve"> p. 82.</w:t>
      </w:r>
    </w:p>
  </w:footnote>
  <w:footnote w:id="32">
    <w:p w14:paraId="400DDB61" w14:textId="77777777" w:rsidR="002D0211" w:rsidRPr="00943951" w:rsidRDefault="002D0211" w:rsidP="00943951">
      <w:pPr>
        <w:pStyle w:val="FootnoteText"/>
      </w:pPr>
      <w:r w:rsidRPr="00943951">
        <w:rPr>
          <w:rStyle w:val="FootnoteReference"/>
        </w:rPr>
        <w:footnoteRef/>
      </w:r>
      <w:r w:rsidRPr="00943951">
        <w:t xml:space="preserve"> Also in verse 20, Stokes, ibid. It might also be that the scribe is copying text from a source who did not understand the original relationship between the Otherworld motifs, confusing early Otherworld land of women tales, such as is remembered in stories of Avalons with 9 priestesses, with extant stories of islands of nuns (see fn 23 above), and classical tales of pagan women who detained heroes, perhaps because they sought mates at certain times.</w:t>
      </w:r>
    </w:p>
  </w:footnote>
  <w:footnote w:id="33">
    <w:p w14:paraId="6EA5FE37" w14:textId="77777777" w:rsidR="002D0211" w:rsidRPr="00943951" w:rsidRDefault="002D0211" w:rsidP="00943951">
      <w:pPr>
        <w:spacing w:line="240" w:lineRule="auto"/>
        <w:rPr>
          <w:sz w:val="20"/>
          <w:szCs w:val="20"/>
        </w:rPr>
      </w:pPr>
      <w:r w:rsidRPr="00943951">
        <w:rPr>
          <w:rStyle w:val="FootnoteReference"/>
          <w:sz w:val="20"/>
          <w:szCs w:val="20"/>
        </w:rPr>
        <w:footnoteRef/>
      </w:r>
      <w:r w:rsidRPr="00943951">
        <w:rPr>
          <w:sz w:val="20"/>
          <w:szCs w:val="20"/>
        </w:rPr>
        <w:t xml:space="preserve">  </w:t>
      </w:r>
      <w:r w:rsidRPr="00943951">
        <w:rPr>
          <w:i/>
          <w:sz w:val="20"/>
          <w:szCs w:val="20"/>
        </w:rPr>
        <w:t xml:space="preserve">Immram Brain </w:t>
      </w:r>
      <w:r w:rsidRPr="00943951">
        <w:rPr>
          <w:sz w:val="20"/>
          <w:szCs w:val="20"/>
        </w:rPr>
        <w:t xml:space="preserve">and </w:t>
      </w:r>
      <w:r w:rsidRPr="00943951">
        <w:rPr>
          <w:i/>
          <w:sz w:val="20"/>
          <w:szCs w:val="20"/>
        </w:rPr>
        <w:t>Echtra Connla</w:t>
      </w:r>
      <w:r w:rsidRPr="00943951">
        <w:rPr>
          <w:sz w:val="20"/>
          <w:szCs w:val="20"/>
        </w:rPr>
        <w:t xml:space="preserve"> are tales supposed to have be</w:t>
      </w:r>
      <w:r>
        <w:rPr>
          <w:sz w:val="20"/>
          <w:szCs w:val="20"/>
        </w:rPr>
        <w:t>en in the lost early manuscript,</w:t>
      </w:r>
      <w:r w:rsidRPr="00943951">
        <w:rPr>
          <w:sz w:val="20"/>
          <w:szCs w:val="20"/>
        </w:rPr>
        <w:t xml:space="preserve"> CDS, which also contained stories such as </w:t>
      </w:r>
      <w:r w:rsidRPr="00943951">
        <w:rPr>
          <w:i/>
          <w:sz w:val="20"/>
          <w:szCs w:val="20"/>
        </w:rPr>
        <w:t>Compert con Cullain</w:t>
      </w:r>
      <w:r w:rsidRPr="00943951">
        <w:rPr>
          <w:sz w:val="20"/>
          <w:szCs w:val="20"/>
        </w:rPr>
        <w:t xml:space="preserve">. </w:t>
      </w:r>
      <w:r>
        <w:rPr>
          <w:sz w:val="20"/>
          <w:szCs w:val="20"/>
        </w:rPr>
        <w:t xml:space="preserve">(see </w:t>
      </w:r>
      <w:r w:rsidRPr="00816764">
        <w:rPr>
          <w:sz w:val="20"/>
          <w:szCs w:val="20"/>
        </w:rPr>
        <w:t>fn 26</w:t>
      </w:r>
      <w:r>
        <w:rPr>
          <w:sz w:val="20"/>
          <w:szCs w:val="20"/>
        </w:rPr>
        <w:t xml:space="preserve"> above).</w:t>
      </w:r>
      <w:r w:rsidRPr="00943951">
        <w:rPr>
          <w:sz w:val="20"/>
          <w:szCs w:val="20"/>
        </w:rPr>
        <w:t xml:space="preserve"> It must be noted that Carney, </w:t>
      </w:r>
      <w:r w:rsidRPr="00943951">
        <w:rPr>
          <w:i/>
          <w:sz w:val="20"/>
          <w:szCs w:val="20"/>
        </w:rPr>
        <w:t>Review</w:t>
      </w:r>
      <w:r w:rsidRPr="00943951">
        <w:rPr>
          <w:sz w:val="20"/>
          <w:szCs w:val="20"/>
        </w:rPr>
        <w:t xml:space="preserve"> p.89 considers IB &amp; EC to be thoroughly Christian tales.</w:t>
      </w:r>
    </w:p>
  </w:footnote>
  <w:footnote w:id="34">
    <w:p w14:paraId="711665FC" w14:textId="77777777" w:rsidR="002D0211" w:rsidRPr="00657E28" w:rsidRDefault="002D0211" w:rsidP="00657E28">
      <w:pPr>
        <w:autoSpaceDE w:val="0"/>
        <w:autoSpaceDN w:val="0"/>
        <w:adjustRightInd w:val="0"/>
        <w:spacing w:after="0" w:line="240" w:lineRule="auto"/>
        <w:rPr>
          <w:sz w:val="20"/>
          <w:szCs w:val="20"/>
        </w:rPr>
      </w:pPr>
      <w:r w:rsidRPr="00657E28">
        <w:rPr>
          <w:rStyle w:val="FootnoteReference"/>
          <w:sz w:val="20"/>
          <w:szCs w:val="20"/>
        </w:rPr>
        <w:footnoteRef/>
      </w:r>
      <w:r w:rsidRPr="00657E28">
        <w:rPr>
          <w:sz w:val="20"/>
          <w:szCs w:val="20"/>
        </w:rPr>
        <w:t xml:space="preserve"> L. Thomson,</w:t>
      </w:r>
      <w:r>
        <w:rPr>
          <w:sz w:val="20"/>
          <w:szCs w:val="20"/>
        </w:rPr>
        <w:t xml:space="preserve"> </w:t>
      </w:r>
      <w:r w:rsidRPr="00657E28">
        <w:rPr>
          <w:rFonts w:cs="Arial"/>
          <w:color w:val="000000"/>
          <w:sz w:val="20"/>
          <w:szCs w:val="20"/>
        </w:rPr>
        <w:t xml:space="preserve">The </w:t>
      </w:r>
      <w:r w:rsidRPr="00657E28">
        <w:rPr>
          <w:rFonts w:cs="Arial"/>
          <w:i/>
          <w:iCs/>
          <w:color w:val="000000"/>
          <w:sz w:val="20"/>
          <w:szCs w:val="20"/>
        </w:rPr>
        <w:t xml:space="preserve">Mari Lwyd </w:t>
      </w:r>
      <w:r w:rsidRPr="00657E28">
        <w:rPr>
          <w:rFonts w:cs="Arial"/>
          <w:color w:val="000000"/>
          <w:sz w:val="20"/>
          <w:szCs w:val="20"/>
        </w:rPr>
        <w:t>and the Horse Queen: Palimpsests of Ancient ideas, (unpublished MA thesis, the University of Wales Trinity Saint David, 2012), p.</w:t>
      </w:r>
      <w:ins w:id="62" w:author="Alaw Mai" w:date="2018-04-19T21:39:00Z">
        <w:r w:rsidR="0021054B">
          <w:rPr>
            <w:rFonts w:cs="Arial"/>
            <w:color w:val="000000"/>
            <w:sz w:val="20"/>
            <w:szCs w:val="20"/>
          </w:rPr>
          <w:t xml:space="preserve"> </w:t>
        </w:r>
      </w:ins>
      <w:r w:rsidRPr="00657E28">
        <w:rPr>
          <w:rFonts w:cs="Arial"/>
          <w:color w:val="000000"/>
          <w:sz w:val="20"/>
          <w:szCs w:val="20"/>
        </w:rPr>
        <w:t xml:space="preserve">25 </w:t>
      </w:r>
      <w:r w:rsidRPr="00657E28">
        <w:rPr>
          <w:sz w:val="20"/>
          <w:szCs w:val="20"/>
        </w:rPr>
        <w:t xml:space="preserve">shares an image of early rock art depicting a figure holding a plant in a horse ritual, where the horse represents sovereignty and the king ritually mates with it before it is sacrificed in order to grant him right to reign. Ibid:63 The held plant represented land or fertility. See </w:t>
      </w:r>
      <w:r w:rsidRPr="00657E28">
        <w:rPr>
          <w:i/>
          <w:sz w:val="20"/>
          <w:szCs w:val="20"/>
        </w:rPr>
        <w:t>3.3 fn 51</w:t>
      </w:r>
      <w:r w:rsidRPr="00657E28">
        <w:rPr>
          <w:sz w:val="20"/>
          <w:szCs w:val="20"/>
        </w:rPr>
        <w:t xml:space="preserve"> for the connection of horses with birds. J. </w:t>
      </w:r>
      <w:r w:rsidRPr="00657E28">
        <w:rPr>
          <w:rFonts w:cs="GentiumBasic-Italic"/>
          <w:iCs/>
          <w:sz w:val="20"/>
          <w:szCs w:val="20"/>
        </w:rPr>
        <w:t>Borsje, ‘</w:t>
      </w:r>
      <w:r w:rsidRPr="00657E28">
        <w:rPr>
          <w:rFonts w:cs="SerlioLH"/>
          <w:sz w:val="20"/>
          <w:szCs w:val="20"/>
        </w:rPr>
        <w:t xml:space="preserve">Celtic Spells and Counterspells’ in </w:t>
      </w:r>
      <w:r w:rsidRPr="00657E28">
        <w:rPr>
          <w:rFonts w:cs="Futura-Book"/>
          <w:sz w:val="20"/>
          <w:szCs w:val="20"/>
        </w:rPr>
        <w:t xml:space="preserve">Bergholm, A., and Ritari, K., eds, </w:t>
      </w:r>
      <w:r w:rsidRPr="00657E28">
        <w:rPr>
          <w:rFonts w:cs="Lithos-Regular"/>
          <w:i/>
          <w:sz w:val="20"/>
          <w:szCs w:val="20"/>
        </w:rPr>
        <w:t xml:space="preserve">New Approaches to Celtic Religion and Mythology: </w:t>
      </w:r>
      <w:r w:rsidRPr="00657E28">
        <w:rPr>
          <w:rFonts w:cs="Futura-Book"/>
          <w:i/>
          <w:sz w:val="20"/>
          <w:szCs w:val="20"/>
        </w:rPr>
        <w:t>Understanding Celtic Religion Revisiting the Pagan Past</w:t>
      </w:r>
      <w:r w:rsidRPr="00657E28">
        <w:rPr>
          <w:rFonts w:cs="Futura-Book"/>
          <w:sz w:val="20"/>
          <w:szCs w:val="20"/>
        </w:rPr>
        <w:t>, (</w:t>
      </w:r>
      <w:r w:rsidRPr="00657E28">
        <w:rPr>
          <w:rFonts w:cs="GentiumBasic"/>
          <w:sz w:val="20"/>
          <w:szCs w:val="20"/>
        </w:rPr>
        <w:t xml:space="preserve">Cardiff: University of Wales Press, 2015), available at </w:t>
      </w:r>
      <w:hyperlink r:id="rId12" w:history="1">
        <w:r w:rsidRPr="00092458">
          <w:rPr>
            <w:rStyle w:val="Hyperlink"/>
            <w:rFonts w:cs="GentiumBasic"/>
            <w:sz w:val="20"/>
            <w:szCs w:val="20"/>
          </w:rPr>
          <w:t>https://www.academia.edu/19783791/Celtic_Spells_and_Counterspells</w:t>
        </w:r>
      </w:hyperlink>
      <w:r w:rsidRPr="00657E28">
        <w:rPr>
          <w:rFonts w:cs="GentiumBasic"/>
          <w:sz w:val="20"/>
          <w:szCs w:val="20"/>
        </w:rPr>
        <w:t xml:space="preserve">  </w:t>
      </w:r>
      <w:r w:rsidRPr="00791D35">
        <w:rPr>
          <w:rFonts w:cs="GentiumBasic"/>
          <w:sz w:val="18"/>
          <w:szCs w:val="20"/>
        </w:rPr>
        <w:t xml:space="preserve"> &lt;Accessed 3 October 2017&gt;, </w:t>
      </w:r>
      <w:r w:rsidRPr="00657E28">
        <w:rPr>
          <w:rFonts w:cs="GentiumBasic"/>
          <w:sz w:val="20"/>
          <w:szCs w:val="20"/>
        </w:rPr>
        <w:t xml:space="preserve">pp. </w:t>
      </w:r>
      <w:r w:rsidRPr="00F113D8">
        <w:rPr>
          <w:rFonts w:cs="GentiumBasic"/>
          <w:sz w:val="16"/>
          <w:szCs w:val="20"/>
        </w:rPr>
        <w:t>27,68</w:t>
      </w:r>
      <w:r w:rsidRPr="00657E28">
        <w:rPr>
          <w:rFonts w:cs="GentiumBasic"/>
          <w:sz w:val="20"/>
          <w:szCs w:val="20"/>
        </w:rPr>
        <w:t xml:space="preserve">, </w:t>
      </w:r>
      <w:r w:rsidRPr="00657E28">
        <w:rPr>
          <w:sz w:val="20"/>
          <w:szCs w:val="20"/>
        </w:rPr>
        <w:t xml:space="preserve">refers to Pictish druidic customs including “marrying the land” by sleeping with its queen, for example, with Rhiannon. Webster, </w:t>
      </w:r>
      <w:r w:rsidRPr="00657E28">
        <w:rPr>
          <w:i/>
          <w:sz w:val="20"/>
          <w:szCs w:val="20"/>
        </w:rPr>
        <w:t>A Dirty Window</w:t>
      </w:r>
      <w:r w:rsidRPr="00657E28">
        <w:rPr>
          <w:sz w:val="20"/>
          <w:szCs w:val="20"/>
        </w:rPr>
        <w:t xml:space="preserve">, pp. 164-167, discusses Epona the horse goddess and includes an image from the Pillar of Nantes of the god Esus holding a flowering branch. Both Esus and Epona are ambiguous, she says, in that it is not clear whether they are Romano-Celtic or, in the case of Epona “something else entirely”. Remnants of a mother goddess cult may still have been extant in the medieval period in Gloucestershire. Ibid., pp.169-70. McCone, </w:t>
      </w:r>
      <w:r w:rsidRPr="00657E28">
        <w:rPr>
          <w:i/>
          <w:sz w:val="20"/>
          <w:szCs w:val="20"/>
        </w:rPr>
        <w:t>Pagan Past</w:t>
      </w:r>
      <w:r w:rsidRPr="00657E28">
        <w:rPr>
          <w:sz w:val="20"/>
          <w:szCs w:val="20"/>
        </w:rPr>
        <w:t xml:space="preserve"> , p.148 admits pagan roots to references in the Irish literature to goddesses and sovereignty, but not that there are neat correspondences between them and pre-Christian deities. </w:t>
      </w:r>
    </w:p>
  </w:footnote>
  <w:footnote w:id="35">
    <w:p w14:paraId="035364DE" w14:textId="77777777" w:rsidR="002D0211" w:rsidRDefault="002D0211" w:rsidP="00E568AC">
      <w:pPr>
        <w:pStyle w:val="FootnoteText"/>
      </w:pPr>
      <w:r>
        <w:rPr>
          <w:rStyle w:val="FootnoteReference"/>
        </w:rPr>
        <w:footnoteRef/>
      </w:r>
      <w:r>
        <w:t xml:space="preserve"> Only the concluding hermit of Tory island narrative is longer. Dumville, </w:t>
      </w:r>
      <w:r w:rsidRPr="00154292">
        <w:rPr>
          <w:i/>
        </w:rPr>
        <w:t>Echtrae</w:t>
      </w:r>
      <w:r>
        <w:t xml:space="preserve"> p. 86, suggests there could be evidence that the story of Bran and the island of women is a very old theme.</w:t>
      </w:r>
    </w:p>
  </w:footnote>
  <w:footnote w:id="36">
    <w:p w14:paraId="315156EA" w14:textId="77777777" w:rsidR="002D0211" w:rsidRPr="00CD793B" w:rsidRDefault="002D0211" w:rsidP="00E568AC">
      <w:pPr>
        <w:pStyle w:val="FootnoteText"/>
        <w:rPr>
          <w:szCs w:val="22"/>
        </w:rPr>
      </w:pPr>
      <w:r>
        <w:rPr>
          <w:rStyle w:val="FootnoteReference"/>
        </w:rPr>
        <w:footnoteRef/>
      </w:r>
      <w:r>
        <w:t xml:space="preserve"> </w:t>
      </w:r>
      <w:r w:rsidRPr="00CD793B">
        <w:rPr>
          <w:szCs w:val="22"/>
        </w:rPr>
        <w:t>Stokes</w:t>
      </w:r>
      <w:r w:rsidRPr="004D0AB5">
        <w:rPr>
          <w:bCs/>
          <w:i/>
        </w:rPr>
        <w:t xml:space="preserve"> </w:t>
      </w:r>
      <w:r w:rsidRPr="00943951">
        <w:rPr>
          <w:bCs/>
          <w:i/>
        </w:rPr>
        <w:t>Máel Dúin’s Boat</w:t>
      </w:r>
      <w:r>
        <w:rPr>
          <w:bCs/>
          <w:i/>
        </w:rPr>
        <w:t xml:space="preserve"> </w:t>
      </w:r>
      <w:r w:rsidRPr="00CD793B">
        <w:rPr>
          <w:szCs w:val="22"/>
        </w:rPr>
        <w:t xml:space="preserve"> v </w:t>
      </w:r>
      <w:r>
        <w:rPr>
          <w:szCs w:val="22"/>
        </w:rPr>
        <w:t xml:space="preserve">17 and </w:t>
      </w:r>
      <w:r w:rsidRPr="00CD793B">
        <w:rPr>
          <w:szCs w:val="22"/>
        </w:rPr>
        <w:t>28</w:t>
      </w:r>
      <w:r>
        <w:rPr>
          <w:szCs w:val="22"/>
        </w:rPr>
        <w:t xml:space="preserve">; </w:t>
      </w:r>
      <w:r w:rsidRPr="00CD793B">
        <w:rPr>
          <w:szCs w:val="22"/>
        </w:rPr>
        <w:t>Oskamp</w:t>
      </w:r>
      <w:r>
        <w:rPr>
          <w:szCs w:val="22"/>
        </w:rPr>
        <w:t xml:space="preserve">, </w:t>
      </w:r>
      <w:r w:rsidRPr="004D0AB5">
        <w:rPr>
          <w:i/>
          <w:szCs w:val="22"/>
        </w:rPr>
        <w:t>The Voyage</w:t>
      </w:r>
      <w:r w:rsidRPr="00CD793B">
        <w:rPr>
          <w:szCs w:val="22"/>
        </w:rPr>
        <w:t xml:space="preserve"> </w:t>
      </w:r>
      <w:r>
        <w:rPr>
          <w:szCs w:val="22"/>
        </w:rPr>
        <w:t>, p.</w:t>
      </w:r>
      <w:r w:rsidRPr="00CD793B">
        <w:rPr>
          <w:szCs w:val="22"/>
        </w:rPr>
        <w:t>133 v17</w:t>
      </w:r>
      <w:r>
        <w:rPr>
          <w:szCs w:val="22"/>
        </w:rPr>
        <w:t>, p.1</w:t>
      </w:r>
      <w:r w:rsidRPr="00CD793B">
        <w:rPr>
          <w:szCs w:val="22"/>
        </w:rPr>
        <w:t>55 v28.</w:t>
      </w:r>
      <w:r>
        <w:rPr>
          <w:szCs w:val="22"/>
        </w:rPr>
        <w:t xml:space="preserve"> </w:t>
      </w:r>
      <w:r>
        <w:t xml:space="preserve">References to 9 months may point to an origin to the land of women myth. The gestation period could point to a period of initiation in the otherworld, the birth of a child, or simply be a textual clue that this is a mother goddess cult being referred to. </w:t>
      </w:r>
      <w:r>
        <w:rPr>
          <w:szCs w:val="22"/>
        </w:rPr>
        <w:t>Time references in MD are quite specific, including the length of the voyage, the only</w:t>
      </w:r>
      <w:r w:rsidRPr="00E426C9">
        <w:rPr>
          <w:i/>
          <w:szCs w:val="22"/>
        </w:rPr>
        <w:t xml:space="preserve"> immrama</w:t>
      </w:r>
      <w:r>
        <w:rPr>
          <w:szCs w:val="22"/>
        </w:rPr>
        <w:t xml:space="preserve"> to include this, suggesting to Oskamp, </w:t>
      </w:r>
      <w:r w:rsidRPr="004D0AB5">
        <w:rPr>
          <w:i/>
          <w:szCs w:val="22"/>
        </w:rPr>
        <w:t>The Voyage</w:t>
      </w:r>
      <w:r>
        <w:rPr>
          <w:i/>
          <w:szCs w:val="22"/>
        </w:rPr>
        <w:t>,</w:t>
      </w:r>
      <w:r>
        <w:rPr>
          <w:szCs w:val="22"/>
        </w:rPr>
        <w:t xml:space="preserve"> p.59, lost significance in the numbers.</w:t>
      </w:r>
      <w:r w:rsidRPr="00E568AC">
        <w:t xml:space="preserve"> </w:t>
      </w:r>
      <w:r>
        <w:t xml:space="preserve">This motif is paralleled in </w:t>
      </w:r>
      <w:r w:rsidRPr="00F431DA">
        <w:rPr>
          <w:i/>
        </w:rPr>
        <w:t>Immram Bran</w:t>
      </w:r>
      <w:r>
        <w:rPr>
          <w:i/>
        </w:rPr>
        <w:t>,</w:t>
      </w:r>
      <w:r>
        <w:t xml:space="preserve"> as well as in classical literature: </w:t>
      </w:r>
      <w:r w:rsidRPr="005E274F">
        <w:t>Dido in the Aeneid and Circe in the Odyssey</w:t>
      </w:r>
      <w:r>
        <w:t>, O’Meara,</w:t>
      </w:r>
      <w:r w:rsidRPr="00154292">
        <w:rPr>
          <w:i/>
        </w:rPr>
        <w:t xml:space="preserve"> Saint Brendan</w:t>
      </w:r>
      <w:r>
        <w:t xml:space="preserve"> p.</w:t>
      </w:r>
      <w:r w:rsidRPr="005E274F">
        <w:t>xi</w:t>
      </w:r>
    </w:p>
  </w:footnote>
  <w:footnote w:id="37">
    <w:p w14:paraId="188026AE" w14:textId="77777777" w:rsidR="002D0211" w:rsidRPr="004D0AB5" w:rsidRDefault="002D0211" w:rsidP="004D0AB5">
      <w:pPr>
        <w:pStyle w:val="FootnoteText"/>
      </w:pPr>
      <w:r>
        <w:rPr>
          <w:rStyle w:val="FootnoteReference"/>
        </w:rPr>
        <w:footnoteRef/>
      </w:r>
      <w:r>
        <w:t xml:space="preserve"> McCana, </w:t>
      </w:r>
      <w:r w:rsidRPr="004D0AB5">
        <w:rPr>
          <w:i/>
        </w:rPr>
        <w:t>The Sinless World</w:t>
      </w:r>
      <w:r>
        <w:t xml:space="preserve">, pp.111-112, discusses the antiquity of the Land of Women motif, its connection to the fairy in Ireland, the goddess Rhiannon in Wales, and the Island of Sena, which housed 9 priestesses, told </w:t>
      </w:r>
      <w:r w:rsidRPr="004D0AB5">
        <w:t xml:space="preserve">of in Mela. Dumville, </w:t>
      </w:r>
      <w:r w:rsidRPr="004D0AB5">
        <w:rPr>
          <w:i/>
        </w:rPr>
        <w:t>Echtrae</w:t>
      </w:r>
      <w:r w:rsidRPr="004D0AB5">
        <w:t xml:space="preserve">, p.81 refers to a reference in EC to a </w:t>
      </w:r>
      <w:r w:rsidRPr="004D0AB5">
        <w:rPr>
          <w:i/>
        </w:rPr>
        <w:t>Síd</w:t>
      </w:r>
      <w:r w:rsidRPr="004D0AB5">
        <w:t xml:space="preserve"> (Otherworldy) woman who comes from the land of the living ones.</w:t>
      </w:r>
    </w:p>
  </w:footnote>
  <w:footnote w:id="38">
    <w:p w14:paraId="07589943" w14:textId="77777777" w:rsidR="002D0211" w:rsidRPr="004D0AB5" w:rsidRDefault="002D0211" w:rsidP="004D0AB5">
      <w:pPr>
        <w:shd w:val="clear" w:color="auto" w:fill="FFFFFF"/>
        <w:spacing w:line="240" w:lineRule="auto"/>
        <w:ind w:right="150"/>
        <w:textAlignment w:val="top"/>
        <w:rPr>
          <w:sz w:val="20"/>
          <w:szCs w:val="20"/>
        </w:rPr>
      </w:pPr>
      <w:r w:rsidRPr="004D0AB5">
        <w:rPr>
          <w:rStyle w:val="FootnoteReference"/>
          <w:sz w:val="20"/>
          <w:szCs w:val="20"/>
        </w:rPr>
        <w:footnoteRef/>
      </w:r>
      <w:r w:rsidRPr="004D0AB5">
        <w:rPr>
          <w:sz w:val="20"/>
          <w:szCs w:val="20"/>
        </w:rPr>
        <w:t xml:space="preserve"> The motif of the sinless maiden, Stokes, </w:t>
      </w:r>
      <w:r w:rsidRPr="004D0AB5">
        <w:rPr>
          <w:bCs/>
          <w:i/>
          <w:sz w:val="20"/>
          <w:szCs w:val="20"/>
        </w:rPr>
        <w:t>Máel Dúin’s Boat</w:t>
      </w:r>
      <w:r w:rsidRPr="004D0AB5">
        <w:rPr>
          <w:sz w:val="20"/>
          <w:szCs w:val="20"/>
        </w:rPr>
        <w:t xml:space="preserve"> v.16 &amp; 17, is intriguing. In the tale she seems very much to represent the Christian values the author wants his readers to adopt, yet it is in this passage that the sleep inducing music appears, she wears silver and gold suggestive of her otherworldliness, Ross, </w:t>
      </w:r>
      <w:r w:rsidRPr="004D0AB5">
        <w:rPr>
          <w:rFonts w:cs="Times"/>
          <w:bCs/>
          <w:spacing w:val="3"/>
          <w:sz w:val="20"/>
          <w:szCs w:val="20"/>
        </w:rPr>
        <w:t xml:space="preserve">Ross, A. </w:t>
      </w:r>
      <w:r w:rsidRPr="004D0AB5">
        <w:rPr>
          <w:rFonts w:cs="Times"/>
          <w:bCs/>
          <w:i/>
          <w:spacing w:val="3"/>
          <w:sz w:val="20"/>
          <w:szCs w:val="20"/>
        </w:rPr>
        <w:t xml:space="preserve">Pagan Celtic Britain </w:t>
      </w:r>
      <w:r w:rsidRPr="004D0AB5">
        <w:rPr>
          <w:rFonts w:cs="Times"/>
          <w:bCs/>
          <w:spacing w:val="3"/>
          <w:sz w:val="20"/>
          <w:szCs w:val="20"/>
        </w:rPr>
        <w:t>2</w:t>
      </w:r>
      <w:r w:rsidRPr="004D0AB5">
        <w:rPr>
          <w:rFonts w:cs="Times"/>
          <w:bCs/>
          <w:spacing w:val="3"/>
          <w:sz w:val="20"/>
          <w:szCs w:val="20"/>
          <w:vertAlign w:val="superscript"/>
        </w:rPr>
        <w:t>nd</w:t>
      </w:r>
      <w:r w:rsidRPr="004D0AB5">
        <w:rPr>
          <w:rFonts w:cs="Times"/>
          <w:bCs/>
          <w:spacing w:val="3"/>
          <w:sz w:val="20"/>
          <w:szCs w:val="20"/>
        </w:rPr>
        <w:t xml:space="preserve"> edn, (Chicago: Academy Chicago Publishers, 1996), p.</w:t>
      </w:r>
      <w:r w:rsidRPr="004D0AB5">
        <w:rPr>
          <w:sz w:val="20"/>
          <w:szCs w:val="20"/>
        </w:rPr>
        <w:t xml:space="preserve">305, exhibits prophetic powers, and her island quite simply vanishes as if it never was. </w:t>
      </w:r>
    </w:p>
  </w:footnote>
  <w:footnote w:id="39">
    <w:p w14:paraId="6CFC4DB8" w14:textId="77777777" w:rsidR="002D0211" w:rsidRDefault="002D0211" w:rsidP="004D0AB5">
      <w:pPr>
        <w:pStyle w:val="FootnoteText"/>
      </w:pPr>
      <w:r w:rsidRPr="004D0AB5">
        <w:rPr>
          <w:rStyle w:val="FootnoteReference"/>
        </w:rPr>
        <w:footnoteRef/>
      </w:r>
      <w:r w:rsidRPr="004D0AB5">
        <w:t xml:space="preserve"> A state of affairs which could be said to be still relevant; compare Carney’s thoroughly Christian take on the </w:t>
      </w:r>
      <w:r w:rsidRPr="004D0AB5">
        <w:rPr>
          <w:i/>
        </w:rPr>
        <w:t>immrama</w:t>
      </w:r>
      <w:r>
        <w:rPr>
          <w:i/>
        </w:rPr>
        <w:t xml:space="preserve">, Review </w:t>
      </w:r>
      <w:r w:rsidRPr="004D0AB5">
        <w:t>(1955)</w:t>
      </w:r>
      <w:r>
        <w:t>,</w:t>
      </w:r>
      <w:r w:rsidRPr="004D0AB5">
        <w:t xml:space="preserve"> with M</w:t>
      </w:r>
      <w:r>
        <w:t>a</w:t>
      </w:r>
      <w:r w:rsidRPr="004D0AB5">
        <w:t>c</w:t>
      </w:r>
      <w:r>
        <w:t xml:space="preserve"> </w:t>
      </w:r>
      <w:r w:rsidRPr="004D0AB5">
        <w:t>Cana on the notion of sinless sex</w:t>
      </w:r>
      <w:r>
        <w:t xml:space="preserve">, </w:t>
      </w:r>
      <w:r w:rsidRPr="004D0AB5">
        <w:rPr>
          <w:i/>
        </w:rPr>
        <w:t>The Sinless Otherworld</w:t>
      </w:r>
      <w:r>
        <w:t>,</w:t>
      </w:r>
      <w:r w:rsidRPr="004D0AB5">
        <w:t xml:space="preserve"> (1976)</w:t>
      </w:r>
      <w:r>
        <w:t>,</w:t>
      </w:r>
      <w:r w:rsidRPr="004D0AB5">
        <w:t xml:space="preserve"> in Olsen</w:t>
      </w:r>
      <w:r>
        <w:t xml:space="preserve">, </w:t>
      </w:r>
      <w:r w:rsidRPr="004D0AB5">
        <w:rPr>
          <w:i/>
        </w:rPr>
        <w:t>Female Voices</w:t>
      </w:r>
      <w:r>
        <w:t>, p.</w:t>
      </w:r>
      <w:r w:rsidRPr="004D0AB5">
        <w:t>60. Johnston</w:t>
      </w:r>
      <w:r>
        <w:t xml:space="preserve">, </w:t>
      </w:r>
      <w:r w:rsidRPr="004D0AB5">
        <w:rPr>
          <w:i/>
        </w:rPr>
        <w:t>A Sailor on the Seas of Faith</w:t>
      </w:r>
      <w:r w:rsidRPr="004D0AB5">
        <w:t xml:space="preserve">, p.4, </w:t>
      </w:r>
      <w:r>
        <w:t>believes the contrast of virginity and sexuality in MD was a deliberate device within the “opposing categories” part of the story’s framework.</w:t>
      </w:r>
    </w:p>
  </w:footnote>
  <w:footnote w:id="40">
    <w:p w14:paraId="263E7665" w14:textId="77777777" w:rsidR="002D0211" w:rsidRDefault="002D0211">
      <w:pPr>
        <w:pStyle w:val="FootnoteText"/>
      </w:pPr>
      <w:r>
        <w:rPr>
          <w:rStyle w:val="FootnoteReference"/>
        </w:rPr>
        <w:footnoteRef/>
      </w:r>
      <w:r>
        <w:rPr>
          <w:color w:val="FF0000"/>
        </w:rPr>
        <w:t xml:space="preserve"> </w:t>
      </w:r>
      <w:r w:rsidRPr="008102AE">
        <w:t>For example</w:t>
      </w:r>
      <w:r>
        <w:t>;</w:t>
      </w:r>
      <w:r w:rsidRPr="008102AE">
        <w:t xml:space="preserve"> </w:t>
      </w:r>
      <w:r w:rsidRPr="00957FC4">
        <w:t>McCana</w:t>
      </w:r>
      <w:r>
        <w:t xml:space="preserve">, </w:t>
      </w:r>
      <w:r w:rsidRPr="008102AE">
        <w:rPr>
          <w:i/>
        </w:rPr>
        <w:t>The Sinless Otherworld</w:t>
      </w:r>
      <w:r>
        <w:t>, p.112.</w:t>
      </w:r>
    </w:p>
  </w:footnote>
  <w:footnote w:id="41">
    <w:p w14:paraId="4550BF8E" w14:textId="77777777" w:rsidR="002D0211" w:rsidRDefault="002D0211" w:rsidP="0092377A">
      <w:pPr>
        <w:pStyle w:val="FootnoteText"/>
      </w:pPr>
      <w:r>
        <w:rPr>
          <w:rStyle w:val="FootnoteReference"/>
        </w:rPr>
        <w:footnoteRef/>
      </w:r>
      <w:r>
        <w:t xml:space="preserve"> In Aldhouse-Green,</w:t>
      </w:r>
      <w:r w:rsidRPr="00742B8C">
        <w:rPr>
          <w:i/>
        </w:rPr>
        <w:t xml:space="preserve"> Pagan Celtic Religion</w:t>
      </w:r>
      <w:r>
        <w:t xml:space="preserve">; </w:t>
      </w:r>
      <w:r w:rsidRPr="00742B8C">
        <w:t xml:space="preserve">Webster, </w:t>
      </w:r>
      <w:r w:rsidRPr="00742B8C">
        <w:rPr>
          <w:i/>
        </w:rPr>
        <w:t>A Dirty Window</w:t>
      </w:r>
      <w:r w:rsidRPr="00742B8C">
        <w:t xml:space="preserve">; </w:t>
      </w:r>
      <w:r>
        <w:t xml:space="preserve">Olsen, Female Voices, p.67; </w:t>
      </w:r>
      <w:r w:rsidRPr="00282C9F">
        <w:t xml:space="preserve">O’Cathasaigh, </w:t>
      </w:r>
      <w:r w:rsidRPr="00282C9F">
        <w:rPr>
          <w:i/>
        </w:rPr>
        <w:t xml:space="preserve">Coire Sois; </w:t>
      </w:r>
      <w:r w:rsidRPr="00282C9F">
        <w:t xml:space="preserve">and McCone, </w:t>
      </w:r>
      <w:r w:rsidRPr="00282C9F">
        <w:rPr>
          <w:i/>
        </w:rPr>
        <w:t>Pagan Past</w:t>
      </w:r>
      <w:r w:rsidRPr="00282C9F">
        <w:t>, p.110.</w:t>
      </w:r>
    </w:p>
  </w:footnote>
  <w:footnote w:id="42">
    <w:p w14:paraId="45D193A3" w14:textId="77777777" w:rsidR="002D0211" w:rsidRDefault="002D0211">
      <w:pPr>
        <w:pStyle w:val="FootnoteText"/>
      </w:pPr>
      <w:r>
        <w:rPr>
          <w:rStyle w:val="FootnoteReference"/>
        </w:rPr>
        <w:footnoteRef/>
      </w:r>
      <w:r>
        <w:t xml:space="preserve"> </w:t>
      </w:r>
      <w:r w:rsidRPr="00282C9F">
        <w:t>McCone, ibid.,</w:t>
      </w:r>
      <w:r>
        <w:t xml:space="preserve"> p.110.</w:t>
      </w:r>
    </w:p>
  </w:footnote>
  <w:footnote w:id="43">
    <w:p w14:paraId="1419A105" w14:textId="77777777" w:rsidR="002D0211" w:rsidRPr="00E568AC" w:rsidRDefault="002D0211" w:rsidP="00E568AC">
      <w:pPr>
        <w:spacing w:line="240" w:lineRule="auto"/>
        <w:rPr>
          <w:sz w:val="20"/>
          <w:szCs w:val="20"/>
        </w:rPr>
      </w:pPr>
      <w:r w:rsidRPr="00E755E4">
        <w:rPr>
          <w:rStyle w:val="FootnoteReference"/>
          <w:sz w:val="20"/>
          <w:szCs w:val="20"/>
        </w:rPr>
        <w:footnoteRef/>
      </w:r>
      <w:r w:rsidRPr="00E755E4">
        <w:rPr>
          <w:sz w:val="20"/>
          <w:szCs w:val="20"/>
        </w:rPr>
        <w:t xml:space="preserve"> The fact that the crew of the coracle stayed and slept with the women might explain this omission in the religious version of the tale. In contrast, in IB there is a clear wistful reference to sinless sex, K. Meyers, </w:t>
      </w:r>
      <w:r w:rsidRPr="00E755E4">
        <w:rPr>
          <w:bCs/>
          <w:i/>
          <w:sz w:val="20"/>
          <w:szCs w:val="20"/>
        </w:rPr>
        <w:t xml:space="preserve">The Voyage of Bran Son of Febal to the Land of the Living, </w:t>
      </w:r>
      <w:r w:rsidRPr="00E755E4">
        <w:rPr>
          <w:bCs/>
          <w:sz w:val="20"/>
          <w:szCs w:val="20"/>
        </w:rPr>
        <w:t>ed. trans.</w:t>
      </w:r>
      <w:r w:rsidRPr="00E568AC">
        <w:rPr>
          <w:bCs/>
          <w:sz w:val="20"/>
          <w:szCs w:val="20"/>
        </w:rPr>
        <w:t xml:space="preserve"> Meyer, Kuno, (London: David Nutt, 1895), </w:t>
      </w:r>
      <w:r w:rsidRPr="00E568AC">
        <w:rPr>
          <w:sz w:val="20"/>
          <w:szCs w:val="20"/>
        </w:rPr>
        <w:t xml:space="preserve">v. </w:t>
      </w:r>
      <w:r w:rsidRPr="00E568AC">
        <w:rPr>
          <w:sz w:val="16"/>
          <w:szCs w:val="20"/>
        </w:rPr>
        <w:t>41</w:t>
      </w:r>
      <w:r w:rsidRPr="00E568AC">
        <w:rPr>
          <w:sz w:val="20"/>
          <w:szCs w:val="20"/>
        </w:rPr>
        <w:t xml:space="preserve">. The female motif is retained in NB only in the helpful bird in the revisited paradise of white birds, O’Meara, </w:t>
      </w:r>
      <w:r w:rsidRPr="00E568AC">
        <w:rPr>
          <w:i/>
          <w:sz w:val="20"/>
          <w:szCs w:val="20"/>
        </w:rPr>
        <w:t>Saint Brendan</w:t>
      </w:r>
      <w:r w:rsidRPr="00E568AC">
        <w:rPr>
          <w:sz w:val="20"/>
          <w:szCs w:val="20"/>
        </w:rPr>
        <w:t>, v11, p.19, and Brendan’s men are put to sleep by soporific well water, O’Meara, ibid., p.32 v.13. The connection between women and birds is a universal Pre-Christian theme, for example, the Greek Harpies, bird women who stole the food of sailors, and the Sirens whose beautiful singing lured sailors onto the rocks.</w:t>
      </w:r>
    </w:p>
  </w:footnote>
  <w:footnote w:id="44">
    <w:p w14:paraId="3642F743" w14:textId="77777777" w:rsidR="002D0211" w:rsidRPr="00DF11E6" w:rsidRDefault="002D0211" w:rsidP="002555CA">
      <w:pPr>
        <w:pStyle w:val="FootnoteText"/>
      </w:pPr>
      <w:r>
        <w:rPr>
          <w:rStyle w:val="FootnoteReference"/>
        </w:rPr>
        <w:footnoteRef/>
      </w:r>
      <w:r>
        <w:t xml:space="preserve"> </w:t>
      </w:r>
      <w:r w:rsidRPr="008001B0">
        <w:t>Swans have often been perceived as birds of death</w:t>
      </w:r>
      <w:r w:rsidRPr="00683D62">
        <w:t>. Flocks of Whooper swans fly to Newgrange every winter (see fn 54 below)</w:t>
      </w:r>
      <w:r>
        <w:t xml:space="preserve">. </w:t>
      </w:r>
      <w:r w:rsidRPr="00683D62">
        <w:t>In the Life of Colum Chille we learn</w:t>
      </w:r>
      <w:r>
        <w:t xml:space="preserve"> that bird song was used as divination, as was the humming of bees, sneezing, tree branches and women; each represented an omen for journeys.</w:t>
      </w:r>
      <w:r w:rsidRPr="00DC2DD6">
        <w:t xml:space="preserve"> </w:t>
      </w:r>
      <w:r>
        <w:t xml:space="preserve">Borsje, </w:t>
      </w:r>
      <w:r w:rsidRPr="008001B0">
        <w:rPr>
          <w:i/>
        </w:rPr>
        <w:t>Celtic Spells</w:t>
      </w:r>
      <w:r>
        <w:t xml:space="preserve">, pp. 22-3. Stokes, </w:t>
      </w:r>
      <w:r w:rsidRPr="00943951">
        <w:rPr>
          <w:bCs/>
          <w:i/>
        </w:rPr>
        <w:t>Máel Dúin’s Boat</w:t>
      </w:r>
      <w:r w:rsidRPr="008001B0">
        <w:rPr>
          <w:bCs/>
          <w:i/>
          <w:color w:val="FF0000"/>
        </w:rPr>
        <w:t xml:space="preserve"> </w:t>
      </w:r>
      <w:r>
        <w:t xml:space="preserve">v.3; </w:t>
      </w:r>
      <w:r w:rsidRPr="00E755E4">
        <w:t xml:space="preserve">the ones </w:t>
      </w:r>
      <w:r>
        <w:t>who provide food, for example;</w:t>
      </w:r>
      <w:r w:rsidRPr="00E755E4">
        <w:t xml:space="preserve"> </w:t>
      </w:r>
      <w:r>
        <w:t>ibid., v.</w:t>
      </w:r>
      <w:r w:rsidRPr="00E755E4">
        <w:t>30: the episode of the bird that was renewed in 3 days by b</w:t>
      </w:r>
      <w:r>
        <w:t xml:space="preserve">eing pecked clean by two others, ibid., </w:t>
      </w:r>
      <w:r w:rsidRPr="00E755E4">
        <w:t>Stokes v 30</w:t>
      </w:r>
      <w:r>
        <w:t xml:space="preserve">; </w:t>
      </w:r>
      <w:r w:rsidRPr="00E755E4">
        <w:t xml:space="preserve"> Oskam</w:t>
      </w:r>
      <w:r w:rsidRPr="008001B0">
        <w:t>p</w:t>
      </w:r>
      <w:r w:rsidRPr="008001B0">
        <w:rPr>
          <w:i/>
          <w:szCs w:val="22"/>
        </w:rPr>
        <w:t xml:space="preserve"> The Voyage</w:t>
      </w:r>
      <w:r w:rsidRPr="008001B0">
        <w:rPr>
          <w:szCs w:val="22"/>
        </w:rPr>
        <w:t>, pp.</w:t>
      </w:r>
      <w:r w:rsidRPr="008001B0">
        <w:t>1</w:t>
      </w:r>
      <w:r w:rsidRPr="00E755E4">
        <w:t xml:space="preserve">63:30. The regenerating bird motif has </w:t>
      </w:r>
      <w:r>
        <w:t xml:space="preserve">parallels in classical and biblical myth and is a universal theme, found, </w:t>
      </w:r>
      <w:r w:rsidRPr="006600AD">
        <w:rPr>
          <w:sz w:val="18"/>
          <w:szCs w:val="18"/>
        </w:rPr>
        <w:t>for example</w:t>
      </w:r>
      <w:r>
        <w:rPr>
          <w:sz w:val="18"/>
          <w:szCs w:val="18"/>
        </w:rPr>
        <w:t>, in</w:t>
      </w:r>
      <w:r w:rsidRPr="006600AD">
        <w:rPr>
          <w:sz w:val="18"/>
          <w:szCs w:val="18"/>
        </w:rPr>
        <w:t xml:space="preserve"> the Anglo Saxon poem </w:t>
      </w:r>
      <w:r w:rsidRPr="006600AD">
        <w:rPr>
          <w:i/>
          <w:sz w:val="18"/>
          <w:szCs w:val="18"/>
        </w:rPr>
        <w:t>The Phoenix</w:t>
      </w:r>
      <w:r>
        <w:rPr>
          <w:sz w:val="18"/>
          <w:szCs w:val="18"/>
        </w:rPr>
        <w:t xml:space="preserve"> as noted by Carney &amp; Nutt &amp; cited in Mac Cana </w:t>
      </w:r>
      <w:r w:rsidRPr="008001B0">
        <w:rPr>
          <w:i/>
          <w:sz w:val="18"/>
          <w:szCs w:val="18"/>
        </w:rPr>
        <w:t>Mongan</w:t>
      </w:r>
      <w:r>
        <w:rPr>
          <w:sz w:val="18"/>
          <w:szCs w:val="18"/>
        </w:rPr>
        <w:t xml:space="preserve"> p.121, a</w:t>
      </w:r>
      <w:r w:rsidRPr="00791D35">
        <w:t xml:space="preserve">s being a source for MD in some form. Gimbutas, </w:t>
      </w:r>
      <w:r w:rsidRPr="00791D35">
        <w:rPr>
          <w:i/>
        </w:rPr>
        <w:t>The Goddesses</w:t>
      </w:r>
      <w:r w:rsidRPr="00791D35">
        <w:t xml:space="preserve">; eadem, </w:t>
      </w:r>
      <w:r w:rsidRPr="00791D35">
        <w:rPr>
          <w:i/>
        </w:rPr>
        <w:t>Language of the Goddess</w:t>
      </w:r>
      <w:r w:rsidRPr="00791D35">
        <w:t xml:space="preserve">; and Ross, </w:t>
      </w:r>
      <w:r w:rsidRPr="00791D35">
        <w:rPr>
          <w:i/>
        </w:rPr>
        <w:t>Pagan Celtic Britain</w:t>
      </w:r>
      <w:r w:rsidRPr="00791D35">
        <w:t>, p.302, have identified the close link between mother goddess cults and birds. Swallows, swans and doves, amongst others are said to be sacred to Aphrodite/Venus etc. An image depicting birds with a hor</w:t>
      </w:r>
      <w:r>
        <w:t xml:space="preserve">se representation can be seen in Thomson, ‘The </w:t>
      </w:r>
      <w:r w:rsidRPr="002555CA">
        <w:rPr>
          <w:i/>
        </w:rPr>
        <w:t>Mari Lwyd</w:t>
      </w:r>
      <w:r>
        <w:rPr>
          <w:i/>
        </w:rPr>
        <w:t xml:space="preserve">’ </w:t>
      </w:r>
      <w:r w:rsidRPr="008001B0">
        <w:t>pp.</w:t>
      </w:r>
      <w:r>
        <w:t>65-6.  Rhiannon’s birds, he says, are recognised as representative of liminal space. “They seem to represent the entering of the heroes in to a fairy world, associated with a mound, whose time passes differently.”ibid., p.66. W. Sayers,</w:t>
      </w:r>
      <w:r w:rsidRPr="003D6B3B">
        <w:rPr>
          <w:rFonts w:cs="Times"/>
          <w:bCs/>
          <w:spacing w:val="3"/>
        </w:rPr>
        <w:t xml:space="preserve"> ‘Netherworld and Otherworld in Early Irish Literature’, in </w:t>
      </w:r>
      <w:r w:rsidRPr="003D6B3B">
        <w:rPr>
          <w:rFonts w:cs="Times"/>
          <w:bCs/>
          <w:i/>
          <w:spacing w:val="3"/>
        </w:rPr>
        <w:t xml:space="preserve">Zeitschrift fur celtische Philologie </w:t>
      </w:r>
      <w:r w:rsidRPr="003D6B3B">
        <w:rPr>
          <w:rFonts w:cs="Times"/>
          <w:bCs/>
          <w:spacing w:val="3"/>
        </w:rPr>
        <w:t>59:</w:t>
      </w:r>
      <w:r w:rsidRPr="003D6B3B">
        <w:rPr>
          <w:rFonts w:cs="Times"/>
          <w:b/>
          <w:bCs/>
          <w:spacing w:val="3"/>
        </w:rPr>
        <w:t xml:space="preserve"> </w:t>
      </w:r>
      <w:r w:rsidRPr="003D6B3B">
        <w:rPr>
          <w:rFonts w:cs="Times"/>
          <w:bCs/>
          <w:spacing w:val="3"/>
        </w:rPr>
        <w:t>(2012) 210-230</w:t>
      </w:r>
      <w:r>
        <w:rPr>
          <w:rFonts w:cs="Times"/>
          <w:bCs/>
          <w:spacing w:val="3"/>
        </w:rPr>
        <w:t xml:space="preserve">, pp. </w:t>
      </w:r>
      <w:r>
        <w:t>204-5 and p. 215 also makes the connection between birds and Otherworld women.</w:t>
      </w:r>
    </w:p>
    <w:p w14:paraId="421492E4" w14:textId="77777777" w:rsidR="002D0211" w:rsidRDefault="002D0211" w:rsidP="002555CA">
      <w:pPr>
        <w:pStyle w:val="FootnoteText"/>
      </w:pPr>
    </w:p>
  </w:footnote>
  <w:footnote w:id="45">
    <w:p w14:paraId="2A540E98" w14:textId="77777777" w:rsidR="002D0211" w:rsidRDefault="002D0211" w:rsidP="00BC6177">
      <w:pPr>
        <w:pStyle w:val="FootnoteText"/>
      </w:pPr>
      <w:r>
        <w:rPr>
          <w:rStyle w:val="FootnoteReference"/>
        </w:rPr>
        <w:footnoteRef/>
      </w:r>
      <w:r>
        <w:t xml:space="preserve"> Overlaid with Christian meaning, and appearing in Brendan’s voyage too; </w:t>
      </w:r>
      <w:r w:rsidRPr="00E37D71">
        <w:t xml:space="preserve">O’Meara, </w:t>
      </w:r>
      <w:r w:rsidRPr="00E37D71">
        <w:rPr>
          <w:i/>
        </w:rPr>
        <w:t>Saint Brendan</w:t>
      </w:r>
      <w:r w:rsidRPr="00E37D71">
        <w:t>, v11 p</w:t>
      </w:r>
      <w:r>
        <w:t>.</w:t>
      </w:r>
      <w:r w:rsidRPr="00E37D71">
        <w:t xml:space="preserve">21. </w:t>
      </w:r>
      <w:r>
        <w:t xml:space="preserve">Here the translation in Stokes reads awkwardly, but in Oskamp, </w:t>
      </w:r>
      <w:r w:rsidRPr="00E37D71">
        <w:rPr>
          <w:i/>
        </w:rPr>
        <w:t>The Voyage</w:t>
      </w:r>
      <w:r>
        <w:rPr>
          <w:i/>
        </w:rPr>
        <w:t>,</w:t>
      </w:r>
      <w:r>
        <w:t xml:space="preserve"> v.18 p137-139 the verse reads: “They could hear a sound in the north over the ocean – a valiant covenant – but it was obscure, like the sound of the melodious choirs”. There are also singing birds in IB in Kuno,</w:t>
      </w:r>
      <w:r w:rsidRPr="00816D0A">
        <w:rPr>
          <w:i/>
        </w:rPr>
        <w:t xml:space="preserve"> Immram Brain</w:t>
      </w:r>
      <w:r>
        <w:t>, v. 7 and v. 20.</w:t>
      </w:r>
    </w:p>
  </w:footnote>
  <w:footnote w:id="46">
    <w:p w14:paraId="75C0A7EB" w14:textId="77777777" w:rsidR="002D0211" w:rsidRPr="00FB3225" w:rsidRDefault="002D0211" w:rsidP="00A27AE0">
      <w:pPr>
        <w:shd w:val="clear" w:color="auto" w:fill="FFFFFF"/>
        <w:spacing w:line="240" w:lineRule="auto"/>
        <w:rPr>
          <w:sz w:val="20"/>
          <w:szCs w:val="20"/>
        </w:rPr>
      </w:pPr>
      <w:r>
        <w:rPr>
          <w:rStyle w:val="FootnoteReference"/>
        </w:rPr>
        <w:footnoteRef/>
      </w:r>
      <w:r w:rsidRPr="00FB3225">
        <w:rPr>
          <w:sz w:val="20"/>
          <w:szCs w:val="20"/>
        </w:rPr>
        <w:t xml:space="preserve"> McCana, </w:t>
      </w:r>
      <w:r w:rsidRPr="00FB3225">
        <w:rPr>
          <w:i/>
          <w:sz w:val="20"/>
          <w:szCs w:val="20"/>
        </w:rPr>
        <w:t>Mongan</w:t>
      </w:r>
      <w:r w:rsidRPr="00FB3225">
        <w:rPr>
          <w:sz w:val="20"/>
          <w:szCs w:val="20"/>
        </w:rPr>
        <w:t>, p.23, whilst accepting the Anglo-Saxon provenance in MD of certain bird themes, bel</w:t>
      </w:r>
      <w:r w:rsidRPr="00A27AE0">
        <w:rPr>
          <w:sz w:val="20"/>
          <w:szCs w:val="20"/>
        </w:rPr>
        <w:t xml:space="preserve">ieved the singing birds to belong to native tradition. Sioned Davies, in her explanatory notes to the Mabinogion, </w:t>
      </w:r>
      <w:r w:rsidRPr="00A27AE0">
        <w:rPr>
          <w:bCs/>
          <w:i/>
          <w:sz w:val="20"/>
          <w:szCs w:val="20"/>
        </w:rPr>
        <w:t xml:space="preserve">The Mabinogion, </w:t>
      </w:r>
      <w:r w:rsidRPr="00A27AE0">
        <w:rPr>
          <w:bCs/>
          <w:sz w:val="20"/>
          <w:szCs w:val="20"/>
        </w:rPr>
        <w:t>trans. S. Davies, (Oxford, Oxford University Press, 2007), p.</w:t>
      </w:r>
      <w:r w:rsidRPr="00A27AE0">
        <w:rPr>
          <w:sz w:val="20"/>
          <w:szCs w:val="20"/>
        </w:rPr>
        <w:t xml:space="preserve">236, hints at the possibility that Bran’s faithful retainers, who sat at Harlech with Bran’s head for 7 years listening to Rhiannon’s birds singing in the west, may have been in the Otherworld.  In the Mabinogion it is Rhiannon’s singing birds who lull the living to sleep, ibid., Davies pp.32-34, 196; and Mac Oc has his singing birds, Ross, </w:t>
      </w:r>
      <w:r w:rsidRPr="00A27AE0">
        <w:rPr>
          <w:i/>
          <w:sz w:val="20"/>
          <w:szCs w:val="20"/>
        </w:rPr>
        <w:t>Pagan Celtic Britiain</w:t>
      </w:r>
      <w:r w:rsidRPr="00A27AE0">
        <w:rPr>
          <w:sz w:val="20"/>
          <w:szCs w:val="20"/>
        </w:rPr>
        <w:t xml:space="preserve"> p.305.</w:t>
      </w:r>
      <w:r w:rsidRPr="00A27AE0">
        <w:rPr>
          <w:color w:val="FF0000"/>
          <w:sz w:val="20"/>
          <w:szCs w:val="20"/>
        </w:rPr>
        <w:t xml:space="preserve"> </w:t>
      </w:r>
      <w:r w:rsidRPr="00A27AE0">
        <w:rPr>
          <w:sz w:val="20"/>
          <w:szCs w:val="20"/>
        </w:rPr>
        <w:t xml:space="preserve"> Triad 32 gives us Gwendollau’s fearsome birds; Rachel Bromwich,</w:t>
      </w:r>
      <w:r w:rsidRPr="00A27AE0">
        <w:rPr>
          <w:bCs/>
          <w:i/>
          <w:sz w:val="20"/>
          <w:szCs w:val="20"/>
        </w:rPr>
        <w:t xml:space="preserve"> Trioedd Ynys Prydein: The Triads of the Island of Britain, </w:t>
      </w:r>
      <w:r w:rsidRPr="00A27AE0">
        <w:rPr>
          <w:bCs/>
          <w:sz w:val="20"/>
          <w:szCs w:val="20"/>
        </w:rPr>
        <w:t>Bromwich, R., 4</w:t>
      </w:r>
      <w:r w:rsidRPr="00A27AE0">
        <w:rPr>
          <w:bCs/>
          <w:sz w:val="20"/>
          <w:szCs w:val="20"/>
          <w:vertAlign w:val="superscript"/>
        </w:rPr>
        <w:t>th</w:t>
      </w:r>
      <w:r w:rsidRPr="00A27AE0">
        <w:rPr>
          <w:bCs/>
          <w:sz w:val="20"/>
          <w:szCs w:val="20"/>
        </w:rPr>
        <w:t xml:space="preserve"> edn, (Cardiff: University of Wales Press, 2014), p.</w:t>
      </w:r>
      <w:r w:rsidRPr="00A27AE0">
        <w:rPr>
          <w:sz w:val="20"/>
          <w:szCs w:val="20"/>
        </w:rPr>
        <w:t xml:space="preserve">72;  ibid., Bromwich, The Triads, p.74, refers to birds in Irish myth and tales of enchanted pairs of humans, bound by gold and silver chains, and King Caibre Nia Fer of Tara is rid of noisome birds by his druid Becnia, a story from the Dindenschas, Bonwick, J., </w:t>
      </w:r>
      <w:r w:rsidRPr="00A27AE0">
        <w:rPr>
          <w:i/>
          <w:sz w:val="20"/>
          <w:szCs w:val="20"/>
        </w:rPr>
        <w:t>Irish Druids and Old Irish Religions,</w:t>
      </w:r>
      <w:r w:rsidRPr="00A27AE0">
        <w:rPr>
          <w:sz w:val="20"/>
          <w:szCs w:val="20"/>
        </w:rPr>
        <w:t xml:space="preserve"> (London: Griffin, Farran, 1894), available at  </w:t>
      </w:r>
      <w:hyperlink r:id="rId13" w:history="1">
        <w:r w:rsidRPr="00A27AE0">
          <w:rPr>
            <w:rStyle w:val="Hyperlink"/>
            <w:sz w:val="20"/>
            <w:szCs w:val="20"/>
          </w:rPr>
          <w:t>http://www.sacred-texts.com/pag/idr/index.htm</w:t>
        </w:r>
      </w:hyperlink>
      <w:r w:rsidRPr="00A27AE0">
        <w:rPr>
          <w:sz w:val="20"/>
          <w:szCs w:val="20"/>
        </w:rPr>
        <w:t xml:space="preserve">  &lt;Accessed 4 April 2018&gt;.The singing birds motif appears as  a more coherent theme in the 9</w:t>
      </w:r>
      <w:r w:rsidRPr="00A27AE0">
        <w:rPr>
          <w:sz w:val="20"/>
          <w:szCs w:val="20"/>
          <w:vertAlign w:val="superscript"/>
        </w:rPr>
        <w:t>th</w:t>
      </w:r>
      <w:r w:rsidRPr="00A27AE0">
        <w:rPr>
          <w:sz w:val="20"/>
          <w:szCs w:val="20"/>
        </w:rPr>
        <w:t xml:space="preserve"> century </w:t>
      </w:r>
      <w:r w:rsidRPr="00A27AE0">
        <w:rPr>
          <w:i/>
          <w:sz w:val="20"/>
          <w:szCs w:val="20"/>
        </w:rPr>
        <w:t>Tadhg mac Céin</w:t>
      </w:r>
      <w:r w:rsidRPr="00A27AE0">
        <w:rPr>
          <w:sz w:val="20"/>
          <w:szCs w:val="20"/>
        </w:rPr>
        <w:t xml:space="preserve"> where the birds belong to Clíd</w:t>
      </w:r>
      <w:r w:rsidRPr="00FB3225">
        <w:rPr>
          <w:sz w:val="20"/>
          <w:szCs w:val="20"/>
        </w:rPr>
        <w:t>na, an Otherworld woman, they are brightly coloured and sing healing music. Though its extant written forms are perhaps later than MD, I would argue they draw on the same source. Clídna’s birds live on an is</w:t>
      </w:r>
      <w:r>
        <w:rPr>
          <w:sz w:val="20"/>
          <w:szCs w:val="20"/>
        </w:rPr>
        <w:t xml:space="preserve">land with large purple berries , </w:t>
      </w:r>
      <w:r w:rsidRPr="00FB3225">
        <w:rPr>
          <w:sz w:val="20"/>
          <w:szCs w:val="20"/>
        </w:rPr>
        <w:t xml:space="preserve">Ross, </w:t>
      </w:r>
      <w:r w:rsidRPr="00A27AE0">
        <w:rPr>
          <w:i/>
          <w:sz w:val="20"/>
          <w:szCs w:val="20"/>
        </w:rPr>
        <w:t>Pagan Celtic Britain</w:t>
      </w:r>
      <w:r>
        <w:rPr>
          <w:sz w:val="20"/>
          <w:szCs w:val="20"/>
        </w:rPr>
        <w:t>, p.</w:t>
      </w:r>
      <w:r w:rsidRPr="00FB3225">
        <w:rPr>
          <w:sz w:val="20"/>
          <w:szCs w:val="20"/>
        </w:rPr>
        <w:t xml:space="preserve">339, as are found in both NB </w:t>
      </w:r>
      <w:r>
        <w:rPr>
          <w:sz w:val="20"/>
          <w:szCs w:val="20"/>
        </w:rPr>
        <w:t xml:space="preserve">and MD as a separate episode. </w:t>
      </w:r>
    </w:p>
  </w:footnote>
  <w:footnote w:id="47">
    <w:p w14:paraId="7AF6E63E" w14:textId="77777777" w:rsidR="002D0211" w:rsidRDefault="002D0211" w:rsidP="00FB3225">
      <w:pPr>
        <w:pStyle w:val="FootnoteText"/>
      </w:pPr>
      <w:r w:rsidRPr="00FB3225">
        <w:rPr>
          <w:rStyle w:val="FootnoteReference"/>
        </w:rPr>
        <w:footnoteRef/>
      </w:r>
      <w:r>
        <w:t xml:space="preserve">  If there were a local mythology, connected to the seasons, common to the</w:t>
      </w:r>
      <w:r w:rsidRPr="000832C5">
        <w:t xml:space="preserve"> peoples of the Irish Sea</w:t>
      </w:r>
      <w:r>
        <w:t>; islands and coasts</w:t>
      </w:r>
      <w:r w:rsidRPr="000832C5">
        <w:t>, then references to birds at Newgrange</w:t>
      </w:r>
      <w:r>
        <w:t xml:space="preserve"> </w:t>
      </w:r>
      <w:r w:rsidRPr="000832C5">
        <w:t>in the winter, singing birds that could be heard in Harlech, might have formed part of it.</w:t>
      </w:r>
      <w:r>
        <w:t xml:space="preserve"> O’Cathasiagh, </w:t>
      </w:r>
      <w:r w:rsidRPr="00CF354B">
        <w:rPr>
          <w:i/>
        </w:rPr>
        <w:t>Coire Sois</w:t>
      </w:r>
      <w:r>
        <w:t xml:space="preserve">, pp. 7-8, 52-58, and 347 gives many instances where birds in myth are connected to the Boyne in such a way as to suggest such a hypothesis might be worth exploring.  </w:t>
      </w:r>
      <w:r w:rsidRPr="00CF354B">
        <w:t xml:space="preserve">Anthony Murphy, The Cygnus Enigma, Mythical Ireland.com. Available: </w:t>
      </w:r>
      <w:hyperlink r:id="rId14" w:history="1">
        <w:r w:rsidRPr="00CF354B">
          <w:rPr>
            <w:rStyle w:val="Hyperlink"/>
          </w:rPr>
          <w:t>https://mythicalireland.com/astronomy/the-cygnus-enigma/</w:t>
        </w:r>
      </w:hyperlink>
      <w:r w:rsidRPr="00CF354B">
        <w:t xml:space="preserve"> &lt;Accessed300318&gt;  speculates on the phenomena of large numbers of whooper swans who migrate from Iceland and fly into Newgrange every Winter being the basis for sky myths such as the tale of Oengus mac In Og  and Caer Ibermeith.  Swallows,</w:t>
      </w:r>
      <w:r>
        <w:t xml:space="preserve"> </w:t>
      </w:r>
      <w:r w:rsidRPr="00CF354B">
        <w:t>sacred to the universal goddess of love, return to the Llyn Pennisula every spring. [Thanks to my partner, Ben Chadwick, who grew up there, for this observation.]</w:t>
      </w:r>
    </w:p>
  </w:footnote>
  <w:footnote w:id="48">
    <w:p w14:paraId="6CEBCCBC" w14:textId="77777777" w:rsidR="002D0211" w:rsidRDefault="002D0211" w:rsidP="00752F85">
      <w:pPr>
        <w:pStyle w:val="FootnoteText"/>
      </w:pPr>
      <w:r>
        <w:rPr>
          <w:rStyle w:val="FootnoteReference"/>
        </w:rPr>
        <w:footnoteRef/>
      </w:r>
      <w:r>
        <w:t xml:space="preserve"> Stokes, </w:t>
      </w:r>
      <w:r w:rsidRPr="00943951">
        <w:rPr>
          <w:bCs/>
          <w:i/>
        </w:rPr>
        <w:t>Máel Dúin’s Boat</w:t>
      </w:r>
      <w:r>
        <w:rPr>
          <w:bCs/>
          <w:i/>
        </w:rPr>
        <w:t xml:space="preserve">, </w:t>
      </w:r>
      <w:r>
        <w:t xml:space="preserve"> v.18</w:t>
      </w:r>
    </w:p>
  </w:footnote>
  <w:footnote w:id="49">
    <w:p w14:paraId="2D1A3E03" w14:textId="77777777" w:rsidR="002D0211" w:rsidRPr="00904A66" w:rsidRDefault="002D0211" w:rsidP="007F2CD0">
      <w:pPr>
        <w:pStyle w:val="FootnoteText"/>
      </w:pPr>
      <w:r w:rsidRPr="00A54122">
        <w:rPr>
          <w:rStyle w:val="FootnoteReference"/>
        </w:rPr>
        <w:footnoteRef/>
      </w:r>
      <w:r w:rsidRPr="00A54122">
        <w:t xml:space="preserve"> </w:t>
      </w:r>
      <w:r w:rsidRPr="003233AC">
        <w:rPr>
          <w:shd w:val="clear" w:color="auto" w:fill="FFFFFF"/>
        </w:rPr>
        <w:t>The electronic Dictionary of the Irish Language (The Royal Irish Academy, 2013) [Online:</w:t>
      </w:r>
      <w:r w:rsidRPr="00A54122">
        <w:rPr>
          <w:color w:val="333333"/>
          <w:shd w:val="clear" w:color="auto" w:fill="FFFFFF"/>
        </w:rPr>
        <w:t xml:space="preserve"> </w:t>
      </w:r>
      <w:r w:rsidRPr="00A54122">
        <w:t xml:space="preserve"> </w:t>
      </w:r>
      <w:hyperlink r:id="rId15" w:history="1">
        <w:r w:rsidRPr="00092458">
          <w:rPr>
            <w:rStyle w:val="Hyperlink"/>
          </w:rPr>
          <w:t>http://www.dil.ie/6807</w:t>
        </w:r>
      </w:hyperlink>
      <w:r w:rsidRPr="00A54122">
        <w:rPr>
          <w:color w:val="FF0000"/>
        </w:rPr>
        <w:t xml:space="preserve"> </w:t>
      </w:r>
      <w:r w:rsidRPr="003233AC">
        <w:t>]</w:t>
      </w:r>
      <w:r w:rsidRPr="00A54122">
        <w:rPr>
          <w:color w:val="FF0000"/>
        </w:rPr>
        <w:t xml:space="preserve"> </w:t>
      </w:r>
      <w:r w:rsidRPr="00A54122">
        <w:t>&lt;Accessed 290318&gt;</w:t>
      </w:r>
      <w:r>
        <w:t xml:space="preserve">. Bran can also refer to a raven or crow.  MacCana, ‘Prehistory of </w:t>
      </w:r>
      <w:r w:rsidRPr="003233AC">
        <w:rPr>
          <w:i/>
        </w:rPr>
        <w:t>Immram Brain</w:t>
      </w:r>
      <w:r>
        <w:rPr>
          <w:i/>
        </w:rPr>
        <w:t>’ p.</w:t>
      </w:r>
      <w:r>
        <w:t xml:space="preserve">49. </w:t>
      </w:r>
      <w:r>
        <w:rPr>
          <w:color w:val="FF0000"/>
        </w:rPr>
        <w:t xml:space="preserve"> </w:t>
      </w:r>
      <w:r>
        <w:t xml:space="preserve">Episodes of corvids as symbols and omens are common in Irish myth, e.g. Cuchallain and the raven in the Ulster Cycle.  The author’s contrasting categories theme Johnston refers to in </w:t>
      </w:r>
      <w:r w:rsidRPr="003233AC">
        <w:rPr>
          <w:i/>
        </w:rPr>
        <w:t>A Sailor on t</w:t>
      </w:r>
      <w:r>
        <w:rPr>
          <w:i/>
        </w:rPr>
        <w:t xml:space="preserve">he </w:t>
      </w:r>
      <w:r w:rsidRPr="003233AC">
        <w:rPr>
          <w:i/>
        </w:rPr>
        <w:t>Seas of Faith</w:t>
      </w:r>
      <w:r>
        <w:rPr>
          <w:i/>
        </w:rPr>
        <w:t>,</w:t>
      </w:r>
      <w:r>
        <w:t xml:space="preserve"> </w:t>
      </w:r>
      <w:r w:rsidRPr="00F6556F">
        <w:t xml:space="preserve">See </w:t>
      </w:r>
      <w:r w:rsidRPr="006C2584">
        <w:t>fn 39</w:t>
      </w:r>
      <w:r w:rsidRPr="00F6556F">
        <w:t xml:space="preserve"> above</w:t>
      </w:r>
      <w:r>
        <w:t xml:space="preserve">, has an isle of misery [v15], later an isle of joy [v 31], and black with white sheep in [v 12]. Could the black birds here be part of that imagery? Johnston, ibid., p.7, citing Stokes, </w:t>
      </w:r>
      <w:r w:rsidRPr="00943951">
        <w:rPr>
          <w:bCs/>
          <w:i/>
        </w:rPr>
        <w:t>Máel Dúin’s Boat</w:t>
      </w:r>
      <w:r>
        <w:rPr>
          <w:bCs/>
          <w:i/>
        </w:rPr>
        <w:t xml:space="preserve"> p.</w:t>
      </w:r>
      <w:r>
        <w:t xml:space="preserve">449;and Oskamp, </w:t>
      </w:r>
      <w:r w:rsidRPr="007A5DEA">
        <w:rPr>
          <w:i/>
        </w:rPr>
        <w:t>The Voyage</w:t>
      </w:r>
      <w:r>
        <w:t xml:space="preserve"> p.51, says Briccne may well refer to a similar character in the Ulster Cycle; Bricriu.</w:t>
      </w:r>
    </w:p>
  </w:footnote>
  <w:footnote w:id="50">
    <w:p w14:paraId="62C9BA5A" w14:textId="77777777" w:rsidR="002D0211" w:rsidRPr="001F51AF" w:rsidRDefault="002D0211" w:rsidP="001F51AF">
      <w:pPr>
        <w:spacing w:line="240" w:lineRule="auto"/>
        <w:rPr>
          <w:sz w:val="20"/>
          <w:szCs w:val="20"/>
        </w:rPr>
      </w:pPr>
      <w:r>
        <w:rPr>
          <w:rStyle w:val="FootnoteReference"/>
        </w:rPr>
        <w:footnoteRef/>
      </w:r>
      <w:r>
        <w:t xml:space="preserve"> </w:t>
      </w:r>
      <w:r w:rsidRPr="003D22CB">
        <w:rPr>
          <w:sz w:val="20"/>
          <w:szCs w:val="20"/>
        </w:rPr>
        <w:t>C. Strijbosch,</w:t>
      </w:r>
      <w:r>
        <w:rPr>
          <w:sz w:val="20"/>
          <w:szCs w:val="20"/>
        </w:rPr>
        <w:t xml:space="preserve"> trans. T. Summerfield,</w:t>
      </w:r>
      <w:r w:rsidRPr="003D22CB">
        <w:rPr>
          <w:sz w:val="20"/>
          <w:szCs w:val="20"/>
        </w:rPr>
        <w:t xml:space="preserve"> </w:t>
      </w:r>
      <w:r w:rsidRPr="003D22CB">
        <w:rPr>
          <w:i/>
          <w:sz w:val="20"/>
          <w:szCs w:val="20"/>
        </w:rPr>
        <w:t>The Seafaring Saint</w:t>
      </w:r>
      <w:r>
        <w:rPr>
          <w:i/>
          <w:sz w:val="20"/>
          <w:szCs w:val="20"/>
        </w:rPr>
        <w:t xml:space="preserve">, </w:t>
      </w:r>
      <w:r>
        <w:rPr>
          <w:sz w:val="20"/>
          <w:szCs w:val="20"/>
        </w:rPr>
        <w:t xml:space="preserve">(Dublin: Four Courts Press, 2000), p.215. </w:t>
      </w:r>
      <w:r w:rsidRPr="00F671B2">
        <w:rPr>
          <w:sz w:val="20"/>
          <w:szCs w:val="20"/>
        </w:rPr>
        <w:t>There were Irish settlements in both the West of Wales and mainland Ireland, as well as in southern Scotland and SW England from around the 4-5</w:t>
      </w:r>
      <w:r w:rsidRPr="00F671B2">
        <w:rPr>
          <w:sz w:val="20"/>
          <w:szCs w:val="20"/>
          <w:vertAlign w:val="superscript"/>
        </w:rPr>
        <w:t>th</w:t>
      </w:r>
      <w:r w:rsidRPr="00F671B2">
        <w:rPr>
          <w:sz w:val="20"/>
          <w:szCs w:val="20"/>
        </w:rPr>
        <w:t xml:space="preserve"> centuries and certainly by the 6</w:t>
      </w:r>
      <w:r w:rsidRPr="00F671B2">
        <w:rPr>
          <w:sz w:val="20"/>
          <w:szCs w:val="20"/>
          <w:vertAlign w:val="superscript"/>
        </w:rPr>
        <w:t>th</w:t>
      </w:r>
      <w:r w:rsidRPr="00F671B2">
        <w:rPr>
          <w:sz w:val="20"/>
          <w:szCs w:val="20"/>
        </w:rPr>
        <w:t xml:space="preserve">. By the time the Vikings came and invaded the Isle of Man, causing the ruling British dynasty to flee to Gwynedd, tales of the older tradition were “old and muddled.” Charles Edwards, </w:t>
      </w:r>
      <w:r w:rsidRPr="00F671B2">
        <w:rPr>
          <w:sz w:val="20"/>
          <w:szCs w:val="20"/>
          <w:shd w:val="clear" w:color="auto" w:fill="FFFFFF"/>
        </w:rPr>
        <w:t xml:space="preserve">Charles-Edwards, T.M., </w:t>
      </w:r>
      <w:r w:rsidRPr="00F671B2">
        <w:rPr>
          <w:i/>
          <w:sz w:val="20"/>
          <w:szCs w:val="20"/>
          <w:shd w:val="clear" w:color="auto" w:fill="FFFFFF"/>
        </w:rPr>
        <w:t xml:space="preserve">Early Christian Ireland, </w:t>
      </w:r>
      <w:r w:rsidRPr="001F51AF">
        <w:rPr>
          <w:sz w:val="20"/>
          <w:szCs w:val="20"/>
          <w:shd w:val="clear" w:color="auto" w:fill="FFFFFF"/>
        </w:rPr>
        <w:t xml:space="preserve">(Cambridge: Cambridge University Press, 2000), pp. </w:t>
      </w:r>
      <w:r w:rsidRPr="001F51AF">
        <w:rPr>
          <w:sz w:val="20"/>
          <w:szCs w:val="20"/>
        </w:rPr>
        <w:t>160-164, 598.</w:t>
      </w:r>
    </w:p>
  </w:footnote>
  <w:footnote w:id="51">
    <w:p w14:paraId="6FFEF08D" w14:textId="77777777" w:rsidR="002D0211" w:rsidRPr="001F51AF" w:rsidRDefault="002D0211" w:rsidP="001F51AF">
      <w:pPr>
        <w:shd w:val="clear" w:color="auto" w:fill="FEFDFA"/>
        <w:spacing w:line="240" w:lineRule="auto"/>
        <w:rPr>
          <w:sz w:val="20"/>
          <w:szCs w:val="20"/>
        </w:rPr>
      </w:pPr>
      <w:r w:rsidRPr="001F51AF">
        <w:rPr>
          <w:rStyle w:val="FootnoteReference"/>
          <w:sz w:val="20"/>
          <w:szCs w:val="20"/>
        </w:rPr>
        <w:footnoteRef/>
      </w:r>
      <w:r w:rsidRPr="001F51AF">
        <w:rPr>
          <w:sz w:val="20"/>
          <w:szCs w:val="20"/>
        </w:rPr>
        <w:t xml:space="preserve"> Caitlin Matthews, </w:t>
      </w:r>
      <w:r w:rsidRPr="001F51AF">
        <w:rPr>
          <w:rStyle w:val="exlavailabilitycallnumber"/>
          <w:rFonts w:cs="Arial"/>
          <w:i/>
          <w:sz w:val="20"/>
          <w:szCs w:val="20"/>
          <w:bdr w:val="none" w:sz="0" w:space="0" w:color="auto" w:frame="1"/>
        </w:rPr>
        <w:t>The Celtic Book of the Dead: A Guide for your Voyage to the Celtic Otherworld</w:t>
      </w:r>
      <w:r w:rsidRPr="001F51AF">
        <w:rPr>
          <w:rStyle w:val="exlavailabilitycallnumber"/>
          <w:rFonts w:cs="Arial"/>
          <w:sz w:val="20"/>
          <w:szCs w:val="20"/>
          <w:bdr w:val="none" w:sz="0" w:space="0" w:color="auto" w:frame="1"/>
        </w:rPr>
        <w:t xml:space="preserve"> (New York: St Martin’s Press, 1992),</w:t>
      </w:r>
      <w:r w:rsidRPr="001F51AF">
        <w:rPr>
          <w:sz w:val="20"/>
          <w:szCs w:val="20"/>
        </w:rPr>
        <w:t xml:space="preserve"> considers  MD to be a ‘Celtic Book of the Dead’</w:t>
      </w:r>
    </w:p>
  </w:footnote>
  <w:footnote w:id="52">
    <w:p w14:paraId="225F339B" w14:textId="77777777" w:rsidR="002D0211" w:rsidRDefault="002D0211" w:rsidP="00B4531A">
      <w:pPr>
        <w:pStyle w:val="Default"/>
      </w:pPr>
      <w:r w:rsidRPr="001F51AF">
        <w:rPr>
          <w:rStyle w:val="FootnoteReference"/>
          <w:sz w:val="20"/>
          <w:szCs w:val="20"/>
        </w:rPr>
        <w:footnoteRef/>
      </w:r>
      <w:r w:rsidRPr="001F51AF">
        <w:rPr>
          <w:sz w:val="20"/>
          <w:szCs w:val="20"/>
        </w:rPr>
        <w:t xml:space="preserve"> </w:t>
      </w:r>
      <w:r w:rsidRPr="00B4531A">
        <w:rPr>
          <w:rFonts w:asciiTheme="minorHAnsi" w:hAnsiTheme="minorHAnsi"/>
          <w:sz w:val="20"/>
          <w:szCs w:val="20"/>
        </w:rPr>
        <w:t>“it is not easy to distinguish a Celt from someone with another background: but the Celt’s verbal virtuosity, his music and</w:t>
      </w:r>
      <w:r w:rsidRPr="00B4531A">
        <w:rPr>
          <w:rFonts w:asciiTheme="minorHAnsi" w:hAnsiTheme="minorHAnsi"/>
          <w:i/>
          <w:sz w:val="20"/>
          <w:szCs w:val="20"/>
        </w:rPr>
        <w:t xml:space="preserve"> his love of Nature</w:t>
      </w:r>
      <w:r w:rsidRPr="00B4531A">
        <w:rPr>
          <w:rFonts w:asciiTheme="minorHAnsi" w:hAnsiTheme="minorHAnsi"/>
          <w:sz w:val="20"/>
          <w:szCs w:val="20"/>
        </w:rPr>
        <w:t xml:space="preserve"> set him apart in art at least” Mark Sorley, in </w:t>
      </w:r>
      <w:r w:rsidRPr="00B4531A">
        <w:rPr>
          <w:rFonts w:asciiTheme="minorHAnsi" w:hAnsiTheme="minorHAnsi"/>
          <w:color w:val="auto"/>
          <w:sz w:val="20"/>
          <w:szCs w:val="20"/>
        </w:rPr>
        <w:t xml:space="preserve">Black, R., Gillies, W., &amp; O’Maolaiagh, R., eds, </w:t>
      </w:r>
      <w:r w:rsidRPr="00B4531A">
        <w:rPr>
          <w:rFonts w:asciiTheme="minorHAnsi" w:hAnsiTheme="minorHAnsi"/>
          <w:i/>
          <w:color w:val="auto"/>
          <w:sz w:val="20"/>
          <w:szCs w:val="20"/>
        </w:rPr>
        <w:t xml:space="preserve">Celtic Connections: Proceedings of the Tenth International Congress of Celtic Studies, </w:t>
      </w:r>
      <w:r w:rsidRPr="00B4531A">
        <w:rPr>
          <w:rFonts w:asciiTheme="minorHAnsi" w:hAnsiTheme="minorHAnsi"/>
          <w:color w:val="auto"/>
          <w:sz w:val="20"/>
          <w:szCs w:val="20"/>
        </w:rPr>
        <w:t>1, (East Linton: Tuckwell Press, 1999) 82-90, p.</w:t>
      </w:r>
      <w:r w:rsidRPr="00B4531A">
        <w:rPr>
          <w:rFonts w:asciiTheme="minorHAnsi" w:hAnsiTheme="minorHAnsi"/>
          <w:sz w:val="20"/>
          <w:szCs w:val="20"/>
        </w:rPr>
        <w:t xml:space="preserve"> xxi.  O’Meara &amp; Wooding</w:t>
      </w:r>
      <w:r>
        <w:rPr>
          <w:rFonts w:asciiTheme="minorHAnsi" w:hAnsiTheme="minorHAnsi"/>
          <w:sz w:val="20"/>
          <w:szCs w:val="20"/>
        </w:rPr>
        <w:t xml:space="preserve">, </w:t>
      </w:r>
      <w:r w:rsidRPr="00B4531A">
        <w:rPr>
          <w:rFonts w:asciiTheme="minorHAnsi" w:hAnsiTheme="minorHAnsi"/>
          <w:i/>
          <w:sz w:val="20"/>
          <w:szCs w:val="20"/>
        </w:rPr>
        <w:t>The Latin Version</w:t>
      </w:r>
      <w:r>
        <w:rPr>
          <w:rFonts w:asciiTheme="minorHAnsi" w:hAnsiTheme="minorHAnsi"/>
          <w:sz w:val="20"/>
          <w:szCs w:val="20"/>
        </w:rPr>
        <w:t xml:space="preserve">,pp. </w:t>
      </w:r>
      <w:r w:rsidRPr="00B4531A">
        <w:rPr>
          <w:rFonts w:asciiTheme="minorHAnsi" w:hAnsiTheme="minorHAnsi"/>
          <w:sz w:val="20"/>
          <w:szCs w:val="20"/>
        </w:rPr>
        <w:t xml:space="preserve">21 </w:t>
      </w:r>
      <w:r>
        <w:rPr>
          <w:rFonts w:asciiTheme="minorHAnsi" w:hAnsiTheme="minorHAnsi"/>
          <w:sz w:val="20"/>
          <w:szCs w:val="20"/>
        </w:rPr>
        <w:t xml:space="preserve">and </w:t>
      </w:r>
      <w:r w:rsidRPr="00B4531A">
        <w:rPr>
          <w:rFonts w:asciiTheme="minorHAnsi" w:hAnsiTheme="minorHAnsi"/>
          <w:sz w:val="20"/>
          <w:szCs w:val="20"/>
        </w:rPr>
        <w:t>24</w:t>
      </w:r>
      <w:r>
        <w:rPr>
          <w:rFonts w:asciiTheme="minorHAnsi" w:hAnsiTheme="minorHAnsi"/>
          <w:sz w:val="20"/>
          <w:szCs w:val="20"/>
        </w:rPr>
        <w:t>,</w:t>
      </w:r>
      <w:r w:rsidRPr="00B4531A">
        <w:rPr>
          <w:rFonts w:asciiTheme="minorHAnsi" w:hAnsiTheme="minorHAnsi"/>
          <w:sz w:val="20"/>
          <w:szCs w:val="20"/>
        </w:rPr>
        <w:t xml:space="preserve"> discuss the theme of rebirth and the cyclical nature of the </w:t>
      </w:r>
      <w:r w:rsidRPr="00B4531A">
        <w:rPr>
          <w:rFonts w:asciiTheme="minorHAnsi" w:hAnsiTheme="minorHAnsi"/>
          <w:i/>
          <w:sz w:val="20"/>
          <w:szCs w:val="20"/>
        </w:rPr>
        <w:t>immrama</w:t>
      </w:r>
      <w:r w:rsidRPr="00B4531A">
        <w:rPr>
          <w:rFonts w:asciiTheme="minorHAnsi" w:hAnsiTheme="minorHAnsi"/>
          <w:sz w:val="20"/>
          <w:szCs w:val="20"/>
        </w:rPr>
        <w:t>. For Wooding</w:t>
      </w:r>
      <w:r>
        <w:rPr>
          <w:rFonts w:asciiTheme="minorHAnsi" w:hAnsiTheme="minorHAnsi"/>
          <w:sz w:val="20"/>
          <w:szCs w:val="20"/>
        </w:rPr>
        <w:t xml:space="preserve">, </w:t>
      </w:r>
      <w:r w:rsidRPr="00B4531A">
        <w:rPr>
          <w:rFonts w:asciiTheme="minorHAnsi" w:hAnsiTheme="minorHAnsi"/>
          <w:i/>
          <w:sz w:val="20"/>
          <w:szCs w:val="20"/>
        </w:rPr>
        <w:t>The Otherworld Voyage</w:t>
      </w:r>
      <w:r>
        <w:rPr>
          <w:rFonts w:asciiTheme="minorHAnsi" w:hAnsiTheme="minorHAnsi"/>
          <w:sz w:val="20"/>
          <w:szCs w:val="20"/>
        </w:rPr>
        <w:t>, p.</w:t>
      </w:r>
      <w:r w:rsidRPr="00B4531A">
        <w:rPr>
          <w:rFonts w:asciiTheme="minorHAnsi" w:hAnsiTheme="minorHAnsi"/>
          <w:sz w:val="20"/>
          <w:szCs w:val="20"/>
        </w:rPr>
        <w:t xml:space="preserve">xiv “If all the elements need not necessarily be of Christian origin it is necessary to understand them nonetheless as products of a Christian </w:t>
      </w:r>
      <w:r w:rsidRPr="00B4531A">
        <w:rPr>
          <w:rFonts w:asciiTheme="minorHAnsi" w:hAnsiTheme="minorHAnsi"/>
          <w:i/>
          <w:sz w:val="20"/>
          <w:szCs w:val="20"/>
        </w:rPr>
        <w:t>milleu</w:t>
      </w:r>
      <w:r w:rsidRPr="00B4531A">
        <w:rPr>
          <w:rFonts w:asciiTheme="minorHAnsi" w:hAnsiTheme="minorHAnsi"/>
          <w:sz w:val="20"/>
          <w:szCs w:val="20"/>
        </w:rPr>
        <w:t>.” Williams</w:t>
      </w:r>
      <w:r>
        <w:rPr>
          <w:rFonts w:asciiTheme="minorHAnsi" w:hAnsiTheme="minorHAnsi"/>
          <w:sz w:val="20"/>
          <w:szCs w:val="20"/>
        </w:rPr>
        <w:t xml:space="preserve">, </w:t>
      </w:r>
      <w:r w:rsidRPr="00B4531A">
        <w:rPr>
          <w:rFonts w:asciiTheme="minorHAnsi" w:hAnsiTheme="minorHAnsi"/>
          <w:i/>
          <w:sz w:val="20"/>
          <w:szCs w:val="20"/>
        </w:rPr>
        <w:t>Ireland’s Immortals</w:t>
      </w:r>
      <w:r>
        <w:rPr>
          <w:rFonts w:asciiTheme="minorHAnsi" w:hAnsiTheme="minorHAnsi"/>
          <w:sz w:val="20"/>
          <w:szCs w:val="20"/>
        </w:rPr>
        <w:t>,</w:t>
      </w:r>
      <w:r w:rsidRPr="00B4531A">
        <w:rPr>
          <w:rFonts w:asciiTheme="minorHAnsi" w:hAnsiTheme="minorHAnsi"/>
          <w:sz w:val="20"/>
          <w:szCs w:val="20"/>
        </w:rPr>
        <w:t xml:space="preserve"> [2016: 480] sums up the current scholarly trend for being sceptical as to how much Pre-Christian spiritual imagery can be gleaned from Irish texts</w:t>
      </w:r>
      <w:r>
        <w:rPr>
          <w:rFonts w:asciiTheme="minorHAnsi" w:hAnsiTheme="minorHAnsi"/>
          <w:sz w:val="20"/>
          <w:szCs w:val="20"/>
        </w:rPr>
        <w:t xml:space="preserve"> from the medieval period. The</w:t>
      </w:r>
      <w:r w:rsidRPr="00B4531A">
        <w:rPr>
          <w:rFonts w:asciiTheme="minorHAnsi" w:hAnsiTheme="minorHAnsi"/>
          <w:sz w:val="20"/>
          <w:szCs w:val="20"/>
        </w:rPr>
        <w:t xml:space="preserve"> Otherworld motifs, common to many Irish and Welsh myths, don’t seem to belong in MD, other than, as Hughes</w:t>
      </w:r>
      <w:r>
        <w:rPr>
          <w:rFonts w:asciiTheme="minorHAnsi" w:hAnsiTheme="minorHAnsi"/>
          <w:sz w:val="20"/>
          <w:szCs w:val="20"/>
        </w:rPr>
        <w:t xml:space="preserve">, </w:t>
      </w:r>
      <w:r w:rsidRPr="00B4531A">
        <w:rPr>
          <w:rFonts w:asciiTheme="minorHAnsi" w:hAnsiTheme="minorHAnsi"/>
          <w:i/>
          <w:sz w:val="20"/>
          <w:szCs w:val="20"/>
        </w:rPr>
        <w:t>The Church</w:t>
      </w:r>
      <w:r w:rsidRPr="00B4531A">
        <w:rPr>
          <w:rFonts w:asciiTheme="minorHAnsi" w:hAnsiTheme="minorHAnsi"/>
          <w:sz w:val="20"/>
          <w:szCs w:val="20"/>
        </w:rPr>
        <w:t xml:space="preserve"> </w:t>
      </w:r>
      <w:r>
        <w:rPr>
          <w:rFonts w:asciiTheme="minorHAnsi" w:hAnsiTheme="minorHAnsi"/>
          <w:sz w:val="20"/>
          <w:szCs w:val="20"/>
        </w:rPr>
        <w:t xml:space="preserve">in Oskamp, </w:t>
      </w:r>
      <w:r w:rsidRPr="00B4531A">
        <w:rPr>
          <w:rFonts w:asciiTheme="minorHAnsi" w:hAnsiTheme="minorHAnsi"/>
          <w:i/>
          <w:sz w:val="20"/>
          <w:szCs w:val="20"/>
        </w:rPr>
        <w:t>The Voyage</w:t>
      </w:r>
      <w:r>
        <w:rPr>
          <w:rFonts w:asciiTheme="minorHAnsi" w:hAnsiTheme="minorHAnsi"/>
          <w:i/>
          <w:sz w:val="20"/>
          <w:szCs w:val="20"/>
        </w:rPr>
        <w:t>,</w:t>
      </w:r>
      <w:r w:rsidRPr="00B4531A">
        <w:rPr>
          <w:rFonts w:asciiTheme="minorHAnsi" w:hAnsiTheme="minorHAnsi"/>
          <w:sz w:val="20"/>
          <w:szCs w:val="20"/>
        </w:rPr>
        <w:t xml:space="preserve"> believed, fantastical elements, until we look at them within the context of remnants in other tales, </w:t>
      </w:r>
      <w:r>
        <w:rPr>
          <w:rFonts w:asciiTheme="minorHAnsi" w:hAnsiTheme="minorHAnsi"/>
          <w:sz w:val="20"/>
          <w:szCs w:val="20"/>
        </w:rPr>
        <w:t>such as those in the Mabinogion</w:t>
      </w:r>
      <w:r w:rsidRPr="00B4531A">
        <w:rPr>
          <w:rFonts w:asciiTheme="minorHAnsi" w:hAnsiTheme="minorHAnsi"/>
          <w:sz w:val="20"/>
          <w:szCs w:val="20"/>
        </w:rPr>
        <w:t xml:space="preserve"> and the </w:t>
      </w:r>
      <w:r w:rsidRPr="00B4531A">
        <w:rPr>
          <w:rFonts w:asciiTheme="minorHAnsi" w:hAnsiTheme="minorHAnsi"/>
          <w:i/>
          <w:sz w:val="20"/>
          <w:szCs w:val="20"/>
        </w:rPr>
        <w:t>Echtrae</w:t>
      </w:r>
      <w:r w:rsidRPr="00B4531A">
        <w:rPr>
          <w:rFonts w:asciiTheme="minorHAnsi" w:hAnsiTheme="minorHAnsi"/>
          <w:sz w:val="20"/>
          <w:szCs w:val="20"/>
        </w:rPr>
        <w:t>, and see how the author might have created his moral tale by overlaying elements from a pagan journey to the Otherworld myth with a sea faring voyage, which may, or may not have taken its theme from NB.</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5237F9" w14:textId="77777777" w:rsidR="002D0211" w:rsidRDefault="002D0211">
    <w:pPr>
      <w:pStyle w:val="Header"/>
    </w:pPr>
    <w:r>
      <w:t>MA Ecology &amp; Spirituality</w:t>
    </w:r>
    <w:r>
      <w:ptab w:relativeTo="margin" w:alignment="center" w:leader="none"/>
    </w:r>
    <w:r>
      <w:t>Celtic Otherworlds CYCS7019</w:t>
    </w:r>
    <w:r>
      <w:ptab w:relativeTo="margin" w:alignment="right" w:leader="none"/>
    </w:r>
    <w:r>
      <w:t>Stephanie AW Bradley 2018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1E5041B"/>
    <w:multiLevelType w:val="hybridMultilevel"/>
    <w:tmpl w:val="A3465F7C"/>
    <w:lvl w:ilvl="0" w:tplc="F20668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F20CEA"/>
    <w:multiLevelType w:val="multilevel"/>
    <w:tmpl w:val="FE300184"/>
    <w:lvl w:ilvl="0">
      <w:start w:val="1"/>
      <w:numFmt w:val="decimal"/>
      <w:lvlText w:val="%1."/>
      <w:lvlJc w:val="left"/>
      <w:pPr>
        <w:ind w:left="720" w:hanging="360"/>
      </w:pPr>
      <w:rPr>
        <w:rFonts w:hint="default"/>
      </w:rPr>
    </w:lvl>
    <w:lvl w:ilvl="1">
      <w:start w:val="1"/>
      <w:numFmt w:val="decimal"/>
      <w:isLgl/>
      <w:lvlText w:val="%1.%2"/>
      <w:lvlJc w:val="left"/>
      <w:pPr>
        <w:ind w:left="1200" w:hanging="48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2" w15:restartNumberingAfterBreak="0">
    <w:nsid w:val="60F4459E"/>
    <w:multiLevelType w:val="hybridMultilevel"/>
    <w:tmpl w:val="C09E29A8"/>
    <w:lvl w:ilvl="0" w:tplc="6C82305C">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law Mai">
    <w15:presenceInfo w15:providerId="Windows Live" w15:userId="886a498399f1cca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8E2"/>
    <w:rsid w:val="000010C1"/>
    <w:rsid w:val="00007E2E"/>
    <w:rsid w:val="000148EE"/>
    <w:rsid w:val="00031179"/>
    <w:rsid w:val="000367F0"/>
    <w:rsid w:val="00045A22"/>
    <w:rsid w:val="000563BE"/>
    <w:rsid w:val="000566B7"/>
    <w:rsid w:val="00056B1C"/>
    <w:rsid w:val="00066348"/>
    <w:rsid w:val="000832C5"/>
    <w:rsid w:val="00091239"/>
    <w:rsid w:val="000A1180"/>
    <w:rsid w:val="000A545F"/>
    <w:rsid w:val="000B609A"/>
    <w:rsid w:val="000C5629"/>
    <w:rsid w:val="000C65BC"/>
    <w:rsid w:val="000D0464"/>
    <w:rsid w:val="000D2741"/>
    <w:rsid w:val="000E2B2C"/>
    <w:rsid w:val="000E571C"/>
    <w:rsid w:val="000F034E"/>
    <w:rsid w:val="000F27BC"/>
    <w:rsid w:val="000F4DB7"/>
    <w:rsid w:val="000F5D54"/>
    <w:rsid w:val="000F7D2F"/>
    <w:rsid w:val="001056CE"/>
    <w:rsid w:val="00107B03"/>
    <w:rsid w:val="001137A1"/>
    <w:rsid w:val="001226A6"/>
    <w:rsid w:val="00122D1B"/>
    <w:rsid w:val="00131F77"/>
    <w:rsid w:val="00136503"/>
    <w:rsid w:val="001403B7"/>
    <w:rsid w:val="001531AD"/>
    <w:rsid w:val="00154292"/>
    <w:rsid w:val="001578A1"/>
    <w:rsid w:val="00172B2D"/>
    <w:rsid w:val="0017517B"/>
    <w:rsid w:val="00185520"/>
    <w:rsid w:val="00186015"/>
    <w:rsid w:val="001A1687"/>
    <w:rsid w:val="001B7B2A"/>
    <w:rsid w:val="001D0EAD"/>
    <w:rsid w:val="001D151C"/>
    <w:rsid w:val="001F0810"/>
    <w:rsid w:val="001F51AF"/>
    <w:rsid w:val="0020113A"/>
    <w:rsid w:val="00202DBE"/>
    <w:rsid w:val="0021054B"/>
    <w:rsid w:val="0021149D"/>
    <w:rsid w:val="0021563D"/>
    <w:rsid w:val="0021572F"/>
    <w:rsid w:val="00222F30"/>
    <w:rsid w:val="002317A7"/>
    <w:rsid w:val="00243F90"/>
    <w:rsid w:val="0024736D"/>
    <w:rsid w:val="00252237"/>
    <w:rsid w:val="00254BDD"/>
    <w:rsid w:val="00254D95"/>
    <w:rsid w:val="002555CA"/>
    <w:rsid w:val="00256F5A"/>
    <w:rsid w:val="00262486"/>
    <w:rsid w:val="002644CA"/>
    <w:rsid w:val="00271B81"/>
    <w:rsid w:val="00282C9F"/>
    <w:rsid w:val="002848E3"/>
    <w:rsid w:val="00287260"/>
    <w:rsid w:val="00293764"/>
    <w:rsid w:val="00297841"/>
    <w:rsid w:val="00297E98"/>
    <w:rsid w:val="002A6F3D"/>
    <w:rsid w:val="002B1DF8"/>
    <w:rsid w:val="002B4238"/>
    <w:rsid w:val="002D0211"/>
    <w:rsid w:val="002D2149"/>
    <w:rsid w:val="002D224D"/>
    <w:rsid w:val="002D39CC"/>
    <w:rsid w:val="002E0BCA"/>
    <w:rsid w:val="00303F73"/>
    <w:rsid w:val="003233AC"/>
    <w:rsid w:val="003261DF"/>
    <w:rsid w:val="00332D63"/>
    <w:rsid w:val="00333C60"/>
    <w:rsid w:val="00341876"/>
    <w:rsid w:val="00353149"/>
    <w:rsid w:val="00354D87"/>
    <w:rsid w:val="003714F0"/>
    <w:rsid w:val="00376C28"/>
    <w:rsid w:val="003774D1"/>
    <w:rsid w:val="00377E43"/>
    <w:rsid w:val="003A182C"/>
    <w:rsid w:val="003B2AD1"/>
    <w:rsid w:val="003B690D"/>
    <w:rsid w:val="003D22CB"/>
    <w:rsid w:val="003E29AB"/>
    <w:rsid w:val="003E63F7"/>
    <w:rsid w:val="003F0220"/>
    <w:rsid w:val="003F1563"/>
    <w:rsid w:val="003F6974"/>
    <w:rsid w:val="00406377"/>
    <w:rsid w:val="00406676"/>
    <w:rsid w:val="00420530"/>
    <w:rsid w:val="004250C4"/>
    <w:rsid w:val="004268C8"/>
    <w:rsid w:val="00426ED6"/>
    <w:rsid w:val="00431AD9"/>
    <w:rsid w:val="004344A6"/>
    <w:rsid w:val="004375A1"/>
    <w:rsid w:val="00441FFA"/>
    <w:rsid w:val="00447121"/>
    <w:rsid w:val="00462791"/>
    <w:rsid w:val="004707F0"/>
    <w:rsid w:val="00471F6B"/>
    <w:rsid w:val="00493232"/>
    <w:rsid w:val="004952F8"/>
    <w:rsid w:val="0049672B"/>
    <w:rsid w:val="00497C76"/>
    <w:rsid w:val="004A4866"/>
    <w:rsid w:val="004B0267"/>
    <w:rsid w:val="004B3274"/>
    <w:rsid w:val="004B78B5"/>
    <w:rsid w:val="004C4B85"/>
    <w:rsid w:val="004D0AB5"/>
    <w:rsid w:val="004D45B9"/>
    <w:rsid w:val="004E0B61"/>
    <w:rsid w:val="004E3307"/>
    <w:rsid w:val="004F0282"/>
    <w:rsid w:val="004F0309"/>
    <w:rsid w:val="00507298"/>
    <w:rsid w:val="005073D6"/>
    <w:rsid w:val="00521A99"/>
    <w:rsid w:val="00527ED6"/>
    <w:rsid w:val="00530D8F"/>
    <w:rsid w:val="00534266"/>
    <w:rsid w:val="005520B4"/>
    <w:rsid w:val="00555C87"/>
    <w:rsid w:val="00567F4D"/>
    <w:rsid w:val="00573DC9"/>
    <w:rsid w:val="00574F77"/>
    <w:rsid w:val="00576212"/>
    <w:rsid w:val="00576F3E"/>
    <w:rsid w:val="00584923"/>
    <w:rsid w:val="00585CAE"/>
    <w:rsid w:val="005947F8"/>
    <w:rsid w:val="005A3252"/>
    <w:rsid w:val="005A456E"/>
    <w:rsid w:val="005A6230"/>
    <w:rsid w:val="005B0319"/>
    <w:rsid w:val="005B4F4B"/>
    <w:rsid w:val="005B67DA"/>
    <w:rsid w:val="005D55B8"/>
    <w:rsid w:val="005E274F"/>
    <w:rsid w:val="005E4B5D"/>
    <w:rsid w:val="005F1751"/>
    <w:rsid w:val="00610EA9"/>
    <w:rsid w:val="006120EA"/>
    <w:rsid w:val="00624077"/>
    <w:rsid w:val="00625E0F"/>
    <w:rsid w:val="006306D4"/>
    <w:rsid w:val="00635A58"/>
    <w:rsid w:val="00655C86"/>
    <w:rsid w:val="00657E28"/>
    <w:rsid w:val="006600AD"/>
    <w:rsid w:val="00676ACA"/>
    <w:rsid w:val="00676B02"/>
    <w:rsid w:val="0068017D"/>
    <w:rsid w:val="0068386B"/>
    <w:rsid w:val="00683D62"/>
    <w:rsid w:val="00686662"/>
    <w:rsid w:val="006901E0"/>
    <w:rsid w:val="0069371C"/>
    <w:rsid w:val="006A2949"/>
    <w:rsid w:val="006A2F6B"/>
    <w:rsid w:val="006B27D4"/>
    <w:rsid w:val="006B4F6A"/>
    <w:rsid w:val="006C2584"/>
    <w:rsid w:val="006D3DA1"/>
    <w:rsid w:val="006D414C"/>
    <w:rsid w:val="006D4BCA"/>
    <w:rsid w:val="006E0359"/>
    <w:rsid w:val="006E1337"/>
    <w:rsid w:val="006E2BB6"/>
    <w:rsid w:val="006F19C9"/>
    <w:rsid w:val="007037C0"/>
    <w:rsid w:val="007037D2"/>
    <w:rsid w:val="00705CA5"/>
    <w:rsid w:val="00713A08"/>
    <w:rsid w:val="00716259"/>
    <w:rsid w:val="00717D15"/>
    <w:rsid w:val="00727953"/>
    <w:rsid w:val="00732B07"/>
    <w:rsid w:val="00735566"/>
    <w:rsid w:val="00736A6C"/>
    <w:rsid w:val="00742B8C"/>
    <w:rsid w:val="00744D99"/>
    <w:rsid w:val="00752F85"/>
    <w:rsid w:val="007570C0"/>
    <w:rsid w:val="00776BFD"/>
    <w:rsid w:val="00784868"/>
    <w:rsid w:val="007865C6"/>
    <w:rsid w:val="00791D35"/>
    <w:rsid w:val="007A5DEA"/>
    <w:rsid w:val="007B3E75"/>
    <w:rsid w:val="007D3555"/>
    <w:rsid w:val="007E0AC6"/>
    <w:rsid w:val="007E2CCA"/>
    <w:rsid w:val="007E4CCB"/>
    <w:rsid w:val="007E5B20"/>
    <w:rsid w:val="007F0283"/>
    <w:rsid w:val="007F2CD0"/>
    <w:rsid w:val="007F3410"/>
    <w:rsid w:val="008000C3"/>
    <w:rsid w:val="008001B0"/>
    <w:rsid w:val="008055CD"/>
    <w:rsid w:val="0080714D"/>
    <w:rsid w:val="008102AE"/>
    <w:rsid w:val="00812777"/>
    <w:rsid w:val="00815048"/>
    <w:rsid w:val="00816764"/>
    <w:rsid w:val="00816D0A"/>
    <w:rsid w:val="00822F06"/>
    <w:rsid w:val="00823DD2"/>
    <w:rsid w:val="00844E1E"/>
    <w:rsid w:val="00851A0C"/>
    <w:rsid w:val="00870FB9"/>
    <w:rsid w:val="00885333"/>
    <w:rsid w:val="008938B7"/>
    <w:rsid w:val="00894164"/>
    <w:rsid w:val="008B376F"/>
    <w:rsid w:val="008B4C9F"/>
    <w:rsid w:val="008B69D9"/>
    <w:rsid w:val="008C3442"/>
    <w:rsid w:val="008D0200"/>
    <w:rsid w:val="008D1296"/>
    <w:rsid w:val="008E3F50"/>
    <w:rsid w:val="008F2412"/>
    <w:rsid w:val="008F4D3F"/>
    <w:rsid w:val="008F7784"/>
    <w:rsid w:val="00904A66"/>
    <w:rsid w:val="00911A17"/>
    <w:rsid w:val="0091249C"/>
    <w:rsid w:val="0091564C"/>
    <w:rsid w:val="00920C1A"/>
    <w:rsid w:val="0092377A"/>
    <w:rsid w:val="0092389A"/>
    <w:rsid w:val="00935111"/>
    <w:rsid w:val="0093664F"/>
    <w:rsid w:val="00942D14"/>
    <w:rsid w:val="0094373D"/>
    <w:rsid w:val="00943951"/>
    <w:rsid w:val="009473DF"/>
    <w:rsid w:val="00950B94"/>
    <w:rsid w:val="00957FC4"/>
    <w:rsid w:val="009665DF"/>
    <w:rsid w:val="00966F24"/>
    <w:rsid w:val="00966FF3"/>
    <w:rsid w:val="009768CE"/>
    <w:rsid w:val="00977F03"/>
    <w:rsid w:val="0098565D"/>
    <w:rsid w:val="00986853"/>
    <w:rsid w:val="00986986"/>
    <w:rsid w:val="009942CB"/>
    <w:rsid w:val="00997F34"/>
    <w:rsid w:val="009A0665"/>
    <w:rsid w:val="009A3F11"/>
    <w:rsid w:val="009B4622"/>
    <w:rsid w:val="009C7E9E"/>
    <w:rsid w:val="009D4C88"/>
    <w:rsid w:val="009D4E61"/>
    <w:rsid w:val="009D655C"/>
    <w:rsid w:val="009E28EF"/>
    <w:rsid w:val="009E3D08"/>
    <w:rsid w:val="00A07CBD"/>
    <w:rsid w:val="00A2523F"/>
    <w:rsid w:val="00A2543E"/>
    <w:rsid w:val="00A27AE0"/>
    <w:rsid w:val="00A31910"/>
    <w:rsid w:val="00A43FA5"/>
    <w:rsid w:val="00A4603F"/>
    <w:rsid w:val="00A47C01"/>
    <w:rsid w:val="00A47E2F"/>
    <w:rsid w:val="00A5086A"/>
    <w:rsid w:val="00A52F6D"/>
    <w:rsid w:val="00A54122"/>
    <w:rsid w:val="00A764FC"/>
    <w:rsid w:val="00A77774"/>
    <w:rsid w:val="00A84812"/>
    <w:rsid w:val="00A867CB"/>
    <w:rsid w:val="00A9559F"/>
    <w:rsid w:val="00AA2B60"/>
    <w:rsid w:val="00AA551B"/>
    <w:rsid w:val="00AC0056"/>
    <w:rsid w:val="00AC4178"/>
    <w:rsid w:val="00AC710B"/>
    <w:rsid w:val="00AC7AAE"/>
    <w:rsid w:val="00AC7B1D"/>
    <w:rsid w:val="00AD1277"/>
    <w:rsid w:val="00AF2F36"/>
    <w:rsid w:val="00AF3853"/>
    <w:rsid w:val="00AF4DCF"/>
    <w:rsid w:val="00B01292"/>
    <w:rsid w:val="00B03E17"/>
    <w:rsid w:val="00B04705"/>
    <w:rsid w:val="00B0490F"/>
    <w:rsid w:val="00B112D0"/>
    <w:rsid w:val="00B1587D"/>
    <w:rsid w:val="00B16A74"/>
    <w:rsid w:val="00B17B2F"/>
    <w:rsid w:val="00B32BE2"/>
    <w:rsid w:val="00B35894"/>
    <w:rsid w:val="00B4531A"/>
    <w:rsid w:val="00B5289E"/>
    <w:rsid w:val="00B7511F"/>
    <w:rsid w:val="00B76A46"/>
    <w:rsid w:val="00B77123"/>
    <w:rsid w:val="00B804E9"/>
    <w:rsid w:val="00B933ED"/>
    <w:rsid w:val="00BA1D66"/>
    <w:rsid w:val="00BA4FE1"/>
    <w:rsid w:val="00BA5E35"/>
    <w:rsid w:val="00BB3026"/>
    <w:rsid w:val="00BB59F3"/>
    <w:rsid w:val="00BC6177"/>
    <w:rsid w:val="00BE0D7C"/>
    <w:rsid w:val="00BE5399"/>
    <w:rsid w:val="00BE75C6"/>
    <w:rsid w:val="00BF18A3"/>
    <w:rsid w:val="00BF5032"/>
    <w:rsid w:val="00C130B1"/>
    <w:rsid w:val="00C2651B"/>
    <w:rsid w:val="00C2732F"/>
    <w:rsid w:val="00C31161"/>
    <w:rsid w:val="00C416E0"/>
    <w:rsid w:val="00C455AC"/>
    <w:rsid w:val="00C52AC0"/>
    <w:rsid w:val="00C53EFA"/>
    <w:rsid w:val="00C76CAB"/>
    <w:rsid w:val="00C90AC6"/>
    <w:rsid w:val="00C92563"/>
    <w:rsid w:val="00C95D1D"/>
    <w:rsid w:val="00CA585A"/>
    <w:rsid w:val="00CA696F"/>
    <w:rsid w:val="00CA7E6C"/>
    <w:rsid w:val="00CB0988"/>
    <w:rsid w:val="00CB35DE"/>
    <w:rsid w:val="00CC2AFD"/>
    <w:rsid w:val="00CC50E0"/>
    <w:rsid w:val="00CD0A06"/>
    <w:rsid w:val="00CD17F8"/>
    <w:rsid w:val="00CD793B"/>
    <w:rsid w:val="00CF354B"/>
    <w:rsid w:val="00CF48D9"/>
    <w:rsid w:val="00D12E1A"/>
    <w:rsid w:val="00D32F9E"/>
    <w:rsid w:val="00D334C5"/>
    <w:rsid w:val="00D35AD4"/>
    <w:rsid w:val="00D363DC"/>
    <w:rsid w:val="00D36AF7"/>
    <w:rsid w:val="00D37CF8"/>
    <w:rsid w:val="00D45568"/>
    <w:rsid w:val="00D47CE7"/>
    <w:rsid w:val="00D510ED"/>
    <w:rsid w:val="00D57B04"/>
    <w:rsid w:val="00D60DC2"/>
    <w:rsid w:val="00D721A1"/>
    <w:rsid w:val="00D728E2"/>
    <w:rsid w:val="00D73EF0"/>
    <w:rsid w:val="00D759ED"/>
    <w:rsid w:val="00D760E8"/>
    <w:rsid w:val="00D84331"/>
    <w:rsid w:val="00D926F8"/>
    <w:rsid w:val="00DA4585"/>
    <w:rsid w:val="00DB0091"/>
    <w:rsid w:val="00DB54D0"/>
    <w:rsid w:val="00DB6D89"/>
    <w:rsid w:val="00DC128B"/>
    <w:rsid w:val="00DC2DD6"/>
    <w:rsid w:val="00DC56FD"/>
    <w:rsid w:val="00DD3840"/>
    <w:rsid w:val="00DD6B69"/>
    <w:rsid w:val="00DE064D"/>
    <w:rsid w:val="00DE6182"/>
    <w:rsid w:val="00DE7A03"/>
    <w:rsid w:val="00DF11E6"/>
    <w:rsid w:val="00DF2128"/>
    <w:rsid w:val="00DF2B96"/>
    <w:rsid w:val="00E00C74"/>
    <w:rsid w:val="00E234EB"/>
    <w:rsid w:val="00E24B57"/>
    <w:rsid w:val="00E255EC"/>
    <w:rsid w:val="00E260A5"/>
    <w:rsid w:val="00E37D71"/>
    <w:rsid w:val="00E415CB"/>
    <w:rsid w:val="00E426C9"/>
    <w:rsid w:val="00E568AC"/>
    <w:rsid w:val="00E613F8"/>
    <w:rsid w:val="00E67ABE"/>
    <w:rsid w:val="00E755E4"/>
    <w:rsid w:val="00EA6E92"/>
    <w:rsid w:val="00EB3652"/>
    <w:rsid w:val="00EC0748"/>
    <w:rsid w:val="00EC1A13"/>
    <w:rsid w:val="00EC45BD"/>
    <w:rsid w:val="00EC70E3"/>
    <w:rsid w:val="00EE1DE0"/>
    <w:rsid w:val="00EE5277"/>
    <w:rsid w:val="00EF0756"/>
    <w:rsid w:val="00EF6EF5"/>
    <w:rsid w:val="00F032DD"/>
    <w:rsid w:val="00F10404"/>
    <w:rsid w:val="00F113D8"/>
    <w:rsid w:val="00F16426"/>
    <w:rsid w:val="00F16C63"/>
    <w:rsid w:val="00F2357A"/>
    <w:rsid w:val="00F41CE7"/>
    <w:rsid w:val="00F42225"/>
    <w:rsid w:val="00F431DA"/>
    <w:rsid w:val="00F64E35"/>
    <w:rsid w:val="00F6556F"/>
    <w:rsid w:val="00F664DC"/>
    <w:rsid w:val="00F671B2"/>
    <w:rsid w:val="00F84CB5"/>
    <w:rsid w:val="00F97ED6"/>
    <w:rsid w:val="00FA01CA"/>
    <w:rsid w:val="00FB2469"/>
    <w:rsid w:val="00FB3225"/>
    <w:rsid w:val="00FC7CDE"/>
    <w:rsid w:val="00FD0B82"/>
    <w:rsid w:val="00FD64C2"/>
    <w:rsid w:val="00FD7AAD"/>
    <w:rsid w:val="00FE1C1A"/>
    <w:rsid w:val="00FE2024"/>
    <w:rsid w:val="00FE4621"/>
    <w:rsid w:val="00FE67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B5432"/>
  <w15:docId w15:val="{24F5A853-0F61-48F5-AE00-ADE091A946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728E2"/>
  </w:style>
  <w:style w:type="paragraph" w:styleId="Heading1">
    <w:name w:val="heading 1"/>
    <w:basedOn w:val="Normal"/>
    <w:link w:val="Heading1Char"/>
    <w:uiPriority w:val="9"/>
    <w:qFormat/>
    <w:rsid w:val="0089416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BA4FE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D728E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728E2"/>
  </w:style>
  <w:style w:type="paragraph" w:styleId="Footer">
    <w:name w:val="footer"/>
    <w:basedOn w:val="Normal"/>
    <w:link w:val="FooterChar"/>
    <w:uiPriority w:val="99"/>
    <w:unhideWhenUsed/>
    <w:rsid w:val="00D728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28E2"/>
  </w:style>
  <w:style w:type="paragraph" w:styleId="BalloonText">
    <w:name w:val="Balloon Text"/>
    <w:basedOn w:val="Normal"/>
    <w:link w:val="BalloonTextChar"/>
    <w:uiPriority w:val="99"/>
    <w:semiHidden/>
    <w:unhideWhenUsed/>
    <w:rsid w:val="00D728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28E2"/>
    <w:rPr>
      <w:rFonts w:ascii="Tahoma" w:hAnsi="Tahoma" w:cs="Tahoma"/>
      <w:sz w:val="16"/>
      <w:szCs w:val="16"/>
    </w:rPr>
  </w:style>
  <w:style w:type="paragraph" w:styleId="ListParagraph">
    <w:name w:val="List Paragraph"/>
    <w:basedOn w:val="Normal"/>
    <w:uiPriority w:val="34"/>
    <w:qFormat/>
    <w:rsid w:val="00D728E2"/>
    <w:pPr>
      <w:ind w:left="720"/>
      <w:contextualSpacing/>
    </w:pPr>
  </w:style>
  <w:style w:type="paragraph" w:styleId="FootnoteText">
    <w:name w:val="footnote text"/>
    <w:basedOn w:val="Normal"/>
    <w:link w:val="FootnoteTextChar"/>
    <w:uiPriority w:val="99"/>
    <w:semiHidden/>
    <w:unhideWhenUsed/>
    <w:rsid w:val="001D151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D151C"/>
    <w:rPr>
      <w:sz w:val="20"/>
      <w:szCs w:val="20"/>
    </w:rPr>
  </w:style>
  <w:style w:type="character" w:styleId="FootnoteReference">
    <w:name w:val="footnote reference"/>
    <w:basedOn w:val="DefaultParagraphFont"/>
    <w:uiPriority w:val="99"/>
    <w:semiHidden/>
    <w:unhideWhenUsed/>
    <w:rsid w:val="001D151C"/>
    <w:rPr>
      <w:vertAlign w:val="superscript"/>
    </w:rPr>
  </w:style>
  <w:style w:type="character" w:styleId="PlaceholderText">
    <w:name w:val="Placeholder Text"/>
    <w:basedOn w:val="DefaultParagraphFont"/>
    <w:uiPriority w:val="99"/>
    <w:semiHidden/>
    <w:rsid w:val="008000C3"/>
    <w:rPr>
      <w:color w:val="808080"/>
    </w:rPr>
  </w:style>
  <w:style w:type="character" w:styleId="Hyperlink">
    <w:name w:val="Hyperlink"/>
    <w:basedOn w:val="DefaultParagraphFont"/>
    <w:uiPriority w:val="99"/>
    <w:unhideWhenUsed/>
    <w:rsid w:val="00DC56FD"/>
    <w:rPr>
      <w:color w:val="0000FF" w:themeColor="hyperlink"/>
      <w:u w:val="single"/>
    </w:rPr>
  </w:style>
  <w:style w:type="paragraph" w:styleId="NormalWeb">
    <w:name w:val="Normal (Web)"/>
    <w:basedOn w:val="Normal"/>
    <w:uiPriority w:val="99"/>
    <w:unhideWhenUsed/>
    <w:rsid w:val="00122D1B"/>
    <w:pPr>
      <w:spacing w:before="100" w:beforeAutospacing="1" w:after="100" w:afterAutospacing="1" w:line="240" w:lineRule="auto"/>
    </w:pPr>
    <w:rPr>
      <w:rFonts w:ascii="Georgia" w:eastAsia="SimSun" w:hAnsi="Georgia" w:cs="Times New Roman"/>
      <w:color w:val="000000"/>
      <w:sz w:val="21"/>
      <w:szCs w:val="21"/>
      <w:lang w:eastAsia="zh-CN"/>
    </w:rPr>
  </w:style>
  <w:style w:type="character" w:customStyle="1" w:styleId="Heading1Char">
    <w:name w:val="Heading 1 Char"/>
    <w:basedOn w:val="DefaultParagraphFont"/>
    <w:link w:val="Heading1"/>
    <w:uiPriority w:val="9"/>
    <w:rsid w:val="00894164"/>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BA4FE1"/>
    <w:rPr>
      <w:rFonts w:asciiTheme="majorHAnsi" w:eastAsiaTheme="majorEastAsia" w:hAnsiTheme="majorHAnsi" w:cstheme="majorBidi"/>
      <w:b/>
      <w:bCs/>
      <w:color w:val="4F81BD" w:themeColor="accent1"/>
      <w:sz w:val="26"/>
      <w:szCs w:val="26"/>
    </w:rPr>
  </w:style>
  <w:style w:type="table" w:styleId="TableGrid">
    <w:name w:val="Table Grid"/>
    <w:basedOn w:val="TableNormal"/>
    <w:uiPriority w:val="59"/>
    <w:rsid w:val="00BA4F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xlavailabilitycallnumber">
    <w:name w:val="exlavailabilitycallnumber"/>
    <w:basedOn w:val="DefaultParagraphFont"/>
    <w:rsid w:val="00BA4FE1"/>
  </w:style>
  <w:style w:type="character" w:customStyle="1" w:styleId="hide-text">
    <w:name w:val="hide-text"/>
    <w:basedOn w:val="DefaultParagraphFont"/>
    <w:rsid w:val="00BA4FE1"/>
  </w:style>
  <w:style w:type="paragraph" w:customStyle="1" w:styleId="Default">
    <w:name w:val="Default"/>
    <w:rsid w:val="00BA4FE1"/>
    <w:pPr>
      <w:autoSpaceDE w:val="0"/>
      <w:autoSpaceDN w:val="0"/>
      <w:adjustRightInd w:val="0"/>
      <w:spacing w:after="0" w:line="240" w:lineRule="auto"/>
    </w:pPr>
    <w:rPr>
      <w:rFonts w:ascii="Code" w:hAnsi="Code" w:cs="Code"/>
      <w:color w:val="000000"/>
      <w:sz w:val="24"/>
      <w:szCs w:val="24"/>
    </w:rPr>
  </w:style>
  <w:style w:type="character" w:styleId="Emphasis">
    <w:name w:val="Emphasis"/>
    <w:basedOn w:val="DefaultParagraphFont"/>
    <w:uiPriority w:val="20"/>
    <w:qFormat/>
    <w:rsid w:val="00BA4FE1"/>
    <w:rPr>
      <w:i/>
      <w:iCs/>
    </w:rPr>
  </w:style>
  <w:style w:type="paragraph" w:customStyle="1" w:styleId="citationpreview">
    <w:name w:val="citationpreview"/>
    <w:basedOn w:val="Normal"/>
    <w:rsid w:val="00BA4F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itleauthoretc">
    <w:name w:val="titleauthoretc"/>
    <w:basedOn w:val="DefaultParagraphFont"/>
    <w:rsid w:val="00BA4FE1"/>
  </w:style>
  <w:style w:type="character" w:styleId="Strong">
    <w:name w:val="Strong"/>
    <w:basedOn w:val="DefaultParagraphFont"/>
    <w:uiPriority w:val="22"/>
    <w:qFormat/>
    <w:rsid w:val="00BA4FE1"/>
    <w:rPr>
      <w:b/>
      <w:bCs/>
    </w:rPr>
  </w:style>
  <w:style w:type="character" w:customStyle="1" w:styleId="price">
    <w:name w:val="price"/>
    <w:basedOn w:val="DefaultParagraphFont"/>
    <w:rsid w:val="00BA4FE1"/>
  </w:style>
  <w:style w:type="character" w:customStyle="1" w:styleId="instancename">
    <w:name w:val="instancename"/>
    <w:basedOn w:val="DefaultParagraphFont"/>
    <w:rsid w:val="00BA4FE1"/>
  </w:style>
  <w:style w:type="character" w:styleId="FollowedHyperlink">
    <w:name w:val="FollowedHyperlink"/>
    <w:basedOn w:val="DefaultParagraphFont"/>
    <w:uiPriority w:val="99"/>
    <w:semiHidden/>
    <w:unhideWhenUsed/>
    <w:rsid w:val="00BA4FE1"/>
    <w:rPr>
      <w:color w:val="800080" w:themeColor="followedHyperlink"/>
      <w:u w:val="single"/>
    </w:rPr>
  </w:style>
  <w:style w:type="paragraph" w:customStyle="1" w:styleId="Pa2">
    <w:name w:val="Pa2"/>
    <w:basedOn w:val="Default"/>
    <w:next w:val="Default"/>
    <w:uiPriority w:val="99"/>
    <w:rsid w:val="00BA4FE1"/>
    <w:pPr>
      <w:spacing w:line="191" w:lineRule="atLeast"/>
    </w:pPr>
    <w:rPr>
      <w:rFonts w:ascii="Gill Sans MT" w:hAnsi="Gill Sans MT" w:cstheme="minorBidi"/>
      <w:color w:val="auto"/>
    </w:rPr>
  </w:style>
  <w:style w:type="paragraph" w:customStyle="1" w:styleId="Pa1">
    <w:name w:val="Pa1"/>
    <w:basedOn w:val="Default"/>
    <w:next w:val="Default"/>
    <w:uiPriority w:val="99"/>
    <w:rsid w:val="00BA4FE1"/>
    <w:pPr>
      <w:spacing w:line="281" w:lineRule="atLeast"/>
    </w:pPr>
    <w:rPr>
      <w:rFonts w:ascii="Gill Sans MT" w:hAnsi="Gill Sans MT" w:cstheme="minorBidi"/>
      <w:color w:val="auto"/>
    </w:rPr>
  </w:style>
  <w:style w:type="paragraph" w:customStyle="1" w:styleId="Pa3">
    <w:name w:val="Pa3"/>
    <w:basedOn w:val="Default"/>
    <w:next w:val="Default"/>
    <w:uiPriority w:val="99"/>
    <w:rsid w:val="00BA4FE1"/>
    <w:pPr>
      <w:spacing w:line="221" w:lineRule="atLeast"/>
    </w:pPr>
    <w:rPr>
      <w:rFonts w:ascii="Gill Sans MT" w:hAnsi="Gill Sans MT" w:cstheme="minorBidi"/>
      <w:color w:val="auto"/>
    </w:rPr>
  </w:style>
  <w:style w:type="character" w:styleId="HTMLCite">
    <w:name w:val="HTML Cite"/>
    <w:basedOn w:val="DefaultParagraphFont"/>
    <w:uiPriority w:val="99"/>
    <w:semiHidden/>
    <w:unhideWhenUsed/>
    <w:rsid w:val="00BA4FE1"/>
    <w:rPr>
      <w:i/>
      <w:iCs/>
    </w:rPr>
  </w:style>
  <w:style w:type="character" w:customStyle="1" w:styleId="smallcaps">
    <w:name w:val="smallcaps"/>
    <w:basedOn w:val="DefaultParagraphFont"/>
    <w:rsid w:val="005A3252"/>
  </w:style>
  <w:style w:type="character" w:styleId="CommentReference">
    <w:name w:val="annotation reference"/>
    <w:basedOn w:val="DefaultParagraphFont"/>
    <w:uiPriority w:val="99"/>
    <w:semiHidden/>
    <w:unhideWhenUsed/>
    <w:rsid w:val="00066348"/>
    <w:rPr>
      <w:sz w:val="16"/>
      <w:szCs w:val="16"/>
    </w:rPr>
  </w:style>
  <w:style w:type="paragraph" w:styleId="CommentText">
    <w:name w:val="annotation text"/>
    <w:basedOn w:val="Normal"/>
    <w:link w:val="CommentTextChar"/>
    <w:uiPriority w:val="99"/>
    <w:semiHidden/>
    <w:unhideWhenUsed/>
    <w:rsid w:val="00066348"/>
    <w:pPr>
      <w:spacing w:line="240" w:lineRule="auto"/>
    </w:pPr>
    <w:rPr>
      <w:sz w:val="20"/>
      <w:szCs w:val="20"/>
    </w:rPr>
  </w:style>
  <w:style w:type="character" w:customStyle="1" w:styleId="CommentTextChar">
    <w:name w:val="Comment Text Char"/>
    <w:basedOn w:val="DefaultParagraphFont"/>
    <w:link w:val="CommentText"/>
    <w:uiPriority w:val="99"/>
    <w:semiHidden/>
    <w:rsid w:val="00066348"/>
    <w:rPr>
      <w:sz w:val="20"/>
      <w:szCs w:val="20"/>
    </w:rPr>
  </w:style>
  <w:style w:type="paragraph" w:styleId="CommentSubject">
    <w:name w:val="annotation subject"/>
    <w:basedOn w:val="CommentText"/>
    <w:next w:val="CommentText"/>
    <w:link w:val="CommentSubjectChar"/>
    <w:uiPriority w:val="99"/>
    <w:semiHidden/>
    <w:unhideWhenUsed/>
    <w:rsid w:val="00066348"/>
    <w:rPr>
      <w:b/>
      <w:bCs/>
    </w:rPr>
  </w:style>
  <w:style w:type="character" w:customStyle="1" w:styleId="CommentSubjectChar">
    <w:name w:val="Comment Subject Char"/>
    <w:basedOn w:val="CommentTextChar"/>
    <w:link w:val="CommentSubject"/>
    <w:uiPriority w:val="99"/>
    <w:semiHidden/>
    <w:rsid w:val="0006634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0192028">
      <w:bodyDiv w:val="1"/>
      <w:marLeft w:val="0"/>
      <w:marRight w:val="0"/>
      <w:marTop w:val="0"/>
      <w:marBottom w:val="0"/>
      <w:divBdr>
        <w:top w:val="none" w:sz="0" w:space="0" w:color="auto"/>
        <w:left w:val="none" w:sz="0" w:space="0" w:color="auto"/>
        <w:bottom w:val="none" w:sz="0" w:space="0" w:color="auto"/>
        <w:right w:val="none" w:sz="0" w:space="0" w:color="auto"/>
      </w:divBdr>
      <w:divsChild>
        <w:div w:id="1741827032">
          <w:marLeft w:val="0"/>
          <w:marRight w:val="0"/>
          <w:marTop w:val="0"/>
          <w:marBottom w:val="0"/>
          <w:divBdr>
            <w:top w:val="none" w:sz="0" w:space="0" w:color="auto"/>
            <w:left w:val="none" w:sz="0" w:space="0" w:color="auto"/>
            <w:bottom w:val="none" w:sz="0" w:space="0" w:color="auto"/>
            <w:right w:val="none" w:sz="0" w:space="0" w:color="auto"/>
          </w:divBdr>
        </w:div>
        <w:div w:id="292297538">
          <w:marLeft w:val="0"/>
          <w:marRight w:val="0"/>
          <w:marTop w:val="0"/>
          <w:marBottom w:val="0"/>
          <w:divBdr>
            <w:top w:val="none" w:sz="0" w:space="0" w:color="auto"/>
            <w:left w:val="none" w:sz="0" w:space="0" w:color="auto"/>
            <w:bottom w:val="none" w:sz="0" w:space="0" w:color="auto"/>
            <w:right w:val="none" w:sz="0" w:space="0" w:color="auto"/>
          </w:divBdr>
        </w:div>
        <w:div w:id="908731828">
          <w:marLeft w:val="0"/>
          <w:marRight w:val="0"/>
          <w:marTop w:val="0"/>
          <w:marBottom w:val="0"/>
          <w:divBdr>
            <w:top w:val="none" w:sz="0" w:space="0" w:color="auto"/>
            <w:left w:val="none" w:sz="0" w:space="0" w:color="auto"/>
            <w:bottom w:val="none" w:sz="0" w:space="0" w:color="auto"/>
            <w:right w:val="none" w:sz="0" w:space="0" w:color="auto"/>
          </w:divBdr>
        </w:div>
      </w:divsChild>
    </w:div>
    <w:div w:id="1874998752">
      <w:bodyDiv w:val="1"/>
      <w:marLeft w:val="0"/>
      <w:marRight w:val="0"/>
      <w:marTop w:val="0"/>
      <w:marBottom w:val="0"/>
      <w:divBdr>
        <w:top w:val="none" w:sz="0" w:space="0" w:color="auto"/>
        <w:left w:val="none" w:sz="0" w:space="0" w:color="auto"/>
        <w:bottom w:val="none" w:sz="0" w:space="0" w:color="auto"/>
        <w:right w:val="none" w:sz="0" w:space="0" w:color="auto"/>
      </w:divBdr>
    </w:div>
    <w:div w:id="2049797659">
      <w:bodyDiv w:val="1"/>
      <w:marLeft w:val="0"/>
      <w:marRight w:val="0"/>
      <w:marTop w:val="0"/>
      <w:marBottom w:val="0"/>
      <w:divBdr>
        <w:top w:val="none" w:sz="0" w:space="0" w:color="auto"/>
        <w:left w:val="none" w:sz="0" w:space="0" w:color="auto"/>
        <w:bottom w:val="none" w:sz="0" w:space="0" w:color="auto"/>
        <w:right w:val="none" w:sz="0" w:space="0" w:color="auto"/>
      </w:divBdr>
      <w:divsChild>
        <w:div w:id="7787222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public-library.uk/pdfs/7/661.pdf" TargetMode="External"/><Relationship Id="rId18" Type="http://schemas.openxmlformats.org/officeDocument/2006/relationships/hyperlink" Target="https://hedgewalking.org/2018/03/14/the-otherworld/" TargetMode="External"/><Relationship Id="rId26" Type="http://schemas.openxmlformats.org/officeDocument/2006/relationships/hyperlink" Target="http://www.oxfordscholarship.com.ezproxy.uwtsd.ac.uk/view/10.1093/acprof:oso/9780199372584.001.0001/acprof-9780199372584-chapter-6" TargetMode="External"/><Relationship Id="rId39" Type="http://schemas.openxmlformats.org/officeDocument/2006/relationships/hyperlink" Target="javascript:__doLinkPostBack('','ss~~PS%20%22SEAFARING%20Saint%2C%20The%20%28Book%29%22%7C%7Csl~~rl','');" TargetMode="External"/><Relationship Id="rId21" Type="http://schemas.openxmlformats.org/officeDocument/2006/relationships/hyperlink" Target="https://www.academia.edu/19783791/Celtic_Spells_and_Counterspells" TargetMode="External"/><Relationship Id="rId34" Type="http://schemas.openxmlformats.org/officeDocument/2006/relationships/hyperlink" Target="http://www.jstor.org/stable/41592350" TargetMode="External"/><Relationship Id="rId42" Type="http://schemas.openxmlformats.org/officeDocument/2006/relationships/hyperlink" Target="https://mythicalireland.com/astronomy/the-cygnus-enigma/" TargetMode="External"/><Relationship Id="rId47" Type="http://schemas.openxmlformats.org/officeDocument/2006/relationships/hyperlink" Target="http://www.imaginaryjourneys.co.uk/wp-content/uploads/2013/03/Maeldun-download-2.pdf" TargetMode="External"/><Relationship Id="rId50" Type="http://schemas.openxmlformats.org/officeDocument/2006/relationships/hyperlink" Target="https://search-proquest-com.ezproxy.uwtsd.ac.uk/docview/1781337255/fulltextPDF/917889FB99C540B6PQ/1?accountid=130472" TargetMode="External"/><Relationship Id="rId55" Type="http://schemas.openxmlformats.org/officeDocument/2006/relationships/hyperlink" Target="https://doi.org/10.1080/0015587X.2014.1001214" TargetMode="External"/><Relationship Id="rId63"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file:///C:/Users/User/Downloads/7546-Article%20Text-18256-1-10-20130114.pdf" TargetMode="External"/><Relationship Id="rId20" Type="http://schemas.openxmlformats.org/officeDocument/2006/relationships/hyperlink" Target="http://www.sacred-texts.com/pag/idr/index.htm" TargetMode="External"/><Relationship Id="rId29" Type="http://schemas.openxmlformats.org/officeDocument/2006/relationships/hyperlink" Target="http://www.jstor.org/stable/1254095" TargetMode="External"/><Relationship Id="rId41" Type="http://schemas.openxmlformats.org/officeDocument/2006/relationships/hyperlink" Target="https://web-b-ebscohost-com.ezproxy.uwtsd.ac.uk/ehost/detail/detail?vid=0&amp;sid=61a99982-9051-4928-9f7c-08baecd79acd%40sessionmgr104&amp;bdata=JnNpdGU9ZWhvc3QtbGl2ZQ%3d%3d" TargetMode="External"/><Relationship Id="rId54" Type="http://schemas.openxmlformats.org/officeDocument/2006/relationships/hyperlink" Target="https://www.dias.ie/wp-content/uploads/webstore/celt/pubs/celtica/c23/c23-369.pdf" TargetMode="External"/><Relationship Id="rId62"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penelope.uchicago.edu/Thayer/E/Roman/Texts/Plutarch/Moralia/De_defectu_oraculorum*.html" TargetMode="External"/><Relationship Id="rId24" Type="http://schemas.openxmlformats.org/officeDocument/2006/relationships/hyperlink" Target="http://www.ricorso.net/rx/library/criticism/classic/Celtiana/Dillon_M/C_Realms/C_Realms03.htm" TargetMode="External"/><Relationship Id="rId32" Type="http://schemas.openxmlformats.org/officeDocument/2006/relationships/hyperlink" Target="https://www.dias.ie/wp-content/uploads/webstore/celt/pubs/celtica/c23/c23-369.pdf" TargetMode="External"/><Relationship Id="rId37" Type="http://schemas.openxmlformats.org/officeDocument/2006/relationships/hyperlink" Target="http://www.sfks.org/SC_VI_2009_24112010.pdf" TargetMode="External"/><Relationship Id="rId40" Type="http://schemas.openxmlformats.org/officeDocument/2006/relationships/hyperlink" Target="javascript:__doLinkPostBack('','mdb~~aph%7C%7Cjdb~~aphjnh%7C%7Css~~JN%20%22Medium%20Aevum%22%7C%7Csl~~jh','');" TargetMode="External"/><Relationship Id="rId45" Type="http://schemas.openxmlformats.org/officeDocument/2006/relationships/hyperlink" Target="https://www-dawsonera-com.ezproxy.uwtsd.ac.uk/readonline/9781783167937" TargetMode="External"/><Relationship Id="rId53" Type="http://schemas.openxmlformats.org/officeDocument/2006/relationships/hyperlink" Target="http://www.history.ac.uk/reviews/review/846" TargetMode="External"/><Relationship Id="rId58" Type="http://schemas.openxmlformats.org/officeDocument/2006/relationships/hyperlink" Target="https://s3.amazonaws.com/academia.edu.documents/33804431/Tin_Gold.pdf?AWSAccessKeyId=AKIAIWOWYYGZ2Y53UL3A&amp;Expires=1507829143&amp;Signature=H35DK0R%2B1o%2F8N7Knob6Kkx6TInc%3D&amp;response-content-disposition=inline%3B%20filename%3DEvidence_for_Early_Bronze_Age_tin_and_go.pdf" TargetMode="External"/><Relationship Id="rId66"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earch-proquest-com.ezproxy.uwtsd.ac.uk/docview/1822071509?accountid=130472&amp;rfr_id=info%3Axri%2Fsid%3Aprimo" TargetMode="External"/><Relationship Id="rId23" Type="http://schemas.openxmlformats.org/officeDocument/2006/relationships/hyperlink" Target="https://www-dawsonera-com.ezproxy.uwtsd.ac.uk/readonline/9781783167937" TargetMode="External"/><Relationship Id="rId28" Type="http://schemas.openxmlformats.org/officeDocument/2006/relationships/hyperlink" Target="http://www.texascoritani.com/British_Coracles_and_Irish_Curraghs.pdf" TargetMode="External"/><Relationship Id="rId36" Type="http://schemas.openxmlformats.org/officeDocument/2006/relationships/hyperlink" Target="http://www.jstor.org/stable/1205274" TargetMode="External"/><Relationship Id="rId49" Type="http://schemas.openxmlformats.org/officeDocument/2006/relationships/hyperlink" Target="http://www.jstor.org.ezproxy.uwtsd.ac.uk/stable/4171667" TargetMode="External"/><Relationship Id="rId57" Type="http://schemas.openxmlformats.org/officeDocument/2006/relationships/hyperlink" Target="https://www.academia.edu/7149570/The_Broighter_hoard_-_a_question_of_ownership" TargetMode="External"/><Relationship Id="rId61" Type="http://schemas.openxmlformats.org/officeDocument/2006/relationships/hyperlink" Target="https://s3.amazonaws.com/academia.edu.documents/37562644/wisdomlit.pdf?AWSAccessKeyId=AKIAIWOWYYGZ2Y53UL3A&amp;Expires=1520294880&amp;Signature=IW3gRmYSm%2F%2Bj4OP4cUKrpo4q6V0%3D&amp;response-content-disposition=inline%3B%20filename%3DWisdom_Literature_in_Early_Ireland.pdf" TargetMode="External"/><Relationship Id="rId10" Type="http://schemas.microsoft.com/office/2016/09/relationships/commentsIds" Target="commentsIds.xml"/><Relationship Id="rId19" Type="http://schemas.openxmlformats.org/officeDocument/2006/relationships/hyperlink" Target="http://thehedgeschool.org/Blog/celebrating-spring-spring-equinox-and-the-cailleach/" TargetMode="External"/><Relationship Id="rId31" Type="http://schemas.openxmlformats.org/officeDocument/2006/relationships/hyperlink" Target="https://digitalcommons.providence.edu/theology_graduate_theses/7/" TargetMode="External"/><Relationship Id="rId44" Type="http://schemas.openxmlformats.org/officeDocument/2006/relationships/hyperlink" Target="https://www.academia.edu/36087709/Nash_1975_Arverni_NC" TargetMode="External"/><Relationship Id="rId52" Type="http://schemas.openxmlformats.org/officeDocument/2006/relationships/hyperlink" Target="https://www-dawsonera-com.ezproxy.uwtsd.ac.uk/readonline/9781783167937" TargetMode="External"/><Relationship Id="rId60" Type="http://schemas.openxmlformats.org/officeDocument/2006/relationships/hyperlink" Target="http://www.sfks.org/SC_VI_2009_24112010.pdf" TargetMode="External"/><Relationship Id="rId65" Type="http://schemas.microsoft.com/office/2011/relationships/people" Target="peop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http://www.jstor.org/stable/40267537" TargetMode="External"/><Relationship Id="rId22" Type="http://schemas.openxmlformats.org/officeDocument/2006/relationships/hyperlink" Target="https://ulstercycle.wordpress.com/2009/11/07/the-taking-of-the-sid-mound/" TargetMode="External"/><Relationship Id="rId27" Type="http://schemas.openxmlformats.org/officeDocument/2006/relationships/hyperlink" Target="http://www.oxforddnb.com.ezproxy.uwtsd.ac.uk/view/10.1093/ref:odnb/9780198614128.001.0001/odnb-9780198614128-e-19711" TargetMode="External"/><Relationship Id="rId30" Type="http://schemas.openxmlformats.org/officeDocument/2006/relationships/hyperlink" Target="mailto:direlan1@providence.edu" TargetMode="External"/><Relationship Id="rId35" Type="http://schemas.openxmlformats.org/officeDocument/2006/relationships/hyperlink" Target="https://web-b-ebscohost-com.ezproxy.uwtsd.ac.uk/ehost/pdfviewer/pdfviewer?vid=1&amp;sid=b70fafda-6fca-4055-b025-d97bee3b1dd4%40sessionmgr120" TargetMode="External"/><Relationship Id="rId43" Type="http://schemas.openxmlformats.org/officeDocument/2006/relationships/hyperlink" Target="https://www.academia.edu/27787447/Reading_the_images_on_Iron_Age_coins_4._One_eye" TargetMode="External"/><Relationship Id="rId48" Type="http://schemas.openxmlformats.org/officeDocument/2006/relationships/hyperlink" Target="https://www.repository.cam.ac.uk/bitstream/handle/1810/225600/WOLP_OP_01.pdf" TargetMode="External"/><Relationship Id="rId56" Type="http://schemas.openxmlformats.org/officeDocument/2006/relationships/hyperlink" Target="http://www.jstor.org/stable/638518" TargetMode="External"/><Relationship Id="rId64" Type="http://schemas.openxmlformats.org/officeDocument/2006/relationships/fontTable" Target="fontTable.xml"/><Relationship Id="rId8" Type="http://schemas.openxmlformats.org/officeDocument/2006/relationships/comments" Target="comments.xml"/><Relationship Id="rId51" Type="http://schemas.openxmlformats.org/officeDocument/2006/relationships/hyperlink" Target="https://search-proquest-com.ezproxy.uwtsd.ac.uk/docview/1289680845?accountid=130472&amp;rfr_id=info%3Axri%2Fsid%3Aprimo" TargetMode="External"/><Relationship Id="rId3" Type="http://schemas.openxmlformats.org/officeDocument/2006/relationships/styles" Target="styles.xml"/><Relationship Id="rId12" Type="http://schemas.openxmlformats.org/officeDocument/2006/relationships/hyperlink" Target="mailto:ccx074@coventry.ac.uk" TargetMode="External"/><Relationship Id="rId17" Type="http://schemas.openxmlformats.org/officeDocument/2006/relationships/hyperlink" Target="https://search-proquest-com.ezproxy.uwtsd.ac.uk/docview/1679408007?accountid=130472&amp;rfr_id=info%3Axri%2Fsid%3Aprimo" TargetMode="External"/><Relationship Id="rId25" Type="http://schemas.openxmlformats.org/officeDocument/2006/relationships/hyperlink" Target="http://eprints.maynoothuniversity.ie/7801/1/Leonie%20Duignan.pdf" TargetMode="External"/><Relationship Id="rId33" Type="http://schemas.openxmlformats.org/officeDocument/2006/relationships/hyperlink" Target="http://www.ucdpress.ie/display.asp?K=9781900621878&amp;sfl=eh_cat_class&amp;st1=B100&amp;=53&amp;dc=135" TargetMode="External"/><Relationship Id="rId38" Type="http://schemas.openxmlformats.org/officeDocument/2006/relationships/hyperlink" Target="javascript:__doLinkPostBack('','ss~~AR%20%22Mackley%2C%20Jude%20S.%22%7C%7Csl~~rl','');" TargetMode="External"/><Relationship Id="rId46" Type="http://schemas.openxmlformats.org/officeDocument/2006/relationships/hyperlink" Target="https://www.nature.com/articles/522164a" TargetMode="External"/><Relationship Id="rId59" Type="http://schemas.openxmlformats.org/officeDocument/2006/relationships/hyperlink" Target="https://www-dawsonera-com.ezproxy.uwtsd.ac.uk/readonline/9781783167937"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s3.amazonaws.com/academia.edu.documents/37562644/wisdomlit.pdf?AWSAccessKeyId=AKIAIWOWYYGZ2Y53UL3A&amp;Expires=1520294880&amp;Signature=IW3gRmYSm%2F%2Bj4OP4cUKrpo4q6V0%3D&amp;response-content-disposition=inline%3B%20filename%3DWisdom_Literature_in_Early_Ireland.pdf" TargetMode="External"/><Relationship Id="rId13" Type="http://schemas.openxmlformats.org/officeDocument/2006/relationships/hyperlink" Target="http://www.sacred-texts.com/pag/idr/index.htm" TargetMode="External"/><Relationship Id="rId3" Type="http://schemas.openxmlformats.org/officeDocument/2006/relationships/hyperlink" Target="mailto:direlan1@providence.edu" TargetMode="External"/><Relationship Id="rId7" Type="http://schemas.openxmlformats.org/officeDocument/2006/relationships/hyperlink" Target="https://vanhamel.nl/codecs/Selmer_(Carl)_1959_1" TargetMode="External"/><Relationship Id="rId12" Type="http://schemas.openxmlformats.org/officeDocument/2006/relationships/hyperlink" Target="https://www.academia.edu/19783791/Celtic_Spells_and_Counterspells" TargetMode="External"/><Relationship Id="rId2" Type="http://schemas.openxmlformats.org/officeDocument/2006/relationships/hyperlink" Target="http://www.jstor.org/stable/1205274" TargetMode="External"/><Relationship Id="rId1" Type="http://schemas.openxmlformats.org/officeDocument/2006/relationships/hyperlink" Target="http://www.ucdpress.ie/display.asp?K=9781900621878&amp;sfl=eh_cat_class&amp;st1=B100&amp;=53&amp;dc=135" TargetMode="External"/><Relationship Id="rId6" Type="http://schemas.openxmlformats.org/officeDocument/2006/relationships/hyperlink" Target="https://www.vanhamel.nl/codecs/Selmer_(Carl)_1959_1" TargetMode="External"/><Relationship Id="rId11" Type="http://schemas.openxmlformats.org/officeDocument/2006/relationships/hyperlink" Target="http://www.sfks.org/SC_VI_2009_24112010.pdf" TargetMode="External"/><Relationship Id="rId5" Type="http://schemas.openxmlformats.org/officeDocument/2006/relationships/hyperlink" Target="https://www.dias.ie/wp-content/uploads/webstore/celt/pubs/celtica/c23/c23-369.pdf" TargetMode="External"/><Relationship Id="rId15" Type="http://schemas.openxmlformats.org/officeDocument/2006/relationships/hyperlink" Target="http://www.dil.ie/6807" TargetMode="External"/><Relationship Id="rId10" Type="http://schemas.openxmlformats.org/officeDocument/2006/relationships/hyperlink" Target="http://thehedgeschool.org/Blog/celebrating-spring-spring-equinox-and-the-cailleach/" TargetMode="External"/><Relationship Id="rId4" Type="http://schemas.openxmlformats.org/officeDocument/2006/relationships/hyperlink" Target="https://digitalcommons.providence.edu/theology_graduate_theses/7/" TargetMode="External"/><Relationship Id="rId9" Type="http://schemas.openxmlformats.org/officeDocument/2006/relationships/hyperlink" Target="https://www-dawsonera-com.ezproxy.uwtsd.ac.uk/readonline/9781783167937" TargetMode="External"/><Relationship Id="rId14" Type="http://schemas.openxmlformats.org/officeDocument/2006/relationships/hyperlink" Target="https://mythicalireland.com/astronomy/the-cygnus-enigm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EDB50C9-3E80-44EF-B2DB-C521376DDB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22</Pages>
  <Words>5700</Words>
  <Characters>32490</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Alaw Mai</cp:lastModifiedBy>
  <cp:revision>10</cp:revision>
  <dcterms:created xsi:type="dcterms:W3CDTF">2018-04-05T21:56:00Z</dcterms:created>
  <dcterms:modified xsi:type="dcterms:W3CDTF">2018-04-23T14:43:00Z</dcterms:modified>
</cp:coreProperties>
</file>