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4FAD9F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423C3">
              <w:rPr>
                <w:rFonts w:ascii="Times New Roman" w:hAnsi="Times New Roman" w:cs="Times New Roman"/>
                <w:b/>
                <w:color w:val="auto"/>
                <w:sz w:val="48"/>
              </w:rPr>
              <w:t>Hayley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F34E46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423C3" w:rsidRPr="005423C3">
              <w:rPr>
                <w:rFonts w:ascii="Times New Roman" w:hAnsi="Times New Roman" w:cs="Times New Roman"/>
                <w:b/>
                <w:sz w:val="48"/>
              </w:rPr>
              <w:t xml:space="preserve"> </w:t>
            </w:r>
            <w:r w:rsidR="005423C3" w:rsidRPr="005423C3">
              <w:rPr>
                <w:rFonts w:ascii="Times New Roman" w:hAnsi="Times New Roman" w:cs="Times New Roman"/>
                <w:b/>
                <w:color w:val="auto"/>
                <w:sz w:val="48"/>
              </w:rPr>
              <w:t>2521751@student.uwtsd.ac.uk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4620E3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423C3">
              <w:rPr>
                <w:rFonts w:ascii="Times New Roman" w:hAnsi="Times New Roman" w:cs="Times New Roman"/>
                <w:b/>
                <w:color w:val="auto"/>
                <w:sz w:val="48"/>
              </w:rPr>
              <w:br/>
              <w:t>2521751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5658C2E" w14:textId="682A6B7D" w:rsidR="00FA1B5C" w:rsidRDefault="00FA1B5C" w:rsidP="00FA1B5C">
            <w:pPr>
              <w:jc w:val="both"/>
              <w:rPr>
                <w:sz w:val="24"/>
                <w:szCs w:val="24"/>
              </w:rPr>
            </w:pPr>
            <w:r>
              <w:rPr>
                <w:sz w:val="24"/>
                <w:szCs w:val="24"/>
              </w:rPr>
              <w:t>This</w:t>
            </w:r>
            <w:r w:rsidRPr="00FA1B5C">
              <w:rPr>
                <w:sz w:val="24"/>
                <w:szCs w:val="24"/>
              </w:rPr>
              <w:t xml:space="preserve"> essay will focus on safeguarding within Children's Services.</w:t>
            </w:r>
          </w:p>
          <w:p w14:paraId="174212AC" w14:textId="77777777" w:rsidR="00FA1B5C" w:rsidRPr="00FA1B5C" w:rsidRDefault="00FA1B5C" w:rsidP="00FA1B5C">
            <w:pPr>
              <w:jc w:val="both"/>
              <w:rPr>
                <w:sz w:val="24"/>
                <w:szCs w:val="24"/>
              </w:rPr>
            </w:pPr>
          </w:p>
          <w:p w14:paraId="3D38E757" w14:textId="28905110" w:rsidR="00FA1B5C" w:rsidRDefault="00FA1B5C" w:rsidP="00FA1B5C">
            <w:pPr>
              <w:jc w:val="both"/>
              <w:rPr>
                <w:sz w:val="24"/>
                <w:szCs w:val="24"/>
              </w:rPr>
            </w:pPr>
            <w:r w:rsidRPr="00FA1B5C">
              <w:rPr>
                <w:sz w:val="24"/>
                <w:szCs w:val="24"/>
              </w:rPr>
              <w:t xml:space="preserve">Social workers </w:t>
            </w:r>
            <w:r>
              <w:rPr>
                <w:sz w:val="24"/>
                <w:szCs w:val="24"/>
              </w:rPr>
              <w:t>are key</w:t>
            </w:r>
            <w:r w:rsidRPr="00FA1B5C">
              <w:rPr>
                <w:sz w:val="24"/>
                <w:szCs w:val="24"/>
              </w:rPr>
              <w:t xml:space="preserve"> in identifying children at risk, assessing their needs, and working collaboratively with family</w:t>
            </w:r>
            <w:r>
              <w:rPr>
                <w:sz w:val="24"/>
                <w:szCs w:val="24"/>
              </w:rPr>
              <w:t>/</w:t>
            </w:r>
            <w:r w:rsidRPr="00FA1B5C">
              <w:rPr>
                <w:sz w:val="24"/>
                <w:szCs w:val="24"/>
              </w:rPr>
              <w:t xml:space="preserve">professionals to ensure appropriate support is provided. </w:t>
            </w:r>
          </w:p>
          <w:p w14:paraId="36255778" w14:textId="77777777" w:rsidR="00FA1B5C" w:rsidRDefault="00FA1B5C" w:rsidP="00FA1B5C">
            <w:pPr>
              <w:jc w:val="both"/>
              <w:rPr>
                <w:sz w:val="24"/>
                <w:szCs w:val="24"/>
              </w:rPr>
            </w:pPr>
          </w:p>
          <w:p w14:paraId="13BFA0FF" w14:textId="4D7AFD3E" w:rsidR="00FA1B5C" w:rsidRDefault="00FA1B5C" w:rsidP="00FA1B5C">
            <w:pPr>
              <w:jc w:val="both"/>
              <w:rPr>
                <w:sz w:val="24"/>
                <w:szCs w:val="24"/>
              </w:rPr>
            </w:pPr>
            <w:r w:rsidRPr="00FA1B5C">
              <w:rPr>
                <w:sz w:val="24"/>
                <w:szCs w:val="24"/>
              </w:rPr>
              <w:t>Children require additional safeguarding due to their age and dependency on others; therefore, legislation underpinning children's safeguarding places greater emphasis on the protection</w:t>
            </w:r>
            <w:r>
              <w:rPr>
                <w:sz w:val="24"/>
                <w:szCs w:val="24"/>
              </w:rPr>
              <w:t>/</w:t>
            </w:r>
            <w:r w:rsidRPr="00FA1B5C">
              <w:rPr>
                <w:sz w:val="24"/>
                <w:szCs w:val="24"/>
              </w:rPr>
              <w:t>promotion of children's rights.</w:t>
            </w:r>
          </w:p>
          <w:p w14:paraId="6F28E525" w14:textId="77777777" w:rsidR="0019208E" w:rsidRDefault="0019208E" w:rsidP="00FA1B5C">
            <w:pPr>
              <w:jc w:val="both"/>
              <w:rPr>
                <w:sz w:val="24"/>
                <w:szCs w:val="24"/>
              </w:rPr>
            </w:pPr>
          </w:p>
          <w:p w14:paraId="399019C6" w14:textId="6E3BA47A" w:rsidR="00FA1B5C" w:rsidRDefault="0019208E" w:rsidP="00FA1B5C">
            <w:pPr>
              <w:jc w:val="both"/>
              <w:rPr>
                <w:sz w:val="24"/>
                <w:szCs w:val="24"/>
              </w:rPr>
            </w:pPr>
            <w:r>
              <w:rPr>
                <w:sz w:val="24"/>
                <w:szCs w:val="24"/>
              </w:rPr>
              <w:t xml:space="preserve">In Wales </w:t>
            </w:r>
            <w:r w:rsidRPr="00FA1B5C">
              <w:rPr>
                <w:sz w:val="24"/>
                <w:szCs w:val="24"/>
              </w:rPr>
              <w:t>the Social Services and Well-being (Wales) Act 2014 (SSWBA)</w:t>
            </w:r>
            <w:r>
              <w:rPr>
                <w:sz w:val="24"/>
                <w:szCs w:val="24"/>
              </w:rPr>
              <w:t xml:space="preserve"> is the overarching piece of legislation, with a focus on Part 7 safeguarding both adults and children. However, it is key to note that </w:t>
            </w:r>
            <w:r w:rsidR="00FA1B5C" w:rsidRPr="00FA1B5C">
              <w:rPr>
                <w:sz w:val="24"/>
                <w:szCs w:val="24"/>
              </w:rPr>
              <w:t xml:space="preserve">Section 130 </w:t>
            </w:r>
            <w:r>
              <w:rPr>
                <w:sz w:val="24"/>
                <w:szCs w:val="24"/>
              </w:rPr>
              <w:t>SSWBA</w:t>
            </w:r>
            <w:r w:rsidR="00FA1B5C" w:rsidRPr="00FA1B5C">
              <w:rPr>
                <w:sz w:val="24"/>
                <w:szCs w:val="24"/>
              </w:rPr>
              <w:t xml:space="preserve"> defines what constitutes a </w:t>
            </w:r>
            <w:r>
              <w:rPr>
                <w:sz w:val="24"/>
                <w:szCs w:val="24"/>
              </w:rPr>
              <w:t>‘</w:t>
            </w:r>
            <w:r w:rsidR="00FA1B5C" w:rsidRPr="00FA1B5C">
              <w:rPr>
                <w:sz w:val="24"/>
                <w:szCs w:val="24"/>
              </w:rPr>
              <w:t>child at risk</w:t>
            </w:r>
            <w:r>
              <w:rPr>
                <w:sz w:val="24"/>
                <w:szCs w:val="24"/>
              </w:rPr>
              <w:t>’</w:t>
            </w:r>
            <w:r w:rsidR="00FA1B5C" w:rsidRPr="00FA1B5C">
              <w:rPr>
                <w:sz w:val="24"/>
                <w:szCs w:val="24"/>
              </w:rPr>
              <w:t xml:space="preserve"> and places a statutory duty on relevant partners to report a child at risk of abuse, neglect, or harm (Social Services and Well-being (Wales) Act 2014).</w:t>
            </w:r>
          </w:p>
          <w:p w14:paraId="08987BA2" w14:textId="77777777" w:rsidR="00FA1B5C" w:rsidRPr="00FA1B5C" w:rsidRDefault="00FA1B5C" w:rsidP="00FA1B5C">
            <w:pPr>
              <w:jc w:val="both"/>
              <w:rPr>
                <w:sz w:val="24"/>
                <w:szCs w:val="24"/>
              </w:rPr>
            </w:pPr>
          </w:p>
          <w:p w14:paraId="64E6263B" w14:textId="77777777" w:rsidR="00FA1B5C" w:rsidRDefault="00FA1B5C" w:rsidP="00FA1B5C">
            <w:pPr>
              <w:jc w:val="both"/>
              <w:rPr>
                <w:sz w:val="24"/>
                <w:szCs w:val="24"/>
              </w:rPr>
            </w:pPr>
            <w:r w:rsidRPr="00FA1B5C">
              <w:rPr>
                <w:sz w:val="24"/>
                <w:szCs w:val="24"/>
              </w:rPr>
              <w:t>SSWBA promotes preventative services and the need for early intervention</w:t>
            </w:r>
            <w:r>
              <w:rPr>
                <w:sz w:val="24"/>
                <w:szCs w:val="24"/>
              </w:rPr>
              <w:t xml:space="preserve"> and </w:t>
            </w:r>
            <w:r w:rsidRPr="00FA1B5C">
              <w:rPr>
                <w:sz w:val="24"/>
                <w:szCs w:val="24"/>
              </w:rPr>
              <w:t>collaborative working to achieve positive outcomes (Social Services and Well-being (Wales) Act 2014).</w:t>
            </w:r>
          </w:p>
          <w:p w14:paraId="28C0DDEE" w14:textId="77777777" w:rsidR="00FA1B5C" w:rsidRDefault="00FA1B5C" w:rsidP="00FA1B5C">
            <w:pPr>
              <w:jc w:val="both"/>
              <w:rPr>
                <w:sz w:val="24"/>
                <w:szCs w:val="24"/>
              </w:rPr>
            </w:pPr>
          </w:p>
          <w:p w14:paraId="6839912D" w14:textId="34DD67BA" w:rsidR="00FA1B5C" w:rsidRDefault="00FA1B5C" w:rsidP="00FA1B5C">
            <w:pPr>
              <w:jc w:val="both"/>
              <w:rPr>
                <w:sz w:val="24"/>
                <w:szCs w:val="24"/>
              </w:rPr>
            </w:pPr>
            <w:r w:rsidRPr="00FA1B5C">
              <w:rPr>
                <w:sz w:val="24"/>
                <w:szCs w:val="24"/>
              </w:rPr>
              <w:t xml:space="preserve">National guidance is provided through </w:t>
            </w:r>
            <w:r w:rsidRPr="00FA1B5C">
              <w:rPr>
                <w:i/>
                <w:iCs/>
                <w:sz w:val="24"/>
                <w:szCs w:val="24"/>
              </w:rPr>
              <w:t>Working Together to Safeguard People</w:t>
            </w:r>
            <w:r w:rsidRPr="00FA1B5C">
              <w:rPr>
                <w:sz w:val="24"/>
                <w:szCs w:val="24"/>
              </w:rPr>
              <w:t xml:space="preserve"> (Welsh Government, 2022), and together with the </w:t>
            </w:r>
            <w:r w:rsidRPr="00FA1B5C">
              <w:rPr>
                <w:i/>
                <w:iCs/>
                <w:sz w:val="24"/>
                <w:szCs w:val="24"/>
              </w:rPr>
              <w:t>Wales Safeguarding Procedures</w:t>
            </w:r>
            <w:r w:rsidRPr="00FA1B5C">
              <w:rPr>
                <w:sz w:val="24"/>
                <w:szCs w:val="24"/>
              </w:rPr>
              <w:t xml:space="preserve"> (Social Care Wales, 2024), these establish processes for reporting concerns, assessing risk, and protecting children from abuse</w:t>
            </w:r>
            <w:r>
              <w:rPr>
                <w:sz w:val="24"/>
                <w:szCs w:val="24"/>
              </w:rPr>
              <w:t>/</w:t>
            </w:r>
            <w:r w:rsidRPr="00FA1B5C">
              <w:rPr>
                <w:sz w:val="24"/>
                <w:szCs w:val="24"/>
              </w:rPr>
              <w:t xml:space="preserve"> harm.</w:t>
            </w:r>
          </w:p>
          <w:p w14:paraId="53EE2570" w14:textId="77777777" w:rsidR="00FA1B5C" w:rsidRPr="00FA1B5C" w:rsidRDefault="00FA1B5C" w:rsidP="00FA1B5C">
            <w:pPr>
              <w:jc w:val="both"/>
              <w:rPr>
                <w:sz w:val="24"/>
                <w:szCs w:val="24"/>
              </w:rPr>
            </w:pPr>
          </w:p>
          <w:p w14:paraId="038359CC" w14:textId="3DB674D5" w:rsidR="00FA1B5C" w:rsidRDefault="00FA1B5C" w:rsidP="00FA1B5C">
            <w:pPr>
              <w:jc w:val="both"/>
              <w:rPr>
                <w:sz w:val="24"/>
                <w:szCs w:val="24"/>
              </w:rPr>
            </w:pPr>
            <w:r w:rsidRPr="00FA1B5C">
              <w:rPr>
                <w:sz w:val="24"/>
                <w:szCs w:val="24"/>
              </w:rPr>
              <w:t>Locally, Regional Safeguarding Boards were established under the SSWBA</w:t>
            </w:r>
            <w:r>
              <w:rPr>
                <w:sz w:val="24"/>
                <w:szCs w:val="24"/>
              </w:rPr>
              <w:t xml:space="preserve">. </w:t>
            </w:r>
            <w:r w:rsidRPr="00FA1B5C">
              <w:rPr>
                <w:sz w:val="24"/>
                <w:szCs w:val="24"/>
              </w:rPr>
              <w:t>These boards bring together a range of agencies to oversee safeguarding arrangements, develop policies, and review practice. Their role is essential in ensuring that statutory duties to work together to safeguard children are fulfilled (Welsh Government, 2022).</w:t>
            </w:r>
          </w:p>
          <w:p w14:paraId="526DA72C" w14:textId="77777777" w:rsidR="00FA1B5C" w:rsidRPr="00FA1B5C" w:rsidRDefault="00FA1B5C" w:rsidP="00FA1B5C">
            <w:pPr>
              <w:jc w:val="both"/>
              <w:rPr>
                <w:sz w:val="24"/>
                <w:szCs w:val="24"/>
              </w:rPr>
            </w:pPr>
          </w:p>
          <w:p w14:paraId="6118908B" w14:textId="77777777" w:rsidR="00FA1B5C" w:rsidRDefault="00FA1B5C" w:rsidP="00FA1B5C">
            <w:pPr>
              <w:jc w:val="both"/>
              <w:rPr>
                <w:sz w:val="24"/>
                <w:szCs w:val="24"/>
              </w:rPr>
            </w:pPr>
            <w:r w:rsidRPr="00FA1B5C">
              <w:rPr>
                <w:sz w:val="24"/>
                <w:szCs w:val="24"/>
              </w:rPr>
              <w:lastRenderedPageBreak/>
              <w:t>The Children Act 1989 introduced the paramountcy principle under Section 1, highlighting that the welfare of the child must be the paramount consideration (Children Act 1989). This Act places a duty on local authorities to safeguard children and investigate concerns. Section 47 of the Act states that local authorities have a duty to undertake enquiries and ensure that information is gathered from relevant agencies to determine whether child protection action is required (Children Act 1989). These enquiries are key to safeguarding children and supporting informed decision-making.</w:t>
            </w:r>
          </w:p>
          <w:p w14:paraId="19E416A3" w14:textId="77777777" w:rsidR="00FA1B5C" w:rsidRPr="00FA1B5C" w:rsidRDefault="00FA1B5C" w:rsidP="00FA1B5C">
            <w:pPr>
              <w:jc w:val="both"/>
              <w:rPr>
                <w:sz w:val="24"/>
                <w:szCs w:val="24"/>
              </w:rPr>
            </w:pPr>
          </w:p>
          <w:p w14:paraId="066E0F7F" w14:textId="0121DC01" w:rsidR="00FA1B5C" w:rsidRDefault="00FA1B5C" w:rsidP="00FA1B5C">
            <w:pPr>
              <w:jc w:val="both"/>
              <w:rPr>
                <w:sz w:val="24"/>
                <w:szCs w:val="24"/>
              </w:rPr>
            </w:pPr>
            <w:r w:rsidRPr="00FA1B5C">
              <w:rPr>
                <w:sz w:val="24"/>
                <w:szCs w:val="24"/>
              </w:rPr>
              <w:t>The Children Act 2004 strengthened safeguarding arrangements by requiring agencies to work collaboratively and share information to improve outcomes for children (Children Act 2004).</w:t>
            </w:r>
          </w:p>
          <w:p w14:paraId="1E386CA5" w14:textId="77777777" w:rsidR="00FA1B5C" w:rsidRPr="00FA1B5C" w:rsidRDefault="00FA1B5C" w:rsidP="00FA1B5C">
            <w:pPr>
              <w:jc w:val="both"/>
              <w:rPr>
                <w:sz w:val="24"/>
                <w:szCs w:val="24"/>
              </w:rPr>
            </w:pPr>
          </w:p>
          <w:p w14:paraId="7F561839" w14:textId="77777777" w:rsidR="00FA1B5C" w:rsidRDefault="00FA1B5C" w:rsidP="00FA1B5C">
            <w:pPr>
              <w:jc w:val="both"/>
              <w:rPr>
                <w:sz w:val="24"/>
                <w:szCs w:val="24"/>
              </w:rPr>
            </w:pPr>
            <w:r w:rsidRPr="00FA1B5C">
              <w:rPr>
                <w:sz w:val="24"/>
                <w:szCs w:val="24"/>
              </w:rPr>
              <w:t xml:space="preserve">The United Nations Convention on the Rights of the Child (UNCRC) 1989 protects children's rights by recognising their rights to protection, participation, and provision (United Nations, 1989). </w:t>
            </w:r>
          </w:p>
          <w:p w14:paraId="18BE2026" w14:textId="0B01B343" w:rsidR="00FA1B5C" w:rsidRDefault="00FA1B5C" w:rsidP="00FA1B5C">
            <w:pPr>
              <w:jc w:val="both"/>
              <w:rPr>
                <w:sz w:val="24"/>
                <w:szCs w:val="24"/>
              </w:rPr>
            </w:pPr>
            <w:r w:rsidRPr="00FA1B5C">
              <w:rPr>
                <w:sz w:val="24"/>
                <w:szCs w:val="24"/>
              </w:rPr>
              <w:t xml:space="preserve">In Wales, these rights are strengthened by the Rights of Children and Young Persons (Wales) Measure 2011, which requires Welsh Ministers to give due regard to children's rights when developing policy and legislation (Rights of Children and Young Persons (Wales) Measure 2011). </w:t>
            </w:r>
          </w:p>
          <w:p w14:paraId="47553D4C" w14:textId="5B46BADA" w:rsidR="00FA1B5C" w:rsidRDefault="00FA1B5C" w:rsidP="00FA1B5C">
            <w:pPr>
              <w:jc w:val="both"/>
              <w:rPr>
                <w:sz w:val="24"/>
                <w:szCs w:val="24"/>
              </w:rPr>
            </w:pPr>
            <w:r w:rsidRPr="00FA1B5C">
              <w:rPr>
                <w:sz w:val="24"/>
                <w:szCs w:val="24"/>
              </w:rPr>
              <w:t>This measure has ensured that social workers take children's views into account when completing safeguarding assessments</w:t>
            </w:r>
            <w:r>
              <w:rPr>
                <w:sz w:val="24"/>
                <w:szCs w:val="24"/>
              </w:rPr>
              <w:t xml:space="preserve">. </w:t>
            </w:r>
          </w:p>
          <w:p w14:paraId="79176051" w14:textId="77777777" w:rsidR="00FA1B5C" w:rsidRPr="00FA1B5C" w:rsidRDefault="00FA1B5C" w:rsidP="00FA1B5C">
            <w:pPr>
              <w:jc w:val="both"/>
              <w:rPr>
                <w:sz w:val="24"/>
                <w:szCs w:val="24"/>
              </w:rPr>
            </w:pPr>
          </w:p>
          <w:p w14:paraId="0F65382D" w14:textId="55299EDE" w:rsidR="00FA1B5C" w:rsidRDefault="00FA1B5C" w:rsidP="00FA1B5C">
            <w:pPr>
              <w:jc w:val="both"/>
              <w:rPr>
                <w:sz w:val="24"/>
                <w:szCs w:val="24"/>
              </w:rPr>
            </w:pPr>
            <w:r w:rsidRPr="00FA1B5C">
              <w:rPr>
                <w:sz w:val="24"/>
                <w:szCs w:val="24"/>
              </w:rPr>
              <w:t xml:space="preserve">The Human Rights Act 1998 supports safeguarding by protecting children's rights. </w:t>
            </w:r>
            <w:r w:rsidR="0019208E">
              <w:rPr>
                <w:sz w:val="24"/>
                <w:szCs w:val="24"/>
              </w:rPr>
              <w:t>I</w:t>
            </w:r>
            <w:r w:rsidRPr="00FA1B5C">
              <w:rPr>
                <w:sz w:val="24"/>
                <w:szCs w:val="24"/>
              </w:rPr>
              <w:t xml:space="preserve">t is important that social workers balance these rights against their duty to protect children from harm and abuse (Human Rights Act 1998). </w:t>
            </w:r>
          </w:p>
          <w:p w14:paraId="70824AE7" w14:textId="77777777" w:rsidR="00FA1B5C" w:rsidRDefault="00FA1B5C" w:rsidP="00FA1B5C">
            <w:pPr>
              <w:jc w:val="both"/>
              <w:rPr>
                <w:sz w:val="24"/>
                <w:szCs w:val="24"/>
              </w:rPr>
            </w:pPr>
          </w:p>
          <w:p w14:paraId="2C1D755C" w14:textId="3928E267" w:rsidR="00FA1B5C" w:rsidRDefault="00FA1B5C" w:rsidP="00FA1B5C">
            <w:pPr>
              <w:jc w:val="both"/>
              <w:rPr>
                <w:sz w:val="24"/>
                <w:szCs w:val="24"/>
              </w:rPr>
            </w:pPr>
            <w:r w:rsidRPr="00FA1B5C">
              <w:rPr>
                <w:sz w:val="24"/>
                <w:szCs w:val="24"/>
              </w:rPr>
              <w:t>An understanding of Gillick Competence and the Fraser Guidelines is also important, as these enable children under the age of 16 who can demonstrate sufficient maturity and understanding to participate in decisions affecting them (</w:t>
            </w:r>
            <w:r w:rsidRPr="00FA1B5C">
              <w:rPr>
                <w:i/>
                <w:iCs/>
                <w:sz w:val="24"/>
                <w:szCs w:val="24"/>
              </w:rPr>
              <w:t>Gillick v West Norfolk and Wisbech Area Health Authority</w:t>
            </w:r>
            <w:r w:rsidRPr="00FA1B5C">
              <w:rPr>
                <w:sz w:val="24"/>
                <w:szCs w:val="24"/>
              </w:rPr>
              <w:t>, 1986).</w:t>
            </w:r>
          </w:p>
          <w:p w14:paraId="4855C74E" w14:textId="77777777" w:rsidR="00FA1B5C" w:rsidRPr="00FA1B5C" w:rsidRDefault="00FA1B5C" w:rsidP="00FA1B5C">
            <w:pPr>
              <w:jc w:val="both"/>
              <w:rPr>
                <w:sz w:val="24"/>
                <w:szCs w:val="24"/>
              </w:rPr>
            </w:pPr>
          </w:p>
          <w:p w14:paraId="2E0BE48D" w14:textId="77777777" w:rsidR="00FA1B5C" w:rsidRDefault="00FA1B5C" w:rsidP="00FA1B5C">
            <w:pPr>
              <w:jc w:val="both"/>
              <w:rPr>
                <w:sz w:val="24"/>
                <w:szCs w:val="24"/>
              </w:rPr>
            </w:pPr>
            <w:r w:rsidRPr="00FA1B5C">
              <w:rPr>
                <w:sz w:val="24"/>
                <w:szCs w:val="24"/>
              </w:rPr>
              <w:t xml:space="preserve">Factors that may indicate a child is at risk include domestic abuse, exploitation, and neglect. Indicators of such abuse may include unexplained injuries, emotional distress, changes in behaviour, or poor hygiene (Social Care Wales, 2024). </w:t>
            </w:r>
          </w:p>
          <w:p w14:paraId="07C73EDD" w14:textId="77777777" w:rsidR="00FA1B5C" w:rsidRDefault="00FA1B5C" w:rsidP="00FA1B5C">
            <w:pPr>
              <w:jc w:val="both"/>
              <w:rPr>
                <w:sz w:val="24"/>
                <w:szCs w:val="24"/>
              </w:rPr>
            </w:pPr>
          </w:p>
          <w:p w14:paraId="15163469" w14:textId="410CAC75" w:rsidR="00FA1B5C" w:rsidRPr="00FA1B5C" w:rsidRDefault="00FA1B5C" w:rsidP="00FA1B5C">
            <w:pPr>
              <w:jc w:val="both"/>
              <w:rPr>
                <w:sz w:val="24"/>
                <w:szCs w:val="24"/>
              </w:rPr>
            </w:pPr>
            <w:r>
              <w:rPr>
                <w:sz w:val="24"/>
                <w:szCs w:val="24"/>
              </w:rPr>
              <w:t>E</w:t>
            </w:r>
            <w:r w:rsidRPr="00FA1B5C">
              <w:rPr>
                <w:sz w:val="24"/>
                <w:szCs w:val="24"/>
              </w:rPr>
              <w:t>arly identification and intervention are fundamental to safeguarding children</w:t>
            </w:r>
            <w:r>
              <w:rPr>
                <w:sz w:val="24"/>
                <w:szCs w:val="24"/>
              </w:rPr>
              <w:t xml:space="preserve">. </w:t>
            </w:r>
            <w:r w:rsidRPr="00FA1B5C">
              <w:rPr>
                <w:sz w:val="24"/>
                <w:szCs w:val="24"/>
              </w:rPr>
              <w:t>Safeguarding is a shared responsibility that extends across all areas of social work practice</w:t>
            </w:r>
            <w:r>
              <w:rPr>
                <w:sz w:val="24"/>
                <w:szCs w:val="24"/>
              </w:rPr>
              <w:t>.</w:t>
            </w:r>
            <w:r w:rsidRPr="00FA1B5C">
              <w:rPr>
                <w:sz w:val="24"/>
                <w:szCs w:val="24"/>
              </w:rPr>
              <w:t xml:space="preserve"> (Welsh Government, 2022).</w:t>
            </w:r>
          </w:p>
          <w:p w14:paraId="50D7F20D" w14:textId="07DDBD9C" w:rsidR="00107DA4" w:rsidRPr="00107DA4" w:rsidRDefault="00107DA4" w:rsidP="00107DA4">
            <w:pPr>
              <w:jc w:val="both"/>
              <w:rPr>
                <w:sz w:val="24"/>
                <w:szCs w:val="24"/>
              </w:rPr>
            </w:pPr>
          </w:p>
          <w:p w14:paraId="183E66E3" w14:textId="076DB8E3" w:rsidR="00E47588" w:rsidRDefault="00E47588" w:rsidP="00FF7EBB">
            <w:pPr>
              <w:jc w:val="both"/>
              <w:rPr>
                <w:sz w:val="24"/>
                <w:szCs w:val="24"/>
              </w:rPr>
            </w:pPr>
          </w:p>
          <w:p w14:paraId="6D8CB8AF" w14:textId="00FA53F2" w:rsidR="00FC0334" w:rsidRPr="007C412A" w:rsidRDefault="007C412A" w:rsidP="00FF7EBB">
            <w:pPr>
              <w:jc w:val="both"/>
              <w:rPr>
                <w:b/>
                <w:bCs/>
                <w:sz w:val="24"/>
                <w:szCs w:val="24"/>
              </w:rPr>
            </w:pPr>
            <w:r>
              <w:rPr>
                <w:b/>
                <w:bCs/>
                <w:sz w:val="24"/>
                <w:szCs w:val="24"/>
              </w:rPr>
              <w:t>Word Count- 5</w:t>
            </w:r>
            <w:r w:rsidR="0019208E">
              <w:rPr>
                <w:b/>
                <w:bCs/>
                <w:sz w:val="24"/>
                <w:szCs w:val="24"/>
              </w:rPr>
              <w:t>71</w:t>
            </w:r>
            <w:r w:rsidR="00FA1B5C">
              <w:rPr>
                <w:b/>
                <w:bCs/>
                <w:sz w:val="24"/>
                <w:szCs w:val="24"/>
              </w:rPr>
              <w:t xml:space="preserve"> (500 + 10% = 550)</w:t>
            </w: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48256E1F" w:rsidR="00FC0334" w:rsidRDefault="00EE38E9" w:rsidP="00FC0334">
            <w:pPr>
              <w:jc w:val="both"/>
              <w:rPr>
                <w:sz w:val="24"/>
                <w:szCs w:val="24"/>
              </w:rPr>
            </w:pPr>
            <w:r>
              <w:rPr>
                <w:sz w:val="24"/>
                <w:szCs w:val="24"/>
              </w:rPr>
              <w:t xml:space="preserve">I have been able to develop a greater understanding of the differences between safeguarding adults and children, particularly regarding intervention and application of professional judgement in complex situations. Whilst both safeguarding in adults and children aims to protect the individual in question from abuse, neglect and harm the legal framework, thresholds for intervention and decision-making processes differ. </w:t>
            </w:r>
          </w:p>
          <w:p w14:paraId="6499E433" w14:textId="77777777" w:rsidR="00EE38E9" w:rsidRDefault="00EE38E9" w:rsidP="00FC0334">
            <w:pPr>
              <w:jc w:val="both"/>
              <w:rPr>
                <w:sz w:val="24"/>
                <w:szCs w:val="24"/>
              </w:rPr>
            </w:pPr>
          </w:p>
          <w:p w14:paraId="34F81456" w14:textId="5DE48369" w:rsidR="00EE38E9" w:rsidRDefault="00EE38E9" w:rsidP="00FC0334">
            <w:pPr>
              <w:jc w:val="both"/>
              <w:rPr>
                <w:sz w:val="24"/>
                <w:szCs w:val="24"/>
              </w:rPr>
            </w:pPr>
            <w:r>
              <w:rPr>
                <w:sz w:val="24"/>
                <w:szCs w:val="24"/>
              </w:rPr>
              <w:t xml:space="preserve">Regarding intervention within children’s safeguarding the welfare of the child </w:t>
            </w:r>
            <w:r w:rsidR="005B52C7">
              <w:rPr>
                <w:sz w:val="24"/>
                <w:szCs w:val="24"/>
              </w:rPr>
              <w:t>is always paramount</w:t>
            </w:r>
            <w:r>
              <w:rPr>
                <w:sz w:val="24"/>
                <w:szCs w:val="24"/>
              </w:rPr>
              <w:t>. Social Wok</w:t>
            </w:r>
            <w:r w:rsidR="005B52C7">
              <w:rPr>
                <w:sz w:val="24"/>
                <w:szCs w:val="24"/>
              </w:rPr>
              <w:t>er</w:t>
            </w:r>
            <w:r>
              <w:rPr>
                <w:sz w:val="24"/>
                <w:szCs w:val="24"/>
              </w:rPr>
              <w:t>s have a duty to intervene where there are concerns that a child is at risk of suffering any abuse or harm. This is supported by both the Childrens Act 1989 and the Social Services and Wellbeing Act (Wales) 2014 (SSWBA) which places a responsibility on agencies to act in the child’s best interest (legislation.gov.uk,2014). In comparison, adult safeguarding focuses on protecting the adult in question against their right to autonomy</w:t>
            </w:r>
            <w:r w:rsidR="005B52C7">
              <w:rPr>
                <w:sz w:val="24"/>
                <w:szCs w:val="24"/>
              </w:rPr>
              <w:t xml:space="preserve"> in line with the Human Rights Act 19</w:t>
            </w:r>
            <w:r w:rsidR="00E052A0">
              <w:rPr>
                <w:sz w:val="24"/>
                <w:szCs w:val="24"/>
              </w:rPr>
              <w:t>98.</w:t>
            </w:r>
          </w:p>
          <w:p w14:paraId="63788EFF" w14:textId="77777777" w:rsidR="00EE38E9" w:rsidRDefault="00EE38E9" w:rsidP="00FC0334">
            <w:pPr>
              <w:jc w:val="both"/>
              <w:rPr>
                <w:sz w:val="24"/>
                <w:szCs w:val="24"/>
              </w:rPr>
            </w:pPr>
          </w:p>
          <w:p w14:paraId="1FEDAC73" w14:textId="3A10ADFB" w:rsidR="00EE38E9" w:rsidRDefault="00EE38E9" w:rsidP="00FC0334">
            <w:pPr>
              <w:jc w:val="both"/>
              <w:rPr>
                <w:sz w:val="24"/>
                <w:szCs w:val="24"/>
              </w:rPr>
            </w:pPr>
            <w:r>
              <w:rPr>
                <w:sz w:val="24"/>
                <w:szCs w:val="24"/>
              </w:rPr>
              <w:t>If an adult is deemed to have mental capacity, in line with the Mental Capacity Act 201</w:t>
            </w:r>
            <w:r w:rsidR="00E052A0">
              <w:rPr>
                <w:sz w:val="24"/>
                <w:szCs w:val="24"/>
              </w:rPr>
              <w:t>5</w:t>
            </w:r>
            <w:r>
              <w:rPr>
                <w:sz w:val="24"/>
                <w:szCs w:val="24"/>
              </w:rPr>
              <w:t xml:space="preserve"> they have the right to make what is known as unwise decision which can result in intervention being not as straight forward. Furthermore, SSWBA places clear emphasis on voice, choice and control when working with adults deemed to be at risk. </w:t>
            </w:r>
          </w:p>
          <w:p w14:paraId="0F0F4EF7" w14:textId="77777777" w:rsidR="00EE38E9" w:rsidRDefault="00EE38E9" w:rsidP="00FC0334">
            <w:pPr>
              <w:jc w:val="both"/>
              <w:rPr>
                <w:sz w:val="24"/>
                <w:szCs w:val="24"/>
              </w:rPr>
            </w:pPr>
          </w:p>
          <w:p w14:paraId="3FEA1B2E" w14:textId="77777777" w:rsidR="005B52C7" w:rsidRDefault="005B52C7" w:rsidP="00FC0334">
            <w:pPr>
              <w:jc w:val="both"/>
              <w:rPr>
                <w:sz w:val="24"/>
                <w:szCs w:val="24"/>
              </w:rPr>
            </w:pPr>
            <w:r>
              <w:rPr>
                <w:sz w:val="24"/>
                <w:szCs w:val="24"/>
              </w:rPr>
              <w:t>When working with children professional judgement as social workers is based on several factors including risk analysis and developmental needs and evidence-based decisions need to be made around whether statutory intervention is required to protect the child in question.</w:t>
            </w:r>
          </w:p>
          <w:p w14:paraId="071B2499" w14:textId="77777777" w:rsidR="005B52C7" w:rsidRDefault="005B52C7" w:rsidP="00FC0334">
            <w:pPr>
              <w:jc w:val="both"/>
              <w:rPr>
                <w:sz w:val="24"/>
                <w:szCs w:val="24"/>
              </w:rPr>
            </w:pPr>
          </w:p>
          <w:p w14:paraId="36B82C6E" w14:textId="3757C877" w:rsidR="00EE38E9" w:rsidRDefault="005B52C7" w:rsidP="00FC0334">
            <w:pPr>
              <w:jc w:val="both"/>
              <w:rPr>
                <w:sz w:val="24"/>
                <w:szCs w:val="24"/>
              </w:rPr>
            </w:pPr>
            <w:r>
              <w:rPr>
                <w:sz w:val="24"/>
                <w:szCs w:val="24"/>
              </w:rPr>
              <w:t xml:space="preserve">In comparison, when working with adults’ professional judgement can be seen as slightly more complex as consideration to consent, mental capacity and outcomes must be considered. An adult deemed at risk may refuse support and at this juncture it is the job of the social worker to assess whether the person can make an informed decision and whether safeguarding duties outweigh the right to autonomy. </w:t>
            </w:r>
          </w:p>
          <w:p w14:paraId="3035ECED" w14:textId="77777777" w:rsidR="00EE38E9" w:rsidRDefault="00EE38E9" w:rsidP="00FC0334">
            <w:pPr>
              <w:jc w:val="both"/>
              <w:rPr>
                <w:sz w:val="24"/>
                <w:szCs w:val="24"/>
              </w:rPr>
            </w:pPr>
          </w:p>
          <w:p w14:paraId="478D2F84" w14:textId="10DF497C" w:rsidR="00FC0334" w:rsidRDefault="005B52C7" w:rsidP="00FC0334">
            <w:pPr>
              <w:jc w:val="both"/>
              <w:rPr>
                <w:sz w:val="24"/>
                <w:szCs w:val="24"/>
              </w:rPr>
            </w:pPr>
            <w:r>
              <w:rPr>
                <w:sz w:val="24"/>
                <w:szCs w:val="24"/>
              </w:rPr>
              <w:t>Another key area that has been noted is the role of multi-agency working. In children’s safeguarding mu</w:t>
            </w:r>
            <w:r w:rsidR="00A17C5B">
              <w:rPr>
                <w:sz w:val="24"/>
                <w:szCs w:val="24"/>
              </w:rPr>
              <w:t>lt</w:t>
            </w:r>
            <w:r>
              <w:rPr>
                <w:sz w:val="24"/>
                <w:szCs w:val="24"/>
              </w:rPr>
              <w:t xml:space="preserve">i-agency working is noted to be quite directive with varying agencies sharing information and co-ordinating an approach to ensure the welfare of the child is paramount and decisions may be made on behalf of the child if the concerns are that significant. In comparison, whilst multi-agency working takes place within adult safeguarding this needs to be done whilst respecting the views and wishes of the adult in question. </w:t>
            </w:r>
          </w:p>
          <w:p w14:paraId="1D979973" w14:textId="77777777" w:rsidR="00A17C5B" w:rsidRDefault="00A17C5B" w:rsidP="00FC0334">
            <w:pPr>
              <w:jc w:val="both"/>
              <w:rPr>
                <w:sz w:val="24"/>
                <w:szCs w:val="24"/>
              </w:rPr>
            </w:pPr>
          </w:p>
          <w:p w14:paraId="3A0FADE0" w14:textId="798295CA" w:rsidR="00A17C5B" w:rsidRDefault="00A17C5B" w:rsidP="00FC0334">
            <w:pPr>
              <w:jc w:val="both"/>
              <w:rPr>
                <w:sz w:val="24"/>
                <w:szCs w:val="24"/>
              </w:rPr>
            </w:pPr>
            <w:r>
              <w:rPr>
                <w:sz w:val="24"/>
                <w:szCs w:val="24"/>
              </w:rPr>
              <w:t>This learning has strengthened my understanding that effective safeguarding requires social workers to adapt their interventions to the legal and ethical context of the individuals. The ability to apply professional judgement in complex situations is essential, particularly when balancing risk, rights and wellbeing across adults and children’s services (Preston-Shoot and McKimm, 2011).</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1777988B" w:rsidR="00FC0334" w:rsidRPr="00A17C5B" w:rsidRDefault="00A17C5B" w:rsidP="00FC0334">
            <w:pPr>
              <w:jc w:val="both"/>
              <w:rPr>
                <w:b/>
                <w:bCs/>
                <w:sz w:val="24"/>
                <w:szCs w:val="24"/>
              </w:rPr>
            </w:pPr>
            <w:r>
              <w:rPr>
                <w:b/>
                <w:bCs/>
                <w:sz w:val="24"/>
                <w:szCs w:val="24"/>
              </w:rPr>
              <w:t>Word Count- 448 (400 + 10% = 440)</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14059" w14:textId="77777777" w:rsidR="007F5B13" w:rsidRDefault="007F5B13">
      <w:r>
        <w:separator/>
      </w:r>
    </w:p>
  </w:endnote>
  <w:endnote w:type="continuationSeparator" w:id="0">
    <w:p w14:paraId="183958F1" w14:textId="77777777" w:rsidR="007F5B13" w:rsidRDefault="007F5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17C59" w14:textId="77777777" w:rsidR="007F5B13" w:rsidRDefault="007F5B13">
      <w:r>
        <w:separator/>
      </w:r>
    </w:p>
  </w:footnote>
  <w:footnote w:type="continuationSeparator" w:id="0">
    <w:p w14:paraId="6FCDE3B2" w14:textId="77777777" w:rsidR="007F5B13" w:rsidRDefault="007F5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0B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DA4"/>
    <w:rsid w:val="00112391"/>
    <w:rsid w:val="00114F52"/>
    <w:rsid w:val="00130119"/>
    <w:rsid w:val="00132812"/>
    <w:rsid w:val="0013459B"/>
    <w:rsid w:val="001347F8"/>
    <w:rsid w:val="001359EE"/>
    <w:rsid w:val="00137BB5"/>
    <w:rsid w:val="00137E05"/>
    <w:rsid w:val="001447F6"/>
    <w:rsid w:val="00147DE3"/>
    <w:rsid w:val="00150794"/>
    <w:rsid w:val="00151DA6"/>
    <w:rsid w:val="001608C4"/>
    <w:rsid w:val="00164832"/>
    <w:rsid w:val="00171418"/>
    <w:rsid w:val="001772BF"/>
    <w:rsid w:val="001772DE"/>
    <w:rsid w:val="0019208E"/>
    <w:rsid w:val="0019496C"/>
    <w:rsid w:val="001961CF"/>
    <w:rsid w:val="001A59BB"/>
    <w:rsid w:val="001A607E"/>
    <w:rsid w:val="001A6A51"/>
    <w:rsid w:val="001A79C4"/>
    <w:rsid w:val="001B331A"/>
    <w:rsid w:val="001C0237"/>
    <w:rsid w:val="001C0E74"/>
    <w:rsid w:val="001C266D"/>
    <w:rsid w:val="001C4DB8"/>
    <w:rsid w:val="001C50B8"/>
    <w:rsid w:val="001D229F"/>
    <w:rsid w:val="001D68F2"/>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4B9"/>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A737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3C3"/>
    <w:rsid w:val="00546187"/>
    <w:rsid w:val="00547B11"/>
    <w:rsid w:val="0055793E"/>
    <w:rsid w:val="00557D77"/>
    <w:rsid w:val="00562EAA"/>
    <w:rsid w:val="00563B58"/>
    <w:rsid w:val="005640C4"/>
    <w:rsid w:val="0056684C"/>
    <w:rsid w:val="00574A0C"/>
    <w:rsid w:val="0057780F"/>
    <w:rsid w:val="00581E0A"/>
    <w:rsid w:val="00586D89"/>
    <w:rsid w:val="005877C8"/>
    <w:rsid w:val="00587923"/>
    <w:rsid w:val="00594F9F"/>
    <w:rsid w:val="005A07F1"/>
    <w:rsid w:val="005A1B4C"/>
    <w:rsid w:val="005A545C"/>
    <w:rsid w:val="005B271A"/>
    <w:rsid w:val="005B3A2D"/>
    <w:rsid w:val="005B52C7"/>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283"/>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C50"/>
    <w:rsid w:val="007A1F6A"/>
    <w:rsid w:val="007A628F"/>
    <w:rsid w:val="007B0DE3"/>
    <w:rsid w:val="007B1BFD"/>
    <w:rsid w:val="007B7191"/>
    <w:rsid w:val="007C1D94"/>
    <w:rsid w:val="007C412A"/>
    <w:rsid w:val="007C47AD"/>
    <w:rsid w:val="007C556F"/>
    <w:rsid w:val="007C5ABE"/>
    <w:rsid w:val="007C6A87"/>
    <w:rsid w:val="007D0A07"/>
    <w:rsid w:val="007D0F11"/>
    <w:rsid w:val="007D133D"/>
    <w:rsid w:val="007D3EB4"/>
    <w:rsid w:val="007D3F16"/>
    <w:rsid w:val="007F10BD"/>
    <w:rsid w:val="007F312E"/>
    <w:rsid w:val="007F3F7E"/>
    <w:rsid w:val="007F4BA4"/>
    <w:rsid w:val="007F5B1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C5B"/>
    <w:rsid w:val="00A22441"/>
    <w:rsid w:val="00A23F3B"/>
    <w:rsid w:val="00A24406"/>
    <w:rsid w:val="00A25F64"/>
    <w:rsid w:val="00A275F6"/>
    <w:rsid w:val="00A303B9"/>
    <w:rsid w:val="00A35172"/>
    <w:rsid w:val="00A37416"/>
    <w:rsid w:val="00A37B52"/>
    <w:rsid w:val="00A40ED6"/>
    <w:rsid w:val="00A47621"/>
    <w:rsid w:val="00A479CD"/>
    <w:rsid w:val="00A50CFC"/>
    <w:rsid w:val="00A53CBE"/>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4C48"/>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77E94"/>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52A0"/>
    <w:rsid w:val="00E15751"/>
    <w:rsid w:val="00E17160"/>
    <w:rsid w:val="00E17D41"/>
    <w:rsid w:val="00E231D1"/>
    <w:rsid w:val="00E23357"/>
    <w:rsid w:val="00E3288D"/>
    <w:rsid w:val="00E35112"/>
    <w:rsid w:val="00E35BEC"/>
    <w:rsid w:val="00E41A6A"/>
    <w:rsid w:val="00E47588"/>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8E9"/>
    <w:rsid w:val="00EE39D6"/>
    <w:rsid w:val="00EE52AD"/>
    <w:rsid w:val="00EE5BC3"/>
    <w:rsid w:val="00EE6FAB"/>
    <w:rsid w:val="00EF328C"/>
    <w:rsid w:val="00EF68BB"/>
    <w:rsid w:val="00F01F92"/>
    <w:rsid w:val="00F030D4"/>
    <w:rsid w:val="00F04053"/>
    <w:rsid w:val="00F06573"/>
    <w:rsid w:val="00F10A08"/>
    <w:rsid w:val="00F15354"/>
    <w:rsid w:val="00F2149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1B5C"/>
    <w:rsid w:val="00FA23BD"/>
    <w:rsid w:val="00FA3764"/>
    <w:rsid w:val="00FA41C7"/>
    <w:rsid w:val="00FA4A79"/>
    <w:rsid w:val="00FA56ED"/>
    <w:rsid w:val="00FB05DD"/>
    <w:rsid w:val="00FB0F7C"/>
    <w:rsid w:val="00FB24EA"/>
    <w:rsid w:val="00FB5FA6"/>
    <w:rsid w:val="00FC0334"/>
    <w:rsid w:val="00FC1310"/>
    <w:rsid w:val="00FC1EA1"/>
    <w:rsid w:val="00FC2FF3"/>
    <w:rsid w:val="00FC3263"/>
    <w:rsid w:val="00FC51F9"/>
    <w:rsid w:val="00FC5B40"/>
    <w:rsid w:val="00FC5FF8"/>
    <w:rsid w:val="00FD18A2"/>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5</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Bickle</cp:lastModifiedBy>
  <cp:revision>6</cp:revision>
  <cp:lastPrinted>2020-02-11T19:20:00Z</cp:lastPrinted>
  <dcterms:created xsi:type="dcterms:W3CDTF">2026-08-29T09:03:00Z</dcterms:created>
  <dcterms:modified xsi:type="dcterms:W3CDTF">2026-10-06T18:18:00Z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