
<file path=[Content_Types].xml><?xml version="1.0" encoding="utf-8"?>
<Types xmlns="http://schemas.openxmlformats.org/package/2006/content-types">
  <Default Extension="bin" ContentType="application/vnd.openxmlformats-officedocument.oleObject"/>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58B94A" w14:textId="45708B35" w:rsidR="00DF3BE3" w:rsidRPr="00480ABE" w:rsidRDefault="001F6E85" w:rsidP="00480ABE">
      <w:pPr>
        <w:jc w:val="center"/>
        <w:rPr>
          <w:rFonts w:eastAsiaTheme="majorEastAsia"/>
          <w:sz w:val="32"/>
          <w:szCs w:val="32"/>
        </w:rPr>
      </w:pPr>
      <w:r>
        <w:rPr>
          <w:rFonts w:eastAsiaTheme="majorEastAsia"/>
          <w:sz w:val="32"/>
          <w:szCs w:val="32"/>
        </w:rPr>
        <w:t>Virgil: The Aeneid</w:t>
      </w:r>
    </w:p>
    <w:p w14:paraId="18C939CE" w14:textId="77777777" w:rsidR="00DF3BE3" w:rsidRPr="00480ABE" w:rsidRDefault="00DF3BE3" w:rsidP="00DF3BE3"/>
    <w:p w14:paraId="7ABB5937" w14:textId="29C7F146" w:rsidR="00DF3BE3" w:rsidRPr="00480ABE" w:rsidRDefault="00DF3BE3" w:rsidP="00DF3BE3">
      <w:r w:rsidRPr="00480ABE">
        <w:tab/>
        <w:t>Name</w:t>
      </w:r>
      <w:r w:rsidRPr="00480ABE">
        <w:tab/>
      </w:r>
      <w:r w:rsidRPr="00480ABE">
        <w:tab/>
      </w:r>
      <w:r w:rsidRPr="00480ABE">
        <w:tab/>
        <w:t xml:space="preserve">Craig Wright </w:t>
      </w:r>
      <w:r w:rsidR="00BB2B3A">
        <w:t>PhD</w:t>
      </w:r>
    </w:p>
    <w:p w14:paraId="2EF276A2" w14:textId="767FDBE0" w:rsidR="00DF3BE3" w:rsidRPr="00480ABE" w:rsidRDefault="00DF3BE3" w:rsidP="00DF3BE3"/>
    <w:p w14:paraId="26BDE07F" w14:textId="2877D027" w:rsidR="00DF3BE3" w:rsidRPr="00480ABE" w:rsidRDefault="00DF3BE3" w:rsidP="00DF3BE3">
      <w:r w:rsidRPr="00480ABE">
        <w:tab/>
        <w:t>Date</w:t>
      </w:r>
      <w:r w:rsidRPr="00480ABE">
        <w:tab/>
      </w:r>
      <w:r w:rsidRPr="00480ABE">
        <w:tab/>
      </w:r>
      <w:r w:rsidRPr="00480ABE">
        <w:tab/>
      </w:r>
      <w:r w:rsidR="0009764A">
        <w:t>17</w:t>
      </w:r>
      <w:r w:rsidR="00471120" w:rsidRPr="00471120">
        <w:rPr>
          <w:vertAlign w:val="superscript"/>
        </w:rPr>
        <w:t>th</w:t>
      </w:r>
      <w:r w:rsidR="00471120">
        <w:t xml:space="preserve"> </w:t>
      </w:r>
      <w:r w:rsidR="001F6E85">
        <w:t>May</w:t>
      </w:r>
      <w:r w:rsidRPr="00480ABE">
        <w:t xml:space="preserve"> 2022</w:t>
      </w:r>
    </w:p>
    <w:p w14:paraId="5D5A407A" w14:textId="63850E18" w:rsidR="00DF3BE3" w:rsidRPr="00480ABE" w:rsidRDefault="00DF3BE3" w:rsidP="00DF3BE3"/>
    <w:p w14:paraId="3C4D6752" w14:textId="1F4F378A" w:rsidR="00DF3BE3" w:rsidRDefault="00480ABE" w:rsidP="00480ABE">
      <w:pPr>
        <w:jc w:val="center"/>
      </w:pPr>
      <w:r w:rsidRPr="00480ABE">
        <w:t>University of Wales Trinity</w:t>
      </w:r>
      <w:r>
        <w:t xml:space="preserve"> Saint </w:t>
      </w:r>
      <w:r w:rsidRPr="00480ABE">
        <w:t>David</w:t>
      </w:r>
    </w:p>
    <w:p w14:paraId="3D1272DD" w14:textId="07CD57F0" w:rsidR="00480ABE" w:rsidRDefault="00480ABE" w:rsidP="00480ABE">
      <w:pPr>
        <w:jc w:val="center"/>
      </w:pPr>
    </w:p>
    <w:p w14:paraId="6BB348E2" w14:textId="77777777" w:rsidR="00480ABE" w:rsidRPr="00480ABE" w:rsidRDefault="00480ABE" w:rsidP="00480ABE">
      <w:pPr>
        <w:jc w:val="center"/>
      </w:pPr>
    </w:p>
    <w:p w14:paraId="00819693" w14:textId="77777777" w:rsidR="00DF3BE3" w:rsidRPr="00480ABE" w:rsidRDefault="00DF3BE3" w:rsidP="0066260A">
      <w:pPr>
        <w:jc w:val="center"/>
        <w:rPr>
          <w:b/>
          <w:bCs/>
        </w:rPr>
      </w:pPr>
      <w:r w:rsidRPr="00480ABE">
        <w:rPr>
          <w:b/>
          <w:bCs/>
        </w:rPr>
        <w:t>Abstract</w:t>
      </w:r>
    </w:p>
    <w:p w14:paraId="067A3A75" w14:textId="6FAAB50B" w:rsidR="00DF3BE3" w:rsidRDefault="000E2C8C" w:rsidP="00DF3BE3">
      <w:r w:rsidRPr="000E2C8C">
        <w:t xml:space="preserve">Virgil’s epic has inspired countless generations </w:t>
      </w:r>
      <w:r w:rsidR="002A1E10">
        <w:t xml:space="preserve">because it formed </w:t>
      </w:r>
      <w:r w:rsidR="00641360">
        <w:t xml:space="preserve">the </w:t>
      </w:r>
      <w:r w:rsidR="002A1E10">
        <w:t xml:space="preserve">mythology of the </w:t>
      </w:r>
      <w:r w:rsidR="00641360">
        <w:t>exceptional</w:t>
      </w:r>
      <w:r w:rsidR="002A1E10">
        <w:t xml:space="preserve"> Roman and </w:t>
      </w:r>
      <w:r w:rsidR="00C65724">
        <w:t>becam</w:t>
      </w:r>
      <w:r w:rsidR="002A1E10">
        <w:t xml:space="preserve">e integrated into Western history through its alignment with Christian </w:t>
      </w:r>
      <w:r w:rsidR="00C65724">
        <w:t>belief</w:t>
      </w:r>
      <w:r w:rsidRPr="000E2C8C">
        <w:t xml:space="preserve">. In each of these stories, the hero leaves behind a seductive proto-self and </w:t>
      </w:r>
      <w:r w:rsidR="002A1E10">
        <w:t>chooses</w:t>
      </w:r>
      <w:r w:rsidRPr="000E2C8C">
        <w:t xml:space="preserve"> </w:t>
      </w:r>
      <w:r w:rsidR="005E54B8">
        <w:t xml:space="preserve">a fated </w:t>
      </w:r>
      <w:r w:rsidRPr="000E2C8C">
        <w:t>life. In this choice, some heroes fail because of the</w:t>
      </w:r>
      <w:r w:rsidR="005E54B8">
        <w:t>ir</w:t>
      </w:r>
      <w:r w:rsidRPr="000E2C8C">
        <w:t xml:space="preserve"> tragic flaws. </w:t>
      </w:r>
      <w:r w:rsidR="005E54B8">
        <w:t>However, b</w:t>
      </w:r>
      <w:r w:rsidRPr="000E2C8C">
        <w:t>oth such as Achilles and Turnus demonstrate deeper humanity in their failings. Yet, the Christian idea and the Western foundations of duty and promise have come down to us in a hero that embraces a destiny bigger than his desire.</w:t>
      </w:r>
      <w:r w:rsidR="000E445F">
        <w:t xml:space="preserve"> While this is a story of duty, it is also a story that reminds </w:t>
      </w:r>
      <w:r w:rsidR="000E445F" w:rsidRPr="000E445F">
        <w:t xml:space="preserve">all of us </w:t>
      </w:r>
      <w:r w:rsidR="005E54B8">
        <w:t xml:space="preserve">that </w:t>
      </w:r>
      <w:r w:rsidR="000E445F" w:rsidRPr="000E445F">
        <w:t>the fate and destiny we eventually achieve</w:t>
      </w:r>
      <w:r w:rsidR="005E54B8">
        <w:t>,</w:t>
      </w:r>
      <w:r w:rsidR="000E445F" w:rsidRPr="000E445F">
        <w:t xml:space="preserve"> end the same way.</w:t>
      </w:r>
    </w:p>
    <w:p w14:paraId="3958EDF2" w14:textId="77777777" w:rsidR="00BB2B3A" w:rsidRDefault="00BB2B3A" w:rsidP="00DF3BE3"/>
    <w:p w14:paraId="5A1896A9" w14:textId="1692643F" w:rsidR="00352021" w:rsidRDefault="0026106F" w:rsidP="00DF3BE3">
      <w:r w:rsidRPr="00BB2B3A">
        <w:rPr>
          <w:b/>
          <w:bCs/>
        </w:rPr>
        <w:t>Keywords</w:t>
      </w:r>
      <w:r>
        <w:t>:</w:t>
      </w:r>
      <w:r>
        <w:tab/>
      </w:r>
      <w:r w:rsidR="00E65FA4">
        <w:t>Virgil</w:t>
      </w:r>
      <w:r w:rsidR="00CD5860">
        <w:t xml:space="preserve">, the </w:t>
      </w:r>
      <w:r w:rsidR="00E65FA4">
        <w:t>Aeneid</w:t>
      </w:r>
      <w:r w:rsidR="00CD5860">
        <w:t>, comparative cultures.</w:t>
      </w:r>
    </w:p>
    <w:p w14:paraId="6981D8A4" w14:textId="3560F3BB" w:rsidR="00480ABE" w:rsidRDefault="00480ABE" w:rsidP="00DF3BE3"/>
    <w:p w14:paraId="637312D7" w14:textId="7DFF947E" w:rsidR="00480ABE" w:rsidRDefault="00480ABE" w:rsidP="00DF3BE3"/>
    <w:p w14:paraId="5585C519" w14:textId="20532EAF" w:rsidR="00480ABE" w:rsidRDefault="00480ABE">
      <w:pPr>
        <w:spacing w:line="259" w:lineRule="auto"/>
        <w:contextualSpacing w:val="0"/>
        <w:jc w:val="left"/>
      </w:pPr>
      <w:bookmarkStart w:id="0" w:name="_Hlk92367512"/>
      <w:r w:rsidRPr="00480ABE">
        <w:br w:type="page"/>
      </w:r>
    </w:p>
    <w:p w14:paraId="0C8DB6D3" w14:textId="43529978" w:rsidR="00921C75" w:rsidRPr="00480ABE" w:rsidRDefault="00B661EB" w:rsidP="00DF3BE3">
      <w:pPr>
        <w:pStyle w:val="Heading1"/>
      </w:pPr>
      <w:r>
        <w:lastRenderedPageBreak/>
        <w:t>Vir</w:t>
      </w:r>
      <w:r w:rsidR="00A66261">
        <w:t>gil</w:t>
      </w:r>
      <w:r w:rsidR="00471120" w:rsidRPr="00471120">
        <w:t xml:space="preserve">: </w:t>
      </w:r>
      <w:r w:rsidR="00A66261">
        <w:t>The Aeneid</w:t>
      </w:r>
    </w:p>
    <w:bookmarkEnd w:id="0"/>
    <w:p w14:paraId="1DB7554B" w14:textId="4438CC1F" w:rsidR="0017770A" w:rsidRPr="00480ABE" w:rsidRDefault="0017770A" w:rsidP="00FA1E10">
      <w:pPr>
        <w:pStyle w:val="Heading2"/>
        <w:jc w:val="left"/>
      </w:pPr>
      <w:r w:rsidRPr="00480ABE">
        <w:t>Introduction</w:t>
      </w:r>
    </w:p>
    <w:p w14:paraId="2AB84FB8" w14:textId="1D3EC19D" w:rsidR="00D35F60" w:rsidRDefault="00480ABE" w:rsidP="00D35F60">
      <w:pPr>
        <w:jc w:val="left"/>
      </w:pPr>
      <w:r>
        <w:tab/>
      </w:r>
      <w:r w:rsidR="005E17AB">
        <w:t>Publius Verg</w:t>
      </w:r>
      <w:r w:rsidR="00B47182">
        <w:t>ilius Maro</w:t>
      </w:r>
      <w:r w:rsidR="00BD6815">
        <w:t>,</w:t>
      </w:r>
      <w:r w:rsidR="00B47182">
        <w:t xml:space="preserve"> or as he is more frequently known, </w:t>
      </w:r>
      <w:r w:rsidR="00070F10">
        <w:t>Virgil</w:t>
      </w:r>
      <w:r w:rsidR="00BD6815">
        <w:t xml:space="preserve"> strides </w:t>
      </w:r>
      <w:r w:rsidR="00070F10">
        <w:t>midway between the work of Homer</w:t>
      </w:r>
      <w:r w:rsidR="009F0855">
        <w:t xml:space="preserve">’s </w:t>
      </w:r>
      <w:r w:rsidR="009F0855" w:rsidRPr="003A2FCB">
        <w:rPr>
          <w:i/>
          <w:iCs/>
        </w:rPr>
        <w:t>Odyssey</w:t>
      </w:r>
      <w:r w:rsidR="00070F10">
        <w:t xml:space="preserve"> and Dante</w:t>
      </w:r>
      <w:r w:rsidR="003A2FCB">
        <w:t>’s</w:t>
      </w:r>
      <w:r w:rsidR="00070F10">
        <w:t xml:space="preserve"> </w:t>
      </w:r>
      <w:r w:rsidR="003A2FCB">
        <w:rPr>
          <w:i/>
          <w:iCs/>
        </w:rPr>
        <w:t>The D</w:t>
      </w:r>
      <w:r w:rsidR="00070F10" w:rsidRPr="003A2FCB">
        <w:rPr>
          <w:i/>
          <w:iCs/>
        </w:rPr>
        <w:t xml:space="preserve">ivine </w:t>
      </w:r>
      <w:r w:rsidR="003A2FCB" w:rsidRPr="003A2FCB">
        <w:rPr>
          <w:i/>
          <w:iCs/>
        </w:rPr>
        <w:t>C</w:t>
      </w:r>
      <w:r w:rsidR="00070F10" w:rsidRPr="003A2FCB">
        <w:rPr>
          <w:i/>
          <w:iCs/>
        </w:rPr>
        <w:t>omedy</w:t>
      </w:r>
      <w:r w:rsidR="002D392D">
        <w:rPr>
          <w:rStyle w:val="FootnoteReference"/>
        </w:rPr>
        <w:footnoteReference w:id="1"/>
      </w:r>
      <w:r w:rsidR="00070F10">
        <w:t>.</w:t>
      </w:r>
      <w:r w:rsidR="00D12F8C">
        <w:t xml:space="preserve"> In this work of the golden mean, Virgil captures</w:t>
      </w:r>
      <w:r w:rsidR="009A0CE3">
        <w:t xml:space="preserve"> both a literary and a historical conception of Troy through a reproduction of a Homeric epic</w:t>
      </w:r>
      <w:r w:rsidR="00E55DBA">
        <w:t>.</w:t>
      </w:r>
      <w:r w:rsidR="00A411FE">
        <w:t xml:space="preserve"> So revered was this piece that Dante formed a special place for</w:t>
      </w:r>
      <w:r w:rsidR="003A629F">
        <w:t xml:space="preserve"> Virgil </w:t>
      </w:r>
      <w:r w:rsidR="00A411FE">
        <w:t xml:space="preserve">within the </w:t>
      </w:r>
      <w:r w:rsidR="00A411FE" w:rsidRPr="00A411FE">
        <w:rPr>
          <w:i/>
          <w:iCs/>
        </w:rPr>
        <w:t>Divine Comedy</w:t>
      </w:r>
      <w:r w:rsidR="00B022C2">
        <w:rPr>
          <w:rStyle w:val="FootnoteReference"/>
          <w:i/>
          <w:iCs/>
        </w:rPr>
        <w:footnoteReference w:id="2"/>
      </w:r>
      <w:r w:rsidR="00A411FE">
        <w:t>.</w:t>
      </w:r>
      <w:r w:rsidR="005615F2">
        <w:t xml:space="preserve"> Through this work, Virgil has chiselled a place into the imagination of the Western world and created a position</w:t>
      </w:r>
      <w:r w:rsidR="00157343">
        <w:t xml:space="preserve"> equalled only by Homer and Dante</w:t>
      </w:r>
      <w:r w:rsidR="008816F4">
        <w:rPr>
          <w:rStyle w:val="FootnoteReference"/>
        </w:rPr>
        <w:footnoteReference w:id="3"/>
      </w:r>
      <w:r w:rsidR="00157343">
        <w:t>.</w:t>
      </w:r>
    </w:p>
    <w:p w14:paraId="03DC514C" w14:textId="42379CCD" w:rsidR="00D35F60" w:rsidRDefault="00040723" w:rsidP="00D35F60">
      <w:pPr>
        <w:jc w:val="left"/>
      </w:pPr>
      <w:r>
        <w:tab/>
        <w:t xml:space="preserve">The </w:t>
      </w:r>
      <w:r w:rsidRPr="004276D8">
        <w:rPr>
          <w:i/>
          <w:iCs/>
        </w:rPr>
        <w:t>Aeneid</w:t>
      </w:r>
      <w:r>
        <w:t xml:space="preserve"> </w:t>
      </w:r>
      <w:r w:rsidR="004276D8">
        <w:t>combines myth, legend and historical events in a poetic work that encapsulates theological prophecy.</w:t>
      </w:r>
      <w:r w:rsidR="00D922A7">
        <w:t xml:space="preserve"> </w:t>
      </w:r>
      <w:r w:rsidR="00B101BE">
        <w:t>Yet, t</w:t>
      </w:r>
      <w:r w:rsidR="00D922A7">
        <w:t xml:space="preserve">he work remains prudent due to its emotional </w:t>
      </w:r>
      <w:r w:rsidR="00723327">
        <w:t>depth and the ostentatious exaltation of the Roman form of government.</w:t>
      </w:r>
      <w:r w:rsidR="0052511D">
        <w:t xml:space="preserve"> </w:t>
      </w:r>
      <w:r w:rsidR="00B101BE">
        <w:t>First, t</w:t>
      </w:r>
      <w:r w:rsidR="0052511D">
        <w:t xml:space="preserve">he story captures the </w:t>
      </w:r>
      <w:r w:rsidR="00BC09EC">
        <w:t>revival</w:t>
      </w:r>
      <w:r w:rsidR="0052511D">
        <w:t xml:space="preserve"> of </w:t>
      </w:r>
      <w:r w:rsidR="00BC09EC">
        <w:t>a</w:t>
      </w:r>
      <w:r w:rsidR="0052511D">
        <w:t xml:space="preserve"> people from a state of utter </w:t>
      </w:r>
      <w:r w:rsidR="00BC09EC">
        <w:t>despondency</w:t>
      </w:r>
      <w:r w:rsidR="0052511D">
        <w:t xml:space="preserve"> after being defeated by the Greeks at Troy</w:t>
      </w:r>
      <w:r w:rsidR="00BC09EC">
        <w:t>.</w:t>
      </w:r>
      <w:r w:rsidR="00134393">
        <w:t xml:space="preserve"> </w:t>
      </w:r>
      <w:r w:rsidR="00B101BE">
        <w:t>Then, f</w:t>
      </w:r>
      <w:r w:rsidR="00134393">
        <w:t>ollowing a series of events that lead to exasperation and anguish, the</w:t>
      </w:r>
      <w:r w:rsidR="002408A2">
        <w:t xml:space="preserve"> people of</w:t>
      </w:r>
      <w:r w:rsidR="002408A2" w:rsidRPr="002408A2">
        <w:t xml:space="preserve"> </w:t>
      </w:r>
      <w:r w:rsidR="002408A2">
        <w:t>t</w:t>
      </w:r>
      <w:r w:rsidR="002408A2" w:rsidRPr="002408A2">
        <w:t xml:space="preserve">he </w:t>
      </w:r>
      <w:r w:rsidR="002408A2" w:rsidRPr="00B101BE">
        <w:rPr>
          <w:i/>
          <w:iCs/>
        </w:rPr>
        <w:t>Aeneid</w:t>
      </w:r>
      <w:r w:rsidR="00B101BE">
        <w:t xml:space="preserve"> found an unparalleled world empire.</w:t>
      </w:r>
    </w:p>
    <w:p w14:paraId="40F06FDF" w14:textId="0E035C41" w:rsidR="00A66261" w:rsidRDefault="00B101BE" w:rsidP="00A66261">
      <w:pPr>
        <w:jc w:val="left"/>
      </w:pPr>
      <w:r>
        <w:tab/>
      </w:r>
      <w:r w:rsidR="00BD38D3">
        <w:t xml:space="preserve">Aeneas is the Roman </w:t>
      </w:r>
      <w:r w:rsidR="00C1422D">
        <w:t>epitome</w:t>
      </w:r>
      <w:r w:rsidR="00BD38D3">
        <w:t xml:space="preserve"> of a heroic leader appointed by the heavens</w:t>
      </w:r>
      <w:r w:rsidR="00C1422D">
        <w:t xml:space="preserve"> with a </w:t>
      </w:r>
      <w:r w:rsidR="000E445F">
        <w:t>ge</w:t>
      </w:r>
      <w:r w:rsidR="00AD1949">
        <w:t>a</w:t>
      </w:r>
      <w:r w:rsidR="000E445F">
        <w:t>s</w:t>
      </w:r>
      <w:r w:rsidR="00320A95">
        <w:rPr>
          <w:rStyle w:val="FootnoteReference"/>
        </w:rPr>
        <w:footnoteReference w:id="4"/>
      </w:r>
      <w:r w:rsidR="00C1422D">
        <w:t xml:space="preserve"> </w:t>
      </w:r>
      <w:r w:rsidR="00EC40EE">
        <w:t>binding him to fulfil the mission despite his personal sentiments</w:t>
      </w:r>
      <w:r w:rsidR="002E203D">
        <w:t xml:space="preserve">, </w:t>
      </w:r>
      <w:proofErr w:type="gramStart"/>
      <w:r w:rsidR="002E203D">
        <w:t>desires</w:t>
      </w:r>
      <w:proofErr w:type="gramEnd"/>
      <w:r w:rsidR="00EC40EE">
        <w:t xml:space="preserve"> and inclinations</w:t>
      </w:r>
      <w:r w:rsidR="00E06009">
        <w:rPr>
          <w:rStyle w:val="FootnoteReference"/>
        </w:rPr>
        <w:footnoteReference w:id="5"/>
      </w:r>
      <w:r w:rsidR="00EC40EE">
        <w:t>.</w:t>
      </w:r>
      <w:r w:rsidR="00F82262">
        <w:t xml:space="preserve"> A story</w:t>
      </w:r>
      <w:r w:rsidR="000A254C">
        <w:t xml:space="preserve"> of love, compassion and duty set the stage for the Roman cultural ideal. The </w:t>
      </w:r>
      <w:r w:rsidR="0049769F">
        <w:t>relations</w:t>
      </w:r>
      <w:r w:rsidR="000A254C">
        <w:t xml:space="preserve"> between a man and his wife,</w:t>
      </w:r>
      <w:r w:rsidR="00C837A7">
        <w:t xml:space="preserve"> a lover and his </w:t>
      </w:r>
      <w:r w:rsidR="0049769F">
        <w:t>paramour, the affection of parents and children,</w:t>
      </w:r>
      <w:r w:rsidR="00C837A7">
        <w:t xml:space="preserve"> and even the</w:t>
      </w:r>
      <w:r w:rsidR="00C35A74">
        <w:t xml:space="preserve"> adoration </w:t>
      </w:r>
      <w:r w:rsidR="00C837A7">
        <w:t>of comrade</w:t>
      </w:r>
      <w:r w:rsidR="00175227">
        <w:t>-</w:t>
      </w:r>
      <w:r w:rsidR="00C837A7">
        <w:t>in</w:t>
      </w:r>
      <w:r w:rsidR="00175227">
        <w:t>-</w:t>
      </w:r>
      <w:r w:rsidR="00C837A7">
        <w:t>arms structured an epic tale</w:t>
      </w:r>
      <w:r w:rsidR="0049769F">
        <w:t xml:space="preserve"> of how the ideal Roman citizen should </w:t>
      </w:r>
      <w:r w:rsidR="00C35A74">
        <w:t>behave</w:t>
      </w:r>
      <w:r w:rsidR="00702C92">
        <w:rPr>
          <w:rStyle w:val="FootnoteReference"/>
        </w:rPr>
        <w:footnoteReference w:id="6"/>
      </w:r>
      <w:r w:rsidR="0049769F">
        <w:t>.</w:t>
      </w:r>
    </w:p>
    <w:p w14:paraId="5E3DA20B" w14:textId="19DEABE2" w:rsidR="002B19A8" w:rsidRDefault="00C35A74" w:rsidP="00A66261">
      <w:pPr>
        <w:jc w:val="left"/>
      </w:pPr>
      <w:r>
        <w:lastRenderedPageBreak/>
        <w:tab/>
        <w:t>This poetic work incorporates the</w:t>
      </w:r>
      <w:r w:rsidR="008E7D02">
        <w:t xml:space="preserve"> real, the supernatural, the metaphysical and the world of both the dead and the living and, in doing so, encapsulates a theological and philosophical foundation of Roman civilisation.</w:t>
      </w:r>
      <w:r w:rsidR="00B13622">
        <w:t xml:space="preserve"> At the time of writing, “peace and order” were the foundational motive of the Empire. The Pax Romana</w:t>
      </w:r>
      <w:r w:rsidR="00FD5821">
        <w:rPr>
          <w:rStyle w:val="FootnoteReference"/>
        </w:rPr>
        <w:footnoteReference w:id="7"/>
      </w:r>
      <w:r w:rsidR="00B13622">
        <w:t xml:space="preserve"> </w:t>
      </w:r>
      <w:r w:rsidR="001A5DDA">
        <w:t>created the pinnacle of ancient European civilisation. To capture this, Virgil set</w:t>
      </w:r>
      <w:r w:rsidR="0006310B">
        <w:t xml:space="preserve"> out to fulfil the long ambition of many Roman writers </w:t>
      </w:r>
      <w:r w:rsidR="00EE7076">
        <w:t>to equal the Greek authors and</w:t>
      </w:r>
      <w:proofErr w:type="gramStart"/>
      <w:r w:rsidR="00EE7076">
        <w:t>, in particular, to</w:t>
      </w:r>
      <w:proofErr w:type="gramEnd"/>
      <w:r w:rsidR="00EE7076">
        <w:t xml:space="preserve"> rival</w:t>
      </w:r>
      <w:r w:rsidR="0006310B">
        <w:t xml:space="preserve"> Homer’s epic.</w:t>
      </w:r>
    </w:p>
    <w:p w14:paraId="659AC97F" w14:textId="29904F37" w:rsidR="005E17AB" w:rsidRDefault="00CD6438" w:rsidP="00CD6438">
      <w:pPr>
        <w:pStyle w:val="Heading2"/>
      </w:pPr>
      <w:r>
        <w:t>The War in Latium</w:t>
      </w:r>
    </w:p>
    <w:p w14:paraId="38447206" w14:textId="71548FCD" w:rsidR="005E17AB" w:rsidRDefault="00CD6438" w:rsidP="00A66261">
      <w:pPr>
        <w:jc w:val="left"/>
      </w:pPr>
      <w:r>
        <w:tab/>
      </w:r>
      <w:r w:rsidR="00014CBA">
        <w:t>Books VII to XII document the prophesied war.</w:t>
      </w:r>
      <w:r w:rsidR="007951B3">
        <w:t xml:space="preserve"> In the second half of Virgil’s work,</w:t>
      </w:r>
      <w:r w:rsidR="00CB7BAA">
        <w:t xml:space="preserve"> Juno</w:t>
      </w:r>
      <w:r w:rsidR="0084717D">
        <w:t xml:space="preserve"> remains opposed to Aeneas</w:t>
      </w:r>
      <w:r w:rsidR="00DC15CA">
        <w:t>,</w:t>
      </w:r>
      <w:r w:rsidR="0084717D">
        <w:t xml:space="preserve"> and Venus remains</w:t>
      </w:r>
      <w:r w:rsidR="00DC15CA">
        <w:t xml:space="preserve"> in support. Despite the rivalry between the gods,</w:t>
      </w:r>
      <w:r w:rsidR="007269A6" w:rsidRPr="007269A6">
        <w:t xml:space="preserve"> </w:t>
      </w:r>
      <w:r w:rsidR="007269A6">
        <w:t>Aeneas remains the true Roman hero on the path to Jupiter’s proclaimed destiny.</w:t>
      </w:r>
      <w:r w:rsidR="00D43DE0">
        <w:t xml:space="preserve"> In a counterpoint to Homer’s great hero, Achilles, Virgil introduces</w:t>
      </w:r>
      <w:r w:rsidR="00BD4FCD">
        <w:t xml:space="preserve"> the Rutulian Prince, Turnus. </w:t>
      </w:r>
      <w:r w:rsidR="00A1148F">
        <w:t>However, while Achilles</w:t>
      </w:r>
      <w:r w:rsidR="003C0BF8">
        <w:t xml:space="preserve"> slew the Trojan prince Hector, Aeneas</w:t>
      </w:r>
      <w:r w:rsidR="00164679">
        <w:t>, as the remaining Trojan prince, conquers and kills the new Achilles.</w:t>
      </w:r>
    </w:p>
    <w:p w14:paraId="123B92FE" w14:textId="4DDFE1B9" w:rsidR="00164679" w:rsidRDefault="00CB7213" w:rsidP="00A66261">
      <w:pPr>
        <w:jc w:val="left"/>
      </w:pPr>
      <w:r>
        <w:tab/>
      </w:r>
      <w:r w:rsidR="00E32103">
        <w:t>King Latinus of Latium</w:t>
      </w:r>
      <w:r w:rsidR="005151D4">
        <w:t xml:space="preserve"> seeks to fulfil a divine Oracle and marry his daughter</w:t>
      </w:r>
      <w:r w:rsidR="007940E2">
        <w:t xml:space="preserve"> to Aeneas but is thwarted by</w:t>
      </w:r>
      <w:r w:rsidR="008B234C">
        <w:t xml:space="preserve"> Juno, </w:t>
      </w:r>
      <w:r w:rsidR="002F5B3D">
        <w:t>l</w:t>
      </w:r>
      <w:r w:rsidR="007940E2">
        <w:t>e</w:t>
      </w:r>
      <w:r w:rsidR="006A370A">
        <w:t>a</w:t>
      </w:r>
      <w:r w:rsidR="007940E2">
        <w:t xml:space="preserve">ding </w:t>
      </w:r>
      <w:r w:rsidR="00792DDA">
        <w:t xml:space="preserve">to </w:t>
      </w:r>
      <w:r w:rsidR="002F5B3D">
        <w:t>war with the Trojans and eventually the</w:t>
      </w:r>
      <w:r w:rsidR="008B234C">
        <w:t xml:space="preserve"> abdication </w:t>
      </w:r>
      <w:r w:rsidR="002F5B3D">
        <w:t xml:space="preserve">of the </w:t>
      </w:r>
      <w:r w:rsidR="00643C33">
        <w:t>K</w:t>
      </w:r>
      <w:r w:rsidR="002F5B3D">
        <w:t>ing, who incarcerates himself</w:t>
      </w:r>
      <w:r w:rsidR="008B234C">
        <w:t xml:space="preserve"> in his palace.</w:t>
      </w:r>
      <w:r w:rsidR="00DD1FCA">
        <w:t xml:space="preserve"> However, Virgil seems to forget this </w:t>
      </w:r>
      <w:r w:rsidR="005D5090">
        <w:t>in</w:t>
      </w:r>
      <w:r w:rsidR="00DD1FCA">
        <w:t xml:space="preserve"> the</w:t>
      </w:r>
      <w:r w:rsidR="005D5090">
        <w:t xml:space="preserve"> later series of books</w:t>
      </w:r>
      <w:r w:rsidR="00FD5901">
        <w:rPr>
          <w:rStyle w:val="FootnoteReference"/>
        </w:rPr>
        <w:footnoteReference w:id="8"/>
      </w:r>
      <w:r w:rsidR="009D1846">
        <w:t>.</w:t>
      </w:r>
      <w:r w:rsidR="005D5090">
        <w:t xml:space="preserve"> This mistake is most likely attributed to the incomplete state of </w:t>
      </w:r>
      <w:r w:rsidR="00643C33">
        <w:t xml:space="preserve">the </w:t>
      </w:r>
      <w:r w:rsidR="005D5090">
        <w:t>work</w:t>
      </w:r>
      <w:r w:rsidR="0010311E">
        <w:t xml:space="preserve"> that Virgil had not completed</w:t>
      </w:r>
      <w:r w:rsidR="005D108A">
        <w:rPr>
          <w:rStyle w:val="FootnoteReference"/>
        </w:rPr>
        <w:footnoteReference w:id="9"/>
      </w:r>
      <w:r w:rsidR="0010311E">
        <w:t>.</w:t>
      </w:r>
    </w:p>
    <w:p w14:paraId="4D5A9209" w14:textId="505A02F2" w:rsidR="009D1846" w:rsidRDefault="009D1846" w:rsidP="00A66261">
      <w:pPr>
        <w:jc w:val="left"/>
      </w:pPr>
      <w:r>
        <w:tab/>
      </w:r>
      <w:r w:rsidR="0003031E">
        <w:t>Virgil reverses some of the ancient enmities.</w:t>
      </w:r>
      <w:r w:rsidR="006E7E51">
        <w:t xml:space="preserve"> In creating an alliance with the Akkadian ruler of </w:t>
      </w:r>
      <w:r w:rsidR="005A7701">
        <w:t>Pallanteum</w:t>
      </w:r>
      <w:r w:rsidR="006E7E51">
        <w:t>,</w:t>
      </w:r>
      <w:r w:rsidR="005A7701">
        <w:t xml:space="preserve"> Evander,</w:t>
      </w:r>
      <w:r w:rsidR="00C03D5C">
        <w:t xml:space="preserve"> Aeneas structures </w:t>
      </w:r>
      <w:r w:rsidR="00E37FD8">
        <w:t>a</w:t>
      </w:r>
      <w:r w:rsidR="00C03D5C">
        <w:t>n alliance with the ruler</w:t>
      </w:r>
      <w:r w:rsidR="00E37FD8">
        <w:t xml:space="preserve"> of the future site of the Roman capital.</w:t>
      </w:r>
      <w:r w:rsidR="003E43A8">
        <w:t xml:space="preserve"> With touching scenes of Evander mourning his</w:t>
      </w:r>
      <w:r w:rsidR="00E571BB">
        <w:t xml:space="preserve"> son Pallas and the de</w:t>
      </w:r>
      <w:r w:rsidR="00F45940">
        <w:t>af</w:t>
      </w:r>
      <w:r w:rsidR="00E571BB">
        <w:t>ness of the gods who did not hear the prayers for his survival</w:t>
      </w:r>
      <w:r w:rsidR="00F45940">
        <w:t xml:space="preserve">, Virgil mixes grief and </w:t>
      </w:r>
      <w:r w:rsidR="00F45940">
        <w:lastRenderedPageBreak/>
        <w:t>tragedy</w:t>
      </w:r>
      <w:r w:rsidR="00F82DFD">
        <w:t xml:space="preserve"> with touching scenes of love. The filling pride that</w:t>
      </w:r>
      <w:r w:rsidR="00561848">
        <w:t xml:space="preserve"> Aeneas displays for his son Ascanius (Iulus) </w:t>
      </w:r>
      <w:r w:rsidR="00B9101A">
        <w:t xml:space="preserve">and similarly displayed by the rival despot Mezentius for his son Lausus </w:t>
      </w:r>
      <w:r w:rsidR="0069529C">
        <w:t>offset the displays of grief and loss.</w:t>
      </w:r>
    </w:p>
    <w:p w14:paraId="124737BE" w14:textId="4512C79E" w:rsidR="00BA013F" w:rsidRDefault="0069529C" w:rsidP="00A66261">
      <w:pPr>
        <w:jc w:val="left"/>
      </w:pPr>
      <w:r>
        <w:tab/>
      </w:r>
      <w:r w:rsidR="00AA46BC">
        <w:t>Motherly affection and loss counterpoint the angst and anguish displayed by the men for their sons.</w:t>
      </w:r>
      <w:r w:rsidR="00A170F3">
        <w:t xml:space="preserve"> The Lamentations of grief of Euryalus’s mother</w:t>
      </w:r>
      <w:r w:rsidR="007F625F">
        <w:t xml:space="preserve"> </w:t>
      </w:r>
      <w:r w:rsidR="00B73743">
        <w:t xml:space="preserve">and </w:t>
      </w:r>
      <w:r w:rsidR="007F625F">
        <w:t>the devotion of the nymph Juturna for her brother Turnus</w:t>
      </w:r>
      <w:r w:rsidR="006F70A2">
        <w:t xml:space="preserve"> demonstrate</w:t>
      </w:r>
      <w:r w:rsidR="00B73743">
        <w:t>s</w:t>
      </w:r>
      <w:r w:rsidR="006F70A2">
        <w:t xml:space="preserve"> familiar love and affection. </w:t>
      </w:r>
      <w:r w:rsidR="00B73743">
        <w:t>In this work,</w:t>
      </w:r>
      <w:r w:rsidR="00CA76A9">
        <w:t xml:space="preserve"> Virgil captures the deep heartfelt humanity of the characters and uses this to exemplify and contrast the devotion of the Roman people</w:t>
      </w:r>
      <w:r w:rsidR="00555C31">
        <w:t>. While Ulysses seems to care primarily for himself</w:t>
      </w:r>
      <w:r w:rsidR="00E0535E">
        <w:t xml:space="preserve"> in Homer’s Odyssey</w:t>
      </w:r>
      <w:r w:rsidR="00761BF1">
        <w:t xml:space="preserve"> </w:t>
      </w:r>
      <w:r w:rsidR="00761BF1">
        <w:rPr>
          <w:rStyle w:val="FootnoteReference"/>
        </w:rPr>
        <w:footnoteReference w:id="10"/>
      </w:r>
      <w:r w:rsidR="00555C31">
        <w:t>,</w:t>
      </w:r>
      <w:r w:rsidR="00E0535E">
        <w:t xml:space="preserve"> Aeneas places the good of his people first despite</w:t>
      </w:r>
      <w:r w:rsidR="00BA013F">
        <w:t xml:space="preserve"> the high emotional costs to himself.</w:t>
      </w:r>
      <w:r w:rsidR="00BA013F">
        <w:tab/>
      </w:r>
    </w:p>
    <w:p w14:paraId="5152D258" w14:textId="3243520A" w:rsidR="001D303F" w:rsidRDefault="00AF30DD" w:rsidP="00AF30DD">
      <w:pPr>
        <w:pStyle w:val="Heading2"/>
      </w:pPr>
      <w:r>
        <w:t>Heroic Contradictions</w:t>
      </w:r>
    </w:p>
    <w:p w14:paraId="015237FC" w14:textId="29D6BDA3" w:rsidR="001D303F" w:rsidRDefault="006F7AC1" w:rsidP="00A66261">
      <w:pPr>
        <w:jc w:val="left"/>
      </w:pPr>
      <w:r>
        <w:tab/>
      </w:r>
      <w:r w:rsidR="003224EF">
        <w:t xml:space="preserve">Following Book VI, </w:t>
      </w:r>
      <w:r>
        <w:t>Aeneas</w:t>
      </w:r>
      <w:r w:rsidR="00130F58">
        <w:t xml:space="preserve"> returns through the gates of Hades</w:t>
      </w:r>
      <w:r w:rsidR="00FF26FE">
        <w:t xml:space="preserve"> in sales from Cumaeto</w:t>
      </w:r>
      <w:r w:rsidR="00643C33">
        <w:t>,</w:t>
      </w:r>
      <w:r w:rsidR="00FF26FE">
        <w:t xml:space="preserve"> the mouth of the Tiber.</w:t>
      </w:r>
      <w:r w:rsidR="003224EF">
        <w:t xml:space="preserve"> The prophecies have aligned to</w:t>
      </w:r>
      <w:r w:rsidR="0030295A">
        <w:t xml:space="preserve"> have</w:t>
      </w:r>
      <w:r w:rsidR="00A74358">
        <w:t xml:space="preserve"> the Roman hills become the base of the Trojans’ new city</w:t>
      </w:r>
      <w:r w:rsidR="00AB3D0C">
        <w:t>. King Latinus welcomes</w:t>
      </w:r>
      <w:r w:rsidR="00637DDC">
        <w:t xml:space="preserve"> Aeneas as the prophesied hero</w:t>
      </w:r>
      <w:r w:rsidR="00502F59">
        <w:t xml:space="preserve"> who will join the families through marriage to the daughter of the King and whose heirs will bring fame to the Latin people. This good fortune upsets Juno.</w:t>
      </w:r>
      <w:r w:rsidR="00527779">
        <w:t xml:space="preserve"> While Juno understands that she cannot destroy the destiny given to Aeneas, she</w:t>
      </w:r>
      <w:r w:rsidR="00222220">
        <w:t xml:space="preserve"> assumes the position </w:t>
      </w:r>
      <w:r w:rsidR="00527779">
        <w:t>that</w:t>
      </w:r>
      <w:r w:rsidR="007E7566">
        <w:t xml:space="preserve"> “if powerless to bend heaven, I’ll stir up hell</w:t>
      </w:r>
      <w:r w:rsidR="00B4325F">
        <w:t>.</w:t>
      </w:r>
      <w:r w:rsidR="007E7566">
        <w:t>”</w:t>
      </w:r>
      <w:r w:rsidR="007E7566">
        <w:rPr>
          <w:rStyle w:val="FootnoteReference"/>
        </w:rPr>
        <w:footnoteReference w:id="11"/>
      </w:r>
    </w:p>
    <w:p w14:paraId="3CE02C27" w14:textId="6229A1BB" w:rsidR="000142FB" w:rsidRDefault="00731197" w:rsidP="00A66261">
      <w:pPr>
        <w:jc w:val="left"/>
      </w:pPr>
      <w:r>
        <w:tab/>
        <w:t xml:space="preserve">The </w:t>
      </w:r>
      <w:r w:rsidR="00B4325F">
        <w:t>F</w:t>
      </w:r>
      <w:r>
        <w:t>ury of war</w:t>
      </w:r>
      <w:r w:rsidR="00CF3CEF">
        <w:t xml:space="preserve"> and wrath</w:t>
      </w:r>
      <w:r>
        <w:t>, Allecto</w:t>
      </w:r>
      <w:r w:rsidR="00B4325F">
        <w:t>,</w:t>
      </w:r>
      <w:r>
        <w:t xml:space="preserve"> </w:t>
      </w:r>
      <w:r w:rsidR="00CF3CEF">
        <w:t>is dispatched</w:t>
      </w:r>
      <w:r w:rsidR="00842B61">
        <w:t xml:space="preserve"> and creates a hysterical </w:t>
      </w:r>
      <w:r w:rsidR="003877D7">
        <w:t>rage</w:t>
      </w:r>
      <w:r w:rsidR="00842B61">
        <w:t xml:space="preserve"> in Queen</w:t>
      </w:r>
      <w:r w:rsidR="003877D7">
        <w:t xml:space="preserve"> Amata</w:t>
      </w:r>
      <w:r w:rsidR="00B4325F">
        <w:t>, leading</w:t>
      </w:r>
      <w:r w:rsidR="003877D7">
        <w:t xml:space="preserve"> to</w:t>
      </w:r>
      <w:r w:rsidR="0058507A">
        <w:t xml:space="preserve"> outrage from the jilted former betrothed</w:t>
      </w:r>
      <w:r w:rsidR="009915E6">
        <w:t xml:space="preserve"> Turnus.</w:t>
      </w:r>
      <w:r w:rsidR="00A03672">
        <w:t xml:space="preserve"> In a rage,</w:t>
      </w:r>
      <w:r w:rsidR="00A03672" w:rsidRPr="00A03672">
        <w:t xml:space="preserve"> </w:t>
      </w:r>
      <w:r w:rsidR="00A03672" w:rsidRPr="00A03672">
        <w:t>Turnus</w:t>
      </w:r>
      <w:r w:rsidR="00A03672">
        <w:t xml:space="preserve"> summons the Rutulian</w:t>
      </w:r>
      <w:r w:rsidR="002E37F5">
        <w:t xml:space="preserve"> people to rise and attack the Trojans</w:t>
      </w:r>
      <w:r w:rsidR="00B4325F">
        <w:t>,</w:t>
      </w:r>
      <w:r w:rsidR="002E37F5">
        <w:t xml:space="preserve"> while </w:t>
      </w:r>
      <w:r w:rsidR="002E37F5" w:rsidRPr="002E37F5">
        <w:t>Allecto</w:t>
      </w:r>
      <w:r w:rsidR="002E37F5">
        <w:t xml:space="preserve"> causes problems </w:t>
      </w:r>
      <w:r w:rsidR="002E37F5">
        <w:lastRenderedPageBreak/>
        <w:t>that lead to an uprising</w:t>
      </w:r>
      <w:r w:rsidR="00A668B8">
        <w:t xml:space="preserve"> in the peasant community </w:t>
      </w:r>
      <w:r w:rsidR="000448BB">
        <w:t>and</w:t>
      </w:r>
      <w:r w:rsidR="00A668B8">
        <w:t xml:space="preserve"> bring</w:t>
      </w:r>
      <w:r w:rsidR="00B4325F">
        <w:t>s</w:t>
      </w:r>
      <w:r w:rsidR="00A668B8">
        <w:t xml:space="preserve"> them into conflict with the Trojan forces.</w:t>
      </w:r>
    </w:p>
    <w:p w14:paraId="555E0FF2" w14:textId="6AF05290" w:rsidR="000142FB" w:rsidRDefault="00BC04BA" w:rsidP="00A66261">
      <w:pPr>
        <w:jc w:val="left"/>
      </w:pPr>
      <w:r>
        <w:tab/>
      </w:r>
      <w:r>
        <w:t>Turnus</w:t>
      </w:r>
      <w:r>
        <w:t xml:space="preserve"> rises in anger and</w:t>
      </w:r>
      <w:r w:rsidR="00233034">
        <w:t xml:space="preserve"> leads the people of Italy against the Trojan seeking to push them out and stop them </w:t>
      </w:r>
      <w:r w:rsidR="001F7CCE">
        <w:t xml:space="preserve">from </w:t>
      </w:r>
      <w:r w:rsidR="00233034">
        <w:t>settling. Yet, the God of the Tiber</w:t>
      </w:r>
      <w:r w:rsidR="0024738D">
        <w:t xml:space="preserve"> gives Aeneas </w:t>
      </w:r>
      <w:r w:rsidR="000448BB">
        <w:t>council,</w:t>
      </w:r>
      <w:r w:rsidR="0059474D">
        <w:t xml:space="preserve"> and he wisely </w:t>
      </w:r>
      <w:r w:rsidR="001F7CCE">
        <w:t>allies</w:t>
      </w:r>
      <w:r w:rsidR="0059474D">
        <w:t xml:space="preserve"> with the Arcadian </w:t>
      </w:r>
      <w:r w:rsidR="00643C33">
        <w:t>K</w:t>
      </w:r>
      <w:r w:rsidR="0059474D">
        <w:t>ing Evander.</w:t>
      </w:r>
      <w:r w:rsidR="007903CD">
        <w:t xml:space="preserve"> </w:t>
      </w:r>
      <w:r w:rsidR="001F7CCE">
        <w:t>But unfortunately, t</w:t>
      </w:r>
      <w:r w:rsidR="007903CD">
        <w:t>he old indemnity between these Italian forces of the Tiber and the mainland leads</w:t>
      </w:r>
      <w:r w:rsidR="00362535">
        <w:t xml:space="preserve"> to conflict with Aeneas gaining from his alliance with the Etruscans.</w:t>
      </w:r>
    </w:p>
    <w:p w14:paraId="5752D54B" w14:textId="43AAE662" w:rsidR="00BC476C" w:rsidRDefault="00BC476C" w:rsidP="00A66261">
      <w:pPr>
        <w:jc w:val="left"/>
      </w:pPr>
      <w:r>
        <w:tab/>
        <w:t xml:space="preserve">In </w:t>
      </w:r>
      <w:r w:rsidR="001F7CCE">
        <w:t>the</w:t>
      </w:r>
      <w:r>
        <w:t xml:space="preserve"> form of Deus Ex</w:t>
      </w:r>
      <w:r w:rsidR="0042740B">
        <w:t xml:space="preserve"> Machina</w:t>
      </w:r>
      <w:r w:rsidR="0062050F">
        <w:rPr>
          <w:rStyle w:val="FootnoteReference"/>
        </w:rPr>
        <w:footnoteReference w:id="12"/>
      </w:r>
      <w:r w:rsidR="001F7CCE">
        <w:t>,</w:t>
      </w:r>
      <w:r w:rsidR="0042740B">
        <w:t xml:space="preserve"> reminiscent of the </w:t>
      </w:r>
      <w:r w:rsidR="0042740B" w:rsidRPr="0042740B">
        <w:rPr>
          <w:i/>
          <w:iCs/>
        </w:rPr>
        <w:t>Odyssey</w:t>
      </w:r>
      <w:r w:rsidR="0042740B">
        <w:t xml:space="preserve">, we see Venus </w:t>
      </w:r>
      <w:r w:rsidR="000448BB">
        <w:t>move</w:t>
      </w:r>
      <w:r w:rsidR="0042740B">
        <w:t xml:space="preserve"> in and give Aeneas a suit of armour created by Vulcan.</w:t>
      </w:r>
      <w:r w:rsidR="003104CF">
        <w:t xml:space="preserve"> This </w:t>
      </w:r>
      <w:r w:rsidR="00D27950">
        <w:t xml:space="preserve">interaction </w:t>
      </w:r>
      <w:r w:rsidR="003104CF">
        <w:t>includes a shield that portrays a detailed history of Rome as it will be. The history portrays the time from Ascanius to that of Augustus</w:t>
      </w:r>
      <w:r w:rsidR="00CF42F4">
        <w:t xml:space="preserve"> and captures “the fame and fortune of his sons to be”</w:t>
      </w:r>
      <w:r w:rsidR="00CF42F4">
        <w:rPr>
          <w:rStyle w:val="FootnoteReference"/>
        </w:rPr>
        <w:footnoteReference w:id="13"/>
      </w:r>
      <w:r w:rsidR="00873EF2">
        <w:t xml:space="preserve"> The story portrays a new anti-hero in</w:t>
      </w:r>
      <w:r w:rsidR="00873EF2" w:rsidRPr="00873EF2">
        <w:t xml:space="preserve"> </w:t>
      </w:r>
      <w:r w:rsidR="00873EF2">
        <w:t>Turnus</w:t>
      </w:r>
      <w:r w:rsidR="008D004E">
        <w:t>,</w:t>
      </w:r>
      <w:r w:rsidR="00782B4D">
        <w:t xml:space="preserve"> mirroring the form of Achilles.</w:t>
      </w:r>
    </w:p>
    <w:p w14:paraId="7C0C617C" w14:textId="093669D0" w:rsidR="00782B4D" w:rsidRDefault="00782B4D" w:rsidP="00A66261">
      <w:pPr>
        <w:jc w:val="left"/>
      </w:pPr>
      <w:r>
        <w:tab/>
        <w:t>As Aeneas</w:t>
      </w:r>
      <w:r w:rsidR="00DA3ED6">
        <w:t xml:space="preserve"> seeks to form allegiances and strengthen his,</w:t>
      </w:r>
      <w:r w:rsidR="00DA3ED6" w:rsidRPr="00DA3ED6">
        <w:t xml:space="preserve"> </w:t>
      </w:r>
      <w:r w:rsidR="00DA3ED6">
        <w:t>Turnus</w:t>
      </w:r>
      <w:r w:rsidR="00DA3ED6">
        <w:t xml:space="preserve"> besieges the Trojans</w:t>
      </w:r>
      <w:r w:rsidR="00737901">
        <w:t xml:space="preserve"> in a form analogous to the Greek warriors who attacked their former city. </w:t>
      </w:r>
      <w:r w:rsidR="008D004E">
        <w:t>However, t</w:t>
      </w:r>
      <w:r w:rsidR="00737901">
        <w:t xml:space="preserve">his time, </w:t>
      </w:r>
      <w:r w:rsidR="008D004E">
        <w:t>the Greeks attempted</w:t>
      </w:r>
      <w:r w:rsidR="00737901">
        <w:t xml:space="preserve"> to burn the Trojan ships. </w:t>
      </w:r>
      <w:r w:rsidR="00B61630">
        <w:t>Yet</w:t>
      </w:r>
      <w:r w:rsidR="00737901">
        <w:t xml:space="preserve"> again, </w:t>
      </w:r>
      <w:r w:rsidR="00E518B1">
        <w:t>a god steps</w:t>
      </w:r>
      <w:r w:rsidR="00737901">
        <w:t xml:space="preserve"> in</w:t>
      </w:r>
      <w:r w:rsidR="00E518B1">
        <w:t xml:space="preserve"> to change destiny</w:t>
      </w:r>
      <w:r w:rsidR="00F45D0F">
        <w:t xml:space="preserve"> </w:t>
      </w:r>
      <w:r w:rsidR="00F45D0F">
        <w:rPr>
          <w:rStyle w:val="FootnoteReference"/>
        </w:rPr>
        <w:footnoteReference w:id="14"/>
      </w:r>
      <w:r w:rsidR="00E518B1">
        <w:t>. Yet, with Neptune</w:t>
      </w:r>
      <w:r w:rsidR="009E7DC2">
        <w:t xml:space="preserve"> aiding the Trojans by turning </w:t>
      </w:r>
      <w:r w:rsidR="00F64600">
        <w:t xml:space="preserve">the </w:t>
      </w:r>
      <w:r w:rsidR="009E7DC2">
        <w:t>sh</w:t>
      </w:r>
      <w:r w:rsidR="00F64600">
        <w:t>i</w:t>
      </w:r>
      <w:r w:rsidR="009E7DC2">
        <w:t xml:space="preserve">ps </w:t>
      </w:r>
      <w:r w:rsidR="00F64600">
        <w:t>into</w:t>
      </w:r>
      <w:r w:rsidR="009E7DC2">
        <w:t xml:space="preserve"> se</w:t>
      </w:r>
      <w:r w:rsidR="00F64600">
        <w:t>a</w:t>
      </w:r>
      <w:r w:rsidR="009E7DC2">
        <w:t xml:space="preserve"> goddesses,</w:t>
      </w:r>
      <w:r w:rsidR="009E7DC2" w:rsidRPr="009E7DC2">
        <w:t xml:space="preserve"> </w:t>
      </w:r>
      <w:r w:rsidR="009E7DC2" w:rsidRPr="009E7DC2">
        <w:t>Turnus</w:t>
      </w:r>
      <w:r w:rsidR="009E7DC2">
        <w:t xml:space="preserve"> is satisfied with his goal of cutting the Trojans from the sea being successfully completed.</w:t>
      </w:r>
    </w:p>
    <w:p w14:paraId="04343FE9" w14:textId="4F28F250" w:rsidR="000255C0" w:rsidRDefault="006869A6" w:rsidP="00A66261">
      <w:pPr>
        <w:jc w:val="left"/>
      </w:pPr>
      <w:r>
        <w:tab/>
        <w:t>The poem demonstrates that</w:t>
      </w:r>
      <w:r w:rsidR="00E90ED9">
        <w:t xml:space="preserve"> the Greeks and Romans do not believe that God is to be </w:t>
      </w:r>
      <w:r w:rsidR="00A11F78">
        <w:t>omnipresent,</w:t>
      </w:r>
      <w:r w:rsidR="00F0129C">
        <w:t xml:space="preserve"> and the distress displayed by Jupiter in demanding why the Trojan battle with the Italians has taken place even though forbidden demonstrates his lack of knowledge controller understanding over the other gods</w:t>
      </w:r>
      <w:r w:rsidR="00A11F78">
        <w:t>.</w:t>
      </w:r>
    </w:p>
    <w:p w14:paraId="6DC78F04" w14:textId="76FC0E14" w:rsidR="000255C0" w:rsidRDefault="00D260DA" w:rsidP="00A66261">
      <w:pPr>
        <w:jc w:val="left"/>
      </w:pPr>
      <w:r>
        <w:lastRenderedPageBreak/>
        <w:tab/>
        <w:t>Venus besieges Jupiter</w:t>
      </w:r>
      <w:r w:rsidR="00DE7141">
        <w:t xml:space="preserve"> to interject and argues that the Trojans have been obedient and have</w:t>
      </w:r>
      <w:r w:rsidR="002D1089">
        <w:t xml:space="preserve"> upheld the wishes of the gods. Juno scorns this argument</w:t>
      </w:r>
      <w:r w:rsidR="00980B7A">
        <w:t xml:space="preserve"> and </w:t>
      </w:r>
      <w:r w:rsidR="002D1089">
        <w:t>counters that the suffering of the Trojans</w:t>
      </w:r>
      <w:r w:rsidR="00980B7A">
        <w:t xml:space="preserve"> should</w:t>
      </w:r>
      <w:r w:rsidR="002D1089">
        <w:t xml:space="preserve"> fall on Aeneas. The</w:t>
      </w:r>
      <w:r w:rsidR="008806F6">
        <w:t xml:space="preserve"> invasion of Italy </w:t>
      </w:r>
      <w:r w:rsidR="00980B7A">
        <w:t>is</w:t>
      </w:r>
      <w:r w:rsidR="008806F6">
        <w:t xml:space="preserve"> said to parallel the rape of Helen by Paris. Because of this, </w:t>
      </w:r>
      <w:r w:rsidR="002C6E4A">
        <w:t>all</w:t>
      </w:r>
      <w:r w:rsidR="008806F6">
        <w:t xml:space="preserve"> the Trojans must suffer</w:t>
      </w:r>
      <w:r w:rsidR="002C6E4A">
        <w:t xml:space="preserve"> for the misdeeds of their leader. Jupiter remains </w:t>
      </w:r>
      <w:r w:rsidR="00F45D0F">
        <w:t>impartial.</w:t>
      </w:r>
    </w:p>
    <w:p w14:paraId="2A84E0FD" w14:textId="445371A3" w:rsidR="000255C0" w:rsidRDefault="00D451F4" w:rsidP="00C8679B">
      <w:pPr>
        <w:pStyle w:val="Quote"/>
      </w:pPr>
      <w:r>
        <w:t>It shall</w:t>
      </w:r>
      <w:r w:rsidR="00AA7BFA">
        <w:t xml:space="preserve"> his only sowing reap</w:t>
      </w:r>
    </w:p>
    <w:p w14:paraId="74BDE8C5" w14:textId="2EDF4D56" w:rsidR="00AA7BFA" w:rsidRDefault="00C8679B" w:rsidP="00C8679B">
      <w:pPr>
        <w:pStyle w:val="Quote"/>
      </w:pPr>
      <w:r>
        <w:t>O</w:t>
      </w:r>
      <w:r w:rsidR="00FE39DB">
        <w:t xml:space="preserve">r toll or </w:t>
      </w:r>
      <w:r>
        <w:t>triumph</w:t>
      </w:r>
      <w:r w:rsidR="00FE39DB">
        <w:t xml:space="preserve">; Jupiter is </w:t>
      </w:r>
      <w:r w:rsidR="00643C33">
        <w:t>K</w:t>
      </w:r>
      <w:r w:rsidR="00FE39DB">
        <w:t>ing</w:t>
      </w:r>
    </w:p>
    <w:p w14:paraId="7BC56DDF" w14:textId="3A48003D" w:rsidR="00FE39DB" w:rsidRPr="00AA7BFA" w:rsidRDefault="00C8679B" w:rsidP="00C8679B">
      <w:pPr>
        <w:pStyle w:val="Quote"/>
      </w:pPr>
      <w:r>
        <w:t>A</w:t>
      </w:r>
      <w:r w:rsidR="00FE39DB">
        <w:t>like for all, the fates will find a way</w:t>
      </w:r>
      <w:r>
        <w:t>.</w:t>
      </w:r>
      <w:r>
        <w:rPr>
          <w:rStyle w:val="FootnoteReference"/>
        </w:rPr>
        <w:footnoteReference w:id="15"/>
      </w:r>
    </w:p>
    <w:p w14:paraId="0C83C720" w14:textId="2D653F7A" w:rsidR="00AA7BFA" w:rsidRDefault="00D260DA" w:rsidP="00AA7BFA">
      <w:pPr>
        <w:rPr>
          <w:lang w:val="en-AU"/>
        </w:rPr>
      </w:pPr>
      <w:r>
        <w:rPr>
          <w:lang w:val="en-AU"/>
        </w:rPr>
        <w:tab/>
      </w:r>
      <w:r w:rsidR="00B0473C">
        <w:rPr>
          <w:lang w:val="en-AU"/>
        </w:rPr>
        <w:t>Aeneas</w:t>
      </w:r>
      <w:r w:rsidR="006163C3">
        <w:rPr>
          <w:lang w:val="en-AU"/>
        </w:rPr>
        <w:t xml:space="preserve"> leads a fleet of Etruscan vessels coming to </w:t>
      </w:r>
      <w:r w:rsidR="00980B7A">
        <w:rPr>
          <w:lang w:val="en-AU"/>
        </w:rPr>
        <w:t>rescue</w:t>
      </w:r>
      <w:r w:rsidR="006163C3">
        <w:rPr>
          <w:lang w:val="en-AU"/>
        </w:rPr>
        <w:t xml:space="preserve"> the other Trojans. Turnus</w:t>
      </w:r>
      <w:r w:rsidR="00E8588D">
        <w:rPr>
          <w:lang w:val="en-AU"/>
        </w:rPr>
        <w:t xml:space="preserve"> seeks to thwart</w:t>
      </w:r>
      <w:r w:rsidR="00672884">
        <w:rPr>
          <w:lang w:val="en-AU"/>
        </w:rPr>
        <w:t xml:space="preserve"> Aeneas’ </w:t>
      </w:r>
      <w:r w:rsidR="00E8588D">
        <w:rPr>
          <w:lang w:val="en-AU"/>
        </w:rPr>
        <w:t>men from disembarking but fails.</w:t>
      </w:r>
      <w:r w:rsidR="00672884">
        <w:rPr>
          <w:lang w:val="en-AU"/>
        </w:rPr>
        <w:t xml:space="preserve"> However, Juno intervenes and </w:t>
      </w:r>
      <w:r w:rsidR="003E41BC">
        <w:rPr>
          <w:lang w:val="en-AU"/>
        </w:rPr>
        <w:t>interferes with the battle protecting</w:t>
      </w:r>
      <w:r w:rsidR="003E41BC" w:rsidRPr="003E41BC">
        <w:rPr>
          <w:lang w:val="en-AU"/>
        </w:rPr>
        <w:t xml:space="preserve"> </w:t>
      </w:r>
      <w:r w:rsidR="003E41BC">
        <w:rPr>
          <w:lang w:val="en-AU"/>
        </w:rPr>
        <w:t>Turnus</w:t>
      </w:r>
      <w:r w:rsidR="003E41BC">
        <w:rPr>
          <w:lang w:val="en-AU"/>
        </w:rPr>
        <w:t xml:space="preserve">. </w:t>
      </w:r>
      <w:r w:rsidR="003772ED">
        <w:rPr>
          <w:lang w:val="en-AU"/>
        </w:rPr>
        <w:t>Using</w:t>
      </w:r>
      <w:r w:rsidR="003E41BC">
        <w:rPr>
          <w:lang w:val="en-AU"/>
        </w:rPr>
        <w:t xml:space="preserve"> a phantom that </w:t>
      </w:r>
      <w:r w:rsidR="00980B7A">
        <w:rPr>
          <w:lang w:val="en-AU"/>
        </w:rPr>
        <w:t>looks</w:t>
      </w:r>
      <w:r w:rsidR="003E41BC">
        <w:rPr>
          <w:lang w:val="en-AU"/>
        </w:rPr>
        <w:t xml:space="preserve"> like</w:t>
      </w:r>
      <w:r w:rsidR="006A04A2">
        <w:rPr>
          <w:lang w:val="en-AU"/>
        </w:rPr>
        <w:t xml:space="preserve"> Aeneas</w:t>
      </w:r>
      <w:r w:rsidR="003E41BC">
        <w:rPr>
          <w:lang w:val="en-AU"/>
        </w:rPr>
        <w:t>,</w:t>
      </w:r>
      <w:r w:rsidR="006A04A2">
        <w:rPr>
          <w:lang w:val="en-AU"/>
        </w:rPr>
        <w:t xml:space="preserve"> Turnus </w:t>
      </w:r>
      <w:proofErr w:type="gramStart"/>
      <w:r w:rsidR="006A04A2">
        <w:rPr>
          <w:lang w:val="en-AU"/>
        </w:rPr>
        <w:t>is lowered</w:t>
      </w:r>
      <w:proofErr w:type="gramEnd"/>
      <w:r w:rsidR="006A04A2">
        <w:rPr>
          <w:lang w:val="en-AU"/>
        </w:rPr>
        <w:t xml:space="preserve"> away from the battlefield and out of danger.</w:t>
      </w:r>
      <w:r w:rsidR="003772ED">
        <w:rPr>
          <w:lang w:val="en-AU"/>
        </w:rPr>
        <w:t xml:space="preserve"> However, </w:t>
      </w:r>
      <w:r w:rsidR="00980B7A">
        <w:rPr>
          <w:lang w:val="en-AU"/>
        </w:rPr>
        <w:t>both the Latins and the Trojans witnessed the carnage and the horror of the scene</w:t>
      </w:r>
      <w:r w:rsidR="004E7C21">
        <w:rPr>
          <w:lang w:val="en-AU"/>
        </w:rPr>
        <w:t>.</w:t>
      </w:r>
    </w:p>
    <w:p w14:paraId="5745740B" w14:textId="62C9B246" w:rsidR="004E7C21" w:rsidRDefault="004E7C21" w:rsidP="00AA7BFA">
      <w:pPr>
        <w:rPr>
          <w:lang w:val="en-AU"/>
        </w:rPr>
      </w:pPr>
      <w:r>
        <w:rPr>
          <w:lang w:val="en-AU"/>
        </w:rPr>
        <w:tab/>
        <w:t>Aeneas demonstrates his piety by allowing</w:t>
      </w:r>
      <w:r w:rsidR="007022EB">
        <w:rPr>
          <w:lang w:val="en-AU"/>
        </w:rPr>
        <w:t xml:space="preserve"> the Latins a truce to collect the bodies of the dead and to take them from the battlefield to </w:t>
      </w:r>
      <w:proofErr w:type="gramStart"/>
      <w:r w:rsidR="007022EB">
        <w:rPr>
          <w:lang w:val="en-AU"/>
        </w:rPr>
        <w:t>be buried</w:t>
      </w:r>
      <w:proofErr w:type="gramEnd"/>
      <w:r w:rsidR="007022EB">
        <w:rPr>
          <w:lang w:val="en-AU"/>
        </w:rPr>
        <w:t>.</w:t>
      </w:r>
      <w:r w:rsidR="00FE12A2">
        <w:rPr>
          <w:lang w:val="en-AU"/>
        </w:rPr>
        <w:t xml:space="preserve"> The sensor slaughter leads to a council and an agreement proposed by Aeneas that the two leaders fight man-to-man</w:t>
      </w:r>
      <w:r w:rsidR="00524498">
        <w:rPr>
          <w:lang w:val="en-AU"/>
        </w:rPr>
        <w:t xml:space="preserve"> with the fate of everyone on this individual duel. The winner will take Princess Lavinia</w:t>
      </w:r>
      <w:r w:rsidR="005A2A85">
        <w:rPr>
          <w:lang w:val="en-AU"/>
        </w:rPr>
        <w:t xml:space="preserve"> to be a wife and Queen. Turnus is haughty and again displays the hubris of Achilles</w:t>
      </w:r>
      <w:r w:rsidR="00B56FDB">
        <w:rPr>
          <w:lang w:val="en-AU"/>
        </w:rPr>
        <w:t xml:space="preserve"> in the way that he accepts the duel.</w:t>
      </w:r>
    </w:p>
    <w:p w14:paraId="35E4DC29" w14:textId="24956167" w:rsidR="00F41CC6" w:rsidRPr="00AA7BFA" w:rsidRDefault="006A04A2" w:rsidP="00AA7BFA">
      <w:pPr>
        <w:rPr>
          <w:lang w:val="en-AU"/>
        </w:rPr>
      </w:pPr>
      <w:r>
        <w:rPr>
          <w:lang w:val="en-AU"/>
        </w:rPr>
        <w:tab/>
      </w:r>
      <w:r w:rsidR="00F91235">
        <w:rPr>
          <w:lang w:val="en-AU"/>
        </w:rPr>
        <w:t>T</w:t>
      </w:r>
      <w:r w:rsidR="00086593">
        <w:rPr>
          <w:lang w:val="en-AU"/>
        </w:rPr>
        <w:t>urnus scorns those who “</w:t>
      </w:r>
      <w:r w:rsidR="00187176">
        <w:rPr>
          <w:lang w:val="en-AU"/>
        </w:rPr>
        <w:t>sit praising peace, while they [the Trojan army] rush armed on Empire”</w:t>
      </w:r>
      <w:r w:rsidR="00187176">
        <w:rPr>
          <w:rStyle w:val="FootnoteReference"/>
          <w:lang w:val="en-AU"/>
        </w:rPr>
        <w:footnoteReference w:id="16"/>
      </w:r>
      <w:r w:rsidR="00187176">
        <w:rPr>
          <w:lang w:val="en-AU"/>
        </w:rPr>
        <w:t>.</w:t>
      </w:r>
      <w:r w:rsidR="003E453A">
        <w:rPr>
          <w:lang w:val="en-AU"/>
        </w:rPr>
        <w:t xml:space="preserve"> In some ways, this is reminiscent of modern generals directing their army and politicians</w:t>
      </w:r>
      <w:r w:rsidR="00B61E1C">
        <w:rPr>
          <w:lang w:val="en-AU"/>
        </w:rPr>
        <w:t xml:space="preserve"> sitting and watching others in the battle. </w:t>
      </w:r>
      <w:r w:rsidR="00980B7A">
        <w:rPr>
          <w:lang w:val="en-AU"/>
        </w:rPr>
        <w:t>However, t</w:t>
      </w:r>
      <w:r w:rsidR="00B61E1C">
        <w:rPr>
          <w:lang w:val="en-AU"/>
        </w:rPr>
        <w:t xml:space="preserve">he battle is not going </w:t>
      </w:r>
      <w:r w:rsidR="00DC3946">
        <w:rPr>
          <w:lang w:val="en-AU"/>
        </w:rPr>
        <w:t>well,</w:t>
      </w:r>
      <w:r w:rsidR="00B61E1C">
        <w:rPr>
          <w:lang w:val="en-AU"/>
        </w:rPr>
        <w:t xml:space="preserve"> and </w:t>
      </w:r>
      <w:r w:rsidR="00B61E1C">
        <w:rPr>
          <w:lang w:val="en-AU"/>
        </w:rPr>
        <w:lastRenderedPageBreak/>
        <w:t>the Latins are despondent and likely to end</w:t>
      </w:r>
      <w:r w:rsidR="007B0FC9">
        <w:rPr>
          <w:lang w:val="en-AU"/>
        </w:rPr>
        <w:t xml:space="preserve"> through</w:t>
      </w:r>
      <w:r w:rsidR="00341055">
        <w:rPr>
          <w:lang w:val="en-AU"/>
        </w:rPr>
        <w:t xml:space="preserve"> r</w:t>
      </w:r>
      <w:r w:rsidR="007B0FC9">
        <w:rPr>
          <w:lang w:val="en-AU"/>
        </w:rPr>
        <w:t>out</w:t>
      </w:r>
      <w:r w:rsidR="00341055">
        <w:rPr>
          <w:lang w:val="en-AU"/>
        </w:rPr>
        <w:t>e.</w:t>
      </w:r>
      <w:r w:rsidR="00DC3946">
        <w:rPr>
          <w:lang w:val="en-AU"/>
        </w:rPr>
        <w:t xml:space="preserve"> Consequently,</w:t>
      </w:r>
      <w:r w:rsidR="001B57DC">
        <w:rPr>
          <w:lang w:val="en-AU"/>
        </w:rPr>
        <w:t xml:space="preserve"> in a position reminiscent of the biblical David</w:t>
      </w:r>
      <w:r w:rsidR="001B57DC" w:rsidRPr="001B57DC">
        <w:rPr>
          <w:lang w:val="en-AU"/>
        </w:rPr>
        <w:t xml:space="preserve"> </w:t>
      </w:r>
      <w:r w:rsidR="001B57DC">
        <w:rPr>
          <w:lang w:val="en-AU"/>
        </w:rPr>
        <w:t>and Goliath</w:t>
      </w:r>
      <w:r w:rsidR="00981634">
        <w:rPr>
          <w:rStyle w:val="FootnoteReference"/>
          <w:lang w:val="en-AU"/>
        </w:rPr>
        <w:footnoteReference w:id="17"/>
      </w:r>
      <w:r w:rsidR="001B57DC">
        <w:rPr>
          <w:lang w:val="en-AU"/>
        </w:rPr>
        <w:t xml:space="preserve">, </w:t>
      </w:r>
      <w:r w:rsidR="001B57DC">
        <w:rPr>
          <w:lang w:val="en-AU"/>
        </w:rPr>
        <w:t>Turnus</w:t>
      </w:r>
      <w:r w:rsidR="00F65D46">
        <w:rPr>
          <w:lang w:val="en-AU"/>
        </w:rPr>
        <w:t xml:space="preserve"> proposes to settle the battle </w:t>
      </w:r>
      <w:r w:rsidR="00980B7A">
        <w:rPr>
          <w:lang w:val="en-AU"/>
        </w:rPr>
        <w:t>through</w:t>
      </w:r>
      <w:r w:rsidR="00F65D46">
        <w:rPr>
          <w:lang w:val="en-AU"/>
        </w:rPr>
        <w:t xml:space="preserve"> a one-on-one conflict between the generals.</w:t>
      </w:r>
    </w:p>
    <w:p w14:paraId="1D609B0B" w14:textId="0C7591CA" w:rsidR="000255C0" w:rsidRDefault="0053526B" w:rsidP="00466286">
      <w:pPr>
        <w:pStyle w:val="Quote"/>
      </w:pPr>
      <w:r>
        <w:t xml:space="preserve">… </w:t>
      </w:r>
      <w:proofErr w:type="gramStart"/>
      <w:r>
        <w:t>I go</w:t>
      </w:r>
      <w:proofErr w:type="gramEnd"/>
      <w:r>
        <w:t xml:space="preserve"> to meet him. Bring the holy rights,</w:t>
      </w:r>
    </w:p>
    <w:p w14:paraId="5D8D2FF4" w14:textId="2BF30AA8" w:rsidR="0053526B" w:rsidRDefault="00F41CC6" w:rsidP="00466286">
      <w:pPr>
        <w:pStyle w:val="Quote"/>
      </w:pPr>
      <w:r>
        <w:t>S</w:t>
      </w:r>
      <w:r w:rsidR="0053526B">
        <w:t>ire, and rehearse the treaty. Or will I</w:t>
      </w:r>
    </w:p>
    <w:p w14:paraId="3D013C1C" w14:textId="6842C733" w:rsidR="0053526B" w:rsidRDefault="00F41CC6" w:rsidP="00466286">
      <w:pPr>
        <w:pStyle w:val="Quote"/>
      </w:pPr>
      <w:r>
        <w:t>T</w:t>
      </w:r>
      <w:r w:rsidR="0053526B">
        <w:t>o</w:t>
      </w:r>
      <w:r>
        <w:t xml:space="preserve"> Tartarus held this </w:t>
      </w:r>
      <w:r w:rsidR="00180E44">
        <w:t>Dardan</w:t>
      </w:r>
      <w:r>
        <w:t xml:space="preserve"> runagate</w:t>
      </w:r>
    </w:p>
    <w:p w14:paraId="6E7E5651" w14:textId="64BA1B27" w:rsidR="000142FB" w:rsidRDefault="00466286" w:rsidP="00466286">
      <w:pPr>
        <w:pStyle w:val="Quote"/>
      </w:pPr>
      <w:r>
        <w:t>F</w:t>
      </w:r>
      <w:r w:rsidR="004B5623">
        <w:t>rom Asia - let the Latin sit and see -</w:t>
      </w:r>
    </w:p>
    <w:p w14:paraId="1A394078" w14:textId="6408EA68" w:rsidR="004B5623" w:rsidRDefault="00466286" w:rsidP="00466286">
      <w:pPr>
        <w:pStyle w:val="Quote"/>
      </w:pPr>
      <w:r>
        <w:t>W</w:t>
      </w:r>
      <w:r w:rsidR="004B5623">
        <w:t xml:space="preserve">ith my sole arm our common shame </w:t>
      </w:r>
      <w:proofErr w:type="gramStart"/>
      <w:r w:rsidR="004B5623">
        <w:t>rebut;</w:t>
      </w:r>
      <w:proofErr w:type="gramEnd"/>
    </w:p>
    <w:p w14:paraId="2D6A2546" w14:textId="01EECD3E" w:rsidR="00F41CC6" w:rsidRDefault="00466286" w:rsidP="00466286">
      <w:pPr>
        <w:pStyle w:val="Quote"/>
      </w:pPr>
      <w:r>
        <w:t>Or</w:t>
      </w:r>
      <w:r w:rsidR="004B5623">
        <w:t xml:space="preserve"> let him hold us</w:t>
      </w:r>
      <w:r>
        <w:t xml:space="preserve"> as his thralls of war,</w:t>
      </w:r>
    </w:p>
    <w:p w14:paraId="06A5D8F6" w14:textId="4EA71F37" w:rsidR="00F41CC6" w:rsidRDefault="00466286" w:rsidP="00466286">
      <w:pPr>
        <w:pStyle w:val="Quote"/>
      </w:pPr>
      <w:r>
        <w:t>And take to bride Lavinia.</w:t>
      </w:r>
      <w:r>
        <w:rPr>
          <w:rStyle w:val="FootnoteReference"/>
        </w:rPr>
        <w:footnoteReference w:id="18"/>
      </w:r>
    </w:p>
    <w:p w14:paraId="2A849DE4" w14:textId="1513AC75" w:rsidR="00F41CC6" w:rsidRDefault="00511841" w:rsidP="00A66261">
      <w:pPr>
        <w:jc w:val="left"/>
      </w:pPr>
      <w:r>
        <w:tab/>
      </w:r>
      <w:r w:rsidR="003643AF">
        <w:t>Crossland</w:t>
      </w:r>
      <w:r w:rsidR="0037678C">
        <w:t xml:space="preserve"> </w:t>
      </w:r>
      <w:r w:rsidR="00773EA5">
        <w:t>detailed Book</w:t>
      </w:r>
      <w:r w:rsidR="0037678C">
        <w:t xml:space="preserve"> X noting that “two warlike youths on opposite sides</w:t>
      </w:r>
      <w:r w:rsidR="00CE02EB">
        <w:t>”</w:t>
      </w:r>
      <w:r w:rsidR="003643AF">
        <w:rPr>
          <w:rStyle w:val="FootnoteReference"/>
        </w:rPr>
        <w:footnoteReference w:id="19"/>
      </w:r>
      <w:r w:rsidR="00CE02EB">
        <w:t xml:space="preserve"> form an adjunct in</w:t>
      </w:r>
      <w:r w:rsidR="005D51BF">
        <w:t xml:space="preserve"> </w:t>
      </w:r>
      <w:r w:rsidR="005D51BF" w:rsidRPr="00576CDD">
        <w:rPr>
          <w:i/>
          <w:iCs/>
        </w:rPr>
        <w:t>Eneas</w:t>
      </w:r>
      <w:r w:rsidR="003643AF">
        <w:t xml:space="preserve"> </w:t>
      </w:r>
      <w:r w:rsidR="00B80FC8">
        <w:t>that parodies this</w:t>
      </w:r>
      <w:r w:rsidR="00543504">
        <w:t xml:space="preserve"> in an attempt “to make Virgil unpopular”. </w:t>
      </w:r>
      <w:r w:rsidR="00DD0DF5">
        <w:t>The later French poet took the “description of a slender youth, greatly daring like David</w:t>
      </w:r>
      <w:r w:rsidR="00905AF5">
        <w:t xml:space="preserve">, opposed to a first Goliath” </w:t>
      </w:r>
      <w:r w:rsidR="002A22D6">
        <w:t>and twist</w:t>
      </w:r>
      <w:r w:rsidR="00980B7A">
        <w:t>ed</w:t>
      </w:r>
      <w:r w:rsidR="002A22D6">
        <w:t xml:space="preserve"> the story </w:t>
      </w:r>
      <w:r w:rsidR="00980B7A">
        <w:t>to create</w:t>
      </w:r>
      <w:r w:rsidR="00544293">
        <w:t xml:space="preserve"> a more violent version of </w:t>
      </w:r>
      <w:r w:rsidR="00980B7A">
        <w:t xml:space="preserve">the </w:t>
      </w:r>
      <w:r w:rsidR="00544293">
        <w:t>battle.</w:t>
      </w:r>
    </w:p>
    <w:p w14:paraId="5E26C0FB" w14:textId="40067A8C" w:rsidR="00F41CC6" w:rsidRDefault="00544293" w:rsidP="00A66261">
      <w:pPr>
        <w:jc w:val="left"/>
      </w:pPr>
      <w:r>
        <w:tab/>
        <w:t>Virgil</w:t>
      </w:r>
      <w:r w:rsidR="00980B7A">
        <w:t>,</w:t>
      </w:r>
      <w:r w:rsidR="000C313D">
        <w:t xml:space="preserve"> however</w:t>
      </w:r>
      <w:r w:rsidR="00980B7A">
        <w:t>,</w:t>
      </w:r>
      <w:r w:rsidR="000C313D">
        <w:t xml:space="preserve"> has an honourable meeting where Aeneas</w:t>
      </w:r>
      <w:r w:rsidR="001164FA">
        <w:t xml:space="preserve"> agrees to leave Italy with his people if he is defeated and that the Italians will be treated as equals. Moreover, Latinus</w:t>
      </w:r>
      <w:r w:rsidR="00616663">
        <w:t xml:space="preserve"> can remain Regent.</w:t>
      </w:r>
      <w:r w:rsidR="00DC203D">
        <w:t xml:space="preserve"> Such an approach</w:t>
      </w:r>
      <w:r w:rsidR="00F07333">
        <w:t xml:space="preserve"> differs greatly</w:t>
      </w:r>
      <w:r w:rsidR="00932EFA">
        <w:t xml:space="preserve"> from that in the Bible</w:t>
      </w:r>
      <w:r w:rsidR="00EA5880">
        <w:t xml:space="preserve">. In the Old Testament book </w:t>
      </w:r>
      <w:r w:rsidR="00EA5880" w:rsidRPr="00EA5880">
        <w:t>1 Samuel</w:t>
      </w:r>
      <w:r w:rsidR="00EA5880">
        <w:rPr>
          <w:rStyle w:val="FootnoteReference"/>
        </w:rPr>
        <w:footnoteReference w:id="20"/>
      </w:r>
      <w:r w:rsidR="00EA5880">
        <w:t xml:space="preserve">, </w:t>
      </w:r>
      <w:r w:rsidR="00A225B0">
        <w:t>David and his men rushed the Philistines and destroy</w:t>
      </w:r>
      <w:r w:rsidR="00551B1C">
        <w:t>ed</w:t>
      </w:r>
      <w:r w:rsidR="00A225B0">
        <w:t xml:space="preserve"> the opposing army.</w:t>
      </w:r>
      <w:r w:rsidR="00A33860">
        <w:t xml:space="preserve"> Based on the actions of Aeneas, it would be expected that he would continue to fulfil his duty and</w:t>
      </w:r>
      <w:r w:rsidR="00983C1C">
        <w:t xml:space="preserve"> either leave Italy or bond with the Italian people as brothers.</w:t>
      </w:r>
    </w:p>
    <w:p w14:paraId="6ADDD898" w14:textId="016B6444" w:rsidR="00180E44" w:rsidRDefault="00180E44" w:rsidP="00D44869">
      <w:pPr>
        <w:pStyle w:val="Quote"/>
      </w:pPr>
      <w:r>
        <w:lastRenderedPageBreak/>
        <w:t>… Nor shall Italian at my bidding how</w:t>
      </w:r>
    </w:p>
    <w:p w14:paraId="08FAB57D" w14:textId="57EF18C1" w:rsidR="00353FA5" w:rsidRDefault="00353FA5" w:rsidP="00D44869">
      <w:pPr>
        <w:pStyle w:val="Quote"/>
      </w:pPr>
      <w:r>
        <w:t xml:space="preserve">To Teucrian, nor list </w:t>
      </w:r>
      <w:proofErr w:type="gramStart"/>
      <w:r>
        <w:t>I</w:t>
      </w:r>
      <w:proofErr w:type="gramEnd"/>
      <w:r>
        <w:t xml:space="preserve"> to reign; let both,</w:t>
      </w:r>
    </w:p>
    <w:p w14:paraId="24ABE434" w14:textId="3B82DACA" w:rsidR="00353FA5" w:rsidRDefault="009F2481" w:rsidP="00D44869">
      <w:pPr>
        <w:pStyle w:val="Quote"/>
      </w:pPr>
      <w:r>
        <w:t>Unconquered, beneath equal laws unite</w:t>
      </w:r>
    </w:p>
    <w:p w14:paraId="4932C498" w14:textId="0A6BBF35" w:rsidR="009F2481" w:rsidRDefault="009F2481" w:rsidP="00D44869">
      <w:pPr>
        <w:pStyle w:val="Quote"/>
      </w:pPr>
      <w:r>
        <w:t>In everlasting bonds of amity.</w:t>
      </w:r>
    </w:p>
    <w:p w14:paraId="3D118965" w14:textId="43909DB8" w:rsidR="00180E44" w:rsidRDefault="007F1A1D" w:rsidP="00D44869">
      <w:pPr>
        <w:pStyle w:val="Quote"/>
      </w:pPr>
      <w:r>
        <w:t>My</w:t>
      </w:r>
      <w:r w:rsidR="009F2481">
        <w:t xml:space="preserve"> gods</w:t>
      </w:r>
      <w:r>
        <w:t xml:space="preserve"> I’ll give them, and my sacred </w:t>
      </w:r>
      <w:proofErr w:type="gramStart"/>
      <w:r>
        <w:t>things;</w:t>
      </w:r>
      <w:proofErr w:type="gramEnd"/>
    </w:p>
    <w:p w14:paraId="1C44D48A" w14:textId="2E3437CD" w:rsidR="00180E44" w:rsidRDefault="00323316" w:rsidP="00D44869">
      <w:pPr>
        <w:pStyle w:val="Quote"/>
      </w:pPr>
      <w:r>
        <w:t>Th</w:t>
      </w:r>
      <w:r w:rsidR="007F1A1D">
        <w:t>e sword Latinus, as my sire</w:t>
      </w:r>
      <w:r w:rsidR="005E1F0E">
        <w:t>, must sway,</w:t>
      </w:r>
    </w:p>
    <w:p w14:paraId="73D6A9B8" w14:textId="244D8944" w:rsidR="005E1F0E" w:rsidRDefault="00323316" w:rsidP="00D44869">
      <w:pPr>
        <w:pStyle w:val="Quote"/>
      </w:pPr>
      <w:r>
        <w:t>A</w:t>
      </w:r>
      <w:r w:rsidR="005E1F0E">
        <w:t xml:space="preserve">nd, as my sire, the daily round of </w:t>
      </w:r>
      <w:r>
        <w:t>S</w:t>
      </w:r>
      <w:r w:rsidR="005E1F0E">
        <w:t>tate…</w:t>
      </w:r>
      <w:r>
        <w:rPr>
          <w:rStyle w:val="FootnoteReference"/>
        </w:rPr>
        <w:footnoteReference w:id="21"/>
      </w:r>
    </w:p>
    <w:p w14:paraId="7723706A" w14:textId="40B30228" w:rsidR="00D44869" w:rsidRDefault="00983C1C" w:rsidP="00A66261">
      <w:pPr>
        <w:jc w:val="left"/>
      </w:pPr>
      <w:r>
        <w:tab/>
      </w:r>
      <w:r w:rsidR="001E6803">
        <w:t>D</w:t>
      </w:r>
      <w:r w:rsidR="00B702EB">
        <w:t xml:space="preserve">espite </w:t>
      </w:r>
      <w:r w:rsidR="005202C8">
        <w:t>several</w:t>
      </w:r>
      <w:r w:rsidR="001E6803">
        <w:t xml:space="preserve"> twists and turns to the story</w:t>
      </w:r>
      <w:r w:rsidR="00551B1C">
        <w:t>,</w:t>
      </w:r>
      <w:r w:rsidR="001E6803">
        <w:t xml:space="preserve"> including a story analogous to that of Homer’s with a battle</w:t>
      </w:r>
      <w:r w:rsidR="00F10E70">
        <w:t xml:space="preserve"> of chariots and those between</w:t>
      </w:r>
      <w:r w:rsidR="00754B74">
        <w:t xml:space="preserve"> great heroes, the end is finally to be determined when</w:t>
      </w:r>
      <w:r w:rsidR="009F1E1A">
        <w:t xml:space="preserve"> Turnus agrees to single combat with Aeneas</w:t>
      </w:r>
      <w:r w:rsidR="00905A5F">
        <w:t>. However, misfortune leads to a borrowed sword shattering in the hand of</w:t>
      </w:r>
      <w:r w:rsidR="00905A5F" w:rsidRPr="00905A5F">
        <w:t xml:space="preserve"> </w:t>
      </w:r>
      <w:r w:rsidR="00905A5F" w:rsidRPr="00905A5F">
        <w:t>Turnus</w:t>
      </w:r>
      <w:r w:rsidR="00551B1C">
        <w:t>,</w:t>
      </w:r>
      <w:r w:rsidR="002727E1">
        <w:t xml:space="preserve"> who was left bladeless. As he runs</w:t>
      </w:r>
      <w:r w:rsidR="00551B1C">
        <w:t>,</w:t>
      </w:r>
      <w:r w:rsidR="002727E1">
        <w:t xml:space="preserve"> seeking his sword in the field, Aeneas pursues him relentlessly</w:t>
      </w:r>
      <w:r w:rsidR="00551B1C">
        <w:t>,</w:t>
      </w:r>
      <w:r w:rsidR="002727E1">
        <w:t xml:space="preserve"> chasing </w:t>
      </w:r>
      <w:r w:rsidR="00551B1C">
        <w:t xml:space="preserve">him </w:t>
      </w:r>
      <w:r w:rsidR="002727E1">
        <w:t>five times around the battlefield.</w:t>
      </w:r>
    </w:p>
    <w:p w14:paraId="7F8D6647" w14:textId="009B1B03" w:rsidR="00D44869" w:rsidRDefault="00D44869" w:rsidP="00647A33">
      <w:pPr>
        <w:pStyle w:val="Quote"/>
      </w:pPr>
      <w:r>
        <w:tab/>
        <w:t>… for not light</w:t>
      </w:r>
    </w:p>
    <w:p w14:paraId="6D7E9029" w14:textId="30E2782E" w:rsidR="00180E44" w:rsidRDefault="005D7F4D" w:rsidP="00647A33">
      <w:pPr>
        <w:pStyle w:val="Quote"/>
      </w:pPr>
      <w:r>
        <w:t xml:space="preserve">the praise they seek, nor </w:t>
      </w:r>
      <w:proofErr w:type="gramStart"/>
      <w:r>
        <w:t>trivial;</w:t>
      </w:r>
      <w:proofErr w:type="gramEnd"/>
      <w:r>
        <w:t xml:space="preserve"> the heart’s blood</w:t>
      </w:r>
    </w:p>
    <w:p w14:paraId="778C0333" w14:textId="551B15A6" w:rsidR="005D7F4D" w:rsidRDefault="005D7F4D" w:rsidP="00647A33">
      <w:pPr>
        <w:pStyle w:val="Quote"/>
      </w:pPr>
      <w:r>
        <w:t>and very life of Tur</w:t>
      </w:r>
      <w:r w:rsidR="00647A33">
        <w:t>nu</w:t>
      </w:r>
      <w:r>
        <w:t xml:space="preserve">s </w:t>
      </w:r>
      <w:proofErr w:type="gramStart"/>
      <w:r>
        <w:t>are</w:t>
      </w:r>
      <w:proofErr w:type="gramEnd"/>
      <w:r>
        <w:t xml:space="preserve"> at stake</w:t>
      </w:r>
      <w:r w:rsidR="00647A33">
        <w:t>.</w:t>
      </w:r>
      <w:r w:rsidR="00647A33">
        <w:rPr>
          <w:rStyle w:val="FootnoteReference"/>
        </w:rPr>
        <w:footnoteReference w:id="22"/>
      </w:r>
    </w:p>
    <w:p w14:paraId="0FDFB84E" w14:textId="331FEA56" w:rsidR="0033035B" w:rsidRDefault="002727E1" w:rsidP="00A66261">
      <w:pPr>
        <w:jc w:val="left"/>
      </w:pPr>
      <w:r>
        <w:tab/>
      </w:r>
      <w:r w:rsidR="00571E7C">
        <w:t xml:space="preserve">The nymph </w:t>
      </w:r>
      <w:r w:rsidR="0067559F">
        <w:t>Juturna then returns to the field to help</w:t>
      </w:r>
      <w:r w:rsidR="00571E7C" w:rsidRPr="00571E7C">
        <w:t xml:space="preserve"> </w:t>
      </w:r>
      <w:r w:rsidR="00571E7C" w:rsidRPr="00571E7C">
        <w:t>Turnus</w:t>
      </w:r>
      <w:r w:rsidR="00571E7C">
        <w:t xml:space="preserve"> find his los</w:t>
      </w:r>
      <w:r w:rsidR="00551B1C">
        <w:t>t</w:t>
      </w:r>
      <w:r w:rsidR="00571E7C">
        <w:t xml:space="preserve"> sword and</w:t>
      </w:r>
      <w:r w:rsidR="00551B1C">
        <w:t>,</w:t>
      </w:r>
      <w:r w:rsidR="00571E7C">
        <w:t xml:space="preserve"> working for Juno</w:t>
      </w:r>
      <w:r w:rsidR="00551B1C">
        <w:t>,</w:t>
      </w:r>
      <w:r w:rsidR="00ED26DE">
        <w:t xml:space="preserve"> seeks to aid this delay of destiny. Venus likewise int</w:t>
      </w:r>
      <w:r w:rsidR="00551B1C">
        <w:t>er</w:t>
      </w:r>
      <w:r w:rsidR="00ED26DE">
        <w:t>poses and finds the</w:t>
      </w:r>
      <w:r w:rsidR="00290D75">
        <w:t xml:space="preserve"> sword </w:t>
      </w:r>
      <w:r w:rsidR="00ED26DE">
        <w:t>of Aeneas</w:t>
      </w:r>
      <w:r w:rsidR="00551B1C">
        <w:t>,</w:t>
      </w:r>
      <w:r w:rsidR="00290D75">
        <w:t xml:space="preserve"> and each heroic character can now meet. One with </w:t>
      </w:r>
      <w:r w:rsidR="00551B1C">
        <w:t xml:space="preserve">a </w:t>
      </w:r>
      <w:r w:rsidR="00290D75">
        <w:t xml:space="preserve">sword, one with </w:t>
      </w:r>
      <w:r w:rsidR="00551B1C">
        <w:t xml:space="preserve">a </w:t>
      </w:r>
      <w:r w:rsidR="00290D75">
        <w:t>spear</w:t>
      </w:r>
      <w:r w:rsidR="00FB0C23">
        <w:t xml:space="preserve"> </w:t>
      </w:r>
      <w:r w:rsidR="00FB0C23">
        <w:rPr>
          <w:rStyle w:val="FootnoteReference"/>
        </w:rPr>
        <w:footnoteReference w:id="23"/>
      </w:r>
      <w:r w:rsidR="00290D75">
        <w:t>.</w:t>
      </w:r>
      <w:r w:rsidR="00BE6F22">
        <w:t xml:space="preserve"> At this point, Jupiter finally intercedes and warns Juno and her followers</w:t>
      </w:r>
      <w:r w:rsidR="00F67250">
        <w:t>,</w:t>
      </w:r>
      <w:r w:rsidR="00BE6F22">
        <w:t xml:space="preserve"> “further venture I forbid</w:t>
      </w:r>
      <w:r w:rsidR="00AF3BD9">
        <w:t>”</w:t>
      </w:r>
      <w:r w:rsidR="00AF3BD9">
        <w:rPr>
          <w:rStyle w:val="FootnoteReference"/>
        </w:rPr>
        <w:footnoteReference w:id="24"/>
      </w:r>
      <w:r w:rsidR="00AF3BD9">
        <w:t>.</w:t>
      </w:r>
      <w:r w:rsidR="00784B47">
        <w:t xml:space="preserve"> Juno</w:t>
      </w:r>
      <w:r w:rsidR="00482250">
        <w:t xml:space="preserve"> finally accepts that she cannot intercede and </w:t>
      </w:r>
      <w:r w:rsidR="00F67250">
        <w:t xml:space="preserve">further changes the fate </w:t>
      </w:r>
      <w:r w:rsidR="00F67250">
        <w:lastRenderedPageBreak/>
        <w:t>decreed by Jupit</w:t>
      </w:r>
      <w:r w:rsidR="00482250">
        <w:t>er. However, she does secure a final promise that must be delivered to her Latins.</w:t>
      </w:r>
    </w:p>
    <w:p w14:paraId="7E9205B1" w14:textId="2CA7EF23" w:rsidR="0033035B" w:rsidRDefault="00A443C1" w:rsidP="00864424">
      <w:pPr>
        <w:pStyle w:val="Quote"/>
      </w:pPr>
      <w:r>
        <w:tab/>
        <w:t xml:space="preserve">… </w:t>
      </w:r>
      <w:r w:rsidR="00DF648A">
        <w:t>b</w:t>
      </w:r>
      <w:r>
        <w:t>id them not put by</w:t>
      </w:r>
    </w:p>
    <w:p w14:paraId="3F94432A" w14:textId="11F10C23" w:rsidR="0033035B" w:rsidRDefault="00A443C1" w:rsidP="00864424">
      <w:pPr>
        <w:pStyle w:val="Quote"/>
      </w:pPr>
      <w:r>
        <w:t>The native name of Latins, nor become</w:t>
      </w:r>
    </w:p>
    <w:p w14:paraId="23466094" w14:textId="70D9D9AA" w:rsidR="0033035B" w:rsidRDefault="00DF648A" w:rsidP="00864424">
      <w:pPr>
        <w:pStyle w:val="Quote"/>
      </w:pPr>
      <w:r>
        <w:t>Trojans, or pass for Teucrians on men’s lips,</w:t>
      </w:r>
    </w:p>
    <w:p w14:paraId="00AD9B3B" w14:textId="46223917" w:rsidR="00DF648A" w:rsidRDefault="00F82358" w:rsidP="00864424">
      <w:pPr>
        <w:pStyle w:val="Quote"/>
      </w:pPr>
      <w:r>
        <w:t>N</w:t>
      </w:r>
      <w:r w:rsidR="00DF648A">
        <w:t>or alien speech assume, nor altered garb</w:t>
      </w:r>
      <w:r>
        <w:t>.</w:t>
      </w:r>
    </w:p>
    <w:p w14:paraId="6C55D3CC" w14:textId="53843951" w:rsidR="00F82358" w:rsidRDefault="00F82358" w:rsidP="00864424">
      <w:pPr>
        <w:pStyle w:val="Quote"/>
      </w:pPr>
      <w:r>
        <w:t>Let Latium, and let Alban kings endure</w:t>
      </w:r>
    </w:p>
    <w:p w14:paraId="6F9067EB" w14:textId="774BCD5D" w:rsidR="0033035B" w:rsidRDefault="00864424" w:rsidP="00864424">
      <w:pPr>
        <w:pStyle w:val="Quote"/>
      </w:pPr>
      <w:r>
        <w:t>F</w:t>
      </w:r>
      <w:r w:rsidR="00F82358">
        <w:t>or ages; be there still a Roman stock,</w:t>
      </w:r>
    </w:p>
    <w:p w14:paraId="385825CA" w14:textId="581CB0B7" w:rsidR="00F82358" w:rsidRDefault="00864424" w:rsidP="00864424">
      <w:pPr>
        <w:pStyle w:val="Quote"/>
      </w:pPr>
      <w:r>
        <w:t xml:space="preserve">Strong with Italian valour. Troy </w:t>
      </w:r>
      <w:proofErr w:type="gramStart"/>
      <w:r>
        <w:t>is fallen</w:t>
      </w:r>
      <w:proofErr w:type="gramEnd"/>
      <w:r>
        <w:t>,</w:t>
      </w:r>
    </w:p>
    <w:p w14:paraId="236EAD1B" w14:textId="7F986032" w:rsidR="00864424" w:rsidRDefault="00864424" w:rsidP="00864424">
      <w:pPr>
        <w:pStyle w:val="Quote"/>
      </w:pPr>
      <w:proofErr w:type="gramStart"/>
      <w:r>
        <w:t>And,</w:t>
      </w:r>
      <w:proofErr w:type="gramEnd"/>
      <w:r>
        <w:t xml:space="preserve"> name with the nation, let the fallen lie.</w:t>
      </w:r>
      <w:r>
        <w:rPr>
          <w:rStyle w:val="FootnoteReference"/>
        </w:rPr>
        <w:footnoteReference w:id="25"/>
      </w:r>
    </w:p>
    <w:p w14:paraId="3195CF37" w14:textId="679852C2" w:rsidR="0033035B" w:rsidRDefault="003F5559" w:rsidP="00A66261">
      <w:pPr>
        <w:jc w:val="left"/>
      </w:pPr>
      <w:r>
        <w:tab/>
        <w:t>With this agreement, Jupiter signals the end to Turnus</w:t>
      </w:r>
      <w:r w:rsidR="0034291D">
        <w:t xml:space="preserve"> by having one of his furies appear as a small bird</w:t>
      </w:r>
      <w:r w:rsidR="003E038E">
        <w:t xml:space="preserve"> that instils fear.</w:t>
      </w:r>
    </w:p>
    <w:p w14:paraId="4D4C073B" w14:textId="412301A5" w:rsidR="00733A08" w:rsidRDefault="00432010" w:rsidP="00432010">
      <w:pPr>
        <w:pStyle w:val="Quote"/>
      </w:pPr>
      <w:r>
        <w:t>A</w:t>
      </w:r>
      <w:r w:rsidR="00733A08">
        <w:t xml:space="preserve">nd fearful numbness </w:t>
      </w:r>
      <w:proofErr w:type="gramStart"/>
      <w:r w:rsidR="00733A08">
        <w:t>loosed</w:t>
      </w:r>
      <w:proofErr w:type="gramEnd"/>
      <w:r w:rsidR="00733A08">
        <w:t xml:space="preserve"> his limbs; his hair</w:t>
      </w:r>
    </w:p>
    <w:p w14:paraId="43C1483F" w14:textId="16854B7C" w:rsidR="00733A08" w:rsidRDefault="00432010" w:rsidP="00432010">
      <w:pPr>
        <w:pStyle w:val="Quote"/>
      </w:pPr>
      <w:r>
        <w:t>S</w:t>
      </w:r>
      <w:r w:rsidR="00733A08">
        <w:t xml:space="preserve">tood </w:t>
      </w:r>
      <w:r w:rsidR="00E104D1">
        <w:t>stiff</w:t>
      </w:r>
      <w:r w:rsidR="00733A08">
        <w:t xml:space="preserve"> with horror, the voice stuck in his throat.</w:t>
      </w:r>
      <w:r w:rsidR="00733A08">
        <w:rPr>
          <w:rStyle w:val="FootnoteReference"/>
        </w:rPr>
        <w:footnoteReference w:id="26"/>
      </w:r>
    </w:p>
    <w:p w14:paraId="383A3726" w14:textId="52B08DE6" w:rsidR="00733A08" w:rsidRDefault="003E038E" w:rsidP="00A66261">
      <w:pPr>
        <w:jc w:val="left"/>
      </w:pPr>
      <w:r>
        <w:tab/>
        <w:t>Like David and his stone,</w:t>
      </w:r>
      <w:r w:rsidR="00900D58">
        <w:t xml:space="preserve"> Turnus fails to use his strength to gain victory and Aeneas</w:t>
      </w:r>
      <w:r w:rsidR="00F67250">
        <w:t>,</w:t>
      </w:r>
      <w:r w:rsidR="00900D58">
        <w:t xml:space="preserve"> through </w:t>
      </w:r>
      <w:r w:rsidR="00DC5829">
        <w:t xml:space="preserve">his </w:t>
      </w:r>
      <w:r w:rsidR="00900D58">
        <w:t>spear</w:t>
      </w:r>
      <w:r w:rsidR="00F67250">
        <w:t>, defeats Turnus, who then begs for his life to seek</w:t>
      </w:r>
      <w:r w:rsidR="00235998">
        <w:t xml:space="preserve"> a </w:t>
      </w:r>
      <w:r w:rsidR="00DC0089">
        <w:t>victor’s</w:t>
      </w:r>
      <w:r w:rsidR="00235998">
        <w:t xml:space="preserve"> mercy. Aeneas has won all and is even</w:t>
      </w:r>
      <w:r w:rsidR="00DC0089">
        <w:t xml:space="preserve"> contemplating the possibility of sparing his enemy. However, he notices “the fatal badge”</w:t>
      </w:r>
      <w:r w:rsidR="00AF1B14">
        <w:t xml:space="preserve"> </w:t>
      </w:r>
      <w:r w:rsidR="00DC0089">
        <w:t xml:space="preserve">represented </w:t>
      </w:r>
      <w:r w:rsidR="00AF1B14">
        <w:t>as a trophy. This trophy is Pallas’ sword belt that Turnus</w:t>
      </w:r>
      <w:r w:rsidR="00A42735">
        <w:t xml:space="preserve"> wears upon his shoulder</w:t>
      </w:r>
      <w:r w:rsidR="00AF1B14">
        <w:t>.</w:t>
      </w:r>
      <w:r w:rsidR="00A42735">
        <w:t xml:space="preserve"> In seeing this, grief overtakes him</w:t>
      </w:r>
      <w:r w:rsidR="00F67250">
        <w:t>,</w:t>
      </w:r>
      <w:r w:rsidR="00A42735">
        <w:t xml:space="preserve"> and Aeneas claims, “Pallas deals this blow”</w:t>
      </w:r>
      <w:r w:rsidR="00B517CF">
        <w:t>.</w:t>
      </w:r>
    </w:p>
    <w:p w14:paraId="5F9B2A0F" w14:textId="4C7B2896" w:rsidR="000142FB" w:rsidRDefault="00213843" w:rsidP="00213843">
      <w:pPr>
        <w:pStyle w:val="Heading2"/>
      </w:pPr>
      <w:r>
        <w:lastRenderedPageBreak/>
        <w:t>Virgil and Christian Prophecy</w:t>
      </w:r>
    </w:p>
    <w:p w14:paraId="0CD7FD1C" w14:textId="5D9DAFA9" w:rsidR="00B73743" w:rsidRDefault="00EB56DF" w:rsidP="00A66261">
      <w:pPr>
        <w:jc w:val="left"/>
      </w:pPr>
      <w:r>
        <w:tab/>
        <w:t>Virgil gained a special place in Dante’s</w:t>
      </w:r>
      <w:r w:rsidR="005042D8">
        <w:t xml:space="preserve"> literary world and was known as “the </w:t>
      </w:r>
      <w:r w:rsidR="007120A7" w:rsidRPr="007120A7">
        <w:t xml:space="preserve">prophet </w:t>
      </w:r>
      <w:r w:rsidR="005042D8">
        <w:t>of the Gentiles”</w:t>
      </w:r>
      <w:r w:rsidR="00A70E8D">
        <w:rPr>
          <w:rStyle w:val="FootnoteReference"/>
        </w:rPr>
        <w:footnoteReference w:id="27"/>
      </w:r>
      <w:r w:rsidR="007120A7">
        <w:t>.</w:t>
      </w:r>
      <w:r w:rsidR="00AC57E2">
        <w:t xml:space="preserve"> Virgil’s</w:t>
      </w:r>
      <w:r w:rsidR="00CB3261">
        <w:t xml:space="preserve"> </w:t>
      </w:r>
      <w:r w:rsidR="00CB3261" w:rsidRPr="00CD39BB">
        <w:rPr>
          <w:i/>
          <w:iCs/>
        </w:rPr>
        <w:t>Fourth Eclogue</w:t>
      </w:r>
      <w:r w:rsidR="009A43D4">
        <w:rPr>
          <w:rStyle w:val="FootnoteReference"/>
          <w:i/>
          <w:iCs/>
        </w:rPr>
        <w:footnoteReference w:id="28"/>
      </w:r>
      <w:r w:rsidR="00CB3261">
        <w:t xml:space="preserve"> </w:t>
      </w:r>
      <w:r w:rsidR="00E40D99">
        <w:t>prophesied the return</w:t>
      </w:r>
      <w:r w:rsidR="00CD39BB">
        <w:t xml:space="preserve"> of a golden age without war and where all shall live in abundance</w:t>
      </w:r>
      <w:r w:rsidR="007B4717">
        <w:rPr>
          <w:rStyle w:val="FootnoteReference"/>
        </w:rPr>
        <w:footnoteReference w:id="29"/>
      </w:r>
      <w:r w:rsidR="00CD39BB">
        <w:t>.</w:t>
      </w:r>
      <w:r w:rsidR="00CB3261">
        <w:t xml:space="preserve"> </w:t>
      </w:r>
      <w:r w:rsidR="00F460F0">
        <w:t>Further, this coming world of peace</w:t>
      </w:r>
      <w:r w:rsidR="00CC3CBC">
        <w:t xml:space="preserve"> is one without fear. A “golden race” of men will</w:t>
      </w:r>
      <w:r w:rsidR="00371BC3">
        <w:t xml:space="preserve"> come back to the earth</w:t>
      </w:r>
      <w:r w:rsidR="004654AA">
        <w:t>,</w:t>
      </w:r>
      <w:r w:rsidR="00371BC3">
        <w:t xml:space="preserve"> and a baby boy should be born and “reign o’er a world at peace”</w:t>
      </w:r>
      <w:r w:rsidR="004654AA">
        <w:t>. In this world, sheep need not fear the lion.</w:t>
      </w:r>
      <w:r w:rsidR="00A04E2F">
        <w:rPr>
          <w:rStyle w:val="FootnoteReference"/>
        </w:rPr>
        <w:footnoteReference w:id="30"/>
      </w:r>
      <w:r w:rsidR="00974B2E">
        <w:t xml:space="preserve"> </w:t>
      </w:r>
      <w:r w:rsidR="00796D1B">
        <w:t>In this world where poisonous snakes and toxic plants have disappeared, the biblical image of the lion and the lamb</w:t>
      </w:r>
      <w:r w:rsidR="004E3E0C">
        <w:t xml:space="preserve"> has been represented as the “messianic” eclogue</w:t>
      </w:r>
      <w:r w:rsidR="00520C55">
        <w:rPr>
          <w:rStyle w:val="FootnoteReference"/>
        </w:rPr>
        <w:footnoteReference w:id="31"/>
      </w:r>
      <w:r w:rsidR="004E3E0C">
        <w:t>.</w:t>
      </w:r>
    </w:p>
    <w:p w14:paraId="2E5EC8C2" w14:textId="3FCFE95C" w:rsidR="004E3E0C" w:rsidRDefault="004E3E0C" w:rsidP="00A66261">
      <w:pPr>
        <w:jc w:val="left"/>
      </w:pPr>
      <w:r>
        <w:tab/>
        <w:t>The</w:t>
      </w:r>
      <w:r w:rsidR="00097607">
        <w:t xml:space="preserve"> similes used in the </w:t>
      </w:r>
      <w:r w:rsidR="00097607" w:rsidRPr="004F524F">
        <w:rPr>
          <w:i/>
          <w:iCs/>
        </w:rPr>
        <w:t>Georgics</w:t>
      </w:r>
      <w:r w:rsidR="00097607">
        <w:t xml:space="preserve"> and the </w:t>
      </w:r>
      <w:r w:rsidR="00097607" w:rsidRPr="004F524F">
        <w:rPr>
          <w:i/>
          <w:iCs/>
        </w:rPr>
        <w:t>Aeneid</w:t>
      </w:r>
      <w:r w:rsidR="00097607">
        <w:t xml:space="preserve"> </w:t>
      </w:r>
      <w:r w:rsidR="004F524F">
        <w:t>follow a similar pattern</w:t>
      </w:r>
      <w:r w:rsidR="004F524F">
        <w:rPr>
          <w:rStyle w:val="FootnoteReference"/>
        </w:rPr>
        <w:footnoteReference w:id="32"/>
      </w:r>
      <w:r w:rsidR="004F524F">
        <w:t>.</w:t>
      </w:r>
      <w:r w:rsidR="000F5D79">
        <w:t xml:space="preserve"> In representing “the</w:t>
      </w:r>
      <w:r w:rsidR="006F1025">
        <w:t xml:space="preserve"> coming time”, which may be seen to now be at hand, many Christians saw a clear analogy between their own belief and the Aeneid</w:t>
      </w:r>
      <w:r w:rsidR="00D77B78">
        <w:rPr>
          <w:rStyle w:val="FootnoteReference"/>
        </w:rPr>
        <w:footnoteReference w:id="33"/>
      </w:r>
      <w:r w:rsidR="00B35EF9">
        <w:t>. The end of Virgil’s work</w:t>
      </w:r>
      <w:r w:rsidR="007C3EA2">
        <w:t xml:space="preserve"> prophesies a time of peace, order, heavenly </w:t>
      </w:r>
      <w:proofErr w:type="gramStart"/>
      <w:r w:rsidR="007C3EA2">
        <w:t>bliss</w:t>
      </w:r>
      <w:proofErr w:type="gramEnd"/>
      <w:r w:rsidR="007C3EA2">
        <w:t xml:space="preserve"> and virtue.</w:t>
      </w:r>
      <w:r w:rsidR="009A3A43">
        <w:t xml:space="preserve"> Moreover, it was foretold that this time was imminent w</w:t>
      </w:r>
      <w:r w:rsidR="00885E61">
        <w:t>h</w:t>
      </w:r>
      <w:r w:rsidR="009A3A43">
        <w:t>ere the last stage of the old cycle ha</w:t>
      </w:r>
      <w:r w:rsidR="00885E61">
        <w:t>d</w:t>
      </w:r>
      <w:r w:rsidR="009A3A43">
        <w:t xml:space="preserve"> come and gone</w:t>
      </w:r>
      <w:r w:rsidR="00885E61">
        <w:t>,</w:t>
      </w:r>
      <w:r w:rsidR="009A3A43">
        <w:t xml:space="preserve"> and the world </w:t>
      </w:r>
      <w:r w:rsidR="00885E61">
        <w:t>wa</w:t>
      </w:r>
      <w:r w:rsidR="009A3A43">
        <w:t>s on the verge of a new golden age where “</w:t>
      </w:r>
      <w:r w:rsidR="0021537B">
        <w:t>the majestic roll / of circling centuries begins anew”</w:t>
      </w:r>
      <w:r w:rsidR="00C540FF">
        <w:rPr>
          <w:rStyle w:val="FootnoteReference"/>
        </w:rPr>
        <w:footnoteReference w:id="34"/>
      </w:r>
      <w:r w:rsidR="0021537B">
        <w:t>.</w:t>
      </w:r>
    </w:p>
    <w:p w14:paraId="412FD87F" w14:textId="5DFDDF55" w:rsidR="00164679" w:rsidRDefault="00676FE5" w:rsidP="00A66261">
      <w:pPr>
        <w:jc w:val="left"/>
      </w:pPr>
      <w:r>
        <w:tab/>
      </w:r>
      <w:r w:rsidR="00EF7056">
        <w:t>The prophesied time is one where Saturn rules</w:t>
      </w:r>
      <w:r w:rsidR="00721D3B">
        <w:rPr>
          <w:rStyle w:val="FootnoteReference"/>
        </w:rPr>
        <w:footnoteReference w:id="35"/>
      </w:r>
      <w:r w:rsidR="00EF7056">
        <w:t xml:space="preserve">. Saturn is the Latin God of agriculture and </w:t>
      </w:r>
      <w:r w:rsidR="00094B74">
        <w:t xml:space="preserve">had previously acted as </w:t>
      </w:r>
      <w:r w:rsidR="00643C33">
        <w:t>K</w:t>
      </w:r>
      <w:r w:rsidR="00094B74">
        <w:t>ing of the city where Rome now stands</w:t>
      </w:r>
      <w:r w:rsidR="00C66ECC">
        <w:rPr>
          <w:rStyle w:val="FootnoteReference"/>
        </w:rPr>
        <w:footnoteReference w:id="36"/>
      </w:r>
      <w:r w:rsidR="00094B74">
        <w:t xml:space="preserve">. Saturn taught the arts of civilised life and gave </w:t>
      </w:r>
      <w:r w:rsidR="00BF3C17">
        <w:t xml:space="preserve">the </w:t>
      </w:r>
      <w:r w:rsidR="00094B74">
        <w:t>law.</w:t>
      </w:r>
      <w:r w:rsidR="00BF3C17">
        <w:t xml:space="preserve"> This golden age was a time of good fortune and peace. For this reason,</w:t>
      </w:r>
      <w:r w:rsidR="0039121C">
        <w:t xml:space="preserve"> the Italian peninsula was formally known as </w:t>
      </w:r>
      <w:r w:rsidR="0039121C" w:rsidRPr="0039121C">
        <w:rPr>
          <w:i/>
          <w:iCs/>
        </w:rPr>
        <w:t>Saturnia</w:t>
      </w:r>
      <w:r w:rsidR="0039121C">
        <w:t xml:space="preserve"> or the land of plenty</w:t>
      </w:r>
      <w:r w:rsidR="00046E22">
        <w:rPr>
          <w:rStyle w:val="FootnoteReference"/>
        </w:rPr>
        <w:footnoteReference w:id="37"/>
      </w:r>
      <w:r w:rsidR="0039121C">
        <w:t>.</w:t>
      </w:r>
      <w:r w:rsidR="0049697A">
        <w:t xml:space="preserve"> Virgil has King Evander describe the ancient times when Saturn ruled and gave </w:t>
      </w:r>
      <w:r w:rsidR="0049697A">
        <w:lastRenderedPageBreak/>
        <w:t>Latium</w:t>
      </w:r>
      <w:r w:rsidR="002D110B">
        <w:t xml:space="preserve"> a series of “golden years” before the world degraded into a base of time and war and avarice became a part of human life in </w:t>
      </w:r>
      <w:r w:rsidR="00BE7488">
        <w:t>B</w:t>
      </w:r>
      <w:r w:rsidR="002D110B">
        <w:t>ook</w:t>
      </w:r>
      <w:r w:rsidR="00BE7488">
        <w:t xml:space="preserve"> VIII</w:t>
      </w:r>
      <w:r w:rsidR="00BE7488">
        <w:rPr>
          <w:rStyle w:val="FootnoteReference"/>
        </w:rPr>
        <w:footnoteReference w:id="38"/>
      </w:r>
      <w:r w:rsidR="002D110B">
        <w:t>.</w:t>
      </w:r>
    </w:p>
    <w:p w14:paraId="5ADF35DC" w14:textId="6FC5F265" w:rsidR="00164679" w:rsidRDefault="00B04D2E" w:rsidP="00A66261">
      <w:pPr>
        <w:jc w:val="left"/>
      </w:pPr>
      <w:r>
        <w:tab/>
        <w:t>“The land of Saturn cast her name away</w:t>
      </w:r>
      <w:r w:rsidR="00273F68">
        <w:t>”</w:t>
      </w:r>
      <w:r w:rsidR="00296217">
        <w:rPr>
          <w:rStyle w:val="FootnoteReference"/>
        </w:rPr>
        <w:footnoteReference w:id="39"/>
      </w:r>
      <w:r w:rsidR="00A01ACC">
        <w:t>.</w:t>
      </w:r>
      <w:r w:rsidR="001D5002">
        <w:t xml:space="preserve"> In</w:t>
      </w:r>
      <w:r w:rsidR="00D3344B">
        <w:t xml:space="preserve"> </w:t>
      </w:r>
      <w:r w:rsidR="00B55DE6" w:rsidRPr="00B55DE6">
        <w:t>prophesying</w:t>
      </w:r>
      <w:r w:rsidR="00495EE9">
        <w:t xml:space="preserve"> this coming </w:t>
      </w:r>
      <w:r w:rsidR="001D5002">
        <w:t>age, Virgil connects the</w:t>
      </w:r>
      <w:r w:rsidR="00B51556">
        <w:t xml:space="preserve"> prehistoric mythology of both the Greeks and the Latins with the concurrent history of Rome</w:t>
      </w:r>
      <w:r w:rsidR="006C0613">
        <w:rPr>
          <w:rStyle w:val="FootnoteReference"/>
        </w:rPr>
        <w:footnoteReference w:id="40"/>
      </w:r>
      <w:r w:rsidR="00B51556">
        <w:t>.</w:t>
      </w:r>
      <w:r w:rsidR="00ED69C7">
        <w:t xml:space="preserve"> The images emblazoned on the shield of Aeneas link the Pax Romana and the Augustine age</w:t>
      </w:r>
      <w:r w:rsidR="00125835">
        <w:rPr>
          <w:rStyle w:val="FootnoteReference"/>
        </w:rPr>
        <w:footnoteReference w:id="41"/>
      </w:r>
      <w:r w:rsidR="00ED69C7">
        <w:t>. For Virgil,</w:t>
      </w:r>
      <w:r w:rsidR="004F118C">
        <w:t xml:space="preserve"> Augustus represents Saturn reborn. In having Apollo </w:t>
      </w:r>
      <w:r w:rsidR="00DC1ED6">
        <w:t>salute</w:t>
      </w:r>
      <w:r w:rsidR="004F118C">
        <w:t xml:space="preserve"> Asc</w:t>
      </w:r>
      <w:r w:rsidR="00AE42A9">
        <w:t>anius as the prince of</w:t>
      </w:r>
      <w:r w:rsidR="00DC1ED6">
        <w:t xml:space="preserve"> the future </w:t>
      </w:r>
      <w:r w:rsidR="00AE42A9">
        <w:t>world order and</w:t>
      </w:r>
      <w:r w:rsidR="00DC1ED6">
        <w:t xml:space="preserve"> peace</w:t>
      </w:r>
      <w:r w:rsidR="009550E6">
        <w:rPr>
          <w:rStyle w:val="FootnoteReference"/>
        </w:rPr>
        <w:footnoteReference w:id="42"/>
      </w:r>
      <w:r w:rsidR="00DC1ED6">
        <w:t>, Virgil represents a world in which all war is abolished</w:t>
      </w:r>
      <w:r w:rsidR="009550E6">
        <w:t xml:space="preserve"> </w:t>
      </w:r>
      <w:r w:rsidR="0076292A">
        <w:rPr>
          <w:rStyle w:val="FootnoteReference"/>
        </w:rPr>
        <w:footnoteReference w:id="43"/>
      </w:r>
      <w:r w:rsidR="00DC1ED6">
        <w:t>.</w:t>
      </w:r>
    </w:p>
    <w:p w14:paraId="4661DF1F" w14:textId="4DA6E773" w:rsidR="00CD6438" w:rsidRDefault="0076292A" w:rsidP="00A66261">
      <w:pPr>
        <w:jc w:val="left"/>
      </w:pPr>
      <w:r>
        <w:tab/>
      </w:r>
      <w:r w:rsidR="00634446">
        <w:t>In Book VI</w:t>
      </w:r>
      <w:r w:rsidR="00697EE2">
        <w:t>,</w:t>
      </w:r>
      <w:r w:rsidR="00634446">
        <w:t xml:space="preserve"> Virgil has An</w:t>
      </w:r>
      <w:r w:rsidR="00AE0689">
        <w:t>chi</w:t>
      </w:r>
      <w:r w:rsidR="00697EE2">
        <w:t>s</w:t>
      </w:r>
      <w:r w:rsidR="00AE0689">
        <w:t>es</w:t>
      </w:r>
      <w:r w:rsidR="006A370A">
        <w:t xml:space="preserve"> point out the prophecy that through</w:t>
      </w:r>
      <w:r w:rsidR="00697EE2">
        <w:t>,</w:t>
      </w:r>
    </w:p>
    <w:p w14:paraId="72F47892" w14:textId="625416F5" w:rsidR="00AE0689" w:rsidRDefault="00AE0689" w:rsidP="00AD5088">
      <w:pPr>
        <w:pStyle w:val="Quote"/>
      </w:pPr>
      <w:r>
        <w:t>Caesar Augustus, God’s son, who shall</w:t>
      </w:r>
    </w:p>
    <w:p w14:paraId="0D7ADBFC" w14:textId="0B21909F" w:rsidR="00AE0689" w:rsidRDefault="004932BA" w:rsidP="00AD5088">
      <w:pPr>
        <w:pStyle w:val="Quote"/>
      </w:pPr>
      <w:r>
        <w:t>T</w:t>
      </w:r>
      <w:r w:rsidR="00AE0689">
        <w:t xml:space="preserve">he golden age </w:t>
      </w:r>
      <w:proofErr w:type="gramStart"/>
      <w:r w:rsidR="00AE0689">
        <w:t>rebuild</w:t>
      </w:r>
      <w:proofErr w:type="gramEnd"/>
      <w:r w:rsidR="00AE0689">
        <w:t xml:space="preserve"> through </w:t>
      </w:r>
      <w:proofErr w:type="spellStart"/>
      <w:r w:rsidR="00AE0689">
        <w:t>Lati</w:t>
      </w:r>
      <w:r>
        <w:t>a</w:t>
      </w:r>
      <w:r w:rsidR="00AE0689">
        <w:t>n</w:t>
      </w:r>
      <w:proofErr w:type="spellEnd"/>
      <w:r>
        <w:t xml:space="preserve"> fields</w:t>
      </w:r>
    </w:p>
    <w:p w14:paraId="6B69F7BE" w14:textId="2CED3D7B" w:rsidR="004932BA" w:rsidRDefault="004932BA" w:rsidP="00AD5088">
      <w:pPr>
        <w:pStyle w:val="Quote"/>
      </w:pPr>
      <w:r>
        <w:t>Once ruled by Saturn…</w:t>
      </w:r>
      <w:r>
        <w:rPr>
          <w:rStyle w:val="FootnoteReference"/>
        </w:rPr>
        <w:footnoteReference w:id="44"/>
      </w:r>
    </w:p>
    <w:p w14:paraId="713C3489" w14:textId="46EC8DFF" w:rsidR="00CD6438" w:rsidRDefault="006A370A" w:rsidP="00A66261">
      <w:pPr>
        <w:jc w:val="left"/>
      </w:pPr>
      <w:r>
        <w:tab/>
      </w:r>
      <w:r w:rsidR="00CC569E">
        <w:t>The foretold golden age aligns with the</w:t>
      </w:r>
      <w:r w:rsidR="0039709B">
        <w:t xml:space="preserve"> mystic religions of the time and with the rise of Christianity</w:t>
      </w:r>
      <w:r w:rsidR="008753D7">
        <w:rPr>
          <w:rStyle w:val="FootnoteReference"/>
        </w:rPr>
        <w:footnoteReference w:id="45"/>
      </w:r>
      <w:r w:rsidR="0039709B">
        <w:t>. Further, early Christian communities believed that the coming of Christ and the kingdom of God were at hand</w:t>
      </w:r>
      <w:r w:rsidR="00813EEA">
        <w:rPr>
          <w:rStyle w:val="FootnoteReference"/>
        </w:rPr>
        <w:footnoteReference w:id="46"/>
      </w:r>
      <w:r w:rsidR="00306325">
        <w:t>. While the Christian myth differs in</w:t>
      </w:r>
      <w:r w:rsidR="00181959">
        <w:t xml:space="preserve"> the coming of the new Empire, the difference is in the cyclical recurrence posited in Roman mythology of good and evil ages</w:t>
      </w:r>
      <w:r w:rsidR="00713C49">
        <w:rPr>
          <w:rStyle w:val="FootnoteReference"/>
        </w:rPr>
        <w:footnoteReference w:id="47"/>
      </w:r>
      <w:r w:rsidR="00181959">
        <w:t>. However,</w:t>
      </w:r>
      <w:r w:rsidR="003B2CD3">
        <w:t xml:space="preserve"> the myth aligns through the proclamation of an empire without </w:t>
      </w:r>
      <w:r w:rsidR="003B2CD3">
        <w:lastRenderedPageBreak/>
        <w:t xml:space="preserve">hand. Such an empire is of an unbounded age and </w:t>
      </w:r>
      <w:r w:rsidR="00C33C3C">
        <w:t>is prophesied to be unrestrained</w:t>
      </w:r>
      <w:r w:rsidR="003B2CD3">
        <w:t xml:space="preserve"> in time and space</w:t>
      </w:r>
      <w:r w:rsidR="006A78DF">
        <w:rPr>
          <w:rStyle w:val="FootnoteReference"/>
        </w:rPr>
        <w:footnoteReference w:id="48"/>
      </w:r>
      <w:r w:rsidR="003B2CD3">
        <w:t>.</w:t>
      </w:r>
    </w:p>
    <w:p w14:paraId="41E34910" w14:textId="7A48223B" w:rsidR="00C33C3C" w:rsidRDefault="00C33C3C" w:rsidP="00A66261">
      <w:pPr>
        <w:jc w:val="left"/>
      </w:pPr>
      <w:r>
        <w:tab/>
      </w:r>
      <w:r w:rsidR="00DE2684">
        <w:t>As with Christianity, the prophesied coming golden age is one where the new order of peace and plenty will be eternal and perpetual, bringing heaven to earth.</w:t>
      </w:r>
      <w:r w:rsidR="00BE2A72">
        <w:t xml:space="preserve"> Moreover,</w:t>
      </w:r>
      <w:r w:rsidR="0018310A">
        <w:t xml:space="preserve"> Aeneas</w:t>
      </w:r>
      <w:r w:rsidR="006772B1">
        <w:t>,</w:t>
      </w:r>
      <w:r w:rsidR="0018310A">
        <w:t xml:space="preserve"> “the good”, Aeneas “the true”</w:t>
      </w:r>
      <w:r w:rsidR="00F15CBD">
        <w:t>,</w:t>
      </w:r>
      <w:r w:rsidR="0018310A">
        <w:t xml:space="preserve"> </w:t>
      </w:r>
      <w:r w:rsidR="00F15CBD">
        <w:t xml:space="preserve">is passively obedient, </w:t>
      </w:r>
      <w:proofErr w:type="gramStart"/>
      <w:r w:rsidR="00F15CBD">
        <w:t>docile</w:t>
      </w:r>
      <w:proofErr w:type="gramEnd"/>
      <w:r w:rsidR="00F15CBD">
        <w:t xml:space="preserve"> and restrained when interacting with the gods. Such an approach</w:t>
      </w:r>
      <w:r w:rsidR="009D1995">
        <w:t xml:space="preserve"> differs significantly from that of Ulysses</w:t>
      </w:r>
      <w:r w:rsidR="006772B1">
        <w:t>.</w:t>
      </w:r>
      <w:r w:rsidR="00DC1895">
        <w:t xml:space="preserve"> Tambar </w:t>
      </w:r>
      <w:r w:rsidR="00AF3EFB">
        <w:t>describes</w:t>
      </w:r>
      <w:r w:rsidR="007A6942">
        <w:t xml:space="preserve"> Ulysses as the</w:t>
      </w:r>
      <w:r w:rsidR="007A6942" w:rsidRPr="007A6942">
        <w:t xml:space="preserve"> </w:t>
      </w:r>
      <w:r w:rsidR="007A6942">
        <w:t>“</w:t>
      </w:r>
      <w:r w:rsidR="007A6942" w:rsidRPr="007A6942">
        <w:t>wily trickster who conceived the ruse of the Trojan Horse</w:t>
      </w:r>
      <w:r w:rsidR="007A6942">
        <w:t xml:space="preserve">” </w:t>
      </w:r>
      <w:r w:rsidR="007A6942">
        <w:rPr>
          <w:rStyle w:val="FootnoteReference"/>
        </w:rPr>
        <w:footnoteReference w:id="49"/>
      </w:r>
      <w:r w:rsidR="0075612A">
        <w:t>. This represents a character who uses skill and trickery to fill the gods</w:t>
      </w:r>
      <w:r w:rsidR="00A9515C">
        <w:t>,</w:t>
      </w:r>
      <w:r w:rsidR="0075612A">
        <w:t xml:space="preserve"> and with whom the gods find favour for his lies</w:t>
      </w:r>
      <w:r w:rsidR="003C2596">
        <w:rPr>
          <w:rStyle w:val="FootnoteReference"/>
        </w:rPr>
        <w:footnoteReference w:id="50"/>
      </w:r>
      <w:r w:rsidR="0075612A">
        <w:t>.</w:t>
      </w:r>
    </w:p>
    <w:p w14:paraId="5064FB47" w14:textId="26941963" w:rsidR="00A9515C" w:rsidRDefault="00A9515C" w:rsidP="00A66261">
      <w:pPr>
        <w:jc w:val="left"/>
      </w:pPr>
      <w:r>
        <w:tab/>
      </w:r>
      <w:r w:rsidR="006E598D">
        <w:t>Aeneas is penitent,</w:t>
      </w:r>
      <w:r w:rsidR="006F028A">
        <w:t xml:space="preserve"> pious and subject to the divine will. Through this,</w:t>
      </w:r>
      <w:r w:rsidR="00FE4EBF">
        <w:t xml:space="preserve"> we see the concept of Roman piety</w:t>
      </w:r>
      <w:r w:rsidR="006104D8">
        <w:t>, which can be seen as an ideal if not true</w:t>
      </w:r>
      <w:r w:rsidR="00FE4EBF">
        <w:t>.</w:t>
      </w:r>
      <w:r w:rsidR="006C307B">
        <w:t xml:space="preserve"> Turnus</w:t>
      </w:r>
      <w:r w:rsidR="006104D8">
        <w:t>,</w:t>
      </w:r>
      <w:r w:rsidR="006C307B">
        <w:t xml:space="preserve"> in many ways</w:t>
      </w:r>
      <w:r w:rsidR="006104D8">
        <w:t>,</w:t>
      </w:r>
      <w:r w:rsidR="006C307B">
        <w:t xml:space="preserve"> is more closely analogised to a figure such as</w:t>
      </w:r>
      <w:r w:rsidR="006104D8">
        <w:t xml:space="preserve"> Coriolanus.</w:t>
      </w:r>
      <w:r w:rsidR="00C73422" w:rsidRPr="00C73422">
        <w:t xml:space="preserve"> </w:t>
      </w:r>
      <w:r w:rsidR="00C73422">
        <w:t xml:space="preserve">Turnus is fated to die </w:t>
      </w:r>
      <w:proofErr w:type="gramStart"/>
      <w:r w:rsidR="00C73422">
        <w:t>but yet</w:t>
      </w:r>
      <w:proofErr w:type="gramEnd"/>
      <w:r w:rsidR="00C73422">
        <w:t xml:space="preserve"> struggles</w:t>
      </w:r>
      <w:r w:rsidR="00995ADB">
        <w:t xml:space="preserve"> and tragically. However,</w:t>
      </w:r>
      <w:r w:rsidR="007C02EA">
        <w:t xml:space="preserve"> as with other tragic stories</w:t>
      </w:r>
      <w:r w:rsidR="002B218D">
        <w:t>,</w:t>
      </w:r>
      <w:r w:rsidR="007C02EA">
        <w:t xml:space="preserve"> including Coriolanus</w:t>
      </w:r>
      <w:r w:rsidR="002B218D">
        <w:t>,</w:t>
      </w:r>
      <w:r w:rsidR="007C02EA">
        <w:t xml:space="preserve"> the</w:t>
      </w:r>
      <w:r w:rsidR="002B218D">
        <w:t xml:space="preserve"> antagonist is the more human</w:t>
      </w:r>
      <w:r w:rsidR="00553246">
        <w:t xml:space="preserve"> and more heartbreaking character.</w:t>
      </w:r>
      <w:r w:rsidR="00AE4F0B">
        <w:t xml:space="preserve"> In acting disreputably, </w:t>
      </w:r>
      <w:r w:rsidR="00AE4F0B" w:rsidRPr="00AE4F0B">
        <w:t>Turnus</w:t>
      </w:r>
      <w:r w:rsidR="00744489">
        <w:t xml:space="preserve"> sealed his fate by defaming the sanctity of death and </w:t>
      </w:r>
      <w:r w:rsidR="003674C3">
        <w:t>must</w:t>
      </w:r>
      <w:r w:rsidR="00744489">
        <w:t xml:space="preserve"> die.</w:t>
      </w:r>
    </w:p>
    <w:p w14:paraId="08F8854E" w14:textId="570DCEB9" w:rsidR="00553246" w:rsidRPr="00C73422" w:rsidRDefault="00553246" w:rsidP="00A66261">
      <w:pPr>
        <w:jc w:val="left"/>
      </w:pPr>
      <w:r>
        <w:tab/>
      </w:r>
      <w:r w:rsidR="0041501C">
        <w:t>Similarly, Coriolanus displays</w:t>
      </w:r>
      <w:r w:rsidR="002E30D6">
        <w:t xml:space="preserve"> arrogant pride and a lack of temperance</w:t>
      </w:r>
      <w:r w:rsidR="004C4DCA">
        <w:t xml:space="preserve"> </w:t>
      </w:r>
      <w:r w:rsidR="004C4DCA">
        <w:rPr>
          <w:rStyle w:val="FootnoteReference"/>
        </w:rPr>
        <w:footnoteReference w:id="51"/>
      </w:r>
      <w:r w:rsidR="002E30D6">
        <w:t>.</w:t>
      </w:r>
      <w:r w:rsidR="00B728D3">
        <w:t xml:space="preserve"> The security and pious major exhibited by</w:t>
      </w:r>
      <w:r w:rsidR="00542CCE">
        <w:t xml:space="preserve"> Aeneas </w:t>
      </w:r>
      <w:r w:rsidR="003674C3">
        <w:t>promote</w:t>
      </w:r>
      <w:r w:rsidR="00542CCE">
        <w:t xml:space="preserve"> the literary ideal of the perfected</w:t>
      </w:r>
      <w:r w:rsidR="00D34100">
        <w:t xml:space="preserve"> Roman. Yet, this</w:t>
      </w:r>
      <w:r w:rsidR="00685399">
        <w:t xml:space="preserve"> fails to compare with Homer’s work in that the protagonist</w:t>
      </w:r>
      <w:r w:rsidR="006F7C4E">
        <w:t xml:space="preserve"> forgoes humanity for destiny.</w:t>
      </w:r>
      <w:r w:rsidR="00996481">
        <w:t xml:space="preserve"> Mark Van Dor</w:t>
      </w:r>
      <w:r w:rsidR="008B5CCF">
        <w:t>e</w:t>
      </w:r>
      <w:r w:rsidR="00996481">
        <w:t>n</w:t>
      </w:r>
      <w:r w:rsidR="00E53730">
        <w:t xml:space="preserve"> criticised the work</w:t>
      </w:r>
      <w:r w:rsidR="00A17AC7">
        <w:t xml:space="preserve"> noting that all the characters and events in the Aeneid exhibit actions based on propaganda</w:t>
      </w:r>
      <w:r w:rsidR="00A17AC7">
        <w:rPr>
          <w:rStyle w:val="FootnoteReference"/>
        </w:rPr>
        <w:footnoteReference w:id="52"/>
      </w:r>
      <w:r w:rsidR="00A17AC7">
        <w:t>.</w:t>
      </w:r>
      <w:r w:rsidR="008C09FE">
        <w:t xml:space="preserve"> Virgil may not have written </w:t>
      </w:r>
      <w:r w:rsidR="00AC1272">
        <w:t>“</w:t>
      </w:r>
      <w:r w:rsidR="008C09FE">
        <w:t>cheap propaganda</w:t>
      </w:r>
      <w:r w:rsidR="00AC1272">
        <w:t>”</w:t>
      </w:r>
      <w:r w:rsidR="00AC1272">
        <w:rPr>
          <w:rStyle w:val="FootnoteReference"/>
        </w:rPr>
        <w:footnoteReference w:id="53"/>
      </w:r>
      <w:r w:rsidR="00AC1272">
        <w:t>, yet it is hard to deny</w:t>
      </w:r>
      <w:r w:rsidR="002C67D8">
        <w:t xml:space="preserve"> that the work proselytised the state</w:t>
      </w:r>
      <w:r w:rsidR="00AC1272">
        <w:t xml:space="preserve"> </w:t>
      </w:r>
      <w:r w:rsidR="00150A88">
        <w:rPr>
          <w:rStyle w:val="FootnoteReference"/>
        </w:rPr>
        <w:footnoteReference w:id="54"/>
      </w:r>
      <w:r w:rsidR="002C67D8">
        <w:t>.</w:t>
      </w:r>
    </w:p>
    <w:p w14:paraId="12C05313" w14:textId="004483F6" w:rsidR="00CD6438" w:rsidRDefault="00E35829" w:rsidP="00A66261">
      <w:pPr>
        <w:jc w:val="left"/>
      </w:pPr>
      <w:r>
        <w:lastRenderedPageBreak/>
        <w:tab/>
      </w:r>
      <w:r w:rsidR="001F0491">
        <w:t>The unyielding purity of purpose also</w:t>
      </w:r>
      <w:r w:rsidR="00082E45">
        <w:t xml:space="preserve"> helped align Virgil’s work with later Christian scholars</w:t>
      </w:r>
      <w:r w:rsidR="00C41377">
        <w:t xml:space="preserve"> </w:t>
      </w:r>
      <w:r w:rsidR="00001BDA">
        <w:rPr>
          <w:rStyle w:val="FootnoteReference"/>
        </w:rPr>
        <w:footnoteReference w:id="55"/>
      </w:r>
      <w:r w:rsidR="00082E45">
        <w:t>.</w:t>
      </w:r>
      <w:r w:rsidR="00A22707">
        <w:t xml:space="preserve"> The</w:t>
      </w:r>
      <w:r w:rsidR="005331B3">
        <w:t xml:space="preserve"> Aeneid became both a theological</w:t>
      </w:r>
      <w:r w:rsidR="00750747">
        <w:t xml:space="preserve"> and nationalistic work acting to construct the national mythology</w:t>
      </w:r>
      <w:r w:rsidR="003D537B">
        <w:t xml:space="preserve"> through an imagined community and shared concept of culture</w:t>
      </w:r>
      <w:r w:rsidR="00596743">
        <w:rPr>
          <w:rStyle w:val="FootnoteReference"/>
        </w:rPr>
        <w:footnoteReference w:id="56"/>
      </w:r>
      <w:r w:rsidR="003D537B">
        <w:t>.</w:t>
      </w:r>
      <w:r w:rsidR="00B07478">
        <w:t xml:space="preserve"> As with the Bible, the Aeneid sets out the divine will and history of the people forming a myth</w:t>
      </w:r>
      <w:r w:rsidR="00964EDC">
        <w:t xml:space="preserve"> that can bind multiple tribes into a nation</w:t>
      </w:r>
      <w:r w:rsidR="00964EDC">
        <w:rPr>
          <w:rStyle w:val="FootnoteReference"/>
        </w:rPr>
        <w:footnoteReference w:id="57"/>
      </w:r>
      <w:r w:rsidR="00B07478">
        <w:t>.</w:t>
      </w:r>
      <w:r w:rsidR="007E28BD">
        <w:t xml:space="preserve"> The work contains suffering and purgation with the elected remains of the nation</w:t>
      </w:r>
      <w:r w:rsidR="00385E11">
        <w:t xml:space="preserve"> surviving to re-form and rebuild a community that ends in power in Providence.</w:t>
      </w:r>
    </w:p>
    <w:p w14:paraId="60185C62" w14:textId="4C7A83AA" w:rsidR="00085C22" w:rsidRDefault="00385E11" w:rsidP="00A66261">
      <w:pPr>
        <w:jc w:val="left"/>
      </w:pPr>
      <w:r>
        <w:tab/>
        <w:t xml:space="preserve">The biblical </w:t>
      </w:r>
      <w:r w:rsidR="00041B2B">
        <w:t>O</w:t>
      </w:r>
      <w:r>
        <w:t>ld Testament</w:t>
      </w:r>
      <w:r w:rsidR="00041B2B">
        <w:t xml:space="preserve"> speaks of the elected community</w:t>
      </w:r>
      <w:r w:rsidR="00AC64EE">
        <w:rPr>
          <w:rStyle w:val="FootnoteReference"/>
        </w:rPr>
        <w:footnoteReference w:id="58"/>
      </w:r>
      <w:r w:rsidR="0044069A">
        <w:t>. Consequently,</w:t>
      </w:r>
      <w:r w:rsidR="00A76EB9">
        <w:t xml:space="preserve"> the alignment themes between Christian eschatological</w:t>
      </w:r>
      <w:r w:rsidR="00085C22">
        <w:t xml:space="preserve"> works and the integration of Virgil into later poetic works such as those by Dante</w:t>
      </w:r>
      <w:r w:rsidR="00C856C5">
        <w:t xml:space="preserve"> sustained this myth not only through Rome but into both the Catholic and then Protestant Christian nations.</w:t>
      </w:r>
      <w:r w:rsidR="00442C8E">
        <w:t xml:space="preserve"> This motif may </w:t>
      </w:r>
      <w:r w:rsidR="00A27485">
        <w:t>also be</w:t>
      </w:r>
      <w:r w:rsidR="00442C8E">
        <w:t xml:space="preserve"> seen in later epics</w:t>
      </w:r>
      <w:r w:rsidR="00A27485">
        <w:t>,</w:t>
      </w:r>
      <w:r w:rsidR="00442C8E">
        <w:t xml:space="preserve"> including </w:t>
      </w:r>
      <w:r w:rsidR="00A27485">
        <w:t>th</w:t>
      </w:r>
      <w:r w:rsidR="002F01BE">
        <w:t>e epic</w:t>
      </w:r>
      <w:r w:rsidR="00442C8E">
        <w:t xml:space="preserve"> by Milton. In </w:t>
      </w:r>
      <w:r w:rsidR="00442C8E" w:rsidRPr="00C71B78">
        <w:rPr>
          <w:i/>
          <w:iCs/>
        </w:rPr>
        <w:t xml:space="preserve">Paradise Lost </w:t>
      </w:r>
      <w:r w:rsidR="00442C8E">
        <w:t>9</w:t>
      </w:r>
      <w:r w:rsidR="002C2C60">
        <w:t>, Milton</w:t>
      </w:r>
      <w:r w:rsidR="00C357C7">
        <w:t xml:space="preserve"> diminishes the glory associated with destruction and the passion of warriors:</w:t>
      </w:r>
    </w:p>
    <w:p w14:paraId="2E29A89A" w14:textId="144CFB83" w:rsidR="00C357C7" w:rsidRDefault="00C357C7" w:rsidP="00911AB1">
      <w:pPr>
        <w:pStyle w:val="Quote"/>
      </w:pPr>
      <w:r>
        <w:t xml:space="preserve">the </w:t>
      </w:r>
      <w:proofErr w:type="spellStart"/>
      <w:r>
        <w:t>wrauth</w:t>
      </w:r>
      <w:proofErr w:type="spellEnd"/>
    </w:p>
    <w:p w14:paraId="6025152E" w14:textId="4CA91163" w:rsidR="00CD6438" w:rsidRDefault="00FB44AE" w:rsidP="00911AB1">
      <w:pPr>
        <w:pStyle w:val="Quote"/>
      </w:pPr>
      <w:r>
        <w:t xml:space="preserve">of stern Achilles, on his Foe </w:t>
      </w:r>
      <w:proofErr w:type="spellStart"/>
      <w:r>
        <w:t>pursu’d</w:t>
      </w:r>
      <w:proofErr w:type="spellEnd"/>
    </w:p>
    <w:p w14:paraId="3F71942D" w14:textId="5097A0C8" w:rsidR="00FB44AE" w:rsidRDefault="00FB44AE" w:rsidP="00911AB1">
      <w:pPr>
        <w:pStyle w:val="Quote"/>
      </w:pPr>
      <w:r>
        <w:t>Thrice fugitive about Troy wall; or rage</w:t>
      </w:r>
    </w:p>
    <w:p w14:paraId="00E7EA43" w14:textId="069C4FD3" w:rsidR="001A44E5" w:rsidRDefault="00FB44AE" w:rsidP="0082453D">
      <w:pPr>
        <w:pStyle w:val="Quote"/>
      </w:pPr>
      <w:r>
        <w:t xml:space="preserve">Of Turnus </w:t>
      </w:r>
      <w:r w:rsidR="002A3EED">
        <w:t xml:space="preserve">for Lavinia </w:t>
      </w:r>
      <w:proofErr w:type="spellStart"/>
      <w:r w:rsidR="002A3EED">
        <w:t>disespous’d</w:t>
      </w:r>
      <w:proofErr w:type="spellEnd"/>
      <w:r w:rsidR="002A3EED">
        <w:t>…</w:t>
      </w:r>
      <w:r w:rsidR="008D2810">
        <w:rPr>
          <w:rStyle w:val="FootnoteReference"/>
        </w:rPr>
        <w:footnoteReference w:id="59"/>
      </w:r>
    </w:p>
    <w:p w14:paraId="3D165CD9" w14:textId="599C4F50" w:rsidR="00441318" w:rsidRDefault="007E5A5C" w:rsidP="007E5A5C">
      <w:pPr>
        <w:pStyle w:val="Heading2"/>
      </w:pPr>
      <w:r>
        <w:t>The Gates of Hades and the Gates of Hell</w:t>
      </w:r>
    </w:p>
    <w:p w14:paraId="52D31611" w14:textId="5202835A" w:rsidR="005E17AB" w:rsidRDefault="007E5A5C" w:rsidP="00A66261">
      <w:pPr>
        <w:jc w:val="left"/>
      </w:pPr>
      <w:r>
        <w:tab/>
        <w:t>Virgil</w:t>
      </w:r>
      <w:r w:rsidR="003B5987">
        <w:t xml:space="preserve"> extends the</w:t>
      </w:r>
      <w:r w:rsidR="00B96641">
        <w:t xml:space="preserve"> dream of Penelope from the Odyssey (Book 19, lines 560-569)</w:t>
      </w:r>
      <w:r w:rsidR="00D45E33">
        <w:t xml:space="preserve"> to incorporate a rich series of meanings</w:t>
      </w:r>
      <w:r w:rsidR="00202DEC">
        <w:t>. While we cannot</w:t>
      </w:r>
      <w:r w:rsidR="00426F07">
        <w:t xml:space="preserve"> determine whether Aeneas and the </w:t>
      </w:r>
      <w:r w:rsidR="00426F07">
        <w:lastRenderedPageBreak/>
        <w:t>Sybil are not truly shades of the dead or that the story is imagination, there could be other</w:t>
      </w:r>
      <w:r w:rsidR="0008169D">
        <w:t xml:space="preserve"> interpretations or masses of meanings,</w:t>
      </w:r>
    </w:p>
    <w:p w14:paraId="057CD2F6" w14:textId="77777777" w:rsidR="00AD5088" w:rsidRPr="00AD5088" w:rsidRDefault="00AD5088" w:rsidP="00AD5088">
      <w:pPr>
        <w:pStyle w:val="Quote"/>
      </w:pPr>
      <w:r w:rsidRPr="00AD5088">
        <w:t xml:space="preserve">Two gates the silent house of Sleep </w:t>
      </w:r>
      <w:proofErr w:type="gramStart"/>
      <w:r w:rsidRPr="00AD5088">
        <w:t>adorn;</w:t>
      </w:r>
      <w:proofErr w:type="gramEnd"/>
    </w:p>
    <w:p w14:paraId="20B5D753" w14:textId="22DC3043" w:rsidR="00AD5088" w:rsidRPr="00AD5088" w:rsidRDefault="00AD5088" w:rsidP="00AD5088">
      <w:pPr>
        <w:pStyle w:val="Quote"/>
      </w:pPr>
      <w:r w:rsidRPr="00AD5088">
        <w:t xml:space="preserve">Of </w:t>
      </w:r>
      <w:proofErr w:type="spellStart"/>
      <w:r w:rsidRPr="00AD5088">
        <w:t>polish</w:t>
      </w:r>
      <w:r w:rsidR="002A1E10">
        <w:t>’</w:t>
      </w:r>
      <w:r w:rsidRPr="00AD5088">
        <w:t>d</w:t>
      </w:r>
      <w:proofErr w:type="spellEnd"/>
      <w:r w:rsidRPr="00AD5088">
        <w:t xml:space="preserve"> ivory this, that of transparent horn:</w:t>
      </w:r>
    </w:p>
    <w:p w14:paraId="7B124837" w14:textId="13D3B9D0" w:rsidR="00AD5088" w:rsidRPr="00AD5088" w:rsidRDefault="00AD5088" w:rsidP="00AD5088">
      <w:pPr>
        <w:pStyle w:val="Quote"/>
      </w:pPr>
      <w:r w:rsidRPr="00AD5088">
        <w:t>True visions thro</w:t>
      </w:r>
      <w:r w:rsidR="002A1E10">
        <w:t>’</w:t>
      </w:r>
      <w:r w:rsidRPr="00AD5088">
        <w:t xml:space="preserve"> transparent horn </w:t>
      </w:r>
      <w:proofErr w:type="gramStart"/>
      <w:r w:rsidRPr="00AD5088">
        <w:t>arise;</w:t>
      </w:r>
      <w:proofErr w:type="gramEnd"/>
    </w:p>
    <w:p w14:paraId="0769679C" w14:textId="0F1E7988" w:rsidR="00AD5088" w:rsidRPr="00AD5088" w:rsidRDefault="00AD5088" w:rsidP="00AD5088">
      <w:pPr>
        <w:pStyle w:val="Quote"/>
      </w:pPr>
      <w:r w:rsidRPr="00AD5088">
        <w:t>Thro</w:t>
      </w:r>
      <w:r w:rsidR="002A1E10">
        <w:t>’</w:t>
      </w:r>
      <w:r w:rsidRPr="00AD5088">
        <w:t xml:space="preserve"> </w:t>
      </w:r>
      <w:proofErr w:type="spellStart"/>
      <w:r w:rsidRPr="00AD5088">
        <w:t>polish</w:t>
      </w:r>
      <w:r w:rsidR="002A1E10">
        <w:t>’</w:t>
      </w:r>
      <w:r w:rsidRPr="00AD5088">
        <w:t>d</w:t>
      </w:r>
      <w:proofErr w:type="spellEnd"/>
      <w:r w:rsidRPr="00AD5088">
        <w:t xml:space="preserve"> ivory pass deluding lies.</w:t>
      </w:r>
    </w:p>
    <w:p w14:paraId="71B88870" w14:textId="05BA65C7" w:rsidR="00AD5088" w:rsidRPr="00AD5088" w:rsidRDefault="00AD5088" w:rsidP="00AD5088">
      <w:pPr>
        <w:pStyle w:val="Quote"/>
      </w:pPr>
      <w:r w:rsidRPr="00AD5088">
        <w:t xml:space="preserve">Of various things discoursing as he </w:t>
      </w:r>
      <w:proofErr w:type="spellStart"/>
      <w:r w:rsidRPr="00AD5088">
        <w:t>pass</w:t>
      </w:r>
      <w:r w:rsidR="002A1E10">
        <w:t>’</w:t>
      </w:r>
      <w:r w:rsidRPr="00AD5088">
        <w:t>d</w:t>
      </w:r>
      <w:proofErr w:type="spellEnd"/>
      <w:r w:rsidRPr="00AD5088">
        <w:t>,</w:t>
      </w:r>
    </w:p>
    <w:p w14:paraId="4F571671" w14:textId="77777777" w:rsidR="00AD5088" w:rsidRPr="00AD5088" w:rsidRDefault="00AD5088" w:rsidP="00AD5088">
      <w:pPr>
        <w:pStyle w:val="Quote"/>
      </w:pPr>
      <w:r w:rsidRPr="00AD5088">
        <w:t>Anchises hither bends his steps at last.</w:t>
      </w:r>
    </w:p>
    <w:p w14:paraId="5B04BA4D" w14:textId="387AD5C4" w:rsidR="00AD5088" w:rsidRPr="00AD5088" w:rsidRDefault="00AD5088" w:rsidP="00AD5088">
      <w:pPr>
        <w:pStyle w:val="Quote"/>
      </w:pPr>
      <w:r w:rsidRPr="00AD5088">
        <w:t>Then, thro</w:t>
      </w:r>
      <w:r w:rsidR="002A1E10">
        <w:t>’</w:t>
      </w:r>
      <w:r w:rsidRPr="00AD5088">
        <w:t xml:space="preserve"> the gate of </w:t>
      </w:r>
      <w:proofErr w:type="spellStart"/>
      <w:r w:rsidRPr="00AD5088">
        <w:t>iv</w:t>
      </w:r>
      <w:r w:rsidR="002A1E10">
        <w:t>’</w:t>
      </w:r>
      <w:r w:rsidRPr="00AD5088">
        <w:t>ry</w:t>
      </w:r>
      <w:proofErr w:type="spellEnd"/>
      <w:r w:rsidRPr="00AD5088">
        <w:t xml:space="preserve">, he </w:t>
      </w:r>
      <w:proofErr w:type="spellStart"/>
      <w:r w:rsidRPr="00AD5088">
        <w:t>dismiss</w:t>
      </w:r>
      <w:r w:rsidR="002A1E10">
        <w:t>’</w:t>
      </w:r>
      <w:r w:rsidRPr="00AD5088">
        <w:t>d</w:t>
      </w:r>
      <w:proofErr w:type="spellEnd"/>
    </w:p>
    <w:p w14:paraId="3B4162AB" w14:textId="4722356D" w:rsidR="00AD5088" w:rsidRDefault="00AD5088" w:rsidP="0082453D">
      <w:pPr>
        <w:pStyle w:val="Quote"/>
      </w:pPr>
      <w:r w:rsidRPr="00AD5088">
        <w:t>His valiant offspring and divining guest.</w:t>
      </w:r>
      <w:r w:rsidR="00FE2401">
        <w:rPr>
          <w:rStyle w:val="FootnoteReference"/>
        </w:rPr>
        <w:footnoteReference w:id="60"/>
      </w:r>
    </w:p>
    <w:p w14:paraId="17E89502" w14:textId="4AFB2B2F" w:rsidR="00AD5088" w:rsidRDefault="0008169D" w:rsidP="00A66261">
      <w:pPr>
        <w:jc w:val="left"/>
      </w:pPr>
      <w:r>
        <w:tab/>
        <w:t>It is also th</w:t>
      </w:r>
      <w:r w:rsidR="00186CF4">
        <w:t xml:space="preserve">e </w:t>
      </w:r>
      <w:r w:rsidR="001A6F3E">
        <w:t>g</w:t>
      </w:r>
      <w:r w:rsidR="00186CF4">
        <w:t xml:space="preserve">olden </w:t>
      </w:r>
      <w:r w:rsidR="001A6F3E">
        <w:t>b</w:t>
      </w:r>
      <w:r w:rsidR="00186CF4">
        <w:t xml:space="preserve">ough </w:t>
      </w:r>
      <w:r>
        <w:t xml:space="preserve">in </w:t>
      </w:r>
      <w:r w:rsidR="005C3C1B">
        <w:t>B</w:t>
      </w:r>
      <w:r>
        <w:t xml:space="preserve">ook </w:t>
      </w:r>
      <w:r w:rsidR="005C3C1B">
        <w:t>VI that</w:t>
      </w:r>
      <w:r w:rsidR="001A6F3E">
        <w:t xml:space="preserve"> inspired the study</w:t>
      </w:r>
      <w:r w:rsidR="002C2DA6">
        <w:t xml:space="preserve"> of magical potency by Fraser</w:t>
      </w:r>
      <w:r w:rsidR="002C2DA6">
        <w:rPr>
          <w:rStyle w:val="FootnoteReference"/>
        </w:rPr>
        <w:footnoteReference w:id="61"/>
      </w:r>
      <w:r w:rsidR="002C2DA6">
        <w:t>.</w:t>
      </w:r>
      <w:r w:rsidR="00933D8A">
        <w:t xml:space="preserve"> However, the</w:t>
      </w:r>
      <w:r w:rsidR="00E03BBB">
        <w:t xml:space="preserve"> inspiration for Dante’s gates into hell from purgatory</w:t>
      </w:r>
      <w:r w:rsidR="001A44E5">
        <w:t>.</w:t>
      </w:r>
    </w:p>
    <w:p w14:paraId="77E0E384" w14:textId="439563B5" w:rsidR="002B19A8" w:rsidRDefault="002F4BFC" w:rsidP="002F4BFC">
      <w:pPr>
        <w:pStyle w:val="Heading2"/>
      </w:pPr>
      <w:r>
        <w:t>Conclusion</w:t>
      </w:r>
    </w:p>
    <w:p w14:paraId="60378881" w14:textId="31B33AEC" w:rsidR="009F0855" w:rsidRDefault="0082453D" w:rsidP="00891D41">
      <w:r>
        <w:tab/>
      </w:r>
      <w:r w:rsidR="00186478">
        <w:t xml:space="preserve">Virgil’s epic has inspired countless generations not only because it formed a mythology of the good Roman but </w:t>
      </w:r>
      <w:r w:rsidR="00C70417">
        <w:t>also because it came to be integrated into Western history through its alignment with Christian thought</w:t>
      </w:r>
      <w:r w:rsidR="00C46249">
        <w:t>.</w:t>
      </w:r>
      <w:r w:rsidR="00513296">
        <w:t xml:space="preserve"> In each of these stories, the hero leaves behind a seductive proto-self and </w:t>
      </w:r>
      <w:r w:rsidR="00C70417">
        <w:t>chooses</w:t>
      </w:r>
      <w:r w:rsidR="00513296">
        <w:t xml:space="preserve"> a life.</w:t>
      </w:r>
      <w:r w:rsidR="00634490">
        <w:t xml:space="preserve"> In this choice, some heroes fail because of the</w:t>
      </w:r>
      <w:r w:rsidR="00C70417">
        <w:t>ir</w:t>
      </w:r>
      <w:r w:rsidR="00634490">
        <w:t xml:space="preserve"> tragic flaws. </w:t>
      </w:r>
      <w:r w:rsidR="00C70417">
        <w:t>However, b</w:t>
      </w:r>
      <w:r w:rsidR="00634490">
        <w:t xml:space="preserve">oth such as Achilles and </w:t>
      </w:r>
      <w:r w:rsidR="00634490">
        <w:t>Turnus</w:t>
      </w:r>
      <w:r w:rsidR="00634490">
        <w:t xml:space="preserve"> demonstrate deeper humanity in their failings. Yet,</w:t>
      </w:r>
      <w:r w:rsidR="00CE211E">
        <w:t xml:space="preserve"> the Christian idea and the Western foundations of duty and promise have come down to us in a hero that</w:t>
      </w:r>
      <w:r w:rsidR="00C0038A">
        <w:t xml:space="preserve"> embraces a destiny bigger than his desire.</w:t>
      </w:r>
    </w:p>
    <w:p w14:paraId="2ED7C969" w14:textId="2E8EB5A6" w:rsidR="00AA1167" w:rsidRDefault="004F2FBD" w:rsidP="00891D41">
      <w:r>
        <w:tab/>
      </w:r>
      <w:r w:rsidR="00AD3A1A" w:rsidRPr="00AD3A1A">
        <w:t xml:space="preserve">Ecclesiastes </w:t>
      </w:r>
      <w:r w:rsidR="00AD3A1A">
        <w:t>(</w:t>
      </w:r>
      <w:r w:rsidR="00AD3A1A" w:rsidRPr="00AD3A1A">
        <w:t>7:1-4</w:t>
      </w:r>
      <w:r w:rsidR="00AD3A1A">
        <w:t xml:space="preserve">) </w:t>
      </w:r>
      <w:r w:rsidR="0087780D">
        <w:t>reminds us that “t</w:t>
      </w:r>
      <w:r w:rsidRPr="004F2FBD">
        <w:t>he heart of the wise is in the house of mourning, but the heart of fools is in the house of mirth</w:t>
      </w:r>
      <w:r w:rsidR="0087780D">
        <w:t>”</w:t>
      </w:r>
      <w:r w:rsidRPr="004F2FBD">
        <w:t>.</w:t>
      </w:r>
      <w:r w:rsidR="0087780D">
        <w:t xml:space="preserve"> For, i</w:t>
      </w:r>
      <w:r w:rsidR="00C0038A">
        <w:t>n</w:t>
      </w:r>
      <w:r w:rsidR="00C52C26">
        <w:t xml:space="preserve"> each part of the story, in each iteration </w:t>
      </w:r>
      <w:r w:rsidR="00C52C26">
        <w:lastRenderedPageBreak/>
        <w:t>of heroic tragedy, we see the epic dealing not only with life but a</w:t>
      </w:r>
      <w:r w:rsidR="00C70417">
        <w:t>lso acting to remind us that we have the same fate in the end</w:t>
      </w:r>
      <w:r w:rsidR="00510C7C">
        <w:t xml:space="preserve">. </w:t>
      </w:r>
      <w:r w:rsidR="00C70417">
        <w:t>The fate and destiny we eventually achieve ends the same way for all of us</w:t>
      </w:r>
      <w:r w:rsidR="00937C4D">
        <w:t>. As with the Aeneid,</w:t>
      </w:r>
      <w:r w:rsidR="00586A82">
        <w:t xml:space="preserve"> whether peasant or King, commoner or noble, </w:t>
      </w:r>
      <w:r w:rsidR="001F3ED8">
        <w:t>pacifist or soldier…</w:t>
      </w:r>
      <w:r w:rsidR="00AA1167">
        <w:tab/>
      </w:r>
    </w:p>
    <w:p w14:paraId="57B5E6F3" w14:textId="1E87AC09" w:rsidR="002B19A8" w:rsidRDefault="00885764" w:rsidP="00353094">
      <w:pPr>
        <w:pStyle w:val="Quote"/>
      </w:pPr>
      <w:r>
        <w:tab/>
      </w:r>
      <w:r w:rsidR="001F3ED8">
        <w:t>…</w:t>
      </w:r>
      <w:r>
        <w:t xml:space="preserve"> the warrior’s limbs</w:t>
      </w:r>
    </w:p>
    <w:p w14:paraId="0F18F5CA" w14:textId="6DA446DD" w:rsidR="002B19A8" w:rsidRDefault="00885764" w:rsidP="00353094">
      <w:pPr>
        <w:pStyle w:val="Quote"/>
      </w:pPr>
      <w:r>
        <w:t>Grow chilled and slackened, and the spirit flies</w:t>
      </w:r>
    </w:p>
    <w:p w14:paraId="798B1DB9" w14:textId="523F8179" w:rsidR="00885764" w:rsidRDefault="00885764" w:rsidP="00353094">
      <w:pPr>
        <w:pStyle w:val="Quote"/>
      </w:pPr>
      <w:r>
        <w:t>Moaning indignant to the shades below.</w:t>
      </w:r>
      <w:r>
        <w:rPr>
          <w:rStyle w:val="FootnoteReference"/>
        </w:rPr>
        <w:footnoteReference w:id="62"/>
      </w:r>
    </w:p>
    <w:p w14:paraId="6D2A3D8F" w14:textId="77777777" w:rsidR="002B19A8" w:rsidRDefault="002B19A8">
      <w:pPr>
        <w:spacing w:line="259" w:lineRule="auto"/>
        <w:contextualSpacing w:val="0"/>
        <w:jc w:val="left"/>
      </w:pPr>
    </w:p>
    <w:p w14:paraId="61CEA37B" w14:textId="77777777" w:rsidR="002B19A8" w:rsidRDefault="002B19A8">
      <w:pPr>
        <w:spacing w:line="259" w:lineRule="auto"/>
        <w:contextualSpacing w:val="0"/>
        <w:jc w:val="left"/>
      </w:pPr>
    </w:p>
    <w:p w14:paraId="3B4908ED" w14:textId="77777777" w:rsidR="002B19A8" w:rsidRDefault="002B19A8">
      <w:pPr>
        <w:spacing w:line="259" w:lineRule="auto"/>
        <w:contextualSpacing w:val="0"/>
        <w:jc w:val="left"/>
        <w:rPr>
          <w:rFonts w:eastAsiaTheme="majorEastAsia"/>
          <w:sz w:val="32"/>
          <w:szCs w:val="32"/>
        </w:rPr>
      </w:pPr>
      <w:r>
        <w:br w:type="page"/>
      </w:r>
    </w:p>
    <w:p w14:paraId="19270C71" w14:textId="40814BE3" w:rsidR="001934E9" w:rsidRDefault="001934E9" w:rsidP="006019D0">
      <w:pPr>
        <w:pStyle w:val="Heading1"/>
      </w:pPr>
      <w:r w:rsidRPr="00480ABE">
        <w:lastRenderedPageBreak/>
        <w:t xml:space="preserve">Bibliography </w:t>
      </w:r>
    </w:p>
    <w:p w14:paraId="138BE2D4" w14:textId="52004D87" w:rsidR="00480ABE" w:rsidRDefault="00480ABE" w:rsidP="00480ABE">
      <w:pPr>
        <w:pStyle w:val="Heading2"/>
      </w:pPr>
      <w:r>
        <w:t>Primary Sources</w:t>
      </w:r>
    </w:p>
    <w:p w14:paraId="531302EF" w14:textId="0A371496" w:rsidR="00480ABE" w:rsidRDefault="00480ABE" w:rsidP="00480ABE">
      <w:r w:rsidRPr="00480ABE">
        <w:t xml:space="preserve">Cf. </w:t>
      </w:r>
      <w:r w:rsidR="003344C5">
        <w:t>Virgil</w:t>
      </w:r>
      <w:r w:rsidRPr="00480ABE">
        <w:t>, </w:t>
      </w:r>
      <w:r w:rsidR="002D7810">
        <w:rPr>
          <w:i/>
          <w:iCs/>
        </w:rPr>
        <w:t>Aeneid</w:t>
      </w:r>
      <w:r w:rsidRPr="00480ABE">
        <w:t xml:space="preserve">, </w:t>
      </w:r>
      <w:r w:rsidR="002D7810">
        <w:t>VII-XII</w:t>
      </w:r>
      <w:r w:rsidRPr="00480ABE">
        <w:t>.</w:t>
      </w:r>
    </w:p>
    <w:p w14:paraId="068BDA22" w14:textId="5098AB45" w:rsidR="00480ABE" w:rsidRDefault="00AD3A1A" w:rsidP="00480ABE">
      <w:r w:rsidRPr="00AD3A1A">
        <w:t>Ecclesiastes 7:1-4:</w:t>
      </w:r>
    </w:p>
    <w:p w14:paraId="1BF57AA9" w14:textId="0BEF53F4" w:rsidR="00480ABE" w:rsidRDefault="00480ABE" w:rsidP="00480ABE"/>
    <w:p w14:paraId="7548A17F" w14:textId="7C2F3E3A" w:rsidR="00480ABE" w:rsidRPr="00480ABE" w:rsidRDefault="00480ABE" w:rsidP="00480ABE">
      <w:pPr>
        <w:pStyle w:val="Heading2"/>
      </w:pPr>
      <w:r>
        <w:t>Secondary Sources</w:t>
      </w:r>
    </w:p>
    <w:p w14:paraId="351F4156" w14:textId="77777777" w:rsidR="0062050F" w:rsidRPr="0062050F" w:rsidRDefault="00480ABE" w:rsidP="0062050F">
      <w:pPr>
        <w:pStyle w:val="Bibliography"/>
      </w:pPr>
      <w:r w:rsidRPr="00D52CB4">
        <w:fldChar w:fldCharType="begin"/>
      </w:r>
      <w:r w:rsidR="004D06EA">
        <w:instrText xml:space="preserve"> ADDIN ZOTERO_BIBL {"uncited":[],"omitted":[],"custom":[]} CSL_BIBLIOGRAPHY </w:instrText>
      </w:r>
      <w:r w:rsidRPr="00D52CB4">
        <w:fldChar w:fldCharType="separate"/>
      </w:r>
      <w:r w:rsidR="0062050F" w:rsidRPr="0062050F">
        <w:t xml:space="preserve">Alighieri, Dante, Henry Cary, James Scott, and John Flaxman. 1972. </w:t>
      </w:r>
      <w:r w:rsidR="0062050F" w:rsidRPr="0062050F">
        <w:rPr>
          <w:i/>
          <w:iCs/>
        </w:rPr>
        <w:t>The divine comedy</w:t>
      </w:r>
      <w:r w:rsidR="0062050F" w:rsidRPr="0062050F">
        <w:t>. Blackwell for the Shakespeare Head Press.</w:t>
      </w:r>
    </w:p>
    <w:p w14:paraId="0B1A5F68" w14:textId="77777777" w:rsidR="0062050F" w:rsidRPr="0062050F" w:rsidRDefault="0062050F" w:rsidP="0062050F">
      <w:pPr>
        <w:pStyle w:val="Bibliography"/>
      </w:pPr>
      <w:r w:rsidRPr="0062050F">
        <w:t xml:space="preserve">Anderson, Benedict. 2006. </w:t>
      </w:r>
      <w:r w:rsidRPr="0062050F">
        <w:rPr>
          <w:i/>
          <w:iCs/>
        </w:rPr>
        <w:t>Imagined Communities</w:t>
      </w:r>
      <w:r w:rsidRPr="0062050F">
        <w:t>. Verso Books.</w:t>
      </w:r>
    </w:p>
    <w:p w14:paraId="0DCAC01F" w14:textId="77777777" w:rsidR="0062050F" w:rsidRPr="0062050F" w:rsidRDefault="0062050F" w:rsidP="0062050F">
      <w:pPr>
        <w:pStyle w:val="Bibliography"/>
      </w:pPr>
      <w:r w:rsidRPr="0062050F">
        <w:t xml:space="preserve">Anderson, Bernhard W. 1950. The Place of the Book of Esther in the Christian Bible. </w:t>
      </w:r>
      <w:r w:rsidRPr="0062050F">
        <w:rPr>
          <w:i/>
          <w:iCs/>
        </w:rPr>
        <w:t>The Journal of Religion</w:t>
      </w:r>
      <w:r w:rsidRPr="0062050F">
        <w:t xml:space="preserve"> 30 (1): 32–43.</w:t>
      </w:r>
    </w:p>
    <w:p w14:paraId="3639269A" w14:textId="77777777" w:rsidR="0062050F" w:rsidRPr="0062050F" w:rsidRDefault="0062050F" w:rsidP="0062050F">
      <w:pPr>
        <w:pStyle w:val="Bibliography"/>
      </w:pPr>
      <w:r w:rsidRPr="0062050F">
        <w:t xml:space="preserve">Anderson, Bernhard W. 1970. Myth and the Biblical Tradition. </w:t>
      </w:r>
      <w:r w:rsidRPr="0062050F">
        <w:rPr>
          <w:i/>
          <w:iCs/>
        </w:rPr>
        <w:t>Theology Today</w:t>
      </w:r>
      <w:r w:rsidRPr="0062050F">
        <w:t xml:space="preserve"> 27 (1). SAGE Publications Sage UK: London, England: 44–62.</w:t>
      </w:r>
    </w:p>
    <w:p w14:paraId="498AA468" w14:textId="77777777" w:rsidR="0062050F" w:rsidRPr="0062050F" w:rsidRDefault="0062050F" w:rsidP="0062050F">
      <w:pPr>
        <w:pStyle w:val="Bibliography"/>
      </w:pPr>
      <w:r w:rsidRPr="0062050F">
        <w:t xml:space="preserve">Austin, Roland G. 1927. Virgil and The Sibyl. </w:t>
      </w:r>
      <w:r w:rsidRPr="0062050F">
        <w:rPr>
          <w:i/>
          <w:iCs/>
        </w:rPr>
        <w:t>The Classical Quarterly</w:t>
      </w:r>
      <w:r w:rsidRPr="0062050F">
        <w:t xml:space="preserve"> 21 (2). Cambridge University Press: 100–105.</w:t>
      </w:r>
    </w:p>
    <w:p w14:paraId="66D2080A" w14:textId="77777777" w:rsidR="0062050F" w:rsidRPr="0062050F" w:rsidRDefault="0062050F" w:rsidP="0062050F">
      <w:pPr>
        <w:pStyle w:val="Bibliography"/>
      </w:pPr>
      <w:r w:rsidRPr="0062050F">
        <w:t xml:space="preserve">Blandford, D. W. 1959. Virgil and </w:t>
      </w:r>
      <w:proofErr w:type="spellStart"/>
      <w:r w:rsidRPr="0062050F">
        <w:t>Vegio</w:t>
      </w:r>
      <w:proofErr w:type="spellEnd"/>
      <w:r w:rsidRPr="0062050F">
        <w:t xml:space="preserve">. </w:t>
      </w:r>
      <w:r w:rsidRPr="0062050F">
        <w:rPr>
          <w:i/>
          <w:iCs/>
        </w:rPr>
        <w:t>Vergilius (1959-)</w:t>
      </w:r>
      <w:r w:rsidRPr="0062050F">
        <w:t xml:space="preserve"> (5). JSTOR: 29–30.</w:t>
      </w:r>
    </w:p>
    <w:p w14:paraId="228B54CE" w14:textId="77777777" w:rsidR="0062050F" w:rsidRPr="0062050F" w:rsidRDefault="0062050F" w:rsidP="0062050F">
      <w:pPr>
        <w:pStyle w:val="Bibliography"/>
      </w:pPr>
      <w:proofErr w:type="spellStart"/>
      <w:r w:rsidRPr="0062050F">
        <w:t>Bourne</w:t>
      </w:r>
      <w:proofErr w:type="spellEnd"/>
      <w:r w:rsidRPr="0062050F">
        <w:t xml:space="preserve">, Ella. 1916. The Messianic Prophecy in Vergil’s Fourth Eclogue. </w:t>
      </w:r>
      <w:r w:rsidRPr="0062050F">
        <w:rPr>
          <w:i/>
          <w:iCs/>
        </w:rPr>
        <w:t>The Classical Journal</w:t>
      </w:r>
      <w:r w:rsidRPr="0062050F">
        <w:t xml:space="preserve"> 11 (7). The Classical Association of the Middle West and South: 390–400.</w:t>
      </w:r>
    </w:p>
    <w:p w14:paraId="56412F43" w14:textId="77777777" w:rsidR="0062050F" w:rsidRPr="0062050F" w:rsidRDefault="0062050F" w:rsidP="0062050F">
      <w:pPr>
        <w:pStyle w:val="Bibliography"/>
      </w:pPr>
      <w:r w:rsidRPr="0062050F">
        <w:t xml:space="preserve">Bowra, C. M. 1933. Aeneas and the Stoic Ideal. </w:t>
      </w:r>
      <w:r w:rsidRPr="0062050F">
        <w:rPr>
          <w:i/>
          <w:iCs/>
        </w:rPr>
        <w:t>Greece and Rome</w:t>
      </w:r>
      <w:r w:rsidRPr="0062050F">
        <w:t xml:space="preserve"> 3 (7): 8–21.</w:t>
      </w:r>
    </w:p>
    <w:p w14:paraId="1DBF01AC" w14:textId="77777777" w:rsidR="0062050F" w:rsidRPr="0062050F" w:rsidRDefault="0062050F" w:rsidP="0062050F">
      <w:pPr>
        <w:pStyle w:val="Bibliography"/>
      </w:pPr>
      <w:r w:rsidRPr="0062050F">
        <w:t xml:space="preserve">Briggs, Ward. 1980. </w:t>
      </w:r>
      <w:r w:rsidRPr="0062050F">
        <w:rPr>
          <w:i/>
          <w:iCs/>
        </w:rPr>
        <w:t xml:space="preserve">Narrative and simile from the </w:t>
      </w:r>
      <w:r w:rsidRPr="0062050F">
        <w:t>Georgics</w:t>
      </w:r>
      <w:r w:rsidRPr="0062050F">
        <w:rPr>
          <w:i/>
          <w:iCs/>
        </w:rPr>
        <w:t xml:space="preserve"> in the </w:t>
      </w:r>
      <w:r w:rsidRPr="0062050F">
        <w:t>Aeneid. BRILL. Available at &lt;https://brill.com/view/title/2896&gt;. Accessed 16 April 2022.</w:t>
      </w:r>
    </w:p>
    <w:p w14:paraId="43AFDF47" w14:textId="77777777" w:rsidR="0062050F" w:rsidRPr="0062050F" w:rsidRDefault="0062050F" w:rsidP="0062050F">
      <w:pPr>
        <w:pStyle w:val="Bibliography"/>
      </w:pPr>
      <w:r w:rsidRPr="0062050F">
        <w:t xml:space="preserve">Crossland, Jessie. 1934. ‘Eneas’ and the ‘Aeneid’. </w:t>
      </w:r>
      <w:r w:rsidRPr="0062050F">
        <w:rPr>
          <w:i/>
          <w:iCs/>
        </w:rPr>
        <w:t>The Modern Language Review</w:t>
      </w:r>
      <w:r w:rsidRPr="0062050F">
        <w:t xml:space="preserve"> 29 (3): 282.</w:t>
      </w:r>
    </w:p>
    <w:p w14:paraId="4D157EAF" w14:textId="77777777" w:rsidR="0062050F" w:rsidRPr="0062050F" w:rsidRDefault="0062050F" w:rsidP="0062050F">
      <w:pPr>
        <w:pStyle w:val="Bibliography"/>
      </w:pPr>
      <w:r w:rsidRPr="0062050F">
        <w:t xml:space="preserve">Daly, Kathleen N., and Marian </w:t>
      </w:r>
      <w:proofErr w:type="spellStart"/>
      <w:r w:rsidRPr="0062050F">
        <w:t>Rengel</w:t>
      </w:r>
      <w:proofErr w:type="spellEnd"/>
      <w:r w:rsidRPr="0062050F">
        <w:t xml:space="preserve">. 2009. </w:t>
      </w:r>
      <w:r w:rsidRPr="0062050F">
        <w:rPr>
          <w:i/>
          <w:iCs/>
        </w:rPr>
        <w:t>Greek and Roman Mythology, A to Z</w:t>
      </w:r>
      <w:r w:rsidRPr="0062050F">
        <w:t>. Infobase Publishing.</w:t>
      </w:r>
    </w:p>
    <w:p w14:paraId="4CA9DBE3" w14:textId="77777777" w:rsidR="0062050F" w:rsidRPr="0062050F" w:rsidRDefault="0062050F" w:rsidP="0062050F">
      <w:pPr>
        <w:pStyle w:val="Bibliography"/>
      </w:pPr>
      <w:r w:rsidRPr="0062050F">
        <w:t xml:space="preserve">DeWitt, Norman W. 1918. Virgil and Apocalyptic Literature. </w:t>
      </w:r>
      <w:r w:rsidRPr="0062050F">
        <w:rPr>
          <w:i/>
          <w:iCs/>
        </w:rPr>
        <w:t>The Classical Journal</w:t>
      </w:r>
      <w:r w:rsidRPr="0062050F">
        <w:t xml:space="preserve"> 13 (8). The Classical Association of the Middle West and South: 600–606.</w:t>
      </w:r>
    </w:p>
    <w:p w14:paraId="2B6564EA" w14:textId="77777777" w:rsidR="0062050F" w:rsidRPr="0062050F" w:rsidRDefault="0062050F" w:rsidP="0062050F">
      <w:pPr>
        <w:pStyle w:val="Bibliography"/>
      </w:pPr>
      <w:proofErr w:type="spellStart"/>
      <w:r w:rsidRPr="0062050F">
        <w:t>Dorcey</w:t>
      </w:r>
      <w:proofErr w:type="spellEnd"/>
      <w:r w:rsidRPr="0062050F">
        <w:t xml:space="preserve">, Peter F. 1992. </w:t>
      </w:r>
      <w:r w:rsidRPr="0062050F">
        <w:rPr>
          <w:i/>
          <w:iCs/>
        </w:rPr>
        <w:t>The Cult of Silvanus: A Study in Roman Folk Religion</w:t>
      </w:r>
      <w:r w:rsidRPr="0062050F">
        <w:t>. BRILL.</w:t>
      </w:r>
    </w:p>
    <w:p w14:paraId="6BDD297D" w14:textId="77777777" w:rsidR="0062050F" w:rsidRPr="0062050F" w:rsidRDefault="0062050F" w:rsidP="0062050F">
      <w:pPr>
        <w:pStyle w:val="Bibliography"/>
      </w:pPr>
      <w:r w:rsidRPr="0062050F">
        <w:t xml:space="preserve">Enright, Nancy. 2007. Dante’s Divine Comedy, Augustine’s Confessions, and the Redemption of Beauty. </w:t>
      </w:r>
      <w:r w:rsidRPr="0062050F">
        <w:rPr>
          <w:i/>
          <w:iCs/>
        </w:rPr>
        <w:t>Logos: A Journal of Catholic Thought and Culture</w:t>
      </w:r>
      <w:r w:rsidRPr="0062050F">
        <w:t xml:space="preserve"> 10 (1): 32–55.</w:t>
      </w:r>
    </w:p>
    <w:p w14:paraId="1E8DA15D" w14:textId="77777777" w:rsidR="0062050F" w:rsidRPr="0062050F" w:rsidRDefault="0062050F" w:rsidP="0062050F">
      <w:pPr>
        <w:pStyle w:val="Bibliography"/>
      </w:pPr>
      <w:r w:rsidRPr="0062050F">
        <w:t xml:space="preserve">Farrell, Joseph, and Michael C. J. Putnam, eds. 2010. </w:t>
      </w:r>
      <w:r w:rsidRPr="0062050F">
        <w:rPr>
          <w:i/>
          <w:iCs/>
        </w:rPr>
        <w:t>A companion to Vergil’s Aeneid and its tradition</w:t>
      </w:r>
      <w:r w:rsidRPr="0062050F">
        <w:t xml:space="preserve">. Blackwell companions to the ancient world. Chichester, West Sussex, United </w:t>
      </w:r>
      <w:proofErr w:type="gramStart"/>
      <w:r w:rsidRPr="0062050F">
        <w:t>Kingdom ;</w:t>
      </w:r>
      <w:proofErr w:type="gramEnd"/>
      <w:r w:rsidRPr="0062050F">
        <w:t xml:space="preserve"> Malden, Mass: Wiley-Blackwell.</w:t>
      </w:r>
    </w:p>
    <w:p w14:paraId="3A74377D" w14:textId="77777777" w:rsidR="0062050F" w:rsidRPr="0062050F" w:rsidRDefault="0062050F" w:rsidP="0062050F">
      <w:pPr>
        <w:pStyle w:val="Bibliography"/>
      </w:pPr>
      <w:r w:rsidRPr="0062050F">
        <w:t xml:space="preserve">Fox, Robin. 1995. Sexual conflict in the epics. </w:t>
      </w:r>
      <w:r w:rsidRPr="0062050F">
        <w:rPr>
          <w:i/>
          <w:iCs/>
        </w:rPr>
        <w:t>Human Nature</w:t>
      </w:r>
      <w:r w:rsidRPr="0062050F">
        <w:t xml:space="preserve"> 6 (2): 135–144.</w:t>
      </w:r>
    </w:p>
    <w:p w14:paraId="178193EC" w14:textId="77777777" w:rsidR="0062050F" w:rsidRPr="0062050F" w:rsidRDefault="0062050F" w:rsidP="0062050F">
      <w:pPr>
        <w:pStyle w:val="Bibliography"/>
      </w:pPr>
      <w:r w:rsidRPr="0062050F">
        <w:t xml:space="preserve">Frazer, James George, and LLD DCL. 1870. The golden bough. </w:t>
      </w:r>
      <w:r w:rsidRPr="0062050F">
        <w:rPr>
          <w:i/>
          <w:iCs/>
        </w:rPr>
        <w:t>A Study in</w:t>
      </w:r>
      <w:r w:rsidRPr="0062050F">
        <w:t>.</w:t>
      </w:r>
    </w:p>
    <w:p w14:paraId="61149295" w14:textId="77777777" w:rsidR="0062050F" w:rsidRPr="0062050F" w:rsidRDefault="0062050F" w:rsidP="0062050F">
      <w:pPr>
        <w:pStyle w:val="Bibliography"/>
      </w:pPr>
      <w:r w:rsidRPr="0062050F">
        <w:t xml:space="preserve">Gamble, Richard M. 2014. </w:t>
      </w:r>
      <w:r w:rsidRPr="0062050F">
        <w:rPr>
          <w:i/>
          <w:iCs/>
        </w:rPr>
        <w:t>The War for Righteousness: Progressive Christianity, the Great War, and the Rise of the Messianic Nation</w:t>
      </w:r>
      <w:r w:rsidRPr="0062050F">
        <w:t>. Open Road Media.</w:t>
      </w:r>
    </w:p>
    <w:p w14:paraId="6D4853C4" w14:textId="77777777" w:rsidR="0062050F" w:rsidRPr="0062050F" w:rsidRDefault="0062050F" w:rsidP="0062050F">
      <w:pPr>
        <w:pStyle w:val="Bibliography"/>
      </w:pPr>
      <w:proofErr w:type="spellStart"/>
      <w:r w:rsidRPr="0062050F">
        <w:t>Gass</w:t>
      </w:r>
      <w:proofErr w:type="spellEnd"/>
      <w:r w:rsidRPr="0062050F">
        <w:t xml:space="preserve">, H. M. 1930. Roman Virgil. </w:t>
      </w:r>
      <w:r w:rsidRPr="0062050F">
        <w:rPr>
          <w:i/>
          <w:iCs/>
        </w:rPr>
        <w:t>The Sewanee Review</w:t>
      </w:r>
      <w:r w:rsidRPr="0062050F">
        <w:t xml:space="preserve"> 38 (4). Johns Hopkins University Press: 422–439.</w:t>
      </w:r>
    </w:p>
    <w:p w14:paraId="0AC266CA" w14:textId="77777777" w:rsidR="0062050F" w:rsidRPr="0062050F" w:rsidRDefault="0062050F" w:rsidP="0062050F">
      <w:pPr>
        <w:pStyle w:val="Bibliography"/>
      </w:pPr>
      <w:proofErr w:type="spellStart"/>
      <w:r w:rsidRPr="0062050F">
        <w:t>Góráin</w:t>
      </w:r>
      <w:proofErr w:type="spellEnd"/>
      <w:r w:rsidRPr="0062050F">
        <w:t xml:space="preserve">, Fiachra Mac, and Charles Martindale. 2019. </w:t>
      </w:r>
      <w:r w:rsidRPr="0062050F">
        <w:rPr>
          <w:i/>
          <w:iCs/>
        </w:rPr>
        <w:t>The Cambridge Companion to Virgil</w:t>
      </w:r>
      <w:r w:rsidRPr="0062050F">
        <w:t>. Cambridge University Press.</w:t>
      </w:r>
    </w:p>
    <w:p w14:paraId="5EEE0C1A" w14:textId="77777777" w:rsidR="0062050F" w:rsidRPr="0062050F" w:rsidRDefault="0062050F" w:rsidP="0062050F">
      <w:pPr>
        <w:pStyle w:val="Bibliography"/>
      </w:pPr>
      <w:proofErr w:type="spellStart"/>
      <w:r w:rsidRPr="0062050F">
        <w:lastRenderedPageBreak/>
        <w:t>Gresseth</w:t>
      </w:r>
      <w:proofErr w:type="spellEnd"/>
      <w:r w:rsidRPr="0062050F">
        <w:t xml:space="preserve">, Gerald K. 1979. The Odyssey and the </w:t>
      </w:r>
      <w:proofErr w:type="spellStart"/>
      <w:r w:rsidRPr="0062050F">
        <w:t>Nalopākhyāna</w:t>
      </w:r>
      <w:proofErr w:type="spellEnd"/>
      <w:r w:rsidRPr="0062050F">
        <w:t xml:space="preserve">. </w:t>
      </w:r>
      <w:r w:rsidRPr="0062050F">
        <w:rPr>
          <w:i/>
          <w:iCs/>
        </w:rPr>
        <w:t>Transactions of the American Philological Association (1974-)</w:t>
      </w:r>
      <w:r w:rsidRPr="0062050F">
        <w:t xml:space="preserve"> 109. [Johns Hopkins University Press, American Philological Association]: 63–85.</w:t>
      </w:r>
    </w:p>
    <w:p w14:paraId="6D532E8A" w14:textId="77777777" w:rsidR="0062050F" w:rsidRPr="0062050F" w:rsidRDefault="0062050F" w:rsidP="0062050F">
      <w:pPr>
        <w:pStyle w:val="Bibliography"/>
      </w:pPr>
      <w:r w:rsidRPr="0062050F">
        <w:t xml:space="preserve">Horsley, Richard A. 2008. </w:t>
      </w:r>
      <w:r w:rsidRPr="0062050F">
        <w:rPr>
          <w:i/>
          <w:iCs/>
        </w:rPr>
        <w:t>In the Shadow of Empire: Reclaiming the Bible as a History of Faithful Resistance</w:t>
      </w:r>
      <w:r w:rsidRPr="0062050F">
        <w:t>. Westminster John Knox Press.</w:t>
      </w:r>
    </w:p>
    <w:p w14:paraId="2B2D4FF5" w14:textId="77777777" w:rsidR="0062050F" w:rsidRPr="0062050F" w:rsidRDefault="0062050F" w:rsidP="0062050F">
      <w:pPr>
        <w:pStyle w:val="Bibliography"/>
      </w:pPr>
      <w:r w:rsidRPr="0062050F">
        <w:t xml:space="preserve">John, Milton. 2017. </w:t>
      </w:r>
      <w:r w:rsidRPr="0062050F">
        <w:rPr>
          <w:i/>
          <w:iCs/>
        </w:rPr>
        <w:t>Paradise Lost</w:t>
      </w:r>
      <w:r w:rsidRPr="0062050F">
        <w:t xml:space="preserve">. </w:t>
      </w:r>
      <w:proofErr w:type="spellStart"/>
      <w:r w:rsidRPr="0062050F">
        <w:t>Рипол</w:t>
      </w:r>
      <w:proofErr w:type="spellEnd"/>
      <w:r w:rsidRPr="0062050F">
        <w:t xml:space="preserve"> </w:t>
      </w:r>
      <w:proofErr w:type="spellStart"/>
      <w:r w:rsidRPr="0062050F">
        <w:t>Классик</w:t>
      </w:r>
      <w:proofErr w:type="spellEnd"/>
      <w:r w:rsidRPr="0062050F">
        <w:t>.</w:t>
      </w:r>
    </w:p>
    <w:p w14:paraId="04612C2B" w14:textId="77777777" w:rsidR="0062050F" w:rsidRPr="0062050F" w:rsidRDefault="0062050F" w:rsidP="0062050F">
      <w:pPr>
        <w:pStyle w:val="Bibliography"/>
      </w:pPr>
      <w:r w:rsidRPr="0062050F">
        <w:t xml:space="preserve">Jose, Nicholas. 1984. Ideas of Restoration II: Looking Back and Looking Forward. In </w:t>
      </w:r>
      <w:r w:rsidRPr="0062050F">
        <w:rPr>
          <w:i/>
          <w:iCs/>
        </w:rPr>
        <w:t>Ideas of the Restoration in English Literature, 1660–71</w:t>
      </w:r>
      <w:r w:rsidRPr="0062050F">
        <w:t>, edited by Nicholas Jose, 44–66. London: Palgrave Macmillan UK. Available at &lt;https://doi.org/10.1007/978-1-349-06635-3_4&gt;. Accessed 16 April 2022.</w:t>
      </w:r>
    </w:p>
    <w:p w14:paraId="1EE83003" w14:textId="77777777" w:rsidR="0062050F" w:rsidRPr="0062050F" w:rsidRDefault="0062050F" w:rsidP="0062050F">
      <w:pPr>
        <w:pStyle w:val="Bibliography"/>
      </w:pPr>
      <w:r w:rsidRPr="0062050F">
        <w:t xml:space="preserve">Kenneth C. M. Sills. 1914. The Idea of Universal Peace in the Works of Virgil and Dante. </w:t>
      </w:r>
      <w:r w:rsidRPr="0062050F">
        <w:rPr>
          <w:i/>
          <w:iCs/>
        </w:rPr>
        <w:t>The Classical Journal</w:t>
      </w:r>
      <w:r w:rsidRPr="0062050F">
        <w:t xml:space="preserve"> 9 (4). The Classical Association of the Middle West and South: 139–153.</w:t>
      </w:r>
    </w:p>
    <w:p w14:paraId="4C869405" w14:textId="77777777" w:rsidR="0062050F" w:rsidRPr="0062050F" w:rsidRDefault="0062050F" w:rsidP="0062050F">
      <w:pPr>
        <w:pStyle w:val="Bibliography"/>
      </w:pPr>
      <w:proofErr w:type="spellStart"/>
      <w:r w:rsidRPr="0062050F">
        <w:t>Kleinhenz</w:t>
      </w:r>
      <w:proofErr w:type="spellEnd"/>
      <w:r w:rsidRPr="0062050F">
        <w:t xml:space="preserve">, Christopher. 1988. The Celebration of Poetry: A Reading of Purgatory XXII. </w:t>
      </w:r>
      <w:r w:rsidRPr="0062050F">
        <w:rPr>
          <w:i/>
          <w:iCs/>
        </w:rPr>
        <w:t>Dante Studies, with the Annual Report of the Dante Society</w:t>
      </w:r>
      <w:r w:rsidRPr="0062050F">
        <w:t xml:space="preserve"> (106). Johns Hopkins University Press: 21–41.</w:t>
      </w:r>
    </w:p>
    <w:p w14:paraId="61E94EBE" w14:textId="77777777" w:rsidR="0062050F" w:rsidRPr="0062050F" w:rsidRDefault="0062050F" w:rsidP="0062050F">
      <w:pPr>
        <w:pStyle w:val="Bibliography"/>
      </w:pPr>
      <w:proofErr w:type="spellStart"/>
      <w:r w:rsidRPr="0062050F">
        <w:t>Kochenash</w:t>
      </w:r>
      <w:proofErr w:type="spellEnd"/>
      <w:r w:rsidRPr="0062050F">
        <w:t xml:space="preserve">, Michael. 2020. Trojan Horses: The Counterintuitive Use of Dinah, Helen, and Goliath in Joseph and </w:t>
      </w:r>
      <w:proofErr w:type="spellStart"/>
      <w:r w:rsidRPr="0062050F">
        <w:t>Aseneth</w:t>
      </w:r>
      <w:proofErr w:type="spellEnd"/>
      <w:r w:rsidRPr="0062050F">
        <w:t xml:space="preserve">. </w:t>
      </w:r>
      <w:r w:rsidRPr="0062050F">
        <w:rPr>
          <w:i/>
          <w:iCs/>
        </w:rPr>
        <w:t>Journal for the Study of Judaism</w:t>
      </w:r>
      <w:r w:rsidRPr="0062050F">
        <w:t xml:space="preserve"> 52 (3): 417–441.</w:t>
      </w:r>
    </w:p>
    <w:p w14:paraId="4E7EC170" w14:textId="77777777" w:rsidR="0062050F" w:rsidRPr="0062050F" w:rsidRDefault="0062050F" w:rsidP="0062050F">
      <w:pPr>
        <w:pStyle w:val="Bibliography"/>
      </w:pPr>
      <w:r w:rsidRPr="0062050F">
        <w:t xml:space="preserve">Köstenberger, Andreas J., L. Scott Kellum, and Charles L. Quarles. 2012. </w:t>
      </w:r>
      <w:r w:rsidRPr="0062050F">
        <w:rPr>
          <w:i/>
          <w:iCs/>
        </w:rPr>
        <w:t>The Lion and the Lamb</w:t>
      </w:r>
      <w:r w:rsidRPr="0062050F">
        <w:t>. B&amp;H Publishing Group.</w:t>
      </w:r>
    </w:p>
    <w:p w14:paraId="6FCFCD89" w14:textId="77777777" w:rsidR="0062050F" w:rsidRPr="0062050F" w:rsidRDefault="0062050F" w:rsidP="0062050F">
      <w:pPr>
        <w:pStyle w:val="Bibliography"/>
      </w:pPr>
      <w:r w:rsidRPr="0062050F">
        <w:t xml:space="preserve">Levin, Donald Norman. 1971. </w:t>
      </w:r>
      <w:r w:rsidRPr="0062050F">
        <w:rPr>
          <w:i/>
          <w:iCs/>
        </w:rPr>
        <w:t>Apollonius’ Argonautica Re-examined</w:t>
      </w:r>
      <w:r w:rsidRPr="0062050F">
        <w:t>. Brill Archive.</w:t>
      </w:r>
    </w:p>
    <w:p w14:paraId="120CF789" w14:textId="77777777" w:rsidR="0062050F" w:rsidRPr="0062050F" w:rsidRDefault="0062050F" w:rsidP="0062050F">
      <w:pPr>
        <w:pStyle w:val="Bibliography"/>
      </w:pPr>
      <w:proofErr w:type="spellStart"/>
      <w:r w:rsidRPr="0062050F">
        <w:t>Ligt</w:t>
      </w:r>
      <w:proofErr w:type="spellEnd"/>
      <w:r w:rsidRPr="0062050F">
        <w:t xml:space="preserve">, Luuk de, and S. J. Northwood. 2008. </w:t>
      </w:r>
      <w:r w:rsidRPr="0062050F">
        <w:rPr>
          <w:i/>
          <w:iCs/>
        </w:rPr>
        <w:t>People, Land, and Politics: Demographic Developments and the Transformation of Roman Italy 300 BC-AD 14</w:t>
      </w:r>
      <w:r w:rsidRPr="0062050F">
        <w:t>. BRILL.</w:t>
      </w:r>
    </w:p>
    <w:p w14:paraId="1680F280" w14:textId="77777777" w:rsidR="0062050F" w:rsidRPr="0062050F" w:rsidRDefault="0062050F" w:rsidP="0062050F">
      <w:pPr>
        <w:pStyle w:val="Bibliography"/>
      </w:pPr>
      <w:r w:rsidRPr="0062050F">
        <w:t xml:space="preserve">Logan, Terence P. 1964. The Characterization of Ulysses in Homer, </w:t>
      </w:r>
      <w:proofErr w:type="gramStart"/>
      <w:r w:rsidRPr="0062050F">
        <w:t>Virgil</w:t>
      </w:r>
      <w:proofErr w:type="gramEnd"/>
      <w:r w:rsidRPr="0062050F">
        <w:t xml:space="preserve"> and Dante: A Study in Sources and Analogues. </w:t>
      </w:r>
      <w:r w:rsidRPr="0062050F">
        <w:rPr>
          <w:i/>
          <w:iCs/>
        </w:rPr>
        <w:t>Annual Report of the Dante Society, with Accompanying Papers</w:t>
      </w:r>
      <w:r w:rsidRPr="0062050F">
        <w:t xml:space="preserve"> (82). Johns Hopkins University Press: 19–46.</w:t>
      </w:r>
    </w:p>
    <w:p w14:paraId="6BE3E706" w14:textId="77777777" w:rsidR="0062050F" w:rsidRPr="0062050F" w:rsidRDefault="0062050F" w:rsidP="0062050F">
      <w:pPr>
        <w:pStyle w:val="Bibliography"/>
      </w:pPr>
      <w:proofErr w:type="spellStart"/>
      <w:r w:rsidRPr="0062050F">
        <w:t>Mezei</w:t>
      </w:r>
      <w:proofErr w:type="spellEnd"/>
      <w:r w:rsidRPr="0062050F">
        <w:t xml:space="preserve">, </w:t>
      </w:r>
      <w:proofErr w:type="spellStart"/>
      <w:r w:rsidRPr="0062050F">
        <w:t>Balázs</w:t>
      </w:r>
      <w:proofErr w:type="spellEnd"/>
      <w:r w:rsidRPr="0062050F">
        <w:t xml:space="preserve"> M. 2013. Demythologizing Christian Philosophy: An Outline. </w:t>
      </w:r>
      <w:r w:rsidRPr="0062050F">
        <w:rPr>
          <w:i/>
          <w:iCs/>
        </w:rPr>
        <w:t>Logos i Ethos</w:t>
      </w:r>
      <w:r w:rsidRPr="0062050F">
        <w:t xml:space="preserve"> 35 (2): 109–146.</w:t>
      </w:r>
    </w:p>
    <w:p w14:paraId="2122B8CF" w14:textId="77777777" w:rsidR="0062050F" w:rsidRPr="0062050F" w:rsidRDefault="0062050F" w:rsidP="0062050F">
      <w:pPr>
        <w:pStyle w:val="Bibliography"/>
      </w:pPr>
      <w:r w:rsidRPr="0062050F">
        <w:t xml:space="preserve">Montgomery, James. 1833. </w:t>
      </w:r>
      <w:r w:rsidRPr="0062050F">
        <w:rPr>
          <w:i/>
          <w:iCs/>
        </w:rPr>
        <w:t>Lectures on Poetry and General Literature: Delivered at the Royal Institution in 1830 and 1831</w:t>
      </w:r>
      <w:r w:rsidRPr="0062050F">
        <w:t>. Longman.</w:t>
      </w:r>
    </w:p>
    <w:p w14:paraId="4C1898C4" w14:textId="77777777" w:rsidR="0062050F" w:rsidRPr="0062050F" w:rsidRDefault="0062050F" w:rsidP="0062050F">
      <w:pPr>
        <w:pStyle w:val="Bibliography"/>
      </w:pPr>
      <w:r w:rsidRPr="0062050F">
        <w:t xml:space="preserve">Pattanaik, </w:t>
      </w:r>
      <w:proofErr w:type="spellStart"/>
      <w:r w:rsidRPr="0062050F">
        <w:t>Devdutt</w:t>
      </w:r>
      <w:proofErr w:type="spellEnd"/>
      <w:r w:rsidRPr="0062050F">
        <w:t xml:space="preserve">. 2008. </w:t>
      </w:r>
      <w:r w:rsidRPr="0062050F">
        <w:rPr>
          <w:i/>
          <w:iCs/>
        </w:rPr>
        <w:t xml:space="preserve">Myth = </w:t>
      </w:r>
      <w:proofErr w:type="spellStart"/>
      <w:r w:rsidRPr="0062050F">
        <w:rPr>
          <w:i/>
          <w:iCs/>
        </w:rPr>
        <w:t>Mithya</w:t>
      </w:r>
      <w:proofErr w:type="spellEnd"/>
      <w:r w:rsidRPr="0062050F">
        <w:t>. Penguin Books India.</w:t>
      </w:r>
    </w:p>
    <w:p w14:paraId="66A9808D" w14:textId="77777777" w:rsidR="0062050F" w:rsidRPr="0062050F" w:rsidRDefault="0062050F" w:rsidP="0062050F">
      <w:pPr>
        <w:pStyle w:val="Bibliography"/>
      </w:pPr>
      <w:r w:rsidRPr="0062050F">
        <w:t xml:space="preserve">Petit, Paul. 1967. </w:t>
      </w:r>
      <w:r w:rsidRPr="0062050F">
        <w:rPr>
          <w:i/>
          <w:iCs/>
        </w:rPr>
        <w:t>Pax Romana</w:t>
      </w:r>
      <w:r w:rsidRPr="0062050F">
        <w:t>. University of California Press. Available at &lt;https://www.degruyter.com/document/doi/10.1525/9780520333598/html&gt;. Accessed 16 April 2022.</w:t>
      </w:r>
    </w:p>
    <w:p w14:paraId="0FB589E7" w14:textId="77777777" w:rsidR="0062050F" w:rsidRPr="0062050F" w:rsidRDefault="0062050F" w:rsidP="0062050F">
      <w:pPr>
        <w:pStyle w:val="Bibliography"/>
      </w:pPr>
      <w:r w:rsidRPr="0062050F">
        <w:t xml:space="preserve">Powell, Anton. 2012. </w:t>
      </w:r>
      <w:r w:rsidRPr="0062050F">
        <w:rPr>
          <w:i/>
          <w:iCs/>
        </w:rPr>
        <w:t>Virgil the Partisan: A Study in the re-integration of Classics</w:t>
      </w:r>
      <w:r w:rsidRPr="0062050F">
        <w:t>. ISD LLC.</w:t>
      </w:r>
    </w:p>
    <w:p w14:paraId="42780CE1" w14:textId="77777777" w:rsidR="0062050F" w:rsidRPr="0062050F" w:rsidRDefault="0062050F" w:rsidP="0062050F">
      <w:pPr>
        <w:pStyle w:val="Bibliography"/>
      </w:pPr>
      <w:r w:rsidRPr="0062050F">
        <w:t xml:space="preserve">Ravenscroft, Trevor. 1982. </w:t>
      </w:r>
      <w:r w:rsidRPr="0062050F">
        <w:rPr>
          <w:i/>
          <w:iCs/>
        </w:rPr>
        <w:t>Spear of Destiny</w:t>
      </w:r>
      <w:r w:rsidRPr="0062050F">
        <w:t>. Weiser Books.</w:t>
      </w:r>
    </w:p>
    <w:p w14:paraId="1292E2CA" w14:textId="77777777" w:rsidR="0062050F" w:rsidRPr="0062050F" w:rsidRDefault="0062050F" w:rsidP="0062050F">
      <w:pPr>
        <w:pStyle w:val="Bibliography"/>
      </w:pPr>
      <w:r w:rsidRPr="0062050F">
        <w:t xml:space="preserve">Rendall, Thomas. 2014. ‘Natura </w:t>
      </w:r>
      <w:proofErr w:type="gramStart"/>
      <w:r w:rsidRPr="0062050F">
        <w:t>Non Sal</w:t>
      </w:r>
      <w:proofErr w:type="gramEnd"/>
      <w:r w:rsidRPr="0062050F">
        <w:t xml:space="preserve"> tum </w:t>
      </w:r>
      <w:proofErr w:type="spellStart"/>
      <w:r w:rsidRPr="0062050F">
        <w:t>Facit</w:t>
      </w:r>
      <w:proofErr w:type="spellEnd"/>
      <w:r w:rsidRPr="0062050F">
        <w:t xml:space="preserve">’: Virgil’s Telepathy in the ‘Commedia’ Reconsidered. </w:t>
      </w:r>
      <w:proofErr w:type="spellStart"/>
      <w:r w:rsidRPr="0062050F">
        <w:rPr>
          <w:i/>
          <w:iCs/>
        </w:rPr>
        <w:t>Italica</w:t>
      </w:r>
      <w:proofErr w:type="spellEnd"/>
      <w:r w:rsidRPr="0062050F">
        <w:t xml:space="preserve"> 91 (2). American Association of Teachers of Italian: 125–144.</w:t>
      </w:r>
    </w:p>
    <w:p w14:paraId="28132B10" w14:textId="77777777" w:rsidR="0062050F" w:rsidRPr="0062050F" w:rsidRDefault="0062050F" w:rsidP="0062050F">
      <w:pPr>
        <w:pStyle w:val="Bibliography"/>
      </w:pPr>
      <w:r w:rsidRPr="0062050F">
        <w:t xml:space="preserve">Rogerson, Anne. 2017. </w:t>
      </w:r>
      <w:r w:rsidRPr="0062050F">
        <w:rPr>
          <w:i/>
          <w:iCs/>
        </w:rPr>
        <w:t>Virgil’s Ascanius: Imagining the Future in the Aeneid</w:t>
      </w:r>
      <w:r w:rsidRPr="0062050F">
        <w:t>. Cambridge University Press.</w:t>
      </w:r>
    </w:p>
    <w:p w14:paraId="0267C9D3" w14:textId="77777777" w:rsidR="0062050F" w:rsidRPr="0062050F" w:rsidRDefault="0062050F" w:rsidP="0062050F">
      <w:pPr>
        <w:pStyle w:val="Bibliography"/>
      </w:pPr>
      <w:proofErr w:type="spellStart"/>
      <w:r w:rsidRPr="0062050F">
        <w:t>Slochower</w:t>
      </w:r>
      <w:proofErr w:type="spellEnd"/>
      <w:r w:rsidRPr="0062050F">
        <w:t xml:space="preserve">, Harry. 1970. </w:t>
      </w:r>
      <w:r w:rsidRPr="0062050F">
        <w:rPr>
          <w:i/>
          <w:iCs/>
        </w:rPr>
        <w:t>Mythopoesis: Mythic Patterns in the Literary Classics</w:t>
      </w:r>
      <w:r w:rsidRPr="0062050F">
        <w:t>. Wayne State University Press.</w:t>
      </w:r>
    </w:p>
    <w:p w14:paraId="62B6624A" w14:textId="77777777" w:rsidR="0062050F" w:rsidRPr="0062050F" w:rsidRDefault="0062050F" w:rsidP="0062050F">
      <w:pPr>
        <w:pStyle w:val="Bibliography"/>
      </w:pPr>
      <w:r w:rsidRPr="0062050F">
        <w:t xml:space="preserve">Tambar, Jaspreet S. 2020. The Rhetoric of Wounds in Coriolanus; </w:t>
      </w:r>
      <w:proofErr w:type="gramStart"/>
      <w:r w:rsidRPr="0062050F">
        <w:t>or,</w:t>
      </w:r>
      <w:proofErr w:type="gramEnd"/>
      <w:r w:rsidRPr="0062050F">
        <w:t xml:space="preserve"> a Tragedy of Renaissance Rhetoric. </w:t>
      </w:r>
      <w:r w:rsidRPr="0062050F">
        <w:rPr>
          <w:i/>
          <w:iCs/>
        </w:rPr>
        <w:t>Comparative Drama</w:t>
      </w:r>
      <w:r w:rsidRPr="0062050F">
        <w:t xml:space="preserve"> 54 (1–2): 27–49.</w:t>
      </w:r>
    </w:p>
    <w:p w14:paraId="09E5AB66" w14:textId="77777777" w:rsidR="0062050F" w:rsidRPr="0062050F" w:rsidRDefault="0062050F" w:rsidP="0062050F">
      <w:pPr>
        <w:pStyle w:val="Bibliography"/>
      </w:pPr>
      <w:proofErr w:type="spellStart"/>
      <w:r w:rsidRPr="0062050F">
        <w:t>Trahman</w:t>
      </w:r>
      <w:proofErr w:type="spellEnd"/>
      <w:r w:rsidRPr="0062050F">
        <w:t xml:space="preserve">, C. R. 1952. Odysseus’ Lies (‘Odyssey’, Books 13-19). </w:t>
      </w:r>
      <w:r w:rsidRPr="0062050F">
        <w:rPr>
          <w:i/>
          <w:iCs/>
        </w:rPr>
        <w:t>Phoenix</w:t>
      </w:r>
      <w:r w:rsidRPr="0062050F">
        <w:t xml:space="preserve"> 6 (2). Classical Association of Canada: 31–43.</w:t>
      </w:r>
    </w:p>
    <w:p w14:paraId="4AED0B7F" w14:textId="77777777" w:rsidR="0062050F" w:rsidRPr="0062050F" w:rsidRDefault="0062050F" w:rsidP="0062050F">
      <w:pPr>
        <w:pStyle w:val="Bibliography"/>
      </w:pPr>
      <w:r w:rsidRPr="0062050F">
        <w:t xml:space="preserve">Van Doren, Mark. 1962. </w:t>
      </w:r>
      <w:r w:rsidRPr="0062050F">
        <w:rPr>
          <w:i/>
          <w:iCs/>
        </w:rPr>
        <w:t>Mark Van Doren on Great Poems of Western Literature</w:t>
      </w:r>
      <w:r w:rsidRPr="0062050F">
        <w:t>. Collier Books.</w:t>
      </w:r>
    </w:p>
    <w:p w14:paraId="02DEDDC2" w14:textId="77777777" w:rsidR="0062050F" w:rsidRPr="0062050F" w:rsidRDefault="0062050F" w:rsidP="0062050F">
      <w:pPr>
        <w:pStyle w:val="Bibliography"/>
      </w:pPr>
      <w:r w:rsidRPr="0062050F">
        <w:t xml:space="preserve">Vergilius Maro, Publius, and Philip W. Goetz. 1990. The Eclogues. </w:t>
      </w:r>
      <w:r w:rsidRPr="0062050F">
        <w:rPr>
          <w:i/>
          <w:iCs/>
        </w:rPr>
        <w:t>Great books of the Western world</w:t>
      </w:r>
      <w:r w:rsidRPr="0062050F">
        <w:t>. Encyclopaedia Britannica, Inc.</w:t>
      </w:r>
    </w:p>
    <w:p w14:paraId="3AEE0E0E" w14:textId="77777777" w:rsidR="0062050F" w:rsidRPr="0062050F" w:rsidRDefault="0062050F" w:rsidP="0062050F">
      <w:pPr>
        <w:pStyle w:val="Bibliography"/>
      </w:pPr>
      <w:r w:rsidRPr="0062050F">
        <w:lastRenderedPageBreak/>
        <w:t xml:space="preserve">Vergilius, Publius Maro. 1810. </w:t>
      </w:r>
      <w:r w:rsidRPr="0062050F">
        <w:rPr>
          <w:i/>
          <w:iCs/>
        </w:rPr>
        <w:t>The Works of Virgil</w:t>
      </w:r>
      <w:r w:rsidRPr="0062050F">
        <w:t>. J. Sharpe.</w:t>
      </w:r>
    </w:p>
    <w:p w14:paraId="599DF9DE" w14:textId="77777777" w:rsidR="0062050F" w:rsidRPr="0062050F" w:rsidRDefault="0062050F" w:rsidP="0062050F">
      <w:pPr>
        <w:pStyle w:val="Bibliography"/>
      </w:pPr>
      <w:r w:rsidRPr="0062050F">
        <w:t xml:space="preserve">Volk, Katharina. 2008. </w:t>
      </w:r>
      <w:r w:rsidRPr="0062050F">
        <w:rPr>
          <w:i/>
          <w:iCs/>
        </w:rPr>
        <w:t>Vergil’s Eclogues. Edited by Katharina Volk</w:t>
      </w:r>
      <w:r w:rsidRPr="0062050F">
        <w:t>. Oxford University Press.</w:t>
      </w:r>
    </w:p>
    <w:p w14:paraId="1C878EC5" w14:textId="77777777" w:rsidR="0062050F" w:rsidRPr="0062050F" w:rsidRDefault="0062050F" w:rsidP="0062050F">
      <w:pPr>
        <w:pStyle w:val="Bibliography"/>
      </w:pPr>
      <w:r w:rsidRPr="0062050F">
        <w:t xml:space="preserve">Wainstein, </w:t>
      </w:r>
      <w:proofErr w:type="spellStart"/>
      <w:r w:rsidRPr="0062050F">
        <w:t>Marienne</w:t>
      </w:r>
      <w:proofErr w:type="spellEnd"/>
      <w:r w:rsidRPr="0062050F">
        <w:t xml:space="preserve">. 1993. Shakespeare’s Coriolanus: A tragic hero in the Sophoclean mould. </w:t>
      </w:r>
      <w:r w:rsidRPr="0062050F">
        <w:rPr>
          <w:i/>
          <w:iCs/>
        </w:rPr>
        <w:t>PQDT - Global</w:t>
      </w:r>
      <w:r w:rsidRPr="0062050F">
        <w:t>. Ph.D., Ann Arbor: University of London, University College London (United Kingdom). Available at &lt;https://lopes.idm.oclc.org/login?url=https://www.proquest.com/dissertations-theses/shakespeares-coriolanus-tragic-hero-sophoclean/docview/1795600855/se-2?accountid=7374&gt;.</w:t>
      </w:r>
    </w:p>
    <w:p w14:paraId="177CDC3B" w14:textId="77777777" w:rsidR="0062050F" w:rsidRPr="0062050F" w:rsidRDefault="0062050F" w:rsidP="0062050F">
      <w:pPr>
        <w:pStyle w:val="Bibliography"/>
      </w:pPr>
      <w:r w:rsidRPr="0062050F">
        <w:t xml:space="preserve">White, Cynthia. 2010. </w:t>
      </w:r>
      <w:r w:rsidRPr="0062050F">
        <w:rPr>
          <w:i/>
          <w:iCs/>
        </w:rPr>
        <w:t>The Emergence of Christianity: Classical Traditions in Contemporary Perspective</w:t>
      </w:r>
      <w:r w:rsidRPr="0062050F">
        <w:t>. Fortress Press.</w:t>
      </w:r>
    </w:p>
    <w:p w14:paraId="2C1993E8" w14:textId="77777777" w:rsidR="0062050F" w:rsidRPr="0062050F" w:rsidRDefault="0062050F" w:rsidP="0062050F">
      <w:pPr>
        <w:pStyle w:val="Bibliography"/>
      </w:pPr>
      <w:r w:rsidRPr="0062050F">
        <w:t xml:space="preserve">Yost, David S. 1994. Political philosophy and the theory of international relations. </w:t>
      </w:r>
      <w:r w:rsidRPr="0062050F">
        <w:rPr>
          <w:i/>
          <w:iCs/>
        </w:rPr>
        <w:t>International Affairs</w:t>
      </w:r>
      <w:r w:rsidRPr="0062050F">
        <w:t xml:space="preserve"> 70 (2): 263–290.</w:t>
      </w:r>
    </w:p>
    <w:p w14:paraId="3B060012" w14:textId="01FAD4A0" w:rsidR="00E91B2C" w:rsidRPr="00D52CB4" w:rsidRDefault="00480ABE" w:rsidP="00D52CB4">
      <w:pPr>
        <w:pStyle w:val="Bibliography"/>
      </w:pPr>
      <w:r w:rsidRPr="00D52CB4">
        <w:fldChar w:fldCharType="end"/>
      </w:r>
      <w:r w:rsidR="00E91B2C" w:rsidRPr="00D52CB4">
        <w:t xml:space="preserve"> </w:t>
      </w:r>
    </w:p>
    <w:p w14:paraId="00FE573F" w14:textId="092FA48B" w:rsidR="008C0D5B" w:rsidRPr="00480ABE" w:rsidRDefault="00480ABE" w:rsidP="00480ABE">
      <w:pPr>
        <w:pStyle w:val="MTDisplayEquation"/>
      </w:pPr>
      <w:r w:rsidRPr="00480ABE">
        <w:tab/>
      </w:r>
      <w:r w:rsidRPr="00480ABE">
        <w:rPr>
          <w:position w:val="-4"/>
        </w:rPr>
        <w:object w:dxaOrig="180" w:dyaOrig="279" w14:anchorId="7C44ABE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9pt;height:14pt" o:ole="">
            <v:imagedata r:id="rId8" o:title=""/>
          </v:shape>
          <o:OLEObject Type="Embed" ProgID="Equation.DSMT4" ShapeID="_x0000_i1025" DrawAspect="Content" ObjectID="_1711720822" r:id="rId9"/>
        </w:object>
      </w:r>
    </w:p>
    <w:p w14:paraId="622077E6" w14:textId="62A1EFF3" w:rsidR="00480ABE" w:rsidRPr="00480ABE" w:rsidRDefault="00480ABE" w:rsidP="00DF3BE3">
      <w:pPr>
        <w:ind w:left="720" w:hanging="720"/>
      </w:pPr>
    </w:p>
    <w:sectPr w:rsidR="00480ABE" w:rsidRPr="00480ABE">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15246A" w14:textId="77777777" w:rsidR="00EB4903" w:rsidRDefault="00EB4903" w:rsidP="00DF3BE3">
      <w:r>
        <w:separator/>
      </w:r>
    </w:p>
  </w:endnote>
  <w:endnote w:type="continuationSeparator" w:id="0">
    <w:p w14:paraId="3791AFAC" w14:textId="77777777" w:rsidR="00EB4903" w:rsidRDefault="00EB4903" w:rsidP="00DF3BE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960787" w14:textId="77777777" w:rsidR="00480ABE" w:rsidRDefault="00480AB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23819456"/>
      <w:docPartObj>
        <w:docPartGallery w:val="Page Numbers (Bottom of Page)"/>
        <w:docPartUnique/>
      </w:docPartObj>
    </w:sdtPr>
    <w:sdtEndPr>
      <w:rPr>
        <w:noProof/>
      </w:rPr>
    </w:sdtEndPr>
    <w:sdtContent>
      <w:p w14:paraId="38847C88" w14:textId="40651BEE" w:rsidR="007506C7" w:rsidRDefault="007506C7" w:rsidP="00DF3BE3">
        <w:pPr>
          <w:pStyle w:val="Footer"/>
        </w:pPr>
        <w:r>
          <w:fldChar w:fldCharType="begin"/>
        </w:r>
        <w:r>
          <w:instrText xml:space="preserve"> PAGE   \* MERGEFORMAT </w:instrText>
        </w:r>
        <w:r>
          <w:fldChar w:fldCharType="separate"/>
        </w:r>
        <w:r>
          <w:rPr>
            <w:noProof/>
          </w:rPr>
          <w:t>2</w:t>
        </w:r>
        <w:r>
          <w:rPr>
            <w:noProof/>
          </w:rPr>
          <w:fldChar w:fldCharType="end"/>
        </w:r>
        <w:r w:rsidR="00480ABE">
          <w:rPr>
            <w:noProof/>
          </w:rPr>
          <w:tab/>
        </w:r>
        <w:r w:rsidR="00480ABE" w:rsidRPr="00480ABE">
          <w:rPr>
            <w:noProof/>
          </w:rPr>
          <w:t>HPAH7007 Myth in Greek and Roman Epic</w:t>
        </w:r>
      </w:p>
    </w:sdtContent>
  </w:sdt>
  <w:p w14:paraId="2771692E" w14:textId="77777777" w:rsidR="00280F89" w:rsidRDefault="00280F89" w:rsidP="00DF3BE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B012C7" w14:textId="77777777" w:rsidR="00480ABE" w:rsidRDefault="00480A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ADD258" w14:textId="77777777" w:rsidR="00EB4903" w:rsidRDefault="00EB4903" w:rsidP="00DF3BE3">
      <w:r>
        <w:separator/>
      </w:r>
    </w:p>
  </w:footnote>
  <w:footnote w:type="continuationSeparator" w:id="0">
    <w:p w14:paraId="2C5B5F4C" w14:textId="77777777" w:rsidR="00EB4903" w:rsidRDefault="00EB4903" w:rsidP="00DF3BE3">
      <w:r>
        <w:continuationSeparator/>
      </w:r>
    </w:p>
  </w:footnote>
  <w:footnote w:id="1">
    <w:p w14:paraId="5AF560F2" w14:textId="33DB6D0F" w:rsidR="002D392D" w:rsidRPr="002D392D" w:rsidRDefault="002D392D">
      <w:pPr>
        <w:pStyle w:val="FootnoteText"/>
        <w:rPr>
          <w:lang w:val="en-AU"/>
        </w:rPr>
      </w:pPr>
      <w:r>
        <w:rPr>
          <w:rStyle w:val="FootnoteReference"/>
        </w:rPr>
        <w:footnoteRef/>
      </w:r>
      <w:r>
        <w:t xml:space="preserve"> </w:t>
      </w:r>
      <w:r>
        <w:fldChar w:fldCharType="begin"/>
      </w:r>
      <w:r>
        <w:instrText xml:space="preserve"> ADDIN ZOTERO_ITEM CSL_CITATION {"citationID":"qctF9hzL","properties":{"formattedCitation":"Alighieri et al. 1972.","plainCitation":"Alighieri et al. 1972.","noteIndex":1},"citationItems":[{"id":2583,"uris":["http://zotero.org/users/9147288/items/T98C29MD"],"itemData":{"id":2583,"type":"book","ISBN":"0-631-14190-1","publisher":"Blackwell for the Shakespeare Head Press","title":"The divine comedy","author":[{"family":"Alighieri","given":"Dante"},{"family":"Cary","given":"Henry"},{"family":"Scott","given":"James"},{"family":"Flaxman","given":"John"}],"issued":{"date-parts":[["1972"]]}}}],"schema":"https://github.com/citation-style-language/schema/raw/master/csl-citation.json"} </w:instrText>
      </w:r>
      <w:r>
        <w:fldChar w:fldCharType="separate"/>
      </w:r>
      <w:r w:rsidRPr="002D392D">
        <w:t>Alighieri et al.</w:t>
      </w:r>
      <w:r w:rsidR="00C70417">
        <w:t>,</w:t>
      </w:r>
      <w:r w:rsidRPr="002D392D">
        <w:t xml:space="preserve"> 1972.</w:t>
      </w:r>
      <w:r>
        <w:fldChar w:fldCharType="end"/>
      </w:r>
    </w:p>
  </w:footnote>
  <w:footnote w:id="2">
    <w:p w14:paraId="73C8312F" w14:textId="03F3A46E" w:rsidR="00B022C2" w:rsidRPr="00B022C2" w:rsidRDefault="00B022C2">
      <w:pPr>
        <w:pStyle w:val="FootnoteText"/>
        <w:rPr>
          <w:lang w:val="en-AU"/>
        </w:rPr>
      </w:pPr>
      <w:r>
        <w:rPr>
          <w:rStyle w:val="FootnoteReference"/>
        </w:rPr>
        <w:footnoteRef/>
      </w:r>
      <w:r>
        <w:t xml:space="preserve"> </w:t>
      </w:r>
      <w:r>
        <w:fldChar w:fldCharType="begin"/>
      </w:r>
      <w:r>
        <w:instrText xml:space="preserve"> ADDIN ZOTERO_ITEM CSL_CITATION {"citationID":"a52ISOPP","properties":{"formattedCitation":"Enright 2007.","plainCitation":"Enright 2007.","noteIndex":2},"citationItems":[{"id":2584,"uris":["http://zotero.org/users/9147288/items/ECPK6Y2N"],"itemData":{"id":2584,"type":"article-journal","container-title":"Logos: A Journal of Catholic Thought and Culture","issue":"1","language":"en","page":"32-55","source":"www.pdcnet.org","title":"Dante's Divine Comedy, Augustine's Confessions, and the Redemption of Beauty","volume":"10","author":[{"family":"Enright","given":"Nancy"}],"issued":{"date-parts":[["2007",2,1]]}}}],"schema":"https://github.com/citation-style-language/schema/raw/master/csl-citation.json"} </w:instrText>
      </w:r>
      <w:r>
        <w:fldChar w:fldCharType="separate"/>
      </w:r>
      <w:r w:rsidRPr="00B022C2">
        <w:t>Enright</w:t>
      </w:r>
      <w:r w:rsidR="00C70417">
        <w:t>,</w:t>
      </w:r>
      <w:r w:rsidRPr="00B022C2">
        <w:t xml:space="preserve"> 2007.</w:t>
      </w:r>
      <w:r>
        <w:fldChar w:fldCharType="end"/>
      </w:r>
    </w:p>
  </w:footnote>
  <w:footnote w:id="3">
    <w:p w14:paraId="7CB05D4A" w14:textId="34F7CA7B" w:rsidR="008816F4" w:rsidRPr="008816F4" w:rsidRDefault="008816F4">
      <w:pPr>
        <w:pStyle w:val="FootnoteText"/>
        <w:rPr>
          <w:lang w:val="en-AU"/>
        </w:rPr>
      </w:pPr>
      <w:r>
        <w:rPr>
          <w:rStyle w:val="FootnoteReference"/>
        </w:rPr>
        <w:footnoteRef/>
      </w:r>
      <w:r>
        <w:t xml:space="preserve"> </w:t>
      </w:r>
      <w:r>
        <w:fldChar w:fldCharType="begin"/>
      </w:r>
      <w:r>
        <w:instrText xml:space="preserve"> ADDIN ZOTERO_ITEM CSL_CITATION {"citationID":"dq0etsg2","properties":{"formattedCitation":"Montgomery 1833.","plainCitation":"Montgomery 1833.","noteIndex":3},"citationItems":[{"id":2586,"uris":["http://zotero.org/users/9147288/items/2CM8GEAT"],"itemData":{"id":2586,"type":"book","publisher":"Longman","title":"Lectures on Poetry and General Literature: Delivered at the Royal Institution in 1830 and 1831","author":[{"family":"Montgomery","given":"James"}],"issued":{"date-parts":[["1833"]]}}}],"schema":"https://github.com/citation-style-language/schema/raw/master/csl-citation.json"} </w:instrText>
      </w:r>
      <w:r>
        <w:fldChar w:fldCharType="separate"/>
      </w:r>
      <w:r w:rsidRPr="008816F4">
        <w:t>Montgomery</w:t>
      </w:r>
      <w:r w:rsidR="00C70417">
        <w:t>,</w:t>
      </w:r>
      <w:r w:rsidRPr="008816F4">
        <w:t xml:space="preserve"> 1833.</w:t>
      </w:r>
      <w:r>
        <w:fldChar w:fldCharType="end"/>
      </w:r>
    </w:p>
  </w:footnote>
  <w:footnote w:id="4">
    <w:p w14:paraId="27926861" w14:textId="211FA534" w:rsidR="00320A95" w:rsidRPr="00320A95" w:rsidRDefault="00320A95">
      <w:pPr>
        <w:pStyle w:val="FootnoteText"/>
        <w:rPr>
          <w:lang w:val="en-AU"/>
        </w:rPr>
      </w:pPr>
      <w:r>
        <w:rPr>
          <w:rStyle w:val="FootnoteReference"/>
        </w:rPr>
        <w:footnoteRef/>
      </w:r>
      <w:r>
        <w:t xml:space="preserve"> </w:t>
      </w:r>
      <w:r>
        <w:fldChar w:fldCharType="begin"/>
      </w:r>
      <w:r>
        <w:instrText xml:space="preserve"> ADDIN ZOTERO_ITEM CSL_CITATION {"citationID":"a06CT6rG","properties":{"formattedCitation":"Levin 1971.","plainCitation":"Levin 1971.","noteIndex":4},"citationItems":[{"id":2656,"uris":["http://zotero.org/users/9147288/items/S3SAP99Q"],"itemData":{"id":2656,"type":"book","language":"en","note":"Google-Books-ID: Upc3AAAAIAAJ","number-of-pages":"280","publisher":"Brill Archive","source":"Google Books","title":"Apollonius' Argonautica Re-examined","author":[{"family":"Levin","given":"Donald Norman"}],"issued":{"date-parts":[["1971"]]}}}],"schema":"https://github.com/citation-style-language/schema/raw/master/csl-citation.json"} </w:instrText>
      </w:r>
      <w:r>
        <w:fldChar w:fldCharType="separate"/>
      </w:r>
      <w:r w:rsidRPr="00320A95">
        <w:t>Levin</w:t>
      </w:r>
      <w:r w:rsidR="00C70417">
        <w:t>,</w:t>
      </w:r>
      <w:r w:rsidRPr="00320A95">
        <w:t xml:space="preserve"> 1971.</w:t>
      </w:r>
      <w:r>
        <w:fldChar w:fldCharType="end"/>
      </w:r>
    </w:p>
  </w:footnote>
  <w:footnote w:id="5">
    <w:p w14:paraId="31F6E422" w14:textId="56119188" w:rsidR="00E06009" w:rsidRPr="00E06009" w:rsidRDefault="00E06009">
      <w:pPr>
        <w:pStyle w:val="FootnoteText"/>
        <w:rPr>
          <w:lang w:val="en-AU"/>
        </w:rPr>
      </w:pPr>
      <w:r>
        <w:rPr>
          <w:rStyle w:val="FootnoteReference"/>
        </w:rPr>
        <w:footnoteRef/>
      </w:r>
      <w:r>
        <w:t xml:space="preserve"> </w:t>
      </w:r>
      <w:r>
        <w:fldChar w:fldCharType="begin"/>
      </w:r>
      <w:r>
        <w:instrText xml:space="preserve"> ADDIN ZOTERO_ITEM CSL_CITATION {"citationID":"bPPnXh3s","properties":{"formattedCitation":"Fox 1995.","plainCitation":"Fox 1995.","noteIndex":5},"citationItems":[{"id":2658,"uris":["http://zotero.org/users/9147288/items/TD9EFC8L"],"itemData":{"id":2658,"type":"article-journal","container-title":"Human Nature","DOI":"10.1007/BF02734175","ISSN":"1045-6767, 1936-4776","issue":"2","journalAbbreviation":"Hu Nat","language":"en","page":"135-144","source":"DOI.org (Crossref)","title":"Sexual conflict in the epics","volume":"6","author":[{"family":"Fox","given":"Robin"}],"issued":{"date-parts":[["1995",6]]}}}],"schema":"https://github.com/citation-style-language/schema/raw/master/csl-citation.json"} </w:instrText>
      </w:r>
      <w:r>
        <w:fldChar w:fldCharType="separate"/>
      </w:r>
      <w:r w:rsidRPr="00E06009">
        <w:t>Fox</w:t>
      </w:r>
      <w:r w:rsidR="00C70417">
        <w:t>,</w:t>
      </w:r>
      <w:r w:rsidRPr="00E06009">
        <w:t xml:space="preserve"> 1995.</w:t>
      </w:r>
      <w:r>
        <w:fldChar w:fldCharType="end"/>
      </w:r>
    </w:p>
  </w:footnote>
  <w:footnote w:id="6">
    <w:p w14:paraId="623EF21F" w14:textId="7B08FFD8" w:rsidR="00702C92" w:rsidRPr="00702C92" w:rsidRDefault="00702C92">
      <w:pPr>
        <w:pStyle w:val="FootnoteText"/>
        <w:rPr>
          <w:lang w:val="en-AU"/>
        </w:rPr>
      </w:pPr>
      <w:r>
        <w:rPr>
          <w:rStyle w:val="FootnoteReference"/>
        </w:rPr>
        <w:footnoteRef/>
      </w:r>
      <w:r>
        <w:t xml:space="preserve"> </w:t>
      </w:r>
      <w:r>
        <w:fldChar w:fldCharType="begin"/>
      </w:r>
      <w:r>
        <w:instrText xml:space="preserve"> ADDIN ZOTERO_ITEM CSL_CITATION {"citationID":"gmxaqQ2p","properties":{"formattedCitation":"Bowra 1933.","plainCitation":"Bowra 1933.","noteIndex":4},"citationItems":[{"id":2655,"uris":["http://zotero.org/users/9147288/items/XZKWFRGQ"],"itemData":{"id":2655,"type":"article-journal","abstract":"In\n              an age like the present which is sceptical of untutored inspiration and sets a high value on style, it is not surprising that the\n              Aeneid\n              should have regained some of the prestige it held in the sixteenth and seventeenth centuries. The hostility which the nineteenth century felt for its deliberate and self-conscious progress has abated, and Virgil is again regarded as the poet of unfaltering taste in emotions as in words. But the reviving admiration for the\n              Aeneid\n              has no word of praise for Aeneas. He is either neglected or dismissed with a few disparaging sentences. Even so generous a critic as Professor Garrod calls him ‘the wrong man in the wrong place’, and the hero of the\n              Aeneid\n              seems relegated to that undistinguished limbo which contains so many heroes of great epics. It seems that he is no better and no worse than Tennyson's King Arthur or Milton's Jehovah or the indistinguishable heroes of the different books of\n              The Faerie Queene\n              . He is as lifeless as they are, and for the same reason. His appeal is not to the imagination, but to the conscience, and the conscience has changed its ideals and left him and them behind. Perhaps to the Romans he was a symbol of much inspiring morality, but he means nothing to us. So far as he has any personality, he is a prig and a bore.","container-title":"Greece and Rome","DOI":"10.1017/S0017383500002175","ISSN":"0017-3835, 1477-4550","issue":"7","journalAbbreviation":"Greece &amp; Rome","language":"en","page":"8-21","source":"DOI.org (Crossref)","title":"Aeneas and the Stoic Ideal","volume":"3","author":[{"family":"Bowra","given":"C. M."}],"issued":{"date-parts":[["1933",10]]}}}],"schema":"https://github.com/citation-style-language/schema/raw/master/csl-citation.json"} </w:instrText>
      </w:r>
      <w:r>
        <w:fldChar w:fldCharType="separate"/>
      </w:r>
      <w:r w:rsidRPr="00702C92">
        <w:t>Bowra</w:t>
      </w:r>
      <w:r w:rsidR="00C70417">
        <w:t>,</w:t>
      </w:r>
      <w:r w:rsidRPr="00702C92">
        <w:t xml:space="preserve"> 1933.</w:t>
      </w:r>
      <w:r>
        <w:fldChar w:fldCharType="end"/>
      </w:r>
    </w:p>
  </w:footnote>
  <w:footnote w:id="7">
    <w:p w14:paraId="16161D75" w14:textId="234C01D3" w:rsidR="00FD5821" w:rsidRPr="00FD5821" w:rsidRDefault="00FD5821">
      <w:pPr>
        <w:pStyle w:val="FootnoteText"/>
        <w:rPr>
          <w:lang w:val="en-AU"/>
        </w:rPr>
      </w:pPr>
      <w:r>
        <w:rPr>
          <w:rStyle w:val="FootnoteReference"/>
        </w:rPr>
        <w:footnoteRef/>
      </w:r>
      <w:r>
        <w:t xml:space="preserve"> </w:t>
      </w:r>
      <w:r>
        <w:fldChar w:fldCharType="begin"/>
      </w:r>
      <w:r>
        <w:instrText xml:space="preserve"> ADDIN ZOTERO_ITEM CSL_CITATION {"citationID":"eMGWf7el","properties":{"formattedCitation":"Petit 1967.","plainCitation":"Petit 1967.","noteIndex":4},"citationItems":[{"id":2587,"uris":["http://zotero.org/users/9147288/items/W4GFNUX8"],"itemData":{"id":2587,"type":"book","ISBN":"978-0-520-33359-8","note":"DOI: 10.1525/9780520333598","publisher":"University of California Press","source":"DOI.org (Crossref)","title":"Pax Romana","URL":"https://www.degruyter.com/document/doi/10.1525/9780520333598/html","author":[{"family":"Petit","given":"Paul"}],"accessed":{"date-parts":[["2022",4,16]]},"issued":{"date-parts":[["1967",12,31]]}}}],"schema":"https://github.com/citation-style-language/schema/raw/master/csl-citation.json"} </w:instrText>
      </w:r>
      <w:r>
        <w:fldChar w:fldCharType="separate"/>
      </w:r>
      <w:r w:rsidRPr="00FD5821">
        <w:t>Petit</w:t>
      </w:r>
      <w:r w:rsidR="00C70417">
        <w:t>,</w:t>
      </w:r>
      <w:r w:rsidRPr="00FD5821">
        <w:t xml:space="preserve"> 1967.</w:t>
      </w:r>
      <w:r>
        <w:fldChar w:fldCharType="end"/>
      </w:r>
    </w:p>
  </w:footnote>
  <w:footnote w:id="8">
    <w:p w14:paraId="4730EC77" w14:textId="35EEB4F9" w:rsidR="00FD5901" w:rsidRPr="00FD5901" w:rsidRDefault="00FD5901">
      <w:pPr>
        <w:pStyle w:val="FootnoteText"/>
        <w:rPr>
          <w:lang w:val="en-AU"/>
        </w:rPr>
      </w:pPr>
      <w:r>
        <w:rPr>
          <w:rStyle w:val="FootnoteReference"/>
        </w:rPr>
        <w:footnoteRef/>
      </w:r>
      <w:r>
        <w:t xml:space="preserve"> </w:t>
      </w:r>
      <w:r>
        <w:fldChar w:fldCharType="begin"/>
      </w:r>
      <w:r>
        <w:instrText xml:space="preserve"> ADDIN ZOTERO_ITEM CSL_CITATION {"citationID":"iSfnMpL5","properties":{"formattedCitation":"Farrell and Putnam 2010.","plainCitation":"Farrell and Putnam 2010.","noteIndex":5},"citationItems":[{"id":2588,"uris":["http://zotero.org/users/9147288/items/2RISLDVG"],"itemData":{"id":2588,"type":"book","call-number":"PA6825 .C64 2010","collection-title":"Blackwell companions to the ancient world","event-place":"Chichester, West Sussex, United Kingdom ; Malden, Mass","ISBN":"978-1-4051-7577-7","number-of-pages":"559","publisher":"Wiley-Blackwell","publisher-place":"Chichester, West Sussex, United Kingdom ; Malden, Mass","source":"Library of Congress ISBN","title":"A companion to Vergil's Aeneid and its tradition","editor":[{"family":"Farrell","given":"Joseph"},{"family":"Putnam","given":"Michael C. J."}],"issued":{"date-parts":[["2010"]]}}}],"schema":"https://github.com/citation-style-language/schema/raw/master/csl-citation.json"} </w:instrText>
      </w:r>
      <w:r>
        <w:fldChar w:fldCharType="separate"/>
      </w:r>
      <w:r w:rsidRPr="00FD5901">
        <w:t>Farrell and Putnam</w:t>
      </w:r>
      <w:r w:rsidR="00C70417">
        <w:t>,</w:t>
      </w:r>
      <w:r w:rsidRPr="00FD5901">
        <w:t xml:space="preserve"> 2010.</w:t>
      </w:r>
      <w:r>
        <w:fldChar w:fldCharType="end"/>
      </w:r>
    </w:p>
  </w:footnote>
  <w:footnote w:id="9">
    <w:p w14:paraId="68499D69" w14:textId="21A18C93" w:rsidR="005D108A" w:rsidRPr="005D108A" w:rsidRDefault="005D108A">
      <w:pPr>
        <w:pStyle w:val="FootnoteText"/>
        <w:rPr>
          <w:lang w:val="en-AU"/>
        </w:rPr>
      </w:pPr>
      <w:r>
        <w:rPr>
          <w:rStyle w:val="FootnoteReference"/>
        </w:rPr>
        <w:footnoteRef/>
      </w:r>
      <w:r>
        <w:t xml:space="preserve"> </w:t>
      </w:r>
      <w:r>
        <w:fldChar w:fldCharType="begin"/>
      </w:r>
      <w:r>
        <w:instrText xml:space="preserve"> ADDIN ZOTERO_ITEM CSL_CITATION {"citationID":"zvtVlan7","properties":{"formattedCitation":"Blandford 1959.","plainCitation":"Blandford 1959.","noteIndex":6},"citationItems":[{"id":2589,"uris":["http://zotero.org/users/9147288/items/2DSRGZHP"],"itemData":{"id":2589,"type":"article-journal","container-title":"Vergilius (1959-)","issue":"5","note":"ISBN: 0506-7294\npublisher: JSTOR","page":"29-30","title":"Virgil and Vegio","author":[{"family":"Blandford","given":"D. W."}],"issued":{"date-parts":[["1959"]]}}}],"schema":"https://github.com/citation-style-language/schema/raw/master/csl-citation.json"} </w:instrText>
      </w:r>
      <w:r>
        <w:fldChar w:fldCharType="separate"/>
      </w:r>
      <w:r w:rsidRPr="005D108A">
        <w:t>Blandford</w:t>
      </w:r>
      <w:r w:rsidR="00C70417">
        <w:t>,</w:t>
      </w:r>
      <w:r w:rsidRPr="005D108A">
        <w:t xml:space="preserve"> 1959.</w:t>
      </w:r>
      <w:r>
        <w:fldChar w:fldCharType="end"/>
      </w:r>
    </w:p>
  </w:footnote>
  <w:footnote w:id="10">
    <w:p w14:paraId="7C80C3FF" w14:textId="4D9AAE41" w:rsidR="00761BF1" w:rsidRPr="00761BF1" w:rsidRDefault="00761BF1">
      <w:pPr>
        <w:pStyle w:val="FootnoteText"/>
        <w:rPr>
          <w:lang w:val="en-AU"/>
        </w:rPr>
      </w:pPr>
      <w:r>
        <w:rPr>
          <w:rStyle w:val="FootnoteReference"/>
        </w:rPr>
        <w:footnoteRef/>
      </w:r>
      <w:r>
        <w:t xml:space="preserve"> </w:t>
      </w:r>
      <w:r>
        <w:fldChar w:fldCharType="begin"/>
      </w:r>
      <w:r>
        <w:instrText xml:space="preserve"> ADDIN ZOTERO_ITEM CSL_CITATION {"citationID":"hwH1cyWY","properties":{"formattedCitation":"Logan 1964.","plainCitation":"Logan 1964.","noteIndex":10},"citationItems":[{"id":2659,"uris":["http://zotero.org/users/9147288/items/BNNMYPC9"],"itemData":{"id":2659,"type":"article-journal","container-title":"Annual Report of the Dante Society, with Accompanying Papers","ISSN":"1948-1608","issue":"82","note":"publisher: Johns Hopkins University Press","page":"19-46","source":"JSTOR","title":"The Characterization of Ulysses in Homer, Virgil and Dante: A Study in Sources and Analogues","title-short":"The Characterization of Ulysses in Homer, Virgil and Dante","author":[{"family":"Logan","given":"Terence P."}],"issued":{"date-parts":[["1964"]]}}}],"schema":"https://github.com/citation-style-language/schema/raw/master/csl-citation.json"} </w:instrText>
      </w:r>
      <w:r>
        <w:fldChar w:fldCharType="separate"/>
      </w:r>
      <w:r w:rsidRPr="00761BF1">
        <w:t>Logan</w:t>
      </w:r>
      <w:r w:rsidR="00C70417">
        <w:t>,</w:t>
      </w:r>
      <w:r w:rsidRPr="00761BF1">
        <w:t xml:space="preserve"> 1964.</w:t>
      </w:r>
      <w:r>
        <w:fldChar w:fldCharType="end"/>
      </w:r>
    </w:p>
  </w:footnote>
  <w:footnote w:id="11">
    <w:p w14:paraId="740AF7D2" w14:textId="779F3ED5" w:rsidR="007E7566" w:rsidRPr="007E7566" w:rsidRDefault="007E7566">
      <w:pPr>
        <w:pStyle w:val="FootnoteText"/>
        <w:rPr>
          <w:lang w:val="en-AU"/>
        </w:rPr>
      </w:pPr>
      <w:r>
        <w:rPr>
          <w:rStyle w:val="FootnoteReference"/>
        </w:rPr>
        <w:footnoteRef/>
      </w:r>
      <w:r>
        <w:t xml:space="preserve"> </w:t>
      </w:r>
      <w:r>
        <w:fldChar w:fldCharType="begin"/>
      </w:r>
      <w:r w:rsidR="00761BF1">
        <w:instrText xml:space="preserve"> ADDIN ZOTERO_ITEM CSL_CITATION {"citationID":"doLEpSRC","properties":{"formattedCitation":"Vergilius Maro and Goetz 1990, 244.","plainCitation":"Vergilius Maro and Goetz 1990, 244.","noteIndex":11},"citationItems":[{"id":2620,"uris":["http://zotero.org/users/9147288/items/9CKYVKPF"],"itemData":{"id":2620,"type":"article-journal","container-title":"Great books of the Western world","note":"ISBN: 0852295316\npublisher: Encyclopaedia Britannica, Inc.","title":"The Eclogues","author":[{"family":"Vergilius Maro","given":"Publius"},{"family":"Goetz","given":"Philip W."}],"issued":{"date-parts":[["1990"]]}},"locator":"244"}],"schema":"https://github.com/citation-style-language/schema/raw/master/csl-citation.json"} </w:instrText>
      </w:r>
      <w:r>
        <w:fldChar w:fldCharType="separate"/>
      </w:r>
      <w:r w:rsidRPr="007E7566">
        <w:t>Vergilius Maro and Goetz</w:t>
      </w:r>
      <w:r w:rsidR="00C70417">
        <w:t>,</w:t>
      </w:r>
      <w:r w:rsidRPr="007E7566">
        <w:t xml:space="preserve"> 1990, </w:t>
      </w:r>
      <w:r w:rsidR="00312DB3">
        <w:t>p.</w:t>
      </w:r>
      <w:r w:rsidRPr="007E7566">
        <w:t>244.</w:t>
      </w:r>
      <w:r>
        <w:fldChar w:fldCharType="end"/>
      </w:r>
    </w:p>
  </w:footnote>
  <w:footnote w:id="12">
    <w:p w14:paraId="6F599852" w14:textId="26E47E85" w:rsidR="0062050F" w:rsidRPr="0062050F" w:rsidRDefault="0062050F">
      <w:pPr>
        <w:pStyle w:val="FootnoteText"/>
        <w:rPr>
          <w:lang w:val="en-AU"/>
        </w:rPr>
      </w:pPr>
      <w:r>
        <w:rPr>
          <w:rStyle w:val="FootnoteReference"/>
        </w:rPr>
        <w:footnoteRef/>
      </w:r>
      <w:r>
        <w:t xml:space="preserve"> </w:t>
      </w:r>
      <w:r>
        <w:fldChar w:fldCharType="begin"/>
      </w:r>
      <w:r>
        <w:instrText xml:space="preserve"> ADDIN ZOTERO_ITEM CSL_CITATION {"citationID":"PPqWYNEx","properties":{"formattedCitation":"Gresseth 1979.","plainCitation":"Gresseth 1979.","noteIndex":12},"citationItems":[{"id":2665,"uris":["http://zotero.org/users/9147288/items/LBL7J49Q"],"itemData":{"id":2665,"type":"article-journal","container-title":"Transactions of the American Philological Association (1974-)","DOI":"10.2307/284049","ISSN":"0360-5949","note":"publisher: [Johns Hopkins University Press, American Philological Association]","page":"63-85","source":"JSTOR","title":"The Odyssey and the Nalopākhyāna","volume":"109","author":[{"family":"Gresseth","given":"Gerald K."}],"issued":{"date-parts":[["1979"]]}}}],"schema":"https://github.com/citation-style-language/schema/raw/master/csl-citation.json"} </w:instrText>
      </w:r>
      <w:r>
        <w:fldChar w:fldCharType="separate"/>
      </w:r>
      <w:proofErr w:type="spellStart"/>
      <w:r w:rsidRPr="0062050F">
        <w:t>Gresseth</w:t>
      </w:r>
      <w:proofErr w:type="spellEnd"/>
      <w:r w:rsidR="00C70417">
        <w:t>,</w:t>
      </w:r>
      <w:r w:rsidRPr="0062050F">
        <w:t xml:space="preserve"> 1979.</w:t>
      </w:r>
      <w:r>
        <w:fldChar w:fldCharType="end"/>
      </w:r>
    </w:p>
  </w:footnote>
  <w:footnote w:id="13">
    <w:p w14:paraId="5E0DC9D7" w14:textId="29E6625B" w:rsidR="00CF42F4" w:rsidRPr="00CF42F4" w:rsidRDefault="00CF42F4">
      <w:pPr>
        <w:pStyle w:val="FootnoteText"/>
        <w:rPr>
          <w:lang w:val="en-AU"/>
        </w:rPr>
      </w:pPr>
      <w:r>
        <w:rPr>
          <w:rStyle w:val="FootnoteReference"/>
        </w:rPr>
        <w:footnoteRef/>
      </w:r>
      <w:r>
        <w:t xml:space="preserve"> </w:t>
      </w:r>
      <w:r>
        <w:fldChar w:fldCharType="begin"/>
      </w:r>
      <w:r w:rsidR="0062050F">
        <w:instrText xml:space="preserve"> ADDIN ZOTERO_ITEM CSL_CITATION {"citationID":"tS2ZuuCR","properties":{"formattedCitation":"Vergilius Maro and Goetz 1990, 275\\uc0\\u8211{}8.","plainCitation":"Vergilius Maro and Goetz 1990, 275–8.","noteIndex":13},"citationItems":[{"id":2620,"uris":["http://zotero.org/users/9147288/items/9CKYVKPF"],"itemData":{"id":2620,"type":"article-journal","container-title":"Great books of the Western world","note":"ISBN: 0852295316\npublisher: Encyclopaedia Britannica, Inc.","title":"The Eclogues","author":[{"family":"Vergilius Maro","given":"Publius"},{"family":"Goetz","given":"Philip W."}],"issued":{"date-parts":[["1990"]]}},"locator":"275-8"}],"schema":"https://github.com/citation-style-language/schema/raw/master/csl-citation.json"} </w:instrText>
      </w:r>
      <w:r>
        <w:fldChar w:fldCharType="separate"/>
      </w:r>
      <w:r w:rsidR="0062050F" w:rsidRPr="0062050F">
        <w:t>Vergilius Maro and Goetz</w:t>
      </w:r>
      <w:r w:rsidR="00C70417">
        <w:t>,</w:t>
      </w:r>
      <w:r w:rsidR="0062050F" w:rsidRPr="0062050F">
        <w:t xml:space="preserve"> 1990, </w:t>
      </w:r>
      <w:r w:rsidR="00312DB3">
        <w:t>pp.</w:t>
      </w:r>
      <w:r w:rsidR="0062050F" w:rsidRPr="0062050F">
        <w:t>275–8.</w:t>
      </w:r>
      <w:r>
        <w:fldChar w:fldCharType="end"/>
      </w:r>
    </w:p>
  </w:footnote>
  <w:footnote w:id="14">
    <w:p w14:paraId="2E42BEC6" w14:textId="42492E6C" w:rsidR="00F45D0F" w:rsidRPr="00F45D0F" w:rsidRDefault="00F45D0F">
      <w:pPr>
        <w:pStyle w:val="FootnoteText"/>
        <w:rPr>
          <w:lang w:val="en-AU"/>
        </w:rPr>
      </w:pPr>
      <w:r>
        <w:rPr>
          <w:rStyle w:val="FootnoteReference"/>
        </w:rPr>
        <w:footnoteRef/>
      </w:r>
      <w:r>
        <w:t xml:space="preserve"> </w:t>
      </w:r>
      <w:r>
        <w:fldChar w:fldCharType="begin"/>
      </w:r>
      <w:r>
        <w:instrText xml:space="preserve"> ADDIN ZOTERO_ITEM CSL_CITATION {"citationID":"uX00zXdu","properties":{"formattedCitation":"Pattanaik 2008.","plainCitation":"Pattanaik 2008.","noteIndex":13},"citationItems":[{"id":2661,"uris":["http://zotero.org/users/9147288/items/BAKPJZVC"],"itemData":{"id":2661,"type":"book","abstract":"A Decoding Of Hindu MythologyHindus Have One God.They Also Have 330 Million Gods: Male Gods, Female Gods, Personal Gods, Family Gods, Household Gods, Village Gods, Gods Of Space And Time, Gods For Specific Castes And Particular Professions, Gods Who Reside In Trees, In Animals, In Minerals, In Geometrical Patterns And In Man-Made Objects.Then There Are A Whole Host Of Demons.But No Devil.In This Groundbreaking Book Dr Devdutt Pattanaik, One Of India S Most Popular Mythologists, Seeks An Answer To These Apparent Paradoxes And Unravels An Inherited Truth About Life And Death, Nature And Culture, Perfection And Possibility. He Retells Sacred Hindu Stories And Decodes Hindu Symbols And Rituals, Using A Unique Style Of Commentary, Illustrations And Diagrams. We Discover Why The Villainous Kauravas Went To Heaven And The Virtuous Pandavas (All Except Yudhishtira) Were Sent To Hell; Why Rama Despite Abandoning The Innocent Sita Remains The Model King; Why The Blood-Drinking Kali Is Another Form Of The Milk-Giving Gauri; And Why Shiva Wrenched Off The Fifth Head Of Brahma.Constructed Over Generations, Hindu Myths Serve As Windows To The Soul, And Provide An Understanding Of The World Around Us. The Aim Is Not To Outgrow Myth, But To Be Enriched And Empowered By Its Ancient, Potent And Still Relevant Language.","ISBN":"978-0-14-309970-3","language":"en","number-of-pages":"252","publisher":"Penguin Books India","source":"Google Books","title":"Myth = Mithya","author":[{"family":"Pattanaik","given":"Devdutt"}],"issued":{"date-parts":[["2008"]]}}}],"schema":"https://github.com/citation-style-language/schema/raw/master/csl-citation.json"} </w:instrText>
      </w:r>
      <w:r>
        <w:fldChar w:fldCharType="separate"/>
      </w:r>
      <w:r w:rsidRPr="00F45D0F">
        <w:t>Pattanaik</w:t>
      </w:r>
      <w:r w:rsidR="00C70417">
        <w:t>,</w:t>
      </w:r>
      <w:r w:rsidRPr="00F45D0F">
        <w:t xml:space="preserve"> 2008.</w:t>
      </w:r>
      <w:r>
        <w:fldChar w:fldCharType="end"/>
      </w:r>
    </w:p>
  </w:footnote>
  <w:footnote w:id="15">
    <w:p w14:paraId="773DE785" w14:textId="74D5B687" w:rsidR="00C8679B" w:rsidRPr="00C8679B" w:rsidRDefault="00C8679B">
      <w:pPr>
        <w:pStyle w:val="FootnoteText"/>
        <w:rPr>
          <w:lang w:val="en-AU"/>
        </w:rPr>
      </w:pPr>
      <w:r>
        <w:rPr>
          <w:rStyle w:val="FootnoteReference"/>
        </w:rPr>
        <w:footnoteRef/>
      </w:r>
      <w:r>
        <w:t xml:space="preserve"> </w:t>
      </w:r>
      <w:r>
        <w:fldChar w:fldCharType="begin"/>
      </w:r>
      <w:r w:rsidR="00F45D0F">
        <w:instrText xml:space="preserve"> ADDIN ZOTERO_ITEM CSL_CITATION {"citationID":"enUbSkJY","properties":{"formattedCitation":"Vergilius Maro and Goetz 1990, 305.","plainCitation":"Vergilius Maro and Goetz 1990, 305.","noteIndex":14},"citationItems":[{"id":2620,"uris":["http://zotero.org/users/9147288/items/9CKYVKPF"],"itemData":{"id":2620,"type":"article-journal","container-title":"Great books of the Western world","note":"ISBN: 0852295316\npublisher: Encyclopaedia Britannica, Inc.","title":"The Eclogues","author":[{"family":"Vergilius Maro","given":"Publius"},{"family":"Goetz","given":"Philip W."}],"issued":{"date-parts":[["1990"]]}},"locator":"305"}],"schema":"https://github.com/citation-style-language/schema/raw/master/csl-citation.json"} </w:instrText>
      </w:r>
      <w:r>
        <w:fldChar w:fldCharType="separate"/>
      </w:r>
      <w:r w:rsidR="00F45D0F" w:rsidRPr="00F45D0F">
        <w:t>Vergilius Maro and Goetz</w:t>
      </w:r>
      <w:r w:rsidR="00C70417">
        <w:t>,</w:t>
      </w:r>
      <w:r w:rsidR="00F45D0F" w:rsidRPr="00F45D0F">
        <w:t xml:space="preserve"> 1990, </w:t>
      </w:r>
      <w:r w:rsidR="00312DB3">
        <w:t>p.</w:t>
      </w:r>
      <w:r w:rsidR="00F45D0F" w:rsidRPr="00F45D0F">
        <w:t>305.</w:t>
      </w:r>
      <w:r>
        <w:fldChar w:fldCharType="end"/>
      </w:r>
    </w:p>
  </w:footnote>
  <w:footnote w:id="16">
    <w:p w14:paraId="24052436" w14:textId="13E6D298" w:rsidR="00187176" w:rsidRPr="00187176" w:rsidRDefault="00187176">
      <w:pPr>
        <w:pStyle w:val="FootnoteText"/>
        <w:rPr>
          <w:lang w:val="en-AU"/>
        </w:rPr>
      </w:pPr>
      <w:r>
        <w:rPr>
          <w:rStyle w:val="FootnoteReference"/>
        </w:rPr>
        <w:footnoteRef/>
      </w:r>
      <w:r>
        <w:t xml:space="preserve"> </w:t>
      </w:r>
      <w:r>
        <w:fldChar w:fldCharType="begin"/>
      </w:r>
      <w:r w:rsidR="00761BF1">
        <w:instrText xml:space="preserve"> ADDIN ZOTERO_ITEM CSL_CITATION {"citationID":"ytPGveON","properties":{"formattedCitation":"Ibid., 340.","plainCitation":"Ibid., 340.","noteIndex":14},"citationItems":[{"id":2620,"uris":["http://zotero.org/users/9147288/items/9CKYVKPF"],"itemData":{"id":2620,"type":"article-journal","container-title":"Great books of the Western world","note":"ISBN: 0852295316\npublisher: Encyclopaedia Britannica, Inc.","title":"The Eclogues","author":[{"family":"Vergilius Maro","given":"Publius"},{"family":"Goetz","given":"Philip W."}],"issued":{"date-parts":[["1990"]]}},"locator":"340"}],"schema":"https://github.com/citation-style-language/schema/raw/master/csl-citation.json"} </w:instrText>
      </w:r>
      <w:r>
        <w:fldChar w:fldCharType="separate"/>
      </w:r>
      <w:r w:rsidRPr="00187176">
        <w:t xml:space="preserve">Ibid., </w:t>
      </w:r>
      <w:r w:rsidR="00312DB3">
        <w:t>p.</w:t>
      </w:r>
      <w:r w:rsidRPr="00187176">
        <w:t>340.</w:t>
      </w:r>
      <w:r>
        <w:fldChar w:fldCharType="end"/>
      </w:r>
    </w:p>
  </w:footnote>
  <w:footnote w:id="17">
    <w:p w14:paraId="06C69D74" w14:textId="216F3A0A" w:rsidR="00981634" w:rsidRPr="00981634" w:rsidRDefault="00981634">
      <w:pPr>
        <w:pStyle w:val="FootnoteText"/>
        <w:rPr>
          <w:lang w:val="en-AU"/>
        </w:rPr>
      </w:pPr>
      <w:r>
        <w:rPr>
          <w:rStyle w:val="FootnoteReference"/>
        </w:rPr>
        <w:footnoteRef/>
      </w:r>
      <w:r>
        <w:t xml:space="preserve"> </w:t>
      </w:r>
      <w:r>
        <w:fldChar w:fldCharType="begin"/>
      </w:r>
      <w:r>
        <w:instrText xml:space="preserve"> ADDIN ZOTERO_ITEM CSL_CITATION {"citationID":"UUU5CE8z","properties":{"formattedCitation":"Kochenash 2020.","plainCitation":"Kochenash 2020.","noteIndex":11},"citationItems":[{"id":2651,"uris":["http://zotero.org/users/9147288/items/2DEZQUAT"],"itemData":{"id":2651,"type":"article-journal","abstract":"Abstract\n            A primary theme of the first story in Joseph and Aseneth (Jos. Asen. 1–21) is the conversion of an Egyptian to the worship of the living God, motivated by romantic attraction. In this respect, Joseph and Aseneth is one among many ancient novelistic writings to use a story about intermarriage, in this case the marriage of a Hebrew to an Egyptian, as a means to explore themes related to hybridity. Though different in tone, I propose that the second story (Jos. Asen. 22–29) is equally concerned with hybridity and that it can likewise be read as expressing an intercultural sensibility that is open to gentile incorporation and intermarriage through its imitation—and subversion—of literary models from two different cultural domains, the Jewish Scriptures (the rape of Dinah; the slaying of Goliath) and classical Greek literature (the abduction of Helen).","container-title":"Journal for the Study of Judaism","DOI":"10.1163/15700631-BJA10010","ISSN":"0047-2212, 1570-0631","issue":"3","journalAbbreviation":"J. Study Jud.","page":"417-441","source":"DOI.org (Crossref)","title":"Trojan Horses: The Counterintuitive Use of Dinah, Helen, and Goliath in Joseph and Aseneth","title-short":"Trojan Horses","volume":"52","author":[{"family":"Kochenash","given":"Michael"}],"issued":{"date-parts":[["2020",12,23]]}}}],"schema":"https://github.com/citation-style-language/schema/raw/master/csl-citation.json"} </w:instrText>
      </w:r>
      <w:r>
        <w:fldChar w:fldCharType="separate"/>
      </w:r>
      <w:proofErr w:type="spellStart"/>
      <w:r w:rsidRPr="00981634">
        <w:t>Kochenash</w:t>
      </w:r>
      <w:proofErr w:type="spellEnd"/>
      <w:r w:rsidR="00C70417">
        <w:t>,</w:t>
      </w:r>
      <w:r w:rsidRPr="00981634">
        <w:t xml:space="preserve"> 2020.</w:t>
      </w:r>
      <w:r>
        <w:fldChar w:fldCharType="end"/>
      </w:r>
    </w:p>
  </w:footnote>
  <w:footnote w:id="18">
    <w:p w14:paraId="7C655366" w14:textId="7E0C3A83" w:rsidR="00466286" w:rsidRPr="00466286" w:rsidRDefault="00466286">
      <w:pPr>
        <w:pStyle w:val="FootnoteText"/>
        <w:rPr>
          <w:lang w:val="en-AU"/>
        </w:rPr>
      </w:pPr>
      <w:r>
        <w:rPr>
          <w:rStyle w:val="FootnoteReference"/>
        </w:rPr>
        <w:footnoteRef/>
      </w:r>
      <w:r>
        <w:t xml:space="preserve"> </w:t>
      </w:r>
      <w:r>
        <w:fldChar w:fldCharType="begin"/>
      </w:r>
      <w:r w:rsidR="00761BF1">
        <w:instrText xml:space="preserve"> ADDIN ZOTERO_ITEM CSL_CITATION {"citationID":"HwGNdnmd","properties":{"formattedCitation":"Vergilius Maro and Goetz 1990, 354.","plainCitation":"Vergilius Maro and Goetz 1990, 354.","noteIndex":16},"citationItems":[{"id":2620,"uris":["http://zotero.org/users/9147288/items/9CKYVKPF"],"itemData":{"id":2620,"type":"article-journal","container-title":"Great books of the Western world","note":"ISBN: 0852295316\npublisher: Encyclopaedia Britannica, Inc.","title":"The Eclogues","author":[{"family":"Vergilius Maro","given":"Publius"},{"family":"Goetz","given":"Philip W."}],"issued":{"date-parts":[["1990"]]}},"locator":"354"}],"schema":"https://github.com/citation-style-language/schema/raw/master/csl-citation.json"} </w:instrText>
      </w:r>
      <w:r>
        <w:fldChar w:fldCharType="separate"/>
      </w:r>
      <w:r w:rsidR="00981634" w:rsidRPr="00981634">
        <w:t>Vergilius Maro and Goetz</w:t>
      </w:r>
      <w:r w:rsidR="00C70417">
        <w:t>,</w:t>
      </w:r>
      <w:r w:rsidR="00981634" w:rsidRPr="00981634">
        <w:t xml:space="preserve"> 1990, </w:t>
      </w:r>
      <w:r w:rsidR="00312DB3">
        <w:t>p.</w:t>
      </w:r>
      <w:r w:rsidR="00981634" w:rsidRPr="00981634">
        <w:t>354.</w:t>
      </w:r>
      <w:r>
        <w:fldChar w:fldCharType="end"/>
      </w:r>
    </w:p>
  </w:footnote>
  <w:footnote w:id="19">
    <w:p w14:paraId="6ABBD872" w14:textId="0AB1C46A" w:rsidR="003643AF" w:rsidRPr="003643AF" w:rsidRDefault="003643AF">
      <w:pPr>
        <w:pStyle w:val="FootnoteText"/>
        <w:rPr>
          <w:lang w:val="en-AU"/>
        </w:rPr>
      </w:pPr>
      <w:r>
        <w:rPr>
          <w:rStyle w:val="FootnoteReference"/>
        </w:rPr>
        <w:footnoteRef/>
      </w:r>
      <w:r>
        <w:t xml:space="preserve"> </w:t>
      </w:r>
      <w:r>
        <w:fldChar w:fldCharType="begin"/>
      </w:r>
      <w:r>
        <w:instrText xml:space="preserve"> ADDIN ZOTERO_ITEM CSL_CITATION {"citationID":"fUlkRVgG","properties":{"formattedCitation":"Crossland 1934, 287.","plainCitation":"Crossland 1934, 287.","noteIndex":13},"citationItems":[{"id":2652,"uris":["http://zotero.org/users/9147288/items/JA8NXYFA"],"itemData":{"id":2652,"type":"article-journal","container-title":"The Modern Language Review","DOI":"10.2307/3715484","ISSN":"00267937","issue":"3","journalAbbreviation":"The Modern Language Review","page":"282","source":"DOI.org (Crossref)","title":"\"Eneas\" and the \"Aeneid\"","volume":"29","author":[{"family":"Crossland","given":"Jessie"}],"issued":{"date-parts":[["1934",7]]}},"locator":"287"}],"schema":"https://github.com/citation-style-language/schema/raw/master/csl-citation.json"} </w:instrText>
      </w:r>
      <w:r>
        <w:fldChar w:fldCharType="separate"/>
      </w:r>
      <w:r w:rsidRPr="003643AF">
        <w:t>Crossland</w:t>
      </w:r>
      <w:r w:rsidR="00C70417">
        <w:t>,</w:t>
      </w:r>
      <w:r w:rsidRPr="003643AF">
        <w:t xml:space="preserve"> 1934, 287.</w:t>
      </w:r>
      <w:r>
        <w:fldChar w:fldCharType="end"/>
      </w:r>
      <w:r w:rsidR="00A14855">
        <w:rPr>
          <w:i w:val="0"/>
          <w:iCs w:val="0"/>
          <w:sz w:val="24"/>
        </w:rPr>
        <w:t xml:space="preserve">; </w:t>
      </w:r>
      <w:r w:rsidR="00905AF5" w:rsidRPr="00905AF5">
        <w:t xml:space="preserve">cf. </w:t>
      </w:r>
      <w:proofErr w:type="spellStart"/>
      <w:r w:rsidR="00905AF5" w:rsidRPr="00905AF5">
        <w:t>iuvenis</w:t>
      </w:r>
      <w:proofErr w:type="spellEnd"/>
      <w:r w:rsidR="00905AF5" w:rsidRPr="00905AF5">
        <w:t xml:space="preserve"> tur </w:t>
      </w:r>
      <w:proofErr w:type="spellStart"/>
      <w:r w:rsidR="00905AF5" w:rsidRPr="00905AF5">
        <w:t>iussa</w:t>
      </w:r>
      <w:proofErr w:type="spellEnd"/>
      <w:r w:rsidR="00905AF5" w:rsidRPr="00905AF5">
        <w:t xml:space="preserve"> superba I </w:t>
      </w:r>
      <w:proofErr w:type="spellStart"/>
      <w:r w:rsidR="00905AF5" w:rsidRPr="00905AF5">
        <w:t>miratus</w:t>
      </w:r>
      <w:proofErr w:type="spellEnd"/>
      <w:r w:rsidR="00905AF5" w:rsidRPr="00905AF5">
        <w:t xml:space="preserve"> </w:t>
      </w:r>
      <w:proofErr w:type="spellStart"/>
      <w:r w:rsidR="00905AF5" w:rsidRPr="00905AF5">
        <w:t>stupet</w:t>
      </w:r>
      <w:proofErr w:type="spellEnd"/>
      <w:r w:rsidR="00905AF5" w:rsidRPr="00905AF5">
        <w:t xml:space="preserve"> in </w:t>
      </w:r>
      <w:proofErr w:type="spellStart"/>
      <w:r w:rsidR="00905AF5" w:rsidRPr="00905AF5">
        <w:t>Turno</w:t>
      </w:r>
      <w:proofErr w:type="spellEnd"/>
      <w:r w:rsidR="00905AF5" w:rsidRPr="00905AF5">
        <w:t xml:space="preserve"> </w:t>
      </w:r>
      <w:proofErr w:type="spellStart"/>
      <w:r w:rsidR="00905AF5" w:rsidRPr="00905AF5">
        <w:t>corpusque</w:t>
      </w:r>
      <w:proofErr w:type="spellEnd"/>
      <w:r w:rsidR="00905AF5" w:rsidRPr="00905AF5">
        <w:t xml:space="preserve"> per </w:t>
      </w:r>
      <w:proofErr w:type="spellStart"/>
      <w:r w:rsidR="00905AF5" w:rsidRPr="00905AF5">
        <w:t>ingens</w:t>
      </w:r>
      <w:proofErr w:type="spellEnd"/>
      <w:r w:rsidR="00905AF5" w:rsidRPr="00905AF5">
        <w:t xml:space="preserve"> I lumina </w:t>
      </w:r>
      <w:proofErr w:type="spellStart"/>
      <w:r w:rsidR="00905AF5" w:rsidRPr="00905AF5">
        <w:t>volvit</w:t>
      </w:r>
      <w:proofErr w:type="spellEnd"/>
      <w:r w:rsidR="00905AF5" w:rsidRPr="00905AF5">
        <w:t>, x, 4</w:t>
      </w:r>
      <w:r w:rsidR="00A14855">
        <w:t>45 f.</w:t>
      </w:r>
    </w:p>
  </w:footnote>
  <w:footnote w:id="20">
    <w:p w14:paraId="0AF663F1" w14:textId="7760B84C" w:rsidR="00EA5880" w:rsidRPr="00EA5880" w:rsidRDefault="00EA5880">
      <w:pPr>
        <w:pStyle w:val="FootnoteText"/>
        <w:rPr>
          <w:lang w:val="en-AU"/>
        </w:rPr>
      </w:pPr>
      <w:r>
        <w:rPr>
          <w:rStyle w:val="FootnoteReference"/>
        </w:rPr>
        <w:footnoteRef/>
      </w:r>
      <w:r>
        <w:t xml:space="preserve"> </w:t>
      </w:r>
      <w:r w:rsidRPr="00EA5880">
        <w:t>17:47,</w:t>
      </w:r>
      <w:r w:rsidR="00312DB3">
        <w:t xml:space="preserve"> </w:t>
      </w:r>
      <w:r w:rsidRPr="00EA5880">
        <w:t>52, 53.</w:t>
      </w:r>
    </w:p>
  </w:footnote>
  <w:footnote w:id="21">
    <w:p w14:paraId="4D97CEB8" w14:textId="4F5E70DA" w:rsidR="00323316" w:rsidRPr="00323316" w:rsidRDefault="00323316">
      <w:pPr>
        <w:pStyle w:val="FootnoteText"/>
        <w:rPr>
          <w:lang w:val="en-AU"/>
        </w:rPr>
      </w:pPr>
      <w:r>
        <w:rPr>
          <w:rStyle w:val="FootnoteReference"/>
        </w:rPr>
        <w:footnoteRef/>
      </w:r>
      <w:r>
        <w:t xml:space="preserve"> </w:t>
      </w:r>
      <w:r>
        <w:fldChar w:fldCharType="begin"/>
      </w:r>
      <w:r w:rsidR="00761BF1">
        <w:instrText xml:space="preserve"> ADDIN ZOTERO_ITEM CSL_CITATION {"citationID":"0CsYpJnw","properties":{"formattedCitation":"Vergilius Maro and Goetz 1990, 359.","plainCitation":"Vergilius Maro and Goetz 1990, 359.","noteIndex":19},"citationItems":[{"id":2620,"uris":["http://zotero.org/users/9147288/items/9CKYVKPF"],"itemData":{"id":2620,"type":"article-journal","container-title":"Great books of the Western world","note":"ISBN: 0852295316\npublisher: Encyclopaedia Britannica, Inc.","title":"The Eclogues","author":[{"family":"Vergilius Maro","given":"Publius"},{"family":"Goetz","given":"Philip W."}],"issued":{"date-parts":[["1990"]]}},"locator":"359"}],"schema":"https://github.com/citation-style-language/schema/raw/master/csl-citation.json"} </w:instrText>
      </w:r>
      <w:r>
        <w:fldChar w:fldCharType="separate"/>
      </w:r>
      <w:r w:rsidR="003643AF" w:rsidRPr="003643AF">
        <w:t>Vergilius Maro and Goetz</w:t>
      </w:r>
      <w:r w:rsidR="00C70417">
        <w:t>,</w:t>
      </w:r>
      <w:r w:rsidR="003643AF" w:rsidRPr="003643AF">
        <w:t xml:space="preserve"> 1990, </w:t>
      </w:r>
      <w:r w:rsidR="00C70417">
        <w:t>p.</w:t>
      </w:r>
      <w:r w:rsidR="003643AF" w:rsidRPr="003643AF">
        <w:t>359.</w:t>
      </w:r>
      <w:r>
        <w:fldChar w:fldCharType="end"/>
      </w:r>
    </w:p>
  </w:footnote>
  <w:footnote w:id="22">
    <w:p w14:paraId="0B1A5E38" w14:textId="59D1A1E9" w:rsidR="00647A33" w:rsidRPr="00647A33" w:rsidRDefault="00647A33">
      <w:pPr>
        <w:pStyle w:val="FootnoteText"/>
        <w:rPr>
          <w:lang w:val="en-AU"/>
        </w:rPr>
      </w:pPr>
      <w:r>
        <w:rPr>
          <w:rStyle w:val="FootnoteReference"/>
        </w:rPr>
        <w:footnoteRef/>
      </w:r>
      <w:r>
        <w:t xml:space="preserve"> </w:t>
      </w:r>
      <w:r>
        <w:fldChar w:fldCharType="begin"/>
      </w:r>
      <w:r w:rsidR="00761BF1">
        <w:instrText xml:space="preserve"> ADDIN ZOTERO_ITEM CSL_CITATION {"citationID":"h3AVAEWW","properties":{"formattedCitation":"Ibid., 374.","plainCitation":"Ibid., 374.","noteIndex":20},"citationItems":[{"id":2620,"uris":["http://zotero.org/users/9147288/items/9CKYVKPF"],"itemData":{"id":2620,"type":"article-journal","container-title":"Great books of the Western world","note":"ISBN: 0852295316\npublisher: Encyclopaedia Britannica, Inc.","title":"The Eclogues","author":[{"family":"Vergilius Maro","given":"Publius"},{"family":"Goetz","given":"Philip W."}],"issued":{"date-parts":[["1990"]]}},"locator":"374"}],"schema":"https://github.com/citation-style-language/schema/raw/master/csl-citation.json"} </w:instrText>
      </w:r>
      <w:r>
        <w:fldChar w:fldCharType="separate"/>
      </w:r>
      <w:r w:rsidRPr="00647A33">
        <w:t xml:space="preserve">Ibid., </w:t>
      </w:r>
      <w:r w:rsidR="00C70417">
        <w:t>p.</w:t>
      </w:r>
      <w:r w:rsidRPr="00647A33">
        <w:t>374.</w:t>
      </w:r>
      <w:r>
        <w:fldChar w:fldCharType="end"/>
      </w:r>
    </w:p>
  </w:footnote>
  <w:footnote w:id="23">
    <w:p w14:paraId="5F674982" w14:textId="32F446AD" w:rsidR="00FB0C23" w:rsidRPr="00FB0C23" w:rsidRDefault="00FB0C23">
      <w:pPr>
        <w:pStyle w:val="FootnoteText"/>
        <w:rPr>
          <w:lang w:val="en-AU"/>
        </w:rPr>
      </w:pPr>
      <w:r>
        <w:rPr>
          <w:rStyle w:val="FootnoteReference"/>
        </w:rPr>
        <w:footnoteRef/>
      </w:r>
      <w:r>
        <w:t xml:space="preserve"> </w:t>
      </w:r>
      <w:r>
        <w:fldChar w:fldCharType="begin"/>
      </w:r>
      <w:r>
        <w:instrText xml:space="preserve"> ADDIN ZOTERO_ITEM CSL_CITATION {"citationID":"1EpcuA3Y","properties":{"formattedCitation":"Ravenscroft 1982.","plainCitation":"Ravenscroft 1982.","noteIndex":22},"citationItems":[{"id":2663,"uris":["http://zotero.org/users/9147288/items/VA2H8W2A"],"itemData":{"id":2663,"type":"book","abstract":"The occult power behind the spear that pierced the side of Christ. How Hitler inverted the Force in a bid to conquer the world. Fascinating reading. Photographs.","ISBN":"978-0-87728-547-2","language":"en","note":"Google-Books-ID: BKt_4HbED6AC","number-of-pages":"404","publisher":"Weiser Books","source":"Google Books","title":"Spear of Destiny","author":[{"family":"Ravenscroft","given":"Trevor"}],"issued":{"date-parts":[["1982",6,1]]}}}],"schema":"https://github.com/citation-style-language/schema/raw/master/csl-citation.json"} </w:instrText>
      </w:r>
      <w:r>
        <w:fldChar w:fldCharType="separate"/>
      </w:r>
      <w:r w:rsidRPr="00FB0C23">
        <w:t>Ravenscroft</w:t>
      </w:r>
      <w:r w:rsidR="00C70417">
        <w:t>,</w:t>
      </w:r>
      <w:r w:rsidRPr="00FB0C23">
        <w:t xml:space="preserve"> 1982.</w:t>
      </w:r>
      <w:r>
        <w:fldChar w:fldCharType="end"/>
      </w:r>
      <w:r w:rsidR="00576CDD">
        <w:t xml:space="preserve"> Note, the Biblical references to the “Spear of Destiny” also align with that of Aeneas.</w:t>
      </w:r>
    </w:p>
  </w:footnote>
  <w:footnote w:id="24">
    <w:p w14:paraId="5364052E" w14:textId="7B78FE8B" w:rsidR="00AF3BD9" w:rsidRPr="00AF3BD9" w:rsidRDefault="00AF3BD9">
      <w:pPr>
        <w:pStyle w:val="FootnoteText"/>
        <w:rPr>
          <w:lang w:val="en-AU"/>
        </w:rPr>
      </w:pPr>
      <w:r>
        <w:rPr>
          <w:rStyle w:val="FootnoteReference"/>
        </w:rPr>
        <w:footnoteRef/>
      </w:r>
      <w:r>
        <w:t xml:space="preserve"> </w:t>
      </w:r>
      <w:r>
        <w:fldChar w:fldCharType="begin"/>
      </w:r>
      <w:r w:rsidR="00FB0C23">
        <w:instrText xml:space="preserve"> ADDIN ZOTERO_ITEM CSL_CITATION {"citationID":"gJP0ROWv","properties":{"formattedCitation":"Vergilius Maro and Goetz 1990, 375.","plainCitation":"Vergilius Maro and Goetz 1990, 375.","noteIndex":23},"citationItems":[{"id":2620,"uris":["http://zotero.org/users/9147288/items/9CKYVKPF"],"itemData":{"id":2620,"type":"article-journal","container-title":"Great books of the Western world","note":"ISBN: 0852295316\npublisher: Encyclopaedia Britannica, Inc.","title":"The Eclogues","author":[{"family":"Vergilius Maro","given":"Publius"},{"family":"Goetz","given":"Philip W."}],"issued":{"date-parts":[["1990"]]}},"locator":"375"}],"schema":"https://github.com/citation-style-language/schema/raw/master/csl-citation.json"} </w:instrText>
      </w:r>
      <w:r>
        <w:fldChar w:fldCharType="separate"/>
      </w:r>
      <w:r w:rsidR="00FB0C23" w:rsidRPr="00FB0C23">
        <w:t>Vergilius Maro and Goetz</w:t>
      </w:r>
      <w:r w:rsidR="00C70417">
        <w:t>,</w:t>
      </w:r>
      <w:r w:rsidR="00FB0C23" w:rsidRPr="00FB0C23">
        <w:t xml:space="preserve"> 1990, </w:t>
      </w:r>
      <w:r w:rsidR="00C70417">
        <w:t>p.</w:t>
      </w:r>
      <w:r w:rsidR="00FB0C23" w:rsidRPr="00FB0C23">
        <w:t>375.</w:t>
      </w:r>
      <w:r>
        <w:fldChar w:fldCharType="end"/>
      </w:r>
    </w:p>
  </w:footnote>
  <w:footnote w:id="25">
    <w:p w14:paraId="13AF50CF" w14:textId="6B362E56" w:rsidR="00864424" w:rsidRPr="00864424" w:rsidRDefault="00864424">
      <w:pPr>
        <w:pStyle w:val="FootnoteText"/>
        <w:rPr>
          <w:lang w:val="en-AU"/>
        </w:rPr>
      </w:pPr>
      <w:r>
        <w:rPr>
          <w:rStyle w:val="FootnoteReference"/>
        </w:rPr>
        <w:footnoteRef/>
      </w:r>
      <w:r>
        <w:t xml:space="preserve"> </w:t>
      </w:r>
      <w:r>
        <w:fldChar w:fldCharType="begin"/>
      </w:r>
      <w:r w:rsidR="00761BF1">
        <w:instrText xml:space="preserve"> ADDIN ZOTERO_ITEM CSL_CITATION {"citationID":"EvGB2Cwh","properties":{"formattedCitation":"Ibid., 376.","plainCitation":"Ibid., 376.","noteIndex":22},"citationItems":[{"id":2620,"uris":["http://zotero.org/users/9147288/items/9CKYVKPF"],"itemData":{"id":2620,"type":"article-journal","container-title":"Great books of the Western world","note":"ISBN: 0852295316\npublisher: Encyclopaedia Britannica, Inc.","title":"The Eclogues","author":[{"family":"Vergilius Maro","given":"Publius"},{"family":"Goetz","given":"Philip W."}],"issued":{"date-parts":[["1990"]]}},"locator":"376"}],"schema":"https://github.com/citation-style-language/schema/raw/master/csl-citation.json"} </w:instrText>
      </w:r>
      <w:r>
        <w:fldChar w:fldCharType="separate"/>
      </w:r>
      <w:r w:rsidRPr="00864424">
        <w:t xml:space="preserve">Ibid., </w:t>
      </w:r>
      <w:r w:rsidR="00C70417">
        <w:t>p.</w:t>
      </w:r>
      <w:r w:rsidRPr="00864424">
        <w:t>376.</w:t>
      </w:r>
      <w:r>
        <w:fldChar w:fldCharType="end"/>
      </w:r>
    </w:p>
  </w:footnote>
  <w:footnote w:id="26">
    <w:p w14:paraId="039D06CF" w14:textId="486476DB" w:rsidR="00733A08" w:rsidRPr="00733A08" w:rsidRDefault="00733A08">
      <w:pPr>
        <w:pStyle w:val="FootnoteText"/>
        <w:rPr>
          <w:lang w:val="en-AU"/>
        </w:rPr>
      </w:pPr>
      <w:r>
        <w:rPr>
          <w:rStyle w:val="FootnoteReference"/>
        </w:rPr>
        <w:footnoteRef/>
      </w:r>
      <w:r>
        <w:t xml:space="preserve"> </w:t>
      </w:r>
      <w:r>
        <w:fldChar w:fldCharType="begin"/>
      </w:r>
      <w:r w:rsidR="00761BF1">
        <w:instrText xml:space="preserve"> ADDIN ZOTERO_ITEM CSL_CITATION {"citationID":"ZIETDwdi","properties":{"formattedCitation":"Ibid., 377.","plainCitation":"Ibid., 377.","noteIndex":23},"citationItems":[{"id":2620,"uris":["http://zotero.org/users/9147288/items/9CKYVKPF"],"itemData":{"id":2620,"type":"article-journal","container-title":"Great books of the Western world","note":"ISBN: 0852295316\npublisher: Encyclopaedia Britannica, Inc.","title":"The Eclogues","author":[{"family":"Vergilius Maro","given":"Publius"},{"family":"Goetz","given":"Philip W."}],"issued":{"date-parts":[["1990"]]}},"locator":"377"}],"schema":"https://github.com/citation-style-language/schema/raw/master/csl-citation.json"} </w:instrText>
      </w:r>
      <w:r>
        <w:fldChar w:fldCharType="separate"/>
      </w:r>
      <w:r w:rsidRPr="00733A08">
        <w:t xml:space="preserve">Ibid., </w:t>
      </w:r>
      <w:r w:rsidR="00C70417">
        <w:t>p.</w:t>
      </w:r>
      <w:r w:rsidRPr="00733A08">
        <w:t>377.</w:t>
      </w:r>
      <w:r>
        <w:fldChar w:fldCharType="end"/>
      </w:r>
    </w:p>
  </w:footnote>
  <w:footnote w:id="27">
    <w:p w14:paraId="0EED58E2" w14:textId="6BA9CD86" w:rsidR="00A70E8D" w:rsidRPr="00A70E8D" w:rsidRDefault="00A70E8D">
      <w:pPr>
        <w:pStyle w:val="FootnoteText"/>
        <w:rPr>
          <w:lang w:val="en-AU"/>
        </w:rPr>
      </w:pPr>
      <w:r>
        <w:rPr>
          <w:rStyle w:val="FootnoteReference"/>
        </w:rPr>
        <w:footnoteRef/>
      </w:r>
      <w:r>
        <w:t xml:space="preserve"> </w:t>
      </w:r>
      <w:r>
        <w:fldChar w:fldCharType="begin"/>
      </w:r>
      <w:r w:rsidR="00C70E2B">
        <w:instrText xml:space="preserve"> ADDIN ZOTERO_ITEM CSL_CITATION {"citationID":"zgTMSYLH","properties":{"formattedCitation":"DeWitt 1918; Gass 1930; Rendall 2014.","plainCitation":"DeWitt 1918; Gass 1930; Rendall 2014.","noteIndex":7},"citationItems":[{"id":2590,"uris":["http://zotero.org/users/9147288/items/5HEYXX9G"],"itemData":{"id":2590,"type":"article-journal","container-title":"The Classical Journal","ISSN":"0009-8353","issue":"8","note":"publisher: The Classical Association of the Middle West and South","page":"600-606","source":"JSTOR","title":"Virgil and Apocalyptic Literature","volume":"13","author":[{"family":"DeWitt","given":"Norman W."}],"issued":{"date-parts":[["1918"]]}}},{"id":2594,"uris":["http://zotero.org/users/9147288/items/W9C9FLZK"],"itemData":{"id":2594,"type":"article-journal","archive":"JSTOR","container-title":"The Sewanee Review","ISSN":"00373052, 1934421X","issue":"4","note":"publisher: Johns Hopkins University Press","page":"422-439","title":"Roman Virgil","volume":"38","author":[{"family":"Gass","given":"H. M."}],"issued":{"date-parts":[["1930"]]}}},{"id":2596,"uris":["http://zotero.org/users/9147288/items/GCCRNMBY"],"itemData":{"id":2596,"type":"article-journal","archive":"JSTOR","container-title":"Italica","ISSN":"00213020","issue":"2","note":"publisher: American Association of Teachers of Italian","page":"125-144","title":"\"Natura Non Sal tum Facit\": Virgil's Telepathy in the \"Commedia\" Reconsidered","volume":"91","author":[{"family":"Rendall","given":"Thomas"}],"issued":{"date-parts":[["2014"]]}}}],"schema":"https://github.com/citation-style-language/schema/raw/master/csl-citation.json"} </w:instrText>
      </w:r>
      <w:r>
        <w:fldChar w:fldCharType="separate"/>
      </w:r>
      <w:r w:rsidR="00C70E2B" w:rsidRPr="00C70E2B">
        <w:t>DeWitt</w:t>
      </w:r>
      <w:r w:rsidR="00C70417">
        <w:t>,</w:t>
      </w:r>
      <w:r w:rsidR="00C70E2B" w:rsidRPr="00C70E2B">
        <w:t xml:space="preserve"> 1918; </w:t>
      </w:r>
      <w:proofErr w:type="spellStart"/>
      <w:r w:rsidR="00C70E2B" w:rsidRPr="00C70E2B">
        <w:t>Gass</w:t>
      </w:r>
      <w:proofErr w:type="spellEnd"/>
      <w:r w:rsidR="00C70417">
        <w:t>,</w:t>
      </w:r>
      <w:r w:rsidR="00C70E2B" w:rsidRPr="00C70E2B">
        <w:t xml:space="preserve"> 1930; Rendall</w:t>
      </w:r>
      <w:r w:rsidR="00C70417">
        <w:t>,</w:t>
      </w:r>
      <w:r w:rsidR="00C70E2B" w:rsidRPr="00C70E2B">
        <w:t xml:space="preserve"> 2014.</w:t>
      </w:r>
      <w:r>
        <w:fldChar w:fldCharType="end"/>
      </w:r>
    </w:p>
  </w:footnote>
  <w:footnote w:id="28">
    <w:p w14:paraId="4276BDF3" w14:textId="0EDC493B" w:rsidR="009A43D4" w:rsidRPr="009A43D4" w:rsidRDefault="009A43D4">
      <w:pPr>
        <w:pStyle w:val="FootnoteText"/>
        <w:rPr>
          <w:lang w:val="en-AU"/>
        </w:rPr>
      </w:pPr>
      <w:r>
        <w:rPr>
          <w:rStyle w:val="FootnoteReference"/>
        </w:rPr>
        <w:footnoteRef/>
      </w:r>
      <w:r>
        <w:t xml:space="preserve"> </w:t>
      </w:r>
      <w:r>
        <w:fldChar w:fldCharType="begin"/>
      </w:r>
      <w:r w:rsidR="0062050F">
        <w:instrText xml:space="preserve"> ADDIN ZOTERO_ITEM CSL_CITATION {"citationID":"coNBc202","properties":{"formattedCitation":"Vergilius 1810, 14\\uc0\\u8211{}5.","plainCitation":"Vergilius 1810, 14–5.","noteIndex":28},"citationItems":[{"id":2599,"uris":["http://zotero.org/users/9147288/items/THJ8FNEI"],"itemData":{"id":2599,"type":"book","language":"en","note":"Google-Books-ID: qppDAAAAcAAJ","number-of-pages":"424","publisher":"J. Sharpe","source":"Google Books","title":"The Works of Virgil","author":[{"family":"Vergilius","given":"Publius Maro"}],"issued":{"date-parts":[["1810"]]}},"locator":"14-5"}],"schema":"https://github.com/citation-style-language/schema/raw/master/csl-citation.json"} </w:instrText>
      </w:r>
      <w:r>
        <w:fldChar w:fldCharType="separate"/>
      </w:r>
      <w:r w:rsidRPr="009A43D4">
        <w:t>Vergilius</w:t>
      </w:r>
      <w:r w:rsidR="00C70417">
        <w:t>,</w:t>
      </w:r>
      <w:r w:rsidRPr="009A43D4">
        <w:t xml:space="preserve"> 1810, </w:t>
      </w:r>
      <w:r w:rsidR="00C70417">
        <w:t>pp.</w:t>
      </w:r>
      <w:r w:rsidRPr="009A43D4">
        <w:t>14–5.</w:t>
      </w:r>
      <w:r>
        <w:fldChar w:fldCharType="end"/>
      </w:r>
    </w:p>
  </w:footnote>
  <w:footnote w:id="29">
    <w:p w14:paraId="71D1B837" w14:textId="349FA267" w:rsidR="007B4717" w:rsidRPr="007B4717" w:rsidRDefault="007B4717">
      <w:pPr>
        <w:pStyle w:val="FootnoteText"/>
        <w:rPr>
          <w:lang w:val="en-AU"/>
        </w:rPr>
      </w:pPr>
      <w:r>
        <w:rPr>
          <w:rStyle w:val="FootnoteReference"/>
        </w:rPr>
        <w:footnoteRef/>
      </w:r>
      <w:r>
        <w:t xml:space="preserve"> </w:t>
      </w:r>
      <w:r>
        <w:fldChar w:fldCharType="begin"/>
      </w:r>
      <w:r w:rsidR="0062050F">
        <w:instrText xml:space="preserve"> ADDIN ZOTERO_ITEM CSL_CITATION {"citationID":"15BpAl4f","properties":{"formattedCitation":"Volk 2008.","plainCitation":"Volk 2008.","noteIndex":29},"citationItems":[{"id":2597,"uris":["http://zotero.org/users/9147288/items/PCIR8T2P"],"itemData":{"id":2597,"type":"book","abstract":"\"This volume collects ten classic papers on the Eclogues, written between 1975 and 1999 by leading scholars from the UK, the USA, Germany, and Italy, and is meant as an invitation to (re)discover Vergil's earliest poems through recent developments in Vergilian criticism. The contributions treat general issues that the work raises (Ernst A. Schmidt discusses the nature of the Eclogues' 'Arcadia'; R. G. M. Nisbet and Lorenz Rumpf consider Vergil's bucolic language; and Seamus Heaney explores the continuing relevance of the pastoral mode in modern times) as well as individual poems (there are specific discussions of Eclogues 1-3 by Thomas K. Hubbard, 1 by Christine G. Perkell, 3 by John Henderson, 4 by R. G. M. Nisbet, 6 by David O. Ross, Jr., and 10 by Gian Biagio Conte). As an introduction to contemporary scholarship on the Eclogues, the book will be helpful to students who are encountering the poems for the first time, while also serving as a reference work for more seasoned scholars.\" --Book Jacket.","ISBN":"978-0-19-920293-5","language":"en","note":"Google-Books-ID: iYsSDAAAQBAJ","number-of-pages":"302","publisher":"Oxford University Press","source":"Google Books","title":"Vergil's Eclogues. Edited by Katharina Volk","author":[{"family":"Volk","given":"Katharina"}],"issued":{"date-parts":[["2008",8,21]]}}}],"schema":"https://github.com/citation-style-language/schema/raw/master/csl-citation.json"} </w:instrText>
      </w:r>
      <w:r>
        <w:fldChar w:fldCharType="separate"/>
      </w:r>
      <w:r w:rsidRPr="007B4717">
        <w:t>Volk</w:t>
      </w:r>
      <w:r w:rsidR="00C70417">
        <w:t>,</w:t>
      </w:r>
      <w:r w:rsidRPr="007B4717">
        <w:t xml:space="preserve"> 2008.</w:t>
      </w:r>
      <w:r>
        <w:fldChar w:fldCharType="end"/>
      </w:r>
    </w:p>
  </w:footnote>
  <w:footnote w:id="30">
    <w:p w14:paraId="1C9FD431" w14:textId="6B2610AC" w:rsidR="00A04E2F" w:rsidRPr="00A04E2F" w:rsidRDefault="00A04E2F">
      <w:pPr>
        <w:pStyle w:val="FootnoteText"/>
        <w:rPr>
          <w:lang w:val="en-AU"/>
        </w:rPr>
      </w:pPr>
      <w:r>
        <w:rPr>
          <w:rStyle w:val="FootnoteReference"/>
        </w:rPr>
        <w:footnoteRef/>
      </w:r>
      <w:r>
        <w:t xml:space="preserve"> </w:t>
      </w:r>
      <w:r>
        <w:fldChar w:fldCharType="begin"/>
      </w:r>
      <w:r>
        <w:instrText xml:space="preserve"> ADDIN ZOTERO_ITEM CSL_CITATION {"citationID":"Zreq4GMI","properties":{"formattedCitation":"K\\uc0\\u246{}stenberger, Kellum, and Quarles 2012.","plainCitation":"Köstenberger, Kellum, and Quarles 2012.","noteIndex":10},"citationItems":[{"id":2601,"uris":["http://zotero.org/users/9147288/items/L5ANCEME"],"itemData":{"id":2601,"type":"book","abstract":"Engaging and accessible, The Lion and the Lamb is an ideal resource for college students and others interested in knowing the essentials of each New Testament book. A concise summary of The Cradle, the Cross, and the Crown -- the acclaimed New Testament introduction by the same authors -- this volume sets a new standard for high-level, up-to-date research presented in a core knowledge format that is practical, relevant, and easy to follow.Part One features chapters on the nature of Scripture and the religious and political background of the New Testament. Part Two covers the Gospels in the canonical order, Matthew, Mark, Luke, and John. Part Three uses Acts as the framework for treating Paul’s letters in chronological written order: Galatians, 1-2 Thessalonians, 1-2 Corinthians, Romans, and the Prison and Pastoral Epistles (Philippians, Ephesians, Colossians, Philemon, and 1-2 Timothy and Titus, respectively). Part Four includes discussions of the General Epistles (Hebrews, James, 1-2 Peter, 1-3 John, Jude) and Revelation.Each chapter clearly discusses the book’s key facts, contribution to the canon, historical setting, literary features, and theological message. In all, The Lion and the Lamb makes this learning exciting and rewarding.","ISBN":"978-1-4336-7748-9","language":"en","note":"Google-Books-ID: 90O5AwAAQBAJ","number-of-pages":"460","publisher":"B&amp;H Publishing Group","source":"Google Books","title":"The Lion and the Lamb","author":[{"family":"Köstenberger","given":"Andreas J."},{"family":"Kellum","given":"L. Scott"},{"family":"Quarles","given":"Charles L."}],"issued":{"date-parts":[["2012",7,15]]}}}],"schema":"https://github.com/citation-style-language/schema/raw/master/csl-citation.json"} </w:instrText>
      </w:r>
      <w:r>
        <w:fldChar w:fldCharType="separate"/>
      </w:r>
      <w:r w:rsidRPr="00A04E2F">
        <w:t>Köstenberger, Kellum, and Quarles</w:t>
      </w:r>
      <w:r w:rsidR="00C70417">
        <w:t>,</w:t>
      </w:r>
      <w:r w:rsidRPr="00A04E2F">
        <w:t xml:space="preserve"> 2012.</w:t>
      </w:r>
      <w:r>
        <w:fldChar w:fldCharType="end"/>
      </w:r>
    </w:p>
  </w:footnote>
  <w:footnote w:id="31">
    <w:p w14:paraId="0568D524" w14:textId="62D560F5" w:rsidR="00520C55" w:rsidRPr="00520C55" w:rsidRDefault="00520C55">
      <w:pPr>
        <w:pStyle w:val="FootnoteText"/>
        <w:rPr>
          <w:lang w:val="en-AU"/>
        </w:rPr>
      </w:pPr>
      <w:r>
        <w:rPr>
          <w:rStyle w:val="FootnoteReference"/>
        </w:rPr>
        <w:footnoteRef/>
      </w:r>
      <w:r>
        <w:t xml:space="preserve"> </w:t>
      </w:r>
      <w:r>
        <w:fldChar w:fldCharType="begin"/>
      </w:r>
      <w:r w:rsidR="000F5D79">
        <w:instrText xml:space="preserve"> ADDIN ZOTERO_ITEM CSL_CITATION {"citationID":"QipUtw9n","properties":{"formattedCitation":"Bourne 1916; Austin 1927.","plainCitation":"Bourne 1916; Austin 1927.","noteIndex":11},"citationItems":[{"id":2604,"uris":["http://zotero.org/users/9147288/items/3MGCWI6W"],"itemData":{"id":2604,"type":"article-journal","container-title":"The Classical Journal","ISSN":"0009-8353","issue":"7","note":"publisher: The Classical Association of the Middle West and South","page":"390-400","source":"JSTOR","title":"The Messianic Prophecy in Vergil's Fourth Eclogue","volume":"11","author":[{"family":"Bourne","given":"Ella"}],"issued":{"date-parts":[["1916"]]}}},{"id":2606,"uris":["http://zotero.org/users/9147288/items/UDJSBN85"],"itemData":{"id":2606,"type":"article-journal","abstract":"If the Bucolics as a whole ‘ look on us with dark enigmatical eyes,’ for long no more impenetrable darkness and no more compelling enigma could be found than that of the fourth poem in the collection. But Skutsch, the authors of Virgil's Messianic Eclogue, and more recently Mr. Royds in his Virgil and Isaiah, have done much to solve its many mysteries. Their efforts, however, were mainly directed towards the problems of fact contained in the Eclogue, and so far little attention seems to have been given to an equally interesting point, that of its metrical arrangement. It is plain that we must consult the Sibyll for help: if it is not plain, that is not Virgil's fault. I hope to be able to show here that Virgil himself has left in this poem certain unmistakeable signs for those who have eyes to see and ears to hear, besides his own rather casual reference to the Cumaeum carmen, and incidentally to dispose anew of the theory which reads in that expression an allusion not to the Sibyl but to Hesiod.","container-title":"The Classical Quarterly","DOI":"10.1017/S0009838800001130","ISSN":"1471-6844, 0009-8388","issue":"2","language":"en","note":"publisher: Cambridge University Press","page":"100-105","source":"Cambridge University Press","title":"Virgil and The Sibyl","volume":"21","author":[{"family":"Austin","given":"Roland G."}],"issued":{"date-parts":[["1927",4]]}}}],"schema":"https://github.com/citation-style-language/schema/raw/master/csl-citation.json"} </w:instrText>
      </w:r>
      <w:r>
        <w:fldChar w:fldCharType="separate"/>
      </w:r>
      <w:proofErr w:type="spellStart"/>
      <w:r w:rsidR="000F5D79" w:rsidRPr="000F5D79">
        <w:t>Bourne</w:t>
      </w:r>
      <w:proofErr w:type="spellEnd"/>
      <w:r w:rsidR="00C70417">
        <w:t>,</w:t>
      </w:r>
      <w:r w:rsidR="000F5D79" w:rsidRPr="000F5D79">
        <w:t xml:space="preserve"> 1916; Austin</w:t>
      </w:r>
      <w:r w:rsidR="00C70417">
        <w:t>,</w:t>
      </w:r>
      <w:r w:rsidR="000F5D79" w:rsidRPr="000F5D79">
        <w:t xml:space="preserve"> 1927.</w:t>
      </w:r>
      <w:r>
        <w:fldChar w:fldCharType="end"/>
      </w:r>
    </w:p>
  </w:footnote>
  <w:footnote w:id="32">
    <w:p w14:paraId="4E293F09" w14:textId="2EF58959" w:rsidR="004F524F" w:rsidRPr="004F524F" w:rsidRDefault="004F524F">
      <w:pPr>
        <w:pStyle w:val="FootnoteText"/>
        <w:rPr>
          <w:lang w:val="en-AU"/>
        </w:rPr>
      </w:pPr>
      <w:r>
        <w:rPr>
          <w:rStyle w:val="FootnoteReference"/>
        </w:rPr>
        <w:footnoteRef/>
      </w:r>
      <w:r>
        <w:t xml:space="preserve"> </w:t>
      </w:r>
      <w:r>
        <w:fldChar w:fldCharType="begin"/>
      </w:r>
      <w:r>
        <w:instrText xml:space="preserve"> ADDIN ZOTERO_ITEM CSL_CITATION {"citationID":"UwIgjI5f","properties":{"formattedCitation":"Briggs 1980.","plainCitation":"Briggs 1980.","noteIndex":11},"citationItems":[{"id":2603,"uris":["http://zotero.org/users/9147288/items/K4DFC3U9"],"itemData":{"id":2603,"type":"book","ISBN":"978-90-04-32775-7","note":"DOI: 10.1163/9789004327757","publisher":"BRILL","source":"DOI.org (Crossref)","title":"Narrative and simile from the &lt;i&gt;Georgics&lt;/i&gt; in the &lt;i&gt;Aeneid&lt;/i&gt;","URL":"https://brill.com/view/title/2896","author":[{"family":"Briggs","given":"Ward"}],"accessed":{"date-parts":[["2022",4,16]]},"issued":{"date-parts":[["1980",1,1]]}}}],"schema":"https://github.com/citation-style-language/schema/raw/master/csl-citation.json"} </w:instrText>
      </w:r>
      <w:r>
        <w:fldChar w:fldCharType="separate"/>
      </w:r>
      <w:r w:rsidRPr="004F524F">
        <w:t>Briggs</w:t>
      </w:r>
      <w:r w:rsidR="00C70417">
        <w:t>,</w:t>
      </w:r>
      <w:r w:rsidRPr="004F524F">
        <w:t xml:space="preserve"> 1980.</w:t>
      </w:r>
      <w:r>
        <w:fldChar w:fldCharType="end"/>
      </w:r>
    </w:p>
  </w:footnote>
  <w:footnote w:id="33">
    <w:p w14:paraId="5656A2CF" w14:textId="4B4F50E7" w:rsidR="00D77B78" w:rsidRPr="00D77B78" w:rsidRDefault="00D77B78">
      <w:pPr>
        <w:pStyle w:val="FootnoteText"/>
        <w:rPr>
          <w:lang w:val="en-AU"/>
        </w:rPr>
      </w:pPr>
      <w:r>
        <w:rPr>
          <w:rStyle w:val="FootnoteReference"/>
        </w:rPr>
        <w:footnoteRef/>
      </w:r>
      <w:r>
        <w:t xml:space="preserve"> </w:t>
      </w:r>
      <w:r>
        <w:fldChar w:fldCharType="begin"/>
      </w:r>
      <w:r>
        <w:instrText xml:space="preserve"> ADDIN ZOTERO_ITEM CSL_CITATION {"citationID":"CwtxKTkz","properties":{"formattedCitation":"Horsley 2008, 62\\uc0\\u8211{}3.","plainCitation":"Horsley 2008, 62–3.","noteIndex":13},"citationItems":[{"id":2610,"uris":["http://zotero.org/users/9147288/items/74NMJM2U"],"itemData":{"id":2610,"type":"book","abstract":"The Bible tells the stories of many empires, and many are still considered some of the largest of the ancient and classical world: the Assyrians, the Babylonians, the Persians, the Greeks, and finally the Romans. In this provocative book, nine experts bring a critical analysis of these world empires in the background of the Old and New Testaments. As they explain, the Bible developedagainstthe context of these empires, providing concrete meaning to the countercultural claims of Jews and Christians that their God was the true King, the real Emperor. Each chapter describes how to read the Bible as a reaction to empire and points to how to respond to the biblical message to resist imperial powers in every age.","ISBN":"978-0-664-23232-0","language":"en","note":"Google-Books-ID: PjmeOZTi2OwC","number-of-pages":"210","publisher":"Westminster John Knox Press","source":"Google Books","title":"In the Shadow of Empire: Reclaiming the Bible as a History of Faithful Resistance","title-short":"In the Shadow of Empire","author":[{"family":"Horsley","given":"Richard A."}],"issued":{"date-parts":[["2008",1,1]]}},"locator":"62-3"}],"schema":"https://github.com/citation-style-language/schema/raw/master/csl-citation.json"} </w:instrText>
      </w:r>
      <w:r>
        <w:fldChar w:fldCharType="separate"/>
      </w:r>
      <w:r w:rsidRPr="00D77B78">
        <w:t>Horsley</w:t>
      </w:r>
      <w:r w:rsidR="00C70417">
        <w:t>,</w:t>
      </w:r>
      <w:r w:rsidRPr="00D77B78">
        <w:t xml:space="preserve"> 2008, </w:t>
      </w:r>
      <w:r w:rsidR="00C70417">
        <w:t>pp.</w:t>
      </w:r>
      <w:r w:rsidRPr="00D77B78">
        <w:t>62–3.</w:t>
      </w:r>
      <w:r>
        <w:fldChar w:fldCharType="end"/>
      </w:r>
    </w:p>
  </w:footnote>
  <w:footnote w:id="34">
    <w:p w14:paraId="26383681" w14:textId="2533FFEC" w:rsidR="00C540FF" w:rsidRPr="00C540FF" w:rsidRDefault="00C540FF">
      <w:pPr>
        <w:pStyle w:val="FootnoteText"/>
        <w:rPr>
          <w:lang w:val="en-AU"/>
        </w:rPr>
      </w:pPr>
      <w:r>
        <w:rPr>
          <w:rStyle w:val="FootnoteReference"/>
        </w:rPr>
        <w:footnoteRef/>
      </w:r>
      <w:r>
        <w:t xml:space="preserve"> </w:t>
      </w:r>
      <w:r>
        <w:fldChar w:fldCharType="begin"/>
      </w:r>
      <w:r w:rsidR="0062050F">
        <w:instrText xml:space="preserve"> ADDIN ZOTERO_ITEM CSL_CITATION {"citationID":"j1JU0hwx","properties":{"formattedCitation":"Mezei 2013; Volk 2008; Vergilius 1810.","plainCitation":"Mezei 2013; Volk 2008; Vergilius 1810.","noteIndex":34},"citationItems":[{"id":2612,"uris":["http://zotero.org/users/9147288/items/JW8GY4WN"],"itemData":{"id":2612,"type":"article-journal","abstract":"In this paper I investigate the tradition of “philosophy” and “philosopher” with respect to their importance in Christianity. I argue that the meaning of the traditional notion of philosophy as an abstract science has importantly changed. The reason for this is that the “cosmo-theological” character of traditional philosophy proved to be untenable. If this pattern is not valid in our days, then the question arises if the role of philosophy, as conceived during the Christian centuries, can be continued in and beyond our age. My answer has two aspects: on the one hand, the cosmo-theological character of philosophy needs to be explored or “demythologized;” on the other hand, Christian thought still has the potential to open itself to a future renewal. Thinking philosophically is a fundamental human feature, and I suggest that “trying to become wise,” the striving for the discovery and realization of the meaningfulness of reality is still the main concern of human beings reflecting on their historical existence today. In this sense, the encyclical letter of Fides et ratio by John Paul II offers guidance, inasmuch as its author calls for “courage” in thinking. Following this call, the present paper contends that the three mains tasks of a Christian philosophy today are as follows: 1. A sufficient understanding of the tradition determined by cosmo-theology; 2. A sufficient understanding of the importance of the trauma of totalitarianism of the twentieth century as the dividing line between tradition and contemporary reflections; and 3. A sufficient understanding of human beings striving to grasp the meaning of personhood in an open universe on the basis of the meaningfulness of reality.","container-title":"Logos i Ethos","DOI":"10.15633/lie.156","ISSN":"2391-6834","issue":"2","language":"en","note":"number: 2","page":"109-146","source":"czasopisma.upjp2.edu.pl","title":"Demythologizing Christian Philosophy: An Outline","title-short":"Demythologizing Christian Philosophy","volume":"35","author":[{"family":"Mezei","given":"Balázs M."}],"issued":{"date-parts":[["2013"]]}}},{"id":2597,"uris":["http://zotero.org/users/9147288/items/PCIR8T2P"],"itemData":{"id":2597,"type":"book","abstract":"\"This volume collects ten classic papers on the Eclogues, written between 1975 and 1999 by leading scholars from the UK, the USA, Germany, and Italy, and is meant as an invitation to (re)discover Vergil's earliest poems through recent developments in Vergilian criticism. The contributions treat general issues that the work raises (Ernst A. Schmidt discusses the nature of the Eclogues' 'Arcadia'; R. G. M. Nisbet and Lorenz Rumpf consider Vergil's bucolic language; and Seamus Heaney explores the continuing relevance of the pastoral mode in modern times) as well as individual poems (there are specific discussions of Eclogues 1-3 by Thomas K. Hubbard, 1 by Christine G. Perkell, 3 by John Henderson, 4 by R. G. M. Nisbet, 6 by David O. Ross, Jr., and 10 by Gian Biagio Conte). As an introduction to contemporary scholarship on the Eclogues, the book will be helpful to students who are encountering the poems for the first time, while also serving as a reference work for more seasoned scholars.\" --Book Jacket.","ISBN":"978-0-19-920293-5","language":"en","note":"Google-Books-ID: iYsSDAAAQBAJ","number-of-pages":"302","publisher":"Oxford University Press","source":"Google Books","title":"Vergil's Eclogues. Edited by Katharina Volk","author":[{"family":"Volk","given":"Katharina"}],"issued":{"date-parts":[["2008",8,21]]}}},{"id":2599,"uris":["http://zotero.org/users/9147288/items/THJ8FNEI"],"itemData":{"id":2599,"type":"book","language":"en","note":"Google-Books-ID: qppDAAAAcAAJ","number-of-pages":"424","publisher":"J. Sharpe","source":"Google Books","title":"The Works of Virgil","author":[{"family":"Vergilius","given":"Publius Maro"}],"issued":{"date-parts":[["1810"]]}}}],"schema":"https://github.com/citation-style-language/schema/raw/master/csl-citation.json"} </w:instrText>
      </w:r>
      <w:r>
        <w:fldChar w:fldCharType="separate"/>
      </w:r>
      <w:proofErr w:type="spellStart"/>
      <w:r w:rsidR="00676FE5" w:rsidRPr="00676FE5">
        <w:t>Mezei</w:t>
      </w:r>
      <w:proofErr w:type="spellEnd"/>
      <w:r w:rsidR="00C70417">
        <w:t>,</w:t>
      </w:r>
      <w:r w:rsidR="00676FE5" w:rsidRPr="00676FE5">
        <w:t xml:space="preserve"> 2013; Volk</w:t>
      </w:r>
      <w:r w:rsidR="00C70417">
        <w:t>,</w:t>
      </w:r>
      <w:r w:rsidR="00676FE5" w:rsidRPr="00676FE5">
        <w:t xml:space="preserve"> 2008; Vergilius</w:t>
      </w:r>
      <w:r w:rsidR="00C70417">
        <w:t>,</w:t>
      </w:r>
      <w:r w:rsidR="00676FE5" w:rsidRPr="00676FE5">
        <w:t xml:space="preserve"> 1810.</w:t>
      </w:r>
      <w:r>
        <w:fldChar w:fldCharType="end"/>
      </w:r>
    </w:p>
  </w:footnote>
  <w:footnote w:id="35">
    <w:p w14:paraId="363FBC1E" w14:textId="56EDD8D9" w:rsidR="00721D3B" w:rsidRPr="00721D3B" w:rsidRDefault="00721D3B">
      <w:pPr>
        <w:pStyle w:val="FootnoteText"/>
        <w:rPr>
          <w:lang w:val="en-AU"/>
        </w:rPr>
      </w:pPr>
      <w:r>
        <w:rPr>
          <w:rStyle w:val="FootnoteReference"/>
        </w:rPr>
        <w:footnoteRef/>
      </w:r>
      <w:r>
        <w:t xml:space="preserve"> </w:t>
      </w:r>
      <w:r>
        <w:fldChar w:fldCharType="begin"/>
      </w:r>
      <w:r>
        <w:instrText xml:space="preserve"> ADDIN ZOTERO_ITEM CSL_CITATION {"citationID":"v7xWo9uR","properties":{"formattedCitation":"Dorcey 1992.","plainCitation":"Dorcey 1992.","noteIndex":15},"citationItems":[{"id":2618,"uris":["http://zotero.org/users/9147288/items/JB4HGRJN"],"itemData":{"id":2618,"type":"book","abstract":"This book will interest students of Roman history, comparative religion, Latin epigraphy and folklore. The author collects and analyzes the enormous epigraphic and archaeological evidence for the cult of Silvanus, the Roman god of agriculture and forests. Silvanus is an important focus of investigation because his private and popular character sets him apart from other deities of the state pantheon.Six chapters and a conclusion trace the origin, spread, development and final suppression of the cult. Silvanus' nature as a Roman god and his identification with indigenous deities in the provinces are carefully examined. The evidence for temples, priests, collegia and sacred groves is presented along with a detailed treatment of the god's adherents and iconography.This study adds to our imperfect knowledge of Roman domestic religion as practised by the lower classes. It challenges the widely-held view that private cult was somehow subordinate or inferior to civic paganism.","ISBN":"978-90-04-09601-1","language":"en","note":"Google-Books-ID: 1YzWMQecwH4C","number-of-pages":"244","publisher":"BRILL","source":"Google Books","title":"The Cult of Silvanus: A Study in Roman Folk Religion","title-short":"The Cult of Silvanus","author":[{"family":"Dorcey","given":"Peter F."}],"issued":{"date-parts":[["1992"]]}}}],"schema":"https://github.com/citation-style-language/schema/raw/master/csl-citation.json"} </w:instrText>
      </w:r>
      <w:r>
        <w:fldChar w:fldCharType="separate"/>
      </w:r>
      <w:proofErr w:type="spellStart"/>
      <w:r w:rsidRPr="00721D3B">
        <w:t>Dorcey</w:t>
      </w:r>
      <w:proofErr w:type="spellEnd"/>
      <w:r w:rsidR="00C70417">
        <w:t>,</w:t>
      </w:r>
      <w:r w:rsidRPr="00721D3B">
        <w:t xml:space="preserve"> 1992.</w:t>
      </w:r>
      <w:r>
        <w:fldChar w:fldCharType="end"/>
      </w:r>
    </w:p>
  </w:footnote>
  <w:footnote w:id="36">
    <w:p w14:paraId="63196612" w14:textId="7DA4EE0C" w:rsidR="00C66ECC" w:rsidRPr="00C66ECC" w:rsidRDefault="00C66ECC">
      <w:pPr>
        <w:pStyle w:val="FootnoteText"/>
        <w:rPr>
          <w:lang w:val="en-AU"/>
        </w:rPr>
      </w:pPr>
      <w:r>
        <w:rPr>
          <w:rStyle w:val="FootnoteReference"/>
        </w:rPr>
        <w:footnoteRef/>
      </w:r>
      <w:r>
        <w:t xml:space="preserve"> </w:t>
      </w:r>
      <w:r>
        <w:fldChar w:fldCharType="begin"/>
      </w:r>
      <w:r>
        <w:instrText xml:space="preserve"> ADDIN ZOTERO_ITEM CSL_CITATION {"citationID":"yCs9g7Xu","properties":{"formattedCitation":"Daly and Rengel 2009.","plainCitation":"Daly and Rengel 2009.","noteIndex":15},"citationItems":[{"id":2616,"uris":["http://zotero.org/users/9147288/items/34BSALGA"],"itemData":{"id":2616,"type":"book","abstract":"According to many scholars, ancient Greece and Rome provided the foundations of Western culture. More than two millennia later, myths of both civilizations are still being studied for their rich storytelling and insight into the cultures that spawned them. This title illuminates the mythology at the core of those civilizations' beliefs.","ISBN":"978-1-4381-2800-9","language":"en","number-of-pages":"177","publisher":"Infobase Publishing","source":"Google Books","title":"Greek and Roman Mythology, A to Z","author":[{"family":"Daly","given":"Kathleen N."},{"family":"Rengel","given":"Marian"}],"issued":{"date-parts":[["2009"]]}}}],"schema":"https://github.com/citation-style-language/schema/raw/master/csl-citation.json"} </w:instrText>
      </w:r>
      <w:r>
        <w:fldChar w:fldCharType="separate"/>
      </w:r>
      <w:r w:rsidRPr="00C66ECC">
        <w:t xml:space="preserve">Daly and </w:t>
      </w:r>
      <w:proofErr w:type="spellStart"/>
      <w:r w:rsidRPr="00C66ECC">
        <w:t>Rengel</w:t>
      </w:r>
      <w:proofErr w:type="spellEnd"/>
      <w:r w:rsidR="00C70417">
        <w:t>,</w:t>
      </w:r>
      <w:r w:rsidRPr="00C66ECC">
        <w:t xml:space="preserve"> 2009.</w:t>
      </w:r>
      <w:r>
        <w:fldChar w:fldCharType="end"/>
      </w:r>
    </w:p>
  </w:footnote>
  <w:footnote w:id="37">
    <w:p w14:paraId="456FD094" w14:textId="4C5F908E" w:rsidR="00046E22" w:rsidRPr="00046E22" w:rsidRDefault="00046E22">
      <w:pPr>
        <w:pStyle w:val="FootnoteText"/>
        <w:rPr>
          <w:lang w:val="en-AU"/>
        </w:rPr>
      </w:pPr>
      <w:r>
        <w:rPr>
          <w:rStyle w:val="FootnoteReference"/>
        </w:rPr>
        <w:footnoteRef/>
      </w:r>
      <w:r>
        <w:t xml:space="preserve"> </w:t>
      </w:r>
      <w:r>
        <w:fldChar w:fldCharType="begin"/>
      </w:r>
      <w:r>
        <w:instrText xml:space="preserve"> ADDIN ZOTERO_ITEM CSL_CITATION {"citationID":"SPM2bFS3","properties":{"formattedCitation":"Ligt and Northwood 2008, 34, 576.","plainCitation":"Ligt and Northwood 2008, 34, 576.","noteIndex":15},"citationItems":[{"id":2614,"uris":["http://zotero.org/users/9147288/items/G9DM4EVR"],"itemData":{"id":2614,"type":"book","abstract":"Recent research has called into question the orthodox view that the last two centuries of the Roman Republic witnessed a decline of the free rural population. Yet the implications of the alternative reconstructions of Italy's demographic history that have been proposed have never been explored systematically. This volume offers a series of in-depth discussions not only of the republican manpower and census figures but also of the abundant archaeological data. It also explores the growth of cities, especially Rome, and the changing distribution of the population over the Italian landscape. On the rural side it addresses the interplay between demographic, economic, and legal developments and the background to the Gracchan land reforms. Finally it examines the political implications of demographic growth and large-scale migration to the provinces. The volume as a whole demonstrates that demography is the key to many aspects of Italy's economic, social, military, and political history.","ISBN":"978-90-04-17118-3","language":"en","note":"Google-Books-ID: 4toKjuTLOQUC","number-of-pages":"665","publisher":"BRILL","source":"Google Books","title":"People, Land, and Politics: Demographic Developments and the Transformation of Roman Italy 300 BC-AD 14","title-short":"People, Land, and Politics","author":[{"family":"Ligt","given":"Luuk","dropping-particle":"de"},{"family":"Northwood","given":"S. J."}],"issued":{"date-parts":[["2008"]]}},"locator":"34, 576"}],"schema":"https://github.com/citation-style-language/schema/raw/master/csl-citation.json"} </w:instrText>
      </w:r>
      <w:r>
        <w:fldChar w:fldCharType="separate"/>
      </w:r>
      <w:proofErr w:type="spellStart"/>
      <w:r w:rsidRPr="00046E22">
        <w:t>Ligt</w:t>
      </w:r>
      <w:proofErr w:type="spellEnd"/>
      <w:r w:rsidRPr="00046E22">
        <w:t xml:space="preserve"> and Northwood</w:t>
      </w:r>
      <w:r w:rsidR="00C70417">
        <w:t>,</w:t>
      </w:r>
      <w:r w:rsidRPr="00046E22">
        <w:t xml:space="preserve"> 2008, </w:t>
      </w:r>
      <w:r w:rsidR="00C70417">
        <w:t>pp.</w:t>
      </w:r>
      <w:r w:rsidRPr="00046E22">
        <w:t>34, 576.</w:t>
      </w:r>
      <w:r>
        <w:fldChar w:fldCharType="end"/>
      </w:r>
    </w:p>
  </w:footnote>
  <w:footnote w:id="38">
    <w:p w14:paraId="31FAEE47" w14:textId="1AE323F6" w:rsidR="00BE7488" w:rsidRPr="00BE7488" w:rsidRDefault="00BE7488">
      <w:pPr>
        <w:pStyle w:val="FootnoteText"/>
        <w:rPr>
          <w:lang w:val="en-AU"/>
        </w:rPr>
      </w:pPr>
      <w:r>
        <w:rPr>
          <w:rStyle w:val="FootnoteReference"/>
        </w:rPr>
        <w:footnoteRef/>
      </w:r>
      <w:r>
        <w:t xml:space="preserve"> </w:t>
      </w:r>
      <w:r>
        <w:fldChar w:fldCharType="begin"/>
      </w:r>
      <w:r w:rsidR="0062050F">
        <w:instrText xml:space="preserve"> ADDIN ZOTERO_ITEM CSL_CITATION {"citationID":"Yc1oqY2c","properties":{"formattedCitation":"Vergilius 1810.","plainCitation":"Vergilius 1810.","noteIndex":38},"citationItems":[{"id":2599,"uris":["http://zotero.org/users/9147288/items/THJ8FNEI"],"itemData":{"id":2599,"type":"book","language":"en","note":"Google-Books-ID: qppDAAAAcAAJ","number-of-pages":"424","publisher":"J. Sharpe","source":"Google Books","title":"The Works of Virgil","author":[{"family":"Vergilius","given":"Publius Maro"}],"issued":{"date-parts":[["1810"]]}}}],"schema":"https://github.com/citation-style-language/schema/raw/master/csl-citation.json"} </w:instrText>
      </w:r>
      <w:r>
        <w:fldChar w:fldCharType="separate"/>
      </w:r>
      <w:r w:rsidRPr="00BE7488">
        <w:t>Vergilius</w:t>
      </w:r>
      <w:r w:rsidR="00C70417">
        <w:t>,</w:t>
      </w:r>
      <w:r w:rsidRPr="00BE7488">
        <w:t xml:space="preserve"> 1810.</w:t>
      </w:r>
      <w:r>
        <w:fldChar w:fldCharType="end"/>
      </w:r>
    </w:p>
  </w:footnote>
  <w:footnote w:id="39">
    <w:p w14:paraId="4521A074" w14:textId="62955C84" w:rsidR="00296217" w:rsidRPr="00296217" w:rsidRDefault="00296217">
      <w:pPr>
        <w:pStyle w:val="FootnoteText"/>
        <w:rPr>
          <w:lang w:val="en-AU"/>
        </w:rPr>
      </w:pPr>
      <w:r>
        <w:rPr>
          <w:rStyle w:val="FootnoteReference"/>
        </w:rPr>
        <w:footnoteRef/>
      </w:r>
      <w:r>
        <w:t xml:space="preserve"> </w:t>
      </w:r>
      <w:r>
        <w:fldChar w:fldCharType="begin"/>
      </w:r>
      <w:r w:rsidR="00761BF1">
        <w:instrText xml:space="preserve"> ADDIN ZOTERO_ITEM CSL_CITATION {"citationID":"bZPSCltY","properties":{"formattedCitation":"Vergilius Maro and Goetz 1990, 267.","plainCitation":"Vergilius Maro and Goetz 1990, 267.","noteIndex":36},"citationItems":[{"id":2620,"uris":["http://zotero.org/users/9147288/items/9CKYVKPF"],"itemData":{"id":2620,"type":"article-journal","container-title":"Great books of the Western world","note":"ISBN: 0852295316\npublisher: Encyclopaedia Britannica, Inc.","title":"The Eclogues","author":[{"family":"Vergilius Maro","given":"Publius"},{"family":"Goetz","given":"Philip W."}],"issued":{"date-parts":[["1990"]]}},"locator":"267"}],"schema":"https://github.com/citation-style-language/schema/raw/master/csl-citation.json"} </w:instrText>
      </w:r>
      <w:r>
        <w:fldChar w:fldCharType="separate"/>
      </w:r>
      <w:r w:rsidRPr="00296217">
        <w:t>Vergilius Maro and Goetz</w:t>
      </w:r>
      <w:r w:rsidR="00C70417">
        <w:t>,</w:t>
      </w:r>
      <w:r w:rsidRPr="00296217">
        <w:t xml:space="preserve"> 1990, </w:t>
      </w:r>
      <w:r w:rsidR="00C70417">
        <w:t>p.</w:t>
      </w:r>
      <w:r w:rsidRPr="00296217">
        <w:t>267.</w:t>
      </w:r>
      <w:r>
        <w:fldChar w:fldCharType="end"/>
      </w:r>
    </w:p>
  </w:footnote>
  <w:footnote w:id="40">
    <w:p w14:paraId="004498E1" w14:textId="7A276F78" w:rsidR="006C0613" w:rsidRPr="006C0613" w:rsidRDefault="006C0613">
      <w:pPr>
        <w:pStyle w:val="FootnoteText"/>
        <w:rPr>
          <w:lang w:val="en-AU"/>
        </w:rPr>
      </w:pPr>
      <w:r>
        <w:rPr>
          <w:rStyle w:val="FootnoteReference"/>
        </w:rPr>
        <w:footnoteRef/>
      </w:r>
      <w:r>
        <w:t xml:space="preserve"> </w:t>
      </w:r>
      <w:r>
        <w:fldChar w:fldCharType="begin"/>
      </w:r>
      <w:r w:rsidR="0062050F">
        <w:instrText xml:space="preserve"> ADDIN ZOTERO_ITEM CSL_CITATION {"citationID":"FpFIMYPW","properties":{"formattedCitation":"G\\uc0\\u243{}r\\uc0\\u225{}in and Martindale 2019, 377, 436.","plainCitation":"Góráin and Martindale 2019, 377, 436.","noteIndex":40},"citationItems":[{"id":2621,"uris":["http://zotero.org/users/9147288/items/TTGUVABE"],"itemData":{"id":2621,"type":"book","abstract":"The poet Virgil remains the most significant and influential figure in Latin literature, and this expanded and updated Companion covers his life, work, and reception from antiquity to the present. The Aeneid, the Eclogues, the Georgics, and the Appendix Vergiliana are all discussed, as are art, history, politics, and philosophy; Virgil's literary style is carefully explored along with poetic traditions before and since, and chapters engage with his poems and their reception from perspectives including intertextuality, narratology, gender theory, philology and historicism. Leading authors cover topics from translations and commentaries to genre, authority, and characterisation, providing revised and updated recommendations for further reading. This volume is an accessible introduction to Virgil and his legacy for students and teachers, while also providing wide-ranging and in-depth investigations that will appeal to scholars of classical literature and other disciplines.","ISBN":"978-1-107-17018-6","language":"en","number-of-pages":"573","publisher":"Cambridge University Press","source":"Google Books","title":"The Cambridge Companion to Virgil","author":[{"family":"Góráin","given":"Fiachra Mac"},{"family":"Martindale","given":"Charles"}],"issued":{"date-parts":[["2019",4,18]]}},"locator":"377, 436"}],"schema":"https://github.com/citation-style-language/schema/raw/master/csl-citation.json"} </w:instrText>
      </w:r>
      <w:r>
        <w:fldChar w:fldCharType="separate"/>
      </w:r>
      <w:proofErr w:type="spellStart"/>
      <w:r w:rsidRPr="006C0613">
        <w:t>Góráin</w:t>
      </w:r>
      <w:proofErr w:type="spellEnd"/>
      <w:r w:rsidRPr="006C0613">
        <w:t xml:space="preserve"> and Martindale</w:t>
      </w:r>
      <w:r w:rsidR="00C70417">
        <w:t>,</w:t>
      </w:r>
      <w:r w:rsidRPr="006C0613">
        <w:t xml:space="preserve"> 2019, </w:t>
      </w:r>
      <w:r w:rsidR="00C70417">
        <w:t>pp.</w:t>
      </w:r>
      <w:r w:rsidRPr="006C0613">
        <w:t>377, 436.</w:t>
      </w:r>
      <w:r>
        <w:fldChar w:fldCharType="end"/>
      </w:r>
    </w:p>
  </w:footnote>
  <w:footnote w:id="41">
    <w:p w14:paraId="57787D12" w14:textId="4FB58F52" w:rsidR="00125835" w:rsidRPr="00125835" w:rsidRDefault="00125835">
      <w:pPr>
        <w:pStyle w:val="FootnoteText"/>
        <w:rPr>
          <w:lang w:val="en-AU"/>
        </w:rPr>
      </w:pPr>
      <w:r>
        <w:rPr>
          <w:rStyle w:val="FootnoteReference"/>
        </w:rPr>
        <w:footnoteRef/>
      </w:r>
      <w:r>
        <w:t xml:space="preserve"> </w:t>
      </w:r>
      <w:r>
        <w:fldChar w:fldCharType="begin"/>
      </w:r>
      <w:r w:rsidR="0062050F">
        <w:instrText xml:space="preserve"> ADDIN ZOTERO_ITEM CSL_CITATION {"citationID":"onv4aDFF","properties":{"formattedCitation":"Ibid., 446.","plainCitation":"Ibid., 446.","noteIndex":41},"citationItems":[{"id":2621,"uris":["http://zotero.org/users/9147288/items/TTGUVABE"],"itemData":{"id":2621,"type":"book","abstract":"The poet Virgil remains the most significant and influential figure in Latin literature, and this expanded and updated Companion covers his life, work, and reception from antiquity to the present. The Aeneid, the Eclogues, the Georgics, and the Appendix Vergiliana are all discussed, as are art, history, politics, and philosophy; Virgil's literary style is carefully explored along with poetic traditions before and since, and chapters engage with his poems and their reception from perspectives including intertextuality, narratology, gender theory, philology and historicism. Leading authors cover topics from translations and commentaries to genre, authority, and characterisation, providing revised and updated recommendations for further reading. This volume is an accessible introduction to Virgil and his legacy for students and teachers, while also providing wide-ranging and in-depth investigations that will appeal to scholars of classical literature and other disciplines.","ISBN":"978-1-107-17018-6","language":"en","number-of-pages":"573","publisher":"Cambridge University Press","source":"Google Books","title":"The Cambridge Companion to Virgil","author":[{"family":"Góráin","given":"Fiachra Mac"},{"family":"Martindale","given":"Charles"}],"issued":{"date-parts":[["2019",4,18]]}},"locator":"446"}],"schema":"https://github.com/citation-style-language/schema/raw/master/csl-citation.json"} </w:instrText>
      </w:r>
      <w:r>
        <w:fldChar w:fldCharType="separate"/>
      </w:r>
      <w:r w:rsidRPr="00125835">
        <w:t xml:space="preserve">Ibid., </w:t>
      </w:r>
      <w:r w:rsidR="00C70417">
        <w:t>p.</w:t>
      </w:r>
      <w:r w:rsidRPr="00125835">
        <w:t>446.</w:t>
      </w:r>
      <w:r>
        <w:fldChar w:fldCharType="end"/>
      </w:r>
    </w:p>
  </w:footnote>
  <w:footnote w:id="42">
    <w:p w14:paraId="34497ED4" w14:textId="14BF2D75" w:rsidR="009550E6" w:rsidRPr="009550E6" w:rsidRDefault="009550E6">
      <w:pPr>
        <w:pStyle w:val="FootnoteText"/>
        <w:rPr>
          <w:lang w:val="en-AU"/>
        </w:rPr>
      </w:pPr>
      <w:r>
        <w:rPr>
          <w:rStyle w:val="FootnoteReference"/>
        </w:rPr>
        <w:footnoteRef/>
      </w:r>
      <w:r>
        <w:t xml:space="preserve"> </w:t>
      </w:r>
      <w:r>
        <w:fldChar w:fldCharType="begin"/>
      </w:r>
      <w:r>
        <w:instrText xml:space="preserve"> ADDIN ZOTERO_ITEM CSL_CITATION {"citationID":"7gPqIrUS","properties":{"formattedCitation":"Rogerson 2017.","plainCitation":"Rogerson 2017.","noteIndex":22},"citationItems":[{"id":2623,"uris":["http://zotero.org/users/9147288/items/XTKYMIHJ"],"itemData":{"id":2623,"type":"book","abstract":"Ascanius is the most prominent child hero in Virgil's Aeneid. He accompanies his father from Troy to Italy and is present from the first book of the epic to the last; he is destined to found the city of Alba Longa and the Julian family to which Caesar and Augustus both belonged; and he hunts, fights, makes speeches, and even makes a joke. In this first book-length study of Virgil's Ascanius, Anne Rogerson demonstrates the importance of this character not just to the Augustan family tree but to the texture and the meaning of the Aeneid. As a figure of prophecy and a symbol both of hopes for the future and of present uncertainties, Ascanius is a fusion of epic and dynastic desires. Compelling close readings of the representation and reception of this understudied character throughout the Aeneid expose the unexpectedly childish qualities of Virgil's heroic epic.","ISBN":"978-1-108-23217-3","language":"en","note":"Google-Books-ID: cScSDgAAQBAJ","number-of-pages":"247","publisher":"Cambridge University Press","source":"Google Books","title":"Virgil's Ascanius: Imagining the Future in the Aeneid","title-short":"Virgil's Ascanius","author":[{"family":"Rogerson","given":"Anne"}],"issued":{"date-parts":[["2017",1,20]]}}}],"schema":"https://github.com/citation-style-language/schema/raw/master/csl-citation.json"} </w:instrText>
      </w:r>
      <w:r>
        <w:fldChar w:fldCharType="separate"/>
      </w:r>
      <w:r w:rsidRPr="009550E6">
        <w:t>Rogerson</w:t>
      </w:r>
      <w:r w:rsidR="00C70417">
        <w:t>,</w:t>
      </w:r>
      <w:r w:rsidRPr="009550E6">
        <w:t xml:space="preserve"> 2017.</w:t>
      </w:r>
      <w:r>
        <w:fldChar w:fldCharType="end"/>
      </w:r>
    </w:p>
  </w:footnote>
  <w:footnote w:id="43">
    <w:p w14:paraId="17F109D3" w14:textId="053F9DFA" w:rsidR="0076292A" w:rsidRPr="0076292A" w:rsidRDefault="0076292A">
      <w:pPr>
        <w:pStyle w:val="FootnoteText"/>
        <w:rPr>
          <w:lang w:val="en-AU"/>
        </w:rPr>
      </w:pPr>
      <w:r>
        <w:rPr>
          <w:rStyle w:val="FootnoteReference"/>
        </w:rPr>
        <w:footnoteRef/>
      </w:r>
      <w:r>
        <w:t xml:space="preserve"> </w:t>
      </w:r>
      <w:r>
        <w:fldChar w:fldCharType="begin"/>
      </w:r>
      <w:r>
        <w:instrText xml:space="preserve"> ADDIN ZOTERO_ITEM CSL_CITATION {"citationID":"kFURQQz2","properties":{"formattedCitation":"Kenneth C. M. Sills 1914.","plainCitation":"Kenneth C. M. Sills 1914.","noteIndex":23},"citationItems":[{"id":2625,"uris":["http://zotero.org/users/9147288/items/YLJKADVD"],"itemData":{"id":2625,"type":"article-journal","archive":"JSTOR","container-title":"The Classical Journal","ISSN":"00098353","issue":"4","note":"publisher: The Classical Association of the Middle West and South","page":"139-153","title":"The Idea of Universal Peace in the Works of Virgil and Dante","volume":"9","author":[{"literal":"Kenneth C. M. Sills"}],"issued":{"date-parts":[["1914"]]}}}],"schema":"https://github.com/citation-style-language/schema/raw/master/csl-citation.json"} </w:instrText>
      </w:r>
      <w:r>
        <w:fldChar w:fldCharType="separate"/>
      </w:r>
      <w:r w:rsidRPr="0076292A">
        <w:t>Kenneth C. M. Sills</w:t>
      </w:r>
      <w:r w:rsidR="00C70417">
        <w:t>,</w:t>
      </w:r>
      <w:r w:rsidRPr="0076292A">
        <w:t xml:space="preserve"> 1914.</w:t>
      </w:r>
      <w:r>
        <w:fldChar w:fldCharType="end"/>
      </w:r>
    </w:p>
  </w:footnote>
  <w:footnote w:id="44">
    <w:p w14:paraId="245C5F64" w14:textId="2ACB7BAD" w:rsidR="004932BA" w:rsidRPr="004932BA" w:rsidRDefault="004932BA">
      <w:pPr>
        <w:pStyle w:val="FootnoteText"/>
        <w:rPr>
          <w:lang w:val="en-AU"/>
        </w:rPr>
      </w:pPr>
      <w:r>
        <w:rPr>
          <w:rStyle w:val="FootnoteReference"/>
        </w:rPr>
        <w:footnoteRef/>
      </w:r>
      <w:r>
        <w:t xml:space="preserve"> </w:t>
      </w:r>
      <w:r>
        <w:fldChar w:fldCharType="begin"/>
      </w:r>
      <w:r w:rsidR="00761BF1">
        <w:instrText xml:space="preserve"> ADDIN ZOTERO_ITEM CSL_CITATION {"citationID":"rZ5GSho9","properties":{"formattedCitation":"Vergilius Maro and Goetz 1990, 232.","plainCitation":"Vergilius Maro and Goetz 1990, 232.","noteIndex":41},"citationItems":[{"id":2620,"uris":["http://zotero.org/users/9147288/items/9CKYVKPF"],"itemData":{"id":2620,"type":"article-journal","container-title":"Great books of the Western world","note":"ISBN: 0852295316\npublisher: Encyclopaedia Britannica, Inc.","title":"The Eclogues","author":[{"family":"Vergilius Maro","given":"Publius"},{"family":"Goetz","given":"Philip W."}],"issued":{"date-parts":[["1990"]]}},"locator":"232"}],"schema":"https://github.com/citation-style-language/schema/raw/master/csl-citation.json"} </w:instrText>
      </w:r>
      <w:r>
        <w:fldChar w:fldCharType="separate"/>
      </w:r>
      <w:r w:rsidRPr="004932BA">
        <w:t>Vergilius Maro and Goetz</w:t>
      </w:r>
      <w:r w:rsidR="00C70417">
        <w:t>,</w:t>
      </w:r>
      <w:r w:rsidRPr="004932BA">
        <w:t xml:space="preserve"> 1990, </w:t>
      </w:r>
      <w:r w:rsidR="00C70417">
        <w:t>p.</w:t>
      </w:r>
      <w:r w:rsidRPr="004932BA">
        <w:t>232.</w:t>
      </w:r>
      <w:r>
        <w:fldChar w:fldCharType="end"/>
      </w:r>
    </w:p>
  </w:footnote>
  <w:footnote w:id="45">
    <w:p w14:paraId="365187F8" w14:textId="250477D4" w:rsidR="008753D7" w:rsidRPr="008753D7" w:rsidRDefault="008753D7">
      <w:pPr>
        <w:pStyle w:val="FootnoteText"/>
        <w:rPr>
          <w:lang w:val="en-AU"/>
        </w:rPr>
      </w:pPr>
      <w:r>
        <w:rPr>
          <w:rStyle w:val="FootnoteReference"/>
        </w:rPr>
        <w:footnoteRef/>
      </w:r>
      <w:r>
        <w:t xml:space="preserve"> </w:t>
      </w:r>
      <w:r>
        <w:fldChar w:fldCharType="begin"/>
      </w:r>
      <w:r>
        <w:instrText xml:space="preserve"> ADDIN ZOTERO_ITEM CSL_CITATION {"citationID":"wFeAyCAz","properties":{"formattedCitation":"White 2010.","plainCitation":"White 2010.","noteIndex":25},"citationItems":[{"id":2628,"uris":["http://zotero.org/users/9147288/items/W6AMSH77"],"itemData":{"id":2628,"type":"book","abstract":"This brief survey text tells the story of early Christianity. Cynthia White explores the emergence of Christianity in Rome during the first four centuries of the Greco-Roman empire, from the first followers of Jesus Christ, to conflicts between Christians and Jewish kings under Roman occupation, to the torture of Christian followers, Diocletian's reforms, and Constantine's eventual conversion to monotheism, which cemented Christianity's status as the official religion of Rome.  The text's chapters will integrate key pedagogy, including introductions, study questions, textboxes, photos, maps, suggested readings, and a glossary and timeline.","ISBN":"978-0-8006-9747-1","language":"en","note":"Google-Books-ID: PWdzlUBhFLwC","number-of-pages":"238","publisher":"Fortress Press","source":"Google Books","title":"The Emergence of Christianity: Classical Traditions in Contemporary Perspective","title-short":"The Emergence of Christianity","author":[{"family":"White","given":"Cynthia"}],"issued":{"date-parts":[["2010",10,1]]}}}],"schema":"https://github.com/citation-style-language/schema/raw/master/csl-citation.json"} </w:instrText>
      </w:r>
      <w:r>
        <w:fldChar w:fldCharType="separate"/>
      </w:r>
      <w:r w:rsidRPr="008753D7">
        <w:t>White</w:t>
      </w:r>
      <w:r w:rsidR="00C70417">
        <w:t>,</w:t>
      </w:r>
      <w:r w:rsidRPr="008753D7">
        <w:t xml:space="preserve"> 2010.</w:t>
      </w:r>
      <w:r>
        <w:fldChar w:fldCharType="end"/>
      </w:r>
    </w:p>
  </w:footnote>
  <w:footnote w:id="46">
    <w:p w14:paraId="0F793C42" w14:textId="069FD4F4" w:rsidR="00813EEA" w:rsidRPr="00813EEA" w:rsidRDefault="00813EEA">
      <w:pPr>
        <w:pStyle w:val="FootnoteText"/>
        <w:rPr>
          <w:lang w:val="en-AU"/>
        </w:rPr>
      </w:pPr>
      <w:r>
        <w:rPr>
          <w:rStyle w:val="FootnoteReference"/>
        </w:rPr>
        <w:footnoteRef/>
      </w:r>
      <w:r>
        <w:t xml:space="preserve"> </w:t>
      </w:r>
      <w:r>
        <w:fldChar w:fldCharType="begin"/>
      </w:r>
      <w:r>
        <w:instrText xml:space="preserve"> ADDIN ZOTERO_ITEM CSL_CITATION {"citationID":"gpVHKXzk","properties":{"formattedCitation":"Slochower 1970, 112.","plainCitation":"Slochower 1970, 112.","noteIndex":26},"citationItems":[{"id":2630,"uris":["http://zotero.org/users/9147288/items/948MTXZU"],"itemData":{"id":2630,"type":"book","ISBN":"978-0-8143-1511-8","language":"en","note":"Google-Books-ID: oScQi69bb1EC","number-of-pages":"376","publisher":"Wayne State University Press","source":"Google Books","title":"Mythopoesis: Mythic Patterns in the Literary Classics","title-short":"Mythopoesis","author":[{"family":"Slochower","given":"Harry"}],"issued":{"date-parts":[["1970"]]}},"locator":"112"}],"schema":"https://github.com/citation-style-language/schema/raw/master/csl-citation.json"} </w:instrText>
      </w:r>
      <w:r>
        <w:fldChar w:fldCharType="separate"/>
      </w:r>
      <w:proofErr w:type="spellStart"/>
      <w:r w:rsidRPr="00813EEA">
        <w:t>Slochower</w:t>
      </w:r>
      <w:proofErr w:type="spellEnd"/>
      <w:r w:rsidR="00C70417">
        <w:t>,</w:t>
      </w:r>
      <w:r w:rsidRPr="00813EEA">
        <w:t xml:space="preserve"> 1970, </w:t>
      </w:r>
      <w:r w:rsidR="00C70417">
        <w:t>p.</w:t>
      </w:r>
      <w:r w:rsidRPr="00813EEA">
        <w:t>112.</w:t>
      </w:r>
      <w:r>
        <w:fldChar w:fldCharType="end"/>
      </w:r>
    </w:p>
  </w:footnote>
  <w:footnote w:id="47">
    <w:p w14:paraId="341A69ED" w14:textId="3E75C0C4" w:rsidR="00713C49" w:rsidRPr="00713C49" w:rsidRDefault="00713C49">
      <w:pPr>
        <w:pStyle w:val="FootnoteText"/>
        <w:rPr>
          <w:lang w:val="en-AU"/>
        </w:rPr>
      </w:pPr>
      <w:r>
        <w:rPr>
          <w:rStyle w:val="FootnoteReference"/>
        </w:rPr>
        <w:footnoteRef/>
      </w:r>
      <w:r>
        <w:t xml:space="preserve"> </w:t>
      </w:r>
      <w:r>
        <w:fldChar w:fldCharType="begin"/>
      </w:r>
      <w:r>
        <w:instrText xml:space="preserve"> ADDIN ZOTERO_ITEM CSL_CITATION {"citationID":"CxBAEQgF","properties":{"formattedCitation":"Kleinhenz 1988.","plainCitation":"Kleinhenz 1988.","noteIndex":27},"citationItems":[{"id":2632,"uris":["http://zotero.org/users/9147288/items/RDNHKNZU"],"itemData":{"id":2632,"type":"article-journal","archive":"JSTOR","container-title":"Dante Studies, with the Annual Report of the Dante Society","ISSN":"00702862","issue":"106","note":"publisher: Johns Hopkins University Press","page":"21-41","title":"The Celebration of Poetry: A Reading of Purgatory XXII","author":[{"family":"Kleinhenz","given":"Christopher"}],"issued":{"date-parts":[["1988"]]}}}],"schema":"https://github.com/citation-style-language/schema/raw/master/csl-citation.json"} </w:instrText>
      </w:r>
      <w:r>
        <w:fldChar w:fldCharType="separate"/>
      </w:r>
      <w:proofErr w:type="spellStart"/>
      <w:r w:rsidRPr="00713C49">
        <w:t>Kleinhenz</w:t>
      </w:r>
      <w:proofErr w:type="spellEnd"/>
      <w:r w:rsidR="00C70417">
        <w:t>,</w:t>
      </w:r>
      <w:r w:rsidRPr="00713C49">
        <w:t xml:space="preserve"> 1988.</w:t>
      </w:r>
      <w:r>
        <w:fldChar w:fldCharType="end"/>
      </w:r>
    </w:p>
  </w:footnote>
  <w:footnote w:id="48">
    <w:p w14:paraId="7C103EAF" w14:textId="4670FC0A" w:rsidR="006A78DF" w:rsidRPr="006A78DF" w:rsidRDefault="006A78DF">
      <w:pPr>
        <w:pStyle w:val="FootnoteText"/>
        <w:rPr>
          <w:lang w:val="en-AU"/>
        </w:rPr>
      </w:pPr>
      <w:r>
        <w:rPr>
          <w:rStyle w:val="FootnoteReference"/>
        </w:rPr>
        <w:footnoteRef/>
      </w:r>
      <w:r>
        <w:t xml:space="preserve"> </w:t>
      </w:r>
      <w:r>
        <w:fldChar w:fldCharType="begin"/>
      </w:r>
      <w:r>
        <w:instrText xml:space="preserve"> ADDIN ZOTERO_ITEM CSL_CITATION {"citationID":"HxFoUm5E","properties":{"formattedCitation":"Jose 1984.","plainCitation":"Jose 1984.","noteIndex":28},"citationItems":[{"id":2633,"uris":["http://zotero.org/users/9147288/items/KQK6VELS"],"itemData":{"id":2633,"type":"chapter","abstract":"One solution to problematic immediacies was to look away from the present to large-scale historical schemes, a perspective which could work backwards or forwards. Looking back the closest object of nostalgia was the pre-war world of Charles I, and administrative measures were taken to revert the nation to that former state of things. Charles II was sometimes regarded as a glorious reduplication of his father: ‘Charls from Charls must be the greatest of that name’, argued John Collop.1 The first Charles in turn derived his right from Elizabeth’s donation and the Restoration was also eager to preserve its bonds with her most illustrious reign. The serious dramatists in particular, as Denham’s prologue suggests, were intent on revivifying and refining the great and pertinent political histories of the Elizabethan stage. In general, ancient national greatness was to be restored, as Edwards and Henrys stepped out on to the stage, as Charles became ‘Alfred-like’ and as Drayton’s Poly-olbion was recited in Ogilby’s version of the coronation triumphs. ‘Welcome our ancient Form’, cried one panegyrist, greeting the survival of the immemorial constitution.2 Nor was the finding of past precedents restricted to the British Isles. It reached crucially to the great figures of imperial Christianity:You are a second Constantine to stay OurHoly Church from falling to decay.Haile Charls the second; second unto none…Greater then Charls the first, sirnam’d the great…Heav’n, and brave Monck, conspire to make thy raignTranscend the Diadem of Charlemain.3","container-title":"Ideas of the Restoration in English Literature, 1660–71","event-place":"London","ISBN":"978-1-349-06635-3","language":"en","note":"DOI: 10.1007/978-1-349-06635-3_4","page":"44-66","publisher":"Palgrave Macmillan UK","publisher-place":"London","source":"Springer Link","title":"Ideas of Restoration II: Looking Back and Looking Forward","title-short":"Ideas of Restoration II","URL":"https://doi.org/10.1007/978-1-349-06635-3_4","author":[{"family":"Jose","given":"Nicholas"}],"editor":[{"family":"Jose","given":"Nicholas"}],"accessed":{"date-parts":[["2022",4,16]]},"issued":{"date-parts":[["1984"]]}}}],"schema":"https://github.com/citation-style-language/schema/raw/master/csl-citation.json"} </w:instrText>
      </w:r>
      <w:r>
        <w:fldChar w:fldCharType="separate"/>
      </w:r>
      <w:r w:rsidRPr="006A78DF">
        <w:t>Jose</w:t>
      </w:r>
      <w:r w:rsidR="00C70417">
        <w:t>,</w:t>
      </w:r>
      <w:r w:rsidRPr="006A78DF">
        <w:t xml:space="preserve"> 1984.</w:t>
      </w:r>
      <w:r>
        <w:fldChar w:fldCharType="end"/>
      </w:r>
    </w:p>
  </w:footnote>
  <w:footnote w:id="49">
    <w:p w14:paraId="4B8B85EB" w14:textId="0865F87D" w:rsidR="007A6942" w:rsidRPr="007A6942" w:rsidRDefault="007A6942">
      <w:pPr>
        <w:pStyle w:val="FootnoteText"/>
        <w:rPr>
          <w:lang w:val="en-AU"/>
        </w:rPr>
      </w:pPr>
      <w:r>
        <w:rPr>
          <w:rStyle w:val="FootnoteReference"/>
        </w:rPr>
        <w:footnoteRef/>
      </w:r>
      <w:r>
        <w:t xml:space="preserve"> </w:t>
      </w:r>
      <w:r>
        <w:fldChar w:fldCharType="begin"/>
      </w:r>
      <w:r>
        <w:instrText xml:space="preserve"> ADDIN ZOTERO_ITEM CSL_CITATION {"citationID":"758JEgnI","properties":{"formattedCitation":"Tambar 2020, 32.","plainCitation":"Tambar 2020, 32.","noteIndex":29},"citationItems":[{"id":2634,"uris":["http://zotero.org/users/9147288/items/9FI29RVK"],"itemData":{"id":2634,"type":"article-journal","container-title":"Comparative Drama","DOI":"10.1353/cdr.2020.0001","ISSN":"1936-1637","issue":"1-2","journalAbbreviation":"Comparative Drama","language":"en","page":"27-49","source":"DOI.org (Crossref)","title":"The Rhetoric of Wounds in Coriolanus; or, a Tragedy of Renaissance Rhetoric","volume":"54","author":[{"family":"Tambar","given":"Jaspreet S."}],"issued":{"date-parts":[["2020"]]}},"locator":"32"}],"schema":"https://github.com/citation-style-language/schema/raw/master/csl-citation.json"} </w:instrText>
      </w:r>
      <w:r>
        <w:fldChar w:fldCharType="separate"/>
      </w:r>
      <w:r w:rsidRPr="007A6942">
        <w:t>Tambar</w:t>
      </w:r>
      <w:r w:rsidR="00C70417">
        <w:t>,</w:t>
      </w:r>
      <w:r w:rsidRPr="007A6942">
        <w:t xml:space="preserve"> 2020,</w:t>
      </w:r>
      <w:r w:rsidR="00C70417">
        <w:t xml:space="preserve"> p.</w:t>
      </w:r>
      <w:r w:rsidRPr="007A6942">
        <w:t>32.</w:t>
      </w:r>
      <w:r>
        <w:fldChar w:fldCharType="end"/>
      </w:r>
    </w:p>
  </w:footnote>
  <w:footnote w:id="50">
    <w:p w14:paraId="2D74C01E" w14:textId="4D9AC123" w:rsidR="003C2596" w:rsidRPr="003C2596" w:rsidRDefault="003C2596">
      <w:pPr>
        <w:pStyle w:val="FootnoteText"/>
        <w:rPr>
          <w:lang w:val="en-AU"/>
        </w:rPr>
      </w:pPr>
      <w:r>
        <w:rPr>
          <w:rStyle w:val="FootnoteReference"/>
        </w:rPr>
        <w:footnoteRef/>
      </w:r>
      <w:r>
        <w:t xml:space="preserve"> </w:t>
      </w:r>
      <w:r>
        <w:fldChar w:fldCharType="begin"/>
      </w:r>
      <w:r>
        <w:instrText xml:space="preserve"> ADDIN ZOTERO_ITEM CSL_CITATION {"citationID":"uzANy0qM","properties":{"formattedCitation":"Trahman 1952.","plainCitation":"Trahman 1952.","noteIndex":30},"citationItems":[{"id":2635,"uris":["http://zotero.org/users/9147288/items/LTMBEHDD"],"itemData":{"id":2635,"type":"article-journal","archive":"JSTOR","container-title":"Phoenix","DOI":"10.2307/1086270","ISSN":"00318299, 19294883","issue":"2","note":"publisher: Classical Association of Canada","page":"31-43","title":"Odysseus' Lies (\"Odyssey\", Books 13-19)","volume":"6","author":[{"family":"Trahman","given":"C. R."}],"issued":{"date-parts":[["1952"]]}}}],"schema":"https://github.com/citation-style-language/schema/raw/master/csl-citation.json"} </w:instrText>
      </w:r>
      <w:r>
        <w:fldChar w:fldCharType="separate"/>
      </w:r>
      <w:proofErr w:type="spellStart"/>
      <w:r w:rsidRPr="003C2596">
        <w:t>Trahman</w:t>
      </w:r>
      <w:proofErr w:type="spellEnd"/>
      <w:r w:rsidR="00C70417">
        <w:t>,</w:t>
      </w:r>
      <w:r w:rsidRPr="003C2596">
        <w:t xml:space="preserve"> 1952.</w:t>
      </w:r>
      <w:r>
        <w:fldChar w:fldCharType="end"/>
      </w:r>
    </w:p>
  </w:footnote>
  <w:footnote w:id="51">
    <w:p w14:paraId="70E42F13" w14:textId="44F03900" w:rsidR="004C4DCA" w:rsidRPr="004C4DCA" w:rsidRDefault="004C4DCA">
      <w:pPr>
        <w:pStyle w:val="FootnoteText"/>
        <w:rPr>
          <w:lang w:val="en-AU"/>
        </w:rPr>
      </w:pPr>
      <w:r>
        <w:rPr>
          <w:rStyle w:val="FootnoteReference"/>
        </w:rPr>
        <w:footnoteRef/>
      </w:r>
      <w:r>
        <w:t xml:space="preserve"> </w:t>
      </w:r>
      <w:r>
        <w:fldChar w:fldCharType="begin"/>
      </w:r>
      <w:r>
        <w:instrText xml:space="preserve"> ADDIN ZOTERO_ITEM CSL_CITATION {"citationID":"qMmB3E97","properties":{"formattedCitation":"Wainstein 1993.","plainCitation":"Wainstein 1993.","noteIndex":31},"citationItems":[{"id":2636,"uris":["http://zotero.org/users/9147288/items/2Z6NFFL8"],"itemData":{"id":2636,"type":"thesis","abstract":"The thesis examines the striking analogies between Shakespeare's Coriolanus and Sophoclean tragedy: in determinant features of substance and style and in the unique individuality of the tragic hero. There are seven chapters, of which the first is synoptic and expository. Chapter II and Appendix I present documentation and analyses of the currency of translations of the Ajax and the Antigone of Sophocles throughout the sixteenth century, and the familiarity of these works in Europe and England during Shakespeare's lifetime. The third chapter investigates the genesis of the concept of the heroic individual in Homeric epic and Sophoclean tragic drama, and identifies the relevance of the concept to a particular perception of Coriolanus. This perception includes the understanding that the tragic hero lives his life according to assumptions derived from the Homeric-Sophoclean prototype: that his archetypal nature and conduct exemplify an essentially intuitive, non-rational demand for absolutes, and consequently resist judgement in terms of more reasonable criteria. The personality of the tragic hero is investigated in Chapters IV to VII, relative to the predicament embodied in his ambiguous relationship with the non-heroic community. His commitment to conduct which is commensurate with his personal areté confirms his unsuitability to, and incompatibility with his world: he cannot compromise his self-assertive individuality, and society misunderstands and censures his passionate resolve and temperament. Criticism of the tragic hero, based on conventional or questionable morality, fails to comprehend that the excesses of his temperament are elemental and indispensable attributes of the quintessential heroic personality. The hero's harsh aggression, and the lack of accord, understanding, and reliable communication between him and the community determine the irreconcilable clash of opposing ethical principles, which results in his moral and physical isolation, his complete exclusion from society and sympathy. The tragic hero may lose his life, but is morally triumphant. The tragedy exemplifies the inadequacy of human nature, yet recognizes man's potential to nobility; an authentic and lasting testimony to that which is most tragic yet most impressive in human aspiration.","archive":"ProQuest One Academic","archive_location":"1795600855","event-place":"Ann Arbor","genre":"Ph.D.","language":"English","note":"ISBN: 978-1-339-70136-3\ncontainer-title: PQDT - Global\n10106707","number-of-pages":"353","publisher":"University of London, University College London (United Kingdom)","publisher-place":"Ann Arbor","title":"Shakespeare's Coriolanus: A tragic hero in the Sophoclean mould","URL":"https://lopes.idm.oclc.org/login?url=https://www.proquest.com/dissertations-theses/shakespeares-coriolanus-tragic-hero-sophoclean/docview/1795600855/se-2?accountid=7374","author":[{"family":"Wainstein","given":"Marienne"}],"issued":{"date-parts":[["1993"]]}}}],"schema":"https://github.com/citation-style-language/schema/raw/master/csl-citation.json"} </w:instrText>
      </w:r>
      <w:r>
        <w:fldChar w:fldCharType="separate"/>
      </w:r>
      <w:r w:rsidRPr="004C4DCA">
        <w:t>Wainstein</w:t>
      </w:r>
      <w:r w:rsidR="00C70417">
        <w:t>,</w:t>
      </w:r>
      <w:r w:rsidRPr="004C4DCA">
        <w:t xml:space="preserve"> 1993.</w:t>
      </w:r>
      <w:r>
        <w:fldChar w:fldCharType="end"/>
      </w:r>
    </w:p>
  </w:footnote>
  <w:footnote w:id="52">
    <w:p w14:paraId="06A0953E" w14:textId="4EC7944F" w:rsidR="00A17AC7" w:rsidRPr="00A17AC7" w:rsidRDefault="00A17AC7">
      <w:pPr>
        <w:pStyle w:val="FootnoteText"/>
        <w:rPr>
          <w:lang w:val="en-AU"/>
        </w:rPr>
      </w:pPr>
      <w:r>
        <w:rPr>
          <w:rStyle w:val="FootnoteReference"/>
        </w:rPr>
        <w:footnoteRef/>
      </w:r>
      <w:r>
        <w:t xml:space="preserve"> </w:t>
      </w:r>
      <w:r>
        <w:fldChar w:fldCharType="begin"/>
      </w:r>
      <w:r>
        <w:instrText xml:space="preserve"> ADDIN ZOTERO_ITEM CSL_CITATION {"citationID":"K37j1Ff9","properties":{"formattedCitation":"Van Doren 1962.","plainCitation":"Van Doren 1962.","noteIndex":32},"citationItems":[{"id":2641,"uris":["http://zotero.org/users/9147288/items/56PJUX43"],"itemData":{"id":2641,"type":"book","publisher":"Collier Books","title":"Mark Van Doren on Great Poems of Western Literature","author":[{"family":"Van Doren","given":"Mark"}],"issued":{"date-parts":[["1962"]]}}}],"schema":"https://github.com/citation-style-language/schema/raw/master/csl-citation.json"} </w:instrText>
      </w:r>
      <w:r>
        <w:fldChar w:fldCharType="separate"/>
      </w:r>
      <w:r w:rsidRPr="00A17AC7">
        <w:t>Van Doren</w:t>
      </w:r>
      <w:r w:rsidR="00C70417">
        <w:t>,</w:t>
      </w:r>
      <w:r w:rsidRPr="00A17AC7">
        <w:t xml:space="preserve"> 1962.</w:t>
      </w:r>
      <w:r>
        <w:fldChar w:fldCharType="end"/>
      </w:r>
    </w:p>
  </w:footnote>
  <w:footnote w:id="53">
    <w:p w14:paraId="005AA8BB" w14:textId="0F4531CC" w:rsidR="00AC1272" w:rsidRPr="00AC1272" w:rsidRDefault="00AC1272">
      <w:pPr>
        <w:pStyle w:val="FootnoteText"/>
        <w:rPr>
          <w:lang w:val="en-AU"/>
        </w:rPr>
      </w:pPr>
      <w:r>
        <w:rPr>
          <w:rStyle w:val="FootnoteReference"/>
        </w:rPr>
        <w:footnoteRef/>
      </w:r>
      <w:r>
        <w:t xml:space="preserve"> </w:t>
      </w:r>
      <w:r>
        <w:fldChar w:fldCharType="begin"/>
      </w:r>
      <w:r>
        <w:instrText xml:space="preserve"> ADDIN ZOTERO_ITEM CSL_CITATION {"citationID":"ZMTA5cSJ","properties":{"formattedCitation":"Powell 2012, 9.","plainCitation":"Powell 2012, 9.","noteIndex":33},"citationItems":[{"id":2642,"uris":["http://zotero.org/users/9147288/items/BD5QDCY7"],"itemData":{"id":2642,"type":"book","abstract":"Since its first appearance in 2008, this book has changed the landscape of Virgilian studies. Analysing closely the logic and the literary genres of Virgil's three poems, it politely confronts the modern orthodoxy that Virgil signalled distaste for the methods of his ruler, Octavian-Augustus. It refreshes the study of Virgil's poetry by comparing it with the detail (normally neglected by scholars) of Rome's civil wars after Julius Caesar's death, when Octavian's survival looked highly unlikely. And it argues that Virgil wrote as a passionate - and brave - partisan of Octavian, who - like a good lawyer - confronted his patron's undeniable failings in order to defend.","ISBN":"978-1-910589-39-7","language":"en","note":"Google-Books-ID: av5ODgAAQBAJ","number-of-pages":"316","publisher":"ISD LLC","source":"Google Books","title":"Virgil the Partisan: A Study in the re-integration of Classics","title-short":"Virgil the Partisan","author":[{"family":"Powell","given":"Anton"}],"issued":{"date-parts":[["2012",12,31]]}},"locator":"9"}],"schema":"https://github.com/citation-style-language/schema/raw/master/csl-citation.json"} </w:instrText>
      </w:r>
      <w:r>
        <w:fldChar w:fldCharType="separate"/>
      </w:r>
      <w:r w:rsidRPr="00AC1272">
        <w:t>Powell</w:t>
      </w:r>
      <w:r w:rsidR="00C70417">
        <w:t>,</w:t>
      </w:r>
      <w:r w:rsidRPr="00AC1272">
        <w:t xml:space="preserve"> 2012, </w:t>
      </w:r>
      <w:r w:rsidR="00C70417">
        <w:t>p.</w:t>
      </w:r>
      <w:r w:rsidRPr="00AC1272">
        <w:t>9.</w:t>
      </w:r>
      <w:r>
        <w:fldChar w:fldCharType="end"/>
      </w:r>
    </w:p>
  </w:footnote>
  <w:footnote w:id="54">
    <w:p w14:paraId="364EE867" w14:textId="0DF5D72A" w:rsidR="00150A88" w:rsidRPr="00150A88" w:rsidRDefault="00150A88">
      <w:pPr>
        <w:pStyle w:val="FootnoteText"/>
        <w:rPr>
          <w:lang w:val="en-AU"/>
        </w:rPr>
      </w:pPr>
      <w:r>
        <w:rPr>
          <w:rStyle w:val="FootnoteReference"/>
        </w:rPr>
        <w:footnoteRef/>
      </w:r>
      <w:r>
        <w:t xml:space="preserve"> </w:t>
      </w:r>
      <w:r>
        <w:fldChar w:fldCharType="begin"/>
      </w:r>
      <w:r>
        <w:instrText xml:space="preserve"> ADDIN ZOTERO_ITEM CSL_CITATION {"citationID":"LJhBVZ5m","properties":{"formattedCitation":"Yost 1994.","plainCitation":"Yost 1994.","noteIndex":34},"citationItems":[{"id":2644,"uris":["http://zotero.org/users/9147288/items/AIMGVPV5"],"itemData":{"id":2644,"type":"article-journal","container-title":"International Affairs","DOI":"10.2307/2625234","ISSN":"1468-2346, 0020-5850","issue":"2","language":"en","page":"263-290","source":"DOI.org (Crossref)","title":"Political philosophy and the theory of international relations","volume":"70","author":[{"family":"Yost","given":"David S."}],"issued":{"date-parts":[["1994",4]]}}}],"schema":"https://github.com/citation-style-language/schema/raw/master/csl-citation.json"} </w:instrText>
      </w:r>
      <w:r>
        <w:fldChar w:fldCharType="separate"/>
      </w:r>
      <w:r w:rsidRPr="00150A88">
        <w:t>Yost</w:t>
      </w:r>
      <w:r w:rsidR="00C70417">
        <w:t>,</w:t>
      </w:r>
      <w:r w:rsidRPr="00150A88">
        <w:t xml:space="preserve"> 1994.</w:t>
      </w:r>
      <w:r>
        <w:fldChar w:fldCharType="end"/>
      </w:r>
    </w:p>
  </w:footnote>
  <w:footnote w:id="55">
    <w:p w14:paraId="5CEC6936" w14:textId="35BFB831" w:rsidR="00001BDA" w:rsidRPr="00001BDA" w:rsidRDefault="00001BDA">
      <w:pPr>
        <w:pStyle w:val="FootnoteText"/>
        <w:rPr>
          <w:lang w:val="en-AU"/>
        </w:rPr>
      </w:pPr>
      <w:r>
        <w:rPr>
          <w:rStyle w:val="FootnoteReference"/>
        </w:rPr>
        <w:footnoteRef/>
      </w:r>
      <w:r>
        <w:t xml:space="preserve"> </w:t>
      </w:r>
      <w:r>
        <w:fldChar w:fldCharType="begin"/>
      </w:r>
      <w:r>
        <w:instrText xml:space="preserve"> ADDIN ZOTERO_ITEM CSL_CITATION {"citationID":"jiZcLwUG","properties":{"formattedCitation":"Gamble 2014, 37.","plainCitation":"Gamble 2014, 37.","noteIndex":35},"citationItems":[{"id":2645,"uris":["http://zotero.org/users/9147288/items/593DQQKE"],"itemData":{"id":2645,"type":"book","abstract":"“They died to save their country and they only saved the world.” This line, the final one in G. K. Chesterton’s poem “The English Graves,” serves for Richard M. Gamble as an interpretive key to a peculiarly important moment in American history: the time of the First World War, when progressive Christian leaders in America transformed themselves from principled pacifists to crusading interventionists. The consequence of this momentous shift, says Gamble, was the triumph of the idea that America has been destined by divine Providence to bring salvation to the less enlightened nations of the world.In The War for Righteousness, Gamble reconstructs the inner world of the social gospel clergy, tracing the evolution of the clergy’s interventionist ideology from its roots in earlier efforts to promote a modern, activist Christianity. He shows how these clergy eventually came to see their task as world evangelization for the new creed of democracy and internationalism, and ultimately for the redemption of civilization itself through the agency of total war. World War I thus became a transcendent moment of fulfillment. In the eyes of the progressive clergy, the years from 1914 to 1918 presented an unprecedented opportunity to achieve their vision of a world transformed—the ancient dream of a universal and everlasting kingdom of peace, justice, and righteousness. American sacrifice was necessary not only to save the country, but to save the entire world.Vividly narrating how the progressive clergy played a surprising role in molding the public consensus in favor of total war, Gamble engages the broader question of religion’s role in shaping the modern American mind and the development, at the deepest levels, of the logic of messianic interventionism both at home and abroad. This timely book not only fills a significant gap in our collective memory of the Great War, it also helps demonstrate how and why that war heralded the advent of a different American self-understanding.","ISBN":"978-1-4976-4679-7","language":"en","note":"Google-Books-ID: uOJ6CgAAQBAJ","number-of-pages":"328","publisher":"Open Road Media","source":"Google Books","title":"The War for Righteousness: Progressive Christianity, the Great War, and the Rise of the Messianic Nation","title-short":"The War for Righteousness","author":[{"family":"Gamble","given":"Richard M."}],"issued":{"date-parts":[["2014",5,6]]}},"locator":"37"}],"schema":"https://github.com/citation-style-language/schema/raw/master/csl-citation.json"} </w:instrText>
      </w:r>
      <w:r>
        <w:fldChar w:fldCharType="separate"/>
      </w:r>
      <w:r w:rsidRPr="00001BDA">
        <w:t>Gamble</w:t>
      </w:r>
      <w:r w:rsidR="00C70417">
        <w:t>,</w:t>
      </w:r>
      <w:r w:rsidRPr="00001BDA">
        <w:t xml:space="preserve"> 2014, </w:t>
      </w:r>
      <w:r w:rsidR="00C70417">
        <w:t>p.</w:t>
      </w:r>
      <w:r w:rsidRPr="00001BDA">
        <w:t>37.</w:t>
      </w:r>
      <w:r>
        <w:fldChar w:fldCharType="end"/>
      </w:r>
    </w:p>
  </w:footnote>
  <w:footnote w:id="56">
    <w:p w14:paraId="14757F24" w14:textId="23FC7685" w:rsidR="00596743" w:rsidRPr="00596743" w:rsidRDefault="00596743">
      <w:pPr>
        <w:pStyle w:val="FootnoteText"/>
        <w:rPr>
          <w:lang w:val="en-AU"/>
        </w:rPr>
      </w:pPr>
      <w:r>
        <w:rPr>
          <w:rStyle w:val="FootnoteReference"/>
        </w:rPr>
        <w:footnoteRef/>
      </w:r>
      <w:r>
        <w:t xml:space="preserve"> </w:t>
      </w:r>
      <w:r>
        <w:fldChar w:fldCharType="begin"/>
      </w:r>
      <w:r>
        <w:instrText xml:space="preserve"> ADDIN ZOTERO_ITEM CSL_CITATION {"citationID":"0nvIZo2e","properties":{"formattedCitation":"Anderson 2006.","plainCitation":"Anderson 2006.","noteIndex":36},"citationItems":[{"id":899,"uris":["http://zotero.org/users/9147288/items/S646NH4Q"],"itemData":{"id":899,"type":"book","publisher":"Verso Books","title":"Imagined Communities","author":[{"family":"Anderson","given":"Benedict"}],"issued":{"date-parts":[["2006"]]}}}],"schema":"https://github.com/citation-style-language/schema/raw/master/csl-citation.json"} </w:instrText>
      </w:r>
      <w:r>
        <w:fldChar w:fldCharType="separate"/>
      </w:r>
      <w:r w:rsidRPr="00596743">
        <w:t>Anderson</w:t>
      </w:r>
      <w:r w:rsidR="00C70417">
        <w:t>,</w:t>
      </w:r>
      <w:r w:rsidRPr="00596743">
        <w:t xml:space="preserve"> 2006.</w:t>
      </w:r>
      <w:r>
        <w:fldChar w:fldCharType="end"/>
      </w:r>
    </w:p>
  </w:footnote>
  <w:footnote w:id="57">
    <w:p w14:paraId="142F347A" w14:textId="275B8D6E" w:rsidR="00964EDC" w:rsidRPr="00964EDC" w:rsidRDefault="00964EDC">
      <w:pPr>
        <w:pStyle w:val="FootnoteText"/>
        <w:rPr>
          <w:lang w:val="en-AU"/>
        </w:rPr>
      </w:pPr>
      <w:r>
        <w:rPr>
          <w:rStyle w:val="FootnoteReference"/>
        </w:rPr>
        <w:footnoteRef/>
      </w:r>
      <w:r>
        <w:t xml:space="preserve"> </w:t>
      </w:r>
      <w:r>
        <w:fldChar w:fldCharType="begin"/>
      </w:r>
      <w:r>
        <w:instrText xml:space="preserve"> ADDIN ZOTERO_ITEM CSL_CITATION {"citationID":"ozNZEDAQ","properties":{"formattedCitation":"Anderson 1970.","plainCitation":"Anderson 1970.","noteIndex":37},"citationItems":[{"id":2647,"uris":["http://zotero.org/users/9147288/items/KPLSCQG7"],"itemData":{"id":2647,"type":"article-journal","container-title":"Theology Today","issue":"1","note":"ISBN: 0040-5736\npublisher: SAGE Publications Sage UK: London, England","page":"44-62","title":"Myth and the Biblical Tradition","volume":"27","author":[{"family":"Anderson","given":"Bernhard W."}],"issued":{"date-parts":[["1970"]]}}}],"schema":"https://github.com/citation-style-language/schema/raw/master/csl-citation.json"} </w:instrText>
      </w:r>
      <w:r>
        <w:fldChar w:fldCharType="separate"/>
      </w:r>
      <w:r w:rsidRPr="00964EDC">
        <w:t>Anderson</w:t>
      </w:r>
      <w:r w:rsidR="00C70417">
        <w:t>,</w:t>
      </w:r>
      <w:r w:rsidRPr="00964EDC">
        <w:t xml:space="preserve"> 1970.</w:t>
      </w:r>
      <w:r>
        <w:fldChar w:fldCharType="end"/>
      </w:r>
    </w:p>
  </w:footnote>
  <w:footnote w:id="58">
    <w:p w14:paraId="19CE0132" w14:textId="7E4D88E1" w:rsidR="00AC64EE" w:rsidRPr="00AC64EE" w:rsidRDefault="00AC64EE">
      <w:pPr>
        <w:pStyle w:val="FootnoteText"/>
        <w:rPr>
          <w:lang w:val="en-AU"/>
        </w:rPr>
      </w:pPr>
      <w:r>
        <w:rPr>
          <w:rStyle w:val="FootnoteReference"/>
        </w:rPr>
        <w:footnoteRef/>
      </w:r>
      <w:r>
        <w:t xml:space="preserve"> </w:t>
      </w:r>
      <w:r>
        <w:fldChar w:fldCharType="begin"/>
      </w:r>
      <w:r>
        <w:instrText xml:space="preserve"> ADDIN ZOTERO_ITEM CSL_CITATION {"citationID":"xP4nuCtH","properties":{"formattedCitation":"Anderson 1950.","plainCitation":"Anderson 1950.","noteIndex":38},"citationItems":[{"id":2649,"uris":["http://zotero.org/users/9147288/items/P6CT6ZEV"],"itemData":{"id":2649,"type":"article-journal","container-title":"The Journal of Religion","DOI":"10.1086/483936","ISSN":"0022-4189, 1549-6538","issue":"1","journalAbbreviation":"The Journal of Religion","language":"en","page":"32-43","source":"DOI.org (Crossref)","title":"The Place of the Book of Esther in the Christian Bible","volume":"30","author":[{"family":"Anderson","given":"Bernhard W."}],"issued":{"date-parts":[["1950",1]]}}}],"schema":"https://github.com/citation-style-language/schema/raw/master/csl-citation.json"} </w:instrText>
      </w:r>
      <w:r>
        <w:fldChar w:fldCharType="separate"/>
      </w:r>
      <w:r w:rsidRPr="00AC64EE">
        <w:t>Anderson</w:t>
      </w:r>
      <w:r w:rsidR="00C70417">
        <w:t>,</w:t>
      </w:r>
      <w:r w:rsidRPr="00AC64EE">
        <w:t xml:space="preserve"> 1950.</w:t>
      </w:r>
      <w:r>
        <w:fldChar w:fldCharType="end"/>
      </w:r>
    </w:p>
  </w:footnote>
  <w:footnote w:id="59">
    <w:p w14:paraId="2F74D467" w14:textId="7DA61A4A" w:rsidR="008D2810" w:rsidRPr="008D2810" w:rsidRDefault="008D2810">
      <w:pPr>
        <w:pStyle w:val="FootnoteText"/>
        <w:rPr>
          <w:lang w:val="en-AU"/>
        </w:rPr>
      </w:pPr>
      <w:r>
        <w:rPr>
          <w:rStyle w:val="FootnoteReference"/>
        </w:rPr>
        <w:footnoteRef/>
      </w:r>
      <w:r>
        <w:t xml:space="preserve"> </w:t>
      </w:r>
      <w:r>
        <w:fldChar w:fldCharType="begin"/>
      </w:r>
      <w:r>
        <w:instrText xml:space="preserve"> ADDIN ZOTERO_ITEM CSL_CITATION {"citationID":"gH1KJ8C7","properties":{"formattedCitation":"John 2017, 14\\uc0\\u8211{}7.","plainCitation":"John 2017, 14–7.","noteIndex":52},"citationItems":[{"id":2653,"uris":["http://zotero.org/users/9147288/items/FUBGJSFC"],"itemData":{"id":2653,"type":"book","abstract":"John Milton (1608 – 1674)  A famous English poet, polemicist, man of letters, and civil servant for the Commonwealth of England under Oliver Cromwell.  Milton&amp;#39;s poetry and prose reflect deep personal convictions, a passion for freedom and self-determination, and the urgent issues and political turbulence of his day.  Paradise Lost (1667) an epic poem written in blank verse, is considered to be Milton&amp;#39;s major work. It certainly helped solidify his reputation as one of the greatest English poets of his time.The poem concerns the Biblical story of the Fall of Man: the temptation of Adam and Eve by the fallen angel  Satan and their expulsion from the Garden of Eden. Milton&amp;#39;s purpose, stated in Book I, is to &amp;quot;justify the ways of God to men&amp;quot;.","ISBN":"978-5-521-00199-6","language":"en","note":"Google-Books-ID: mLQsDwAAQBAJ","number-of-pages":"256","publisher":"Рипол Классик","source":"Google Books","title":"Paradise Lost","author":[{"family":"John","given":"Milton"}],"issued":{"date-parts":[["2017",7,16]]}},"locator":"14-7"}],"schema":"https://github.com/citation-style-language/schema/raw/master/csl-citation.json"} </w:instrText>
      </w:r>
      <w:r>
        <w:fldChar w:fldCharType="separate"/>
      </w:r>
      <w:r w:rsidRPr="008D2810">
        <w:t>John</w:t>
      </w:r>
      <w:r w:rsidR="00C70417">
        <w:t>,</w:t>
      </w:r>
      <w:r w:rsidRPr="008D2810">
        <w:t xml:space="preserve"> 2017, </w:t>
      </w:r>
      <w:r w:rsidR="00C70417">
        <w:t>pp.</w:t>
      </w:r>
      <w:r w:rsidRPr="008D2810">
        <w:t>14–7.</w:t>
      </w:r>
      <w:r>
        <w:fldChar w:fldCharType="end"/>
      </w:r>
    </w:p>
  </w:footnote>
  <w:footnote w:id="60">
    <w:p w14:paraId="571D7AEF" w14:textId="475F578B" w:rsidR="00FE2401" w:rsidRPr="00FE2401" w:rsidRDefault="00FE2401">
      <w:pPr>
        <w:pStyle w:val="FootnoteText"/>
        <w:rPr>
          <w:lang w:val="en-AU"/>
        </w:rPr>
      </w:pPr>
      <w:r>
        <w:rPr>
          <w:rStyle w:val="FootnoteReference"/>
        </w:rPr>
        <w:footnoteRef/>
      </w:r>
      <w:r>
        <w:t xml:space="preserve"> </w:t>
      </w:r>
      <w:r>
        <w:fldChar w:fldCharType="begin"/>
      </w:r>
      <w:r w:rsidR="00761BF1">
        <w:instrText xml:space="preserve"> ADDIN ZOTERO_ITEM CSL_CITATION {"citationID":"2agfTBl6","properties":{"formattedCitation":"Vergilius Maro and Goetz 1990.","plainCitation":"Vergilius Maro and Goetz 1990.","noteIndex":57},"citationItems":[{"id":2620,"uris":["http://zotero.org/users/9147288/items/9CKYVKPF"],"itemData":{"id":2620,"type":"article-journal","container-title":"Great books of the Western world","note":"ISBN: 0852295316\npublisher: Encyclopaedia Britannica, Inc.","title":"The Eclogues","author":[{"family":"Vergilius Maro","given":"Publius"},{"family":"Goetz","given":"Philip W."}],"issued":{"date-parts":[["1990"]]}}}],"schema":"https://github.com/citation-style-language/schema/raw/master/csl-citation.json"} </w:instrText>
      </w:r>
      <w:r>
        <w:fldChar w:fldCharType="separate"/>
      </w:r>
      <w:r w:rsidRPr="00FE2401">
        <w:t>Vergilius Maro and Goetz</w:t>
      </w:r>
      <w:r w:rsidR="00C70417">
        <w:t>,</w:t>
      </w:r>
      <w:r w:rsidRPr="00FE2401">
        <w:t xml:space="preserve"> 1990.</w:t>
      </w:r>
      <w:r>
        <w:fldChar w:fldCharType="end"/>
      </w:r>
    </w:p>
  </w:footnote>
  <w:footnote w:id="61">
    <w:p w14:paraId="35DC2764" w14:textId="2FAE4D88" w:rsidR="002C2DA6" w:rsidRPr="002C2DA6" w:rsidRDefault="002C2DA6">
      <w:pPr>
        <w:pStyle w:val="FootnoteText"/>
        <w:rPr>
          <w:lang w:val="en-AU"/>
        </w:rPr>
      </w:pPr>
      <w:r>
        <w:rPr>
          <w:rStyle w:val="FootnoteReference"/>
        </w:rPr>
        <w:footnoteRef/>
      </w:r>
      <w:r>
        <w:t xml:space="preserve"> </w:t>
      </w:r>
      <w:r>
        <w:fldChar w:fldCharType="begin"/>
      </w:r>
      <w:r>
        <w:instrText xml:space="preserve"> ADDIN ZOTERO_ITEM CSL_CITATION {"citationID":"w6wkZaol","properties":{"formattedCitation":"Frazer and DCL 1870.","plainCitation":"Frazer and DCL 1870.","noteIndex":40},"citationItems":[{"id":2650,"uris":["http://zotero.org/users/9147288/items/MVWA89U4"],"itemData":{"id":2650,"type":"article-journal","container-title":"A Study in","title":"The golden bough","author":[{"family":"Frazer","given":"James George"},{"family":"DCL","given":"LLD"}],"issued":{"date-parts":[["1870"]]}}}],"schema":"https://github.com/citation-style-language/schema/raw/master/csl-citation.json"} </w:instrText>
      </w:r>
      <w:r>
        <w:fldChar w:fldCharType="separate"/>
      </w:r>
      <w:r w:rsidRPr="002C2DA6">
        <w:t>Frazer and DCL</w:t>
      </w:r>
      <w:r w:rsidR="00C70417">
        <w:t>,</w:t>
      </w:r>
      <w:r w:rsidRPr="002C2DA6">
        <w:t xml:space="preserve"> 1870.</w:t>
      </w:r>
      <w:r>
        <w:fldChar w:fldCharType="end"/>
      </w:r>
    </w:p>
  </w:footnote>
  <w:footnote w:id="62">
    <w:p w14:paraId="6956DC17" w14:textId="207365A3" w:rsidR="00885764" w:rsidRPr="00885764" w:rsidRDefault="00885764">
      <w:pPr>
        <w:pStyle w:val="FootnoteText"/>
        <w:rPr>
          <w:lang w:val="en-AU"/>
        </w:rPr>
      </w:pPr>
      <w:r>
        <w:rPr>
          <w:rStyle w:val="FootnoteReference"/>
        </w:rPr>
        <w:footnoteRef/>
      </w:r>
      <w:r>
        <w:t xml:space="preserve"> </w:t>
      </w:r>
      <w:r>
        <w:fldChar w:fldCharType="begin"/>
      </w:r>
      <w:r w:rsidR="00761BF1">
        <w:instrText xml:space="preserve"> ADDIN ZOTERO_ITEM CSL_CITATION {"citationID":"ymFgQwxO","properties":{"formattedCitation":"Vergilius Maro and Goetz 1990, 379.","plainCitation":"Vergilius Maro and Goetz 1990, 379.","noteIndex":59},"citationItems":[{"id":2620,"uris":["http://zotero.org/users/9147288/items/9CKYVKPF"],"itemData":{"id":2620,"type":"article-journal","container-title":"Great books of the Western world","note":"ISBN: 0852295316\npublisher: Encyclopaedia Britannica, Inc.","title":"The Eclogues","author":[{"family":"Vergilius Maro","given":"Publius"},{"family":"Goetz","given":"Philip W."}],"issued":{"date-parts":[["1990"]]}},"locator":"379"}],"schema":"https://github.com/citation-style-language/schema/raw/master/csl-citation.json"} </w:instrText>
      </w:r>
      <w:r>
        <w:fldChar w:fldCharType="separate"/>
      </w:r>
      <w:r w:rsidRPr="00885764">
        <w:t>Vergilius Maro and Goetz</w:t>
      </w:r>
      <w:r w:rsidR="00C70417">
        <w:t>,</w:t>
      </w:r>
      <w:r w:rsidRPr="00885764">
        <w:t xml:space="preserve"> 1990, </w:t>
      </w:r>
      <w:r w:rsidR="00C70417">
        <w:t>p.</w:t>
      </w:r>
      <w:r w:rsidRPr="00885764">
        <w:t>379.</w:t>
      </w:r>
      <w:r>
        <w:fldChar w:fldCharType="end"/>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889899" w14:textId="77777777" w:rsidR="00480ABE" w:rsidRDefault="00480AB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7DAF93" w14:textId="2EB797C1" w:rsidR="00480ABE" w:rsidRPr="00480ABE" w:rsidRDefault="00480ABE">
    <w:pPr>
      <w:pStyle w:val="Header"/>
      <w:rPr>
        <w:lang w:val="en-AU"/>
      </w:rPr>
    </w:pPr>
    <w:r>
      <w:rPr>
        <w:lang w:val="en-AU"/>
      </w:rPr>
      <w:t>Craig Wright</w:t>
    </w:r>
    <w:r>
      <w:rPr>
        <w:lang w:val="en-AU"/>
      </w:rPr>
      <w:tab/>
      <w:t>UWTSD</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37EF36" w14:textId="77777777" w:rsidR="00480ABE" w:rsidRDefault="00480AB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CD67B0"/>
    <w:multiLevelType w:val="multilevel"/>
    <w:tmpl w:val="3C8AF2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72938AE"/>
    <w:multiLevelType w:val="multilevel"/>
    <w:tmpl w:val="43AA64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7E14A2C"/>
    <w:multiLevelType w:val="hybridMultilevel"/>
    <w:tmpl w:val="58E00A80"/>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3" w15:restartNumberingAfterBreak="0">
    <w:nsid w:val="26095CD0"/>
    <w:multiLevelType w:val="hybridMultilevel"/>
    <w:tmpl w:val="C846DCC0"/>
    <w:lvl w:ilvl="0" w:tplc="0C09000F">
      <w:start w:val="1"/>
      <w:numFmt w:val="decimal"/>
      <w:lvlText w:val="%1."/>
      <w:lvlJc w:val="left"/>
      <w:pPr>
        <w:ind w:left="1440" w:hanging="360"/>
      </w:pPr>
    </w:lvl>
    <w:lvl w:ilvl="1" w:tplc="0C090019" w:tentative="1">
      <w:start w:val="1"/>
      <w:numFmt w:val="lowerLetter"/>
      <w:lvlText w:val="%2."/>
      <w:lvlJc w:val="left"/>
      <w:pPr>
        <w:ind w:left="2160" w:hanging="360"/>
      </w:pPr>
    </w:lvl>
    <w:lvl w:ilvl="2" w:tplc="0C09001B" w:tentative="1">
      <w:start w:val="1"/>
      <w:numFmt w:val="lowerRoman"/>
      <w:lvlText w:val="%3."/>
      <w:lvlJc w:val="right"/>
      <w:pPr>
        <w:ind w:left="2880" w:hanging="180"/>
      </w:pPr>
    </w:lvl>
    <w:lvl w:ilvl="3" w:tplc="0C09000F" w:tentative="1">
      <w:start w:val="1"/>
      <w:numFmt w:val="decimal"/>
      <w:lvlText w:val="%4."/>
      <w:lvlJc w:val="left"/>
      <w:pPr>
        <w:ind w:left="3600" w:hanging="360"/>
      </w:pPr>
    </w:lvl>
    <w:lvl w:ilvl="4" w:tplc="0C090019" w:tentative="1">
      <w:start w:val="1"/>
      <w:numFmt w:val="lowerLetter"/>
      <w:lvlText w:val="%5."/>
      <w:lvlJc w:val="left"/>
      <w:pPr>
        <w:ind w:left="4320" w:hanging="360"/>
      </w:pPr>
    </w:lvl>
    <w:lvl w:ilvl="5" w:tplc="0C09001B" w:tentative="1">
      <w:start w:val="1"/>
      <w:numFmt w:val="lowerRoman"/>
      <w:lvlText w:val="%6."/>
      <w:lvlJc w:val="right"/>
      <w:pPr>
        <w:ind w:left="5040" w:hanging="180"/>
      </w:pPr>
    </w:lvl>
    <w:lvl w:ilvl="6" w:tplc="0C09000F" w:tentative="1">
      <w:start w:val="1"/>
      <w:numFmt w:val="decimal"/>
      <w:lvlText w:val="%7."/>
      <w:lvlJc w:val="left"/>
      <w:pPr>
        <w:ind w:left="5760" w:hanging="360"/>
      </w:pPr>
    </w:lvl>
    <w:lvl w:ilvl="7" w:tplc="0C090019" w:tentative="1">
      <w:start w:val="1"/>
      <w:numFmt w:val="lowerLetter"/>
      <w:lvlText w:val="%8."/>
      <w:lvlJc w:val="left"/>
      <w:pPr>
        <w:ind w:left="6480" w:hanging="360"/>
      </w:pPr>
    </w:lvl>
    <w:lvl w:ilvl="8" w:tplc="0C09001B" w:tentative="1">
      <w:start w:val="1"/>
      <w:numFmt w:val="lowerRoman"/>
      <w:lvlText w:val="%9."/>
      <w:lvlJc w:val="right"/>
      <w:pPr>
        <w:ind w:left="7200" w:hanging="180"/>
      </w:pPr>
    </w:lvl>
  </w:abstractNum>
  <w:abstractNum w:abstractNumId="4" w15:restartNumberingAfterBreak="0">
    <w:nsid w:val="513949E6"/>
    <w:multiLevelType w:val="multilevel"/>
    <w:tmpl w:val="96A4B2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7D04235"/>
    <w:multiLevelType w:val="hybridMultilevel"/>
    <w:tmpl w:val="6D9C6644"/>
    <w:lvl w:ilvl="0" w:tplc="5B8443B2">
      <w:start w:val="1"/>
      <w:numFmt w:val="decimal"/>
      <w:lvlText w:val="%1."/>
      <w:lvlJc w:val="left"/>
      <w:pPr>
        <w:ind w:left="1080" w:hanging="360"/>
      </w:pPr>
      <w:rPr>
        <w:rFonts w:hint="default"/>
      </w:rPr>
    </w:lvl>
    <w:lvl w:ilvl="1" w:tplc="0C090019" w:tentative="1">
      <w:start w:val="1"/>
      <w:numFmt w:val="lowerLetter"/>
      <w:lvlText w:val="%2."/>
      <w:lvlJc w:val="left"/>
      <w:pPr>
        <w:ind w:left="1800" w:hanging="360"/>
      </w:pPr>
    </w:lvl>
    <w:lvl w:ilvl="2" w:tplc="0C09001B" w:tentative="1">
      <w:start w:val="1"/>
      <w:numFmt w:val="lowerRoman"/>
      <w:lvlText w:val="%3."/>
      <w:lvlJc w:val="right"/>
      <w:pPr>
        <w:ind w:left="2520" w:hanging="180"/>
      </w:pPr>
    </w:lvl>
    <w:lvl w:ilvl="3" w:tplc="0C09000F" w:tentative="1">
      <w:start w:val="1"/>
      <w:numFmt w:val="decimal"/>
      <w:lvlText w:val="%4."/>
      <w:lvlJc w:val="left"/>
      <w:pPr>
        <w:ind w:left="3240" w:hanging="360"/>
      </w:pPr>
    </w:lvl>
    <w:lvl w:ilvl="4" w:tplc="0C090019" w:tentative="1">
      <w:start w:val="1"/>
      <w:numFmt w:val="lowerLetter"/>
      <w:lvlText w:val="%5."/>
      <w:lvlJc w:val="left"/>
      <w:pPr>
        <w:ind w:left="3960" w:hanging="360"/>
      </w:pPr>
    </w:lvl>
    <w:lvl w:ilvl="5" w:tplc="0C09001B" w:tentative="1">
      <w:start w:val="1"/>
      <w:numFmt w:val="lowerRoman"/>
      <w:lvlText w:val="%6."/>
      <w:lvlJc w:val="right"/>
      <w:pPr>
        <w:ind w:left="4680" w:hanging="180"/>
      </w:pPr>
    </w:lvl>
    <w:lvl w:ilvl="6" w:tplc="0C09000F" w:tentative="1">
      <w:start w:val="1"/>
      <w:numFmt w:val="decimal"/>
      <w:lvlText w:val="%7."/>
      <w:lvlJc w:val="left"/>
      <w:pPr>
        <w:ind w:left="5400" w:hanging="360"/>
      </w:pPr>
    </w:lvl>
    <w:lvl w:ilvl="7" w:tplc="0C090019" w:tentative="1">
      <w:start w:val="1"/>
      <w:numFmt w:val="lowerLetter"/>
      <w:lvlText w:val="%8."/>
      <w:lvlJc w:val="left"/>
      <w:pPr>
        <w:ind w:left="6120" w:hanging="360"/>
      </w:pPr>
    </w:lvl>
    <w:lvl w:ilvl="8" w:tplc="0C09001B" w:tentative="1">
      <w:start w:val="1"/>
      <w:numFmt w:val="lowerRoman"/>
      <w:lvlText w:val="%9."/>
      <w:lvlJc w:val="right"/>
      <w:pPr>
        <w:ind w:left="6840" w:hanging="180"/>
      </w:pPr>
    </w:lvl>
  </w:abstractNum>
  <w:abstractNum w:abstractNumId="6" w15:restartNumberingAfterBreak="0">
    <w:nsid w:val="7D3231DF"/>
    <w:multiLevelType w:val="multilevel"/>
    <w:tmpl w:val="DA7EC0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78276299">
    <w:abstractNumId w:val="2"/>
  </w:num>
  <w:num w:numId="2" w16cid:durableId="448015884">
    <w:abstractNumId w:val="1"/>
  </w:num>
  <w:num w:numId="3" w16cid:durableId="6099793">
    <w:abstractNumId w:val="3"/>
  </w:num>
  <w:num w:numId="4" w16cid:durableId="1879932727">
    <w:abstractNumId w:val="5"/>
  </w:num>
  <w:num w:numId="5" w16cid:durableId="960451418">
    <w:abstractNumId w:val="0"/>
  </w:num>
  <w:num w:numId="6" w16cid:durableId="1182015795">
    <w:abstractNumId w:val="4"/>
  </w:num>
  <w:num w:numId="7" w16cid:durableId="192796190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jQxNDQxMTI3MLUwMDFW0lEKTi0uzszPAykwMqsFAGlf/IktAAAA"/>
    <w:docVar w:name="dgnword-docGUID" w:val="{933A64B6-9B95-4036-B7DB-20DB2FB5004F}"/>
    <w:docVar w:name="dgnword-eventsink" w:val="2265360015136"/>
  </w:docVars>
  <w:rsids>
    <w:rsidRoot w:val="00971CDC"/>
    <w:rsid w:val="00000559"/>
    <w:rsid w:val="000010C9"/>
    <w:rsid w:val="0000132E"/>
    <w:rsid w:val="00001B76"/>
    <w:rsid w:val="00001BDA"/>
    <w:rsid w:val="00004DFF"/>
    <w:rsid w:val="00005228"/>
    <w:rsid w:val="00006D02"/>
    <w:rsid w:val="0000778A"/>
    <w:rsid w:val="000077C7"/>
    <w:rsid w:val="00007A2F"/>
    <w:rsid w:val="00010885"/>
    <w:rsid w:val="00010DF6"/>
    <w:rsid w:val="000113C3"/>
    <w:rsid w:val="00013226"/>
    <w:rsid w:val="00013C70"/>
    <w:rsid w:val="0001427F"/>
    <w:rsid w:val="000142FB"/>
    <w:rsid w:val="000146ED"/>
    <w:rsid w:val="00014CBA"/>
    <w:rsid w:val="000153E3"/>
    <w:rsid w:val="00015B63"/>
    <w:rsid w:val="000161F6"/>
    <w:rsid w:val="00016716"/>
    <w:rsid w:val="000168B5"/>
    <w:rsid w:val="0001717E"/>
    <w:rsid w:val="0001720B"/>
    <w:rsid w:val="00017C54"/>
    <w:rsid w:val="00020C7A"/>
    <w:rsid w:val="000211BF"/>
    <w:rsid w:val="00021706"/>
    <w:rsid w:val="00021D67"/>
    <w:rsid w:val="00021EBC"/>
    <w:rsid w:val="00023418"/>
    <w:rsid w:val="000242F2"/>
    <w:rsid w:val="00024D0B"/>
    <w:rsid w:val="000255C0"/>
    <w:rsid w:val="000259AF"/>
    <w:rsid w:val="000270F4"/>
    <w:rsid w:val="00027273"/>
    <w:rsid w:val="00027845"/>
    <w:rsid w:val="00027D52"/>
    <w:rsid w:val="00027F66"/>
    <w:rsid w:val="0003031E"/>
    <w:rsid w:val="0003088E"/>
    <w:rsid w:val="00030CDD"/>
    <w:rsid w:val="00031109"/>
    <w:rsid w:val="00031176"/>
    <w:rsid w:val="000312A9"/>
    <w:rsid w:val="00032400"/>
    <w:rsid w:val="00032B83"/>
    <w:rsid w:val="000336DE"/>
    <w:rsid w:val="000361FB"/>
    <w:rsid w:val="00036E18"/>
    <w:rsid w:val="00037014"/>
    <w:rsid w:val="00040723"/>
    <w:rsid w:val="00040F94"/>
    <w:rsid w:val="0004131A"/>
    <w:rsid w:val="000413A6"/>
    <w:rsid w:val="00041688"/>
    <w:rsid w:val="00041ADE"/>
    <w:rsid w:val="00041B2B"/>
    <w:rsid w:val="00043DE6"/>
    <w:rsid w:val="000448BB"/>
    <w:rsid w:val="00045288"/>
    <w:rsid w:val="00045A10"/>
    <w:rsid w:val="000460C2"/>
    <w:rsid w:val="0004615D"/>
    <w:rsid w:val="0004642F"/>
    <w:rsid w:val="000464CE"/>
    <w:rsid w:val="00046E22"/>
    <w:rsid w:val="000470C1"/>
    <w:rsid w:val="000479E0"/>
    <w:rsid w:val="00047A19"/>
    <w:rsid w:val="00047DEC"/>
    <w:rsid w:val="00051429"/>
    <w:rsid w:val="00052357"/>
    <w:rsid w:val="00052375"/>
    <w:rsid w:val="00052DE8"/>
    <w:rsid w:val="000531EE"/>
    <w:rsid w:val="00054CC2"/>
    <w:rsid w:val="00056303"/>
    <w:rsid w:val="000574A5"/>
    <w:rsid w:val="0005780F"/>
    <w:rsid w:val="00057B28"/>
    <w:rsid w:val="00060145"/>
    <w:rsid w:val="00060EB6"/>
    <w:rsid w:val="00061958"/>
    <w:rsid w:val="0006310B"/>
    <w:rsid w:val="000637C6"/>
    <w:rsid w:val="00063CD8"/>
    <w:rsid w:val="0006423A"/>
    <w:rsid w:val="00064984"/>
    <w:rsid w:val="00067215"/>
    <w:rsid w:val="000674E9"/>
    <w:rsid w:val="000678F0"/>
    <w:rsid w:val="00070F10"/>
    <w:rsid w:val="00072123"/>
    <w:rsid w:val="000756C9"/>
    <w:rsid w:val="00077875"/>
    <w:rsid w:val="0008098C"/>
    <w:rsid w:val="00080F7C"/>
    <w:rsid w:val="0008159E"/>
    <w:rsid w:val="0008169D"/>
    <w:rsid w:val="0008224F"/>
    <w:rsid w:val="0008258D"/>
    <w:rsid w:val="00082E45"/>
    <w:rsid w:val="00083A52"/>
    <w:rsid w:val="00085082"/>
    <w:rsid w:val="0008590F"/>
    <w:rsid w:val="00085B2B"/>
    <w:rsid w:val="00085C22"/>
    <w:rsid w:val="00086593"/>
    <w:rsid w:val="00087482"/>
    <w:rsid w:val="00087556"/>
    <w:rsid w:val="00087DD0"/>
    <w:rsid w:val="00087F6B"/>
    <w:rsid w:val="000918FC"/>
    <w:rsid w:val="00092716"/>
    <w:rsid w:val="00092C36"/>
    <w:rsid w:val="00092FF9"/>
    <w:rsid w:val="000931AF"/>
    <w:rsid w:val="000932C0"/>
    <w:rsid w:val="00093D2E"/>
    <w:rsid w:val="00094748"/>
    <w:rsid w:val="00094B74"/>
    <w:rsid w:val="00097423"/>
    <w:rsid w:val="00097607"/>
    <w:rsid w:val="00097638"/>
    <w:rsid w:val="0009764A"/>
    <w:rsid w:val="0009782E"/>
    <w:rsid w:val="000A16CC"/>
    <w:rsid w:val="000A2543"/>
    <w:rsid w:val="000A254C"/>
    <w:rsid w:val="000A3B55"/>
    <w:rsid w:val="000A41C1"/>
    <w:rsid w:val="000A4367"/>
    <w:rsid w:val="000A6391"/>
    <w:rsid w:val="000A66EC"/>
    <w:rsid w:val="000A6953"/>
    <w:rsid w:val="000A799E"/>
    <w:rsid w:val="000A7E77"/>
    <w:rsid w:val="000B0066"/>
    <w:rsid w:val="000B13BC"/>
    <w:rsid w:val="000B1B8B"/>
    <w:rsid w:val="000B34A8"/>
    <w:rsid w:val="000B495B"/>
    <w:rsid w:val="000B4D1C"/>
    <w:rsid w:val="000B526D"/>
    <w:rsid w:val="000B5D9D"/>
    <w:rsid w:val="000B5F41"/>
    <w:rsid w:val="000B698A"/>
    <w:rsid w:val="000B6CF7"/>
    <w:rsid w:val="000B6E4C"/>
    <w:rsid w:val="000B7A6D"/>
    <w:rsid w:val="000C25D8"/>
    <w:rsid w:val="000C2927"/>
    <w:rsid w:val="000C2992"/>
    <w:rsid w:val="000C2B05"/>
    <w:rsid w:val="000C2C69"/>
    <w:rsid w:val="000C2F78"/>
    <w:rsid w:val="000C313D"/>
    <w:rsid w:val="000C343E"/>
    <w:rsid w:val="000C48FB"/>
    <w:rsid w:val="000C4B13"/>
    <w:rsid w:val="000C4CAF"/>
    <w:rsid w:val="000C563A"/>
    <w:rsid w:val="000C5C5A"/>
    <w:rsid w:val="000C6B60"/>
    <w:rsid w:val="000C772D"/>
    <w:rsid w:val="000D0F95"/>
    <w:rsid w:val="000D1059"/>
    <w:rsid w:val="000D164B"/>
    <w:rsid w:val="000D25EB"/>
    <w:rsid w:val="000D2A1B"/>
    <w:rsid w:val="000D58FC"/>
    <w:rsid w:val="000D72DD"/>
    <w:rsid w:val="000E2C8C"/>
    <w:rsid w:val="000E40CF"/>
    <w:rsid w:val="000E445F"/>
    <w:rsid w:val="000E4709"/>
    <w:rsid w:val="000E4F14"/>
    <w:rsid w:val="000E6BB6"/>
    <w:rsid w:val="000E766F"/>
    <w:rsid w:val="000E7B4A"/>
    <w:rsid w:val="000F00E5"/>
    <w:rsid w:val="000F0634"/>
    <w:rsid w:val="000F0C67"/>
    <w:rsid w:val="000F2761"/>
    <w:rsid w:val="000F4DE8"/>
    <w:rsid w:val="000F5D79"/>
    <w:rsid w:val="000F5E38"/>
    <w:rsid w:val="000F7C79"/>
    <w:rsid w:val="00100CAD"/>
    <w:rsid w:val="001018C1"/>
    <w:rsid w:val="00101C38"/>
    <w:rsid w:val="00102659"/>
    <w:rsid w:val="00102BCF"/>
    <w:rsid w:val="0010311E"/>
    <w:rsid w:val="00103318"/>
    <w:rsid w:val="00104CA1"/>
    <w:rsid w:val="00104EB8"/>
    <w:rsid w:val="00104FCD"/>
    <w:rsid w:val="001052BD"/>
    <w:rsid w:val="001057D7"/>
    <w:rsid w:val="00105E53"/>
    <w:rsid w:val="00105EF5"/>
    <w:rsid w:val="001060E2"/>
    <w:rsid w:val="00106330"/>
    <w:rsid w:val="0010646E"/>
    <w:rsid w:val="00107B26"/>
    <w:rsid w:val="0011077D"/>
    <w:rsid w:val="00110B7E"/>
    <w:rsid w:val="00110D73"/>
    <w:rsid w:val="00111837"/>
    <w:rsid w:val="00111C71"/>
    <w:rsid w:val="00112080"/>
    <w:rsid w:val="0011210A"/>
    <w:rsid w:val="001153E6"/>
    <w:rsid w:val="001164FA"/>
    <w:rsid w:val="00117490"/>
    <w:rsid w:val="001178B3"/>
    <w:rsid w:val="00117EA3"/>
    <w:rsid w:val="00120246"/>
    <w:rsid w:val="00120903"/>
    <w:rsid w:val="001209D3"/>
    <w:rsid w:val="00120D87"/>
    <w:rsid w:val="00120EEF"/>
    <w:rsid w:val="001211BB"/>
    <w:rsid w:val="001220C5"/>
    <w:rsid w:val="0012254B"/>
    <w:rsid w:val="00122771"/>
    <w:rsid w:val="00122C98"/>
    <w:rsid w:val="001238E1"/>
    <w:rsid w:val="001246B3"/>
    <w:rsid w:val="00124D65"/>
    <w:rsid w:val="00125835"/>
    <w:rsid w:val="00125A2E"/>
    <w:rsid w:val="001266E6"/>
    <w:rsid w:val="001267FA"/>
    <w:rsid w:val="00126C93"/>
    <w:rsid w:val="00126CF0"/>
    <w:rsid w:val="0012778F"/>
    <w:rsid w:val="00130F58"/>
    <w:rsid w:val="001312A2"/>
    <w:rsid w:val="001317A5"/>
    <w:rsid w:val="00131864"/>
    <w:rsid w:val="00131977"/>
    <w:rsid w:val="00133653"/>
    <w:rsid w:val="00133871"/>
    <w:rsid w:val="00134393"/>
    <w:rsid w:val="00137AD3"/>
    <w:rsid w:val="00140E6E"/>
    <w:rsid w:val="00141423"/>
    <w:rsid w:val="00141632"/>
    <w:rsid w:val="0014380C"/>
    <w:rsid w:val="00144672"/>
    <w:rsid w:val="00145709"/>
    <w:rsid w:val="00145AAD"/>
    <w:rsid w:val="0014643F"/>
    <w:rsid w:val="00146864"/>
    <w:rsid w:val="00146D94"/>
    <w:rsid w:val="0014744D"/>
    <w:rsid w:val="00147FE5"/>
    <w:rsid w:val="00150936"/>
    <w:rsid w:val="00150A88"/>
    <w:rsid w:val="00152249"/>
    <w:rsid w:val="0015274B"/>
    <w:rsid w:val="00153784"/>
    <w:rsid w:val="00153DB9"/>
    <w:rsid w:val="00153F8E"/>
    <w:rsid w:val="0015442A"/>
    <w:rsid w:val="0015470D"/>
    <w:rsid w:val="00154F49"/>
    <w:rsid w:val="0015500E"/>
    <w:rsid w:val="001551D0"/>
    <w:rsid w:val="00155B1A"/>
    <w:rsid w:val="00156EA7"/>
    <w:rsid w:val="00157343"/>
    <w:rsid w:val="00157585"/>
    <w:rsid w:val="001579A4"/>
    <w:rsid w:val="00157EB2"/>
    <w:rsid w:val="00160085"/>
    <w:rsid w:val="001601B9"/>
    <w:rsid w:val="00160760"/>
    <w:rsid w:val="00161635"/>
    <w:rsid w:val="001621D2"/>
    <w:rsid w:val="00162A15"/>
    <w:rsid w:val="00162F95"/>
    <w:rsid w:val="001632EC"/>
    <w:rsid w:val="001643F5"/>
    <w:rsid w:val="0016442E"/>
    <w:rsid w:val="0016461A"/>
    <w:rsid w:val="00164679"/>
    <w:rsid w:val="00166EFA"/>
    <w:rsid w:val="00167B41"/>
    <w:rsid w:val="001708BC"/>
    <w:rsid w:val="00170D69"/>
    <w:rsid w:val="001710A8"/>
    <w:rsid w:val="00173AAF"/>
    <w:rsid w:val="001742C5"/>
    <w:rsid w:val="00175136"/>
    <w:rsid w:val="00175227"/>
    <w:rsid w:val="00175470"/>
    <w:rsid w:val="00176D82"/>
    <w:rsid w:val="0017723C"/>
    <w:rsid w:val="0017770A"/>
    <w:rsid w:val="00177BBC"/>
    <w:rsid w:val="001803CA"/>
    <w:rsid w:val="001807B8"/>
    <w:rsid w:val="00180E44"/>
    <w:rsid w:val="00181401"/>
    <w:rsid w:val="00181959"/>
    <w:rsid w:val="00181EA8"/>
    <w:rsid w:val="00182407"/>
    <w:rsid w:val="0018277B"/>
    <w:rsid w:val="0018310A"/>
    <w:rsid w:val="00184680"/>
    <w:rsid w:val="0018585A"/>
    <w:rsid w:val="00185FBF"/>
    <w:rsid w:val="0018630C"/>
    <w:rsid w:val="00186478"/>
    <w:rsid w:val="00186CF4"/>
    <w:rsid w:val="00187057"/>
    <w:rsid w:val="00187176"/>
    <w:rsid w:val="001874CD"/>
    <w:rsid w:val="001876CC"/>
    <w:rsid w:val="0019103E"/>
    <w:rsid w:val="00191072"/>
    <w:rsid w:val="00191DBD"/>
    <w:rsid w:val="0019244E"/>
    <w:rsid w:val="00192684"/>
    <w:rsid w:val="00193214"/>
    <w:rsid w:val="001934E9"/>
    <w:rsid w:val="00193826"/>
    <w:rsid w:val="001944B7"/>
    <w:rsid w:val="00194E53"/>
    <w:rsid w:val="00194EBE"/>
    <w:rsid w:val="00195737"/>
    <w:rsid w:val="00196D3B"/>
    <w:rsid w:val="001A0614"/>
    <w:rsid w:val="001A1328"/>
    <w:rsid w:val="001A2399"/>
    <w:rsid w:val="001A25EB"/>
    <w:rsid w:val="001A44E5"/>
    <w:rsid w:val="001A4F76"/>
    <w:rsid w:val="001A529D"/>
    <w:rsid w:val="001A5DDA"/>
    <w:rsid w:val="001A66A2"/>
    <w:rsid w:val="001A6E3A"/>
    <w:rsid w:val="001A6F3E"/>
    <w:rsid w:val="001A7291"/>
    <w:rsid w:val="001B076F"/>
    <w:rsid w:val="001B11F7"/>
    <w:rsid w:val="001B13BB"/>
    <w:rsid w:val="001B16D8"/>
    <w:rsid w:val="001B2C07"/>
    <w:rsid w:val="001B2C76"/>
    <w:rsid w:val="001B3D24"/>
    <w:rsid w:val="001B4F3A"/>
    <w:rsid w:val="001B57DC"/>
    <w:rsid w:val="001B5C6D"/>
    <w:rsid w:val="001C0428"/>
    <w:rsid w:val="001C1AE9"/>
    <w:rsid w:val="001C2C5B"/>
    <w:rsid w:val="001C3B6F"/>
    <w:rsid w:val="001C4CEA"/>
    <w:rsid w:val="001C6236"/>
    <w:rsid w:val="001C669A"/>
    <w:rsid w:val="001C71AD"/>
    <w:rsid w:val="001D05D1"/>
    <w:rsid w:val="001D1230"/>
    <w:rsid w:val="001D253F"/>
    <w:rsid w:val="001D303F"/>
    <w:rsid w:val="001D3170"/>
    <w:rsid w:val="001D3728"/>
    <w:rsid w:val="001D404B"/>
    <w:rsid w:val="001D47A0"/>
    <w:rsid w:val="001D5002"/>
    <w:rsid w:val="001D60EF"/>
    <w:rsid w:val="001D7443"/>
    <w:rsid w:val="001D775B"/>
    <w:rsid w:val="001D7788"/>
    <w:rsid w:val="001D7B9F"/>
    <w:rsid w:val="001E0712"/>
    <w:rsid w:val="001E0AF1"/>
    <w:rsid w:val="001E0E16"/>
    <w:rsid w:val="001E13E5"/>
    <w:rsid w:val="001E152F"/>
    <w:rsid w:val="001E1C64"/>
    <w:rsid w:val="001E2011"/>
    <w:rsid w:val="001E215D"/>
    <w:rsid w:val="001E2444"/>
    <w:rsid w:val="001E2A6A"/>
    <w:rsid w:val="001E30E6"/>
    <w:rsid w:val="001E3383"/>
    <w:rsid w:val="001E3EB3"/>
    <w:rsid w:val="001E4205"/>
    <w:rsid w:val="001E4730"/>
    <w:rsid w:val="001E6291"/>
    <w:rsid w:val="001E6803"/>
    <w:rsid w:val="001E7CB7"/>
    <w:rsid w:val="001F010C"/>
    <w:rsid w:val="001F0491"/>
    <w:rsid w:val="001F113D"/>
    <w:rsid w:val="001F18BC"/>
    <w:rsid w:val="001F23E5"/>
    <w:rsid w:val="001F24E3"/>
    <w:rsid w:val="001F30D4"/>
    <w:rsid w:val="001F3B76"/>
    <w:rsid w:val="001F3ED8"/>
    <w:rsid w:val="001F40A2"/>
    <w:rsid w:val="001F4AC4"/>
    <w:rsid w:val="001F4C77"/>
    <w:rsid w:val="001F5245"/>
    <w:rsid w:val="001F526D"/>
    <w:rsid w:val="001F5609"/>
    <w:rsid w:val="001F5722"/>
    <w:rsid w:val="001F6E85"/>
    <w:rsid w:val="001F6EBD"/>
    <w:rsid w:val="001F75C6"/>
    <w:rsid w:val="001F7A27"/>
    <w:rsid w:val="001F7CCE"/>
    <w:rsid w:val="0020009A"/>
    <w:rsid w:val="002003E1"/>
    <w:rsid w:val="002004AB"/>
    <w:rsid w:val="00200C59"/>
    <w:rsid w:val="00200C6A"/>
    <w:rsid w:val="00201465"/>
    <w:rsid w:val="00201552"/>
    <w:rsid w:val="00201747"/>
    <w:rsid w:val="00201AA3"/>
    <w:rsid w:val="00201AB9"/>
    <w:rsid w:val="00201EF9"/>
    <w:rsid w:val="0020202B"/>
    <w:rsid w:val="00202397"/>
    <w:rsid w:val="00202DEC"/>
    <w:rsid w:val="00202F09"/>
    <w:rsid w:val="00203E36"/>
    <w:rsid w:val="00205256"/>
    <w:rsid w:val="002054CA"/>
    <w:rsid w:val="00205D66"/>
    <w:rsid w:val="002065EC"/>
    <w:rsid w:val="00206A69"/>
    <w:rsid w:val="00207117"/>
    <w:rsid w:val="00207122"/>
    <w:rsid w:val="002075F8"/>
    <w:rsid w:val="0020772B"/>
    <w:rsid w:val="00207733"/>
    <w:rsid w:val="002078BC"/>
    <w:rsid w:val="00210254"/>
    <w:rsid w:val="00210839"/>
    <w:rsid w:val="0021092D"/>
    <w:rsid w:val="00211450"/>
    <w:rsid w:val="00211786"/>
    <w:rsid w:val="002127C6"/>
    <w:rsid w:val="002136C9"/>
    <w:rsid w:val="00213843"/>
    <w:rsid w:val="0021388E"/>
    <w:rsid w:val="00215226"/>
    <w:rsid w:val="0021537B"/>
    <w:rsid w:val="00215915"/>
    <w:rsid w:val="00215A00"/>
    <w:rsid w:val="00215DD7"/>
    <w:rsid w:val="00216DC0"/>
    <w:rsid w:val="00217284"/>
    <w:rsid w:val="002209C8"/>
    <w:rsid w:val="00221008"/>
    <w:rsid w:val="00221124"/>
    <w:rsid w:val="002221F3"/>
    <w:rsid w:val="00222220"/>
    <w:rsid w:val="0022342F"/>
    <w:rsid w:val="00224295"/>
    <w:rsid w:val="002251B3"/>
    <w:rsid w:val="002265C9"/>
    <w:rsid w:val="00226C1B"/>
    <w:rsid w:val="002302CF"/>
    <w:rsid w:val="002311A1"/>
    <w:rsid w:val="00231D8C"/>
    <w:rsid w:val="00231FAB"/>
    <w:rsid w:val="00233034"/>
    <w:rsid w:val="002334F0"/>
    <w:rsid w:val="002334F1"/>
    <w:rsid w:val="00233BB6"/>
    <w:rsid w:val="00234F20"/>
    <w:rsid w:val="00235101"/>
    <w:rsid w:val="00235998"/>
    <w:rsid w:val="00236AE7"/>
    <w:rsid w:val="002408A2"/>
    <w:rsid w:val="002411DC"/>
    <w:rsid w:val="002412CB"/>
    <w:rsid w:val="00241A1C"/>
    <w:rsid w:val="002425A1"/>
    <w:rsid w:val="002425E7"/>
    <w:rsid w:val="00242637"/>
    <w:rsid w:val="00242F96"/>
    <w:rsid w:val="00243419"/>
    <w:rsid w:val="00244109"/>
    <w:rsid w:val="00244F58"/>
    <w:rsid w:val="002455FC"/>
    <w:rsid w:val="002458C4"/>
    <w:rsid w:val="002458F1"/>
    <w:rsid w:val="0024695E"/>
    <w:rsid w:val="00246EB8"/>
    <w:rsid w:val="0024738D"/>
    <w:rsid w:val="00252B08"/>
    <w:rsid w:val="0025301E"/>
    <w:rsid w:val="002542EE"/>
    <w:rsid w:val="00254361"/>
    <w:rsid w:val="0025485B"/>
    <w:rsid w:val="00254FB2"/>
    <w:rsid w:val="00255A73"/>
    <w:rsid w:val="00255F7D"/>
    <w:rsid w:val="00257351"/>
    <w:rsid w:val="002574AC"/>
    <w:rsid w:val="00257B7A"/>
    <w:rsid w:val="002608A1"/>
    <w:rsid w:val="0026106F"/>
    <w:rsid w:val="002629A4"/>
    <w:rsid w:val="00262F3A"/>
    <w:rsid w:val="00263546"/>
    <w:rsid w:val="00264062"/>
    <w:rsid w:val="00264108"/>
    <w:rsid w:val="002641B3"/>
    <w:rsid w:val="00266721"/>
    <w:rsid w:val="00266FC2"/>
    <w:rsid w:val="00266FCE"/>
    <w:rsid w:val="002676D9"/>
    <w:rsid w:val="00270DF0"/>
    <w:rsid w:val="002718E5"/>
    <w:rsid w:val="002727E1"/>
    <w:rsid w:val="0027324D"/>
    <w:rsid w:val="00273472"/>
    <w:rsid w:val="002737EB"/>
    <w:rsid w:val="00273F68"/>
    <w:rsid w:val="0027417D"/>
    <w:rsid w:val="002748BD"/>
    <w:rsid w:val="0027507F"/>
    <w:rsid w:val="002758C4"/>
    <w:rsid w:val="00275B5B"/>
    <w:rsid w:val="00276B19"/>
    <w:rsid w:val="00280F89"/>
    <w:rsid w:val="00282209"/>
    <w:rsid w:val="0028366A"/>
    <w:rsid w:val="00284030"/>
    <w:rsid w:val="00284EBE"/>
    <w:rsid w:val="002865CA"/>
    <w:rsid w:val="00287399"/>
    <w:rsid w:val="00287F25"/>
    <w:rsid w:val="002904A9"/>
    <w:rsid w:val="00290626"/>
    <w:rsid w:val="00290D75"/>
    <w:rsid w:val="00290FD1"/>
    <w:rsid w:val="00291635"/>
    <w:rsid w:val="0029248B"/>
    <w:rsid w:val="002946D3"/>
    <w:rsid w:val="00294B1D"/>
    <w:rsid w:val="00295B52"/>
    <w:rsid w:val="00296217"/>
    <w:rsid w:val="00296CFD"/>
    <w:rsid w:val="00297B24"/>
    <w:rsid w:val="002A0243"/>
    <w:rsid w:val="002A0752"/>
    <w:rsid w:val="002A106D"/>
    <w:rsid w:val="002A1378"/>
    <w:rsid w:val="002A18E0"/>
    <w:rsid w:val="002A1D82"/>
    <w:rsid w:val="002A1E10"/>
    <w:rsid w:val="002A22D6"/>
    <w:rsid w:val="002A34DC"/>
    <w:rsid w:val="002A3EED"/>
    <w:rsid w:val="002A4028"/>
    <w:rsid w:val="002A527B"/>
    <w:rsid w:val="002A5A7F"/>
    <w:rsid w:val="002A5B1A"/>
    <w:rsid w:val="002A7A63"/>
    <w:rsid w:val="002A7E9A"/>
    <w:rsid w:val="002B07D0"/>
    <w:rsid w:val="002B19A8"/>
    <w:rsid w:val="002B1B0C"/>
    <w:rsid w:val="002B20D9"/>
    <w:rsid w:val="002B218D"/>
    <w:rsid w:val="002B3DD0"/>
    <w:rsid w:val="002B40F1"/>
    <w:rsid w:val="002B44DC"/>
    <w:rsid w:val="002B576E"/>
    <w:rsid w:val="002B597E"/>
    <w:rsid w:val="002B62F2"/>
    <w:rsid w:val="002C2C60"/>
    <w:rsid w:val="002C2DA6"/>
    <w:rsid w:val="002C2DBF"/>
    <w:rsid w:val="002C2E75"/>
    <w:rsid w:val="002C2EF1"/>
    <w:rsid w:val="002C3293"/>
    <w:rsid w:val="002C3436"/>
    <w:rsid w:val="002C4144"/>
    <w:rsid w:val="002C4296"/>
    <w:rsid w:val="002C67D8"/>
    <w:rsid w:val="002C6CB2"/>
    <w:rsid w:val="002C6E4A"/>
    <w:rsid w:val="002C70CF"/>
    <w:rsid w:val="002C76F0"/>
    <w:rsid w:val="002C785B"/>
    <w:rsid w:val="002D1089"/>
    <w:rsid w:val="002D10E0"/>
    <w:rsid w:val="002D110B"/>
    <w:rsid w:val="002D157C"/>
    <w:rsid w:val="002D308E"/>
    <w:rsid w:val="002D392D"/>
    <w:rsid w:val="002D4E0B"/>
    <w:rsid w:val="002D6B1D"/>
    <w:rsid w:val="002D6EEE"/>
    <w:rsid w:val="002D724D"/>
    <w:rsid w:val="002D7810"/>
    <w:rsid w:val="002E03A9"/>
    <w:rsid w:val="002E0D00"/>
    <w:rsid w:val="002E203D"/>
    <w:rsid w:val="002E30D6"/>
    <w:rsid w:val="002E37F5"/>
    <w:rsid w:val="002E40A9"/>
    <w:rsid w:val="002E40B1"/>
    <w:rsid w:val="002E5AED"/>
    <w:rsid w:val="002F01BE"/>
    <w:rsid w:val="002F1148"/>
    <w:rsid w:val="002F2424"/>
    <w:rsid w:val="002F28EE"/>
    <w:rsid w:val="002F2C35"/>
    <w:rsid w:val="002F2EED"/>
    <w:rsid w:val="002F4BFC"/>
    <w:rsid w:val="002F4CEC"/>
    <w:rsid w:val="002F5616"/>
    <w:rsid w:val="002F58CD"/>
    <w:rsid w:val="002F5B3D"/>
    <w:rsid w:val="002F5CB5"/>
    <w:rsid w:val="002F5D7F"/>
    <w:rsid w:val="002F7AED"/>
    <w:rsid w:val="002F7EB7"/>
    <w:rsid w:val="003006D4"/>
    <w:rsid w:val="003016A0"/>
    <w:rsid w:val="00302168"/>
    <w:rsid w:val="0030258A"/>
    <w:rsid w:val="0030263A"/>
    <w:rsid w:val="00302685"/>
    <w:rsid w:val="003026FC"/>
    <w:rsid w:val="0030295A"/>
    <w:rsid w:val="00303DB6"/>
    <w:rsid w:val="003042BB"/>
    <w:rsid w:val="003044D1"/>
    <w:rsid w:val="00304AD8"/>
    <w:rsid w:val="00304D6C"/>
    <w:rsid w:val="00305ACD"/>
    <w:rsid w:val="00306325"/>
    <w:rsid w:val="00306B8E"/>
    <w:rsid w:val="0031043D"/>
    <w:rsid w:val="003104CF"/>
    <w:rsid w:val="00311272"/>
    <w:rsid w:val="00311914"/>
    <w:rsid w:val="0031290A"/>
    <w:rsid w:val="00312B89"/>
    <w:rsid w:val="00312DB3"/>
    <w:rsid w:val="00312E05"/>
    <w:rsid w:val="003130C4"/>
    <w:rsid w:val="00313A20"/>
    <w:rsid w:val="00313B78"/>
    <w:rsid w:val="00314BDF"/>
    <w:rsid w:val="0031538F"/>
    <w:rsid w:val="003163BB"/>
    <w:rsid w:val="00316F5F"/>
    <w:rsid w:val="0032066F"/>
    <w:rsid w:val="003208B5"/>
    <w:rsid w:val="00320A95"/>
    <w:rsid w:val="00320C64"/>
    <w:rsid w:val="00320DF2"/>
    <w:rsid w:val="00320E19"/>
    <w:rsid w:val="00320FF3"/>
    <w:rsid w:val="0032176D"/>
    <w:rsid w:val="00321A4B"/>
    <w:rsid w:val="00321FBE"/>
    <w:rsid w:val="003224EF"/>
    <w:rsid w:val="00323316"/>
    <w:rsid w:val="00323AE8"/>
    <w:rsid w:val="0032543B"/>
    <w:rsid w:val="00325CBF"/>
    <w:rsid w:val="00325E06"/>
    <w:rsid w:val="003266EA"/>
    <w:rsid w:val="00327849"/>
    <w:rsid w:val="0033035B"/>
    <w:rsid w:val="0033063E"/>
    <w:rsid w:val="003318E3"/>
    <w:rsid w:val="00331CC3"/>
    <w:rsid w:val="00332177"/>
    <w:rsid w:val="0033217E"/>
    <w:rsid w:val="00332681"/>
    <w:rsid w:val="003326F2"/>
    <w:rsid w:val="0033429F"/>
    <w:rsid w:val="003344C5"/>
    <w:rsid w:val="00335033"/>
    <w:rsid w:val="003355B8"/>
    <w:rsid w:val="0033714A"/>
    <w:rsid w:val="0033733C"/>
    <w:rsid w:val="003377A3"/>
    <w:rsid w:val="00337BB0"/>
    <w:rsid w:val="00341055"/>
    <w:rsid w:val="0034143B"/>
    <w:rsid w:val="003415CF"/>
    <w:rsid w:val="0034291D"/>
    <w:rsid w:val="00344111"/>
    <w:rsid w:val="0034464C"/>
    <w:rsid w:val="00346448"/>
    <w:rsid w:val="003475FE"/>
    <w:rsid w:val="00347B63"/>
    <w:rsid w:val="00351DB1"/>
    <w:rsid w:val="00352021"/>
    <w:rsid w:val="00352B2D"/>
    <w:rsid w:val="00352C9F"/>
    <w:rsid w:val="00353094"/>
    <w:rsid w:val="00353E6E"/>
    <w:rsid w:val="00353FA5"/>
    <w:rsid w:val="00354B48"/>
    <w:rsid w:val="003567B7"/>
    <w:rsid w:val="00357BE8"/>
    <w:rsid w:val="0036077B"/>
    <w:rsid w:val="003611D4"/>
    <w:rsid w:val="00362535"/>
    <w:rsid w:val="003643AF"/>
    <w:rsid w:val="0036542F"/>
    <w:rsid w:val="00365F79"/>
    <w:rsid w:val="00366308"/>
    <w:rsid w:val="00366347"/>
    <w:rsid w:val="00366694"/>
    <w:rsid w:val="003668C2"/>
    <w:rsid w:val="003674C3"/>
    <w:rsid w:val="00371BC3"/>
    <w:rsid w:val="0037321B"/>
    <w:rsid w:val="00373962"/>
    <w:rsid w:val="00373F48"/>
    <w:rsid w:val="00373FDF"/>
    <w:rsid w:val="0037678C"/>
    <w:rsid w:val="003772ED"/>
    <w:rsid w:val="00377439"/>
    <w:rsid w:val="00377881"/>
    <w:rsid w:val="00377E09"/>
    <w:rsid w:val="00380392"/>
    <w:rsid w:val="003828EF"/>
    <w:rsid w:val="0038529F"/>
    <w:rsid w:val="00385352"/>
    <w:rsid w:val="00385DB6"/>
    <w:rsid w:val="00385E11"/>
    <w:rsid w:val="00386C9A"/>
    <w:rsid w:val="003877D7"/>
    <w:rsid w:val="00390C86"/>
    <w:rsid w:val="0039121C"/>
    <w:rsid w:val="00392546"/>
    <w:rsid w:val="00393540"/>
    <w:rsid w:val="00393C6C"/>
    <w:rsid w:val="00394015"/>
    <w:rsid w:val="003948C1"/>
    <w:rsid w:val="00395796"/>
    <w:rsid w:val="00395D0F"/>
    <w:rsid w:val="0039709B"/>
    <w:rsid w:val="0039780A"/>
    <w:rsid w:val="003A0325"/>
    <w:rsid w:val="003A2027"/>
    <w:rsid w:val="003A2FCB"/>
    <w:rsid w:val="003A4A96"/>
    <w:rsid w:val="003A4C03"/>
    <w:rsid w:val="003A5831"/>
    <w:rsid w:val="003A5DD2"/>
    <w:rsid w:val="003A5F67"/>
    <w:rsid w:val="003A6201"/>
    <w:rsid w:val="003A629F"/>
    <w:rsid w:val="003B099F"/>
    <w:rsid w:val="003B09C2"/>
    <w:rsid w:val="003B0EFF"/>
    <w:rsid w:val="003B1188"/>
    <w:rsid w:val="003B1229"/>
    <w:rsid w:val="003B17D2"/>
    <w:rsid w:val="003B215D"/>
    <w:rsid w:val="003B27E8"/>
    <w:rsid w:val="003B2CD3"/>
    <w:rsid w:val="003B3250"/>
    <w:rsid w:val="003B38EC"/>
    <w:rsid w:val="003B4316"/>
    <w:rsid w:val="003B4C16"/>
    <w:rsid w:val="003B5738"/>
    <w:rsid w:val="003B5987"/>
    <w:rsid w:val="003B608F"/>
    <w:rsid w:val="003B64A0"/>
    <w:rsid w:val="003B6C04"/>
    <w:rsid w:val="003B7547"/>
    <w:rsid w:val="003B7AD5"/>
    <w:rsid w:val="003C0B4D"/>
    <w:rsid w:val="003C0BF8"/>
    <w:rsid w:val="003C0DFC"/>
    <w:rsid w:val="003C2596"/>
    <w:rsid w:val="003C2AC7"/>
    <w:rsid w:val="003C310F"/>
    <w:rsid w:val="003C45F3"/>
    <w:rsid w:val="003C4840"/>
    <w:rsid w:val="003C569A"/>
    <w:rsid w:val="003C6DC1"/>
    <w:rsid w:val="003C7866"/>
    <w:rsid w:val="003D1DEB"/>
    <w:rsid w:val="003D2532"/>
    <w:rsid w:val="003D25E7"/>
    <w:rsid w:val="003D2D31"/>
    <w:rsid w:val="003D2D9F"/>
    <w:rsid w:val="003D34C9"/>
    <w:rsid w:val="003D37D9"/>
    <w:rsid w:val="003D43E1"/>
    <w:rsid w:val="003D4601"/>
    <w:rsid w:val="003D537B"/>
    <w:rsid w:val="003D5913"/>
    <w:rsid w:val="003D5BB1"/>
    <w:rsid w:val="003D6752"/>
    <w:rsid w:val="003D6B5B"/>
    <w:rsid w:val="003D745B"/>
    <w:rsid w:val="003D7F2B"/>
    <w:rsid w:val="003E00CA"/>
    <w:rsid w:val="003E037A"/>
    <w:rsid w:val="003E0385"/>
    <w:rsid w:val="003E038E"/>
    <w:rsid w:val="003E108B"/>
    <w:rsid w:val="003E14A9"/>
    <w:rsid w:val="003E1A5A"/>
    <w:rsid w:val="003E3B1E"/>
    <w:rsid w:val="003E3DA5"/>
    <w:rsid w:val="003E3EE2"/>
    <w:rsid w:val="003E41BC"/>
    <w:rsid w:val="003E4248"/>
    <w:rsid w:val="003E43A8"/>
    <w:rsid w:val="003E453A"/>
    <w:rsid w:val="003E549D"/>
    <w:rsid w:val="003E58D0"/>
    <w:rsid w:val="003E5D9E"/>
    <w:rsid w:val="003E68AA"/>
    <w:rsid w:val="003E729A"/>
    <w:rsid w:val="003E72A1"/>
    <w:rsid w:val="003E7A28"/>
    <w:rsid w:val="003E7E98"/>
    <w:rsid w:val="003F05C4"/>
    <w:rsid w:val="003F09A3"/>
    <w:rsid w:val="003F11E7"/>
    <w:rsid w:val="003F2FC9"/>
    <w:rsid w:val="003F473D"/>
    <w:rsid w:val="003F4A71"/>
    <w:rsid w:val="003F4D67"/>
    <w:rsid w:val="003F533B"/>
    <w:rsid w:val="003F5559"/>
    <w:rsid w:val="003F5B49"/>
    <w:rsid w:val="003F6518"/>
    <w:rsid w:val="003F6C23"/>
    <w:rsid w:val="003F7425"/>
    <w:rsid w:val="0040052D"/>
    <w:rsid w:val="0040078B"/>
    <w:rsid w:val="00400C77"/>
    <w:rsid w:val="00400C78"/>
    <w:rsid w:val="00402A41"/>
    <w:rsid w:val="00402C73"/>
    <w:rsid w:val="00402EF3"/>
    <w:rsid w:val="00402F3B"/>
    <w:rsid w:val="0040411D"/>
    <w:rsid w:val="00404D29"/>
    <w:rsid w:val="00404DD0"/>
    <w:rsid w:val="00405E1D"/>
    <w:rsid w:val="00406B89"/>
    <w:rsid w:val="00406E32"/>
    <w:rsid w:val="00411D10"/>
    <w:rsid w:val="00412A38"/>
    <w:rsid w:val="00412B4F"/>
    <w:rsid w:val="00413BC4"/>
    <w:rsid w:val="00413C2B"/>
    <w:rsid w:val="0041501C"/>
    <w:rsid w:val="0041507F"/>
    <w:rsid w:val="004168D7"/>
    <w:rsid w:val="004200DA"/>
    <w:rsid w:val="004205E6"/>
    <w:rsid w:val="004208BD"/>
    <w:rsid w:val="00420F4C"/>
    <w:rsid w:val="00421119"/>
    <w:rsid w:val="00421335"/>
    <w:rsid w:val="00422351"/>
    <w:rsid w:val="004224A2"/>
    <w:rsid w:val="00422730"/>
    <w:rsid w:val="004227B1"/>
    <w:rsid w:val="00425174"/>
    <w:rsid w:val="00425661"/>
    <w:rsid w:val="00426F07"/>
    <w:rsid w:val="00427211"/>
    <w:rsid w:val="0042740B"/>
    <w:rsid w:val="004276D8"/>
    <w:rsid w:val="00427A47"/>
    <w:rsid w:val="00430508"/>
    <w:rsid w:val="00430A62"/>
    <w:rsid w:val="00432010"/>
    <w:rsid w:val="004323E0"/>
    <w:rsid w:val="00432DD9"/>
    <w:rsid w:val="00433082"/>
    <w:rsid w:val="0043396B"/>
    <w:rsid w:val="004340D8"/>
    <w:rsid w:val="0043415E"/>
    <w:rsid w:val="00435D53"/>
    <w:rsid w:val="004364E0"/>
    <w:rsid w:val="0043653E"/>
    <w:rsid w:val="00436C62"/>
    <w:rsid w:val="00436FA0"/>
    <w:rsid w:val="00437AF3"/>
    <w:rsid w:val="0044069A"/>
    <w:rsid w:val="00441318"/>
    <w:rsid w:val="0044184B"/>
    <w:rsid w:val="00442175"/>
    <w:rsid w:val="00442A40"/>
    <w:rsid w:val="00442C8E"/>
    <w:rsid w:val="00442D45"/>
    <w:rsid w:val="00444526"/>
    <w:rsid w:val="00444EE5"/>
    <w:rsid w:val="004452D2"/>
    <w:rsid w:val="00446E0D"/>
    <w:rsid w:val="004500CC"/>
    <w:rsid w:val="004506C5"/>
    <w:rsid w:val="0045175B"/>
    <w:rsid w:val="00451A14"/>
    <w:rsid w:val="00451FEC"/>
    <w:rsid w:val="004520C7"/>
    <w:rsid w:val="00452627"/>
    <w:rsid w:val="00452750"/>
    <w:rsid w:val="00452997"/>
    <w:rsid w:val="0045353E"/>
    <w:rsid w:val="00453AB5"/>
    <w:rsid w:val="004554AF"/>
    <w:rsid w:val="004558DD"/>
    <w:rsid w:val="004559D8"/>
    <w:rsid w:val="00455C9C"/>
    <w:rsid w:val="0045610F"/>
    <w:rsid w:val="004561F6"/>
    <w:rsid w:val="00456789"/>
    <w:rsid w:val="004575FF"/>
    <w:rsid w:val="00457948"/>
    <w:rsid w:val="00457DCB"/>
    <w:rsid w:val="004601E2"/>
    <w:rsid w:val="00460AA4"/>
    <w:rsid w:val="00460F6A"/>
    <w:rsid w:val="0046136A"/>
    <w:rsid w:val="004614DA"/>
    <w:rsid w:val="00462A66"/>
    <w:rsid w:val="00463A5F"/>
    <w:rsid w:val="00464082"/>
    <w:rsid w:val="00464DCA"/>
    <w:rsid w:val="004654AA"/>
    <w:rsid w:val="00466286"/>
    <w:rsid w:val="00466A8A"/>
    <w:rsid w:val="00467376"/>
    <w:rsid w:val="0047029A"/>
    <w:rsid w:val="004709CC"/>
    <w:rsid w:val="00471120"/>
    <w:rsid w:val="0047159C"/>
    <w:rsid w:val="00472B67"/>
    <w:rsid w:val="00473077"/>
    <w:rsid w:val="004746C7"/>
    <w:rsid w:val="0047482C"/>
    <w:rsid w:val="00475E4A"/>
    <w:rsid w:val="00477090"/>
    <w:rsid w:val="00477883"/>
    <w:rsid w:val="00480753"/>
    <w:rsid w:val="00480ABE"/>
    <w:rsid w:val="004816A2"/>
    <w:rsid w:val="00482116"/>
    <w:rsid w:val="00482250"/>
    <w:rsid w:val="004824F2"/>
    <w:rsid w:val="00482583"/>
    <w:rsid w:val="0048312F"/>
    <w:rsid w:val="00484E16"/>
    <w:rsid w:val="00485E79"/>
    <w:rsid w:val="004876AA"/>
    <w:rsid w:val="00487C29"/>
    <w:rsid w:val="00492427"/>
    <w:rsid w:val="00492801"/>
    <w:rsid w:val="004929C8"/>
    <w:rsid w:val="004932BA"/>
    <w:rsid w:val="00493ED8"/>
    <w:rsid w:val="00495E46"/>
    <w:rsid w:val="00495EE9"/>
    <w:rsid w:val="0049673C"/>
    <w:rsid w:val="0049697A"/>
    <w:rsid w:val="00496FAB"/>
    <w:rsid w:val="004974AD"/>
    <w:rsid w:val="0049769F"/>
    <w:rsid w:val="0049797D"/>
    <w:rsid w:val="00497EF5"/>
    <w:rsid w:val="004A0F98"/>
    <w:rsid w:val="004A1B31"/>
    <w:rsid w:val="004A1EC4"/>
    <w:rsid w:val="004A3CBD"/>
    <w:rsid w:val="004A51C6"/>
    <w:rsid w:val="004A5331"/>
    <w:rsid w:val="004B07C1"/>
    <w:rsid w:val="004B1DC7"/>
    <w:rsid w:val="004B21FA"/>
    <w:rsid w:val="004B26A0"/>
    <w:rsid w:val="004B3713"/>
    <w:rsid w:val="004B3D31"/>
    <w:rsid w:val="004B4C93"/>
    <w:rsid w:val="004B4F73"/>
    <w:rsid w:val="004B5623"/>
    <w:rsid w:val="004B69D4"/>
    <w:rsid w:val="004B6A51"/>
    <w:rsid w:val="004B6C0A"/>
    <w:rsid w:val="004B6C85"/>
    <w:rsid w:val="004C1039"/>
    <w:rsid w:val="004C1338"/>
    <w:rsid w:val="004C14CA"/>
    <w:rsid w:val="004C2CC7"/>
    <w:rsid w:val="004C364F"/>
    <w:rsid w:val="004C3B17"/>
    <w:rsid w:val="004C3B80"/>
    <w:rsid w:val="004C3E39"/>
    <w:rsid w:val="004C402B"/>
    <w:rsid w:val="004C4367"/>
    <w:rsid w:val="004C47F1"/>
    <w:rsid w:val="004C4DCA"/>
    <w:rsid w:val="004C53DC"/>
    <w:rsid w:val="004C6EC3"/>
    <w:rsid w:val="004D06EA"/>
    <w:rsid w:val="004D158A"/>
    <w:rsid w:val="004D18C9"/>
    <w:rsid w:val="004D244E"/>
    <w:rsid w:val="004D2675"/>
    <w:rsid w:val="004D38D5"/>
    <w:rsid w:val="004D3906"/>
    <w:rsid w:val="004D3A41"/>
    <w:rsid w:val="004D43CD"/>
    <w:rsid w:val="004D465F"/>
    <w:rsid w:val="004D5AAE"/>
    <w:rsid w:val="004D6910"/>
    <w:rsid w:val="004D7203"/>
    <w:rsid w:val="004D731F"/>
    <w:rsid w:val="004D7E8D"/>
    <w:rsid w:val="004E0467"/>
    <w:rsid w:val="004E0734"/>
    <w:rsid w:val="004E1799"/>
    <w:rsid w:val="004E2636"/>
    <w:rsid w:val="004E2973"/>
    <w:rsid w:val="004E32D9"/>
    <w:rsid w:val="004E3BE6"/>
    <w:rsid w:val="004E3E0C"/>
    <w:rsid w:val="004E4594"/>
    <w:rsid w:val="004E5705"/>
    <w:rsid w:val="004E5C45"/>
    <w:rsid w:val="004E6098"/>
    <w:rsid w:val="004E6182"/>
    <w:rsid w:val="004E6AF3"/>
    <w:rsid w:val="004E6BC7"/>
    <w:rsid w:val="004E7571"/>
    <w:rsid w:val="004E7A13"/>
    <w:rsid w:val="004E7BA9"/>
    <w:rsid w:val="004E7C21"/>
    <w:rsid w:val="004F0A36"/>
    <w:rsid w:val="004F118C"/>
    <w:rsid w:val="004F197C"/>
    <w:rsid w:val="004F1A78"/>
    <w:rsid w:val="004F284A"/>
    <w:rsid w:val="004F2FBD"/>
    <w:rsid w:val="004F3153"/>
    <w:rsid w:val="004F4768"/>
    <w:rsid w:val="004F4EDD"/>
    <w:rsid w:val="004F524F"/>
    <w:rsid w:val="004F5BF4"/>
    <w:rsid w:val="004F5FEA"/>
    <w:rsid w:val="004F70C0"/>
    <w:rsid w:val="004F7750"/>
    <w:rsid w:val="004F78FC"/>
    <w:rsid w:val="00500761"/>
    <w:rsid w:val="00502F59"/>
    <w:rsid w:val="005042D8"/>
    <w:rsid w:val="005067AC"/>
    <w:rsid w:val="005107B5"/>
    <w:rsid w:val="00510A97"/>
    <w:rsid w:val="00510B43"/>
    <w:rsid w:val="00510C7C"/>
    <w:rsid w:val="00511841"/>
    <w:rsid w:val="00511A3F"/>
    <w:rsid w:val="00512142"/>
    <w:rsid w:val="00513296"/>
    <w:rsid w:val="0051506E"/>
    <w:rsid w:val="005151D4"/>
    <w:rsid w:val="0051538D"/>
    <w:rsid w:val="00516159"/>
    <w:rsid w:val="00517287"/>
    <w:rsid w:val="005173F9"/>
    <w:rsid w:val="0051768E"/>
    <w:rsid w:val="005178FA"/>
    <w:rsid w:val="005202C8"/>
    <w:rsid w:val="00520C55"/>
    <w:rsid w:val="00521F32"/>
    <w:rsid w:val="005228D1"/>
    <w:rsid w:val="00522EC0"/>
    <w:rsid w:val="00523D74"/>
    <w:rsid w:val="00524249"/>
    <w:rsid w:val="00524498"/>
    <w:rsid w:val="0052511D"/>
    <w:rsid w:val="005271D9"/>
    <w:rsid w:val="00527779"/>
    <w:rsid w:val="00530520"/>
    <w:rsid w:val="0053201B"/>
    <w:rsid w:val="005320C4"/>
    <w:rsid w:val="005323F1"/>
    <w:rsid w:val="00532E57"/>
    <w:rsid w:val="005331B3"/>
    <w:rsid w:val="00533ABC"/>
    <w:rsid w:val="0053526B"/>
    <w:rsid w:val="00535F52"/>
    <w:rsid w:val="005361A3"/>
    <w:rsid w:val="00536F5B"/>
    <w:rsid w:val="00537088"/>
    <w:rsid w:val="0053714D"/>
    <w:rsid w:val="005372C7"/>
    <w:rsid w:val="00540293"/>
    <w:rsid w:val="00540512"/>
    <w:rsid w:val="00541467"/>
    <w:rsid w:val="0054206E"/>
    <w:rsid w:val="00542CCE"/>
    <w:rsid w:val="00543504"/>
    <w:rsid w:val="00544293"/>
    <w:rsid w:val="0054492F"/>
    <w:rsid w:val="0054567A"/>
    <w:rsid w:val="00545BE5"/>
    <w:rsid w:val="005470F8"/>
    <w:rsid w:val="00547B4D"/>
    <w:rsid w:val="00550264"/>
    <w:rsid w:val="005505D0"/>
    <w:rsid w:val="00550A62"/>
    <w:rsid w:val="00550B73"/>
    <w:rsid w:val="00551437"/>
    <w:rsid w:val="00551AC1"/>
    <w:rsid w:val="00551B1C"/>
    <w:rsid w:val="005521C3"/>
    <w:rsid w:val="00553246"/>
    <w:rsid w:val="00553733"/>
    <w:rsid w:val="00553D6F"/>
    <w:rsid w:val="005544FE"/>
    <w:rsid w:val="0055528F"/>
    <w:rsid w:val="00555614"/>
    <w:rsid w:val="005557DC"/>
    <w:rsid w:val="00555C31"/>
    <w:rsid w:val="00556E62"/>
    <w:rsid w:val="00557346"/>
    <w:rsid w:val="00557A79"/>
    <w:rsid w:val="005610A4"/>
    <w:rsid w:val="0056148B"/>
    <w:rsid w:val="005615F2"/>
    <w:rsid w:val="00561848"/>
    <w:rsid w:val="00562A01"/>
    <w:rsid w:val="00563C65"/>
    <w:rsid w:val="00563E4A"/>
    <w:rsid w:val="005649AB"/>
    <w:rsid w:val="0056520D"/>
    <w:rsid w:val="00566C96"/>
    <w:rsid w:val="005705BD"/>
    <w:rsid w:val="0057064D"/>
    <w:rsid w:val="00571D25"/>
    <w:rsid w:val="00571E7C"/>
    <w:rsid w:val="005729D3"/>
    <w:rsid w:val="00573127"/>
    <w:rsid w:val="00573651"/>
    <w:rsid w:val="00573E3A"/>
    <w:rsid w:val="00573E5F"/>
    <w:rsid w:val="0057415D"/>
    <w:rsid w:val="0057425A"/>
    <w:rsid w:val="00574428"/>
    <w:rsid w:val="00576864"/>
    <w:rsid w:val="00576CDD"/>
    <w:rsid w:val="005779FC"/>
    <w:rsid w:val="00577B22"/>
    <w:rsid w:val="00581773"/>
    <w:rsid w:val="0058223C"/>
    <w:rsid w:val="00583C5D"/>
    <w:rsid w:val="00584506"/>
    <w:rsid w:val="005848F0"/>
    <w:rsid w:val="0058507A"/>
    <w:rsid w:val="00586A82"/>
    <w:rsid w:val="00590343"/>
    <w:rsid w:val="005911A5"/>
    <w:rsid w:val="005937E5"/>
    <w:rsid w:val="005938AF"/>
    <w:rsid w:val="0059474D"/>
    <w:rsid w:val="005947E1"/>
    <w:rsid w:val="00594AF3"/>
    <w:rsid w:val="00596743"/>
    <w:rsid w:val="00596D4B"/>
    <w:rsid w:val="005973A3"/>
    <w:rsid w:val="00597DFA"/>
    <w:rsid w:val="005A03BA"/>
    <w:rsid w:val="005A0D16"/>
    <w:rsid w:val="005A0D4B"/>
    <w:rsid w:val="005A123C"/>
    <w:rsid w:val="005A1BFA"/>
    <w:rsid w:val="005A2A85"/>
    <w:rsid w:val="005A36DF"/>
    <w:rsid w:val="005A3D8C"/>
    <w:rsid w:val="005A3F1C"/>
    <w:rsid w:val="005A4540"/>
    <w:rsid w:val="005A55A9"/>
    <w:rsid w:val="005A5F1C"/>
    <w:rsid w:val="005A6ED0"/>
    <w:rsid w:val="005A7701"/>
    <w:rsid w:val="005B0497"/>
    <w:rsid w:val="005B071E"/>
    <w:rsid w:val="005B0E0D"/>
    <w:rsid w:val="005B22F9"/>
    <w:rsid w:val="005B278B"/>
    <w:rsid w:val="005B29E3"/>
    <w:rsid w:val="005B4343"/>
    <w:rsid w:val="005B5010"/>
    <w:rsid w:val="005B65B7"/>
    <w:rsid w:val="005B6AFB"/>
    <w:rsid w:val="005B72E3"/>
    <w:rsid w:val="005B736B"/>
    <w:rsid w:val="005B7869"/>
    <w:rsid w:val="005C00AD"/>
    <w:rsid w:val="005C1170"/>
    <w:rsid w:val="005C1218"/>
    <w:rsid w:val="005C27A5"/>
    <w:rsid w:val="005C3AEE"/>
    <w:rsid w:val="005C3C1B"/>
    <w:rsid w:val="005C52C9"/>
    <w:rsid w:val="005C55A5"/>
    <w:rsid w:val="005C5AD1"/>
    <w:rsid w:val="005C69F7"/>
    <w:rsid w:val="005C75EA"/>
    <w:rsid w:val="005C7A94"/>
    <w:rsid w:val="005D0A01"/>
    <w:rsid w:val="005D108A"/>
    <w:rsid w:val="005D123B"/>
    <w:rsid w:val="005D2D54"/>
    <w:rsid w:val="005D408F"/>
    <w:rsid w:val="005D48A6"/>
    <w:rsid w:val="005D5090"/>
    <w:rsid w:val="005D51BF"/>
    <w:rsid w:val="005D5CC5"/>
    <w:rsid w:val="005D7F4D"/>
    <w:rsid w:val="005E11FD"/>
    <w:rsid w:val="005E17AB"/>
    <w:rsid w:val="005E1B1D"/>
    <w:rsid w:val="005E1F0E"/>
    <w:rsid w:val="005E339D"/>
    <w:rsid w:val="005E54B8"/>
    <w:rsid w:val="005E650E"/>
    <w:rsid w:val="005E6D87"/>
    <w:rsid w:val="005E734A"/>
    <w:rsid w:val="005E7EE5"/>
    <w:rsid w:val="005F0E50"/>
    <w:rsid w:val="005F1417"/>
    <w:rsid w:val="005F3370"/>
    <w:rsid w:val="005F3FCF"/>
    <w:rsid w:val="005F42AD"/>
    <w:rsid w:val="005F4300"/>
    <w:rsid w:val="005F4E97"/>
    <w:rsid w:val="005F54F6"/>
    <w:rsid w:val="005F59AE"/>
    <w:rsid w:val="005F5D34"/>
    <w:rsid w:val="005F680C"/>
    <w:rsid w:val="0060129B"/>
    <w:rsid w:val="00601911"/>
    <w:rsid w:val="006019D0"/>
    <w:rsid w:val="00602F8B"/>
    <w:rsid w:val="0060360E"/>
    <w:rsid w:val="00604841"/>
    <w:rsid w:val="00604925"/>
    <w:rsid w:val="006049B8"/>
    <w:rsid w:val="00604E4B"/>
    <w:rsid w:val="00605213"/>
    <w:rsid w:val="006058CB"/>
    <w:rsid w:val="00606D55"/>
    <w:rsid w:val="0060793C"/>
    <w:rsid w:val="006104D8"/>
    <w:rsid w:val="0061055C"/>
    <w:rsid w:val="006106FA"/>
    <w:rsid w:val="006122CC"/>
    <w:rsid w:val="006123C5"/>
    <w:rsid w:val="0061242F"/>
    <w:rsid w:val="00612BFC"/>
    <w:rsid w:val="00612CBC"/>
    <w:rsid w:val="00613372"/>
    <w:rsid w:val="006147FB"/>
    <w:rsid w:val="006150E0"/>
    <w:rsid w:val="006157BA"/>
    <w:rsid w:val="006159FF"/>
    <w:rsid w:val="00615F59"/>
    <w:rsid w:val="006163C3"/>
    <w:rsid w:val="00616663"/>
    <w:rsid w:val="006178EB"/>
    <w:rsid w:val="00617B13"/>
    <w:rsid w:val="0062050F"/>
    <w:rsid w:val="0062059E"/>
    <w:rsid w:val="00624E89"/>
    <w:rsid w:val="006255BD"/>
    <w:rsid w:val="006268B6"/>
    <w:rsid w:val="006302F4"/>
    <w:rsid w:val="00632C11"/>
    <w:rsid w:val="00633BE8"/>
    <w:rsid w:val="00634446"/>
    <w:rsid w:val="00634490"/>
    <w:rsid w:val="00635D6E"/>
    <w:rsid w:val="00636EFC"/>
    <w:rsid w:val="00637DDC"/>
    <w:rsid w:val="00640293"/>
    <w:rsid w:val="00640ACD"/>
    <w:rsid w:val="00640F1E"/>
    <w:rsid w:val="00641360"/>
    <w:rsid w:val="006416DD"/>
    <w:rsid w:val="00643B81"/>
    <w:rsid w:val="00643C33"/>
    <w:rsid w:val="00643E6E"/>
    <w:rsid w:val="0064499A"/>
    <w:rsid w:val="00645BA3"/>
    <w:rsid w:val="00645E32"/>
    <w:rsid w:val="00647438"/>
    <w:rsid w:val="00647A33"/>
    <w:rsid w:val="00647BCF"/>
    <w:rsid w:val="00650558"/>
    <w:rsid w:val="006506A0"/>
    <w:rsid w:val="006507CF"/>
    <w:rsid w:val="0065107E"/>
    <w:rsid w:val="00652345"/>
    <w:rsid w:val="0065338C"/>
    <w:rsid w:val="00653641"/>
    <w:rsid w:val="006537F3"/>
    <w:rsid w:val="0065415F"/>
    <w:rsid w:val="006547BB"/>
    <w:rsid w:val="00655AF1"/>
    <w:rsid w:val="00655BF9"/>
    <w:rsid w:val="00657C45"/>
    <w:rsid w:val="0066040D"/>
    <w:rsid w:val="00660C11"/>
    <w:rsid w:val="00660CC8"/>
    <w:rsid w:val="00661C10"/>
    <w:rsid w:val="0066260A"/>
    <w:rsid w:val="006632E4"/>
    <w:rsid w:val="006641E4"/>
    <w:rsid w:val="00664AC9"/>
    <w:rsid w:val="00666EC2"/>
    <w:rsid w:val="006670D6"/>
    <w:rsid w:val="0066782F"/>
    <w:rsid w:val="00670000"/>
    <w:rsid w:val="0067005D"/>
    <w:rsid w:val="00671843"/>
    <w:rsid w:val="0067260D"/>
    <w:rsid w:val="00672884"/>
    <w:rsid w:val="00673031"/>
    <w:rsid w:val="00674B38"/>
    <w:rsid w:val="0067559F"/>
    <w:rsid w:val="00676C7E"/>
    <w:rsid w:val="00676FE5"/>
    <w:rsid w:val="006772B1"/>
    <w:rsid w:val="00677F7B"/>
    <w:rsid w:val="006801F5"/>
    <w:rsid w:val="0068129D"/>
    <w:rsid w:val="006817B6"/>
    <w:rsid w:val="006821DA"/>
    <w:rsid w:val="00682265"/>
    <w:rsid w:val="0068323A"/>
    <w:rsid w:val="006842EF"/>
    <w:rsid w:val="00684901"/>
    <w:rsid w:val="00684B69"/>
    <w:rsid w:val="00685399"/>
    <w:rsid w:val="0068557C"/>
    <w:rsid w:val="0068596D"/>
    <w:rsid w:val="00685B1C"/>
    <w:rsid w:val="00686248"/>
    <w:rsid w:val="0068691E"/>
    <w:rsid w:val="006869A6"/>
    <w:rsid w:val="00686AD1"/>
    <w:rsid w:val="006918F5"/>
    <w:rsid w:val="00693176"/>
    <w:rsid w:val="00693D21"/>
    <w:rsid w:val="00693E83"/>
    <w:rsid w:val="0069529C"/>
    <w:rsid w:val="006954EC"/>
    <w:rsid w:val="00695808"/>
    <w:rsid w:val="00695B9C"/>
    <w:rsid w:val="00695C6C"/>
    <w:rsid w:val="00696E15"/>
    <w:rsid w:val="006977B4"/>
    <w:rsid w:val="00697EE2"/>
    <w:rsid w:val="006A04A2"/>
    <w:rsid w:val="006A06BD"/>
    <w:rsid w:val="006A0CCD"/>
    <w:rsid w:val="006A1B0F"/>
    <w:rsid w:val="006A2306"/>
    <w:rsid w:val="006A3206"/>
    <w:rsid w:val="006A370A"/>
    <w:rsid w:val="006A48D7"/>
    <w:rsid w:val="006A54FF"/>
    <w:rsid w:val="006A70DA"/>
    <w:rsid w:val="006A78DF"/>
    <w:rsid w:val="006B04D2"/>
    <w:rsid w:val="006B256A"/>
    <w:rsid w:val="006B27B3"/>
    <w:rsid w:val="006B2A0E"/>
    <w:rsid w:val="006B2D74"/>
    <w:rsid w:val="006B307E"/>
    <w:rsid w:val="006B3747"/>
    <w:rsid w:val="006B3821"/>
    <w:rsid w:val="006B43E9"/>
    <w:rsid w:val="006B584E"/>
    <w:rsid w:val="006C0613"/>
    <w:rsid w:val="006C0F45"/>
    <w:rsid w:val="006C18F0"/>
    <w:rsid w:val="006C1B65"/>
    <w:rsid w:val="006C1DBC"/>
    <w:rsid w:val="006C239B"/>
    <w:rsid w:val="006C2A1B"/>
    <w:rsid w:val="006C307B"/>
    <w:rsid w:val="006C322D"/>
    <w:rsid w:val="006C3AC8"/>
    <w:rsid w:val="006C5E8E"/>
    <w:rsid w:val="006C678C"/>
    <w:rsid w:val="006C6BF3"/>
    <w:rsid w:val="006C6FAD"/>
    <w:rsid w:val="006C70CA"/>
    <w:rsid w:val="006C7429"/>
    <w:rsid w:val="006C75E4"/>
    <w:rsid w:val="006C7CD9"/>
    <w:rsid w:val="006C7E86"/>
    <w:rsid w:val="006D1099"/>
    <w:rsid w:val="006D181F"/>
    <w:rsid w:val="006D4262"/>
    <w:rsid w:val="006D6146"/>
    <w:rsid w:val="006D6581"/>
    <w:rsid w:val="006D66EA"/>
    <w:rsid w:val="006D7464"/>
    <w:rsid w:val="006E10CE"/>
    <w:rsid w:val="006E1659"/>
    <w:rsid w:val="006E2B76"/>
    <w:rsid w:val="006E2E30"/>
    <w:rsid w:val="006E512E"/>
    <w:rsid w:val="006E598D"/>
    <w:rsid w:val="006E5CD7"/>
    <w:rsid w:val="006E69E9"/>
    <w:rsid w:val="006E6B20"/>
    <w:rsid w:val="006E6D86"/>
    <w:rsid w:val="006E7E51"/>
    <w:rsid w:val="006E7E57"/>
    <w:rsid w:val="006F028A"/>
    <w:rsid w:val="006F045B"/>
    <w:rsid w:val="006F0893"/>
    <w:rsid w:val="006F1025"/>
    <w:rsid w:val="006F1035"/>
    <w:rsid w:val="006F28B2"/>
    <w:rsid w:val="006F3843"/>
    <w:rsid w:val="006F3C4E"/>
    <w:rsid w:val="006F3D47"/>
    <w:rsid w:val="006F4520"/>
    <w:rsid w:val="006F4C02"/>
    <w:rsid w:val="006F65FE"/>
    <w:rsid w:val="006F686F"/>
    <w:rsid w:val="006F70A2"/>
    <w:rsid w:val="006F7187"/>
    <w:rsid w:val="006F7AC1"/>
    <w:rsid w:val="006F7C4E"/>
    <w:rsid w:val="007016D2"/>
    <w:rsid w:val="00702139"/>
    <w:rsid w:val="007022EB"/>
    <w:rsid w:val="00702C92"/>
    <w:rsid w:val="00703139"/>
    <w:rsid w:val="00703320"/>
    <w:rsid w:val="00704687"/>
    <w:rsid w:val="00705235"/>
    <w:rsid w:val="0070525C"/>
    <w:rsid w:val="0070561C"/>
    <w:rsid w:val="0070651B"/>
    <w:rsid w:val="00707159"/>
    <w:rsid w:val="007078ED"/>
    <w:rsid w:val="0070790C"/>
    <w:rsid w:val="00710884"/>
    <w:rsid w:val="00711AF1"/>
    <w:rsid w:val="007120A7"/>
    <w:rsid w:val="00712493"/>
    <w:rsid w:val="007127F8"/>
    <w:rsid w:val="00712BB2"/>
    <w:rsid w:val="00713C49"/>
    <w:rsid w:val="00714C47"/>
    <w:rsid w:val="00714FFA"/>
    <w:rsid w:val="0071508B"/>
    <w:rsid w:val="00716262"/>
    <w:rsid w:val="00717324"/>
    <w:rsid w:val="00717600"/>
    <w:rsid w:val="0071777E"/>
    <w:rsid w:val="00717834"/>
    <w:rsid w:val="00720058"/>
    <w:rsid w:val="00720B60"/>
    <w:rsid w:val="00720FF9"/>
    <w:rsid w:val="00721584"/>
    <w:rsid w:val="00721C32"/>
    <w:rsid w:val="00721D3B"/>
    <w:rsid w:val="00721E2E"/>
    <w:rsid w:val="007221BC"/>
    <w:rsid w:val="007222E8"/>
    <w:rsid w:val="00722DE3"/>
    <w:rsid w:val="00723327"/>
    <w:rsid w:val="007256D1"/>
    <w:rsid w:val="007259E5"/>
    <w:rsid w:val="007262BE"/>
    <w:rsid w:val="007269A6"/>
    <w:rsid w:val="00726A92"/>
    <w:rsid w:val="00726B98"/>
    <w:rsid w:val="0073029C"/>
    <w:rsid w:val="007307FA"/>
    <w:rsid w:val="007310D0"/>
    <w:rsid w:val="00731197"/>
    <w:rsid w:val="007314A6"/>
    <w:rsid w:val="00731C1A"/>
    <w:rsid w:val="00731FBD"/>
    <w:rsid w:val="007327A8"/>
    <w:rsid w:val="00732D14"/>
    <w:rsid w:val="00732EFF"/>
    <w:rsid w:val="00733490"/>
    <w:rsid w:val="00733A08"/>
    <w:rsid w:val="00735317"/>
    <w:rsid w:val="0073541A"/>
    <w:rsid w:val="0073564D"/>
    <w:rsid w:val="00736730"/>
    <w:rsid w:val="00736F5D"/>
    <w:rsid w:val="0073729B"/>
    <w:rsid w:val="007373DB"/>
    <w:rsid w:val="007377BA"/>
    <w:rsid w:val="00737901"/>
    <w:rsid w:val="00740220"/>
    <w:rsid w:val="0074035A"/>
    <w:rsid w:val="007404FD"/>
    <w:rsid w:val="00740C1D"/>
    <w:rsid w:val="0074113D"/>
    <w:rsid w:val="00744489"/>
    <w:rsid w:val="007445CB"/>
    <w:rsid w:val="00744F8B"/>
    <w:rsid w:val="0074533A"/>
    <w:rsid w:val="00745A0A"/>
    <w:rsid w:val="00746273"/>
    <w:rsid w:val="00746361"/>
    <w:rsid w:val="00747394"/>
    <w:rsid w:val="007477B0"/>
    <w:rsid w:val="007477DA"/>
    <w:rsid w:val="00750389"/>
    <w:rsid w:val="007506C7"/>
    <w:rsid w:val="00750747"/>
    <w:rsid w:val="00751606"/>
    <w:rsid w:val="0075168B"/>
    <w:rsid w:val="007518B9"/>
    <w:rsid w:val="00751CD6"/>
    <w:rsid w:val="007522F0"/>
    <w:rsid w:val="00753769"/>
    <w:rsid w:val="007543B2"/>
    <w:rsid w:val="00754B3F"/>
    <w:rsid w:val="00754B74"/>
    <w:rsid w:val="00754C05"/>
    <w:rsid w:val="00755C40"/>
    <w:rsid w:val="0075612A"/>
    <w:rsid w:val="0075744F"/>
    <w:rsid w:val="007578BE"/>
    <w:rsid w:val="00757A6B"/>
    <w:rsid w:val="00757B5A"/>
    <w:rsid w:val="00760D78"/>
    <w:rsid w:val="00761BF1"/>
    <w:rsid w:val="00762819"/>
    <w:rsid w:val="0076292A"/>
    <w:rsid w:val="00763689"/>
    <w:rsid w:val="00763911"/>
    <w:rsid w:val="007643A5"/>
    <w:rsid w:val="00765B11"/>
    <w:rsid w:val="00766327"/>
    <w:rsid w:val="00766DC0"/>
    <w:rsid w:val="00766F57"/>
    <w:rsid w:val="007670EF"/>
    <w:rsid w:val="00767FF4"/>
    <w:rsid w:val="00770DD8"/>
    <w:rsid w:val="007723FB"/>
    <w:rsid w:val="00772EFC"/>
    <w:rsid w:val="00772F97"/>
    <w:rsid w:val="00773EA5"/>
    <w:rsid w:val="007757FA"/>
    <w:rsid w:val="0077721B"/>
    <w:rsid w:val="007779B4"/>
    <w:rsid w:val="00777E97"/>
    <w:rsid w:val="00781000"/>
    <w:rsid w:val="007810AD"/>
    <w:rsid w:val="0078139F"/>
    <w:rsid w:val="00781AF9"/>
    <w:rsid w:val="00782B4D"/>
    <w:rsid w:val="00783951"/>
    <w:rsid w:val="00784163"/>
    <w:rsid w:val="007847D4"/>
    <w:rsid w:val="00784B47"/>
    <w:rsid w:val="00784FD8"/>
    <w:rsid w:val="00785651"/>
    <w:rsid w:val="007877C8"/>
    <w:rsid w:val="00787AB1"/>
    <w:rsid w:val="00787D35"/>
    <w:rsid w:val="007903CD"/>
    <w:rsid w:val="007913FE"/>
    <w:rsid w:val="00791FA0"/>
    <w:rsid w:val="007926B3"/>
    <w:rsid w:val="00792DDA"/>
    <w:rsid w:val="00792E4E"/>
    <w:rsid w:val="007930C9"/>
    <w:rsid w:val="007932DE"/>
    <w:rsid w:val="007938B7"/>
    <w:rsid w:val="007938E0"/>
    <w:rsid w:val="007938E7"/>
    <w:rsid w:val="00793CF1"/>
    <w:rsid w:val="007940E2"/>
    <w:rsid w:val="007945C0"/>
    <w:rsid w:val="0079488A"/>
    <w:rsid w:val="007951B3"/>
    <w:rsid w:val="007955DE"/>
    <w:rsid w:val="007961F9"/>
    <w:rsid w:val="007962C9"/>
    <w:rsid w:val="007965DF"/>
    <w:rsid w:val="00796D1B"/>
    <w:rsid w:val="00796D60"/>
    <w:rsid w:val="00797530"/>
    <w:rsid w:val="007A054C"/>
    <w:rsid w:val="007A0B43"/>
    <w:rsid w:val="007A2372"/>
    <w:rsid w:val="007A2F4E"/>
    <w:rsid w:val="007A3296"/>
    <w:rsid w:val="007A3CF7"/>
    <w:rsid w:val="007A48BB"/>
    <w:rsid w:val="007A4A2F"/>
    <w:rsid w:val="007A637A"/>
    <w:rsid w:val="007A6942"/>
    <w:rsid w:val="007A6943"/>
    <w:rsid w:val="007A738F"/>
    <w:rsid w:val="007A78FF"/>
    <w:rsid w:val="007A7B57"/>
    <w:rsid w:val="007A7EC3"/>
    <w:rsid w:val="007B0FC9"/>
    <w:rsid w:val="007B20A9"/>
    <w:rsid w:val="007B2CF3"/>
    <w:rsid w:val="007B3046"/>
    <w:rsid w:val="007B3F4B"/>
    <w:rsid w:val="007B4717"/>
    <w:rsid w:val="007B573B"/>
    <w:rsid w:val="007B5893"/>
    <w:rsid w:val="007B74AA"/>
    <w:rsid w:val="007C0074"/>
    <w:rsid w:val="007C02DF"/>
    <w:rsid w:val="007C02EA"/>
    <w:rsid w:val="007C0F82"/>
    <w:rsid w:val="007C1119"/>
    <w:rsid w:val="007C27A2"/>
    <w:rsid w:val="007C337B"/>
    <w:rsid w:val="007C3A75"/>
    <w:rsid w:val="007C3DFF"/>
    <w:rsid w:val="007C3EA2"/>
    <w:rsid w:val="007C63D6"/>
    <w:rsid w:val="007C640B"/>
    <w:rsid w:val="007C72EC"/>
    <w:rsid w:val="007C7579"/>
    <w:rsid w:val="007D0174"/>
    <w:rsid w:val="007D0609"/>
    <w:rsid w:val="007D12DA"/>
    <w:rsid w:val="007D17E0"/>
    <w:rsid w:val="007D254A"/>
    <w:rsid w:val="007D25B5"/>
    <w:rsid w:val="007D4AFC"/>
    <w:rsid w:val="007D5225"/>
    <w:rsid w:val="007D5B21"/>
    <w:rsid w:val="007E09D0"/>
    <w:rsid w:val="007E0CEA"/>
    <w:rsid w:val="007E19DC"/>
    <w:rsid w:val="007E1D3F"/>
    <w:rsid w:val="007E2369"/>
    <w:rsid w:val="007E28BD"/>
    <w:rsid w:val="007E3036"/>
    <w:rsid w:val="007E327F"/>
    <w:rsid w:val="007E3EBB"/>
    <w:rsid w:val="007E4DAE"/>
    <w:rsid w:val="007E5A5C"/>
    <w:rsid w:val="007E5B4E"/>
    <w:rsid w:val="007E5D5D"/>
    <w:rsid w:val="007E5F51"/>
    <w:rsid w:val="007E72C9"/>
    <w:rsid w:val="007E7566"/>
    <w:rsid w:val="007F0ADE"/>
    <w:rsid w:val="007F0FE9"/>
    <w:rsid w:val="007F10D6"/>
    <w:rsid w:val="007F1261"/>
    <w:rsid w:val="007F1A1D"/>
    <w:rsid w:val="007F2910"/>
    <w:rsid w:val="007F296A"/>
    <w:rsid w:val="007F2CFD"/>
    <w:rsid w:val="007F3527"/>
    <w:rsid w:val="007F49CC"/>
    <w:rsid w:val="007F5022"/>
    <w:rsid w:val="007F5ABB"/>
    <w:rsid w:val="007F625F"/>
    <w:rsid w:val="007F79DC"/>
    <w:rsid w:val="007F7B0B"/>
    <w:rsid w:val="008004ED"/>
    <w:rsid w:val="00800567"/>
    <w:rsid w:val="00800D9B"/>
    <w:rsid w:val="00802E4D"/>
    <w:rsid w:val="0080416C"/>
    <w:rsid w:val="00804466"/>
    <w:rsid w:val="00806C98"/>
    <w:rsid w:val="0081057A"/>
    <w:rsid w:val="008109EE"/>
    <w:rsid w:val="0081177C"/>
    <w:rsid w:val="00813033"/>
    <w:rsid w:val="00813EEA"/>
    <w:rsid w:val="00814491"/>
    <w:rsid w:val="008147D8"/>
    <w:rsid w:val="00814A6E"/>
    <w:rsid w:val="00815169"/>
    <w:rsid w:val="00816DB6"/>
    <w:rsid w:val="0081715D"/>
    <w:rsid w:val="00817660"/>
    <w:rsid w:val="0081783E"/>
    <w:rsid w:val="00817ABC"/>
    <w:rsid w:val="00817CB8"/>
    <w:rsid w:val="0082050F"/>
    <w:rsid w:val="00821020"/>
    <w:rsid w:val="00821FFB"/>
    <w:rsid w:val="00822039"/>
    <w:rsid w:val="0082235E"/>
    <w:rsid w:val="008226C6"/>
    <w:rsid w:val="00822C4E"/>
    <w:rsid w:val="00823BA9"/>
    <w:rsid w:val="00823DDB"/>
    <w:rsid w:val="0082453D"/>
    <w:rsid w:val="0082455F"/>
    <w:rsid w:val="0082598B"/>
    <w:rsid w:val="00825C35"/>
    <w:rsid w:val="008261C4"/>
    <w:rsid w:val="0082666F"/>
    <w:rsid w:val="00826A86"/>
    <w:rsid w:val="00826EA2"/>
    <w:rsid w:val="00827082"/>
    <w:rsid w:val="00827CC8"/>
    <w:rsid w:val="00827DC3"/>
    <w:rsid w:val="00830389"/>
    <w:rsid w:val="0083088B"/>
    <w:rsid w:val="00830919"/>
    <w:rsid w:val="008328A0"/>
    <w:rsid w:val="00833673"/>
    <w:rsid w:val="00833C18"/>
    <w:rsid w:val="00833C88"/>
    <w:rsid w:val="0083576E"/>
    <w:rsid w:val="00836229"/>
    <w:rsid w:val="00836924"/>
    <w:rsid w:val="008403DE"/>
    <w:rsid w:val="00840D2B"/>
    <w:rsid w:val="008428A4"/>
    <w:rsid w:val="00842B61"/>
    <w:rsid w:val="00842E27"/>
    <w:rsid w:val="00843558"/>
    <w:rsid w:val="00843AD2"/>
    <w:rsid w:val="008451BB"/>
    <w:rsid w:val="0084531E"/>
    <w:rsid w:val="00845481"/>
    <w:rsid w:val="00846BF8"/>
    <w:rsid w:val="0084717D"/>
    <w:rsid w:val="00850F36"/>
    <w:rsid w:val="0085120E"/>
    <w:rsid w:val="00851BEC"/>
    <w:rsid w:val="00851F3E"/>
    <w:rsid w:val="0085239C"/>
    <w:rsid w:val="00852832"/>
    <w:rsid w:val="00852D00"/>
    <w:rsid w:val="0085308E"/>
    <w:rsid w:val="00853A09"/>
    <w:rsid w:val="008547DB"/>
    <w:rsid w:val="00855469"/>
    <w:rsid w:val="00855D9B"/>
    <w:rsid w:val="00856059"/>
    <w:rsid w:val="008567D9"/>
    <w:rsid w:val="008609D6"/>
    <w:rsid w:val="00860C80"/>
    <w:rsid w:val="00860CCB"/>
    <w:rsid w:val="00861353"/>
    <w:rsid w:val="00862760"/>
    <w:rsid w:val="00863496"/>
    <w:rsid w:val="0086378C"/>
    <w:rsid w:val="00863CE3"/>
    <w:rsid w:val="00864424"/>
    <w:rsid w:val="00867246"/>
    <w:rsid w:val="00870D04"/>
    <w:rsid w:val="00872B5B"/>
    <w:rsid w:val="00873EF2"/>
    <w:rsid w:val="008749DF"/>
    <w:rsid w:val="0087510F"/>
    <w:rsid w:val="008753D7"/>
    <w:rsid w:val="008756E0"/>
    <w:rsid w:val="00875816"/>
    <w:rsid w:val="0087597A"/>
    <w:rsid w:val="00876175"/>
    <w:rsid w:val="008768DF"/>
    <w:rsid w:val="00876C34"/>
    <w:rsid w:val="0087780D"/>
    <w:rsid w:val="008778C8"/>
    <w:rsid w:val="00877CDF"/>
    <w:rsid w:val="008806F6"/>
    <w:rsid w:val="0088118F"/>
    <w:rsid w:val="008816F4"/>
    <w:rsid w:val="00881D4C"/>
    <w:rsid w:val="008830B7"/>
    <w:rsid w:val="008843B7"/>
    <w:rsid w:val="00885764"/>
    <w:rsid w:val="00885909"/>
    <w:rsid w:val="00885BB6"/>
    <w:rsid w:val="00885E61"/>
    <w:rsid w:val="00885FCD"/>
    <w:rsid w:val="008865AD"/>
    <w:rsid w:val="00887550"/>
    <w:rsid w:val="008876B1"/>
    <w:rsid w:val="0089122E"/>
    <w:rsid w:val="00891D41"/>
    <w:rsid w:val="008922A3"/>
    <w:rsid w:val="00892939"/>
    <w:rsid w:val="00893701"/>
    <w:rsid w:val="00893D63"/>
    <w:rsid w:val="008949B4"/>
    <w:rsid w:val="0089639B"/>
    <w:rsid w:val="008965A6"/>
    <w:rsid w:val="0089664B"/>
    <w:rsid w:val="00896DF1"/>
    <w:rsid w:val="00897D7C"/>
    <w:rsid w:val="008A09B1"/>
    <w:rsid w:val="008A0C6C"/>
    <w:rsid w:val="008A1194"/>
    <w:rsid w:val="008A1199"/>
    <w:rsid w:val="008A11DF"/>
    <w:rsid w:val="008A1C44"/>
    <w:rsid w:val="008A1CD0"/>
    <w:rsid w:val="008A2B37"/>
    <w:rsid w:val="008A401D"/>
    <w:rsid w:val="008A477C"/>
    <w:rsid w:val="008A610F"/>
    <w:rsid w:val="008A68BB"/>
    <w:rsid w:val="008A6E04"/>
    <w:rsid w:val="008A70F4"/>
    <w:rsid w:val="008B022E"/>
    <w:rsid w:val="008B04BC"/>
    <w:rsid w:val="008B075E"/>
    <w:rsid w:val="008B08C7"/>
    <w:rsid w:val="008B10E7"/>
    <w:rsid w:val="008B1A87"/>
    <w:rsid w:val="008B234C"/>
    <w:rsid w:val="008B2A00"/>
    <w:rsid w:val="008B359B"/>
    <w:rsid w:val="008B3B30"/>
    <w:rsid w:val="008B512A"/>
    <w:rsid w:val="008B5874"/>
    <w:rsid w:val="008B5A75"/>
    <w:rsid w:val="008B5CCF"/>
    <w:rsid w:val="008B7238"/>
    <w:rsid w:val="008C09FE"/>
    <w:rsid w:val="008C0D0B"/>
    <w:rsid w:val="008C0D5B"/>
    <w:rsid w:val="008C2A56"/>
    <w:rsid w:val="008C2DD5"/>
    <w:rsid w:val="008C305B"/>
    <w:rsid w:val="008C3201"/>
    <w:rsid w:val="008C4C4F"/>
    <w:rsid w:val="008C4E75"/>
    <w:rsid w:val="008C596F"/>
    <w:rsid w:val="008C602B"/>
    <w:rsid w:val="008C6151"/>
    <w:rsid w:val="008C79CD"/>
    <w:rsid w:val="008D004E"/>
    <w:rsid w:val="008D15D4"/>
    <w:rsid w:val="008D1C2E"/>
    <w:rsid w:val="008D1E6F"/>
    <w:rsid w:val="008D2028"/>
    <w:rsid w:val="008D2810"/>
    <w:rsid w:val="008D3454"/>
    <w:rsid w:val="008D35D3"/>
    <w:rsid w:val="008D46B5"/>
    <w:rsid w:val="008D52B5"/>
    <w:rsid w:val="008D5B00"/>
    <w:rsid w:val="008D647E"/>
    <w:rsid w:val="008D6921"/>
    <w:rsid w:val="008D7567"/>
    <w:rsid w:val="008E08BB"/>
    <w:rsid w:val="008E1BEB"/>
    <w:rsid w:val="008E2B11"/>
    <w:rsid w:val="008E2C3B"/>
    <w:rsid w:val="008E2FB6"/>
    <w:rsid w:val="008E3161"/>
    <w:rsid w:val="008E3304"/>
    <w:rsid w:val="008E3DAA"/>
    <w:rsid w:val="008E3E83"/>
    <w:rsid w:val="008E4932"/>
    <w:rsid w:val="008E57F5"/>
    <w:rsid w:val="008E615D"/>
    <w:rsid w:val="008E6C10"/>
    <w:rsid w:val="008E6D03"/>
    <w:rsid w:val="008E6D17"/>
    <w:rsid w:val="008E7470"/>
    <w:rsid w:val="008E7C4F"/>
    <w:rsid w:val="008E7D02"/>
    <w:rsid w:val="008F0091"/>
    <w:rsid w:val="008F0680"/>
    <w:rsid w:val="008F0A6F"/>
    <w:rsid w:val="008F0DE4"/>
    <w:rsid w:val="008F1795"/>
    <w:rsid w:val="008F19EC"/>
    <w:rsid w:val="008F2E97"/>
    <w:rsid w:val="008F4414"/>
    <w:rsid w:val="008F4C89"/>
    <w:rsid w:val="008F6EF3"/>
    <w:rsid w:val="008F7151"/>
    <w:rsid w:val="008F7F30"/>
    <w:rsid w:val="009006E3"/>
    <w:rsid w:val="00900B56"/>
    <w:rsid w:val="00900D58"/>
    <w:rsid w:val="00900F3E"/>
    <w:rsid w:val="009012F7"/>
    <w:rsid w:val="00901D6C"/>
    <w:rsid w:val="0090431A"/>
    <w:rsid w:val="00904A11"/>
    <w:rsid w:val="009058D5"/>
    <w:rsid w:val="00905979"/>
    <w:rsid w:val="009059A4"/>
    <w:rsid w:val="00905A5F"/>
    <w:rsid w:val="00905AF5"/>
    <w:rsid w:val="00905CFD"/>
    <w:rsid w:val="00911AB1"/>
    <w:rsid w:val="00911EA3"/>
    <w:rsid w:val="009124AB"/>
    <w:rsid w:val="00912829"/>
    <w:rsid w:val="00915A50"/>
    <w:rsid w:val="0091650C"/>
    <w:rsid w:val="00916ED3"/>
    <w:rsid w:val="00917326"/>
    <w:rsid w:val="0091789D"/>
    <w:rsid w:val="00917F09"/>
    <w:rsid w:val="0092028E"/>
    <w:rsid w:val="00920573"/>
    <w:rsid w:val="00920702"/>
    <w:rsid w:val="0092093E"/>
    <w:rsid w:val="00920ECF"/>
    <w:rsid w:val="00921C75"/>
    <w:rsid w:val="00922FAD"/>
    <w:rsid w:val="00922FD0"/>
    <w:rsid w:val="009240FB"/>
    <w:rsid w:val="009250D7"/>
    <w:rsid w:val="00926236"/>
    <w:rsid w:val="00926B9B"/>
    <w:rsid w:val="0093265E"/>
    <w:rsid w:val="009327F2"/>
    <w:rsid w:val="0093295F"/>
    <w:rsid w:val="00932EFA"/>
    <w:rsid w:val="009332CA"/>
    <w:rsid w:val="00933D8A"/>
    <w:rsid w:val="00934F24"/>
    <w:rsid w:val="009354B0"/>
    <w:rsid w:val="0093565E"/>
    <w:rsid w:val="00935D38"/>
    <w:rsid w:val="00936212"/>
    <w:rsid w:val="00937C4D"/>
    <w:rsid w:val="00937F92"/>
    <w:rsid w:val="009407C0"/>
    <w:rsid w:val="009411C8"/>
    <w:rsid w:val="009424A5"/>
    <w:rsid w:val="00942E7E"/>
    <w:rsid w:val="00943210"/>
    <w:rsid w:val="00943E1A"/>
    <w:rsid w:val="009440FB"/>
    <w:rsid w:val="00944F39"/>
    <w:rsid w:val="00945CEE"/>
    <w:rsid w:val="00945D24"/>
    <w:rsid w:val="00947158"/>
    <w:rsid w:val="0095052D"/>
    <w:rsid w:val="00950621"/>
    <w:rsid w:val="009506C5"/>
    <w:rsid w:val="00950FBE"/>
    <w:rsid w:val="009516A6"/>
    <w:rsid w:val="00951B27"/>
    <w:rsid w:val="00951E17"/>
    <w:rsid w:val="009520F1"/>
    <w:rsid w:val="009525E6"/>
    <w:rsid w:val="0095385F"/>
    <w:rsid w:val="0095425C"/>
    <w:rsid w:val="009545F8"/>
    <w:rsid w:val="009550E6"/>
    <w:rsid w:val="00955D5F"/>
    <w:rsid w:val="00956E6D"/>
    <w:rsid w:val="00960173"/>
    <w:rsid w:val="00962149"/>
    <w:rsid w:val="00962DB8"/>
    <w:rsid w:val="0096353D"/>
    <w:rsid w:val="00964EDC"/>
    <w:rsid w:val="009654D5"/>
    <w:rsid w:val="00965A8D"/>
    <w:rsid w:val="009706A3"/>
    <w:rsid w:val="0097104A"/>
    <w:rsid w:val="009713B3"/>
    <w:rsid w:val="00971CDC"/>
    <w:rsid w:val="00972541"/>
    <w:rsid w:val="00973C9F"/>
    <w:rsid w:val="00974B2E"/>
    <w:rsid w:val="00975297"/>
    <w:rsid w:val="00975445"/>
    <w:rsid w:val="00975B68"/>
    <w:rsid w:val="00975E9C"/>
    <w:rsid w:val="0097658B"/>
    <w:rsid w:val="00976C54"/>
    <w:rsid w:val="00980B7A"/>
    <w:rsid w:val="00981216"/>
    <w:rsid w:val="009813EA"/>
    <w:rsid w:val="0098150E"/>
    <w:rsid w:val="00981634"/>
    <w:rsid w:val="00981794"/>
    <w:rsid w:val="00981E11"/>
    <w:rsid w:val="0098320D"/>
    <w:rsid w:val="009835C8"/>
    <w:rsid w:val="0098392B"/>
    <w:rsid w:val="00983C1C"/>
    <w:rsid w:val="00984239"/>
    <w:rsid w:val="00984365"/>
    <w:rsid w:val="009848C2"/>
    <w:rsid w:val="00984B59"/>
    <w:rsid w:val="009862AE"/>
    <w:rsid w:val="009869E4"/>
    <w:rsid w:val="0098795C"/>
    <w:rsid w:val="009906B0"/>
    <w:rsid w:val="0099101A"/>
    <w:rsid w:val="00991107"/>
    <w:rsid w:val="009915E6"/>
    <w:rsid w:val="00992090"/>
    <w:rsid w:val="00992565"/>
    <w:rsid w:val="00992AEE"/>
    <w:rsid w:val="009944F8"/>
    <w:rsid w:val="00995829"/>
    <w:rsid w:val="00995ADB"/>
    <w:rsid w:val="00996481"/>
    <w:rsid w:val="00996871"/>
    <w:rsid w:val="009A05D3"/>
    <w:rsid w:val="009A0CE3"/>
    <w:rsid w:val="009A1B98"/>
    <w:rsid w:val="009A3A43"/>
    <w:rsid w:val="009A3FDA"/>
    <w:rsid w:val="009A43D4"/>
    <w:rsid w:val="009A4919"/>
    <w:rsid w:val="009A703A"/>
    <w:rsid w:val="009B0FB2"/>
    <w:rsid w:val="009B1771"/>
    <w:rsid w:val="009B19C0"/>
    <w:rsid w:val="009B3B84"/>
    <w:rsid w:val="009B3F79"/>
    <w:rsid w:val="009B4044"/>
    <w:rsid w:val="009B4231"/>
    <w:rsid w:val="009B4938"/>
    <w:rsid w:val="009B4DAA"/>
    <w:rsid w:val="009B4F67"/>
    <w:rsid w:val="009B58E3"/>
    <w:rsid w:val="009B6AC5"/>
    <w:rsid w:val="009B70A8"/>
    <w:rsid w:val="009C0152"/>
    <w:rsid w:val="009C02C6"/>
    <w:rsid w:val="009C0750"/>
    <w:rsid w:val="009C09B2"/>
    <w:rsid w:val="009C1A36"/>
    <w:rsid w:val="009C263E"/>
    <w:rsid w:val="009C388C"/>
    <w:rsid w:val="009C4765"/>
    <w:rsid w:val="009C481B"/>
    <w:rsid w:val="009C5369"/>
    <w:rsid w:val="009C58A6"/>
    <w:rsid w:val="009C5EF1"/>
    <w:rsid w:val="009C60A9"/>
    <w:rsid w:val="009D0374"/>
    <w:rsid w:val="009D0CB8"/>
    <w:rsid w:val="009D11C1"/>
    <w:rsid w:val="009D1846"/>
    <w:rsid w:val="009D1995"/>
    <w:rsid w:val="009D1A15"/>
    <w:rsid w:val="009D1B5F"/>
    <w:rsid w:val="009D3598"/>
    <w:rsid w:val="009D4226"/>
    <w:rsid w:val="009D5FB6"/>
    <w:rsid w:val="009D6098"/>
    <w:rsid w:val="009D6336"/>
    <w:rsid w:val="009D639B"/>
    <w:rsid w:val="009D64AD"/>
    <w:rsid w:val="009D64E1"/>
    <w:rsid w:val="009D6F2E"/>
    <w:rsid w:val="009E176F"/>
    <w:rsid w:val="009E1A85"/>
    <w:rsid w:val="009E1DE1"/>
    <w:rsid w:val="009E240D"/>
    <w:rsid w:val="009E56E7"/>
    <w:rsid w:val="009E711F"/>
    <w:rsid w:val="009E74DB"/>
    <w:rsid w:val="009E7C0C"/>
    <w:rsid w:val="009E7D03"/>
    <w:rsid w:val="009E7DC2"/>
    <w:rsid w:val="009F0855"/>
    <w:rsid w:val="009F1E1A"/>
    <w:rsid w:val="009F2481"/>
    <w:rsid w:val="009F25A9"/>
    <w:rsid w:val="009F2C92"/>
    <w:rsid w:val="009F2DC9"/>
    <w:rsid w:val="009F3152"/>
    <w:rsid w:val="009F548C"/>
    <w:rsid w:val="009F582F"/>
    <w:rsid w:val="009F5C41"/>
    <w:rsid w:val="009F5D30"/>
    <w:rsid w:val="009F7C2E"/>
    <w:rsid w:val="009F7E3B"/>
    <w:rsid w:val="00A00E62"/>
    <w:rsid w:val="00A01ACC"/>
    <w:rsid w:val="00A025E4"/>
    <w:rsid w:val="00A028E9"/>
    <w:rsid w:val="00A03672"/>
    <w:rsid w:val="00A04E2F"/>
    <w:rsid w:val="00A051C9"/>
    <w:rsid w:val="00A0549F"/>
    <w:rsid w:val="00A0614D"/>
    <w:rsid w:val="00A062B7"/>
    <w:rsid w:val="00A078D5"/>
    <w:rsid w:val="00A07E57"/>
    <w:rsid w:val="00A112A1"/>
    <w:rsid w:val="00A1148F"/>
    <w:rsid w:val="00A11F5E"/>
    <w:rsid w:val="00A11F78"/>
    <w:rsid w:val="00A13067"/>
    <w:rsid w:val="00A13334"/>
    <w:rsid w:val="00A1385F"/>
    <w:rsid w:val="00A14855"/>
    <w:rsid w:val="00A14D9A"/>
    <w:rsid w:val="00A14DD8"/>
    <w:rsid w:val="00A15665"/>
    <w:rsid w:val="00A16304"/>
    <w:rsid w:val="00A165A4"/>
    <w:rsid w:val="00A170F3"/>
    <w:rsid w:val="00A17AC7"/>
    <w:rsid w:val="00A2052A"/>
    <w:rsid w:val="00A21DE8"/>
    <w:rsid w:val="00A225B0"/>
    <w:rsid w:val="00A22707"/>
    <w:rsid w:val="00A23643"/>
    <w:rsid w:val="00A23A6E"/>
    <w:rsid w:val="00A23E94"/>
    <w:rsid w:val="00A247B5"/>
    <w:rsid w:val="00A24CDB"/>
    <w:rsid w:val="00A25391"/>
    <w:rsid w:val="00A257F6"/>
    <w:rsid w:val="00A2660D"/>
    <w:rsid w:val="00A26CB1"/>
    <w:rsid w:val="00A27485"/>
    <w:rsid w:val="00A274CB"/>
    <w:rsid w:val="00A31F58"/>
    <w:rsid w:val="00A3217D"/>
    <w:rsid w:val="00A32A4B"/>
    <w:rsid w:val="00A33860"/>
    <w:rsid w:val="00A33B67"/>
    <w:rsid w:val="00A34807"/>
    <w:rsid w:val="00A35220"/>
    <w:rsid w:val="00A358A8"/>
    <w:rsid w:val="00A37285"/>
    <w:rsid w:val="00A40E63"/>
    <w:rsid w:val="00A411FE"/>
    <w:rsid w:val="00A42035"/>
    <w:rsid w:val="00A42735"/>
    <w:rsid w:val="00A428AC"/>
    <w:rsid w:val="00A434FB"/>
    <w:rsid w:val="00A4381F"/>
    <w:rsid w:val="00A439F6"/>
    <w:rsid w:val="00A443C1"/>
    <w:rsid w:val="00A4472E"/>
    <w:rsid w:val="00A44CDC"/>
    <w:rsid w:val="00A4588C"/>
    <w:rsid w:val="00A45F95"/>
    <w:rsid w:val="00A46030"/>
    <w:rsid w:val="00A46CA3"/>
    <w:rsid w:val="00A47A9D"/>
    <w:rsid w:val="00A516EF"/>
    <w:rsid w:val="00A51968"/>
    <w:rsid w:val="00A52E70"/>
    <w:rsid w:val="00A53753"/>
    <w:rsid w:val="00A54AFE"/>
    <w:rsid w:val="00A54EA2"/>
    <w:rsid w:val="00A55598"/>
    <w:rsid w:val="00A55BF7"/>
    <w:rsid w:val="00A55F75"/>
    <w:rsid w:val="00A60504"/>
    <w:rsid w:val="00A60630"/>
    <w:rsid w:val="00A60814"/>
    <w:rsid w:val="00A6133F"/>
    <w:rsid w:val="00A62260"/>
    <w:rsid w:val="00A644E7"/>
    <w:rsid w:val="00A646EB"/>
    <w:rsid w:val="00A66261"/>
    <w:rsid w:val="00A664F5"/>
    <w:rsid w:val="00A668B8"/>
    <w:rsid w:val="00A67C35"/>
    <w:rsid w:val="00A70016"/>
    <w:rsid w:val="00A70E8D"/>
    <w:rsid w:val="00A71791"/>
    <w:rsid w:val="00A7187F"/>
    <w:rsid w:val="00A72278"/>
    <w:rsid w:val="00A72375"/>
    <w:rsid w:val="00A72C7E"/>
    <w:rsid w:val="00A73BAC"/>
    <w:rsid w:val="00A73F4A"/>
    <w:rsid w:val="00A74358"/>
    <w:rsid w:val="00A75636"/>
    <w:rsid w:val="00A7608E"/>
    <w:rsid w:val="00A76BFF"/>
    <w:rsid w:val="00A76EB9"/>
    <w:rsid w:val="00A76EDE"/>
    <w:rsid w:val="00A77ED7"/>
    <w:rsid w:val="00A805B6"/>
    <w:rsid w:val="00A8078F"/>
    <w:rsid w:val="00A820CB"/>
    <w:rsid w:val="00A82645"/>
    <w:rsid w:val="00A84BAD"/>
    <w:rsid w:val="00A85FD2"/>
    <w:rsid w:val="00A870D6"/>
    <w:rsid w:val="00A87B5F"/>
    <w:rsid w:val="00A87CE2"/>
    <w:rsid w:val="00A9218C"/>
    <w:rsid w:val="00A9224E"/>
    <w:rsid w:val="00A93B36"/>
    <w:rsid w:val="00A9515C"/>
    <w:rsid w:val="00A951E2"/>
    <w:rsid w:val="00A96586"/>
    <w:rsid w:val="00A96A24"/>
    <w:rsid w:val="00A96F5A"/>
    <w:rsid w:val="00A97BE1"/>
    <w:rsid w:val="00AA0731"/>
    <w:rsid w:val="00AA1167"/>
    <w:rsid w:val="00AA15F0"/>
    <w:rsid w:val="00AA1EB6"/>
    <w:rsid w:val="00AA20ED"/>
    <w:rsid w:val="00AA43B4"/>
    <w:rsid w:val="00AA46BC"/>
    <w:rsid w:val="00AA4B7A"/>
    <w:rsid w:val="00AA50A5"/>
    <w:rsid w:val="00AA68C4"/>
    <w:rsid w:val="00AA6C6A"/>
    <w:rsid w:val="00AA6F53"/>
    <w:rsid w:val="00AA77E1"/>
    <w:rsid w:val="00AA7BFA"/>
    <w:rsid w:val="00AB0BE5"/>
    <w:rsid w:val="00AB0F08"/>
    <w:rsid w:val="00AB1643"/>
    <w:rsid w:val="00AB19E4"/>
    <w:rsid w:val="00AB3D0C"/>
    <w:rsid w:val="00AB4FEC"/>
    <w:rsid w:val="00AB5391"/>
    <w:rsid w:val="00AB5806"/>
    <w:rsid w:val="00AB5E2A"/>
    <w:rsid w:val="00AB6222"/>
    <w:rsid w:val="00AB69DF"/>
    <w:rsid w:val="00AC00AC"/>
    <w:rsid w:val="00AC05DF"/>
    <w:rsid w:val="00AC1272"/>
    <w:rsid w:val="00AC1BEC"/>
    <w:rsid w:val="00AC1E12"/>
    <w:rsid w:val="00AC2B09"/>
    <w:rsid w:val="00AC2FD1"/>
    <w:rsid w:val="00AC345D"/>
    <w:rsid w:val="00AC4A52"/>
    <w:rsid w:val="00AC501C"/>
    <w:rsid w:val="00AC51C0"/>
    <w:rsid w:val="00AC5245"/>
    <w:rsid w:val="00AC57E2"/>
    <w:rsid w:val="00AC64EE"/>
    <w:rsid w:val="00AC67D3"/>
    <w:rsid w:val="00AC7522"/>
    <w:rsid w:val="00AC777F"/>
    <w:rsid w:val="00AD08FE"/>
    <w:rsid w:val="00AD0F96"/>
    <w:rsid w:val="00AD1949"/>
    <w:rsid w:val="00AD2A64"/>
    <w:rsid w:val="00AD2D8E"/>
    <w:rsid w:val="00AD2EB1"/>
    <w:rsid w:val="00AD38D2"/>
    <w:rsid w:val="00AD3A1A"/>
    <w:rsid w:val="00AD3D98"/>
    <w:rsid w:val="00AD3F0D"/>
    <w:rsid w:val="00AD5088"/>
    <w:rsid w:val="00AD56D3"/>
    <w:rsid w:val="00AD655E"/>
    <w:rsid w:val="00AD6B77"/>
    <w:rsid w:val="00AD6F4A"/>
    <w:rsid w:val="00AD716B"/>
    <w:rsid w:val="00AD735E"/>
    <w:rsid w:val="00AE04D6"/>
    <w:rsid w:val="00AE0689"/>
    <w:rsid w:val="00AE17A7"/>
    <w:rsid w:val="00AE21FC"/>
    <w:rsid w:val="00AE2344"/>
    <w:rsid w:val="00AE26AF"/>
    <w:rsid w:val="00AE2B36"/>
    <w:rsid w:val="00AE3802"/>
    <w:rsid w:val="00AE3C20"/>
    <w:rsid w:val="00AE42A9"/>
    <w:rsid w:val="00AE444F"/>
    <w:rsid w:val="00AE4D52"/>
    <w:rsid w:val="00AE4F0B"/>
    <w:rsid w:val="00AE7B29"/>
    <w:rsid w:val="00AE7BAE"/>
    <w:rsid w:val="00AF0385"/>
    <w:rsid w:val="00AF0B4C"/>
    <w:rsid w:val="00AF141D"/>
    <w:rsid w:val="00AF1B14"/>
    <w:rsid w:val="00AF2789"/>
    <w:rsid w:val="00AF29D1"/>
    <w:rsid w:val="00AF30DD"/>
    <w:rsid w:val="00AF3BD9"/>
    <w:rsid w:val="00AF3EFB"/>
    <w:rsid w:val="00AF42B5"/>
    <w:rsid w:val="00AF5C17"/>
    <w:rsid w:val="00AF6087"/>
    <w:rsid w:val="00AF67C5"/>
    <w:rsid w:val="00AF7740"/>
    <w:rsid w:val="00AF7CA7"/>
    <w:rsid w:val="00B00EE0"/>
    <w:rsid w:val="00B01C82"/>
    <w:rsid w:val="00B022C2"/>
    <w:rsid w:val="00B04516"/>
    <w:rsid w:val="00B0454F"/>
    <w:rsid w:val="00B04709"/>
    <w:rsid w:val="00B0473C"/>
    <w:rsid w:val="00B04D2E"/>
    <w:rsid w:val="00B04FB3"/>
    <w:rsid w:val="00B05104"/>
    <w:rsid w:val="00B05C86"/>
    <w:rsid w:val="00B06DC1"/>
    <w:rsid w:val="00B07478"/>
    <w:rsid w:val="00B07913"/>
    <w:rsid w:val="00B101BE"/>
    <w:rsid w:val="00B11A0C"/>
    <w:rsid w:val="00B12301"/>
    <w:rsid w:val="00B12987"/>
    <w:rsid w:val="00B12D66"/>
    <w:rsid w:val="00B13234"/>
    <w:rsid w:val="00B13622"/>
    <w:rsid w:val="00B13859"/>
    <w:rsid w:val="00B1394A"/>
    <w:rsid w:val="00B13B42"/>
    <w:rsid w:val="00B13CFF"/>
    <w:rsid w:val="00B14F07"/>
    <w:rsid w:val="00B16673"/>
    <w:rsid w:val="00B169A0"/>
    <w:rsid w:val="00B16A60"/>
    <w:rsid w:val="00B172EF"/>
    <w:rsid w:val="00B20A7D"/>
    <w:rsid w:val="00B20F24"/>
    <w:rsid w:val="00B21D6F"/>
    <w:rsid w:val="00B2455B"/>
    <w:rsid w:val="00B25141"/>
    <w:rsid w:val="00B27196"/>
    <w:rsid w:val="00B27603"/>
    <w:rsid w:val="00B27AF4"/>
    <w:rsid w:val="00B30513"/>
    <w:rsid w:val="00B307AD"/>
    <w:rsid w:val="00B3198A"/>
    <w:rsid w:val="00B32B19"/>
    <w:rsid w:val="00B32F6F"/>
    <w:rsid w:val="00B33289"/>
    <w:rsid w:val="00B33F20"/>
    <w:rsid w:val="00B3534A"/>
    <w:rsid w:val="00B354DD"/>
    <w:rsid w:val="00B35A91"/>
    <w:rsid w:val="00B35E0A"/>
    <w:rsid w:val="00B35EF9"/>
    <w:rsid w:val="00B37282"/>
    <w:rsid w:val="00B4074C"/>
    <w:rsid w:val="00B41BFD"/>
    <w:rsid w:val="00B41FE2"/>
    <w:rsid w:val="00B42149"/>
    <w:rsid w:val="00B42FF8"/>
    <w:rsid w:val="00B4325F"/>
    <w:rsid w:val="00B44A3A"/>
    <w:rsid w:val="00B44ED6"/>
    <w:rsid w:val="00B46509"/>
    <w:rsid w:val="00B47182"/>
    <w:rsid w:val="00B47217"/>
    <w:rsid w:val="00B500A8"/>
    <w:rsid w:val="00B50176"/>
    <w:rsid w:val="00B505D4"/>
    <w:rsid w:val="00B508E7"/>
    <w:rsid w:val="00B50A86"/>
    <w:rsid w:val="00B50D61"/>
    <w:rsid w:val="00B5109F"/>
    <w:rsid w:val="00B51556"/>
    <w:rsid w:val="00B517CF"/>
    <w:rsid w:val="00B51E75"/>
    <w:rsid w:val="00B52D1E"/>
    <w:rsid w:val="00B54EEA"/>
    <w:rsid w:val="00B55991"/>
    <w:rsid w:val="00B55CE5"/>
    <w:rsid w:val="00B55DE6"/>
    <w:rsid w:val="00B56533"/>
    <w:rsid w:val="00B56C0F"/>
    <w:rsid w:val="00B56DF8"/>
    <w:rsid w:val="00B56FDB"/>
    <w:rsid w:val="00B57076"/>
    <w:rsid w:val="00B5719B"/>
    <w:rsid w:val="00B57658"/>
    <w:rsid w:val="00B60021"/>
    <w:rsid w:val="00B60A40"/>
    <w:rsid w:val="00B61630"/>
    <w:rsid w:val="00B61E1C"/>
    <w:rsid w:val="00B6237B"/>
    <w:rsid w:val="00B62756"/>
    <w:rsid w:val="00B629FC"/>
    <w:rsid w:val="00B630D7"/>
    <w:rsid w:val="00B635AB"/>
    <w:rsid w:val="00B6434C"/>
    <w:rsid w:val="00B65204"/>
    <w:rsid w:val="00B652AF"/>
    <w:rsid w:val="00B65A38"/>
    <w:rsid w:val="00B661EB"/>
    <w:rsid w:val="00B6649B"/>
    <w:rsid w:val="00B66577"/>
    <w:rsid w:val="00B6754F"/>
    <w:rsid w:val="00B67D88"/>
    <w:rsid w:val="00B702EB"/>
    <w:rsid w:val="00B7045B"/>
    <w:rsid w:val="00B722B6"/>
    <w:rsid w:val="00B72723"/>
    <w:rsid w:val="00B728D3"/>
    <w:rsid w:val="00B731A0"/>
    <w:rsid w:val="00B73743"/>
    <w:rsid w:val="00B7403C"/>
    <w:rsid w:val="00B74E34"/>
    <w:rsid w:val="00B758C1"/>
    <w:rsid w:val="00B75D07"/>
    <w:rsid w:val="00B80D95"/>
    <w:rsid w:val="00B80FC8"/>
    <w:rsid w:val="00B826B4"/>
    <w:rsid w:val="00B83277"/>
    <w:rsid w:val="00B85384"/>
    <w:rsid w:val="00B85BC9"/>
    <w:rsid w:val="00B85FAA"/>
    <w:rsid w:val="00B86328"/>
    <w:rsid w:val="00B874D2"/>
    <w:rsid w:val="00B879AB"/>
    <w:rsid w:val="00B900E2"/>
    <w:rsid w:val="00B9101A"/>
    <w:rsid w:val="00B91BD2"/>
    <w:rsid w:val="00B920A1"/>
    <w:rsid w:val="00B9212B"/>
    <w:rsid w:val="00B9254F"/>
    <w:rsid w:val="00B926A7"/>
    <w:rsid w:val="00B92BC4"/>
    <w:rsid w:val="00B93165"/>
    <w:rsid w:val="00B931B2"/>
    <w:rsid w:val="00B94A52"/>
    <w:rsid w:val="00B94F8C"/>
    <w:rsid w:val="00B951BA"/>
    <w:rsid w:val="00B9616D"/>
    <w:rsid w:val="00B96641"/>
    <w:rsid w:val="00B96902"/>
    <w:rsid w:val="00B97FBF"/>
    <w:rsid w:val="00BA013F"/>
    <w:rsid w:val="00BA0774"/>
    <w:rsid w:val="00BA16D3"/>
    <w:rsid w:val="00BA17AD"/>
    <w:rsid w:val="00BA2135"/>
    <w:rsid w:val="00BA228A"/>
    <w:rsid w:val="00BA25AB"/>
    <w:rsid w:val="00BA2A21"/>
    <w:rsid w:val="00BA3228"/>
    <w:rsid w:val="00BA43A3"/>
    <w:rsid w:val="00BA4B2E"/>
    <w:rsid w:val="00BA530D"/>
    <w:rsid w:val="00BA5ED1"/>
    <w:rsid w:val="00BA6FEA"/>
    <w:rsid w:val="00BA76EA"/>
    <w:rsid w:val="00BB0698"/>
    <w:rsid w:val="00BB0BEA"/>
    <w:rsid w:val="00BB1E48"/>
    <w:rsid w:val="00BB206A"/>
    <w:rsid w:val="00BB2B3A"/>
    <w:rsid w:val="00BB3421"/>
    <w:rsid w:val="00BB40FA"/>
    <w:rsid w:val="00BB47B8"/>
    <w:rsid w:val="00BB53B6"/>
    <w:rsid w:val="00BB6CA2"/>
    <w:rsid w:val="00BB723C"/>
    <w:rsid w:val="00BB79B8"/>
    <w:rsid w:val="00BC04BA"/>
    <w:rsid w:val="00BC09EC"/>
    <w:rsid w:val="00BC1331"/>
    <w:rsid w:val="00BC1FBD"/>
    <w:rsid w:val="00BC24CF"/>
    <w:rsid w:val="00BC29E1"/>
    <w:rsid w:val="00BC39E1"/>
    <w:rsid w:val="00BC3CBD"/>
    <w:rsid w:val="00BC476C"/>
    <w:rsid w:val="00BC6975"/>
    <w:rsid w:val="00BC7924"/>
    <w:rsid w:val="00BC7F8F"/>
    <w:rsid w:val="00BD02EA"/>
    <w:rsid w:val="00BD106A"/>
    <w:rsid w:val="00BD2002"/>
    <w:rsid w:val="00BD2D60"/>
    <w:rsid w:val="00BD38D3"/>
    <w:rsid w:val="00BD4226"/>
    <w:rsid w:val="00BD451C"/>
    <w:rsid w:val="00BD46AF"/>
    <w:rsid w:val="00BD4FCD"/>
    <w:rsid w:val="00BD5CA3"/>
    <w:rsid w:val="00BD6815"/>
    <w:rsid w:val="00BD7F74"/>
    <w:rsid w:val="00BE0011"/>
    <w:rsid w:val="00BE034C"/>
    <w:rsid w:val="00BE0BC2"/>
    <w:rsid w:val="00BE0C2B"/>
    <w:rsid w:val="00BE11F9"/>
    <w:rsid w:val="00BE13E5"/>
    <w:rsid w:val="00BE1ADC"/>
    <w:rsid w:val="00BE2136"/>
    <w:rsid w:val="00BE256F"/>
    <w:rsid w:val="00BE2A72"/>
    <w:rsid w:val="00BE2A89"/>
    <w:rsid w:val="00BE35BD"/>
    <w:rsid w:val="00BE35F2"/>
    <w:rsid w:val="00BE3BC6"/>
    <w:rsid w:val="00BE49BB"/>
    <w:rsid w:val="00BE5BDB"/>
    <w:rsid w:val="00BE6F22"/>
    <w:rsid w:val="00BE7488"/>
    <w:rsid w:val="00BE760E"/>
    <w:rsid w:val="00BE79BA"/>
    <w:rsid w:val="00BF0913"/>
    <w:rsid w:val="00BF1FAD"/>
    <w:rsid w:val="00BF2462"/>
    <w:rsid w:val="00BF2912"/>
    <w:rsid w:val="00BF29D2"/>
    <w:rsid w:val="00BF3A4F"/>
    <w:rsid w:val="00BF3C17"/>
    <w:rsid w:val="00BF3CCC"/>
    <w:rsid w:val="00BF5934"/>
    <w:rsid w:val="00BF670D"/>
    <w:rsid w:val="00BF6A83"/>
    <w:rsid w:val="00BF7234"/>
    <w:rsid w:val="00C0038A"/>
    <w:rsid w:val="00C00C54"/>
    <w:rsid w:val="00C016F2"/>
    <w:rsid w:val="00C0232D"/>
    <w:rsid w:val="00C03B87"/>
    <w:rsid w:val="00C03D5C"/>
    <w:rsid w:val="00C04567"/>
    <w:rsid w:val="00C05808"/>
    <w:rsid w:val="00C05BE4"/>
    <w:rsid w:val="00C05C01"/>
    <w:rsid w:val="00C06B9C"/>
    <w:rsid w:val="00C06E63"/>
    <w:rsid w:val="00C07333"/>
    <w:rsid w:val="00C0794E"/>
    <w:rsid w:val="00C10434"/>
    <w:rsid w:val="00C11783"/>
    <w:rsid w:val="00C123F1"/>
    <w:rsid w:val="00C130EB"/>
    <w:rsid w:val="00C136D3"/>
    <w:rsid w:val="00C137E5"/>
    <w:rsid w:val="00C1422D"/>
    <w:rsid w:val="00C14502"/>
    <w:rsid w:val="00C148C7"/>
    <w:rsid w:val="00C155C7"/>
    <w:rsid w:val="00C16604"/>
    <w:rsid w:val="00C168D4"/>
    <w:rsid w:val="00C16D7D"/>
    <w:rsid w:val="00C17109"/>
    <w:rsid w:val="00C17332"/>
    <w:rsid w:val="00C20105"/>
    <w:rsid w:val="00C21160"/>
    <w:rsid w:val="00C21861"/>
    <w:rsid w:val="00C21AA4"/>
    <w:rsid w:val="00C21F3B"/>
    <w:rsid w:val="00C22195"/>
    <w:rsid w:val="00C23164"/>
    <w:rsid w:val="00C254C2"/>
    <w:rsid w:val="00C25DA1"/>
    <w:rsid w:val="00C26521"/>
    <w:rsid w:val="00C2705B"/>
    <w:rsid w:val="00C27523"/>
    <w:rsid w:val="00C300D8"/>
    <w:rsid w:val="00C307BB"/>
    <w:rsid w:val="00C31C61"/>
    <w:rsid w:val="00C32418"/>
    <w:rsid w:val="00C329B9"/>
    <w:rsid w:val="00C32E18"/>
    <w:rsid w:val="00C33C3C"/>
    <w:rsid w:val="00C3471D"/>
    <w:rsid w:val="00C35193"/>
    <w:rsid w:val="00C357C7"/>
    <w:rsid w:val="00C35A74"/>
    <w:rsid w:val="00C360B4"/>
    <w:rsid w:val="00C36D22"/>
    <w:rsid w:val="00C36D7F"/>
    <w:rsid w:val="00C36EAA"/>
    <w:rsid w:val="00C37930"/>
    <w:rsid w:val="00C403A4"/>
    <w:rsid w:val="00C41377"/>
    <w:rsid w:val="00C42009"/>
    <w:rsid w:val="00C420EF"/>
    <w:rsid w:val="00C421CF"/>
    <w:rsid w:val="00C4351E"/>
    <w:rsid w:val="00C44593"/>
    <w:rsid w:val="00C4485F"/>
    <w:rsid w:val="00C44885"/>
    <w:rsid w:val="00C45A70"/>
    <w:rsid w:val="00C46249"/>
    <w:rsid w:val="00C5067C"/>
    <w:rsid w:val="00C51AAD"/>
    <w:rsid w:val="00C52038"/>
    <w:rsid w:val="00C5260B"/>
    <w:rsid w:val="00C528BD"/>
    <w:rsid w:val="00C529A1"/>
    <w:rsid w:val="00C52C26"/>
    <w:rsid w:val="00C5388F"/>
    <w:rsid w:val="00C53935"/>
    <w:rsid w:val="00C540FF"/>
    <w:rsid w:val="00C54682"/>
    <w:rsid w:val="00C54CD3"/>
    <w:rsid w:val="00C55D2D"/>
    <w:rsid w:val="00C565DB"/>
    <w:rsid w:val="00C56625"/>
    <w:rsid w:val="00C575C6"/>
    <w:rsid w:val="00C5788D"/>
    <w:rsid w:val="00C57B89"/>
    <w:rsid w:val="00C60549"/>
    <w:rsid w:val="00C60BC0"/>
    <w:rsid w:val="00C61210"/>
    <w:rsid w:val="00C616E1"/>
    <w:rsid w:val="00C616E9"/>
    <w:rsid w:val="00C617BE"/>
    <w:rsid w:val="00C62590"/>
    <w:rsid w:val="00C62A3B"/>
    <w:rsid w:val="00C6307C"/>
    <w:rsid w:val="00C64163"/>
    <w:rsid w:val="00C65724"/>
    <w:rsid w:val="00C657A7"/>
    <w:rsid w:val="00C66D31"/>
    <w:rsid w:val="00C66ECC"/>
    <w:rsid w:val="00C70417"/>
    <w:rsid w:val="00C704D1"/>
    <w:rsid w:val="00C70E2B"/>
    <w:rsid w:val="00C71997"/>
    <w:rsid w:val="00C71B78"/>
    <w:rsid w:val="00C723E6"/>
    <w:rsid w:val="00C72462"/>
    <w:rsid w:val="00C72EEC"/>
    <w:rsid w:val="00C73422"/>
    <w:rsid w:val="00C76110"/>
    <w:rsid w:val="00C76F31"/>
    <w:rsid w:val="00C76FE6"/>
    <w:rsid w:val="00C77F9B"/>
    <w:rsid w:val="00C80D27"/>
    <w:rsid w:val="00C812F7"/>
    <w:rsid w:val="00C837A7"/>
    <w:rsid w:val="00C83827"/>
    <w:rsid w:val="00C854AA"/>
    <w:rsid w:val="00C856C5"/>
    <w:rsid w:val="00C85A00"/>
    <w:rsid w:val="00C8679B"/>
    <w:rsid w:val="00C87127"/>
    <w:rsid w:val="00C87831"/>
    <w:rsid w:val="00C90267"/>
    <w:rsid w:val="00C90268"/>
    <w:rsid w:val="00C90314"/>
    <w:rsid w:val="00C90EAD"/>
    <w:rsid w:val="00C9132C"/>
    <w:rsid w:val="00C91E02"/>
    <w:rsid w:val="00C92453"/>
    <w:rsid w:val="00C9248E"/>
    <w:rsid w:val="00C926C4"/>
    <w:rsid w:val="00C942D6"/>
    <w:rsid w:val="00C94C2B"/>
    <w:rsid w:val="00C95CA3"/>
    <w:rsid w:val="00C9762A"/>
    <w:rsid w:val="00C97695"/>
    <w:rsid w:val="00C97B6F"/>
    <w:rsid w:val="00CA14F9"/>
    <w:rsid w:val="00CA275D"/>
    <w:rsid w:val="00CA2A9C"/>
    <w:rsid w:val="00CA33C0"/>
    <w:rsid w:val="00CA3518"/>
    <w:rsid w:val="00CA3E3E"/>
    <w:rsid w:val="00CA57F1"/>
    <w:rsid w:val="00CA6246"/>
    <w:rsid w:val="00CA70B4"/>
    <w:rsid w:val="00CA76A9"/>
    <w:rsid w:val="00CA7CE6"/>
    <w:rsid w:val="00CB0596"/>
    <w:rsid w:val="00CB0EB1"/>
    <w:rsid w:val="00CB213D"/>
    <w:rsid w:val="00CB217C"/>
    <w:rsid w:val="00CB278A"/>
    <w:rsid w:val="00CB2C31"/>
    <w:rsid w:val="00CB3261"/>
    <w:rsid w:val="00CB40E3"/>
    <w:rsid w:val="00CB42D7"/>
    <w:rsid w:val="00CB64F2"/>
    <w:rsid w:val="00CB6B53"/>
    <w:rsid w:val="00CB7213"/>
    <w:rsid w:val="00CB7BAA"/>
    <w:rsid w:val="00CB7BBD"/>
    <w:rsid w:val="00CC12B0"/>
    <w:rsid w:val="00CC1972"/>
    <w:rsid w:val="00CC1C11"/>
    <w:rsid w:val="00CC3A66"/>
    <w:rsid w:val="00CC3CBC"/>
    <w:rsid w:val="00CC53A9"/>
    <w:rsid w:val="00CC54E3"/>
    <w:rsid w:val="00CC569E"/>
    <w:rsid w:val="00CC5B43"/>
    <w:rsid w:val="00CC5E9B"/>
    <w:rsid w:val="00CC6530"/>
    <w:rsid w:val="00CC7733"/>
    <w:rsid w:val="00CD05C2"/>
    <w:rsid w:val="00CD1456"/>
    <w:rsid w:val="00CD2274"/>
    <w:rsid w:val="00CD2309"/>
    <w:rsid w:val="00CD249D"/>
    <w:rsid w:val="00CD25BF"/>
    <w:rsid w:val="00CD3665"/>
    <w:rsid w:val="00CD3726"/>
    <w:rsid w:val="00CD39BB"/>
    <w:rsid w:val="00CD4151"/>
    <w:rsid w:val="00CD4951"/>
    <w:rsid w:val="00CD509B"/>
    <w:rsid w:val="00CD5860"/>
    <w:rsid w:val="00CD58B0"/>
    <w:rsid w:val="00CD6438"/>
    <w:rsid w:val="00CD6508"/>
    <w:rsid w:val="00CD6B67"/>
    <w:rsid w:val="00CD6C5C"/>
    <w:rsid w:val="00CD7EA1"/>
    <w:rsid w:val="00CE0052"/>
    <w:rsid w:val="00CE00F9"/>
    <w:rsid w:val="00CE02EB"/>
    <w:rsid w:val="00CE163E"/>
    <w:rsid w:val="00CE211E"/>
    <w:rsid w:val="00CE369B"/>
    <w:rsid w:val="00CE3751"/>
    <w:rsid w:val="00CE409D"/>
    <w:rsid w:val="00CE4196"/>
    <w:rsid w:val="00CE4E9E"/>
    <w:rsid w:val="00CE5544"/>
    <w:rsid w:val="00CE5C99"/>
    <w:rsid w:val="00CE7BD5"/>
    <w:rsid w:val="00CF0C94"/>
    <w:rsid w:val="00CF1034"/>
    <w:rsid w:val="00CF197F"/>
    <w:rsid w:val="00CF22EB"/>
    <w:rsid w:val="00CF2607"/>
    <w:rsid w:val="00CF34B3"/>
    <w:rsid w:val="00CF3BA5"/>
    <w:rsid w:val="00CF3C05"/>
    <w:rsid w:val="00CF3CEF"/>
    <w:rsid w:val="00CF42F4"/>
    <w:rsid w:val="00CF4613"/>
    <w:rsid w:val="00CF48FC"/>
    <w:rsid w:val="00CF4E2E"/>
    <w:rsid w:val="00CF5C52"/>
    <w:rsid w:val="00CF603D"/>
    <w:rsid w:val="00CF617B"/>
    <w:rsid w:val="00CF6DE5"/>
    <w:rsid w:val="00CF70A2"/>
    <w:rsid w:val="00CF7594"/>
    <w:rsid w:val="00D002C5"/>
    <w:rsid w:val="00D0359A"/>
    <w:rsid w:val="00D047D2"/>
    <w:rsid w:val="00D04B75"/>
    <w:rsid w:val="00D07E31"/>
    <w:rsid w:val="00D1015A"/>
    <w:rsid w:val="00D11808"/>
    <w:rsid w:val="00D12350"/>
    <w:rsid w:val="00D12B53"/>
    <w:rsid w:val="00D12F8C"/>
    <w:rsid w:val="00D13AE4"/>
    <w:rsid w:val="00D13F5E"/>
    <w:rsid w:val="00D1490E"/>
    <w:rsid w:val="00D14930"/>
    <w:rsid w:val="00D14B90"/>
    <w:rsid w:val="00D1608D"/>
    <w:rsid w:val="00D1721A"/>
    <w:rsid w:val="00D2035B"/>
    <w:rsid w:val="00D205BE"/>
    <w:rsid w:val="00D21E56"/>
    <w:rsid w:val="00D223B5"/>
    <w:rsid w:val="00D238EC"/>
    <w:rsid w:val="00D259DF"/>
    <w:rsid w:val="00D260DA"/>
    <w:rsid w:val="00D26B0A"/>
    <w:rsid w:val="00D274A4"/>
    <w:rsid w:val="00D27950"/>
    <w:rsid w:val="00D27BE0"/>
    <w:rsid w:val="00D27D57"/>
    <w:rsid w:val="00D30320"/>
    <w:rsid w:val="00D30AE8"/>
    <w:rsid w:val="00D319F3"/>
    <w:rsid w:val="00D31A61"/>
    <w:rsid w:val="00D3344B"/>
    <w:rsid w:val="00D33CDF"/>
    <w:rsid w:val="00D34100"/>
    <w:rsid w:val="00D346F7"/>
    <w:rsid w:val="00D35730"/>
    <w:rsid w:val="00D35F60"/>
    <w:rsid w:val="00D40035"/>
    <w:rsid w:val="00D401C4"/>
    <w:rsid w:val="00D404C8"/>
    <w:rsid w:val="00D424A8"/>
    <w:rsid w:val="00D43DE0"/>
    <w:rsid w:val="00D443BB"/>
    <w:rsid w:val="00D44869"/>
    <w:rsid w:val="00D44DB4"/>
    <w:rsid w:val="00D44EE7"/>
    <w:rsid w:val="00D451F4"/>
    <w:rsid w:val="00D45E33"/>
    <w:rsid w:val="00D462F7"/>
    <w:rsid w:val="00D465EE"/>
    <w:rsid w:val="00D46661"/>
    <w:rsid w:val="00D46BB3"/>
    <w:rsid w:val="00D47A1E"/>
    <w:rsid w:val="00D5064F"/>
    <w:rsid w:val="00D50869"/>
    <w:rsid w:val="00D52509"/>
    <w:rsid w:val="00D52612"/>
    <w:rsid w:val="00D52CB4"/>
    <w:rsid w:val="00D533B2"/>
    <w:rsid w:val="00D54225"/>
    <w:rsid w:val="00D558DB"/>
    <w:rsid w:val="00D55C2B"/>
    <w:rsid w:val="00D55C31"/>
    <w:rsid w:val="00D572FC"/>
    <w:rsid w:val="00D5751C"/>
    <w:rsid w:val="00D579DB"/>
    <w:rsid w:val="00D60F6E"/>
    <w:rsid w:val="00D60FB2"/>
    <w:rsid w:val="00D61491"/>
    <w:rsid w:val="00D616AC"/>
    <w:rsid w:val="00D634B4"/>
    <w:rsid w:val="00D64E7B"/>
    <w:rsid w:val="00D652C2"/>
    <w:rsid w:val="00D663CD"/>
    <w:rsid w:val="00D67339"/>
    <w:rsid w:val="00D71211"/>
    <w:rsid w:val="00D715D7"/>
    <w:rsid w:val="00D71CDF"/>
    <w:rsid w:val="00D72690"/>
    <w:rsid w:val="00D736D2"/>
    <w:rsid w:val="00D74353"/>
    <w:rsid w:val="00D74918"/>
    <w:rsid w:val="00D7495F"/>
    <w:rsid w:val="00D752C5"/>
    <w:rsid w:val="00D754A8"/>
    <w:rsid w:val="00D75B53"/>
    <w:rsid w:val="00D75E3A"/>
    <w:rsid w:val="00D76049"/>
    <w:rsid w:val="00D76A5E"/>
    <w:rsid w:val="00D77495"/>
    <w:rsid w:val="00D774D8"/>
    <w:rsid w:val="00D774F6"/>
    <w:rsid w:val="00D77B78"/>
    <w:rsid w:val="00D804E3"/>
    <w:rsid w:val="00D82AFB"/>
    <w:rsid w:val="00D84380"/>
    <w:rsid w:val="00D84D8F"/>
    <w:rsid w:val="00D84FDF"/>
    <w:rsid w:val="00D85A8F"/>
    <w:rsid w:val="00D87CBD"/>
    <w:rsid w:val="00D9072A"/>
    <w:rsid w:val="00D9118F"/>
    <w:rsid w:val="00D9129D"/>
    <w:rsid w:val="00D91857"/>
    <w:rsid w:val="00D922A7"/>
    <w:rsid w:val="00D928F1"/>
    <w:rsid w:val="00D9332F"/>
    <w:rsid w:val="00D94B7D"/>
    <w:rsid w:val="00D94B90"/>
    <w:rsid w:val="00D950C0"/>
    <w:rsid w:val="00D962CF"/>
    <w:rsid w:val="00D96B1D"/>
    <w:rsid w:val="00D975B8"/>
    <w:rsid w:val="00D97AC8"/>
    <w:rsid w:val="00DA0B97"/>
    <w:rsid w:val="00DA23A5"/>
    <w:rsid w:val="00DA3ED6"/>
    <w:rsid w:val="00DA41C0"/>
    <w:rsid w:val="00DA549C"/>
    <w:rsid w:val="00DA5958"/>
    <w:rsid w:val="00DA67DF"/>
    <w:rsid w:val="00DA782B"/>
    <w:rsid w:val="00DB02CF"/>
    <w:rsid w:val="00DB04EE"/>
    <w:rsid w:val="00DB075B"/>
    <w:rsid w:val="00DB094C"/>
    <w:rsid w:val="00DB2799"/>
    <w:rsid w:val="00DB597A"/>
    <w:rsid w:val="00DB639A"/>
    <w:rsid w:val="00DC0089"/>
    <w:rsid w:val="00DC0606"/>
    <w:rsid w:val="00DC0BF9"/>
    <w:rsid w:val="00DC15CA"/>
    <w:rsid w:val="00DC1895"/>
    <w:rsid w:val="00DC1A7F"/>
    <w:rsid w:val="00DC1ED6"/>
    <w:rsid w:val="00DC203D"/>
    <w:rsid w:val="00DC218C"/>
    <w:rsid w:val="00DC3946"/>
    <w:rsid w:val="00DC5829"/>
    <w:rsid w:val="00DC699E"/>
    <w:rsid w:val="00DC6E79"/>
    <w:rsid w:val="00DC71F7"/>
    <w:rsid w:val="00DC74BB"/>
    <w:rsid w:val="00DC7D66"/>
    <w:rsid w:val="00DC7E51"/>
    <w:rsid w:val="00DD06A2"/>
    <w:rsid w:val="00DD0DF5"/>
    <w:rsid w:val="00DD1430"/>
    <w:rsid w:val="00DD1FCA"/>
    <w:rsid w:val="00DD214C"/>
    <w:rsid w:val="00DD27F7"/>
    <w:rsid w:val="00DD39B2"/>
    <w:rsid w:val="00DD3B2C"/>
    <w:rsid w:val="00DD3CFE"/>
    <w:rsid w:val="00DD491B"/>
    <w:rsid w:val="00DD4BFF"/>
    <w:rsid w:val="00DD4CBE"/>
    <w:rsid w:val="00DD4D17"/>
    <w:rsid w:val="00DD50DD"/>
    <w:rsid w:val="00DD593F"/>
    <w:rsid w:val="00DD6A4A"/>
    <w:rsid w:val="00DD7441"/>
    <w:rsid w:val="00DD7D2E"/>
    <w:rsid w:val="00DD7D8F"/>
    <w:rsid w:val="00DE16FD"/>
    <w:rsid w:val="00DE1C4C"/>
    <w:rsid w:val="00DE20BA"/>
    <w:rsid w:val="00DE2239"/>
    <w:rsid w:val="00DE2684"/>
    <w:rsid w:val="00DE2A31"/>
    <w:rsid w:val="00DE2D36"/>
    <w:rsid w:val="00DE3472"/>
    <w:rsid w:val="00DE35E0"/>
    <w:rsid w:val="00DE3B0E"/>
    <w:rsid w:val="00DE3B7B"/>
    <w:rsid w:val="00DE45B2"/>
    <w:rsid w:val="00DE521F"/>
    <w:rsid w:val="00DE5F53"/>
    <w:rsid w:val="00DE6945"/>
    <w:rsid w:val="00DE7141"/>
    <w:rsid w:val="00DE73BC"/>
    <w:rsid w:val="00DE7961"/>
    <w:rsid w:val="00DE7B39"/>
    <w:rsid w:val="00DF0272"/>
    <w:rsid w:val="00DF0762"/>
    <w:rsid w:val="00DF0D42"/>
    <w:rsid w:val="00DF0FEA"/>
    <w:rsid w:val="00DF20B2"/>
    <w:rsid w:val="00DF23EC"/>
    <w:rsid w:val="00DF28CE"/>
    <w:rsid w:val="00DF2AD6"/>
    <w:rsid w:val="00DF30B3"/>
    <w:rsid w:val="00DF3B74"/>
    <w:rsid w:val="00DF3BE3"/>
    <w:rsid w:val="00DF5ABB"/>
    <w:rsid w:val="00DF5FC4"/>
    <w:rsid w:val="00DF6127"/>
    <w:rsid w:val="00DF648A"/>
    <w:rsid w:val="00DF6560"/>
    <w:rsid w:val="00E00F0D"/>
    <w:rsid w:val="00E011C6"/>
    <w:rsid w:val="00E0296B"/>
    <w:rsid w:val="00E0322A"/>
    <w:rsid w:val="00E03404"/>
    <w:rsid w:val="00E03BBB"/>
    <w:rsid w:val="00E0535E"/>
    <w:rsid w:val="00E05B07"/>
    <w:rsid w:val="00E05F4D"/>
    <w:rsid w:val="00E06009"/>
    <w:rsid w:val="00E068CB"/>
    <w:rsid w:val="00E06A10"/>
    <w:rsid w:val="00E06A9D"/>
    <w:rsid w:val="00E06C6C"/>
    <w:rsid w:val="00E100B5"/>
    <w:rsid w:val="00E104D1"/>
    <w:rsid w:val="00E107EC"/>
    <w:rsid w:val="00E10AD2"/>
    <w:rsid w:val="00E115A3"/>
    <w:rsid w:val="00E11701"/>
    <w:rsid w:val="00E118D6"/>
    <w:rsid w:val="00E121D8"/>
    <w:rsid w:val="00E1279D"/>
    <w:rsid w:val="00E13347"/>
    <w:rsid w:val="00E13456"/>
    <w:rsid w:val="00E146E5"/>
    <w:rsid w:val="00E14727"/>
    <w:rsid w:val="00E14F00"/>
    <w:rsid w:val="00E16A27"/>
    <w:rsid w:val="00E16A6C"/>
    <w:rsid w:val="00E17290"/>
    <w:rsid w:val="00E17313"/>
    <w:rsid w:val="00E201B0"/>
    <w:rsid w:val="00E220E3"/>
    <w:rsid w:val="00E236F5"/>
    <w:rsid w:val="00E24545"/>
    <w:rsid w:val="00E2474F"/>
    <w:rsid w:val="00E24AB4"/>
    <w:rsid w:val="00E25132"/>
    <w:rsid w:val="00E25B2E"/>
    <w:rsid w:val="00E25B59"/>
    <w:rsid w:val="00E25E76"/>
    <w:rsid w:val="00E267B5"/>
    <w:rsid w:val="00E2755C"/>
    <w:rsid w:val="00E315B9"/>
    <w:rsid w:val="00E32103"/>
    <w:rsid w:val="00E32240"/>
    <w:rsid w:val="00E326F9"/>
    <w:rsid w:val="00E32EA9"/>
    <w:rsid w:val="00E338CD"/>
    <w:rsid w:val="00E342D3"/>
    <w:rsid w:val="00E34411"/>
    <w:rsid w:val="00E34B86"/>
    <w:rsid w:val="00E34F81"/>
    <w:rsid w:val="00E35481"/>
    <w:rsid w:val="00E35829"/>
    <w:rsid w:val="00E37FD8"/>
    <w:rsid w:val="00E40033"/>
    <w:rsid w:val="00E40A83"/>
    <w:rsid w:val="00E40D99"/>
    <w:rsid w:val="00E4346B"/>
    <w:rsid w:val="00E44E08"/>
    <w:rsid w:val="00E4589E"/>
    <w:rsid w:val="00E45FBF"/>
    <w:rsid w:val="00E46A9C"/>
    <w:rsid w:val="00E4766D"/>
    <w:rsid w:val="00E47D23"/>
    <w:rsid w:val="00E47EA8"/>
    <w:rsid w:val="00E47EDF"/>
    <w:rsid w:val="00E500D0"/>
    <w:rsid w:val="00E50195"/>
    <w:rsid w:val="00E511F3"/>
    <w:rsid w:val="00E517AC"/>
    <w:rsid w:val="00E518B1"/>
    <w:rsid w:val="00E5190A"/>
    <w:rsid w:val="00E536D9"/>
    <w:rsid w:val="00E53730"/>
    <w:rsid w:val="00E53F26"/>
    <w:rsid w:val="00E54455"/>
    <w:rsid w:val="00E5453F"/>
    <w:rsid w:val="00E54974"/>
    <w:rsid w:val="00E55DBA"/>
    <w:rsid w:val="00E56C5C"/>
    <w:rsid w:val="00E571BB"/>
    <w:rsid w:val="00E572EC"/>
    <w:rsid w:val="00E60670"/>
    <w:rsid w:val="00E60CC7"/>
    <w:rsid w:val="00E610FC"/>
    <w:rsid w:val="00E62D91"/>
    <w:rsid w:val="00E63578"/>
    <w:rsid w:val="00E63647"/>
    <w:rsid w:val="00E64C0A"/>
    <w:rsid w:val="00E6585B"/>
    <w:rsid w:val="00E65FA4"/>
    <w:rsid w:val="00E66366"/>
    <w:rsid w:val="00E6641D"/>
    <w:rsid w:val="00E66617"/>
    <w:rsid w:val="00E67198"/>
    <w:rsid w:val="00E7026B"/>
    <w:rsid w:val="00E70C90"/>
    <w:rsid w:val="00E715A7"/>
    <w:rsid w:val="00E71821"/>
    <w:rsid w:val="00E725A6"/>
    <w:rsid w:val="00E7282A"/>
    <w:rsid w:val="00E73A52"/>
    <w:rsid w:val="00E73C13"/>
    <w:rsid w:val="00E74B17"/>
    <w:rsid w:val="00E74BD6"/>
    <w:rsid w:val="00E756C3"/>
    <w:rsid w:val="00E75878"/>
    <w:rsid w:val="00E75ED1"/>
    <w:rsid w:val="00E76B39"/>
    <w:rsid w:val="00E7780F"/>
    <w:rsid w:val="00E77CB0"/>
    <w:rsid w:val="00E8157F"/>
    <w:rsid w:val="00E817CC"/>
    <w:rsid w:val="00E81C06"/>
    <w:rsid w:val="00E82178"/>
    <w:rsid w:val="00E826C4"/>
    <w:rsid w:val="00E84722"/>
    <w:rsid w:val="00E84CA3"/>
    <w:rsid w:val="00E85273"/>
    <w:rsid w:val="00E85521"/>
    <w:rsid w:val="00E85645"/>
    <w:rsid w:val="00E8588D"/>
    <w:rsid w:val="00E85976"/>
    <w:rsid w:val="00E868DE"/>
    <w:rsid w:val="00E86A11"/>
    <w:rsid w:val="00E8703A"/>
    <w:rsid w:val="00E87857"/>
    <w:rsid w:val="00E87859"/>
    <w:rsid w:val="00E878F0"/>
    <w:rsid w:val="00E87ABE"/>
    <w:rsid w:val="00E90ED9"/>
    <w:rsid w:val="00E918E1"/>
    <w:rsid w:val="00E91B2C"/>
    <w:rsid w:val="00E91E14"/>
    <w:rsid w:val="00E92126"/>
    <w:rsid w:val="00E92BF4"/>
    <w:rsid w:val="00E92E0F"/>
    <w:rsid w:val="00E92F90"/>
    <w:rsid w:val="00E94042"/>
    <w:rsid w:val="00E945F8"/>
    <w:rsid w:val="00E948D6"/>
    <w:rsid w:val="00E96644"/>
    <w:rsid w:val="00E96AA8"/>
    <w:rsid w:val="00E96B79"/>
    <w:rsid w:val="00E97862"/>
    <w:rsid w:val="00EA0022"/>
    <w:rsid w:val="00EA126D"/>
    <w:rsid w:val="00EA1EBD"/>
    <w:rsid w:val="00EA27DB"/>
    <w:rsid w:val="00EA330A"/>
    <w:rsid w:val="00EA3683"/>
    <w:rsid w:val="00EA3A27"/>
    <w:rsid w:val="00EA3B56"/>
    <w:rsid w:val="00EA4716"/>
    <w:rsid w:val="00EA4B38"/>
    <w:rsid w:val="00EA4D3C"/>
    <w:rsid w:val="00EA51FC"/>
    <w:rsid w:val="00EA5733"/>
    <w:rsid w:val="00EA5880"/>
    <w:rsid w:val="00EA6018"/>
    <w:rsid w:val="00EA63AB"/>
    <w:rsid w:val="00EA69C7"/>
    <w:rsid w:val="00EA7D59"/>
    <w:rsid w:val="00EB0885"/>
    <w:rsid w:val="00EB116A"/>
    <w:rsid w:val="00EB1F3E"/>
    <w:rsid w:val="00EB2540"/>
    <w:rsid w:val="00EB3FF4"/>
    <w:rsid w:val="00EB47B1"/>
    <w:rsid w:val="00EB4903"/>
    <w:rsid w:val="00EB5030"/>
    <w:rsid w:val="00EB56DF"/>
    <w:rsid w:val="00EB57DD"/>
    <w:rsid w:val="00EB6DA2"/>
    <w:rsid w:val="00EB7DCC"/>
    <w:rsid w:val="00EC0137"/>
    <w:rsid w:val="00EC0E0A"/>
    <w:rsid w:val="00EC0F8A"/>
    <w:rsid w:val="00EC235F"/>
    <w:rsid w:val="00EC2C7E"/>
    <w:rsid w:val="00EC34C2"/>
    <w:rsid w:val="00EC3AE3"/>
    <w:rsid w:val="00EC40EE"/>
    <w:rsid w:val="00EC4EBA"/>
    <w:rsid w:val="00EC6F36"/>
    <w:rsid w:val="00EC77E7"/>
    <w:rsid w:val="00ED1461"/>
    <w:rsid w:val="00ED154A"/>
    <w:rsid w:val="00ED1F51"/>
    <w:rsid w:val="00ED26DE"/>
    <w:rsid w:val="00ED3BFA"/>
    <w:rsid w:val="00ED49BD"/>
    <w:rsid w:val="00ED5EC3"/>
    <w:rsid w:val="00ED68A4"/>
    <w:rsid w:val="00ED6919"/>
    <w:rsid w:val="00ED69C7"/>
    <w:rsid w:val="00ED706F"/>
    <w:rsid w:val="00ED779B"/>
    <w:rsid w:val="00EE0C65"/>
    <w:rsid w:val="00EE280C"/>
    <w:rsid w:val="00EE3B3E"/>
    <w:rsid w:val="00EE4255"/>
    <w:rsid w:val="00EE5784"/>
    <w:rsid w:val="00EE5819"/>
    <w:rsid w:val="00EE6C28"/>
    <w:rsid w:val="00EE7076"/>
    <w:rsid w:val="00EE73A7"/>
    <w:rsid w:val="00EE7515"/>
    <w:rsid w:val="00EF01CC"/>
    <w:rsid w:val="00EF0A8A"/>
    <w:rsid w:val="00EF1924"/>
    <w:rsid w:val="00EF22CB"/>
    <w:rsid w:val="00EF27C6"/>
    <w:rsid w:val="00EF359E"/>
    <w:rsid w:val="00EF3961"/>
    <w:rsid w:val="00EF7056"/>
    <w:rsid w:val="00EF7748"/>
    <w:rsid w:val="00EF794A"/>
    <w:rsid w:val="00EF79DD"/>
    <w:rsid w:val="00F00137"/>
    <w:rsid w:val="00F00CEB"/>
    <w:rsid w:val="00F0129C"/>
    <w:rsid w:val="00F01B53"/>
    <w:rsid w:val="00F022CF"/>
    <w:rsid w:val="00F025A4"/>
    <w:rsid w:val="00F02A89"/>
    <w:rsid w:val="00F04405"/>
    <w:rsid w:val="00F04640"/>
    <w:rsid w:val="00F06481"/>
    <w:rsid w:val="00F06E1C"/>
    <w:rsid w:val="00F06E55"/>
    <w:rsid w:val="00F07333"/>
    <w:rsid w:val="00F10E70"/>
    <w:rsid w:val="00F10F7D"/>
    <w:rsid w:val="00F1181E"/>
    <w:rsid w:val="00F11BC2"/>
    <w:rsid w:val="00F12310"/>
    <w:rsid w:val="00F153DB"/>
    <w:rsid w:val="00F15B0B"/>
    <w:rsid w:val="00F15CBD"/>
    <w:rsid w:val="00F16113"/>
    <w:rsid w:val="00F1620D"/>
    <w:rsid w:val="00F16D0C"/>
    <w:rsid w:val="00F1764F"/>
    <w:rsid w:val="00F210FC"/>
    <w:rsid w:val="00F2156C"/>
    <w:rsid w:val="00F2167A"/>
    <w:rsid w:val="00F21CBD"/>
    <w:rsid w:val="00F21F80"/>
    <w:rsid w:val="00F230FE"/>
    <w:rsid w:val="00F23E4D"/>
    <w:rsid w:val="00F23FB7"/>
    <w:rsid w:val="00F25710"/>
    <w:rsid w:val="00F2594F"/>
    <w:rsid w:val="00F25CA4"/>
    <w:rsid w:val="00F25E13"/>
    <w:rsid w:val="00F306A1"/>
    <w:rsid w:val="00F30EBC"/>
    <w:rsid w:val="00F328F5"/>
    <w:rsid w:val="00F32CF9"/>
    <w:rsid w:val="00F33309"/>
    <w:rsid w:val="00F3451E"/>
    <w:rsid w:val="00F34A7A"/>
    <w:rsid w:val="00F3530B"/>
    <w:rsid w:val="00F3606A"/>
    <w:rsid w:val="00F3650A"/>
    <w:rsid w:val="00F36791"/>
    <w:rsid w:val="00F36B7B"/>
    <w:rsid w:val="00F3772E"/>
    <w:rsid w:val="00F37D63"/>
    <w:rsid w:val="00F4037A"/>
    <w:rsid w:val="00F4062D"/>
    <w:rsid w:val="00F41CC6"/>
    <w:rsid w:val="00F43CD2"/>
    <w:rsid w:val="00F44503"/>
    <w:rsid w:val="00F44CB7"/>
    <w:rsid w:val="00F45183"/>
    <w:rsid w:val="00F45940"/>
    <w:rsid w:val="00F45D0F"/>
    <w:rsid w:val="00F460F0"/>
    <w:rsid w:val="00F466CB"/>
    <w:rsid w:val="00F46F40"/>
    <w:rsid w:val="00F4745D"/>
    <w:rsid w:val="00F4772B"/>
    <w:rsid w:val="00F5040C"/>
    <w:rsid w:val="00F51681"/>
    <w:rsid w:val="00F5346E"/>
    <w:rsid w:val="00F538D3"/>
    <w:rsid w:val="00F56488"/>
    <w:rsid w:val="00F56C73"/>
    <w:rsid w:val="00F56D8A"/>
    <w:rsid w:val="00F56D9E"/>
    <w:rsid w:val="00F573CA"/>
    <w:rsid w:val="00F579D1"/>
    <w:rsid w:val="00F60448"/>
    <w:rsid w:val="00F60A5F"/>
    <w:rsid w:val="00F613FA"/>
    <w:rsid w:val="00F6221A"/>
    <w:rsid w:val="00F62421"/>
    <w:rsid w:val="00F62887"/>
    <w:rsid w:val="00F62C59"/>
    <w:rsid w:val="00F634E7"/>
    <w:rsid w:val="00F64600"/>
    <w:rsid w:val="00F64D2C"/>
    <w:rsid w:val="00F654D1"/>
    <w:rsid w:val="00F6577A"/>
    <w:rsid w:val="00F65D46"/>
    <w:rsid w:val="00F665C9"/>
    <w:rsid w:val="00F67250"/>
    <w:rsid w:val="00F70289"/>
    <w:rsid w:val="00F71593"/>
    <w:rsid w:val="00F71C4B"/>
    <w:rsid w:val="00F72674"/>
    <w:rsid w:val="00F73588"/>
    <w:rsid w:val="00F748DA"/>
    <w:rsid w:val="00F75203"/>
    <w:rsid w:val="00F76260"/>
    <w:rsid w:val="00F81AE5"/>
    <w:rsid w:val="00F82262"/>
    <w:rsid w:val="00F82358"/>
    <w:rsid w:val="00F82DFD"/>
    <w:rsid w:val="00F83FDD"/>
    <w:rsid w:val="00F84BBE"/>
    <w:rsid w:val="00F858A2"/>
    <w:rsid w:val="00F873CD"/>
    <w:rsid w:val="00F874F2"/>
    <w:rsid w:val="00F875C4"/>
    <w:rsid w:val="00F8771C"/>
    <w:rsid w:val="00F87EEA"/>
    <w:rsid w:val="00F90900"/>
    <w:rsid w:val="00F90F64"/>
    <w:rsid w:val="00F91235"/>
    <w:rsid w:val="00F912EF"/>
    <w:rsid w:val="00F9155A"/>
    <w:rsid w:val="00F919B5"/>
    <w:rsid w:val="00F91C65"/>
    <w:rsid w:val="00F91E34"/>
    <w:rsid w:val="00F925B7"/>
    <w:rsid w:val="00F9320B"/>
    <w:rsid w:val="00F93642"/>
    <w:rsid w:val="00F937A1"/>
    <w:rsid w:val="00F9467E"/>
    <w:rsid w:val="00F94816"/>
    <w:rsid w:val="00F953C1"/>
    <w:rsid w:val="00F96CF5"/>
    <w:rsid w:val="00F974F9"/>
    <w:rsid w:val="00F977AF"/>
    <w:rsid w:val="00FA01FF"/>
    <w:rsid w:val="00FA06F4"/>
    <w:rsid w:val="00FA0D57"/>
    <w:rsid w:val="00FA109B"/>
    <w:rsid w:val="00FA15E5"/>
    <w:rsid w:val="00FA1640"/>
    <w:rsid w:val="00FA1E10"/>
    <w:rsid w:val="00FA2829"/>
    <w:rsid w:val="00FA2FA1"/>
    <w:rsid w:val="00FA4ACE"/>
    <w:rsid w:val="00FA512B"/>
    <w:rsid w:val="00FA5247"/>
    <w:rsid w:val="00FA6215"/>
    <w:rsid w:val="00FA6BC8"/>
    <w:rsid w:val="00FA78D1"/>
    <w:rsid w:val="00FA79B3"/>
    <w:rsid w:val="00FA7CEE"/>
    <w:rsid w:val="00FB09D5"/>
    <w:rsid w:val="00FB0C23"/>
    <w:rsid w:val="00FB1C83"/>
    <w:rsid w:val="00FB22B6"/>
    <w:rsid w:val="00FB2730"/>
    <w:rsid w:val="00FB2F3C"/>
    <w:rsid w:val="00FB30BE"/>
    <w:rsid w:val="00FB3424"/>
    <w:rsid w:val="00FB44AE"/>
    <w:rsid w:val="00FB548D"/>
    <w:rsid w:val="00FB5BAA"/>
    <w:rsid w:val="00FB6039"/>
    <w:rsid w:val="00FB651C"/>
    <w:rsid w:val="00FB69FC"/>
    <w:rsid w:val="00FC0CBD"/>
    <w:rsid w:val="00FC0D87"/>
    <w:rsid w:val="00FC1825"/>
    <w:rsid w:val="00FC2BFF"/>
    <w:rsid w:val="00FC3902"/>
    <w:rsid w:val="00FC53D7"/>
    <w:rsid w:val="00FC56D5"/>
    <w:rsid w:val="00FC5AB8"/>
    <w:rsid w:val="00FC6ADC"/>
    <w:rsid w:val="00FD029B"/>
    <w:rsid w:val="00FD0D03"/>
    <w:rsid w:val="00FD10BE"/>
    <w:rsid w:val="00FD11E8"/>
    <w:rsid w:val="00FD458F"/>
    <w:rsid w:val="00FD4892"/>
    <w:rsid w:val="00FD5821"/>
    <w:rsid w:val="00FD5901"/>
    <w:rsid w:val="00FD595B"/>
    <w:rsid w:val="00FD7587"/>
    <w:rsid w:val="00FD7722"/>
    <w:rsid w:val="00FD7F0B"/>
    <w:rsid w:val="00FE0073"/>
    <w:rsid w:val="00FE0928"/>
    <w:rsid w:val="00FE12A2"/>
    <w:rsid w:val="00FE1F2D"/>
    <w:rsid w:val="00FE2401"/>
    <w:rsid w:val="00FE267D"/>
    <w:rsid w:val="00FE2A6C"/>
    <w:rsid w:val="00FE39DB"/>
    <w:rsid w:val="00FE3CE9"/>
    <w:rsid w:val="00FE413F"/>
    <w:rsid w:val="00FE464B"/>
    <w:rsid w:val="00FE4A6F"/>
    <w:rsid w:val="00FE4EBF"/>
    <w:rsid w:val="00FE57CB"/>
    <w:rsid w:val="00FE5C1D"/>
    <w:rsid w:val="00FE617A"/>
    <w:rsid w:val="00FE61A2"/>
    <w:rsid w:val="00FE637C"/>
    <w:rsid w:val="00FE63BF"/>
    <w:rsid w:val="00FE73E6"/>
    <w:rsid w:val="00FE7704"/>
    <w:rsid w:val="00FE7CA3"/>
    <w:rsid w:val="00FF14BF"/>
    <w:rsid w:val="00FF1ABB"/>
    <w:rsid w:val="00FF1F39"/>
    <w:rsid w:val="00FF213A"/>
    <w:rsid w:val="00FF26FE"/>
    <w:rsid w:val="00FF465C"/>
    <w:rsid w:val="00FF4A21"/>
    <w:rsid w:val="00FF5D19"/>
    <w:rsid w:val="00FF6476"/>
    <w:rsid w:val="00FF72A2"/>
    <w:rsid w:val="00FF7430"/>
  </w:rsids>
  <m:mathPr>
    <m:mathFont m:val="Cambria Math"/>
    <m:brkBin m:val="before"/>
    <m:brkBinSub m:val="--"/>
    <m:smallFrac m:val="0"/>
    <m:dispDef/>
    <m:lMargin m:val="0"/>
    <m:rMargin m:val="0"/>
    <m:defJc m:val="centerGroup"/>
    <m:wrapIndent m:val="1440"/>
    <m:intLim m:val="subSup"/>
    <m:naryLim m:val="undOvr"/>
  </m:mathPr>
  <w:themeFontLang w:val="en-AU"/>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DB31D63"/>
  <w15:chartTrackingRefBased/>
  <w15:docId w15:val="{6A1CEABA-8E16-4569-ABF6-E0A4E9C237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AU"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122E"/>
    <w:pPr>
      <w:spacing w:line="480" w:lineRule="auto"/>
      <w:contextualSpacing/>
      <w:jc w:val="both"/>
    </w:pPr>
    <w:rPr>
      <w:rFonts w:ascii="Times New Roman" w:hAnsi="Times New Roman" w:cs="Times New Roman"/>
      <w:sz w:val="24"/>
      <w:szCs w:val="24"/>
      <w:lang w:val="en-GB"/>
    </w:rPr>
  </w:style>
  <w:style w:type="paragraph" w:styleId="Heading1">
    <w:name w:val="heading 1"/>
    <w:basedOn w:val="Normal"/>
    <w:next w:val="Normal"/>
    <w:link w:val="Heading1Char"/>
    <w:uiPriority w:val="9"/>
    <w:qFormat/>
    <w:rsid w:val="006C6FAD"/>
    <w:pPr>
      <w:keepNext/>
      <w:keepLines/>
      <w:spacing w:before="240" w:after="0"/>
      <w:outlineLvl w:val="0"/>
    </w:pPr>
    <w:rPr>
      <w:rFonts w:eastAsiaTheme="majorEastAsia"/>
      <w:sz w:val="32"/>
      <w:szCs w:val="32"/>
    </w:rPr>
  </w:style>
  <w:style w:type="paragraph" w:styleId="Heading2">
    <w:name w:val="heading 2"/>
    <w:basedOn w:val="Normal"/>
    <w:next w:val="Normal"/>
    <w:link w:val="Heading2Char"/>
    <w:uiPriority w:val="9"/>
    <w:unhideWhenUsed/>
    <w:qFormat/>
    <w:rsid w:val="00DF3BE3"/>
    <w:pPr>
      <w:keepNext/>
      <w:keepLines/>
      <w:spacing w:before="40" w:after="0"/>
      <w:outlineLvl w:val="1"/>
    </w:pPr>
    <w:rPr>
      <w:rFonts w:eastAsiaTheme="majorEastAsia"/>
      <w:sz w:val="28"/>
      <w:szCs w:val="28"/>
    </w:rPr>
  </w:style>
  <w:style w:type="paragraph" w:styleId="Heading3">
    <w:name w:val="heading 3"/>
    <w:basedOn w:val="Heading2"/>
    <w:next w:val="Normal"/>
    <w:link w:val="Heading3Char"/>
    <w:uiPriority w:val="9"/>
    <w:unhideWhenUsed/>
    <w:qFormat/>
    <w:rsid w:val="0061242F"/>
    <w:pPr>
      <w:outlineLvl w:val="2"/>
    </w:pPr>
    <w:rPr>
      <w:b/>
      <w:bCs/>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6FAD"/>
    <w:rPr>
      <w:rFonts w:ascii="Times New Roman" w:eastAsiaTheme="majorEastAsia" w:hAnsi="Times New Roman" w:cs="Times New Roman"/>
      <w:sz w:val="32"/>
      <w:szCs w:val="32"/>
    </w:rPr>
  </w:style>
  <w:style w:type="paragraph" w:styleId="BalloonText">
    <w:name w:val="Balloon Text"/>
    <w:basedOn w:val="Normal"/>
    <w:link w:val="BalloonTextChar"/>
    <w:uiPriority w:val="99"/>
    <w:semiHidden/>
    <w:unhideWhenUsed/>
    <w:rsid w:val="006C6FA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C6FAD"/>
    <w:rPr>
      <w:rFonts w:ascii="Segoe UI" w:hAnsi="Segoe UI" w:cs="Segoe UI"/>
      <w:sz w:val="18"/>
      <w:szCs w:val="18"/>
    </w:rPr>
  </w:style>
  <w:style w:type="paragraph" w:styleId="FootnoteText">
    <w:name w:val="footnote text"/>
    <w:basedOn w:val="Normal"/>
    <w:link w:val="FootnoteTextChar"/>
    <w:uiPriority w:val="99"/>
    <w:unhideWhenUsed/>
    <w:rsid w:val="00922FD0"/>
    <w:pPr>
      <w:spacing w:after="0" w:line="240" w:lineRule="auto"/>
      <w:jc w:val="left"/>
    </w:pPr>
    <w:rPr>
      <w:i/>
      <w:iCs/>
      <w:sz w:val="20"/>
    </w:rPr>
  </w:style>
  <w:style w:type="character" w:customStyle="1" w:styleId="FootnoteTextChar">
    <w:name w:val="Footnote Text Char"/>
    <w:basedOn w:val="DefaultParagraphFont"/>
    <w:link w:val="FootnoteText"/>
    <w:uiPriority w:val="99"/>
    <w:rsid w:val="00922FD0"/>
    <w:rPr>
      <w:rFonts w:ascii="Times New Roman" w:hAnsi="Times New Roman" w:cs="Times New Roman"/>
      <w:i/>
      <w:iCs/>
      <w:sz w:val="20"/>
      <w:szCs w:val="24"/>
      <w:lang w:val="en-GB"/>
    </w:rPr>
  </w:style>
  <w:style w:type="character" w:styleId="FootnoteReference">
    <w:name w:val="footnote reference"/>
    <w:basedOn w:val="DefaultParagraphFont"/>
    <w:uiPriority w:val="99"/>
    <w:semiHidden/>
    <w:unhideWhenUsed/>
    <w:rsid w:val="008D2028"/>
    <w:rPr>
      <w:vertAlign w:val="superscript"/>
    </w:rPr>
  </w:style>
  <w:style w:type="character" w:styleId="Hyperlink">
    <w:name w:val="Hyperlink"/>
    <w:basedOn w:val="DefaultParagraphFont"/>
    <w:uiPriority w:val="99"/>
    <w:unhideWhenUsed/>
    <w:rsid w:val="008D2028"/>
    <w:rPr>
      <w:color w:val="0000FF"/>
      <w:u w:val="single"/>
    </w:rPr>
  </w:style>
  <w:style w:type="character" w:styleId="UnresolvedMention">
    <w:name w:val="Unresolved Mention"/>
    <w:basedOn w:val="DefaultParagraphFont"/>
    <w:uiPriority w:val="99"/>
    <w:semiHidden/>
    <w:unhideWhenUsed/>
    <w:rsid w:val="00DD1430"/>
    <w:rPr>
      <w:color w:val="605E5C"/>
      <w:shd w:val="clear" w:color="auto" w:fill="E1DFDD"/>
    </w:rPr>
  </w:style>
  <w:style w:type="paragraph" w:styleId="ListParagraph">
    <w:name w:val="List Paragraph"/>
    <w:basedOn w:val="Normal"/>
    <w:uiPriority w:val="34"/>
    <w:qFormat/>
    <w:rsid w:val="00422730"/>
    <w:pPr>
      <w:ind w:left="720"/>
    </w:pPr>
  </w:style>
  <w:style w:type="character" w:customStyle="1" w:styleId="Heading2Char">
    <w:name w:val="Heading 2 Char"/>
    <w:basedOn w:val="DefaultParagraphFont"/>
    <w:link w:val="Heading2"/>
    <w:uiPriority w:val="9"/>
    <w:rsid w:val="00DF3BE3"/>
    <w:rPr>
      <w:rFonts w:ascii="Times New Roman" w:eastAsiaTheme="majorEastAsia" w:hAnsi="Times New Roman" w:cs="Times New Roman"/>
      <w:sz w:val="28"/>
      <w:szCs w:val="28"/>
      <w:lang w:val="en-GB"/>
    </w:rPr>
  </w:style>
  <w:style w:type="paragraph" w:styleId="Header">
    <w:name w:val="header"/>
    <w:basedOn w:val="Normal"/>
    <w:link w:val="HeaderChar"/>
    <w:uiPriority w:val="99"/>
    <w:unhideWhenUsed/>
    <w:rsid w:val="00280F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0F89"/>
    <w:rPr>
      <w:rFonts w:ascii="Times New Roman" w:hAnsi="Times New Roman" w:cs="Times New Roman"/>
    </w:rPr>
  </w:style>
  <w:style w:type="paragraph" w:styleId="Footer">
    <w:name w:val="footer"/>
    <w:basedOn w:val="Normal"/>
    <w:link w:val="FooterChar"/>
    <w:uiPriority w:val="99"/>
    <w:unhideWhenUsed/>
    <w:rsid w:val="00280F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0F89"/>
    <w:rPr>
      <w:rFonts w:ascii="Times New Roman" w:hAnsi="Times New Roman" w:cs="Times New Roman"/>
    </w:rPr>
  </w:style>
  <w:style w:type="character" w:styleId="Emphasis">
    <w:name w:val="Emphasis"/>
    <w:basedOn w:val="DefaultParagraphFont"/>
    <w:uiPriority w:val="20"/>
    <w:qFormat/>
    <w:rsid w:val="0071508B"/>
    <w:rPr>
      <w:i/>
      <w:iCs/>
    </w:rPr>
  </w:style>
  <w:style w:type="character" w:styleId="Strong">
    <w:name w:val="Strong"/>
    <w:basedOn w:val="DefaultParagraphFont"/>
    <w:uiPriority w:val="22"/>
    <w:qFormat/>
    <w:rsid w:val="003377A3"/>
    <w:rPr>
      <w:b/>
      <w:bCs/>
    </w:rPr>
  </w:style>
  <w:style w:type="character" w:styleId="CommentReference">
    <w:name w:val="annotation reference"/>
    <w:basedOn w:val="DefaultParagraphFont"/>
    <w:uiPriority w:val="99"/>
    <w:semiHidden/>
    <w:unhideWhenUsed/>
    <w:rsid w:val="004B4C93"/>
    <w:rPr>
      <w:sz w:val="16"/>
      <w:szCs w:val="16"/>
    </w:rPr>
  </w:style>
  <w:style w:type="paragraph" w:styleId="CommentText">
    <w:name w:val="annotation text"/>
    <w:basedOn w:val="Normal"/>
    <w:link w:val="CommentTextChar"/>
    <w:uiPriority w:val="99"/>
    <w:semiHidden/>
    <w:unhideWhenUsed/>
    <w:rsid w:val="004B4C93"/>
    <w:pPr>
      <w:spacing w:line="240" w:lineRule="auto"/>
    </w:pPr>
    <w:rPr>
      <w:sz w:val="20"/>
      <w:szCs w:val="20"/>
    </w:rPr>
  </w:style>
  <w:style w:type="character" w:customStyle="1" w:styleId="CommentTextChar">
    <w:name w:val="Comment Text Char"/>
    <w:basedOn w:val="DefaultParagraphFont"/>
    <w:link w:val="CommentText"/>
    <w:uiPriority w:val="99"/>
    <w:semiHidden/>
    <w:rsid w:val="004B4C93"/>
    <w:rPr>
      <w:rFonts w:ascii="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4B4C93"/>
    <w:rPr>
      <w:b/>
      <w:bCs/>
    </w:rPr>
  </w:style>
  <w:style w:type="character" w:customStyle="1" w:styleId="CommentSubjectChar">
    <w:name w:val="Comment Subject Char"/>
    <w:basedOn w:val="CommentTextChar"/>
    <w:link w:val="CommentSubject"/>
    <w:uiPriority w:val="99"/>
    <w:semiHidden/>
    <w:rsid w:val="004B4C93"/>
    <w:rPr>
      <w:rFonts w:ascii="Times New Roman" w:hAnsi="Times New Roman" w:cs="Times New Roman"/>
      <w:b/>
      <w:bCs/>
      <w:sz w:val="20"/>
      <w:szCs w:val="20"/>
    </w:rPr>
  </w:style>
  <w:style w:type="character" w:customStyle="1" w:styleId="Heading3Char">
    <w:name w:val="Heading 3 Char"/>
    <w:basedOn w:val="DefaultParagraphFont"/>
    <w:link w:val="Heading3"/>
    <w:uiPriority w:val="9"/>
    <w:rsid w:val="0061242F"/>
    <w:rPr>
      <w:rFonts w:ascii="Times New Roman" w:eastAsiaTheme="majorEastAsia" w:hAnsi="Times New Roman" w:cs="Times New Roman"/>
      <w:b/>
      <w:bCs/>
      <w:sz w:val="24"/>
      <w:szCs w:val="24"/>
      <w:lang w:val="en-GB"/>
    </w:rPr>
  </w:style>
  <w:style w:type="paragraph" w:customStyle="1" w:styleId="MTDisplayEquation">
    <w:name w:val="MTDisplayEquation"/>
    <w:basedOn w:val="Normal"/>
    <w:next w:val="Normal"/>
    <w:link w:val="MTDisplayEquationChar"/>
    <w:rsid w:val="00480ABE"/>
    <w:pPr>
      <w:tabs>
        <w:tab w:val="center" w:pos="4880"/>
        <w:tab w:val="right" w:pos="9020"/>
      </w:tabs>
      <w:ind w:left="720" w:hanging="720"/>
    </w:pPr>
  </w:style>
  <w:style w:type="character" w:customStyle="1" w:styleId="MTDisplayEquationChar">
    <w:name w:val="MTDisplayEquation Char"/>
    <w:basedOn w:val="DefaultParagraphFont"/>
    <w:link w:val="MTDisplayEquation"/>
    <w:rsid w:val="00480ABE"/>
    <w:rPr>
      <w:rFonts w:ascii="Times New Roman" w:hAnsi="Times New Roman" w:cs="Times New Roman"/>
      <w:sz w:val="24"/>
      <w:szCs w:val="24"/>
      <w:lang w:val="en-GB"/>
    </w:rPr>
  </w:style>
  <w:style w:type="paragraph" w:styleId="Bibliography">
    <w:name w:val="Bibliography"/>
    <w:basedOn w:val="Normal"/>
    <w:next w:val="Normal"/>
    <w:uiPriority w:val="37"/>
    <w:unhideWhenUsed/>
    <w:rsid w:val="00D52CB4"/>
    <w:pPr>
      <w:spacing w:after="0" w:line="240" w:lineRule="auto"/>
      <w:ind w:left="720" w:hanging="720"/>
      <w:jc w:val="left"/>
    </w:pPr>
  </w:style>
  <w:style w:type="character" w:styleId="EndnoteReference">
    <w:name w:val="endnote reference"/>
    <w:basedOn w:val="DefaultParagraphFont"/>
    <w:uiPriority w:val="99"/>
    <w:semiHidden/>
    <w:unhideWhenUsed/>
    <w:rsid w:val="008E6D03"/>
    <w:rPr>
      <w:vertAlign w:val="superscript"/>
    </w:rPr>
  </w:style>
  <w:style w:type="paragraph" w:styleId="Quote">
    <w:name w:val="Quote"/>
    <w:basedOn w:val="Normal"/>
    <w:next w:val="Normal"/>
    <w:link w:val="QuoteChar"/>
    <w:uiPriority w:val="29"/>
    <w:qFormat/>
    <w:rsid w:val="00AD5088"/>
    <w:pPr>
      <w:spacing w:before="200"/>
      <w:ind w:left="864" w:right="864"/>
      <w:jc w:val="left"/>
    </w:pPr>
    <w:rPr>
      <w:i/>
      <w:iCs/>
      <w:color w:val="404040" w:themeColor="text1" w:themeTint="BF"/>
      <w:lang w:val="en-AU"/>
    </w:rPr>
  </w:style>
  <w:style w:type="character" w:customStyle="1" w:styleId="QuoteChar">
    <w:name w:val="Quote Char"/>
    <w:basedOn w:val="DefaultParagraphFont"/>
    <w:link w:val="Quote"/>
    <w:uiPriority w:val="29"/>
    <w:rsid w:val="00AD5088"/>
    <w:rPr>
      <w:rFonts w:ascii="Times New Roman" w:hAnsi="Times New Roman" w:cs="Times New Roman"/>
      <w:i/>
      <w:iCs/>
      <w:color w:val="404040" w:themeColor="text1" w:themeTint="B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0626569">
      <w:bodyDiv w:val="1"/>
      <w:marLeft w:val="0"/>
      <w:marRight w:val="0"/>
      <w:marTop w:val="0"/>
      <w:marBottom w:val="0"/>
      <w:divBdr>
        <w:top w:val="none" w:sz="0" w:space="0" w:color="auto"/>
        <w:left w:val="none" w:sz="0" w:space="0" w:color="auto"/>
        <w:bottom w:val="none" w:sz="0" w:space="0" w:color="auto"/>
        <w:right w:val="none" w:sz="0" w:space="0" w:color="auto"/>
      </w:divBdr>
      <w:divsChild>
        <w:div w:id="1798183743">
          <w:marLeft w:val="0"/>
          <w:marRight w:val="0"/>
          <w:marTop w:val="0"/>
          <w:marBottom w:val="0"/>
          <w:divBdr>
            <w:top w:val="none" w:sz="0" w:space="0" w:color="auto"/>
            <w:left w:val="none" w:sz="0" w:space="0" w:color="auto"/>
            <w:bottom w:val="none" w:sz="0" w:space="0" w:color="auto"/>
            <w:right w:val="none" w:sz="0" w:space="0" w:color="auto"/>
          </w:divBdr>
          <w:divsChild>
            <w:div w:id="655650633">
              <w:marLeft w:val="0"/>
              <w:marRight w:val="0"/>
              <w:marTop w:val="0"/>
              <w:marBottom w:val="0"/>
              <w:divBdr>
                <w:top w:val="none" w:sz="0" w:space="0" w:color="auto"/>
                <w:left w:val="none" w:sz="0" w:space="0" w:color="auto"/>
                <w:bottom w:val="none" w:sz="0" w:space="0" w:color="auto"/>
                <w:right w:val="none" w:sz="0" w:space="0" w:color="auto"/>
              </w:divBdr>
              <w:divsChild>
                <w:div w:id="1195075812">
                  <w:marLeft w:val="0"/>
                  <w:marRight w:val="0"/>
                  <w:marTop w:val="0"/>
                  <w:marBottom w:val="0"/>
                  <w:divBdr>
                    <w:top w:val="none" w:sz="0" w:space="0" w:color="auto"/>
                    <w:left w:val="none" w:sz="0" w:space="0" w:color="auto"/>
                    <w:bottom w:val="none" w:sz="0" w:space="0" w:color="auto"/>
                    <w:right w:val="none" w:sz="0" w:space="0" w:color="auto"/>
                  </w:divBdr>
                  <w:divsChild>
                    <w:div w:id="1552035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3603569">
          <w:marLeft w:val="0"/>
          <w:marRight w:val="0"/>
          <w:marTop w:val="100"/>
          <w:marBottom w:val="0"/>
          <w:divBdr>
            <w:top w:val="none" w:sz="0" w:space="0" w:color="auto"/>
            <w:left w:val="none" w:sz="0" w:space="0" w:color="auto"/>
            <w:bottom w:val="none" w:sz="0" w:space="0" w:color="auto"/>
            <w:right w:val="none" w:sz="0" w:space="0" w:color="auto"/>
          </w:divBdr>
          <w:divsChild>
            <w:div w:id="138688398">
              <w:marLeft w:val="0"/>
              <w:marRight w:val="0"/>
              <w:marTop w:val="0"/>
              <w:marBottom w:val="0"/>
              <w:divBdr>
                <w:top w:val="none" w:sz="0" w:space="0" w:color="auto"/>
                <w:left w:val="none" w:sz="0" w:space="0" w:color="auto"/>
                <w:bottom w:val="none" w:sz="0" w:space="0" w:color="auto"/>
                <w:right w:val="none" w:sz="0" w:space="0" w:color="auto"/>
              </w:divBdr>
              <w:divsChild>
                <w:div w:id="2105416092">
                  <w:marLeft w:val="0"/>
                  <w:marRight w:val="0"/>
                  <w:marTop w:val="0"/>
                  <w:marBottom w:val="0"/>
                  <w:divBdr>
                    <w:top w:val="none" w:sz="0" w:space="0" w:color="auto"/>
                    <w:left w:val="none" w:sz="0" w:space="0" w:color="auto"/>
                    <w:bottom w:val="none" w:sz="0" w:space="0" w:color="auto"/>
                    <w:right w:val="none" w:sz="0" w:space="0" w:color="auto"/>
                  </w:divBdr>
                  <w:divsChild>
                    <w:div w:id="1798332406">
                      <w:marLeft w:val="0"/>
                      <w:marRight w:val="0"/>
                      <w:marTop w:val="0"/>
                      <w:marBottom w:val="0"/>
                      <w:divBdr>
                        <w:top w:val="none" w:sz="0" w:space="0" w:color="auto"/>
                        <w:left w:val="none" w:sz="0" w:space="0" w:color="auto"/>
                        <w:bottom w:val="none" w:sz="0" w:space="0" w:color="auto"/>
                        <w:right w:val="none" w:sz="0" w:space="0" w:color="auto"/>
                      </w:divBdr>
                      <w:divsChild>
                        <w:div w:id="1608658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1878669">
              <w:marLeft w:val="0"/>
              <w:marRight w:val="0"/>
              <w:marTop w:val="60"/>
              <w:marBottom w:val="0"/>
              <w:divBdr>
                <w:top w:val="none" w:sz="0" w:space="0" w:color="auto"/>
                <w:left w:val="none" w:sz="0" w:space="0" w:color="auto"/>
                <w:bottom w:val="none" w:sz="0" w:space="0" w:color="auto"/>
                <w:right w:val="none" w:sz="0" w:space="0" w:color="auto"/>
              </w:divBdr>
            </w:div>
          </w:divsChild>
        </w:div>
        <w:div w:id="1994066651">
          <w:marLeft w:val="0"/>
          <w:marRight w:val="0"/>
          <w:marTop w:val="0"/>
          <w:marBottom w:val="0"/>
          <w:divBdr>
            <w:top w:val="none" w:sz="0" w:space="0" w:color="auto"/>
            <w:left w:val="none" w:sz="0" w:space="0" w:color="auto"/>
            <w:bottom w:val="none" w:sz="0" w:space="0" w:color="auto"/>
            <w:right w:val="none" w:sz="0" w:space="0" w:color="auto"/>
          </w:divBdr>
          <w:divsChild>
            <w:div w:id="240797817">
              <w:marLeft w:val="0"/>
              <w:marRight w:val="0"/>
              <w:marTop w:val="0"/>
              <w:marBottom w:val="0"/>
              <w:divBdr>
                <w:top w:val="none" w:sz="0" w:space="0" w:color="auto"/>
                <w:left w:val="none" w:sz="0" w:space="0" w:color="auto"/>
                <w:bottom w:val="none" w:sz="0" w:space="0" w:color="auto"/>
                <w:right w:val="none" w:sz="0" w:space="0" w:color="auto"/>
              </w:divBdr>
              <w:divsChild>
                <w:div w:id="439761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6159226">
      <w:bodyDiv w:val="1"/>
      <w:marLeft w:val="0"/>
      <w:marRight w:val="0"/>
      <w:marTop w:val="0"/>
      <w:marBottom w:val="0"/>
      <w:divBdr>
        <w:top w:val="none" w:sz="0" w:space="0" w:color="auto"/>
        <w:left w:val="none" w:sz="0" w:space="0" w:color="auto"/>
        <w:bottom w:val="none" w:sz="0" w:space="0" w:color="auto"/>
        <w:right w:val="none" w:sz="0" w:space="0" w:color="auto"/>
      </w:divBdr>
    </w:div>
    <w:div w:id="293604395">
      <w:bodyDiv w:val="1"/>
      <w:marLeft w:val="0"/>
      <w:marRight w:val="0"/>
      <w:marTop w:val="0"/>
      <w:marBottom w:val="0"/>
      <w:divBdr>
        <w:top w:val="none" w:sz="0" w:space="0" w:color="auto"/>
        <w:left w:val="none" w:sz="0" w:space="0" w:color="auto"/>
        <w:bottom w:val="none" w:sz="0" w:space="0" w:color="auto"/>
        <w:right w:val="none" w:sz="0" w:space="0" w:color="auto"/>
      </w:divBdr>
    </w:div>
    <w:div w:id="555893447">
      <w:bodyDiv w:val="1"/>
      <w:marLeft w:val="0"/>
      <w:marRight w:val="0"/>
      <w:marTop w:val="0"/>
      <w:marBottom w:val="0"/>
      <w:divBdr>
        <w:top w:val="none" w:sz="0" w:space="0" w:color="auto"/>
        <w:left w:val="none" w:sz="0" w:space="0" w:color="auto"/>
        <w:bottom w:val="none" w:sz="0" w:space="0" w:color="auto"/>
        <w:right w:val="none" w:sz="0" w:space="0" w:color="auto"/>
      </w:divBdr>
      <w:divsChild>
        <w:div w:id="1799834920">
          <w:marLeft w:val="0"/>
          <w:marRight w:val="0"/>
          <w:marTop w:val="0"/>
          <w:marBottom w:val="0"/>
          <w:divBdr>
            <w:top w:val="none" w:sz="0" w:space="0" w:color="auto"/>
            <w:left w:val="none" w:sz="0" w:space="0" w:color="auto"/>
            <w:bottom w:val="none" w:sz="0" w:space="0" w:color="auto"/>
            <w:right w:val="none" w:sz="0" w:space="0" w:color="auto"/>
          </w:divBdr>
        </w:div>
      </w:divsChild>
    </w:div>
    <w:div w:id="572399147">
      <w:bodyDiv w:val="1"/>
      <w:marLeft w:val="0"/>
      <w:marRight w:val="0"/>
      <w:marTop w:val="0"/>
      <w:marBottom w:val="0"/>
      <w:divBdr>
        <w:top w:val="none" w:sz="0" w:space="0" w:color="auto"/>
        <w:left w:val="none" w:sz="0" w:space="0" w:color="auto"/>
        <w:bottom w:val="none" w:sz="0" w:space="0" w:color="auto"/>
        <w:right w:val="none" w:sz="0" w:space="0" w:color="auto"/>
      </w:divBdr>
      <w:divsChild>
        <w:div w:id="1040283541">
          <w:marLeft w:val="0"/>
          <w:marRight w:val="0"/>
          <w:marTop w:val="0"/>
          <w:marBottom w:val="0"/>
          <w:divBdr>
            <w:top w:val="none" w:sz="0" w:space="0" w:color="auto"/>
            <w:left w:val="none" w:sz="0" w:space="0" w:color="auto"/>
            <w:bottom w:val="none" w:sz="0" w:space="0" w:color="auto"/>
            <w:right w:val="none" w:sz="0" w:space="0" w:color="auto"/>
          </w:divBdr>
          <w:divsChild>
            <w:div w:id="1260872506">
              <w:marLeft w:val="0"/>
              <w:marRight w:val="0"/>
              <w:marTop w:val="0"/>
              <w:marBottom w:val="0"/>
              <w:divBdr>
                <w:top w:val="none" w:sz="0" w:space="0" w:color="auto"/>
                <w:left w:val="none" w:sz="0" w:space="0" w:color="auto"/>
                <w:bottom w:val="none" w:sz="0" w:space="0" w:color="auto"/>
                <w:right w:val="none" w:sz="0" w:space="0" w:color="auto"/>
              </w:divBdr>
              <w:divsChild>
                <w:div w:id="946425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2465063">
      <w:bodyDiv w:val="1"/>
      <w:marLeft w:val="0"/>
      <w:marRight w:val="0"/>
      <w:marTop w:val="0"/>
      <w:marBottom w:val="0"/>
      <w:divBdr>
        <w:top w:val="none" w:sz="0" w:space="0" w:color="auto"/>
        <w:left w:val="none" w:sz="0" w:space="0" w:color="auto"/>
        <w:bottom w:val="none" w:sz="0" w:space="0" w:color="auto"/>
        <w:right w:val="none" w:sz="0" w:space="0" w:color="auto"/>
      </w:divBdr>
    </w:div>
    <w:div w:id="968972865">
      <w:bodyDiv w:val="1"/>
      <w:marLeft w:val="0"/>
      <w:marRight w:val="0"/>
      <w:marTop w:val="0"/>
      <w:marBottom w:val="0"/>
      <w:divBdr>
        <w:top w:val="none" w:sz="0" w:space="0" w:color="auto"/>
        <w:left w:val="none" w:sz="0" w:space="0" w:color="auto"/>
        <w:bottom w:val="none" w:sz="0" w:space="0" w:color="auto"/>
        <w:right w:val="none" w:sz="0" w:space="0" w:color="auto"/>
      </w:divBdr>
    </w:div>
    <w:div w:id="1214923087">
      <w:bodyDiv w:val="1"/>
      <w:marLeft w:val="0"/>
      <w:marRight w:val="0"/>
      <w:marTop w:val="0"/>
      <w:marBottom w:val="0"/>
      <w:divBdr>
        <w:top w:val="none" w:sz="0" w:space="0" w:color="auto"/>
        <w:left w:val="none" w:sz="0" w:space="0" w:color="auto"/>
        <w:bottom w:val="none" w:sz="0" w:space="0" w:color="auto"/>
        <w:right w:val="none" w:sz="0" w:space="0" w:color="auto"/>
      </w:divBdr>
      <w:divsChild>
        <w:div w:id="660085994">
          <w:marLeft w:val="0"/>
          <w:marRight w:val="0"/>
          <w:marTop w:val="0"/>
          <w:marBottom w:val="0"/>
          <w:divBdr>
            <w:top w:val="none" w:sz="0" w:space="0" w:color="auto"/>
            <w:left w:val="none" w:sz="0" w:space="0" w:color="auto"/>
            <w:bottom w:val="none" w:sz="0" w:space="0" w:color="auto"/>
            <w:right w:val="none" w:sz="0" w:space="0" w:color="auto"/>
          </w:divBdr>
          <w:divsChild>
            <w:div w:id="168523685">
              <w:marLeft w:val="0"/>
              <w:marRight w:val="0"/>
              <w:marTop w:val="0"/>
              <w:marBottom w:val="0"/>
              <w:divBdr>
                <w:top w:val="none" w:sz="0" w:space="0" w:color="auto"/>
                <w:left w:val="none" w:sz="0" w:space="0" w:color="auto"/>
                <w:bottom w:val="none" w:sz="0" w:space="0" w:color="auto"/>
                <w:right w:val="none" w:sz="0" w:space="0" w:color="auto"/>
              </w:divBdr>
              <w:divsChild>
                <w:div w:id="1106459606">
                  <w:marLeft w:val="0"/>
                  <w:marRight w:val="0"/>
                  <w:marTop w:val="0"/>
                  <w:marBottom w:val="75"/>
                  <w:divBdr>
                    <w:top w:val="none" w:sz="0" w:space="0" w:color="auto"/>
                    <w:left w:val="none" w:sz="0" w:space="0" w:color="auto"/>
                    <w:bottom w:val="none" w:sz="0" w:space="0" w:color="auto"/>
                    <w:right w:val="none" w:sz="0" w:space="0" w:color="auto"/>
                  </w:divBdr>
                  <w:divsChild>
                    <w:div w:id="559947149">
                      <w:marLeft w:val="0"/>
                      <w:marRight w:val="0"/>
                      <w:marTop w:val="0"/>
                      <w:marBottom w:val="75"/>
                      <w:divBdr>
                        <w:top w:val="none" w:sz="0" w:space="0" w:color="auto"/>
                        <w:left w:val="none" w:sz="0" w:space="0" w:color="auto"/>
                        <w:bottom w:val="none" w:sz="0" w:space="0" w:color="auto"/>
                        <w:right w:val="none" w:sz="0" w:space="0" w:color="auto"/>
                      </w:divBdr>
                    </w:div>
                  </w:divsChild>
                </w:div>
              </w:divsChild>
            </w:div>
          </w:divsChild>
        </w:div>
        <w:div w:id="1228491072">
          <w:marLeft w:val="0"/>
          <w:marRight w:val="0"/>
          <w:marTop w:val="0"/>
          <w:marBottom w:val="0"/>
          <w:divBdr>
            <w:top w:val="none" w:sz="0" w:space="0" w:color="auto"/>
            <w:left w:val="none" w:sz="0" w:space="0" w:color="auto"/>
            <w:bottom w:val="none" w:sz="0" w:space="0" w:color="auto"/>
            <w:right w:val="none" w:sz="0" w:space="0" w:color="auto"/>
          </w:divBdr>
        </w:div>
      </w:divsChild>
    </w:div>
    <w:div w:id="1555770887">
      <w:bodyDiv w:val="1"/>
      <w:marLeft w:val="0"/>
      <w:marRight w:val="0"/>
      <w:marTop w:val="0"/>
      <w:marBottom w:val="0"/>
      <w:divBdr>
        <w:top w:val="none" w:sz="0" w:space="0" w:color="auto"/>
        <w:left w:val="none" w:sz="0" w:space="0" w:color="auto"/>
        <w:bottom w:val="none" w:sz="0" w:space="0" w:color="auto"/>
        <w:right w:val="none" w:sz="0" w:space="0" w:color="auto"/>
      </w:divBdr>
    </w:div>
    <w:div w:id="1813330744">
      <w:bodyDiv w:val="1"/>
      <w:marLeft w:val="0"/>
      <w:marRight w:val="0"/>
      <w:marTop w:val="0"/>
      <w:marBottom w:val="0"/>
      <w:divBdr>
        <w:top w:val="none" w:sz="0" w:space="0" w:color="auto"/>
        <w:left w:val="none" w:sz="0" w:space="0" w:color="auto"/>
        <w:bottom w:val="none" w:sz="0" w:space="0" w:color="auto"/>
        <w:right w:val="none" w:sz="0" w:space="0" w:color="auto"/>
      </w:divBdr>
    </w:div>
    <w:div w:id="2077432015">
      <w:bodyDiv w:val="1"/>
      <w:marLeft w:val="0"/>
      <w:marRight w:val="0"/>
      <w:marTop w:val="0"/>
      <w:marBottom w:val="0"/>
      <w:divBdr>
        <w:top w:val="none" w:sz="0" w:space="0" w:color="auto"/>
        <w:left w:val="none" w:sz="0" w:space="0" w:color="auto"/>
        <w:bottom w:val="none" w:sz="0" w:space="0" w:color="auto"/>
        <w:right w:val="none" w:sz="0" w:space="0" w:color="auto"/>
      </w:divBdr>
    </w:div>
    <w:div w:id="2095390230">
      <w:bodyDiv w:val="1"/>
      <w:marLeft w:val="0"/>
      <w:marRight w:val="0"/>
      <w:marTop w:val="0"/>
      <w:marBottom w:val="0"/>
      <w:divBdr>
        <w:top w:val="none" w:sz="0" w:space="0" w:color="auto"/>
        <w:left w:val="none" w:sz="0" w:space="0" w:color="auto"/>
        <w:bottom w:val="none" w:sz="0" w:space="0" w:color="auto"/>
        <w:right w:val="none" w:sz="0" w:space="0" w:color="auto"/>
      </w:divBdr>
      <w:divsChild>
        <w:div w:id="439028119">
          <w:marLeft w:val="0"/>
          <w:marRight w:val="0"/>
          <w:marTop w:val="0"/>
          <w:marBottom w:val="0"/>
          <w:divBdr>
            <w:top w:val="none" w:sz="0" w:space="0" w:color="auto"/>
            <w:left w:val="none" w:sz="0" w:space="0" w:color="auto"/>
            <w:bottom w:val="none" w:sz="0" w:space="0" w:color="auto"/>
            <w:right w:val="none" w:sz="0" w:space="0" w:color="auto"/>
          </w:divBdr>
          <w:divsChild>
            <w:div w:id="1370953670">
              <w:marLeft w:val="0"/>
              <w:marRight w:val="0"/>
              <w:marTop w:val="0"/>
              <w:marBottom w:val="0"/>
              <w:divBdr>
                <w:top w:val="none" w:sz="0" w:space="0" w:color="auto"/>
                <w:left w:val="none" w:sz="0" w:space="0" w:color="auto"/>
                <w:bottom w:val="none" w:sz="0" w:space="0" w:color="auto"/>
                <w:right w:val="none" w:sz="0" w:space="0" w:color="auto"/>
              </w:divBdr>
              <w:divsChild>
                <w:div w:id="1270428271">
                  <w:marLeft w:val="0"/>
                  <w:marRight w:val="0"/>
                  <w:marTop w:val="0"/>
                  <w:marBottom w:val="75"/>
                  <w:divBdr>
                    <w:top w:val="none" w:sz="0" w:space="0" w:color="auto"/>
                    <w:left w:val="none" w:sz="0" w:space="0" w:color="auto"/>
                    <w:bottom w:val="none" w:sz="0" w:space="0" w:color="auto"/>
                    <w:right w:val="none" w:sz="0" w:space="0" w:color="auto"/>
                  </w:divBdr>
                  <w:divsChild>
                    <w:div w:id="918170632">
                      <w:marLeft w:val="0"/>
                      <w:marRight w:val="0"/>
                      <w:marTop w:val="0"/>
                      <w:marBottom w:val="75"/>
                      <w:divBdr>
                        <w:top w:val="none" w:sz="0" w:space="0" w:color="auto"/>
                        <w:left w:val="none" w:sz="0" w:space="0" w:color="auto"/>
                        <w:bottom w:val="none" w:sz="0" w:space="0" w:color="auto"/>
                        <w:right w:val="none" w:sz="0" w:space="0" w:color="auto"/>
                      </w:divBdr>
                    </w:div>
                  </w:divsChild>
                </w:div>
              </w:divsChild>
            </w:div>
          </w:divsChild>
        </w:div>
        <w:div w:id="702624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wmf"/><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oleObject" Target="embeddings/oleObject1.bin"/><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7D00FFC-DEA6-4938-9792-9AF186F52E29}">
  <we:reference id="wa104099688" version="1.3.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F09C8BE-DF6D-4635-8250-3CFAB27B24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393</TotalTime>
  <Pages>18</Pages>
  <Words>4106</Words>
  <Characters>23405</Characters>
  <Application>Microsoft Office Word</Application>
  <DocSecurity>0</DocSecurity>
  <Lines>195</Lines>
  <Paragraphs>54</Paragraphs>
  <ScaleCrop>false</ScaleCrop>
  <Company/>
  <LinksUpToDate>false</LinksUpToDate>
  <CharactersWithSpaces>27457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Craig S Wright</dc:creator>
  <cp:keywords/>
  <dc:description/>
  <cp:lastModifiedBy>Craig S Wright</cp:lastModifiedBy>
  <cp:revision>123</cp:revision>
  <cp:lastPrinted>2022-04-17T16:08:00Z</cp:lastPrinted>
  <dcterms:created xsi:type="dcterms:W3CDTF">2022-04-17T09:37:00Z</dcterms:created>
  <dcterms:modified xsi:type="dcterms:W3CDTF">2022-04-17T16:10:00Z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zotero-version="6.0.4"&gt;&lt;session id="DkcRvr4A"/&gt;&lt;style id="http://www.zotero.org/styles/international-organization" hasBibliography="1" bibliographyStyleHasBeenSet="1"/&gt;&lt;prefs&gt;&lt;pref name="fieldType" value="Field"/&gt;&lt;pref name="noteTyp</vt:lpwstr>
  </property>
  <property fmtid="{D5CDD505-2E9C-101B-9397-08002B2CF9AE}" pid="3" name="MTWinEqns">
    <vt:bool>true</vt:bool>
  </property>
  <property fmtid="{D5CDD505-2E9C-101B-9397-08002B2CF9AE}" pid="4" name="ZOTERO_PREF_2">
    <vt:lpwstr>e" value="1"/&gt;&lt;/prefs&gt;&lt;/data&gt;</vt:lpwstr>
  </property>
  <property fmtid="{D5CDD505-2E9C-101B-9397-08002B2CF9AE}" pid="5" name="MTEquationNumber2">
    <vt:lpwstr>(#S1.#E1)</vt:lpwstr>
  </property>
</Properties>
</file>