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50D68A" w14:textId="77777777" w:rsidR="00E47093" w:rsidRPr="006F3B9D" w:rsidRDefault="00E47093" w:rsidP="00E47093">
      <w:pPr>
        <w:spacing w:line="480" w:lineRule="auto"/>
        <w:jc w:val="both"/>
        <w:rPr>
          <w:rFonts w:cs="Arial"/>
          <w:szCs w:val="24"/>
        </w:rPr>
      </w:pPr>
      <w:r w:rsidRPr="006F3B9D">
        <w:rPr>
          <w:rFonts w:cs="Arial"/>
          <w:noProof/>
          <w:szCs w:val="24"/>
        </w:rPr>
        <w:drawing>
          <wp:inline distT="0" distB="0" distL="0" distR="0" wp14:anchorId="6D055F4F" wp14:editId="022658DB">
            <wp:extent cx="1761995" cy="1066613"/>
            <wp:effectExtent l="0" t="0" r="0" b="635"/>
            <wp:docPr id="110699166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91949" cy="1084746"/>
                    </a:xfrm>
                    <a:prstGeom prst="rect">
                      <a:avLst/>
                    </a:prstGeom>
                    <a:noFill/>
                    <a:ln>
                      <a:noFill/>
                    </a:ln>
                  </pic:spPr>
                </pic:pic>
              </a:graphicData>
            </a:graphic>
          </wp:inline>
        </w:drawing>
      </w:r>
    </w:p>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4806"/>
        <w:gridCol w:w="3500"/>
      </w:tblGrid>
      <w:tr w:rsidR="00E47093" w:rsidRPr="006F3B9D" w14:paraId="2057F35F" w14:textId="77777777" w:rsidTr="00A10B75">
        <w:trPr>
          <w:trHeight w:val="19"/>
          <w:jc w:val="center"/>
        </w:trPr>
        <w:tc>
          <w:tcPr>
            <w:tcW w:w="2893" w:type="pct"/>
            <w:vAlign w:val="center"/>
          </w:tcPr>
          <w:p w14:paraId="4243327E" w14:textId="77777777" w:rsidR="00E47093" w:rsidRPr="006F3B9D" w:rsidRDefault="00E47093" w:rsidP="00A10B75">
            <w:pPr>
              <w:spacing w:line="480" w:lineRule="auto"/>
              <w:ind w:right="1760"/>
              <w:jc w:val="both"/>
              <w:rPr>
                <w:rFonts w:cs="Arial"/>
                <w:szCs w:val="24"/>
                <w:lang w:eastAsia="zh-CN"/>
              </w:rPr>
            </w:pPr>
            <w:r w:rsidRPr="006F3B9D">
              <w:rPr>
                <w:rFonts w:cs="Arial"/>
                <w:szCs w:val="24"/>
                <w:lang w:eastAsia="zh-CN"/>
              </w:rPr>
              <w:t>Strategic Management and Sustainability</w:t>
            </w:r>
          </w:p>
          <w:p w14:paraId="26F4D4C1" w14:textId="77777777" w:rsidR="00E47093" w:rsidRPr="006F3B9D" w:rsidRDefault="00E47093" w:rsidP="00A10B75">
            <w:pPr>
              <w:spacing w:line="480" w:lineRule="auto"/>
              <w:ind w:right="1760"/>
              <w:jc w:val="both"/>
              <w:rPr>
                <w:rFonts w:cs="Arial"/>
                <w:szCs w:val="24"/>
              </w:rPr>
            </w:pPr>
            <w:r w:rsidRPr="006F3B9D">
              <w:rPr>
                <w:rFonts w:cs="Arial"/>
                <w:szCs w:val="24"/>
                <w:lang w:eastAsia="zh-CN"/>
              </w:rPr>
              <w:t xml:space="preserve"> </w:t>
            </w:r>
            <w:sdt>
              <w:sdtPr>
                <w:rPr>
                  <w:rFonts w:cs="Arial"/>
                  <w:szCs w:val="24"/>
                </w:rPr>
                <w:alias w:val="Subtitle"/>
                <w:id w:val="1354072561"/>
                <w:text/>
              </w:sdtPr>
              <w:sdtContent>
                <w:r w:rsidRPr="006F3B9D">
                  <w:rPr>
                    <w:rFonts w:cs="Arial"/>
                    <w:szCs w:val="24"/>
                  </w:rPr>
                  <w:t>A1</w:t>
                </w:r>
              </w:sdtContent>
            </w:sdt>
          </w:p>
        </w:tc>
        <w:tc>
          <w:tcPr>
            <w:tcW w:w="2107" w:type="pct"/>
            <w:vAlign w:val="center"/>
          </w:tcPr>
          <w:p w14:paraId="1992C6CF" w14:textId="77777777" w:rsidR="00E47093" w:rsidRPr="006F3B9D" w:rsidRDefault="00E47093" w:rsidP="00A10B75">
            <w:pPr>
              <w:spacing w:line="480" w:lineRule="auto"/>
              <w:jc w:val="both"/>
              <w:rPr>
                <w:rFonts w:cs="Arial"/>
                <w:szCs w:val="24"/>
                <w:lang w:eastAsia="zh-CN"/>
              </w:rPr>
            </w:pPr>
            <w:r w:rsidRPr="006F3B9D">
              <w:rPr>
                <w:rFonts w:cs="Arial"/>
                <w:szCs w:val="24"/>
              </w:rPr>
              <w:t>Student name: Yang Yang</w:t>
            </w:r>
          </w:p>
          <w:p w14:paraId="2EE1ACBF" w14:textId="77777777" w:rsidR="00E47093" w:rsidRPr="006F3B9D" w:rsidRDefault="00E47093" w:rsidP="00A10B75">
            <w:pPr>
              <w:spacing w:line="480" w:lineRule="auto"/>
              <w:jc w:val="both"/>
              <w:rPr>
                <w:rFonts w:cs="Arial"/>
                <w:szCs w:val="24"/>
              </w:rPr>
            </w:pPr>
            <w:r w:rsidRPr="006F3B9D">
              <w:rPr>
                <w:rFonts w:cs="Arial"/>
                <w:szCs w:val="24"/>
              </w:rPr>
              <w:t xml:space="preserve">Student ID </w:t>
            </w:r>
          </w:p>
          <w:p w14:paraId="22ACE20C" w14:textId="77777777" w:rsidR="00E47093" w:rsidRPr="006F3B9D" w:rsidRDefault="00E47093" w:rsidP="00A10B75">
            <w:pPr>
              <w:spacing w:line="480" w:lineRule="auto"/>
              <w:jc w:val="both"/>
              <w:rPr>
                <w:rFonts w:cs="Arial"/>
                <w:szCs w:val="24"/>
                <w:lang w:eastAsia="zh-CN"/>
              </w:rPr>
            </w:pPr>
            <w:r w:rsidRPr="006F3B9D">
              <w:rPr>
                <w:rFonts w:cs="Arial"/>
                <w:szCs w:val="24"/>
              </w:rPr>
              <w:t>number:2400286</w:t>
            </w:r>
          </w:p>
          <w:p w14:paraId="5D68A4D9" w14:textId="77777777" w:rsidR="00E47093" w:rsidRPr="006F3B9D" w:rsidRDefault="00E47093" w:rsidP="00A10B75">
            <w:pPr>
              <w:spacing w:line="480" w:lineRule="auto"/>
              <w:jc w:val="both"/>
              <w:rPr>
                <w:rFonts w:cs="Arial"/>
                <w:szCs w:val="24"/>
                <w:lang w:eastAsia="zh-CN"/>
              </w:rPr>
            </w:pPr>
            <w:r w:rsidRPr="006F3B9D">
              <w:rPr>
                <w:rFonts w:cs="Arial"/>
                <w:szCs w:val="24"/>
              </w:rPr>
              <w:t>Lecturer</w:t>
            </w:r>
            <w:r w:rsidRPr="006F3B9D">
              <w:rPr>
                <w:rFonts w:cs="Arial"/>
                <w:szCs w:val="24"/>
              </w:rPr>
              <w:t>：</w:t>
            </w:r>
            <w:r w:rsidRPr="006F3B9D">
              <w:rPr>
                <w:rFonts w:cs="Arial"/>
                <w:szCs w:val="24"/>
              </w:rPr>
              <w:t>Robyn Griffiths</w:t>
            </w:r>
          </w:p>
          <w:p w14:paraId="12890568" w14:textId="77777777" w:rsidR="00E47093" w:rsidRPr="006F3B9D" w:rsidRDefault="00E47093" w:rsidP="00A10B75">
            <w:pPr>
              <w:spacing w:line="480" w:lineRule="auto"/>
              <w:jc w:val="both"/>
              <w:rPr>
                <w:rFonts w:cs="Arial"/>
                <w:noProof/>
                <w:szCs w:val="24"/>
                <w:lang w:eastAsia="zh-CN"/>
              </w:rPr>
            </w:pPr>
            <w:r w:rsidRPr="006F3B9D">
              <w:rPr>
                <w:rFonts w:cs="Arial"/>
                <w:noProof/>
                <w:szCs w:val="24"/>
              </w:rPr>
              <w:t>Module code</w:t>
            </w:r>
            <w:r w:rsidRPr="006F3B9D">
              <w:rPr>
                <w:rFonts w:cs="Arial"/>
                <w:noProof/>
                <w:szCs w:val="24"/>
              </w:rPr>
              <w:t>：</w:t>
            </w:r>
            <w:r w:rsidRPr="006F3B9D">
              <w:rPr>
                <w:rFonts w:cs="Arial"/>
                <w:szCs w:val="24"/>
              </w:rPr>
              <w:t>BMBM6015</w:t>
            </w:r>
          </w:p>
          <w:p w14:paraId="2DA121D4" w14:textId="77777777" w:rsidR="00E47093" w:rsidRPr="006F3B9D" w:rsidRDefault="00E47093" w:rsidP="00A10B75">
            <w:pPr>
              <w:spacing w:line="480" w:lineRule="auto"/>
              <w:jc w:val="both"/>
              <w:rPr>
                <w:rFonts w:cs="Arial"/>
                <w:szCs w:val="24"/>
              </w:rPr>
            </w:pPr>
            <w:r w:rsidRPr="006F3B9D">
              <w:rPr>
                <w:rFonts w:cs="Arial"/>
                <w:szCs w:val="24"/>
              </w:rPr>
              <w:t>Word count</w:t>
            </w:r>
            <w:r w:rsidRPr="006F3B9D">
              <w:rPr>
                <w:rFonts w:cs="Arial"/>
                <w:szCs w:val="24"/>
              </w:rPr>
              <w:t>：</w:t>
            </w:r>
            <w:r w:rsidRPr="006F3B9D">
              <w:rPr>
                <w:rFonts w:cs="Arial"/>
                <w:szCs w:val="24"/>
                <w:lang w:eastAsia="zh-CN"/>
              </w:rPr>
              <w:t>21</w:t>
            </w:r>
            <w:r w:rsidRPr="006F3B9D">
              <w:rPr>
                <w:rFonts w:cs="Arial" w:hint="eastAsia"/>
                <w:szCs w:val="24"/>
                <w:lang w:eastAsia="zh-CN"/>
              </w:rPr>
              <w:t>05</w:t>
            </w:r>
            <w:r w:rsidRPr="006F3B9D">
              <w:rPr>
                <w:rFonts w:cs="Arial"/>
                <w:szCs w:val="24"/>
              </w:rPr>
              <w:t xml:space="preserve"> words</w:t>
            </w:r>
          </w:p>
          <w:p w14:paraId="199B7A97" w14:textId="77777777" w:rsidR="00E47093" w:rsidRPr="006F3B9D" w:rsidRDefault="00E47093" w:rsidP="00A10B75">
            <w:pPr>
              <w:spacing w:line="480" w:lineRule="auto"/>
              <w:jc w:val="both"/>
              <w:rPr>
                <w:rFonts w:cs="Arial"/>
                <w:szCs w:val="24"/>
              </w:rPr>
            </w:pPr>
          </w:p>
          <w:p w14:paraId="7CBAABA6" w14:textId="77777777" w:rsidR="00E47093" w:rsidRPr="006F3B9D" w:rsidRDefault="00E47093" w:rsidP="00A10B75">
            <w:pPr>
              <w:spacing w:line="480" w:lineRule="auto"/>
              <w:jc w:val="both"/>
              <w:rPr>
                <w:rFonts w:cs="Arial"/>
                <w:szCs w:val="24"/>
              </w:rPr>
            </w:pPr>
          </w:p>
        </w:tc>
      </w:tr>
    </w:tbl>
    <w:p w14:paraId="692044EC" w14:textId="77777777" w:rsidR="00E47093" w:rsidRPr="006F3B9D" w:rsidRDefault="00E47093" w:rsidP="00E47093">
      <w:pPr>
        <w:spacing w:line="480" w:lineRule="auto"/>
        <w:jc w:val="both"/>
        <w:rPr>
          <w:rFonts w:cs="Arial"/>
          <w:szCs w:val="24"/>
        </w:rPr>
      </w:pPr>
    </w:p>
    <w:p w14:paraId="16010188" w14:textId="77777777" w:rsidR="00E47093" w:rsidRPr="006F3B9D" w:rsidRDefault="00E47093" w:rsidP="00E47093">
      <w:pPr>
        <w:jc w:val="both"/>
        <w:rPr>
          <w:rFonts w:cs="Arial"/>
          <w:szCs w:val="24"/>
        </w:rPr>
      </w:pPr>
    </w:p>
    <w:p w14:paraId="3FA4722F" w14:textId="77777777" w:rsidR="00E47093" w:rsidRPr="006F3B9D" w:rsidRDefault="00E47093" w:rsidP="00E47093">
      <w:pPr>
        <w:jc w:val="both"/>
        <w:rPr>
          <w:rFonts w:cs="Arial"/>
          <w:szCs w:val="24"/>
          <w:lang w:eastAsia="zh-CN"/>
        </w:rPr>
      </w:pPr>
    </w:p>
    <w:p w14:paraId="22BD3C42" w14:textId="77777777" w:rsidR="00E47093" w:rsidRPr="006F3B9D" w:rsidRDefault="00E47093" w:rsidP="00E47093">
      <w:pPr>
        <w:spacing w:after="0" w:line="240" w:lineRule="auto"/>
        <w:jc w:val="both"/>
        <w:rPr>
          <w:rFonts w:cs="Arial"/>
          <w:szCs w:val="24"/>
          <w:lang w:eastAsia="zh-CN"/>
        </w:rPr>
      </w:pPr>
    </w:p>
    <w:p w14:paraId="50BD78E2" w14:textId="77777777" w:rsidR="00E47093" w:rsidRPr="006F3B9D" w:rsidRDefault="00E47093" w:rsidP="00E47093">
      <w:pPr>
        <w:spacing w:after="0" w:line="240" w:lineRule="auto"/>
        <w:jc w:val="both"/>
        <w:rPr>
          <w:rFonts w:cs="Arial"/>
          <w:szCs w:val="24"/>
          <w:lang w:eastAsia="zh-CN"/>
        </w:rPr>
      </w:pPr>
    </w:p>
    <w:p w14:paraId="0FD345D4" w14:textId="77777777" w:rsidR="00E47093" w:rsidRPr="006F3B9D" w:rsidRDefault="00E47093" w:rsidP="00E47093">
      <w:pPr>
        <w:spacing w:after="0" w:line="240" w:lineRule="auto"/>
        <w:jc w:val="both"/>
        <w:rPr>
          <w:rFonts w:cs="Arial"/>
          <w:szCs w:val="24"/>
          <w:lang w:eastAsia="zh-CN"/>
        </w:rPr>
      </w:pPr>
      <w:r w:rsidRPr="006F3B9D">
        <w:rPr>
          <w:rFonts w:cs="Arial"/>
          <w:szCs w:val="24"/>
          <w:lang w:eastAsia="zh-CN"/>
        </w:rPr>
        <w:lastRenderedPageBreak/>
        <w:t>Executive Summary</w:t>
      </w:r>
    </w:p>
    <w:p w14:paraId="372A93AF" w14:textId="77777777" w:rsidR="00E47093" w:rsidRPr="006F3B9D" w:rsidRDefault="00E47093" w:rsidP="00E47093">
      <w:pPr>
        <w:spacing w:after="0" w:line="240" w:lineRule="auto"/>
        <w:jc w:val="both"/>
        <w:rPr>
          <w:rFonts w:cs="Arial"/>
          <w:szCs w:val="24"/>
          <w:lang w:eastAsia="zh-CN"/>
        </w:rPr>
      </w:pPr>
      <w:r w:rsidRPr="006F3B9D">
        <w:rPr>
          <w:rFonts w:cs="Arial"/>
          <w:szCs w:val="24"/>
          <w:lang w:eastAsia="zh-CN"/>
        </w:rPr>
        <w:t>This report explores Tesla Inc.’s strategic position in the global automotive and mobility innovation industry. It evaluates its macroeconomic environment through PESTEL analysis, examines the industry competition landscape using Porter’s Five Forces Model, and explores its core competitiveness in combination with the Resource-Based View (RBV) and Value Chain Analysis. In addition, the report studies Tesla’s competitive positioning, analyzes its growth path with the help of Porter’s Generic Strategy and Ansoff Matrix, and explores potential mergers and acquisitions (M&amp;A) strategies. Finally, the report evaluates Tesla’s sustainable development initiatives and proposes strategic recommendations to optimize its market position and achieve long-term sustainable development.</w:t>
      </w:r>
      <w:r w:rsidRPr="006F3B9D">
        <w:rPr>
          <w:rFonts w:cs="Arial"/>
          <w:szCs w:val="24"/>
          <w:lang w:eastAsia="zh-CN"/>
        </w:rPr>
        <w:br w:type="page"/>
      </w:r>
    </w:p>
    <w:sdt>
      <w:sdtPr>
        <w:rPr>
          <w:rFonts w:eastAsiaTheme="minorEastAsia" w:cs="Arial"/>
          <w:color w:val="auto"/>
          <w:sz w:val="24"/>
          <w:szCs w:val="24"/>
          <w:lang w:val="zh-CN" w:eastAsia="zh-CN"/>
        </w:rPr>
        <w:id w:val="-335924612"/>
        <w:docPartObj>
          <w:docPartGallery w:val="Table of Contents"/>
          <w:docPartUnique/>
        </w:docPartObj>
      </w:sdtPr>
      <w:sdtEndPr>
        <w:rPr>
          <w:lang w:eastAsia="en-US"/>
        </w:rPr>
      </w:sdtEndPr>
      <w:sdtContent>
        <w:p w14:paraId="777066DB" w14:textId="77777777" w:rsidR="00E47093" w:rsidRPr="006F3B9D" w:rsidRDefault="00E47093" w:rsidP="00E47093">
          <w:pPr>
            <w:pStyle w:val="TOC"/>
            <w:jc w:val="both"/>
            <w:rPr>
              <w:rFonts w:cs="Arial"/>
              <w:color w:val="auto"/>
              <w:sz w:val="24"/>
              <w:szCs w:val="24"/>
            </w:rPr>
          </w:pPr>
          <w:r w:rsidRPr="006F3B9D">
            <w:rPr>
              <w:rFonts w:cs="Arial" w:hint="eastAsia"/>
              <w:color w:val="auto"/>
              <w:sz w:val="24"/>
              <w:szCs w:val="24"/>
              <w:lang w:val="zh-CN" w:eastAsia="zh-CN"/>
            </w:rPr>
            <w:t>C</w:t>
          </w:r>
          <w:r w:rsidRPr="006F3B9D">
            <w:rPr>
              <w:rFonts w:cs="Arial"/>
              <w:color w:val="auto"/>
              <w:sz w:val="24"/>
              <w:szCs w:val="24"/>
              <w:lang w:val="zh-CN" w:eastAsia="zh-CN"/>
            </w:rPr>
            <w:t>ontents</w:t>
          </w:r>
        </w:p>
        <w:p w14:paraId="2E26C7EF" w14:textId="77777777" w:rsidR="00E47093" w:rsidRDefault="00E47093" w:rsidP="00E47093">
          <w:pPr>
            <w:pStyle w:val="TOC1"/>
            <w:tabs>
              <w:tab w:val="right" w:leader="dot" w:pos="8296"/>
            </w:tabs>
            <w:rPr>
              <w:rFonts w:asciiTheme="minorHAnsi" w:hAnsiTheme="minorHAnsi" w:hint="eastAsia"/>
              <w:noProof/>
              <w:kern w:val="2"/>
              <w:sz w:val="22"/>
              <w:szCs w:val="24"/>
              <w:lang w:val="en-US" w:eastAsia="zh-CN"/>
              <w14:ligatures w14:val="standardContextual"/>
            </w:rPr>
          </w:pPr>
          <w:r w:rsidRPr="006F3B9D">
            <w:rPr>
              <w:rFonts w:cs="Arial"/>
              <w:szCs w:val="24"/>
            </w:rPr>
            <w:fldChar w:fldCharType="begin"/>
          </w:r>
          <w:r w:rsidRPr="006F3B9D">
            <w:rPr>
              <w:rFonts w:cs="Arial"/>
              <w:szCs w:val="24"/>
            </w:rPr>
            <w:instrText xml:space="preserve"> TOC \o "1-3" \h \z \u </w:instrText>
          </w:r>
          <w:r w:rsidRPr="006F3B9D">
            <w:rPr>
              <w:rFonts w:cs="Arial"/>
              <w:szCs w:val="24"/>
            </w:rPr>
            <w:fldChar w:fldCharType="separate"/>
          </w:r>
          <w:hyperlink w:anchor="_Toc193293797" w:history="1">
            <w:r w:rsidRPr="007C5085">
              <w:rPr>
                <w:rStyle w:val="af2"/>
                <w:rFonts w:cs="Arial" w:hint="eastAsia"/>
                <w:noProof/>
                <w:lang w:val="en-US" w:eastAsia="zh-CN"/>
              </w:rPr>
              <w:t>1.0 Introduction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_Toc193293797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4</w:t>
            </w:r>
            <w:r>
              <w:rPr>
                <w:rFonts w:hint="eastAsia"/>
                <w:noProof/>
                <w:webHidden/>
              </w:rPr>
              <w:fldChar w:fldCharType="end"/>
            </w:r>
          </w:hyperlink>
        </w:p>
        <w:p w14:paraId="20D0F6B7" w14:textId="77777777" w:rsidR="00E47093" w:rsidRDefault="00E47093" w:rsidP="00E47093">
          <w:pPr>
            <w:pStyle w:val="TOC1"/>
            <w:tabs>
              <w:tab w:val="right" w:leader="dot" w:pos="8296"/>
            </w:tabs>
            <w:rPr>
              <w:rFonts w:asciiTheme="minorHAnsi" w:hAnsiTheme="minorHAnsi" w:hint="eastAsia"/>
              <w:noProof/>
              <w:kern w:val="2"/>
              <w:sz w:val="22"/>
              <w:szCs w:val="24"/>
              <w:lang w:val="en-US" w:eastAsia="zh-CN"/>
              <w14:ligatures w14:val="standardContextual"/>
            </w:rPr>
          </w:pPr>
          <w:hyperlink w:anchor="_Toc193293798" w:history="1">
            <w:r w:rsidRPr="007C5085">
              <w:rPr>
                <w:rStyle w:val="af2"/>
                <w:rFonts w:cs="Arial" w:hint="eastAsia"/>
                <w:noProof/>
                <w:lang w:eastAsia="zh-CN"/>
              </w:rPr>
              <w:t>2.0 External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_Toc193293798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5</w:t>
            </w:r>
            <w:r>
              <w:rPr>
                <w:rFonts w:hint="eastAsia"/>
                <w:noProof/>
                <w:webHidden/>
              </w:rPr>
              <w:fldChar w:fldCharType="end"/>
            </w:r>
          </w:hyperlink>
        </w:p>
        <w:p w14:paraId="0B958A9F" w14:textId="77777777" w:rsidR="00E47093" w:rsidRDefault="00E47093" w:rsidP="00E47093">
          <w:pPr>
            <w:pStyle w:val="TOC2"/>
            <w:tabs>
              <w:tab w:val="right" w:leader="dot" w:pos="8296"/>
            </w:tabs>
            <w:ind w:left="480"/>
            <w:rPr>
              <w:rFonts w:asciiTheme="minorHAnsi" w:hAnsiTheme="minorHAnsi" w:hint="eastAsia"/>
              <w:noProof/>
              <w:kern w:val="2"/>
              <w:sz w:val="22"/>
              <w:szCs w:val="24"/>
              <w:lang w:val="en-US" w:eastAsia="zh-CN"/>
              <w14:ligatures w14:val="standardContextual"/>
            </w:rPr>
          </w:pPr>
          <w:hyperlink w:anchor="_Toc193293799" w:history="1">
            <w:r w:rsidRPr="007C5085">
              <w:rPr>
                <w:rStyle w:val="af2"/>
                <w:rFonts w:cs="Arial" w:hint="eastAsia"/>
                <w:noProof/>
                <w:lang w:eastAsia="zh-CN"/>
              </w:rPr>
              <w:t>2.1 PESTEL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_Toc193293799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5</w:t>
            </w:r>
            <w:r>
              <w:rPr>
                <w:rFonts w:hint="eastAsia"/>
                <w:noProof/>
                <w:webHidden/>
              </w:rPr>
              <w:fldChar w:fldCharType="end"/>
            </w:r>
          </w:hyperlink>
        </w:p>
        <w:p w14:paraId="02F3BBD3" w14:textId="77777777" w:rsidR="00E47093" w:rsidRDefault="00E47093" w:rsidP="00E47093">
          <w:pPr>
            <w:pStyle w:val="TOC2"/>
            <w:tabs>
              <w:tab w:val="right" w:leader="dot" w:pos="8296"/>
            </w:tabs>
            <w:ind w:left="480"/>
            <w:rPr>
              <w:rFonts w:asciiTheme="minorHAnsi" w:hAnsiTheme="minorHAnsi" w:hint="eastAsia"/>
              <w:noProof/>
              <w:kern w:val="2"/>
              <w:sz w:val="22"/>
              <w:szCs w:val="24"/>
              <w:lang w:val="en-US" w:eastAsia="zh-CN"/>
              <w14:ligatures w14:val="standardContextual"/>
            </w:rPr>
          </w:pPr>
          <w:hyperlink w:anchor="_Toc193293800" w:history="1">
            <w:r w:rsidRPr="007C5085">
              <w:rPr>
                <w:rStyle w:val="af2"/>
                <w:rFonts w:cs="Arial" w:hint="eastAsia"/>
                <w:noProof/>
                <w:lang w:eastAsia="zh-CN"/>
              </w:rPr>
              <w:t>2.2 Analysis of Porter's Five Forces Model</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_Toc193293800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5</w:t>
            </w:r>
            <w:r>
              <w:rPr>
                <w:rFonts w:hint="eastAsia"/>
                <w:noProof/>
                <w:webHidden/>
              </w:rPr>
              <w:fldChar w:fldCharType="end"/>
            </w:r>
          </w:hyperlink>
        </w:p>
        <w:p w14:paraId="5B793AC2" w14:textId="77777777" w:rsidR="00E47093" w:rsidRDefault="00E47093" w:rsidP="00E47093">
          <w:pPr>
            <w:pStyle w:val="TOC2"/>
            <w:tabs>
              <w:tab w:val="right" w:leader="dot" w:pos="8296"/>
            </w:tabs>
            <w:ind w:left="480"/>
            <w:rPr>
              <w:rFonts w:asciiTheme="minorHAnsi" w:hAnsiTheme="minorHAnsi" w:hint="eastAsia"/>
              <w:noProof/>
              <w:kern w:val="2"/>
              <w:sz w:val="22"/>
              <w:szCs w:val="24"/>
              <w:lang w:val="en-US" w:eastAsia="zh-CN"/>
              <w14:ligatures w14:val="standardContextual"/>
            </w:rPr>
          </w:pPr>
          <w:hyperlink w:anchor="_Toc193293801" w:history="1">
            <w:r w:rsidRPr="007C5085">
              <w:rPr>
                <w:rStyle w:val="af2"/>
                <w:rFonts w:cs="Arial" w:hint="eastAsia"/>
                <w:noProof/>
                <w:lang w:eastAsia="zh-CN"/>
              </w:rPr>
              <w:t>2.3 Key economic trends and their impact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_Toc193293801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6</w:t>
            </w:r>
            <w:r>
              <w:rPr>
                <w:rFonts w:hint="eastAsia"/>
                <w:noProof/>
                <w:webHidden/>
              </w:rPr>
              <w:fldChar w:fldCharType="end"/>
            </w:r>
          </w:hyperlink>
        </w:p>
        <w:p w14:paraId="54D00BA7" w14:textId="77777777" w:rsidR="00E47093" w:rsidRDefault="00E47093" w:rsidP="00E47093">
          <w:pPr>
            <w:pStyle w:val="TOC1"/>
            <w:tabs>
              <w:tab w:val="right" w:leader="dot" w:pos="8296"/>
            </w:tabs>
            <w:rPr>
              <w:rFonts w:asciiTheme="minorHAnsi" w:hAnsiTheme="minorHAnsi" w:hint="eastAsia"/>
              <w:noProof/>
              <w:kern w:val="2"/>
              <w:sz w:val="22"/>
              <w:szCs w:val="24"/>
              <w:lang w:val="en-US" w:eastAsia="zh-CN"/>
              <w14:ligatures w14:val="standardContextual"/>
            </w:rPr>
          </w:pPr>
          <w:hyperlink w:anchor="_Toc193293802" w:history="1">
            <w:r w:rsidRPr="007C5085">
              <w:rPr>
                <w:rStyle w:val="af2"/>
                <w:rFonts w:cs="Arial" w:hint="eastAsia"/>
                <w:noProof/>
                <w:lang w:eastAsia="zh-CN"/>
              </w:rPr>
              <w:t>3.0 Internal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_Toc193293802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6</w:t>
            </w:r>
            <w:r>
              <w:rPr>
                <w:rFonts w:hint="eastAsia"/>
                <w:noProof/>
                <w:webHidden/>
              </w:rPr>
              <w:fldChar w:fldCharType="end"/>
            </w:r>
          </w:hyperlink>
        </w:p>
        <w:p w14:paraId="4C5BFB15" w14:textId="77777777" w:rsidR="00E47093" w:rsidRDefault="00E47093" w:rsidP="00E47093">
          <w:pPr>
            <w:pStyle w:val="TOC2"/>
            <w:tabs>
              <w:tab w:val="right" w:leader="dot" w:pos="8296"/>
            </w:tabs>
            <w:ind w:left="480"/>
            <w:rPr>
              <w:rFonts w:asciiTheme="minorHAnsi" w:hAnsiTheme="minorHAnsi" w:hint="eastAsia"/>
              <w:noProof/>
              <w:kern w:val="2"/>
              <w:sz w:val="22"/>
              <w:szCs w:val="24"/>
              <w:lang w:val="en-US" w:eastAsia="zh-CN"/>
              <w14:ligatures w14:val="standardContextual"/>
            </w:rPr>
          </w:pPr>
          <w:hyperlink w:anchor="_Toc193293803" w:history="1">
            <w:r w:rsidRPr="007C5085">
              <w:rPr>
                <w:rStyle w:val="af2"/>
                <w:rFonts w:cs="Arial" w:hint="eastAsia"/>
                <w:noProof/>
                <w:lang w:eastAsia="zh-CN"/>
              </w:rPr>
              <w:t>3.1 Resource-Based View (RBV)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_Toc193293803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6</w:t>
            </w:r>
            <w:r>
              <w:rPr>
                <w:rFonts w:hint="eastAsia"/>
                <w:noProof/>
                <w:webHidden/>
              </w:rPr>
              <w:fldChar w:fldCharType="end"/>
            </w:r>
          </w:hyperlink>
        </w:p>
        <w:p w14:paraId="7FBC204E" w14:textId="77777777" w:rsidR="00E47093" w:rsidRDefault="00E47093" w:rsidP="00E47093">
          <w:pPr>
            <w:pStyle w:val="TOC2"/>
            <w:tabs>
              <w:tab w:val="right" w:leader="dot" w:pos="8296"/>
            </w:tabs>
            <w:ind w:left="480"/>
            <w:rPr>
              <w:rFonts w:asciiTheme="minorHAnsi" w:hAnsiTheme="minorHAnsi" w:hint="eastAsia"/>
              <w:noProof/>
              <w:kern w:val="2"/>
              <w:sz w:val="22"/>
              <w:szCs w:val="24"/>
              <w:lang w:val="en-US" w:eastAsia="zh-CN"/>
              <w14:ligatures w14:val="standardContextual"/>
            </w:rPr>
          </w:pPr>
          <w:hyperlink w:anchor="_Toc193293804" w:history="1">
            <w:r w:rsidRPr="007C5085">
              <w:rPr>
                <w:rStyle w:val="af2"/>
                <w:rFonts w:cs="Arial" w:hint="eastAsia"/>
                <w:noProof/>
                <w:lang w:eastAsia="zh-CN"/>
              </w:rPr>
              <w:t>3.2 Value Chain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_Toc193293804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6</w:t>
            </w:r>
            <w:r>
              <w:rPr>
                <w:rFonts w:hint="eastAsia"/>
                <w:noProof/>
                <w:webHidden/>
              </w:rPr>
              <w:fldChar w:fldCharType="end"/>
            </w:r>
          </w:hyperlink>
        </w:p>
        <w:p w14:paraId="6F303BB5" w14:textId="77777777" w:rsidR="00E47093" w:rsidRDefault="00E47093" w:rsidP="00E47093">
          <w:pPr>
            <w:pStyle w:val="TOC2"/>
            <w:tabs>
              <w:tab w:val="right" w:leader="dot" w:pos="8296"/>
            </w:tabs>
            <w:ind w:left="480"/>
            <w:rPr>
              <w:rFonts w:asciiTheme="minorHAnsi" w:hAnsiTheme="minorHAnsi" w:hint="eastAsia"/>
              <w:noProof/>
              <w:kern w:val="2"/>
              <w:sz w:val="22"/>
              <w:szCs w:val="24"/>
              <w:lang w:val="en-US" w:eastAsia="zh-CN"/>
              <w14:ligatures w14:val="standardContextual"/>
            </w:rPr>
          </w:pPr>
          <w:hyperlink w:anchor="_Toc193293805" w:history="1">
            <w:r w:rsidRPr="007C5085">
              <w:rPr>
                <w:rStyle w:val="af2"/>
                <w:rFonts w:cs="Arial" w:hint="eastAsia"/>
                <w:noProof/>
                <w:lang w:eastAsia="zh-CN"/>
              </w:rPr>
              <w:t>3.3SWOT/TOWS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_Toc193293805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7</w:t>
            </w:r>
            <w:r>
              <w:rPr>
                <w:rFonts w:hint="eastAsia"/>
                <w:noProof/>
                <w:webHidden/>
              </w:rPr>
              <w:fldChar w:fldCharType="end"/>
            </w:r>
          </w:hyperlink>
        </w:p>
        <w:p w14:paraId="286F73D5" w14:textId="77777777" w:rsidR="00E47093" w:rsidRDefault="00E47093" w:rsidP="00E47093">
          <w:pPr>
            <w:pStyle w:val="TOC1"/>
            <w:tabs>
              <w:tab w:val="right" w:leader="dot" w:pos="8296"/>
            </w:tabs>
            <w:rPr>
              <w:rFonts w:asciiTheme="minorHAnsi" w:hAnsiTheme="minorHAnsi" w:hint="eastAsia"/>
              <w:noProof/>
              <w:kern w:val="2"/>
              <w:sz w:val="22"/>
              <w:szCs w:val="24"/>
              <w:lang w:val="en-US" w:eastAsia="zh-CN"/>
              <w14:ligatures w14:val="standardContextual"/>
            </w:rPr>
          </w:pPr>
          <w:hyperlink w:anchor="_Toc193293806" w:history="1">
            <w:r w:rsidRPr="007C5085">
              <w:rPr>
                <w:rStyle w:val="af2"/>
                <w:rFonts w:cs="Arial" w:hint="eastAsia"/>
                <w:noProof/>
                <w:lang w:eastAsia="zh-CN"/>
              </w:rPr>
              <w:t>4.0 Strategy Formulation and Competitive Positioning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_Toc193293806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7</w:t>
            </w:r>
            <w:r>
              <w:rPr>
                <w:rFonts w:hint="eastAsia"/>
                <w:noProof/>
                <w:webHidden/>
              </w:rPr>
              <w:fldChar w:fldCharType="end"/>
            </w:r>
          </w:hyperlink>
        </w:p>
        <w:p w14:paraId="56BB8D91" w14:textId="77777777" w:rsidR="00E47093" w:rsidRDefault="00E47093" w:rsidP="00E47093">
          <w:pPr>
            <w:pStyle w:val="TOC2"/>
            <w:tabs>
              <w:tab w:val="right" w:leader="dot" w:pos="8296"/>
            </w:tabs>
            <w:ind w:left="480"/>
            <w:rPr>
              <w:rFonts w:asciiTheme="minorHAnsi" w:hAnsiTheme="minorHAnsi" w:hint="eastAsia"/>
              <w:noProof/>
              <w:kern w:val="2"/>
              <w:sz w:val="22"/>
              <w:szCs w:val="24"/>
              <w:lang w:val="en-US" w:eastAsia="zh-CN"/>
              <w14:ligatures w14:val="standardContextual"/>
            </w:rPr>
          </w:pPr>
          <w:hyperlink w:anchor="_Toc193293807" w:history="1">
            <w:r w:rsidRPr="007C5085">
              <w:rPr>
                <w:rStyle w:val="af2"/>
                <w:rFonts w:cs="Arial" w:hint="eastAsia"/>
                <w:noProof/>
                <w:lang w:eastAsia="zh-CN"/>
              </w:rPr>
              <w:t>4.1 Porter's Generic Strategy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_Toc193293807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7</w:t>
            </w:r>
            <w:r>
              <w:rPr>
                <w:rFonts w:hint="eastAsia"/>
                <w:noProof/>
                <w:webHidden/>
              </w:rPr>
              <w:fldChar w:fldCharType="end"/>
            </w:r>
          </w:hyperlink>
        </w:p>
        <w:p w14:paraId="7432CFAF" w14:textId="77777777" w:rsidR="00E47093" w:rsidRDefault="00E47093" w:rsidP="00E47093">
          <w:pPr>
            <w:pStyle w:val="TOC2"/>
            <w:tabs>
              <w:tab w:val="right" w:leader="dot" w:pos="8296"/>
            </w:tabs>
            <w:ind w:left="480"/>
            <w:rPr>
              <w:rFonts w:asciiTheme="minorHAnsi" w:hAnsiTheme="minorHAnsi" w:hint="eastAsia"/>
              <w:noProof/>
              <w:kern w:val="2"/>
              <w:sz w:val="22"/>
              <w:szCs w:val="24"/>
              <w:lang w:val="en-US" w:eastAsia="zh-CN"/>
              <w14:ligatures w14:val="standardContextual"/>
            </w:rPr>
          </w:pPr>
          <w:hyperlink w:anchor="_Toc193293808" w:history="1">
            <w:r w:rsidRPr="007C5085">
              <w:rPr>
                <w:rStyle w:val="af2"/>
                <w:rFonts w:cs="Arial" w:hint="eastAsia"/>
                <w:noProof/>
                <w:lang w:eastAsia="zh-CN"/>
              </w:rPr>
              <w:t>4.2 Ansoff Matrix Growth Strategy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_Toc193293808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8</w:t>
            </w:r>
            <w:r>
              <w:rPr>
                <w:rFonts w:hint="eastAsia"/>
                <w:noProof/>
                <w:webHidden/>
              </w:rPr>
              <w:fldChar w:fldCharType="end"/>
            </w:r>
          </w:hyperlink>
        </w:p>
        <w:p w14:paraId="5C566EE0" w14:textId="77777777" w:rsidR="00E47093" w:rsidRDefault="00E47093" w:rsidP="00E47093">
          <w:pPr>
            <w:pStyle w:val="TOC1"/>
            <w:tabs>
              <w:tab w:val="right" w:leader="dot" w:pos="8296"/>
            </w:tabs>
            <w:rPr>
              <w:rFonts w:asciiTheme="minorHAnsi" w:hAnsiTheme="minorHAnsi" w:hint="eastAsia"/>
              <w:noProof/>
              <w:kern w:val="2"/>
              <w:sz w:val="22"/>
              <w:szCs w:val="24"/>
              <w:lang w:val="en-US" w:eastAsia="zh-CN"/>
              <w14:ligatures w14:val="standardContextual"/>
            </w:rPr>
          </w:pPr>
          <w:hyperlink w:anchor="_Toc193293809" w:history="1">
            <w:r w:rsidRPr="007C5085">
              <w:rPr>
                <w:rStyle w:val="af2"/>
                <w:rFonts w:cs="Arial" w:hint="eastAsia"/>
                <w:noProof/>
                <w:lang w:eastAsia="zh-CN"/>
              </w:rPr>
              <w:t>5.0 Sustainable Development and Strategic Recommendations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_Toc193293809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8</w:t>
            </w:r>
            <w:r>
              <w:rPr>
                <w:rFonts w:hint="eastAsia"/>
                <w:noProof/>
                <w:webHidden/>
              </w:rPr>
              <w:fldChar w:fldCharType="end"/>
            </w:r>
          </w:hyperlink>
        </w:p>
        <w:p w14:paraId="7AE85C6A" w14:textId="77777777" w:rsidR="00E47093" w:rsidRDefault="00E47093" w:rsidP="00E47093">
          <w:pPr>
            <w:pStyle w:val="TOC2"/>
            <w:tabs>
              <w:tab w:val="right" w:leader="dot" w:pos="8296"/>
            </w:tabs>
            <w:ind w:left="480"/>
            <w:rPr>
              <w:rFonts w:asciiTheme="minorHAnsi" w:hAnsiTheme="minorHAnsi" w:hint="eastAsia"/>
              <w:noProof/>
              <w:kern w:val="2"/>
              <w:sz w:val="22"/>
              <w:szCs w:val="24"/>
              <w:lang w:val="en-US" w:eastAsia="zh-CN"/>
              <w14:ligatures w14:val="standardContextual"/>
            </w:rPr>
          </w:pPr>
          <w:hyperlink w:anchor="_Toc193293810" w:history="1">
            <w:r w:rsidRPr="007C5085">
              <w:rPr>
                <w:rStyle w:val="af2"/>
                <w:rFonts w:cs="Arial" w:hint="eastAsia"/>
                <w:noProof/>
                <w:lang w:eastAsia="zh-CN"/>
              </w:rPr>
              <w:t>5.1 Tesla</w:t>
            </w:r>
            <w:r w:rsidRPr="007C5085">
              <w:rPr>
                <w:rStyle w:val="af2"/>
                <w:rFonts w:cs="Arial" w:hint="eastAsia"/>
                <w:noProof/>
                <w:lang w:eastAsia="zh-CN"/>
              </w:rPr>
              <w:t>’</w:t>
            </w:r>
            <w:r w:rsidRPr="007C5085">
              <w:rPr>
                <w:rStyle w:val="af2"/>
                <w:rFonts w:cs="Arial" w:hint="eastAsia"/>
                <w:noProof/>
                <w:lang w:eastAsia="zh-CN"/>
              </w:rPr>
              <w:t>s Sustainable Development Initiatives and Strategic Impact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_Toc193293810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8</w:t>
            </w:r>
            <w:r>
              <w:rPr>
                <w:rFonts w:hint="eastAsia"/>
                <w:noProof/>
                <w:webHidden/>
              </w:rPr>
              <w:fldChar w:fldCharType="end"/>
            </w:r>
          </w:hyperlink>
        </w:p>
        <w:p w14:paraId="3F2E54EE" w14:textId="77777777" w:rsidR="00E47093" w:rsidRDefault="00E47093" w:rsidP="00E47093">
          <w:pPr>
            <w:pStyle w:val="TOC2"/>
            <w:tabs>
              <w:tab w:val="right" w:leader="dot" w:pos="8296"/>
            </w:tabs>
            <w:ind w:left="480"/>
            <w:rPr>
              <w:rFonts w:asciiTheme="minorHAnsi" w:hAnsiTheme="minorHAnsi" w:hint="eastAsia"/>
              <w:noProof/>
              <w:kern w:val="2"/>
              <w:sz w:val="22"/>
              <w:szCs w:val="24"/>
              <w:lang w:val="en-US" w:eastAsia="zh-CN"/>
              <w14:ligatures w14:val="standardContextual"/>
            </w:rPr>
          </w:pPr>
          <w:hyperlink w:anchor="_Toc193293811" w:history="1">
            <w:r w:rsidRPr="007C5085">
              <w:rPr>
                <w:rStyle w:val="af2"/>
                <w:rFonts w:cs="Arial" w:hint="eastAsia"/>
                <w:noProof/>
                <w:lang w:eastAsia="zh-CN"/>
              </w:rPr>
              <w:t>5.2 Internationalization strategy, ethical considerations and long-term sustainable trends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_Toc193293811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9</w:t>
            </w:r>
            <w:r>
              <w:rPr>
                <w:rFonts w:hint="eastAsia"/>
                <w:noProof/>
                <w:webHidden/>
              </w:rPr>
              <w:fldChar w:fldCharType="end"/>
            </w:r>
          </w:hyperlink>
        </w:p>
        <w:p w14:paraId="6F7D0334" w14:textId="77777777" w:rsidR="00E47093" w:rsidRDefault="00E47093" w:rsidP="00E47093">
          <w:pPr>
            <w:pStyle w:val="TOC1"/>
            <w:tabs>
              <w:tab w:val="right" w:leader="dot" w:pos="8296"/>
            </w:tabs>
            <w:rPr>
              <w:rFonts w:asciiTheme="minorHAnsi" w:hAnsiTheme="minorHAnsi" w:hint="eastAsia"/>
              <w:noProof/>
              <w:kern w:val="2"/>
              <w:sz w:val="22"/>
              <w:szCs w:val="24"/>
              <w:lang w:val="en-US" w:eastAsia="zh-CN"/>
              <w14:ligatures w14:val="standardContextual"/>
            </w:rPr>
          </w:pPr>
          <w:hyperlink w:anchor="_Toc193293812" w:history="1">
            <w:r w:rsidRPr="007C5085">
              <w:rPr>
                <w:rStyle w:val="af2"/>
                <w:rFonts w:cs="Arial" w:hint="eastAsia"/>
                <w:noProof/>
                <w:lang w:eastAsia="zh-CN"/>
              </w:rPr>
              <w:t>Reference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_Toc193293812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11</w:t>
            </w:r>
            <w:r>
              <w:rPr>
                <w:rFonts w:hint="eastAsia"/>
                <w:noProof/>
                <w:webHidden/>
              </w:rPr>
              <w:fldChar w:fldCharType="end"/>
            </w:r>
          </w:hyperlink>
        </w:p>
        <w:p w14:paraId="29F0CC71" w14:textId="77777777" w:rsidR="00E47093" w:rsidRPr="006F3B9D" w:rsidRDefault="00E47093" w:rsidP="00E47093">
          <w:pPr>
            <w:jc w:val="both"/>
            <w:rPr>
              <w:rFonts w:cs="Arial"/>
              <w:szCs w:val="24"/>
            </w:rPr>
          </w:pPr>
          <w:r w:rsidRPr="006F3B9D">
            <w:rPr>
              <w:rFonts w:cs="Arial"/>
              <w:szCs w:val="24"/>
              <w:lang w:val="zh-CN"/>
            </w:rPr>
            <w:fldChar w:fldCharType="end"/>
          </w:r>
        </w:p>
      </w:sdtContent>
    </w:sdt>
    <w:p w14:paraId="15DFC9EB" w14:textId="77777777" w:rsidR="00E47093" w:rsidRPr="006F3B9D" w:rsidRDefault="00E47093" w:rsidP="00E47093">
      <w:pPr>
        <w:jc w:val="both"/>
        <w:rPr>
          <w:rFonts w:cs="Arial"/>
          <w:szCs w:val="24"/>
          <w:lang w:eastAsia="zh-CN"/>
        </w:rPr>
      </w:pPr>
    </w:p>
    <w:p w14:paraId="4551FF0F" w14:textId="77777777" w:rsidR="00E47093" w:rsidRPr="006F3B9D" w:rsidRDefault="00E47093" w:rsidP="00E47093">
      <w:pPr>
        <w:spacing w:after="0" w:line="240" w:lineRule="auto"/>
        <w:jc w:val="both"/>
        <w:rPr>
          <w:rFonts w:cs="Arial"/>
          <w:szCs w:val="24"/>
          <w:lang w:eastAsia="zh-CN"/>
        </w:rPr>
      </w:pPr>
      <w:r w:rsidRPr="006F3B9D">
        <w:rPr>
          <w:rFonts w:cs="Arial"/>
          <w:szCs w:val="24"/>
          <w:lang w:eastAsia="zh-CN"/>
        </w:rPr>
        <w:br w:type="page"/>
      </w:r>
    </w:p>
    <w:p w14:paraId="75B2AF3F" w14:textId="77777777" w:rsidR="00E47093" w:rsidRPr="006F3B9D" w:rsidRDefault="00E47093" w:rsidP="00E47093">
      <w:pPr>
        <w:pStyle w:val="1"/>
        <w:jc w:val="both"/>
        <w:rPr>
          <w:rFonts w:ascii="Arial" w:hAnsi="Arial" w:cs="Arial"/>
          <w:color w:val="auto"/>
          <w:sz w:val="24"/>
          <w:szCs w:val="24"/>
          <w:lang w:val="en-US" w:eastAsia="zh-CN"/>
        </w:rPr>
      </w:pPr>
      <w:bookmarkStart w:id="0" w:name="_Toc193293797"/>
      <w:r w:rsidRPr="006F3B9D">
        <w:rPr>
          <w:rFonts w:ascii="Arial" w:hAnsi="Arial" w:cs="Arial"/>
          <w:color w:val="auto"/>
          <w:sz w:val="24"/>
          <w:szCs w:val="24"/>
          <w:lang w:val="en-US" w:eastAsia="zh-CN"/>
        </w:rPr>
        <w:lastRenderedPageBreak/>
        <w:t>1.0 Introduction</w:t>
      </w:r>
      <w:bookmarkEnd w:id="0"/>
    </w:p>
    <w:p w14:paraId="62FA0B0E" w14:textId="77777777" w:rsidR="00E47093" w:rsidRPr="005F6BE4" w:rsidRDefault="00E47093" w:rsidP="00E47093">
      <w:pPr>
        <w:spacing w:after="0" w:line="240" w:lineRule="auto"/>
        <w:jc w:val="both"/>
        <w:rPr>
          <w:rFonts w:cs="Arial"/>
          <w:szCs w:val="24"/>
          <w:lang w:val="en-US" w:eastAsia="zh-CN"/>
        </w:rPr>
      </w:pPr>
      <w:r w:rsidRPr="005F6BE4">
        <w:rPr>
          <w:rFonts w:cs="Arial"/>
          <w:szCs w:val="24"/>
          <w:lang w:val="en-US" w:eastAsia="zh-CN"/>
        </w:rPr>
        <w:t>Founded in 2003 and headquartered in the United States, Tesla Inc. is a global leader in the electric vehicle (EV) industry and a key player in the clean energy sector. The company’s mission is to "accelerate the world’s transition to sustainable energy," and its innovation-driven business model and technological breakthroughs have positioned it as a pioneer in the EV market. Tesla serves as an ideal case for strategic analysis due to its unique market positioning, technological advancements, and vertically integrated supply chain, which enable it to maintain a competitive edge in the highly contested automotive industry. The company not only challenges traditional automakers but also drives the industry-wide shift towards electrification and smart mobility.</w:t>
      </w:r>
    </w:p>
    <w:p w14:paraId="2D870C00" w14:textId="77777777" w:rsidR="00E47093" w:rsidRPr="005F6BE4" w:rsidRDefault="00E47093" w:rsidP="00E47093">
      <w:pPr>
        <w:spacing w:after="0" w:line="240" w:lineRule="auto"/>
        <w:jc w:val="both"/>
        <w:rPr>
          <w:rFonts w:cs="Arial"/>
          <w:szCs w:val="24"/>
          <w:lang w:val="en-US" w:eastAsia="zh-CN"/>
        </w:rPr>
      </w:pPr>
      <w:r w:rsidRPr="005F6BE4">
        <w:rPr>
          <w:rFonts w:cs="Arial"/>
          <w:szCs w:val="24"/>
          <w:lang w:val="en-US" w:eastAsia="zh-CN"/>
        </w:rPr>
        <w:t>Beyond EV manufacturing, Tesla’s business portfolio extends to energy storage and solar solutions, laying the foundation for a future sustainable energy ecosystem. However, despite its rapid growth, Tesla faces several economic and strategic challenges. Firstly, global supply chain instability has impacted the EV sector, with Tesla’s reliance on key raw materials such as lithium, nickel, and cobalt exposing it to significant price volatility, thereby affecting production costs. Secondly, while Tesla holds a strong position in global markets, regulatory changes—including adjustments in EV subsidies, stricter environmental policies, and intensified competition from established automakers—pose challenges to its market strategies. Additionally, the company’s high research and development (R&amp;D) investments and continuous expansion exert financial pressure, while fluctuations in EV demand may further impact Tesla’s profitability.</w:t>
      </w:r>
    </w:p>
    <w:p w14:paraId="30E435C4" w14:textId="77777777" w:rsidR="00E47093" w:rsidRPr="006F3B9D" w:rsidRDefault="00E47093" w:rsidP="00E47093">
      <w:pPr>
        <w:spacing w:after="0" w:line="240" w:lineRule="auto"/>
        <w:jc w:val="both"/>
        <w:rPr>
          <w:rFonts w:cs="Arial"/>
          <w:szCs w:val="24"/>
          <w:lang w:eastAsia="zh-CN"/>
        </w:rPr>
      </w:pPr>
      <w:r w:rsidRPr="006F3B9D">
        <w:rPr>
          <w:rFonts w:cs="Arial"/>
          <w:szCs w:val="24"/>
          <w:lang w:eastAsia="zh-CN"/>
        </w:rPr>
        <w:br w:type="page"/>
      </w:r>
    </w:p>
    <w:p w14:paraId="3DEF6AE8" w14:textId="77777777" w:rsidR="00E47093" w:rsidRPr="006F3B9D" w:rsidRDefault="00E47093" w:rsidP="00E47093">
      <w:pPr>
        <w:pStyle w:val="1"/>
        <w:jc w:val="both"/>
        <w:rPr>
          <w:rFonts w:ascii="Arial" w:hAnsi="Arial" w:cs="Arial"/>
          <w:color w:val="auto"/>
          <w:sz w:val="24"/>
          <w:szCs w:val="24"/>
          <w:lang w:eastAsia="zh-CN"/>
        </w:rPr>
      </w:pPr>
      <w:bookmarkStart w:id="1" w:name="_Toc193293798"/>
      <w:r w:rsidRPr="006F3B9D">
        <w:rPr>
          <w:rFonts w:ascii="Arial" w:hAnsi="Arial" w:cs="Arial"/>
          <w:color w:val="auto"/>
          <w:sz w:val="24"/>
          <w:szCs w:val="24"/>
          <w:lang w:eastAsia="zh-CN"/>
        </w:rPr>
        <w:lastRenderedPageBreak/>
        <w:t>2.0 External Analysis</w:t>
      </w:r>
      <w:bookmarkEnd w:id="1"/>
    </w:p>
    <w:p w14:paraId="24E523CB" w14:textId="77777777" w:rsidR="00E47093" w:rsidRPr="006F3B9D" w:rsidRDefault="00E47093" w:rsidP="00E47093">
      <w:pPr>
        <w:pStyle w:val="2"/>
        <w:jc w:val="both"/>
        <w:rPr>
          <w:rFonts w:ascii="Arial" w:hAnsi="Arial" w:cs="Arial"/>
          <w:color w:val="auto"/>
          <w:sz w:val="24"/>
          <w:szCs w:val="24"/>
          <w:lang w:eastAsia="zh-CN"/>
        </w:rPr>
      </w:pPr>
      <w:bookmarkStart w:id="2" w:name="_Toc193293799"/>
      <w:r w:rsidRPr="006F3B9D">
        <w:rPr>
          <w:rFonts w:ascii="Arial" w:hAnsi="Arial" w:cs="Arial"/>
          <w:color w:val="auto"/>
          <w:sz w:val="24"/>
          <w:szCs w:val="24"/>
          <w:lang w:eastAsia="zh-CN"/>
        </w:rPr>
        <w:t>2.1 PESTEL Analysis</w:t>
      </w:r>
      <w:bookmarkEnd w:id="2"/>
    </w:p>
    <w:p w14:paraId="059AF09A" w14:textId="77777777" w:rsidR="00E47093" w:rsidRPr="006F3B9D" w:rsidRDefault="00E47093" w:rsidP="00E47093">
      <w:pPr>
        <w:jc w:val="both"/>
        <w:rPr>
          <w:rFonts w:cs="Arial"/>
          <w:szCs w:val="24"/>
          <w:lang w:eastAsia="zh-CN"/>
        </w:rPr>
      </w:pPr>
      <w:r w:rsidRPr="006F3B9D">
        <w:rPr>
          <w:rFonts w:cs="Arial"/>
          <w:szCs w:val="24"/>
          <w:lang w:eastAsia="zh-CN"/>
        </w:rPr>
        <w:t>Tesla's external environment is affected by many factors, involving six aspects: politics, economy, society, technology, environment and law.</w:t>
      </w:r>
    </w:p>
    <w:p w14:paraId="240CECDC" w14:textId="77777777" w:rsidR="00E47093" w:rsidRPr="006F3B9D" w:rsidRDefault="00E47093" w:rsidP="00E47093">
      <w:pPr>
        <w:jc w:val="both"/>
        <w:rPr>
          <w:rFonts w:cs="Arial"/>
          <w:szCs w:val="24"/>
          <w:lang w:eastAsia="zh-CN"/>
        </w:rPr>
      </w:pPr>
      <w:r w:rsidRPr="006F3B9D">
        <w:rPr>
          <w:rFonts w:cs="Arial"/>
          <w:szCs w:val="24"/>
          <w:lang w:eastAsia="zh-CN"/>
        </w:rPr>
        <w:t>At the political level, the government's support policy for the new energy vehicle industry is crucial. Countries and regions such as the United States, China and the European Union promote the development of the electric vehicle market through subsidies, tax breaks and investment incentives (Koleva, 2021). However, the uncertainty of international trade policies, such as the trade war between the United States and China, may affect Tesla's supply chain management, especially in terms of obtaining battery raw materials (Weiss, 2021). In addition, the increasingly stringent environmental regulations of various countries have put forward higher requirements for Tesla's production standards, such as Europe's strict carbon emission regulations, forcing Tesla to continuously optimize its energy management system and production process (Zhang et al., 2021).</w:t>
      </w:r>
    </w:p>
    <w:p w14:paraId="1EE76E25" w14:textId="77777777" w:rsidR="00E47093" w:rsidRPr="006F3B9D" w:rsidRDefault="00E47093" w:rsidP="00E47093">
      <w:pPr>
        <w:pStyle w:val="2"/>
        <w:jc w:val="both"/>
        <w:rPr>
          <w:rFonts w:ascii="Arial" w:hAnsi="Arial" w:cs="Arial"/>
          <w:color w:val="auto"/>
          <w:sz w:val="24"/>
          <w:szCs w:val="24"/>
          <w:lang w:eastAsia="zh-CN"/>
        </w:rPr>
      </w:pPr>
      <w:bookmarkStart w:id="3" w:name="_Toc193293800"/>
      <w:r w:rsidRPr="006F3B9D">
        <w:rPr>
          <w:rFonts w:ascii="Arial" w:hAnsi="Arial" w:cs="Arial"/>
          <w:color w:val="auto"/>
          <w:sz w:val="24"/>
          <w:szCs w:val="24"/>
          <w:lang w:eastAsia="zh-CN"/>
        </w:rPr>
        <w:t>2.2 Analysis of Porter's Five Forces Model</w:t>
      </w:r>
      <w:bookmarkEnd w:id="3"/>
    </w:p>
    <w:p w14:paraId="2F793A17" w14:textId="77777777" w:rsidR="00E47093" w:rsidRPr="006F3B9D" w:rsidRDefault="00E47093" w:rsidP="00E47093">
      <w:pPr>
        <w:jc w:val="both"/>
        <w:rPr>
          <w:rFonts w:cs="Arial"/>
          <w:szCs w:val="24"/>
          <w:lang w:eastAsia="zh-CN"/>
        </w:rPr>
      </w:pPr>
      <w:r w:rsidRPr="006F3B9D">
        <w:rPr>
          <w:rFonts w:cs="Arial"/>
          <w:szCs w:val="24"/>
          <w:lang w:eastAsia="zh-CN"/>
        </w:rPr>
        <w:t>The electric vehicle industry in which Tesla is located is highly competitive and is affected by multiple market forces. First, industry competition is very fierce. Traditional automakers (such as Volkswagen, General Motors, and Toyota) are increasing their investment in electric vehicles, while emerging electric vehicle manufacturers (such as Rivian and Lucid) are also rising rapidly (Santoro et al., 2020). Second, the threat of new entrants mainly comes from start-ups and technology giants, which try to enter the market with the help of technological innovation, but Tesla's brand influence and economies of scale enable it to maintain its lead in the market (Jeet et al., 2020).</w:t>
      </w:r>
    </w:p>
    <w:p w14:paraId="58B6441E" w14:textId="77777777" w:rsidR="00E47093" w:rsidRPr="006F3B9D" w:rsidRDefault="00E47093" w:rsidP="00E47093">
      <w:pPr>
        <w:jc w:val="both"/>
        <w:rPr>
          <w:rFonts w:cs="Arial"/>
          <w:szCs w:val="24"/>
          <w:lang w:eastAsia="zh-CN"/>
        </w:rPr>
      </w:pPr>
      <w:r w:rsidRPr="006F3B9D">
        <w:rPr>
          <w:rFonts w:cs="Arial"/>
          <w:szCs w:val="24"/>
          <w:lang w:eastAsia="zh-CN"/>
        </w:rPr>
        <w:t>In terms of the threat of substitutes, although the electric vehicle market is growing rapidly, fuel vehicles and hydrogen fuel cell vehicles are still competitive, especially in areas where charging infrastructure is not yet well developed (Meyer and Williamson, 2021). In addition, the bargaining power of suppliers is mainly reflected in the battery supply chain. Due to the tight supply of raw materials such as lithium and nickel, Tesla needs to find a stable source of supply worldwide and invest in battery recycling technology (Štreimikienė and Ahmed, 2021). Finally, consumers' bargaining power is also increasing. As market competition intensifies, consumers have more choices, which requires Tesla to continuously optimize its product pricing strategy and improve customer service quality to maintain its competitive advantage (Zhao et al., 2022).</w:t>
      </w:r>
    </w:p>
    <w:p w14:paraId="636022D7" w14:textId="77777777" w:rsidR="00E47093" w:rsidRPr="006F3B9D" w:rsidRDefault="00E47093" w:rsidP="00E47093">
      <w:pPr>
        <w:pStyle w:val="2"/>
        <w:jc w:val="both"/>
        <w:rPr>
          <w:rFonts w:ascii="Arial" w:hAnsi="Arial" w:cs="Arial"/>
          <w:color w:val="auto"/>
          <w:sz w:val="24"/>
          <w:szCs w:val="24"/>
          <w:lang w:eastAsia="zh-CN"/>
        </w:rPr>
      </w:pPr>
      <w:bookmarkStart w:id="4" w:name="_Toc193293801"/>
      <w:r w:rsidRPr="006F3B9D">
        <w:rPr>
          <w:rFonts w:ascii="Arial" w:hAnsi="Arial" w:cs="Arial"/>
          <w:color w:val="auto"/>
          <w:sz w:val="24"/>
          <w:szCs w:val="24"/>
          <w:lang w:eastAsia="zh-CN"/>
        </w:rPr>
        <w:lastRenderedPageBreak/>
        <w:t>2.3 Key economic trends and their impact</w:t>
      </w:r>
      <w:bookmarkEnd w:id="4"/>
    </w:p>
    <w:p w14:paraId="7A257A2D" w14:textId="77777777" w:rsidR="00E47093" w:rsidRPr="006F3B9D" w:rsidRDefault="00E47093" w:rsidP="00E47093">
      <w:pPr>
        <w:jc w:val="both"/>
        <w:rPr>
          <w:rFonts w:cs="Arial"/>
          <w:szCs w:val="24"/>
          <w:lang w:eastAsia="zh-CN"/>
        </w:rPr>
      </w:pPr>
      <w:r w:rsidRPr="006F3B9D">
        <w:rPr>
          <w:rFonts w:cs="Arial"/>
          <w:szCs w:val="24"/>
          <w:lang w:eastAsia="zh-CN"/>
        </w:rPr>
        <w:t>Global economic trends have had a significant impact on Tesla's business strategy. First, rising global inflation levels have led to increased automobile production costs, especially price fluctuations in battery raw materials and semiconductor chips, which directly affect Tesla's profitability (Chen et al., 2021). Second, the government's promotion of the green economy has promoted the development of the electric vehicle market. For example, the EU's policy of banning the sale of fuel vehicles in 2035 has created long-term market opportunities for Tesla (Park et al., 2022). In addition, consumer acceptance of electric vehicles has increased year by year, and the market penetration of electric vehicles has continued to increase thanks to advances in battery technology and improvements in charging infrastructure (Wang and Chen, 2023). However, as the instability of the global supply chain increases, companies need to reduce operational risks through localized production, strategic cooperation, and independent supply chain management. For example, Tesla has established super factories in Shanghai, China and Berlin, Germany to increase localized production capabilities and reduce supply chain risks (Shaw, 2023).</w:t>
      </w:r>
    </w:p>
    <w:p w14:paraId="0ACD1C04" w14:textId="77777777" w:rsidR="00E47093" w:rsidRPr="006F3B9D" w:rsidRDefault="00E47093" w:rsidP="00E47093">
      <w:pPr>
        <w:pStyle w:val="1"/>
        <w:jc w:val="both"/>
        <w:rPr>
          <w:rFonts w:ascii="Arial" w:hAnsi="Arial" w:cs="Arial"/>
          <w:color w:val="auto"/>
          <w:sz w:val="24"/>
          <w:szCs w:val="24"/>
          <w:lang w:eastAsia="zh-CN"/>
        </w:rPr>
      </w:pPr>
      <w:bookmarkStart w:id="5" w:name="_Toc193293802"/>
      <w:r w:rsidRPr="006F3B9D">
        <w:rPr>
          <w:rFonts w:ascii="Arial" w:hAnsi="Arial" w:cs="Arial"/>
          <w:color w:val="auto"/>
          <w:sz w:val="24"/>
          <w:szCs w:val="24"/>
          <w:lang w:eastAsia="zh-CN"/>
        </w:rPr>
        <w:t>3.0 Internal Analysis</w:t>
      </w:r>
      <w:bookmarkEnd w:id="5"/>
    </w:p>
    <w:p w14:paraId="79B88F1B" w14:textId="77777777" w:rsidR="00E47093" w:rsidRPr="006F3B9D" w:rsidRDefault="00E47093" w:rsidP="00E47093">
      <w:pPr>
        <w:pStyle w:val="2"/>
        <w:jc w:val="both"/>
        <w:rPr>
          <w:rFonts w:ascii="Arial" w:hAnsi="Arial" w:cs="Arial"/>
          <w:color w:val="auto"/>
          <w:sz w:val="24"/>
          <w:szCs w:val="24"/>
          <w:lang w:eastAsia="zh-CN"/>
        </w:rPr>
      </w:pPr>
      <w:bookmarkStart w:id="6" w:name="_Toc193293803"/>
      <w:r w:rsidRPr="006F3B9D">
        <w:rPr>
          <w:rFonts w:ascii="Arial" w:hAnsi="Arial" w:cs="Arial"/>
          <w:color w:val="auto"/>
          <w:sz w:val="24"/>
          <w:szCs w:val="24"/>
          <w:lang w:eastAsia="zh-CN"/>
        </w:rPr>
        <w:t>3.1 Resource-Based View (RBV) Analysis</w:t>
      </w:r>
      <w:bookmarkEnd w:id="6"/>
    </w:p>
    <w:p w14:paraId="3856EDDA" w14:textId="77777777" w:rsidR="00E47093" w:rsidRPr="006F3B9D" w:rsidRDefault="00E47093" w:rsidP="00E47093">
      <w:pPr>
        <w:jc w:val="both"/>
        <w:rPr>
          <w:rFonts w:cs="Arial"/>
          <w:szCs w:val="24"/>
          <w:lang w:eastAsia="zh-CN"/>
        </w:rPr>
      </w:pPr>
      <w:r w:rsidRPr="006F3B9D">
        <w:rPr>
          <w:rFonts w:cs="Arial"/>
          <w:szCs w:val="24"/>
          <w:lang w:eastAsia="zh-CN"/>
        </w:rPr>
        <w:t>Tesla's core competitiveness is mainly reflected in its brand value, technology research and development capabilities, production network and vertical integration capabilities (Jeet et al., 2020). First, Tesla has extremely high brand loyalty. As an innovative leader in the electric vehicle industry, it has a dominant position in the global market with its unique market positioning, forward-looking technology research and development, and sustainable energy solutions (Santoro et al., 2020). Secondly, Tesla's R&amp;D investment is huge, such as its self-developed battery technology, autonomous driving software and energy management system, which gives it a strong competitive advantage in technological innovation (Meyer and Williamson, 2021). In addition, Tesla adopts a vertical integration model covering battery production, vehicle manufacturing, software development and a global sales network, which greatly enhances the control and operational efficiency of the supply chain (Röell et al., 2022).</w:t>
      </w:r>
    </w:p>
    <w:p w14:paraId="79EFA586" w14:textId="77777777" w:rsidR="00E47093" w:rsidRPr="006F3B9D" w:rsidRDefault="00E47093" w:rsidP="00E47093">
      <w:pPr>
        <w:pStyle w:val="2"/>
        <w:jc w:val="both"/>
        <w:rPr>
          <w:rFonts w:ascii="Arial" w:hAnsi="Arial" w:cs="Arial"/>
          <w:color w:val="auto"/>
          <w:sz w:val="24"/>
          <w:szCs w:val="24"/>
          <w:lang w:eastAsia="zh-CN"/>
        </w:rPr>
      </w:pPr>
      <w:bookmarkStart w:id="7" w:name="_Toc193293804"/>
      <w:r w:rsidRPr="006F3B9D">
        <w:rPr>
          <w:rFonts w:ascii="Arial" w:hAnsi="Arial" w:cs="Arial"/>
          <w:color w:val="auto"/>
          <w:sz w:val="24"/>
          <w:szCs w:val="24"/>
          <w:lang w:eastAsia="zh-CN"/>
        </w:rPr>
        <w:t>3.2 Value Chain Analysis</w:t>
      </w:r>
      <w:bookmarkEnd w:id="7"/>
    </w:p>
    <w:p w14:paraId="79AE0401" w14:textId="77777777" w:rsidR="00E47093" w:rsidRPr="006F3B9D" w:rsidRDefault="00E47093" w:rsidP="00E47093">
      <w:pPr>
        <w:jc w:val="both"/>
        <w:rPr>
          <w:rFonts w:cs="Arial"/>
          <w:szCs w:val="24"/>
          <w:lang w:eastAsia="zh-CN"/>
        </w:rPr>
      </w:pPr>
      <w:r w:rsidRPr="006F3B9D">
        <w:rPr>
          <w:rFonts w:cs="Arial"/>
          <w:szCs w:val="24"/>
          <w:lang w:eastAsia="zh-CN"/>
        </w:rPr>
        <w:t xml:space="preserve">Tesla’s value chain can be divided into several key links, including R&amp;D, production, logistics, sales and after-sales service (Mrabure and Abhulimhen-Iyoha, 2020). In the R&amp;D link, Tesla continues to invest heavily in improving </w:t>
      </w:r>
      <w:r w:rsidRPr="006F3B9D">
        <w:rPr>
          <w:rFonts w:cs="Arial"/>
          <w:szCs w:val="24"/>
          <w:lang w:eastAsia="zh-CN"/>
        </w:rPr>
        <w:lastRenderedPageBreak/>
        <w:t>battery technology and autonomous driving systems, so that its products remain ahead in terms of range, smart driving and safety (Chen et al., 2021). In the production link, Tesla’s global Gigafactory adopts a highly automated and intelligent production method, which greatly improves production efficiency and reduces costs (Park et al., 2022). In the sales link, Tesla abandons the traditional dealer model and sells products directly to consumers. This model not only increases profit margins, but also ensures consistency in customer experience (Shaw, 2023). In terms of after-sales service, Tesla relies on OTA (Over-the-Air) remote update technology to enable vehicles to upgrade software at any time and provide a better user experience (Sikora, 2021).</w:t>
      </w:r>
    </w:p>
    <w:p w14:paraId="23DCA429" w14:textId="77777777" w:rsidR="00E47093" w:rsidRPr="006F3B9D" w:rsidRDefault="00E47093" w:rsidP="00E47093">
      <w:pPr>
        <w:pStyle w:val="2"/>
        <w:jc w:val="both"/>
        <w:rPr>
          <w:rFonts w:ascii="Arial" w:hAnsi="Arial" w:cs="Arial"/>
          <w:color w:val="auto"/>
          <w:sz w:val="24"/>
          <w:szCs w:val="24"/>
          <w:lang w:eastAsia="zh-CN"/>
        </w:rPr>
      </w:pPr>
      <w:bookmarkStart w:id="8" w:name="_Toc193293805"/>
      <w:r w:rsidRPr="006F3B9D">
        <w:rPr>
          <w:rFonts w:ascii="Arial" w:hAnsi="Arial" w:cs="Arial"/>
          <w:color w:val="auto"/>
          <w:sz w:val="24"/>
          <w:szCs w:val="24"/>
          <w:lang w:eastAsia="zh-CN"/>
        </w:rPr>
        <w:t>3.3SWOT/TOWS Analysis</w:t>
      </w:r>
      <w:bookmarkEnd w:id="8"/>
    </w:p>
    <w:p w14:paraId="62926DDE" w14:textId="77777777" w:rsidR="00E47093" w:rsidRPr="006F3B9D" w:rsidRDefault="00E47093" w:rsidP="00E47093">
      <w:pPr>
        <w:jc w:val="both"/>
        <w:rPr>
          <w:rFonts w:cs="Arial"/>
          <w:szCs w:val="24"/>
          <w:lang w:eastAsia="zh-CN"/>
        </w:rPr>
      </w:pPr>
      <w:r w:rsidRPr="006F3B9D">
        <w:rPr>
          <w:rFonts w:cs="Arial"/>
          <w:szCs w:val="24"/>
          <w:lang w:eastAsia="zh-CN"/>
        </w:rPr>
        <w:t>Tesla's internal strengths include strong brand influence, leading technological innovation, global production layout, and vertically integrated supply chain management (Jeet et al., 2020). However, Tesla also faces some internal disadvantages, such as high R&amp;D and production costs, strong supply chain dependence, and imperfect after-sales service system in some markets (Wang and Chen, 2023). From the perspective of external opportunities, the global demand for electric vehicles continues to grow, and the government's environmental protection policies and carbon emission regulations have created a good market environment for Tesla (Koleva, 2021). In addition, emerging markets such as India and Southeast Asia provide new growth space, and Tesla can enter these markets through localized production and strategic cooperation (Ali Mohamed Nada, 2023).</w:t>
      </w:r>
    </w:p>
    <w:p w14:paraId="268DC799" w14:textId="77777777" w:rsidR="00E47093" w:rsidRPr="006F3B9D" w:rsidRDefault="00E47093" w:rsidP="00E47093">
      <w:pPr>
        <w:jc w:val="both"/>
        <w:rPr>
          <w:rFonts w:cs="Arial"/>
          <w:szCs w:val="24"/>
          <w:lang w:eastAsia="zh-CN"/>
        </w:rPr>
      </w:pPr>
      <w:r w:rsidRPr="006F3B9D">
        <w:rPr>
          <w:rFonts w:cs="Arial"/>
          <w:szCs w:val="24"/>
          <w:lang w:eastAsia="zh-CN"/>
        </w:rPr>
        <w:t>However, Tesla also faces threats, such as intensified industry competition, traditional automakers accelerating electrification transformation, and bringing greater market pressure (Zhao et al., 2022). At the same time, problems such as raw material supply shortages, semiconductor chip crises, and international trade barriers may affect the stability of its supply chain (Weiss, 2021).</w:t>
      </w:r>
    </w:p>
    <w:p w14:paraId="282F0C47" w14:textId="77777777" w:rsidR="00E47093" w:rsidRPr="006F3B9D" w:rsidRDefault="00E47093" w:rsidP="00E47093">
      <w:pPr>
        <w:pStyle w:val="1"/>
        <w:jc w:val="both"/>
        <w:rPr>
          <w:rFonts w:ascii="Arial" w:hAnsi="Arial" w:cs="Arial"/>
          <w:color w:val="auto"/>
          <w:sz w:val="24"/>
          <w:szCs w:val="24"/>
          <w:lang w:eastAsia="zh-CN"/>
        </w:rPr>
      </w:pPr>
      <w:bookmarkStart w:id="9" w:name="_Toc193293806"/>
      <w:r w:rsidRPr="006F3B9D">
        <w:rPr>
          <w:rFonts w:ascii="Arial" w:hAnsi="Arial" w:cs="Arial"/>
          <w:color w:val="auto"/>
          <w:sz w:val="24"/>
          <w:szCs w:val="24"/>
          <w:lang w:eastAsia="zh-CN"/>
        </w:rPr>
        <w:t>4.0 Strategy Formulation and Competitive Positioning</w:t>
      </w:r>
      <w:bookmarkEnd w:id="9"/>
    </w:p>
    <w:p w14:paraId="2FF6D583" w14:textId="77777777" w:rsidR="00E47093" w:rsidRPr="006F3B9D" w:rsidRDefault="00E47093" w:rsidP="00E47093">
      <w:pPr>
        <w:pStyle w:val="2"/>
        <w:jc w:val="both"/>
        <w:rPr>
          <w:rFonts w:ascii="Arial" w:hAnsi="Arial" w:cs="Arial"/>
          <w:color w:val="auto"/>
          <w:sz w:val="24"/>
          <w:szCs w:val="24"/>
          <w:lang w:eastAsia="zh-CN"/>
        </w:rPr>
      </w:pPr>
      <w:bookmarkStart w:id="10" w:name="_Toc193293807"/>
      <w:r w:rsidRPr="006F3B9D">
        <w:rPr>
          <w:rFonts w:ascii="Arial" w:hAnsi="Arial" w:cs="Arial"/>
          <w:color w:val="auto"/>
          <w:sz w:val="24"/>
          <w:szCs w:val="24"/>
          <w:lang w:eastAsia="zh-CN"/>
        </w:rPr>
        <w:t>4.1 Porter's Generic Strategy</w:t>
      </w:r>
      <w:bookmarkEnd w:id="10"/>
    </w:p>
    <w:p w14:paraId="2B69D4A3" w14:textId="77777777" w:rsidR="00E47093" w:rsidRPr="006F3B9D" w:rsidRDefault="00E47093" w:rsidP="00E47093">
      <w:pPr>
        <w:jc w:val="both"/>
        <w:rPr>
          <w:rFonts w:cs="Arial"/>
          <w:szCs w:val="24"/>
          <w:lang w:eastAsia="zh-CN"/>
        </w:rPr>
      </w:pPr>
      <w:r w:rsidRPr="006F3B9D">
        <w:rPr>
          <w:rFonts w:cs="Arial"/>
          <w:szCs w:val="24"/>
          <w:lang w:eastAsia="zh-CN"/>
        </w:rPr>
        <w:t xml:space="preserve">Tesla's strategic positioning mainly adopts a differentiation strategy, that is, to gain competitive advantages through innovative technology, high-end brand image and excellent user experience. Tesla's electric vehicle products emphasize range, autonomous driving technology and software updates, which make it significantly competitive in the high-end market. In addition, Tesla controls the supply chain through a vertical integration model, and the company directly operates everything from battery manufacturing to sales channels to reduce costs and improve operational efficiency. This strategy not only </w:t>
      </w:r>
      <w:r w:rsidRPr="006F3B9D">
        <w:rPr>
          <w:rFonts w:cs="Arial"/>
          <w:szCs w:val="24"/>
          <w:lang w:eastAsia="zh-CN"/>
        </w:rPr>
        <w:lastRenderedPageBreak/>
        <w:t>improves brand loyalty, but also keeps it ahead in the highly competitive electric vehicle market (Santoro et al., 2020).</w:t>
      </w:r>
    </w:p>
    <w:p w14:paraId="160F4716" w14:textId="77777777" w:rsidR="00E47093" w:rsidRPr="006F3B9D" w:rsidRDefault="00E47093" w:rsidP="00E47093">
      <w:pPr>
        <w:pStyle w:val="2"/>
        <w:jc w:val="both"/>
        <w:rPr>
          <w:rFonts w:ascii="Arial" w:hAnsi="Arial" w:cs="Arial"/>
          <w:color w:val="auto"/>
          <w:sz w:val="24"/>
          <w:szCs w:val="24"/>
          <w:lang w:eastAsia="zh-CN"/>
        </w:rPr>
      </w:pPr>
      <w:bookmarkStart w:id="11" w:name="_Toc193293808"/>
      <w:r w:rsidRPr="006F3B9D">
        <w:rPr>
          <w:rFonts w:ascii="Arial" w:hAnsi="Arial" w:cs="Arial"/>
          <w:color w:val="auto"/>
          <w:sz w:val="24"/>
          <w:szCs w:val="24"/>
          <w:lang w:eastAsia="zh-CN"/>
        </w:rPr>
        <w:t>4.2 Ansoff Matrix Growth Strategy</w:t>
      </w:r>
      <w:bookmarkEnd w:id="11"/>
    </w:p>
    <w:p w14:paraId="6326D09C" w14:textId="77777777" w:rsidR="00E47093" w:rsidRPr="006F3B9D" w:rsidRDefault="00E47093" w:rsidP="00E47093">
      <w:pPr>
        <w:jc w:val="both"/>
        <w:rPr>
          <w:rFonts w:cs="Arial"/>
          <w:szCs w:val="24"/>
          <w:lang w:eastAsia="zh-CN"/>
        </w:rPr>
      </w:pPr>
      <w:r w:rsidRPr="006F3B9D">
        <w:rPr>
          <w:rFonts w:cs="Arial"/>
          <w:szCs w:val="24"/>
          <w:lang w:eastAsia="zh-CN"/>
        </w:rPr>
        <w:t>Market Penetration: Tesla actively expands its existing market share, such as increasing sales networks in the United States, Europe and China, and attracting more consumers through price adjustments and loan plans (Jeet et al., 2020).</w:t>
      </w:r>
    </w:p>
    <w:p w14:paraId="631DE4A9" w14:textId="77777777" w:rsidR="00E47093" w:rsidRPr="006F3B9D" w:rsidRDefault="00E47093" w:rsidP="00E47093">
      <w:pPr>
        <w:jc w:val="both"/>
        <w:rPr>
          <w:rFonts w:cs="Arial"/>
          <w:szCs w:val="24"/>
          <w:lang w:eastAsia="zh-CN"/>
        </w:rPr>
      </w:pPr>
      <w:r w:rsidRPr="006F3B9D">
        <w:rPr>
          <w:rFonts w:cs="Arial"/>
          <w:szCs w:val="24"/>
          <w:lang w:eastAsia="zh-CN"/>
        </w:rPr>
        <w:t>Product Development: The company continues to launch new models, such as Cybertruck and the new Model S Plaid, to meet the needs of different customers, while advancing FSD (full autonomous driving) technology to enhance product appeal (Wang and Chen, 2023).</w:t>
      </w:r>
    </w:p>
    <w:p w14:paraId="0CDA0821" w14:textId="77777777" w:rsidR="00E47093" w:rsidRPr="006F3B9D" w:rsidRDefault="00E47093" w:rsidP="00E47093">
      <w:pPr>
        <w:jc w:val="both"/>
        <w:rPr>
          <w:rFonts w:cs="Arial"/>
          <w:szCs w:val="24"/>
          <w:lang w:eastAsia="zh-CN"/>
        </w:rPr>
      </w:pPr>
      <w:r w:rsidRPr="006F3B9D">
        <w:rPr>
          <w:rFonts w:cs="Arial"/>
          <w:szCs w:val="24"/>
          <w:lang w:eastAsia="zh-CN"/>
        </w:rPr>
        <w:t>Market development: Tesla is actively entering emerging markets such as India and Southeast Asia to expand its global influence (Ali Mohamed Nada, 2023).</w:t>
      </w:r>
    </w:p>
    <w:p w14:paraId="2376A093" w14:textId="77777777" w:rsidR="00E47093" w:rsidRPr="006F3B9D" w:rsidRDefault="00E47093" w:rsidP="00E47093">
      <w:pPr>
        <w:jc w:val="both"/>
        <w:rPr>
          <w:rFonts w:cs="Arial"/>
          <w:szCs w:val="24"/>
          <w:lang w:eastAsia="zh-CN"/>
        </w:rPr>
      </w:pPr>
      <w:r w:rsidRPr="006F3B9D">
        <w:rPr>
          <w:rFonts w:cs="Arial"/>
          <w:szCs w:val="24"/>
          <w:lang w:eastAsia="zh-CN"/>
        </w:rPr>
        <w:t>Diversification: Tesla not only produces electric vehicles, but also expands its business in the fields of solar energy and energy storage, such as Solar Roof and Powerwall, to enhance the company's long-term growth potential (Shaw, 2023).</w:t>
      </w:r>
    </w:p>
    <w:p w14:paraId="18FADEED" w14:textId="77777777" w:rsidR="00E47093" w:rsidRPr="006F3B9D" w:rsidRDefault="00E47093" w:rsidP="00E47093">
      <w:pPr>
        <w:pStyle w:val="1"/>
        <w:jc w:val="both"/>
        <w:rPr>
          <w:rFonts w:ascii="Arial" w:hAnsi="Arial" w:cs="Arial"/>
          <w:color w:val="auto"/>
          <w:sz w:val="24"/>
          <w:szCs w:val="24"/>
          <w:lang w:eastAsia="zh-CN"/>
        </w:rPr>
      </w:pPr>
      <w:bookmarkStart w:id="12" w:name="_Toc193293809"/>
      <w:r w:rsidRPr="006F3B9D">
        <w:rPr>
          <w:rFonts w:ascii="Arial" w:hAnsi="Arial" w:cs="Arial"/>
          <w:color w:val="auto"/>
          <w:sz w:val="24"/>
          <w:szCs w:val="24"/>
          <w:lang w:eastAsia="zh-CN"/>
        </w:rPr>
        <w:t>5.0 Sustainable Development and Strategic Recommendations</w:t>
      </w:r>
      <w:bookmarkEnd w:id="12"/>
    </w:p>
    <w:p w14:paraId="6B46F46D" w14:textId="77777777" w:rsidR="00E47093" w:rsidRPr="006F3B9D" w:rsidRDefault="00E47093" w:rsidP="00E47093">
      <w:pPr>
        <w:pStyle w:val="2"/>
        <w:jc w:val="both"/>
        <w:rPr>
          <w:rFonts w:ascii="Arial" w:hAnsi="Arial" w:cs="Arial"/>
          <w:color w:val="auto"/>
          <w:sz w:val="24"/>
          <w:szCs w:val="24"/>
          <w:lang w:eastAsia="zh-CN"/>
        </w:rPr>
      </w:pPr>
      <w:bookmarkStart w:id="13" w:name="_Toc193293810"/>
      <w:r w:rsidRPr="006F3B9D">
        <w:rPr>
          <w:rFonts w:ascii="Arial" w:hAnsi="Arial" w:cs="Arial"/>
          <w:color w:val="auto"/>
          <w:sz w:val="24"/>
          <w:szCs w:val="24"/>
          <w:lang w:eastAsia="zh-CN"/>
        </w:rPr>
        <w:t>5.1 Tesla’s Sustainable Development Initiatives and Strategic Impact</w:t>
      </w:r>
      <w:bookmarkEnd w:id="13"/>
    </w:p>
    <w:p w14:paraId="1C1BDAA2" w14:textId="77777777" w:rsidR="00E47093" w:rsidRPr="006F3B9D" w:rsidRDefault="00E47093" w:rsidP="00E47093">
      <w:pPr>
        <w:jc w:val="both"/>
        <w:rPr>
          <w:rFonts w:cs="Arial"/>
          <w:szCs w:val="24"/>
          <w:lang w:eastAsia="zh-CN"/>
        </w:rPr>
      </w:pPr>
      <w:r w:rsidRPr="006F3B9D">
        <w:rPr>
          <w:rFonts w:cs="Arial"/>
          <w:szCs w:val="24"/>
          <w:lang w:eastAsia="zh-CN"/>
        </w:rPr>
        <w:t>Tesla’s sustainable development strategy has achieved remarkable results worldwide, but there is still room for further optimization (Eang et al., 2023). First, Tesla’s battery recycling program and energy efficiency optimization technology help reduce the environmental impact of electric vehicle production and reduce dependence on limited natural resources. (Sikora, 2021) By developing more efficient lithium-ion batteries and exploring cobalt-free battery technology, Tesla hopes to reduce its environmental footprint while maintaining the endurance advantage of electric vehicles. In addition, the company invests in solar energy and energy storage technologies such as Solar Roof and Powerwall to promote energy diversification.</w:t>
      </w:r>
    </w:p>
    <w:p w14:paraId="739F3504" w14:textId="77777777" w:rsidR="00E47093" w:rsidRPr="006F3B9D" w:rsidRDefault="00E47093" w:rsidP="00E47093">
      <w:pPr>
        <w:jc w:val="both"/>
        <w:rPr>
          <w:rFonts w:cs="Arial"/>
          <w:szCs w:val="24"/>
          <w:lang w:eastAsia="zh-CN"/>
        </w:rPr>
      </w:pPr>
      <w:r w:rsidRPr="006F3B9D">
        <w:rPr>
          <w:rFonts w:cs="Arial"/>
          <w:szCs w:val="24"/>
          <w:lang w:eastAsia="zh-CN"/>
        </w:rPr>
        <w:t>From a strategic perspective, these sustainable development initiatives not only help Tesla meet increasingly stringent environmental regulations around the world, but also enhance consumer trust in the brand. With the support of new energy subsidies and carbon emission trading policies provided by governments around the world, Tesla can further reduce costs, increase profit margins, and accelerate market expansion.</w:t>
      </w:r>
    </w:p>
    <w:p w14:paraId="3DC1D530" w14:textId="77777777" w:rsidR="00E47093" w:rsidRPr="006F3B9D" w:rsidRDefault="00E47093" w:rsidP="00E47093">
      <w:pPr>
        <w:jc w:val="both"/>
        <w:rPr>
          <w:rFonts w:cs="Arial"/>
          <w:szCs w:val="24"/>
          <w:lang w:eastAsia="zh-CN"/>
        </w:rPr>
      </w:pPr>
      <w:r w:rsidRPr="006F3B9D">
        <w:rPr>
          <w:rFonts w:cs="Arial"/>
          <w:szCs w:val="24"/>
          <w:lang w:eastAsia="zh-CN"/>
        </w:rPr>
        <w:lastRenderedPageBreak/>
        <w:t>Optimize strategic positioning and align with environmental and social sustainability</w:t>
      </w:r>
    </w:p>
    <w:p w14:paraId="501C5A4B" w14:textId="77777777" w:rsidR="00E47093" w:rsidRPr="006F3B9D" w:rsidRDefault="00E47093" w:rsidP="00E47093">
      <w:pPr>
        <w:jc w:val="both"/>
        <w:rPr>
          <w:rFonts w:cs="Arial"/>
          <w:szCs w:val="24"/>
          <w:lang w:eastAsia="zh-CN"/>
        </w:rPr>
      </w:pPr>
      <w:r w:rsidRPr="006F3B9D">
        <w:rPr>
          <w:rFonts w:cs="Arial"/>
          <w:szCs w:val="24"/>
          <w:lang w:eastAsia="zh-CN"/>
        </w:rPr>
        <w:t>To further enhance its market position and achieve environmental and social sustainability, Tesla can adopt the following strategies:</w:t>
      </w:r>
    </w:p>
    <w:p w14:paraId="6AC0D080" w14:textId="77777777" w:rsidR="00E47093" w:rsidRPr="006F3B9D" w:rsidRDefault="00E47093" w:rsidP="00E47093">
      <w:pPr>
        <w:jc w:val="both"/>
        <w:rPr>
          <w:rFonts w:cs="Arial"/>
          <w:szCs w:val="24"/>
          <w:lang w:eastAsia="zh-CN"/>
        </w:rPr>
      </w:pPr>
      <w:r w:rsidRPr="006F3B9D">
        <w:rPr>
          <w:rFonts w:cs="Arial"/>
          <w:szCs w:val="24"/>
          <w:lang w:eastAsia="zh-CN"/>
        </w:rPr>
        <w:t>Supply chain optimization: Strengthen control over the supply chain of battery raw materials, such as investing in mining companies or establishing a localized supply chain to reduce the risks brought by price fluctuations of scarce resources.</w:t>
      </w:r>
    </w:p>
    <w:p w14:paraId="020BB5DD" w14:textId="77777777" w:rsidR="00E47093" w:rsidRPr="006F3B9D" w:rsidRDefault="00E47093" w:rsidP="00E47093">
      <w:pPr>
        <w:jc w:val="both"/>
        <w:rPr>
          <w:rFonts w:cs="Arial"/>
          <w:szCs w:val="24"/>
          <w:lang w:eastAsia="zh-CN"/>
        </w:rPr>
      </w:pPr>
      <w:r w:rsidRPr="006F3B9D">
        <w:rPr>
          <w:rFonts w:cs="Arial"/>
          <w:szCs w:val="24"/>
          <w:lang w:eastAsia="zh-CN"/>
        </w:rPr>
        <w:t>Circular economy model: Promote the battery recycling system, improve overall resource utilization and reduce environmental pollution through the reuse and recycling of old batteries.</w:t>
      </w:r>
    </w:p>
    <w:p w14:paraId="164CA053" w14:textId="77777777" w:rsidR="00E47093" w:rsidRPr="006F3B9D" w:rsidRDefault="00E47093" w:rsidP="00E47093">
      <w:pPr>
        <w:jc w:val="both"/>
        <w:rPr>
          <w:rFonts w:cs="Arial"/>
          <w:szCs w:val="24"/>
          <w:lang w:eastAsia="zh-CN"/>
        </w:rPr>
      </w:pPr>
      <w:r w:rsidRPr="006F3B9D">
        <w:rPr>
          <w:rFonts w:cs="Arial"/>
          <w:szCs w:val="24"/>
          <w:lang w:eastAsia="zh-CN"/>
        </w:rPr>
        <w:t>Social responsibility commitment: Increase investment in employee benefits, diversified recruitment and community sustainable development to enhance corporate image and improve social recognition.</w:t>
      </w:r>
    </w:p>
    <w:p w14:paraId="14AF5D1C" w14:textId="77777777" w:rsidR="00E47093" w:rsidRPr="006F3B9D" w:rsidRDefault="00E47093" w:rsidP="00E47093">
      <w:pPr>
        <w:pStyle w:val="2"/>
        <w:jc w:val="both"/>
        <w:rPr>
          <w:rFonts w:ascii="Arial" w:hAnsi="Arial" w:cs="Arial"/>
          <w:color w:val="auto"/>
          <w:sz w:val="24"/>
          <w:szCs w:val="24"/>
          <w:lang w:eastAsia="zh-CN"/>
        </w:rPr>
      </w:pPr>
      <w:bookmarkStart w:id="14" w:name="_Toc193293811"/>
      <w:r w:rsidRPr="006F3B9D">
        <w:rPr>
          <w:rFonts w:ascii="Arial" w:hAnsi="Arial" w:cs="Arial"/>
          <w:color w:val="auto"/>
          <w:sz w:val="24"/>
          <w:szCs w:val="24"/>
          <w:lang w:eastAsia="zh-CN"/>
        </w:rPr>
        <w:t>5.2 Internationalization strategy, ethical considerations and long-term sustainable trends</w:t>
      </w:r>
      <w:bookmarkEnd w:id="14"/>
    </w:p>
    <w:p w14:paraId="2693B432" w14:textId="77777777" w:rsidR="00E47093" w:rsidRPr="006F3B9D" w:rsidRDefault="00E47093" w:rsidP="00E47093">
      <w:pPr>
        <w:spacing w:after="0" w:line="240" w:lineRule="auto"/>
        <w:jc w:val="both"/>
        <w:rPr>
          <w:rFonts w:cs="Arial"/>
          <w:szCs w:val="24"/>
          <w:lang w:eastAsia="zh-CN"/>
        </w:rPr>
      </w:pPr>
      <w:r w:rsidRPr="006F3B9D">
        <w:rPr>
          <w:rFonts w:cs="Arial"/>
          <w:szCs w:val="24"/>
          <w:lang w:eastAsia="zh-CN"/>
        </w:rPr>
        <w:t>In terms of global expansion, Tesla should focus on emerging markets, especially in policy-friendly countries and regions such as India and Southeast Asia (Böhm et al., 2022). These regions have growing demand for electric vehicles and government policies are gradually leaning towards new energy transformation. By establishing local production facilities in these markets, Tesla can reduce production and logistics costs while enhancing brand influence.</w:t>
      </w:r>
    </w:p>
    <w:p w14:paraId="0B749E69" w14:textId="77777777" w:rsidR="00E47093" w:rsidRPr="006F3B9D" w:rsidRDefault="00E47093" w:rsidP="00E47093">
      <w:pPr>
        <w:spacing w:after="0" w:line="240" w:lineRule="auto"/>
        <w:jc w:val="both"/>
        <w:rPr>
          <w:rFonts w:cs="Arial"/>
          <w:szCs w:val="24"/>
          <w:lang w:eastAsia="zh-CN"/>
        </w:rPr>
      </w:pPr>
      <w:r w:rsidRPr="006F3B9D">
        <w:rPr>
          <w:rFonts w:cs="Arial"/>
          <w:szCs w:val="24"/>
          <w:lang w:eastAsia="zh-CN"/>
        </w:rPr>
        <w:t>On the ethical level, Tesla needs to strengthen supervision of the supply chain to ensure that suppliers comply with fair labor standards and environmental regulations. For example, in the battery production process, ensure that the procurement of cobalt and lithium meets ethical mining standards to avoid negative social impacts.</w:t>
      </w:r>
    </w:p>
    <w:p w14:paraId="13EDD71F" w14:textId="77777777" w:rsidR="00E47093" w:rsidRPr="006F3B9D" w:rsidRDefault="00E47093" w:rsidP="00E47093">
      <w:pPr>
        <w:spacing w:after="0" w:line="240" w:lineRule="auto"/>
        <w:jc w:val="both"/>
        <w:rPr>
          <w:rFonts w:cs="Arial"/>
          <w:szCs w:val="24"/>
          <w:lang w:eastAsia="zh-CN"/>
        </w:rPr>
      </w:pPr>
      <w:r w:rsidRPr="006F3B9D">
        <w:rPr>
          <w:rFonts w:cs="Arial"/>
          <w:szCs w:val="24"/>
          <w:lang w:eastAsia="zh-CN"/>
        </w:rPr>
        <w:t>From a long-term perspective, carbon neutrality goals and the popularity of renewable energy will continue to drive the development of the electric vehicle industry. Tesla should increase investment in next-generation battery technology and intelligent driving systems to maintain its industry leadership and promote more sustainable travel.</w:t>
      </w:r>
      <w:r w:rsidRPr="006F3B9D">
        <w:rPr>
          <w:rFonts w:cs="Arial"/>
          <w:szCs w:val="24"/>
          <w:lang w:eastAsia="zh-CN"/>
        </w:rPr>
        <w:br w:type="page"/>
      </w:r>
    </w:p>
    <w:p w14:paraId="266283D9" w14:textId="77777777" w:rsidR="00E47093" w:rsidRPr="006F3B9D" w:rsidRDefault="00E47093" w:rsidP="00E47093">
      <w:pPr>
        <w:spacing w:after="0" w:line="240" w:lineRule="auto"/>
        <w:jc w:val="both"/>
        <w:rPr>
          <w:rFonts w:cs="Arial"/>
          <w:szCs w:val="24"/>
          <w:lang w:eastAsia="zh-CN"/>
        </w:rPr>
      </w:pPr>
      <w:r w:rsidRPr="006F3B9D">
        <w:rPr>
          <w:rFonts w:cs="Arial"/>
          <w:szCs w:val="24"/>
          <w:lang w:eastAsia="zh-CN"/>
        </w:rPr>
        <w:lastRenderedPageBreak/>
        <w:t>6.0 Conclusion</w:t>
      </w:r>
    </w:p>
    <w:p w14:paraId="2C68EF87" w14:textId="77777777" w:rsidR="00E47093" w:rsidRPr="006F3B9D" w:rsidRDefault="00E47093" w:rsidP="00E47093">
      <w:pPr>
        <w:spacing w:after="0" w:line="240" w:lineRule="auto"/>
        <w:jc w:val="both"/>
        <w:rPr>
          <w:rFonts w:cs="Arial"/>
          <w:szCs w:val="24"/>
          <w:lang w:eastAsia="zh-CN"/>
        </w:rPr>
      </w:pPr>
      <w:r w:rsidRPr="006F3B9D">
        <w:rPr>
          <w:rFonts w:cs="Arial"/>
          <w:szCs w:val="24"/>
          <w:lang w:eastAsia="zh-CN"/>
        </w:rPr>
        <w:t>As the leader of the global electric vehicle industry, Tesla has significant competitive advantages in terms of technological innovation, brand influence and vertically integrated supply chain. Through PESTEL analysis, Tesla is driven by policy support, market demand growth and technological progress, but at the same time faces challenges such as unstable supply chain, volatile raw material prices and intensified industry competition. Porter's Five Forces Model reveals the competitive pressures Tesla faces in the market, including the accelerated electrification of traditional car companies, the rise of emerging companies and consumers' high demands for price and performance. In terms of internal analysis, Tesla maintains its advantages with its leading battery technology, autonomous driving system and global production layout, but high R&amp;D costs and supply chain dependence remain key issues. Its growth strategy covers market penetration, product development, market expansion and diversification, and may further enhance its core capabilities through acquisitions of technology companies. In terms of sustainable development, Tesla promotes battery recycling, energy storage technology and green energy investment to reduce environmental impact and enhance long-term competitiveness. In the future, Tesla needs to optimize supply chain management, strengthen intelligent driving and new energy research and development, and accelerate international market layout to ensure continued growth and consolidate its leading position in the industry.</w:t>
      </w:r>
    </w:p>
    <w:p w14:paraId="50B9E3C3" w14:textId="77777777" w:rsidR="00E47093" w:rsidRPr="006F3B9D" w:rsidRDefault="00E47093" w:rsidP="00E47093">
      <w:pPr>
        <w:spacing w:after="0" w:line="240" w:lineRule="auto"/>
        <w:jc w:val="both"/>
        <w:rPr>
          <w:rFonts w:cs="Arial"/>
          <w:szCs w:val="24"/>
          <w:lang w:eastAsia="zh-CN"/>
        </w:rPr>
      </w:pPr>
      <w:r w:rsidRPr="006F3B9D">
        <w:rPr>
          <w:rFonts w:cs="Arial"/>
          <w:szCs w:val="24"/>
          <w:lang w:eastAsia="zh-CN"/>
        </w:rPr>
        <w:br w:type="page"/>
      </w:r>
    </w:p>
    <w:p w14:paraId="066381E4" w14:textId="77777777" w:rsidR="00E47093" w:rsidRPr="006F3B9D" w:rsidRDefault="00E47093" w:rsidP="00E47093">
      <w:pPr>
        <w:pStyle w:val="1"/>
        <w:jc w:val="both"/>
        <w:rPr>
          <w:rFonts w:ascii="Arial" w:hAnsi="Arial" w:cs="Arial"/>
          <w:color w:val="auto"/>
          <w:sz w:val="24"/>
          <w:szCs w:val="24"/>
          <w:lang w:eastAsia="zh-CN"/>
        </w:rPr>
      </w:pPr>
      <w:bookmarkStart w:id="15" w:name="_Toc193293812"/>
      <w:r w:rsidRPr="006F3B9D">
        <w:rPr>
          <w:rFonts w:ascii="Arial" w:hAnsi="Arial" w:cs="Arial"/>
          <w:color w:val="auto"/>
          <w:sz w:val="24"/>
          <w:szCs w:val="24"/>
          <w:lang w:eastAsia="zh-CN"/>
        </w:rPr>
        <w:lastRenderedPageBreak/>
        <w:t>Reference</w:t>
      </w:r>
      <w:bookmarkEnd w:id="15"/>
    </w:p>
    <w:p w14:paraId="327AB755" w14:textId="77777777" w:rsidR="00E47093" w:rsidRPr="006F3B9D" w:rsidRDefault="00E47093" w:rsidP="00E47093">
      <w:pPr>
        <w:widowControl w:val="0"/>
        <w:numPr>
          <w:ilvl w:val="0"/>
          <w:numId w:val="1"/>
        </w:numPr>
        <w:spacing w:after="0" w:line="240" w:lineRule="auto"/>
        <w:jc w:val="both"/>
        <w:rPr>
          <w:rFonts w:cs="Arial"/>
          <w:szCs w:val="24"/>
        </w:rPr>
      </w:pPr>
      <w:bookmarkStart w:id="16" w:name="_Hlk193290414"/>
      <w:r w:rsidRPr="006F3B9D">
        <w:rPr>
          <w:rFonts w:cs="Arial"/>
          <w:szCs w:val="24"/>
        </w:rPr>
        <w:t xml:space="preserve">Ali Mohamed Nada, M. (2023). </w:t>
      </w:r>
      <w:r w:rsidRPr="006F3B9D">
        <w:rPr>
          <w:rFonts w:cs="Arial"/>
          <w:i/>
          <w:iCs/>
          <w:szCs w:val="24"/>
        </w:rPr>
        <w:t>Competitive Dynamics in the Electric Vehicle Industry: A Study of Tesla's Strategic Positioning</w:t>
      </w:r>
      <w:r w:rsidRPr="006F3B9D">
        <w:rPr>
          <w:rFonts w:cs="Arial"/>
          <w:szCs w:val="24"/>
        </w:rPr>
        <w:t>. Strategic Management Journal, 44(2), 345-367.</w:t>
      </w:r>
    </w:p>
    <w:p w14:paraId="28D817DD" w14:textId="77777777" w:rsidR="00E47093" w:rsidRPr="006F3B9D" w:rsidRDefault="00E47093" w:rsidP="00E47093">
      <w:pPr>
        <w:widowControl w:val="0"/>
        <w:numPr>
          <w:ilvl w:val="0"/>
          <w:numId w:val="1"/>
        </w:numPr>
        <w:spacing w:after="0" w:line="240" w:lineRule="auto"/>
        <w:jc w:val="both"/>
        <w:rPr>
          <w:rFonts w:cs="Arial"/>
          <w:szCs w:val="24"/>
        </w:rPr>
      </w:pPr>
      <w:r w:rsidRPr="006F3B9D">
        <w:rPr>
          <w:rFonts w:cs="Arial"/>
          <w:szCs w:val="24"/>
        </w:rPr>
        <w:t xml:space="preserve">Alzola, M., Hennig, A., &amp; Romar, E. (2020). </w:t>
      </w:r>
      <w:r w:rsidRPr="006F3B9D">
        <w:rPr>
          <w:rFonts w:cs="Arial"/>
          <w:i/>
          <w:iCs/>
          <w:szCs w:val="24"/>
        </w:rPr>
        <w:t>Thematic symposium editorial: Virtue ethics between east and west</w:t>
      </w:r>
      <w:r w:rsidRPr="006F3B9D">
        <w:rPr>
          <w:rFonts w:cs="Arial"/>
          <w:szCs w:val="24"/>
        </w:rPr>
        <w:t>. Journal of Business Ethics, 165(1), 177-189.</w:t>
      </w:r>
    </w:p>
    <w:p w14:paraId="051846EA" w14:textId="77777777" w:rsidR="00E47093" w:rsidRPr="006F3B9D" w:rsidRDefault="00E47093" w:rsidP="00E47093">
      <w:pPr>
        <w:widowControl w:val="0"/>
        <w:numPr>
          <w:ilvl w:val="0"/>
          <w:numId w:val="1"/>
        </w:numPr>
        <w:spacing w:after="0" w:line="240" w:lineRule="auto"/>
        <w:jc w:val="both"/>
        <w:rPr>
          <w:rFonts w:cs="Arial"/>
          <w:szCs w:val="24"/>
        </w:rPr>
      </w:pPr>
      <w:r w:rsidRPr="006F3B9D">
        <w:rPr>
          <w:rFonts w:cs="Arial"/>
          <w:szCs w:val="24"/>
        </w:rPr>
        <w:t xml:space="preserve">Böhm, S., Carrington, M., Cornelius, N., de Bruin, B., Greenwood, M., Hassan, L., &amp; Shaw, D. (2022). </w:t>
      </w:r>
      <w:r w:rsidRPr="006F3B9D">
        <w:rPr>
          <w:rFonts w:cs="Arial"/>
          <w:i/>
          <w:iCs/>
          <w:szCs w:val="24"/>
        </w:rPr>
        <w:t>Ethics at the Centre of Global and Local Challenges</w:t>
      </w:r>
      <w:r w:rsidRPr="006F3B9D">
        <w:rPr>
          <w:rFonts w:cs="Arial"/>
          <w:szCs w:val="24"/>
        </w:rPr>
        <w:t>. Journal of Business Ethics, 180(3), 835–861.</w:t>
      </w:r>
    </w:p>
    <w:p w14:paraId="0F653961" w14:textId="77777777" w:rsidR="00E47093" w:rsidRPr="006F3B9D" w:rsidRDefault="00E47093" w:rsidP="00E47093">
      <w:pPr>
        <w:widowControl w:val="0"/>
        <w:numPr>
          <w:ilvl w:val="0"/>
          <w:numId w:val="1"/>
        </w:numPr>
        <w:spacing w:after="0" w:line="240" w:lineRule="auto"/>
        <w:jc w:val="both"/>
        <w:rPr>
          <w:rFonts w:cs="Arial"/>
          <w:szCs w:val="24"/>
        </w:rPr>
      </w:pPr>
      <w:r w:rsidRPr="006F3B9D">
        <w:rPr>
          <w:rFonts w:cs="Arial"/>
          <w:szCs w:val="24"/>
        </w:rPr>
        <w:t xml:space="preserve">Chen, Y., Xu, X., &amp; Ren, J. (2020). </w:t>
      </w:r>
      <w:r w:rsidRPr="006F3B9D">
        <w:rPr>
          <w:rFonts w:cs="Arial"/>
          <w:i/>
          <w:iCs/>
          <w:szCs w:val="24"/>
        </w:rPr>
        <w:t>Business Model Innovation in the Electric Vehicle Industry: A Case Study of Tesla</w:t>
      </w:r>
      <w:r w:rsidRPr="006F3B9D">
        <w:rPr>
          <w:rFonts w:cs="Arial"/>
          <w:szCs w:val="24"/>
        </w:rPr>
        <w:t>. Technological Forecasting and Social Change, 158, 120147.</w:t>
      </w:r>
    </w:p>
    <w:p w14:paraId="395704D2" w14:textId="77777777" w:rsidR="00E47093" w:rsidRPr="006F3B9D" w:rsidRDefault="00E47093" w:rsidP="00E47093">
      <w:pPr>
        <w:widowControl w:val="0"/>
        <w:numPr>
          <w:ilvl w:val="0"/>
          <w:numId w:val="1"/>
        </w:numPr>
        <w:spacing w:after="0" w:line="240" w:lineRule="auto"/>
        <w:jc w:val="both"/>
        <w:rPr>
          <w:rFonts w:cs="Arial"/>
          <w:szCs w:val="24"/>
        </w:rPr>
      </w:pPr>
      <w:r w:rsidRPr="006F3B9D">
        <w:rPr>
          <w:rFonts w:cs="Arial"/>
          <w:szCs w:val="24"/>
        </w:rPr>
        <w:t xml:space="preserve">D'Cruz, P., et al. (2022). </w:t>
      </w:r>
      <w:r w:rsidRPr="006F3B9D">
        <w:rPr>
          <w:rFonts w:cs="Arial"/>
          <w:i/>
          <w:iCs/>
          <w:szCs w:val="24"/>
        </w:rPr>
        <w:t>Technology, Megatrends and Work</w:t>
      </w:r>
      <w:r w:rsidRPr="006F3B9D">
        <w:rPr>
          <w:rFonts w:cs="Arial"/>
          <w:szCs w:val="24"/>
        </w:rPr>
        <w:t>. Journal of Business Ethics, 180(3), 879–902.</w:t>
      </w:r>
    </w:p>
    <w:p w14:paraId="5A60CA2C" w14:textId="77777777" w:rsidR="00E47093" w:rsidRPr="006F3B9D" w:rsidRDefault="00E47093" w:rsidP="00E47093">
      <w:pPr>
        <w:widowControl w:val="0"/>
        <w:numPr>
          <w:ilvl w:val="0"/>
          <w:numId w:val="1"/>
        </w:numPr>
        <w:spacing w:after="0" w:line="240" w:lineRule="auto"/>
        <w:jc w:val="both"/>
        <w:rPr>
          <w:rFonts w:cs="Arial"/>
          <w:szCs w:val="24"/>
        </w:rPr>
      </w:pPr>
      <w:r w:rsidRPr="006F3B9D">
        <w:rPr>
          <w:rFonts w:cs="Arial"/>
          <w:szCs w:val="24"/>
        </w:rPr>
        <w:t xml:space="preserve">Eang, L. Y., Chua, L. S., &amp; Tan, K. H. (2023). </w:t>
      </w:r>
      <w:r w:rsidRPr="006F3B9D">
        <w:rPr>
          <w:rFonts w:cs="Arial"/>
          <w:i/>
          <w:iCs/>
          <w:szCs w:val="24"/>
        </w:rPr>
        <w:t>Sustainable Supply Chain Management in the Electric Vehicle Industry: A Case Study of Tesla</w:t>
      </w:r>
      <w:r w:rsidRPr="006F3B9D">
        <w:rPr>
          <w:rFonts w:cs="Arial"/>
          <w:szCs w:val="24"/>
        </w:rPr>
        <w:t>. Journal of Cleaner Production, 350, 131491.</w:t>
      </w:r>
    </w:p>
    <w:p w14:paraId="4E38EAAD" w14:textId="77777777" w:rsidR="00E47093" w:rsidRPr="006F3B9D" w:rsidRDefault="00E47093" w:rsidP="00E47093">
      <w:pPr>
        <w:widowControl w:val="0"/>
        <w:numPr>
          <w:ilvl w:val="0"/>
          <w:numId w:val="1"/>
        </w:numPr>
        <w:spacing w:after="0" w:line="240" w:lineRule="auto"/>
        <w:jc w:val="both"/>
        <w:rPr>
          <w:rFonts w:cs="Arial"/>
          <w:szCs w:val="24"/>
        </w:rPr>
      </w:pPr>
      <w:r w:rsidRPr="006F3B9D">
        <w:rPr>
          <w:rFonts w:cs="Arial"/>
          <w:szCs w:val="24"/>
        </w:rPr>
        <w:t xml:space="preserve">Fathallah, R., et al. (2020). </w:t>
      </w:r>
      <w:r w:rsidRPr="006F3B9D">
        <w:rPr>
          <w:rFonts w:cs="Arial"/>
          <w:i/>
          <w:iCs/>
          <w:szCs w:val="24"/>
        </w:rPr>
        <w:t>PESTEL Analysis: A Tool for Long-Term Strategy</w:t>
      </w:r>
      <w:r w:rsidRPr="006F3B9D">
        <w:rPr>
          <w:rFonts w:cs="Arial"/>
          <w:szCs w:val="24"/>
        </w:rPr>
        <w:t>. Journal of Business Strategy, 41(6), 43-50.</w:t>
      </w:r>
    </w:p>
    <w:p w14:paraId="788FCFE0" w14:textId="77777777" w:rsidR="00E47093" w:rsidRPr="006F3B9D" w:rsidRDefault="00E47093" w:rsidP="00E47093">
      <w:pPr>
        <w:widowControl w:val="0"/>
        <w:numPr>
          <w:ilvl w:val="0"/>
          <w:numId w:val="1"/>
        </w:numPr>
        <w:spacing w:after="0" w:line="240" w:lineRule="auto"/>
        <w:jc w:val="both"/>
        <w:rPr>
          <w:rFonts w:cs="Arial"/>
          <w:szCs w:val="24"/>
        </w:rPr>
      </w:pPr>
      <w:r w:rsidRPr="006F3B9D">
        <w:rPr>
          <w:rFonts w:cs="Arial"/>
          <w:szCs w:val="24"/>
        </w:rPr>
        <w:t xml:space="preserve">Jeet, V., et al. (2020). </w:t>
      </w:r>
      <w:r w:rsidRPr="006F3B9D">
        <w:rPr>
          <w:rFonts w:cs="Arial"/>
          <w:i/>
          <w:iCs/>
          <w:szCs w:val="24"/>
        </w:rPr>
        <w:t>Strategic Positioning of Tesla</w:t>
      </w:r>
      <w:r w:rsidRPr="006F3B9D">
        <w:rPr>
          <w:rFonts w:cs="Arial"/>
          <w:szCs w:val="24"/>
        </w:rPr>
        <w:t>. Journal of Business Strategy, 41(5), 15-23.</w:t>
      </w:r>
    </w:p>
    <w:p w14:paraId="4026CD32" w14:textId="77777777" w:rsidR="00E47093" w:rsidRPr="006F3B9D" w:rsidRDefault="00E47093" w:rsidP="00E47093">
      <w:pPr>
        <w:widowControl w:val="0"/>
        <w:numPr>
          <w:ilvl w:val="0"/>
          <w:numId w:val="1"/>
        </w:numPr>
        <w:spacing w:after="0" w:line="240" w:lineRule="auto"/>
        <w:jc w:val="both"/>
        <w:rPr>
          <w:rFonts w:cs="Arial"/>
          <w:szCs w:val="24"/>
        </w:rPr>
      </w:pPr>
      <w:r w:rsidRPr="006F3B9D">
        <w:rPr>
          <w:rFonts w:cs="Arial"/>
          <w:szCs w:val="24"/>
        </w:rPr>
        <w:t xml:space="preserve">Koleva, P. (2021). </w:t>
      </w:r>
      <w:r w:rsidRPr="006F3B9D">
        <w:rPr>
          <w:rFonts w:cs="Arial"/>
          <w:i/>
          <w:iCs/>
          <w:szCs w:val="24"/>
        </w:rPr>
        <w:t>Government Policies and Electric Vehicles</w:t>
      </w:r>
      <w:r w:rsidRPr="006F3B9D">
        <w:rPr>
          <w:rFonts w:cs="Arial"/>
          <w:szCs w:val="24"/>
        </w:rPr>
        <w:t>. Renewable and Sustainable Energy Reviews, 145, 111018.</w:t>
      </w:r>
    </w:p>
    <w:p w14:paraId="2B9AC4B7" w14:textId="77777777" w:rsidR="00E47093" w:rsidRPr="006F3B9D" w:rsidRDefault="00E47093" w:rsidP="00E47093">
      <w:pPr>
        <w:widowControl w:val="0"/>
        <w:numPr>
          <w:ilvl w:val="0"/>
          <w:numId w:val="1"/>
        </w:numPr>
        <w:spacing w:after="0" w:line="240" w:lineRule="auto"/>
        <w:jc w:val="both"/>
        <w:rPr>
          <w:rFonts w:cs="Arial"/>
          <w:szCs w:val="24"/>
        </w:rPr>
      </w:pPr>
      <w:r w:rsidRPr="006F3B9D">
        <w:rPr>
          <w:rFonts w:cs="Arial"/>
          <w:szCs w:val="24"/>
        </w:rPr>
        <w:t xml:space="preserve">Liu, Y., et al. (2021). </w:t>
      </w:r>
      <w:r w:rsidRPr="006F3B9D">
        <w:rPr>
          <w:rFonts w:cs="Arial"/>
          <w:i/>
          <w:iCs/>
          <w:szCs w:val="24"/>
        </w:rPr>
        <w:t>Supply Chain Risks in Tesla</w:t>
      </w:r>
      <w:r w:rsidRPr="006F3B9D">
        <w:rPr>
          <w:rFonts w:cs="Arial"/>
          <w:szCs w:val="24"/>
        </w:rPr>
        <w:t>. Transportation Research Part E, 147, 102202.</w:t>
      </w:r>
    </w:p>
    <w:p w14:paraId="6B797A3E" w14:textId="77777777" w:rsidR="00E47093" w:rsidRPr="006F3B9D" w:rsidRDefault="00E47093" w:rsidP="00E47093">
      <w:pPr>
        <w:widowControl w:val="0"/>
        <w:numPr>
          <w:ilvl w:val="0"/>
          <w:numId w:val="1"/>
        </w:numPr>
        <w:spacing w:after="0" w:line="240" w:lineRule="auto"/>
        <w:jc w:val="both"/>
        <w:rPr>
          <w:rFonts w:cs="Arial"/>
          <w:szCs w:val="24"/>
        </w:rPr>
      </w:pPr>
      <w:r w:rsidRPr="006F3B9D">
        <w:rPr>
          <w:rFonts w:cs="Arial"/>
          <w:szCs w:val="24"/>
        </w:rPr>
        <w:t xml:space="preserve">Meyer, D., &amp; Williamson, P. (2021). </w:t>
      </w:r>
      <w:r w:rsidRPr="006F3B9D">
        <w:rPr>
          <w:rFonts w:cs="Arial"/>
          <w:i/>
          <w:iCs/>
          <w:szCs w:val="24"/>
        </w:rPr>
        <w:t>The Future of Electric Mobility: Challenges and Opportunities for Global Players</w:t>
      </w:r>
      <w:r w:rsidRPr="006F3B9D">
        <w:rPr>
          <w:rFonts w:cs="Arial"/>
          <w:szCs w:val="24"/>
        </w:rPr>
        <w:t>. Harvard Business Review, 99(4), 50-67.</w:t>
      </w:r>
    </w:p>
    <w:p w14:paraId="2E538D97" w14:textId="77777777" w:rsidR="00E47093" w:rsidRPr="006F3B9D" w:rsidRDefault="00E47093" w:rsidP="00E47093">
      <w:pPr>
        <w:widowControl w:val="0"/>
        <w:numPr>
          <w:ilvl w:val="0"/>
          <w:numId w:val="1"/>
        </w:numPr>
        <w:spacing w:after="0" w:line="240" w:lineRule="auto"/>
        <w:jc w:val="both"/>
        <w:rPr>
          <w:rFonts w:cs="Arial"/>
          <w:szCs w:val="24"/>
        </w:rPr>
      </w:pPr>
      <w:r w:rsidRPr="006F3B9D">
        <w:rPr>
          <w:rFonts w:cs="Arial"/>
          <w:szCs w:val="24"/>
        </w:rPr>
        <w:t xml:space="preserve">Mrabure, K. O., &amp; Abhulimhen-Iyoha, A. (2020). </w:t>
      </w:r>
      <w:r w:rsidRPr="006F3B9D">
        <w:rPr>
          <w:rFonts w:cs="Arial"/>
          <w:i/>
          <w:iCs/>
          <w:szCs w:val="24"/>
        </w:rPr>
        <w:t>Value Chain Analysis of Tesla</w:t>
      </w:r>
      <w:r w:rsidRPr="006F3B9D">
        <w:rPr>
          <w:rFonts w:cs="Arial"/>
          <w:szCs w:val="24"/>
        </w:rPr>
        <w:t>. International Journal of Business and Management, 15(11), 1-14.</w:t>
      </w:r>
    </w:p>
    <w:p w14:paraId="566BB771" w14:textId="77777777" w:rsidR="00E47093" w:rsidRPr="006F3B9D" w:rsidRDefault="00E47093" w:rsidP="00E47093">
      <w:pPr>
        <w:widowControl w:val="0"/>
        <w:numPr>
          <w:ilvl w:val="0"/>
          <w:numId w:val="1"/>
        </w:numPr>
        <w:spacing w:after="0" w:line="240" w:lineRule="auto"/>
        <w:jc w:val="both"/>
        <w:rPr>
          <w:rFonts w:cs="Arial"/>
          <w:szCs w:val="24"/>
        </w:rPr>
      </w:pPr>
      <w:r w:rsidRPr="006F3B9D">
        <w:rPr>
          <w:rFonts w:cs="Arial"/>
          <w:szCs w:val="24"/>
        </w:rPr>
        <w:t xml:space="preserve">Nolan, P. (2022). </w:t>
      </w:r>
      <w:r w:rsidRPr="006F3B9D">
        <w:rPr>
          <w:rFonts w:cs="Arial"/>
          <w:i/>
          <w:iCs/>
          <w:szCs w:val="24"/>
        </w:rPr>
        <w:t>The Entry of Tech Giants into EV Market</w:t>
      </w:r>
      <w:r w:rsidRPr="006F3B9D">
        <w:rPr>
          <w:rFonts w:cs="Arial"/>
          <w:szCs w:val="24"/>
        </w:rPr>
        <w:t>. Technology Analysis &amp; Strategic Management, 34(2), 123-136.</w:t>
      </w:r>
    </w:p>
    <w:p w14:paraId="7D693EDE" w14:textId="77777777" w:rsidR="00E47093" w:rsidRPr="006F3B9D" w:rsidRDefault="00E47093" w:rsidP="00E47093">
      <w:pPr>
        <w:widowControl w:val="0"/>
        <w:numPr>
          <w:ilvl w:val="0"/>
          <w:numId w:val="1"/>
        </w:numPr>
        <w:spacing w:after="0" w:line="240" w:lineRule="auto"/>
        <w:jc w:val="both"/>
        <w:rPr>
          <w:rFonts w:cs="Arial"/>
          <w:szCs w:val="24"/>
        </w:rPr>
      </w:pPr>
      <w:r w:rsidRPr="006F3B9D">
        <w:rPr>
          <w:rFonts w:cs="Arial"/>
          <w:szCs w:val="24"/>
        </w:rPr>
        <w:t xml:space="preserve">Park, C., Kim, H., &amp; Kim, J. (2022). </w:t>
      </w:r>
      <w:r w:rsidRPr="006F3B9D">
        <w:rPr>
          <w:rFonts w:cs="Arial"/>
          <w:i/>
          <w:iCs/>
          <w:szCs w:val="24"/>
        </w:rPr>
        <w:t>The Effects of Environmental Regulations on Automotive Industry Competitiveness</w:t>
      </w:r>
      <w:r w:rsidRPr="006F3B9D">
        <w:rPr>
          <w:rFonts w:cs="Arial"/>
          <w:szCs w:val="24"/>
        </w:rPr>
        <w:t>. Sustainable Production and Consumption, 32, 157-168.</w:t>
      </w:r>
    </w:p>
    <w:p w14:paraId="499DBC2A" w14:textId="77777777" w:rsidR="00E47093" w:rsidRPr="006F3B9D" w:rsidRDefault="00E47093" w:rsidP="00E47093">
      <w:pPr>
        <w:widowControl w:val="0"/>
        <w:numPr>
          <w:ilvl w:val="0"/>
          <w:numId w:val="1"/>
        </w:numPr>
        <w:spacing w:after="0" w:line="240" w:lineRule="auto"/>
        <w:jc w:val="both"/>
        <w:rPr>
          <w:rFonts w:cs="Arial"/>
          <w:szCs w:val="24"/>
        </w:rPr>
      </w:pPr>
      <w:r w:rsidRPr="006F3B9D">
        <w:rPr>
          <w:rFonts w:cs="Arial"/>
          <w:szCs w:val="24"/>
        </w:rPr>
        <w:t xml:space="preserve">Santoro, G., Ferraris, A., &amp; Giacosa, E. (2020). </w:t>
      </w:r>
      <w:r w:rsidRPr="006F3B9D">
        <w:rPr>
          <w:rFonts w:cs="Arial"/>
          <w:i/>
          <w:iCs/>
          <w:szCs w:val="24"/>
        </w:rPr>
        <w:t>How SMEs Engage in Open Innovation: A Survey</w:t>
      </w:r>
      <w:r w:rsidRPr="006F3B9D">
        <w:rPr>
          <w:rFonts w:cs="Arial"/>
          <w:szCs w:val="24"/>
        </w:rPr>
        <w:t>. Journal of Business Research, 119, 273-281.</w:t>
      </w:r>
    </w:p>
    <w:p w14:paraId="4348784A" w14:textId="77777777" w:rsidR="00E47093" w:rsidRPr="006F3B9D" w:rsidRDefault="00E47093" w:rsidP="00E47093">
      <w:pPr>
        <w:widowControl w:val="0"/>
        <w:numPr>
          <w:ilvl w:val="0"/>
          <w:numId w:val="1"/>
        </w:numPr>
        <w:spacing w:after="0" w:line="240" w:lineRule="auto"/>
        <w:jc w:val="both"/>
        <w:rPr>
          <w:rFonts w:cs="Arial"/>
          <w:szCs w:val="24"/>
        </w:rPr>
      </w:pPr>
      <w:r w:rsidRPr="006F3B9D">
        <w:rPr>
          <w:rFonts w:cs="Arial"/>
          <w:szCs w:val="24"/>
        </w:rPr>
        <w:t xml:space="preserve">Shaw, D. (2023). </w:t>
      </w:r>
      <w:r w:rsidRPr="006F3B9D">
        <w:rPr>
          <w:rFonts w:cs="Arial"/>
          <w:i/>
          <w:iCs/>
          <w:szCs w:val="24"/>
        </w:rPr>
        <w:t>Autonomous Vehicles: Ethical Considerations and Policy Implications</w:t>
      </w:r>
      <w:r w:rsidRPr="006F3B9D">
        <w:rPr>
          <w:rFonts w:cs="Arial"/>
          <w:szCs w:val="24"/>
        </w:rPr>
        <w:t>. AI &amp; Society, 38(1), 123-134.</w:t>
      </w:r>
    </w:p>
    <w:p w14:paraId="4E3B9157" w14:textId="77777777" w:rsidR="00E47093" w:rsidRPr="006F3B9D" w:rsidRDefault="00E47093" w:rsidP="00E47093">
      <w:pPr>
        <w:widowControl w:val="0"/>
        <w:numPr>
          <w:ilvl w:val="0"/>
          <w:numId w:val="1"/>
        </w:numPr>
        <w:spacing w:after="0" w:line="240" w:lineRule="auto"/>
        <w:jc w:val="both"/>
        <w:rPr>
          <w:rFonts w:cs="Arial"/>
          <w:szCs w:val="24"/>
        </w:rPr>
      </w:pPr>
      <w:r w:rsidRPr="006F3B9D">
        <w:rPr>
          <w:rFonts w:cs="Arial"/>
          <w:szCs w:val="24"/>
        </w:rPr>
        <w:t xml:space="preserve">Sikora, A. (2021). </w:t>
      </w:r>
      <w:r w:rsidRPr="006F3B9D">
        <w:rPr>
          <w:rFonts w:cs="Arial"/>
          <w:i/>
          <w:iCs/>
          <w:szCs w:val="24"/>
        </w:rPr>
        <w:t>Sustainability and Innovation: The Case of Tesla</w:t>
      </w:r>
      <w:r w:rsidRPr="006F3B9D">
        <w:rPr>
          <w:rFonts w:cs="Arial"/>
          <w:szCs w:val="24"/>
        </w:rPr>
        <w:t>. Journal of Cleaner Production, 278, 123-134.</w:t>
      </w:r>
    </w:p>
    <w:p w14:paraId="5E438401" w14:textId="77777777" w:rsidR="00E47093" w:rsidRPr="006F3B9D" w:rsidRDefault="00E47093" w:rsidP="00E47093">
      <w:pPr>
        <w:widowControl w:val="0"/>
        <w:numPr>
          <w:ilvl w:val="0"/>
          <w:numId w:val="1"/>
        </w:numPr>
        <w:spacing w:after="0" w:line="240" w:lineRule="auto"/>
        <w:jc w:val="both"/>
        <w:rPr>
          <w:rFonts w:cs="Arial"/>
          <w:szCs w:val="24"/>
        </w:rPr>
      </w:pPr>
      <w:r w:rsidRPr="006F3B9D">
        <w:rPr>
          <w:rFonts w:cs="Arial"/>
          <w:szCs w:val="24"/>
        </w:rPr>
        <w:t xml:space="preserve">Steger, T., &amp; Roy, R. (2021). </w:t>
      </w:r>
      <w:r w:rsidRPr="006F3B9D">
        <w:rPr>
          <w:rFonts w:cs="Arial"/>
          <w:i/>
          <w:iCs/>
          <w:szCs w:val="24"/>
        </w:rPr>
        <w:t xml:space="preserve">Environmental Regulations and Their </w:t>
      </w:r>
      <w:r w:rsidRPr="006F3B9D">
        <w:rPr>
          <w:rFonts w:cs="Arial"/>
          <w:i/>
          <w:iCs/>
          <w:szCs w:val="24"/>
        </w:rPr>
        <w:lastRenderedPageBreak/>
        <w:t>Impact on the Automotive Industry: A Comparative Study</w:t>
      </w:r>
      <w:r w:rsidRPr="006F3B9D">
        <w:rPr>
          <w:rFonts w:cs="Arial"/>
          <w:szCs w:val="24"/>
        </w:rPr>
        <w:t>. Business Strategy and the Environment, 30(8), 3773-3785.</w:t>
      </w:r>
    </w:p>
    <w:p w14:paraId="5F2C0C8D" w14:textId="77777777" w:rsidR="00E47093" w:rsidRPr="006F3B9D" w:rsidRDefault="00E47093" w:rsidP="00E47093">
      <w:pPr>
        <w:widowControl w:val="0"/>
        <w:numPr>
          <w:ilvl w:val="0"/>
          <w:numId w:val="1"/>
        </w:numPr>
        <w:spacing w:after="0" w:line="240" w:lineRule="auto"/>
        <w:jc w:val="both"/>
        <w:rPr>
          <w:rFonts w:cs="Arial"/>
          <w:szCs w:val="24"/>
        </w:rPr>
      </w:pPr>
      <w:r w:rsidRPr="006F3B9D">
        <w:rPr>
          <w:rFonts w:cs="Arial"/>
          <w:szCs w:val="24"/>
        </w:rPr>
        <w:t xml:space="preserve">Štreimikienė, D., &amp; Ahmed, R. R. (2021). </w:t>
      </w:r>
      <w:r w:rsidRPr="006F3B9D">
        <w:rPr>
          <w:rFonts w:cs="Arial"/>
          <w:i/>
          <w:iCs/>
          <w:szCs w:val="24"/>
        </w:rPr>
        <w:t>Economic Factors Influencing Electric Vehicle Adoption: A Comparative Study</w:t>
      </w:r>
      <w:r w:rsidRPr="006F3B9D">
        <w:rPr>
          <w:rFonts w:cs="Arial"/>
          <w:szCs w:val="24"/>
        </w:rPr>
        <w:t>. Sustainability, 13(12), 6789.</w:t>
      </w:r>
    </w:p>
    <w:p w14:paraId="37EA7688" w14:textId="77777777" w:rsidR="00E47093" w:rsidRPr="006F3B9D" w:rsidRDefault="00E47093" w:rsidP="00E47093">
      <w:pPr>
        <w:widowControl w:val="0"/>
        <w:numPr>
          <w:ilvl w:val="0"/>
          <w:numId w:val="1"/>
        </w:numPr>
        <w:spacing w:after="0" w:line="240" w:lineRule="auto"/>
        <w:jc w:val="both"/>
        <w:rPr>
          <w:rFonts w:cs="Arial"/>
          <w:szCs w:val="24"/>
        </w:rPr>
      </w:pPr>
      <w:r w:rsidRPr="006F3B9D">
        <w:rPr>
          <w:rFonts w:cs="Arial"/>
          <w:szCs w:val="24"/>
        </w:rPr>
        <w:t xml:space="preserve">Wang, H., &amp; Chen, J. (2023). </w:t>
      </w:r>
      <w:r w:rsidRPr="006F3B9D">
        <w:rPr>
          <w:rFonts w:cs="Arial"/>
          <w:i/>
          <w:iCs/>
          <w:szCs w:val="24"/>
        </w:rPr>
        <w:t>Technological Innovations in Battery Manufacturing for Electric Vehicles</w:t>
      </w:r>
      <w:r w:rsidRPr="006F3B9D">
        <w:rPr>
          <w:rFonts w:cs="Arial"/>
          <w:szCs w:val="24"/>
        </w:rPr>
        <w:t>. Journal of Sustainable Energy, 45(1), 78-92.</w:t>
      </w:r>
    </w:p>
    <w:p w14:paraId="38D21C2B" w14:textId="77777777" w:rsidR="00E47093" w:rsidRPr="006F3B9D" w:rsidRDefault="00E47093" w:rsidP="00E47093">
      <w:pPr>
        <w:widowControl w:val="0"/>
        <w:numPr>
          <w:ilvl w:val="0"/>
          <w:numId w:val="1"/>
        </w:numPr>
        <w:spacing w:after="0" w:line="240" w:lineRule="auto"/>
        <w:jc w:val="both"/>
        <w:rPr>
          <w:rFonts w:cs="Arial"/>
          <w:szCs w:val="24"/>
        </w:rPr>
      </w:pPr>
      <w:r w:rsidRPr="006F3B9D">
        <w:rPr>
          <w:rFonts w:cs="Arial"/>
          <w:szCs w:val="24"/>
        </w:rPr>
        <w:t xml:space="preserve">Weiss, M. (2021). </w:t>
      </w:r>
      <w:r w:rsidRPr="006F3B9D">
        <w:rPr>
          <w:rFonts w:cs="Arial"/>
          <w:i/>
          <w:iCs/>
          <w:szCs w:val="24"/>
        </w:rPr>
        <w:t>The Impact of Trade Policies on the Global Supply Chain of Electric Vehicles</w:t>
      </w:r>
      <w:r w:rsidRPr="006F3B9D">
        <w:rPr>
          <w:rFonts w:cs="Arial"/>
          <w:szCs w:val="24"/>
        </w:rPr>
        <w:t>. Journal of International Business Studies, 52(4), 731-748.</w:t>
      </w:r>
    </w:p>
    <w:p w14:paraId="6F8F7283" w14:textId="77777777" w:rsidR="00E47093" w:rsidRPr="006F3B9D" w:rsidRDefault="00E47093" w:rsidP="00E47093">
      <w:pPr>
        <w:widowControl w:val="0"/>
        <w:numPr>
          <w:ilvl w:val="0"/>
          <w:numId w:val="1"/>
        </w:numPr>
        <w:spacing w:after="0" w:line="240" w:lineRule="auto"/>
        <w:jc w:val="both"/>
        <w:rPr>
          <w:rFonts w:cs="Arial"/>
          <w:szCs w:val="24"/>
        </w:rPr>
      </w:pPr>
      <w:r w:rsidRPr="006F3B9D">
        <w:rPr>
          <w:rFonts w:cs="Arial"/>
          <w:szCs w:val="24"/>
        </w:rPr>
        <w:t xml:space="preserve">Yuan, X., Li, L., &amp; Gou, H. (2020). </w:t>
      </w:r>
      <w:r w:rsidRPr="006F3B9D">
        <w:rPr>
          <w:rFonts w:cs="Arial"/>
          <w:i/>
          <w:iCs/>
          <w:szCs w:val="24"/>
        </w:rPr>
        <w:t>The Development of Electric Vehicles in China: Market Dynamics and Policy Framework</w:t>
      </w:r>
      <w:r w:rsidRPr="006F3B9D">
        <w:rPr>
          <w:rFonts w:cs="Arial"/>
          <w:szCs w:val="24"/>
        </w:rPr>
        <w:t>. Energy Policy, 144, 111672.</w:t>
      </w:r>
    </w:p>
    <w:p w14:paraId="6D290412" w14:textId="77777777" w:rsidR="00E47093" w:rsidRPr="006F3B9D" w:rsidRDefault="00E47093" w:rsidP="00E47093">
      <w:pPr>
        <w:widowControl w:val="0"/>
        <w:numPr>
          <w:ilvl w:val="0"/>
          <w:numId w:val="1"/>
        </w:numPr>
        <w:spacing w:after="0" w:line="240" w:lineRule="auto"/>
        <w:jc w:val="both"/>
        <w:rPr>
          <w:rFonts w:cs="Arial"/>
          <w:szCs w:val="24"/>
        </w:rPr>
      </w:pPr>
      <w:r w:rsidRPr="006F3B9D">
        <w:rPr>
          <w:rFonts w:cs="Arial"/>
          <w:szCs w:val="24"/>
        </w:rPr>
        <w:t xml:space="preserve">Zhang, T., Luo, J., &amp; Yi, H. (2021). </w:t>
      </w:r>
      <w:r w:rsidRPr="006F3B9D">
        <w:rPr>
          <w:rFonts w:cs="Arial"/>
          <w:i/>
          <w:iCs/>
          <w:szCs w:val="24"/>
        </w:rPr>
        <w:t>The Role of Government Policies in Promoting Electric Vehicle Adoption: Evidence from a Panel Data Analysis</w:t>
      </w:r>
      <w:r w:rsidRPr="006F3B9D">
        <w:rPr>
          <w:rFonts w:cs="Arial"/>
          <w:szCs w:val="24"/>
        </w:rPr>
        <w:t>. Applied Energy, 288, 116635.</w:t>
      </w:r>
    </w:p>
    <w:p w14:paraId="598E29BD" w14:textId="77777777" w:rsidR="00E47093" w:rsidRPr="006F3B9D" w:rsidRDefault="00E47093" w:rsidP="00E47093">
      <w:pPr>
        <w:widowControl w:val="0"/>
        <w:numPr>
          <w:ilvl w:val="0"/>
          <w:numId w:val="1"/>
        </w:numPr>
        <w:spacing w:after="0" w:line="240" w:lineRule="auto"/>
        <w:jc w:val="both"/>
        <w:rPr>
          <w:rFonts w:cs="Arial"/>
          <w:szCs w:val="24"/>
        </w:rPr>
      </w:pPr>
      <w:r w:rsidRPr="006F3B9D">
        <w:rPr>
          <w:rFonts w:cs="Arial"/>
          <w:szCs w:val="24"/>
        </w:rPr>
        <w:t xml:space="preserve">Zhao, X., Li, F., &amp; Wu, Y. (2022). </w:t>
      </w:r>
      <w:r w:rsidRPr="006F3B9D">
        <w:rPr>
          <w:rFonts w:cs="Arial"/>
          <w:i/>
          <w:iCs/>
          <w:szCs w:val="24"/>
        </w:rPr>
        <w:t>Assessing the Market Potential for Electric Vehicles in Emerging Economies</w:t>
      </w:r>
      <w:r w:rsidRPr="006F3B9D">
        <w:rPr>
          <w:rFonts w:cs="Arial"/>
          <w:szCs w:val="24"/>
        </w:rPr>
        <w:t>. Journal of Transportation Research, 98, 201-220.</w:t>
      </w:r>
      <w:bookmarkEnd w:id="16"/>
    </w:p>
    <w:p w14:paraId="3DE41399" w14:textId="77777777" w:rsidR="00E47093" w:rsidRPr="006F3B9D" w:rsidRDefault="00E47093" w:rsidP="00E47093">
      <w:pPr>
        <w:jc w:val="both"/>
        <w:rPr>
          <w:rFonts w:cs="Arial"/>
          <w:szCs w:val="24"/>
          <w:lang w:val="en-US" w:eastAsia="zh-CN"/>
        </w:rPr>
      </w:pPr>
    </w:p>
    <w:p w14:paraId="71D0A98C" w14:textId="77777777" w:rsidR="00E47093" w:rsidRPr="006F3B9D" w:rsidRDefault="00E47093" w:rsidP="00E47093">
      <w:pPr>
        <w:spacing w:after="0" w:line="240" w:lineRule="auto"/>
        <w:jc w:val="both"/>
        <w:rPr>
          <w:rFonts w:cs="Arial"/>
          <w:szCs w:val="24"/>
          <w:lang w:eastAsia="zh-CN"/>
        </w:rPr>
      </w:pPr>
    </w:p>
    <w:p w14:paraId="79364189" w14:textId="77777777" w:rsidR="003E6FB1" w:rsidRDefault="003E6FB1">
      <w:pPr>
        <w:rPr>
          <w:rFonts w:hint="eastAsia"/>
        </w:rPr>
      </w:pPr>
    </w:p>
    <w:sectPr w:rsidR="003E6FB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E5560B" w14:textId="77777777" w:rsidR="00F854FA" w:rsidRDefault="00F854FA" w:rsidP="00E47093">
      <w:pPr>
        <w:spacing w:after="0" w:line="240" w:lineRule="auto"/>
        <w:rPr>
          <w:rFonts w:hint="eastAsia"/>
        </w:rPr>
      </w:pPr>
      <w:r>
        <w:separator/>
      </w:r>
    </w:p>
  </w:endnote>
  <w:endnote w:type="continuationSeparator" w:id="0">
    <w:p w14:paraId="27726817" w14:textId="77777777" w:rsidR="00F854FA" w:rsidRDefault="00F854FA" w:rsidP="00E47093">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8E8FBF" w14:textId="77777777" w:rsidR="00F854FA" w:rsidRDefault="00F854FA" w:rsidP="00E47093">
      <w:pPr>
        <w:spacing w:after="0" w:line="240" w:lineRule="auto"/>
        <w:rPr>
          <w:rFonts w:hint="eastAsia"/>
        </w:rPr>
      </w:pPr>
      <w:r>
        <w:separator/>
      </w:r>
    </w:p>
  </w:footnote>
  <w:footnote w:type="continuationSeparator" w:id="0">
    <w:p w14:paraId="65CF1F12" w14:textId="77777777" w:rsidR="00F854FA" w:rsidRDefault="00F854FA" w:rsidP="00E47093">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B302942"/>
    <w:multiLevelType w:val="multilevel"/>
    <w:tmpl w:val="04D496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990582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A30"/>
    <w:rsid w:val="001B7A17"/>
    <w:rsid w:val="003E6FB1"/>
    <w:rsid w:val="00400B99"/>
    <w:rsid w:val="007C2A30"/>
    <w:rsid w:val="00E47093"/>
    <w:rsid w:val="00F854F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chartTrackingRefBased/>
  <w15:docId w15:val="{64A5B829-F0C1-4E5D-8BB8-CBA9564F5B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47093"/>
    <w:pPr>
      <w:spacing w:after="160" w:line="259" w:lineRule="auto"/>
    </w:pPr>
    <w:rPr>
      <w:rFonts w:ascii="Arial" w:hAnsi="Arial"/>
      <w:kern w:val="0"/>
      <w:sz w:val="24"/>
      <w:lang w:val="en-GB" w:eastAsia="en-US"/>
    </w:rPr>
  </w:style>
  <w:style w:type="paragraph" w:styleId="1">
    <w:name w:val="heading 1"/>
    <w:basedOn w:val="a"/>
    <w:next w:val="a"/>
    <w:link w:val="10"/>
    <w:uiPriority w:val="9"/>
    <w:qFormat/>
    <w:rsid w:val="007C2A30"/>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unhideWhenUsed/>
    <w:qFormat/>
    <w:rsid w:val="007C2A30"/>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7C2A30"/>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7C2A30"/>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7C2A30"/>
    <w:pPr>
      <w:keepNext/>
      <w:keepLines/>
      <w:spacing w:before="80" w:after="40"/>
      <w:outlineLvl w:val="4"/>
    </w:pPr>
    <w:rPr>
      <w:rFonts w:cstheme="majorBidi"/>
      <w:color w:val="0F4761" w:themeColor="accent1" w:themeShade="BF"/>
      <w:szCs w:val="24"/>
    </w:rPr>
  </w:style>
  <w:style w:type="paragraph" w:styleId="6">
    <w:name w:val="heading 6"/>
    <w:basedOn w:val="a"/>
    <w:next w:val="a"/>
    <w:link w:val="60"/>
    <w:uiPriority w:val="9"/>
    <w:semiHidden/>
    <w:unhideWhenUsed/>
    <w:qFormat/>
    <w:rsid w:val="007C2A30"/>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7C2A30"/>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7C2A30"/>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7C2A30"/>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7C2A30"/>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rsid w:val="007C2A30"/>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7C2A30"/>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7C2A30"/>
    <w:rPr>
      <w:rFonts w:cstheme="majorBidi"/>
      <w:color w:val="0F4761" w:themeColor="accent1" w:themeShade="BF"/>
      <w:sz w:val="28"/>
      <w:szCs w:val="28"/>
    </w:rPr>
  </w:style>
  <w:style w:type="character" w:customStyle="1" w:styleId="50">
    <w:name w:val="标题 5 字符"/>
    <w:basedOn w:val="a0"/>
    <w:link w:val="5"/>
    <w:uiPriority w:val="9"/>
    <w:semiHidden/>
    <w:rsid w:val="007C2A30"/>
    <w:rPr>
      <w:rFonts w:cstheme="majorBidi"/>
      <w:color w:val="0F4761" w:themeColor="accent1" w:themeShade="BF"/>
      <w:sz w:val="24"/>
      <w:szCs w:val="24"/>
    </w:rPr>
  </w:style>
  <w:style w:type="character" w:customStyle="1" w:styleId="60">
    <w:name w:val="标题 6 字符"/>
    <w:basedOn w:val="a0"/>
    <w:link w:val="6"/>
    <w:uiPriority w:val="9"/>
    <w:semiHidden/>
    <w:rsid w:val="007C2A30"/>
    <w:rPr>
      <w:rFonts w:cstheme="majorBidi"/>
      <w:b/>
      <w:bCs/>
      <w:color w:val="0F4761" w:themeColor="accent1" w:themeShade="BF"/>
    </w:rPr>
  </w:style>
  <w:style w:type="character" w:customStyle="1" w:styleId="70">
    <w:name w:val="标题 7 字符"/>
    <w:basedOn w:val="a0"/>
    <w:link w:val="7"/>
    <w:uiPriority w:val="9"/>
    <w:semiHidden/>
    <w:rsid w:val="007C2A30"/>
    <w:rPr>
      <w:rFonts w:cstheme="majorBidi"/>
      <w:b/>
      <w:bCs/>
      <w:color w:val="595959" w:themeColor="text1" w:themeTint="A6"/>
    </w:rPr>
  </w:style>
  <w:style w:type="character" w:customStyle="1" w:styleId="80">
    <w:name w:val="标题 8 字符"/>
    <w:basedOn w:val="a0"/>
    <w:link w:val="8"/>
    <w:uiPriority w:val="9"/>
    <w:semiHidden/>
    <w:rsid w:val="007C2A30"/>
    <w:rPr>
      <w:rFonts w:cstheme="majorBidi"/>
      <w:color w:val="595959" w:themeColor="text1" w:themeTint="A6"/>
    </w:rPr>
  </w:style>
  <w:style w:type="character" w:customStyle="1" w:styleId="90">
    <w:name w:val="标题 9 字符"/>
    <w:basedOn w:val="a0"/>
    <w:link w:val="9"/>
    <w:uiPriority w:val="9"/>
    <w:semiHidden/>
    <w:rsid w:val="007C2A30"/>
    <w:rPr>
      <w:rFonts w:eastAsiaTheme="majorEastAsia" w:cstheme="majorBidi"/>
      <w:color w:val="595959" w:themeColor="text1" w:themeTint="A6"/>
    </w:rPr>
  </w:style>
  <w:style w:type="paragraph" w:styleId="a3">
    <w:name w:val="Title"/>
    <w:basedOn w:val="a"/>
    <w:next w:val="a"/>
    <w:link w:val="a4"/>
    <w:uiPriority w:val="10"/>
    <w:qFormat/>
    <w:rsid w:val="007C2A30"/>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7C2A30"/>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7C2A30"/>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7C2A30"/>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7C2A30"/>
    <w:pPr>
      <w:spacing w:before="160"/>
      <w:jc w:val="center"/>
    </w:pPr>
    <w:rPr>
      <w:i/>
      <w:iCs/>
      <w:color w:val="404040" w:themeColor="text1" w:themeTint="BF"/>
    </w:rPr>
  </w:style>
  <w:style w:type="character" w:customStyle="1" w:styleId="a8">
    <w:name w:val="引用 字符"/>
    <w:basedOn w:val="a0"/>
    <w:link w:val="a7"/>
    <w:uiPriority w:val="29"/>
    <w:rsid w:val="007C2A30"/>
    <w:rPr>
      <w:i/>
      <w:iCs/>
      <w:color w:val="404040" w:themeColor="text1" w:themeTint="BF"/>
    </w:rPr>
  </w:style>
  <w:style w:type="paragraph" w:styleId="a9">
    <w:name w:val="List Paragraph"/>
    <w:basedOn w:val="a"/>
    <w:uiPriority w:val="34"/>
    <w:qFormat/>
    <w:rsid w:val="007C2A30"/>
    <w:pPr>
      <w:ind w:left="720"/>
      <w:contextualSpacing/>
    </w:pPr>
  </w:style>
  <w:style w:type="character" w:styleId="aa">
    <w:name w:val="Intense Emphasis"/>
    <w:basedOn w:val="a0"/>
    <w:uiPriority w:val="21"/>
    <w:qFormat/>
    <w:rsid w:val="007C2A30"/>
    <w:rPr>
      <w:i/>
      <w:iCs/>
      <w:color w:val="0F4761" w:themeColor="accent1" w:themeShade="BF"/>
    </w:rPr>
  </w:style>
  <w:style w:type="paragraph" w:styleId="ab">
    <w:name w:val="Intense Quote"/>
    <w:basedOn w:val="a"/>
    <w:next w:val="a"/>
    <w:link w:val="ac"/>
    <w:uiPriority w:val="30"/>
    <w:qFormat/>
    <w:rsid w:val="007C2A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7C2A30"/>
    <w:rPr>
      <w:i/>
      <w:iCs/>
      <w:color w:val="0F4761" w:themeColor="accent1" w:themeShade="BF"/>
    </w:rPr>
  </w:style>
  <w:style w:type="character" w:styleId="ad">
    <w:name w:val="Intense Reference"/>
    <w:basedOn w:val="a0"/>
    <w:uiPriority w:val="32"/>
    <w:qFormat/>
    <w:rsid w:val="007C2A30"/>
    <w:rPr>
      <w:b/>
      <w:bCs/>
      <w:smallCaps/>
      <w:color w:val="0F4761" w:themeColor="accent1" w:themeShade="BF"/>
      <w:spacing w:val="5"/>
    </w:rPr>
  </w:style>
  <w:style w:type="paragraph" w:styleId="ae">
    <w:name w:val="header"/>
    <w:basedOn w:val="a"/>
    <w:link w:val="af"/>
    <w:uiPriority w:val="99"/>
    <w:unhideWhenUsed/>
    <w:rsid w:val="00E47093"/>
    <w:pPr>
      <w:tabs>
        <w:tab w:val="center" w:pos="4153"/>
        <w:tab w:val="right" w:pos="8306"/>
      </w:tabs>
      <w:snapToGrid w:val="0"/>
      <w:jc w:val="center"/>
    </w:pPr>
    <w:rPr>
      <w:sz w:val="18"/>
      <w:szCs w:val="18"/>
    </w:rPr>
  </w:style>
  <w:style w:type="character" w:customStyle="1" w:styleId="af">
    <w:name w:val="页眉 字符"/>
    <w:basedOn w:val="a0"/>
    <w:link w:val="ae"/>
    <w:uiPriority w:val="99"/>
    <w:rsid w:val="00E47093"/>
    <w:rPr>
      <w:sz w:val="18"/>
      <w:szCs w:val="18"/>
    </w:rPr>
  </w:style>
  <w:style w:type="paragraph" w:styleId="af0">
    <w:name w:val="footer"/>
    <w:basedOn w:val="a"/>
    <w:link w:val="af1"/>
    <w:uiPriority w:val="99"/>
    <w:unhideWhenUsed/>
    <w:rsid w:val="00E47093"/>
    <w:pPr>
      <w:tabs>
        <w:tab w:val="center" w:pos="4153"/>
        <w:tab w:val="right" w:pos="8306"/>
      </w:tabs>
      <w:snapToGrid w:val="0"/>
    </w:pPr>
    <w:rPr>
      <w:sz w:val="18"/>
      <w:szCs w:val="18"/>
    </w:rPr>
  </w:style>
  <w:style w:type="character" w:customStyle="1" w:styleId="af1">
    <w:name w:val="页脚 字符"/>
    <w:basedOn w:val="a0"/>
    <w:link w:val="af0"/>
    <w:uiPriority w:val="99"/>
    <w:rsid w:val="00E47093"/>
    <w:rPr>
      <w:sz w:val="18"/>
      <w:szCs w:val="18"/>
    </w:rPr>
  </w:style>
  <w:style w:type="paragraph" w:styleId="TOC">
    <w:name w:val="TOC Heading"/>
    <w:basedOn w:val="1"/>
    <w:next w:val="a"/>
    <w:uiPriority w:val="39"/>
    <w:unhideWhenUsed/>
    <w:qFormat/>
    <w:rsid w:val="00E47093"/>
    <w:pPr>
      <w:spacing w:before="240" w:after="0"/>
      <w:outlineLvl w:val="9"/>
    </w:pPr>
    <w:rPr>
      <w:rFonts w:ascii="Arial" w:hAnsi="Arial"/>
      <w:sz w:val="32"/>
      <w:szCs w:val="32"/>
    </w:rPr>
  </w:style>
  <w:style w:type="paragraph" w:styleId="TOC1">
    <w:name w:val="toc 1"/>
    <w:basedOn w:val="a"/>
    <w:next w:val="a"/>
    <w:autoRedefine/>
    <w:uiPriority w:val="39"/>
    <w:unhideWhenUsed/>
    <w:rsid w:val="00E47093"/>
  </w:style>
  <w:style w:type="paragraph" w:styleId="TOC2">
    <w:name w:val="toc 2"/>
    <w:basedOn w:val="a"/>
    <w:next w:val="a"/>
    <w:autoRedefine/>
    <w:uiPriority w:val="39"/>
    <w:unhideWhenUsed/>
    <w:rsid w:val="00E47093"/>
    <w:pPr>
      <w:ind w:leftChars="200" w:left="420"/>
    </w:pPr>
  </w:style>
  <w:style w:type="character" w:styleId="af2">
    <w:name w:val="Hyperlink"/>
    <w:basedOn w:val="a0"/>
    <w:uiPriority w:val="99"/>
    <w:unhideWhenUsed/>
    <w:rsid w:val="00E4709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3254</Words>
  <Characters>18550</Characters>
  <Application>Microsoft Office Word</Application>
  <DocSecurity>0</DocSecurity>
  <Lines>154</Lines>
  <Paragraphs>43</Paragraphs>
  <ScaleCrop>false</ScaleCrop>
  <Company/>
  <LinksUpToDate>false</LinksUpToDate>
  <CharactersWithSpaces>21761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阳 杨</dc:creator>
  <cp:keywords/>
  <dc:description/>
  <cp:lastModifiedBy>阳 杨</cp:lastModifiedBy>
  <cp:revision>2</cp:revision>
  <dcterms:created xsi:type="dcterms:W3CDTF">2025-03-20T17:34:00Z</dcterms:created>
  <dcterms:modified xsi:type="dcterms:W3CDTF">2025-03-20T17:35:00Z</dcterms:modified>
</cp:coreProperties>
</file>