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E165A" w:rsidRDefault="003E165A" w:rsidP="003E165A">
      <w:pPr>
        <w:spacing w:line="480" w:lineRule="auto"/>
        <w:jc w:val="left"/>
      </w:pPr>
    </w:p>
    <w:p w:rsidR="003E165A" w:rsidRDefault="003E165A" w:rsidP="003E165A">
      <w:pPr>
        <w:spacing w:line="480" w:lineRule="auto"/>
        <w:jc w:val="left"/>
      </w:pPr>
    </w:p>
    <w:p w:rsidR="003E165A" w:rsidRDefault="003E165A" w:rsidP="003E165A">
      <w:pPr>
        <w:spacing w:line="480" w:lineRule="auto"/>
        <w:jc w:val="left"/>
      </w:pPr>
    </w:p>
    <w:p w:rsidR="003E165A" w:rsidRDefault="003E165A" w:rsidP="003E165A">
      <w:pPr>
        <w:spacing w:line="480" w:lineRule="auto"/>
        <w:jc w:val="left"/>
      </w:pPr>
    </w:p>
    <w:p w:rsidR="003E165A" w:rsidRDefault="003E165A" w:rsidP="003E165A">
      <w:pPr>
        <w:spacing w:line="480" w:lineRule="auto"/>
        <w:jc w:val="left"/>
      </w:pPr>
    </w:p>
    <w:p w:rsidR="003E165A" w:rsidRDefault="003E165A" w:rsidP="003E165A">
      <w:pPr>
        <w:spacing w:line="480" w:lineRule="auto"/>
        <w:jc w:val="left"/>
      </w:pPr>
    </w:p>
    <w:p w:rsidR="003E165A" w:rsidRDefault="003E165A" w:rsidP="003E165A">
      <w:pPr>
        <w:spacing w:line="480" w:lineRule="auto"/>
        <w:jc w:val="left"/>
      </w:pPr>
    </w:p>
    <w:p w:rsidR="003E165A" w:rsidRDefault="003E165A" w:rsidP="003E165A">
      <w:pPr>
        <w:spacing w:line="480" w:lineRule="auto"/>
        <w:jc w:val="left"/>
      </w:pPr>
    </w:p>
    <w:p w:rsidR="003E165A" w:rsidRDefault="003E165A" w:rsidP="00170CBA">
      <w:pPr>
        <w:spacing w:line="480" w:lineRule="auto"/>
      </w:pPr>
      <w:r>
        <w:rPr>
          <w:i/>
        </w:rPr>
        <w:t>LEX DE GALLIA CISALPINA</w:t>
      </w:r>
      <w:r>
        <w:t>: A SMALL STEP TO A UNIFIED, ROMAN ITALY</w:t>
      </w:r>
    </w:p>
    <w:p w:rsidR="003E165A" w:rsidRDefault="003E165A" w:rsidP="003E165A">
      <w:pPr>
        <w:spacing w:line="480" w:lineRule="auto"/>
      </w:pPr>
      <w:r>
        <w:t>By David Bonagura</w:t>
      </w:r>
    </w:p>
    <w:p w:rsidR="003E165A" w:rsidRDefault="003E165A" w:rsidP="003E165A">
      <w:pPr>
        <w:spacing w:line="480" w:lineRule="auto"/>
        <w:jc w:val="left"/>
      </w:pPr>
    </w:p>
    <w:p w:rsidR="00170CBA" w:rsidRDefault="00170CBA" w:rsidP="003E165A">
      <w:pPr>
        <w:spacing w:line="480" w:lineRule="auto"/>
        <w:jc w:val="left"/>
      </w:pPr>
    </w:p>
    <w:p w:rsidR="00170CBA" w:rsidRDefault="00170CBA" w:rsidP="003E165A">
      <w:pPr>
        <w:spacing w:line="480" w:lineRule="auto"/>
        <w:jc w:val="left"/>
      </w:pPr>
    </w:p>
    <w:p w:rsidR="003E165A" w:rsidRDefault="003E165A" w:rsidP="003E165A">
      <w:pPr>
        <w:spacing w:line="480" w:lineRule="auto"/>
      </w:pPr>
      <w:r>
        <w:t>CLLA 7036: Advanced Latin Prose: Epigraphy</w:t>
      </w:r>
    </w:p>
    <w:p w:rsidR="00170CBA" w:rsidRDefault="00170CBA" w:rsidP="003E165A">
      <w:pPr>
        <w:spacing w:line="480" w:lineRule="auto"/>
      </w:pPr>
      <w:r>
        <w:t xml:space="preserve">Dr. Ralph </w:t>
      </w:r>
      <w:proofErr w:type="spellStart"/>
      <w:r>
        <w:t>Haeussler</w:t>
      </w:r>
      <w:proofErr w:type="spellEnd"/>
    </w:p>
    <w:p w:rsidR="00170CBA" w:rsidRDefault="00170CBA" w:rsidP="003E165A">
      <w:pPr>
        <w:spacing w:line="480" w:lineRule="auto"/>
      </w:pPr>
      <w:r>
        <w:t>University of Wales Trinity Saint David</w:t>
      </w:r>
    </w:p>
    <w:p w:rsidR="00170CBA" w:rsidRDefault="00170CBA" w:rsidP="003E165A">
      <w:pPr>
        <w:spacing w:line="480" w:lineRule="auto"/>
      </w:pPr>
      <w:r>
        <w:t>Lampeter</w:t>
      </w:r>
      <w:r w:rsidR="00A84914">
        <w:t>, Wales</w:t>
      </w:r>
    </w:p>
    <w:p w:rsidR="00170CBA" w:rsidRPr="003E165A" w:rsidRDefault="00170CBA" w:rsidP="003E165A">
      <w:pPr>
        <w:spacing w:line="480" w:lineRule="auto"/>
      </w:pPr>
      <w:r>
        <w:t>December 2, 2017</w:t>
      </w:r>
    </w:p>
    <w:p w:rsidR="003E165A" w:rsidRDefault="003E165A" w:rsidP="003E165A">
      <w:pPr>
        <w:spacing w:line="480" w:lineRule="auto"/>
        <w:jc w:val="left"/>
      </w:pPr>
    </w:p>
    <w:p w:rsidR="003E165A" w:rsidRDefault="003E165A" w:rsidP="003E165A">
      <w:pPr>
        <w:spacing w:line="480" w:lineRule="auto"/>
        <w:jc w:val="left"/>
      </w:pPr>
    </w:p>
    <w:p w:rsidR="003E165A" w:rsidRDefault="003E165A" w:rsidP="003E165A">
      <w:pPr>
        <w:spacing w:line="480" w:lineRule="auto"/>
        <w:jc w:val="left"/>
      </w:pPr>
    </w:p>
    <w:p w:rsidR="00A84914" w:rsidRDefault="00A84914" w:rsidP="003E165A">
      <w:pPr>
        <w:spacing w:line="480" w:lineRule="auto"/>
        <w:jc w:val="left"/>
      </w:pPr>
    </w:p>
    <w:p w:rsidR="00170CBA" w:rsidRDefault="00170CBA" w:rsidP="003E165A">
      <w:pPr>
        <w:spacing w:line="480" w:lineRule="auto"/>
        <w:jc w:val="left"/>
      </w:pPr>
    </w:p>
    <w:p w:rsidR="003E165A" w:rsidRDefault="003E165A" w:rsidP="00A7509D">
      <w:pPr>
        <w:rPr>
          <w:i/>
        </w:rPr>
      </w:pPr>
    </w:p>
    <w:p w:rsidR="00E22AEE" w:rsidRDefault="00E22AEE" w:rsidP="00A7509D">
      <w:r w:rsidRPr="00E22AEE">
        <w:rPr>
          <w:i/>
        </w:rPr>
        <w:t xml:space="preserve">Lex de Gallia </w:t>
      </w:r>
      <w:proofErr w:type="spellStart"/>
      <w:r w:rsidRPr="00E22AEE">
        <w:rPr>
          <w:i/>
        </w:rPr>
        <w:t>Cisalpina</w:t>
      </w:r>
      <w:proofErr w:type="spellEnd"/>
      <w:r>
        <w:t>: A Small Step to a Unified, Roman Italy</w:t>
      </w:r>
    </w:p>
    <w:p w:rsidR="00E22AEE" w:rsidRDefault="00E22AEE" w:rsidP="00E22AEE">
      <w:pPr>
        <w:jc w:val="left"/>
      </w:pPr>
    </w:p>
    <w:p w:rsidR="00E22AEE" w:rsidRDefault="00E22AEE" w:rsidP="00E46D79">
      <w:pPr>
        <w:spacing w:line="480" w:lineRule="auto"/>
        <w:jc w:val="left"/>
      </w:pPr>
      <w:r>
        <w:tab/>
        <w:t xml:space="preserve">The surviving sections of the </w:t>
      </w:r>
      <w:r>
        <w:rPr>
          <w:i/>
        </w:rPr>
        <w:t>Lex (</w:t>
      </w:r>
      <w:proofErr w:type="spellStart"/>
      <w:r>
        <w:rPr>
          <w:i/>
        </w:rPr>
        <w:t>Rubria</w:t>
      </w:r>
      <w:proofErr w:type="spellEnd"/>
      <w:r>
        <w:rPr>
          <w:i/>
        </w:rPr>
        <w:t xml:space="preserve">) </w:t>
      </w:r>
      <w:r w:rsidR="00E74893">
        <w:rPr>
          <w:i/>
        </w:rPr>
        <w:t xml:space="preserve">de </w:t>
      </w:r>
      <w:r>
        <w:rPr>
          <w:i/>
        </w:rPr>
        <w:t xml:space="preserve">Gallia </w:t>
      </w:r>
      <w:proofErr w:type="spellStart"/>
      <w:r>
        <w:rPr>
          <w:i/>
        </w:rPr>
        <w:t>Cisalpina</w:t>
      </w:r>
      <w:proofErr w:type="spellEnd"/>
      <w:r w:rsidRPr="00E22AEE">
        <w:rPr>
          <w:rStyle w:val="FootnoteReference"/>
        </w:rPr>
        <w:footnoteReference w:id="1"/>
      </w:r>
      <w:r>
        <w:t xml:space="preserve"> discovered in </w:t>
      </w:r>
      <w:proofErr w:type="spellStart"/>
      <w:r>
        <w:t>Veleia</w:t>
      </w:r>
      <w:proofErr w:type="spellEnd"/>
      <w:r>
        <w:t xml:space="preserve"> in 1760 </w:t>
      </w:r>
      <w:r w:rsidR="007446F8">
        <w:t xml:space="preserve">express statutes for civil law in Cisalpine Gaul in regard to </w:t>
      </w:r>
      <w:r w:rsidR="00C53854">
        <w:t>cases concerning debtors</w:t>
      </w:r>
      <w:r w:rsidR="001377E6">
        <w:t xml:space="preserve"> and other civil issues</w:t>
      </w:r>
      <w:r w:rsidR="00C53854">
        <w:t>.</w:t>
      </w:r>
      <w:r w:rsidR="00C53854">
        <w:rPr>
          <w:rStyle w:val="FootnoteReference"/>
        </w:rPr>
        <w:footnoteReference w:id="2"/>
      </w:r>
      <w:r w:rsidR="00C53854">
        <w:t xml:space="preserve"> </w:t>
      </w:r>
      <w:r w:rsidR="00E74893">
        <w:t xml:space="preserve">The law was enacted </w:t>
      </w:r>
      <w:r w:rsidR="001678F9">
        <w:t xml:space="preserve">at some point </w:t>
      </w:r>
      <w:r w:rsidR="00E74893">
        <w:t xml:space="preserve">after citizenship was granted to Cisalpine Gaul </w:t>
      </w:r>
      <w:r w:rsidR="00AA0454">
        <w:t xml:space="preserve">north of the River Po </w:t>
      </w:r>
      <w:r w:rsidR="00E74893">
        <w:t xml:space="preserve">in 49 BC. Conclusions can be drawn from the content of the laws that provide insights into how the various individual towns were, slowly, beginning to form a unified Italy. </w:t>
      </w:r>
      <w:r w:rsidR="00733353">
        <w:t xml:space="preserve">It is noteworthy that depending on when one dates the </w:t>
      </w:r>
      <w:proofErr w:type="spellStart"/>
      <w:r w:rsidR="00733353">
        <w:rPr>
          <w:i/>
        </w:rPr>
        <w:t>lex</w:t>
      </w:r>
      <w:proofErr w:type="spellEnd"/>
      <w:r w:rsidR="00733353">
        <w:t xml:space="preserve">—to 49 BC, immediately after the grant of citizenship; or to 41 BC, after </w:t>
      </w:r>
      <w:proofErr w:type="spellStart"/>
      <w:r w:rsidR="00733353">
        <w:t>Cisapline</w:t>
      </w:r>
      <w:proofErr w:type="spellEnd"/>
      <w:r w:rsidR="00733353">
        <w:t xml:space="preserve"> Gaul lost its provincial status—one can interpret</w:t>
      </w:r>
      <w:r w:rsidR="001377E6">
        <w:t xml:space="preserve"> its</w:t>
      </w:r>
      <w:r w:rsidR="00733353">
        <w:t xml:space="preserve"> impact in contributing to a unified Italy with different accents: either as </w:t>
      </w:r>
      <w:r w:rsidR="00E131EC">
        <w:t xml:space="preserve">a step in putting Cisalpine </w:t>
      </w:r>
      <w:proofErr w:type="spellStart"/>
      <w:r w:rsidR="00E131EC">
        <w:rPr>
          <w:i/>
        </w:rPr>
        <w:t>municipia</w:t>
      </w:r>
      <w:proofErr w:type="spellEnd"/>
      <w:r w:rsidR="00E131EC">
        <w:t xml:space="preserve"> on a more even playing field with Rome (earlier date), or as the first step in the eventual establishment of imperial administration of the empire</w:t>
      </w:r>
      <w:r w:rsidR="003E45D4">
        <w:t xml:space="preserve"> (later date)</w:t>
      </w:r>
      <w:r w:rsidR="00E131EC">
        <w:t>. The two accents are complementary</w:t>
      </w:r>
      <w:r w:rsidR="003E45D4">
        <w:t>, not</w:t>
      </w:r>
      <w:r w:rsidR="00AA0454">
        <w:t xml:space="preserve"> </w:t>
      </w:r>
      <w:r w:rsidR="00E131EC">
        <w:t>adversarial.</w:t>
      </w:r>
    </w:p>
    <w:p w:rsidR="001678F9" w:rsidRDefault="001678F9" w:rsidP="00E46D79">
      <w:pPr>
        <w:spacing w:line="480" w:lineRule="auto"/>
        <w:jc w:val="left"/>
        <w:rPr>
          <w:rFonts w:cs="Times New Roman"/>
        </w:rPr>
      </w:pPr>
      <w:r>
        <w:tab/>
        <w:t>The granting of citizenship to Cisalpine Gaul followed a trend of earlier grants of citizenship to allied communities in the preceding decades. David Potter notes that the events surrounding Tiberius Gracchus in 133 BC w</w:t>
      </w:r>
      <w:r w:rsidR="003E45D4">
        <w:t>ere</w:t>
      </w:r>
      <w:r>
        <w:t xml:space="preserve"> the impetus for enacting and posting laws in the Italian communities; there is no record of such public texts before then, and the trend came to an end with the beginning of the imperial period.</w:t>
      </w:r>
      <w:r>
        <w:rPr>
          <w:rStyle w:val="FootnoteReference"/>
        </w:rPr>
        <w:footnoteReference w:id="3"/>
      </w:r>
      <w:r w:rsidR="00195336">
        <w:t xml:space="preserve"> For Potter, this fact suggests two conclusions: first, that there was an interest in specifying the duties of Roman officials, including the limits on their power; and, second, the </w:t>
      </w:r>
      <w:r w:rsidR="00195336">
        <w:rPr>
          <w:rFonts w:cs="Times New Roman"/>
        </w:rPr>
        <w:t xml:space="preserve">élite in these Italian communities had an interest in the practical </w:t>
      </w:r>
      <w:r w:rsidR="00195336">
        <w:rPr>
          <w:rFonts w:cs="Times New Roman"/>
        </w:rPr>
        <w:lastRenderedPageBreak/>
        <w:t>means of Roman governance.</w:t>
      </w:r>
      <w:r w:rsidR="00195336">
        <w:rPr>
          <w:rStyle w:val="FootnoteReference"/>
          <w:rFonts w:cs="Times New Roman"/>
        </w:rPr>
        <w:footnoteReference w:id="4"/>
      </w:r>
      <w:r w:rsidR="00195336">
        <w:rPr>
          <w:rFonts w:cs="Times New Roman"/>
        </w:rPr>
        <w:t xml:space="preserve"> Both of these factors are present in the </w:t>
      </w:r>
      <w:r w:rsidR="00195336">
        <w:rPr>
          <w:rFonts w:cs="Times New Roman"/>
          <w:i/>
        </w:rPr>
        <w:t xml:space="preserve">Lex de Gallia </w:t>
      </w:r>
      <w:proofErr w:type="spellStart"/>
      <w:r w:rsidR="00195336">
        <w:rPr>
          <w:rFonts w:cs="Times New Roman"/>
          <w:i/>
        </w:rPr>
        <w:t>Cisalpina</w:t>
      </w:r>
      <w:proofErr w:type="spellEnd"/>
      <w:r w:rsidR="00195336">
        <w:rPr>
          <w:rFonts w:cs="Times New Roman"/>
        </w:rPr>
        <w:t xml:space="preserve">, as will be seen below. </w:t>
      </w:r>
    </w:p>
    <w:p w:rsidR="00F172BD" w:rsidRDefault="00F172BD" w:rsidP="00E46D79">
      <w:pPr>
        <w:spacing w:line="480" w:lineRule="auto"/>
        <w:jc w:val="left"/>
        <w:rPr>
          <w:rFonts w:cs="Times New Roman"/>
        </w:rPr>
      </w:pPr>
      <w:r>
        <w:rPr>
          <w:rFonts w:cs="Times New Roman"/>
        </w:rPr>
        <w:tab/>
        <w:t>In the decades after 133 BC</w:t>
      </w:r>
      <w:r w:rsidR="003E45D4">
        <w:rPr>
          <w:rFonts w:cs="Times New Roman"/>
        </w:rPr>
        <w:t>,</w:t>
      </w:r>
      <w:r>
        <w:rPr>
          <w:rFonts w:cs="Times New Roman"/>
        </w:rPr>
        <w:t xml:space="preserve"> tensions existed between the Italian communities and Roman natives; occasionally, the</w:t>
      </w:r>
      <w:r w:rsidR="00AA0454">
        <w:rPr>
          <w:rFonts w:cs="Times New Roman"/>
        </w:rPr>
        <w:t>se hostilities</w:t>
      </w:r>
      <w:r>
        <w:rPr>
          <w:rFonts w:cs="Times New Roman"/>
        </w:rPr>
        <w:t xml:space="preserve"> broke out into violence. Mary Beard explains that, </w:t>
      </w:r>
      <w:r w:rsidR="00AA0454">
        <w:rPr>
          <w:rFonts w:cs="Times New Roman"/>
        </w:rPr>
        <w:t>while</w:t>
      </w:r>
      <w:r>
        <w:rPr>
          <w:rFonts w:cs="Times New Roman"/>
        </w:rPr>
        <w:t xml:space="preserve"> certain Italian communities </w:t>
      </w:r>
      <w:r w:rsidR="00AA0454">
        <w:rPr>
          <w:rFonts w:cs="Times New Roman"/>
        </w:rPr>
        <w:t xml:space="preserve">were </w:t>
      </w:r>
      <w:r>
        <w:rPr>
          <w:rFonts w:cs="Times New Roman"/>
        </w:rPr>
        <w:t>react</w:t>
      </w:r>
      <w:r w:rsidR="00AA0454">
        <w:rPr>
          <w:rFonts w:cs="Times New Roman"/>
        </w:rPr>
        <w:t>ing</w:t>
      </w:r>
      <w:r>
        <w:rPr>
          <w:rFonts w:cs="Times New Roman"/>
        </w:rPr>
        <w:t xml:space="preserve"> </w:t>
      </w:r>
      <w:r w:rsidR="00AA0454">
        <w:rPr>
          <w:rFonts w:cs="Times New Roman"/>
        </w:rPr>
        <w:t xml:space="preserve">against </w:t>
      </w:r>
      <w:r>
        <w:rPr>
          <w:rFonts w:cs="Times New Roman"/>
        </w:rPr>
        <w:t>Roman rule</w:t>
      </w:r>
      <w:r w:rsidR="00AA0454">
        <w:rPr>
          <w:rFonts w:cs="Times New Roman"/>
        </w:rPr>
        <w:t>,</w:t>
      </w:r>
      <w:r w:rsidR="008D7B22">
        <w:rPr>
          <w:rFonts w:cs="Times New Roman"/>
        </w:rPr>
        <w:t xml:space="preserve"> in Rome</w:t>
      </w:r>
      <w:r w:rsidR="00AA0454">
        <w:rPr>
          <w:rFonts w:cs="Times New Roman"/>
        </w:rPr>
        <w:t xml:space="preserve"> </w:t>
      </w:r>
      <w:r w:rsidR="00A13B99">
        <w:rPr>
          <w:rFonts w:cs="Times New Roman"/>
        </w:rPr>
        <w:t>‘</w:t>
      </w:r>
      <w:r w:rsidR="008D7B22">
        <w:rPr>
          <w:rFonts w:cs="Times New Roman"/>
        </w:rPr>
        <w:t>fear about outsiders flooding into the city were whipped up in a way familiar from many modern campaigns of xenophobia.</w:t>
      </w:r>
      <w:r w:rsidR="00A13B99">
        <w:rPr>
          <w:rFonts w:cs="Times New Roman"/>
        </w:rPr>
        <w:t>’</w:t>
      </w:r>
      <w:r w:rsidR="008D7B22">
        <w:rPr>
          <w:rStyle w:val="FootnoteReference"/>
          <w:rFonts w:cs="Times New Roman"/>
        </w:rPr>
        <w:footnoteReference w:id="5"/>
      </w:r>
      <w:r w:rsidR="008D7B22">
        <w:rPr>
          <w:rFonts w:cs="Times New Roman"/>
        </w:rPr>
        <w:t xml:space="preserve"> These tension</w:t>
      </w:r>
      <w:r w:rsidR="007E54F3">
        <w:rPr>
          <w:rFonts w:cs="Times New Roman"/>
        </w:rPr>
        <w:t>s</w:t>
      </w:r>
      <w:r w:rsidR="008D7B22">
        <w:rPr>
          <w:rFonts w:cs="Times New Roman"/>
        </w:rPr>
        <w:t xml:space="preserve"> broke out into a </w:t>
      </w:r>
      <w:r w:rsidR="007E54F3">
        <w:rPr>
          <w:rFonts w:cs="Times New Roman"/>
        </w:rPr>
        <w:t>full-blown</w:t>
      </w:r>
      <w:r w:rsidR="008D7B22">
        <w:rPr>
          <w:rFonts w:cs="Times New Roman"/>
        </w:rPr>
        <w:t xml:space="preserve"> war between Rome and many of the Italian allies in 91 BC following the murder of M. </w:t>
      </w:r>
      <w:proofErr w:type="spellStart"/>
      <w:r w:rsidR="008D7B22">
        <w:rPr>
          <w:rFonts w:cs="Times New Roman"/>
        </w:rPr>
        <w:t>Livius</w:t>
      </w:r>
      <w:proofErr w:type="spellEnd"/>
      <w:r w:rsidR="008D7B22">
        <w:rPr>
          <w:rFonts w:cs="Times New Roman"/>
        </w:rPr>
        <w:t xml:space="preserve"> Drusus, who, as tribune, had proposed a law granting Roman citizenship to these allies. The fierce fighting in this Social War continued until the Romans proposed two bills, first in late 90 BC and then in 89, granting citizenship to, first, Italians who had remained loyal to Rome or who would lay down their arms, and, second, to all free </w:t>
      </w:r>
      <w:r w:rsidR="007E54F3">
        <w:rPr>
          <w:rFonts w:cs="Times New Roman"/>
        </w:rPr>
        <w:t>persons in the allied communities.</w:t>
      </w:r>
      <w:r w:rsidR="007E54F3">
        <w:rPr>
          <w:rStyle w:val="FootnoteReference"/>
          <w:rFonts w:cs="Times New Roman"/>
        </w:rPr>
        <w:footnoteReference w:id="6"/>
      </w:r>
      <w:r w:rsidR="007E54F3">
        <w:rPr>
          <w:rFonts w:cs="Times New Roman"/>
        </w:rPr>
        <w:t xml:space="preserve"> A third bill of 89, the </w:t>
      </w:r>
      <w:r w:rsidR="007E54F3">
        <w:rPr>
          <w:rFonts w:cs="Times New Roman"/>
          <w:i/>
        </w:rPr>
        <w:t xml:space="preserve">Lex </w:t>
      </w:r>
      <w:proofErr w:type="spellStart"/>
      <w:r w:rsidR="007E54F3">
        <w:rPr>
          <w:rFonts w:cs="Times New Roman"/>
          <w:i/>
        </w:rPr>
        <w:t>Pompeia</w:t>
      </w:r>
      <w:proofErr w:type="spellEnd"/>
      <w:r w:rsidR="007E54F3">
        <w:rPr>
          <w:rFonts w:cs="Times New Roman"/>
        </w:rPr>
        <w:t>, conferred citizenship to all free persons in Cisalpine Gaul living south of the River Po, and Latin rights to those living north of the Po.</w:t>
      </w:r>
      <w:r w:rsidR="007E54F3">
        <w:rPr>
          <w:rStyle w:val="FootnoteReference"/>
          <w:rFonts w:cs="Times New Roman"/>
        </w:rPr>
        <w:footnoteReference w:id="7"/>
      </w:r>
    </w:p>
    <w:p w:rsidR="00943256" w:rsidRDefault="00943256" w:rsidP="00E46D79">
      <w:pPr>
        <w:spacing w:line="480" w:lineRule="auto"/>
        <w:jc w:val="left"/>
        <w:rPr>
          <w:rFonts w:cs="Times New Roman"/>
        </w:rPr>
      </w:pPr>
      <w:r>
        <w:rPr>
          <w:rFonts w:cs="Times New Roman"/>
        </w:rPr>
        <w:tab/>
        <w:t>The Social War had great consequences for Rome and for Italy</w:t>
      </w:r>
      <w:r w:rsidR="001377E6">
        <w:rPr>
          <w:rFonts w:cs="Times New Roman"/>
        </w:rPr>
        <w:t>.</w:t>
      </w:r>
      <w:r>
        <w:rPr>
          <w:rFonts w:cs="Times New Roman"/>
        </w:rPr>
        <w:t xml:space="preserve"> Potter goes so far to declare the war </w:t>
      </w:r>
      <w:r w:rsidR="00A13B99">
        <w:rPr>
          <w:rFonts w:cs="Times New Roman"/>
        </w:rPr>
        <w:t>‘</w:t>
      </w:r>
      <w:r>
        <w:rPr>
          <w:rFonts w:cs="Times New Roman"/>
        </w:rPr>
        <w:t>the end of the traditional Republic</w:t>
      </w:r>
      <w:r w:rsidR="00A13B99">
        <w:rPr>
          <w:rFonts w:cs="Times New Roman"/>
        </w:rPr>
        <w:t>’</w:t>
      </w:r>
      <w:r>
        <w:rPr>
          <w:rFonts w:cs="Times New Roman"/>
        </w:rPr>
        <w:t xml:space="preserve"> because the </w:t>
      </w:r>
      <w:r w:rsidR="00A13B99">
        <w:rPr>
          <w:rFonts w:cs="Times New Roman"/>
        </w:rPr>
        <w:t>‘</w:t>
      </w:r>
      <w:r>
        <w:rPr>
          <w:rFonts w:cs="Times New Roman"/>
        </w:rPr>
        <w:t>traditional structure of Roman Italy based on treaties of long standing thus came to an end.</w:t>
      </w:r>
      <w:r w:rsidR="00A13B99">
        <w:rPr>
          <w:rFonts w:cs="Times New Roman"/>
        </w:rPr>
        <w:t>’</w:t>
      </w:r>
      <w:r>
        <w:rPr>
          <w:rStyle w:val="FootnoteReference"/>
          <w:rFonts w:cs="Times New Roman"/>
        </w:rPr>
        <w:footnoteReference w:id="8"/>
      </w:r>
      <w:r>
        <w:rPr>
          <w:rFonts w:cs="Times New Roman"/>
        </w:rPr>
        <w:t xml:space="preserve"> Beard concurs </w:t>
      </w:r>
      <w:r w:rsidR="003E45D4">
        <w:rPr>
          <w:rFonts w:cs="Times New Roman"/>
        </w:rPr>
        <w:t xml:space="preserve">that the war’s effects were </w:t>
      </w:r>
      <w:r w:rsidR="00A13B99">
        <w:rPr>
          <w:rFonts w:cs="Times New Roman"/>
        </w:rPr>
        <w:t>‘</w:t>
      </w:r>
      <w:r>
        <w:rPr>
          <w:rFonts w:cs="Times New Roman"/>
        </w:rPr>
        <w:t>dramatic</w:t>
      </w:r>
      <w:r w:rsidR="003E45D4">
        <w:rPr>
          <w:rFonts w:cs="Times New Roman"/>
        </w:rPr>
        <w:t>,</w:t>
      </w:r>
      <w:r w:rsidR="00A13B99">
        <w:rPr>
          <w:rFonts w:cs="Times New Roman"/>
        </w:rPr>
        <w:t>’</w:t>
      </w:r>
      <w:r>
        <w:rPr>
          <w:rFonts w:cs="Times New Roman"/>
        </w:rPr>
        <w:t xml:space="preserve"> and </w:t>
      </w:r>
      <w:r w:rsidR="003E45D4">
        <w:rPr>
          <w:rFonts w:cs="Times New Roman"/>
        </w:rPr>
        <w:t xml:space="preserve">she </w:t>
      </w:r>
      <w:r>
        <w:rPr>
          <w:rFonts w:cs="Times New Roman"/>
        </w:rPr>
        <w:t xml:space="preserve">takes Potter’s analysis a step further: </w:t>
      </w:r>
      <w:r w:rsidR="00A13B99">
        <w:rPr>
          <w:rFonts w:cs="Times New Roman"/>
        </w:rPr>
        <w:t>‘</w:t>
      </w:r>
      <w:r>
        <w:rPr>
          <w:rFonts w:cs="Times New Roman"/>
        </w:rPr>
        <w:t xml:space="preserve">Italy was now the closest thing to a nation state that the classical world ever knew, and the principle…that </w:t>
      </w:r>
      <w:r w:rsidR="00AA0454">
        <w:rPr>
          <w:rFonts w:cs="Times New Roman"/>
        </w:rPr>
        <w:t>“</w:t>
      </w:r>
      <w:r>
        <w:rPr>
          <w:rFonts w:cs="Times New Roman"/>
        </w:rPr>
        <w:t>Romans</w:t>
      </w:r>
      <w:r w:rsidR="00AA0454">
        <w:rPr>
          <w:rFonts w:cs="Times New Roman"/>
        </w:rPr>
        <w:t>”</w:t>
      </w:r>
      <w:r>
        <w:rPr>
          <w:rFonts w:cs="Times New Roman"/>
        </w:rPr>
        <w:t xml:space="preserve"> </w:t>
      </w:r>
      <w:r>
        <w:rPr>
          <w:rFonts w:cs="Times New Roman"/>
        </w:rPr>
        <w:lastRenderedPageBreak/>
        <w:t>could have dual citizenship and two civic identities, that of Rome and that of their home town, became the norm.</w:t>
      </w:r>
      <w:r w:rsidR="00A13B99">
        <w:rPr>
          <w:rFonts w:cs="Times New Roman"/>
        </w:rPr>
        <w:t>’</w:t>
      </w:r>
      <w:r>
        <w:rPr>
          <w:rStyle w:val="FootnoteReference"/>
          <w:rFonts w:cs="Times New Roman"/>
        </w:rPr>
        <w:footnoteReference w:id="9"/>
      </w:r>
      <w:r w:rsidR="009B32AF">
        <w:rPr>
          <w:rFonts w:cs="Times New Roman"/>
        </w:rPr>
        <w:t xml:space="preserve"> With the end of the Social War, the march to a unified Italy had begun.</w:t>
      </w:r>
    </w:p>
    <w:p w:rsidR="005A7F56" w:rsidRDefault="00CE247D" w:rsidP="00E46D79">
      <w:pPr>
        <w:spacing w:line="480" w:lineRule="auto"/>
        <w:jc w:val="left"/>
        <w:rPr>
          <w:rFonts w:cs="Times New Roman"/>
        </w:rPr>
      </w:pPr>
      <w:r>
        <w:rPr>
          <w:rFonts w:cs="Times New Roman"/>
        </w:rPr>
        <w:tab/>
        <w:t xml:space="preserve">Into this background falls the </w:t>
      </w:r>
      <w:r>
        <w:rPr>
          <w:rFonts w:cs="Times New Roman"/>
          <w:i/>
        </w:rPr>
        <w:t xml:space="preserve">Lex de Gallia </w:t>
      </w:r>
      <w:proofErr w:type="spellStart"/>
      <w:r>
        <w:rPr>
          <w:rFonts w:cs="Times New Roman"/>
          <w:i/>
        </w:rPr>
        <w:t>Cisalpina</w:t>
      </w:r>
      <w:proofErr w:type="spellEnd"/>
      <w:r w:rsidR="009B5881">
        <w:rPr>
          <w:rFonts w:cs="Times New Roman"/>
        </w:rPr>
        <w:t xml:space="preserve">. Ralph </w:t>
      </w:r>
      <w:proofErr w:type="spellStart"/>
      <w:r w:rsidR="009B5881">
        <w:rPr>
          <w:rFonts w:cs="Times New Roman"/>
        </w:rPr>
        <w:t>Haeussler</w:t>
      </w:r>
      <w:proofErr w:type="spellEnd"/>
      <w:r w:rsidR="009B5881">
        <w:rPr>
          <w:rFonts w:cs="Times New Roman"/>
        </w:rPr>
        <w:t xml:space="preserve"> </w:t>
      </w:r>
      <w:r w:rsidR="001377E6">
        <w:rPr>
          <w:rFonts w:cs="Times New Roman"/>
        </w:rPr>
        <w:t>notes</w:t>
      </w:r>
      <w:r w:rsidR="009B5881">
        <w:rPr>
          <w:rFonts w:cs="Times New Roman"/>
        </w:rPr>
        <w:t xml:space="preserve"> that following the </w:t>
      </w:r>
      <w:r w:rsidR="009B5881">
        <w:rPr>
          <w:rFonts w:cs="Times New Roman"/>
          <w:i/>
        </w:rPr>
        <w:t xml:space="preserve">Lex </w:t>
      </w:r>
      <w:proofErr w:type="spellStart"/>
      <w:r w:rsidR="009B5881">
        <w:rPr>
          <w:rFonts w:cs="Times New Roman"/>
          <w:i/>
        </w:rPr>
        <w:t>Pompeia</w:t>
      </w:r>
      <w:proofErr w:type="spellEnd"/>
      <w:r w:rsidR="009B5881">
        <w:rPr>
          <w:rFonts w:cs="Times New Roman"/>
        </w:rPr>
        <w:t xml:space="preserve">, Cisalpine Gaul was administered as a province whose communities possessed varying legal statuses, and a Roman magistrate with </w:t>
      </w:r>
      <w:r w:rsidR="009B5881" w:rsidRPr="009B5881">
        <w:rPr>
          <w:rFonts w:cs="Times New Roman"/>
          <w:i/>
        </w:rPr>
        <w:t>imperium</w:t>
      </w:r>
      <w:r w:rsidR="009B5881">
        <w:rPr>
          <w:rFonts w:cs="Times New Roman"/>
        </w:rPr>
        <w:t xml:space="preserve"> might well have been present in the province </w:t>
      </w:r>
      <w:r w:rsidR="00837BA7">
        <w:rPr>
          <w:rFonts w:cs="Times New Roman"/>
        </w:rPr>
        <w:t>to aid in its administration.</w:t>
      </w:r>
      <w:r w:rsidR="00837BA7">
        <w:rPr>
          <w:rStyle w:val="FootnoteReference"/>
          <w:rFonts w:cs="Times New Roman"/>
        </w:rPr>
        <w:footnoteReference w:id="10"/>
      </w:r>
      <w:r w:rsidR="00837BA7">
        <w:rPr>
          <w:rFonts w:cs="Times New Roman"/>
        </w:rPr>
        <w:t xml:space="preserve"> </w:t>
      </w:r>
      <w:r w:rsidR="009B32AF">
        <w:rPr>
          <w:rFonts w:cs="Times New Roman"/>
        </w:rPr>
        <w:t>E.G. Hardy argues that Cisalpine Gaul</w:t>
      </w:r>
      <w:r w:rsidR="00F8619F">
        <w:rPr>
          <w:rFonts w:cs="Times New Roman"/>
        </w:rPr>
        <w:t xml:space="preserve"> </w:t>
      </w:r>
      <w:r w:rsidR="00A13B99">
        <w:rPr>
          <w:rFonts w:cs="Times New Roman"/>
        </w:rPr>
        <w:t>‘</w:t>
      </w:r>
      <w:r w:rsidR="00F8619F">
        <w:rPr>
          <w:rFonts w:cs="Times New Roman"/>
        </w:rPr>
        <w:t xml:space="preserve">had already become largely </w:t>
      </w:r>
      <w:proofErr w:type="spellStart"/>
      <w:r w:rsidR="00F8619F">
        <w:rPr>
          <w:rFonts w:cs="Times New Roman"/>
        </w:rPr>
        <w:t>Romanised</w:t>
      </w:r>
      <w:proofErr w:type="spellEnd"/>
      <w:r w:rsidR="00A13B99">
        <w:rPr>
          <w:rFonts w:cs="Times New Roman"/>
        </w:rPr>
        <w:t xml:space="preserve">’ </w:t>
      </w:r>
      <w:r w:rsidR="00F8619F">
        <w:rPr>
          <w:rFonts w:cs="Times New Roman"/>
        </w:rPr>
        <w:t xml:space="preserve">even before the Social War through the colonies that existed there and through the establishment of many </w:t>
      </w:r>
      <w:r w:rsidR="00F8619F">
        <w:rPr>
          <w:rFonts w:cs="Times New Roman"/>
          <w:i/>
        </w:rPr>
        <w:t>fora</w:t>
      </w:r>
      <w:r w:rsidR="00F8619F">
        <w:rPr>
          <w:rFonts w:cs="Times New Roman"/>
        </w:rPr>
        <w:t xml:space="preserve"> within the territory; by the time Sulla established the province of Cisalpine Gaul, </w:t>
      </w:r>
      <w:r w:rsidR="005F594D">
        <w:rPr>
          <w:rFonts w:cs="Times New Roman"/>
        </w:rPr>
        <w:t>many inhabitants already possessed full Roman citizenship.</w:t>
      </w:r>
      <w:r w:rsidR="00F8619F">
        <w:rPr>
          <w:rStyle w:val="FootnoteReference"/>
          <w:rFonts w:cs="Times New Roman"/>
        </w:rPr>
        <w:footnoteReference w:id="11"/>
      </w:r>
      <w:r w:rsidR="005F594D">
        <w:rPr>
          <w:rFonts w:cs="Times New Roman"/>
        </w:rPr>
        <w:t xml:space="preserve"> Regardless of how exactly the provincial administration of Cisalpine Gaul was handled, there was for several generations an official Roman presence in the region that was administered according to Roman law and customs.</w:t>
      </w:r>
    </w:p>
    <w:p w:rsidR="005F594D" w:rsidRDefault="005F594D" w:rsidP="00E46D79">
      <w:pPr>
        <w:spacing w:line="480" w:lineRule="auto"/>
        <w:jc w:val="left"/>
        <w:rPr>
          <w:rFonts w:cs="Times New Roman"/>
        </w:rPr>
      </w:pPr>
      <w:r>
        <w:rPr>
          <w:rFonts w:cs="Times New Roman"/>
        </w:rPr>
        <w:tab/>
        <w:t xml:space="preserve">Forty years after the </w:t>
      </w:r>
      <w:r>
        <w:rPr>
          <w:rFonts w:cs="Times New Roman"/>
          <w:i/>
        </w:rPr>
        <w:t xml:space="preserve">Lex </w:t>
      </w:r>
      <w:proofErr w:type="spellStart"/>
      <w:r>
        <w:rPr>
          <w:rFonts w:cs="Times New Roman"/>
          <w:i/>
        </w:rPr>
        <w:t>Pompeia</w:t>
      </w:r>
      <w:proofErr w:type="spellEnd"/>
      <w:r>
        <w:rPr>
          <w:rFonts w:cs="Times New Roman"/>
        </w:rPr>
        <w:t xml:space="preserve">, the </w:t>
      </w:r>
      <w:r>
        <w:rPr>
          <w:rFonts w:cs="Times New Roman"/>
          <w:i/>
        </w:rPr>
        <w:t xml:space="preserve">Lex </w:t>
      </w:r>
      <w:proofErr w:type="spellStart"/>
      <w:r>
        <w:rPr>
          <w:rFonts w:cs="Times New Roman"/>
          <w:i/>
        </w:rPr>
        <w:t>Roscia</w:t>
      </w:r>
      <w:proofErr w:type="spellEnd"/>
      <w:r>
        <w:rPr>
          <w:rFonts w:cs="Times New Roman"/>
        </w:rPr>
        <w:t xml:space="preserve"> granted citizenship to the </w:t>
      </w:r>
      <w:proofErr w:type="spellStart"/>
      <w:r>
        <w:rPr>
          <w:rFonts w:cs="Times New Roman"/>
        </w:rPr>
        <w:t>Transpadani</w:t>
      </w:r>
      <w:proofErr w:type="spellEnd"/>
      <w:r>
        <w:rPr>
          <w:rFonts w:cs="Times New Roman"/>
        </w:rPr>
        <w:t>, the inhabitants of Cisalpine Gaul north of the River Po</w:t>
      </w:r>
      <w:r w:rsidR="003D152A">
        <w:rPr>
          <w:rFonts w:cs="Times New Roman"/>
        </w:rPr>
        <w:t>, at the insistence of</w:t>
      </w:r>
      <w:r>
        <w:rPr>
          <w:rFonts w:cs="Times New Roman"/>
        </w:rPr>
        <w:t xml:space="preserve"> C. Julius Caesar</w:t>
      </w:r>
      <w:r w:rsidR="003D152A">
        <w:rPr>
          <w:rFonts w:cs="Times New Roman"/>
        </w:rPr>
        <w:t>.</w:t>
      </w:r>
      <w:r w:rsidR="003D152A">
        <w:rPr>
          <w:rStyle w:val="FootnoteReference"/>
          <w:rFonts w:cs="Times New Roman"/>
        </w:rPr>
        <w:footnoteReference w:id="12"/>
      </w:r>
      <w:r w:rsidR="003D152A">
        <w:rPr>
          <w:rFonts w:cs="Times New Roman"/>
        </w:rPr>
        <w:t xml:space="preserve"> </w:t>
      </w:r>
      <w:r w:rsidR="00986A07">
        <w:rPr>
          <w:rFonts w:cs="Times New Roman"/>
        </w:rPr>
        <w:t>T</w:t>
      </w:r>
      <w:r w:rsidR="00611912">
        <w:rPr>
          <w:rFonts w:cs="Times New Roman"/>
        </w:rPr>
        <w:t xml:space="preserve">he </w:t>
      </w:r>
      <w:proofErr w:type="spellStart"/>
      <w:r w:rsidR="00611912">
        <w:rPr>
          <w:rFonts w:cs="Times New Roman"/>
        </w:rPr>
        <w:t>Transpadani</w:t>
      </w:r>
      <w:proofErr w:type="spellEnd"/>
      <w:r w:rsidR="00611912">
        <w:rPr>
          <w:rFonts w:cs="Times New Roman"/>
        </w:rPr>
        <w:t xml:space="preserve"> supported Caesar and provided troops for his legions, so it was to the political benefit of Caesar to confer full Roman citizenship upon them.</w:t>
      </w:r>
    </w:p>
    <w:p w:rsidR="00611912" w:rsidRDefault="00611912" w:rsidP="00E46D79">
      <w:pPr>
        <w:spacing w:line="480" w:lineRule="auto"/>
        <w:jc w:val="left"/>
        <w:rPr>
          <w:rFonts w:cs="Times New Roman"/>
        </w:rPr>
      </w:pPr>
      <w:r>
        <w:rPr>
          <w:rFonts w:cs="Times New Roman"/>
        </w:rPr>
        <w:tab/>
        <w:t xml:space="preserve">At some point after the </w:t>
      </w:r>
      <w:r>
        <w:rPr>
          <w:rFonts w:cs="Times New Roman"/>
          <w:i/>
        </w:rPr>
        <w:t xml:space="preserve">Lex </w:t>
      </w:r>
      <w:proofErr w:type="spellStart"/>
      <w:r>
        <w:rPr>
          <w:rFonts w:cs="Times New Roman"/>
          <w:i/>
        </w:rPr>
        <w:t>Roscia</w:t>
      </w:r>
      <w:proofErr w:type="spellEnd"/>
      <w:r>
        <w:rPr>
          <w:rFonts w:cs="Times New Roman"/>
        </w:rPr>
        <w:t xml:space="preserve">, the </w:t>
      </w:r>
      <w:r>
        <w:rPr>
          <w:rFonts w:cs="Times New Roman"/>
          <w:i/>
        </w:rPr>
        <w:t xml:space="preserve">Lex de Gallia </w:t>
      </w:r>
      <w:proofErr w:type="spellStart"/>
      <w:r>
        <w:rPr>
          <w:rFonts w:cs="Times New Roman"/>
          <w:i/>
        </w:rPr>
        <w:t>Cisalpina</w:t>
      </w:r>
      <w:proofErr w:type="spellEnd"/>
      <w:r>
        <w:rPr>
          <w:rFonts w:cs="Times New Roman"/>
        </w:rPr>
        <w:t xml:space="preserve"> was promulgated. Before considering the dating of this subsequent law, which only survives as a fragment with chapters XIX-XXIII, its purpose and content will be considered</w:t>
      </w:r>
      <w:r w:rsidR="00C37D54">
        <w:rPr>
          <w:rFonts w:cs="Times New Roman"/>
        </w:rPr>
        <w:t xml:space="preserve"> with an eye toward the role the law played in unifying Italy.</w:t>
      </w:r>
    </w:p>
    <w:p w:rsidR="00C37D54" w:rsidRDefault="00C37D54" w:rsidP="00E46D79">
      <w:pPr>
        <w:spacing w:line="480" w:lineRule="auto"/>
        <w:jc w:val="left"/>
        <w:rPr>
          <w:rFonts w:cs="Times New Roman"/>
        </w:rPr>
      </w:pPr>
      <w:r>
        <w:rPr>
          <w:rFonts w:cs="Times New Roman"/>
        </w:rPr>
        <w:lastRenderedPageBreak/>
        <w:tab/>
        <w:t>Of the five chapters of the law that survive,</w:t>
      </w:r>
      <w:r w:rsidR="001377E6">
        <w:rPr>
          <w:rFonts w:cs="Times New Roman"/>
        </w:rPr>
        <w:t xml:space="preserve"> only</w:t>
      </w:r>
      <w:r>
        <w:rPr>
          <w:rFonts w:cs="Times New Roman"/>
        </w:rPr>
        <w:t xml:space="preserve"> the middle three are complete. </w:t>
      </w:r>
      <w:r w:rsidR="0061534C">
        <w:rPr>
          <w:rFonts w:cs="Times New Roman"/>
        </w:rPr>
        <w:t>Chapter XIX survives</w:t>
      </w:r>
      <w:r w:rsidR="001377E6">
        <w:rPr>
          <w:rFonts w:cs="Times New Roman"/>
        </w:rPr>
        <w:t xml:space="preserve"> with merely its concluding sentence</w:t>
      </w:r>
      <w:r w:rsidR="0061534C">
        <w:rPr>
          <w:rFonts w:cs="Times New Roman"/>
        </w:rPr>
        <w:t xml:space="preserve">. </w:t>
      </w:r>
      <w:r>
        <w:rPr>
          <w:rFonts w:cs="Times New Roman"/>
        </w:rPr>
        <w:t xml:space="preserve">Chapter XX </w:t>
      </w:r>
      <w:r w:rsidR="008C3C67">
        <w:rPr>
          <w:rFonts w:cs="Times New Roman"/>
        </w:rPr>
        <w:t xml:space="preserve">directs the local magistrates of Cisalpine Gaul, specifically the </w:t>
      </w:r>
      <w:r w:rsidR="00A13B99">
        <w:rPr>
          <w:rFonts w:cs="Times New Roman"/>
        </w:rPr>
        <w:t>‘</w:t>
      </w:r>
      <w:r w:rsidR="008C3C67">
        <w:rPr>
          <w:rFonts w:cs="Times New Roman"/>
          <w:i/>
        </w:rPr>
        <w:t>mag(</w:t>
      </w:r>
      <w:proofErr w:type="spellStart"/>
      <w:r w:rsidR="008C3C67">
        <w:rPr>
          <w:rFonts w:cs="Times New Roman"/>
          <w:i/>
        </w:rPr>
        <w:t>istratus</w:t>
      </w:r>
      <w:proofErr w:type="spellEnd"/>
      <w:r w:rsidR="008C3C67">
        <w:rPr>
          <w:rFonts w:cs="Times New Roman"/>
          <w:i/>
        </w:rPr>
        <w:t xml:space="preserve">) </w:t>
      </w:r>
      <w:proofErr w:type="spellStart"/>
      <w:r w:rsidR="008C3C67">
        <w:rPr>
          <w:rFonts w:cs="Times New Roman"/>
          <w:i/>
        </w:rPr>
        <w:t>proue</w:t>
      </w:r>
      <w:proofErr w:type="spellEnd"/>
      <w:r w:rsidR="008C3C67">
        <w:rPr>
          <w:rFonts w:cs="Times New Roman"/>
          <w:i/>
        </w:rPr>
        <w:t xml:space="preserve"> mag(</w:t>
      </w:r>
      <w:proofErr w:type="spellStart"/>
      <w:r w:rsidR="008C3C67">
        <w:rPr>
          <w:rFonts w:cs="Times New Roman"/>
          <w:i/>
        </w:rPr>
        <w:t>istratu</w:t>
      </w:r>
      <w:proofErr w:type="spellEnd"/>
      <w:r w:rsidR="008C3C67">
        <w:rPr>
          <w:rFonts w:cs="Times New Roman"/>
          <w:i/>
        </w:rPr>
        <w:t xml:space="preserve">) </w:t>
      </w:r>
      <w:proofErr w:type="spellStart"/>
      <w:r w:rsidR="008C3C67">
        <w:rPr>
          <w:rFonts w:cs="Times New Roman"/>
          <w:i/>
        </w:rPr>
        <w:t>IIvir</w:t>
      </w:r>
      <w:proofErr w:type="spellEnd"/>
      <w:r w:rsidR="008C3C67">
        <w:rPr>
          <w:rFonts w:cs="Times New Roman"/>
          <w:i/>
        </w:rPr>
        <w:t xml:space="preserve"> </w:t>
      </w:r>
      <w:proofErr w:type="spellStart"/>
      <w:r w:rsidR="008C3C67">
        <w:rPr>
          <w:rFonts w:cs="Times New Roman"/>
          <w:i/>
        </w:rPr>
        <w:t>IIIIvir</w:t>
      </w:r>
      <w:proofErr w:type="spellEnd"/>
      <w:r w:rsidR="008C3C67">
        <w:rPr>
          <w:rFonts w:cs="Times New Roman"/>
          <w:i/>
        </w:rPr>
        <w:t xml:space="preserve"> </w:t>
      </w:r>
      <w:proofErr w:type="spellStart"/>
      <w:r w:rsidR="008C3C67">
        <w:rPr>
          <w:rFonts w:cs="Times New Roman"/>
          <w:i/>
        </w:rPr>
        <w:t>praefec</w:t>
      </w:r>
      <w:proofErr w:type="spellEnd"/>
      <w:r w:rsidR="008C3C67">
        <w:rPr>
          <w:rFonts w:cs="Times New Roman"/>
          <w:i/>
        </w:rPr>
        <w:t>(</w:t>
      </w:r>
      <w:proofErr w:type="spellStart"/>
      <w:r w:rsidR="008C3C67">
        <w:rPr>
          <w:rFonts w:cs="Times New Roman"/>
          <w:i/>
        </w:rPr>
        <w:t>tus</w:t>
      </w:r>
      <w:proofErr w:type="spellEnd"/>
      <w:r w:rsidR="008C3C67">
        <w:rPr>
          <w:rFonts w:cs="Times New Roman"/>
          <w:i/>
        </w:rPr>
        <w:t>)</w:t>
      </w:r>
      <w:proofErr w:type="spellStart"/>
      <w:r w:rsidR="008C3C67">
        <w:rPr>
          <w:rFonts w:cs="Times New Roman"/>
          <w:i/>
        </w:rPr>
        <w:t>ue</w:t>
      </w:r>
      <w:proofErr w:type="spellEnd"/>
      <w:r w:rsidR="00C2200C">
        <w:rPr>
          <w:rFonts w:cs="Times New Roman"/>
          <w:i/>
        </w:rPr>
        <w:t xml:space="preserve">…in </w:t>
      </w:r>
      <w:proofErr w:type="spellStart"/>
      <w:r w:rsidR="00C2200C">
        <w:rPr>
          <w:rFonts w:cs="Times New Roman"/>
          <w:i/>
        </w:rPr>
        <w:t>ius</w:t>
      </w:r>
      <w:proofErr w:type="spellEnd"/>
      <w:r w:rsidR="00C2200C">
        <w:rPr>
          <w:rFonts w:cs="Times New Roman"/>
          <w:i/>
        </w:rPr>
        <w:t xml:space="preserve"> </w:t>
      </w:r>
      <w:proofErr w:type="spellStart"/>
      <w:r w:rsidR="00C2200C">
        <w:rPr>
          <w:rFonts w:cs="Times New Roman"/>
          <w:i/>
        </w:rPr>
        <w:t>aditum</w:t>
      </w:r>
      <w:proofErr w:type="spellEnd"/>
      <w:r w:rsidR="00C2200C">
        <w:rPr>
          <w:rFonts w:cs="Times New Roman"/>
          <w:i/>
        </w:rPr>
        <w:t xml:space="preserve"> </w:t>
      </w:r>
      <w:proofErr w:type="spellStart"/>
      <w:r w:rsidR="00C2200C">
        <w:rPr>
          <w:rFonts w:cs="Times New Roman"/>
          <w:i/>
        </w:rPr>
        <w:t>erit</w:t>
      </w:r>
      <w:proofErr w:type="spellEnd"/>
      <w:r w:rsidR="00A13B99">
        <w:rPr>
          <w:rFonts w:cs="Times New Roman"/>
        </w:rPr>
        <w:t>’</w:t>
      </w:r>
      <w:r w:rsidR="00C2200C">
        <w:rPr>
          <w:rStyle w:val="FootnoteReference"/>
          <w:rFonts w:cs="Times New Roman"/>
        </w:rPr>
        <w:footnoteReference w:id="13"/>
      </w:r>
      <w:r w:rsidR="00C2200C">
        <w:rPr>
          <w:rFonts w:cs="Times New Roman"/>
        </w:rPr>
        <w:t xml:space="preserve"> </w:t>
      </w:r>
      <w:r w:rsidR="00D754B3">
        <w:rPr>
          <w:rFonts w:cs="Times New Roman"/>
        </w:rPr>
        <w:t>on procedures for</w:t>
      </w:r>
      <w:r w:rsidR="00C2200C">
        <w:rPr>
          <w:rFonts w:cs="Times New Roman"/>
        </w:rPr>
        <w:t xml:space="preserve"> any lawsuits concerning the loss of property. Chapter XXI</w:t>
      </w:r>
      <w:r w:rsidR="00293EF5">
        <w:rPr>
          <w:rFonts w:cs="Times New Roman"/>
        </w:rPr>
        <w:t xml:space="preserve"> provides for all communities </w:t>
      </w:r>
      <w:r w:rsidR="00A13B99">
        <w:rPr>
          <w:rFonts w:cs="Times New Roman"/>
        </w:rPr>
        <w:t>‘</w:t>
      </w:r>
      <w:proofErr w:type="spellStart"/>
      <w:r w:rsidR="00293EF5">
        <w:rPr>
          <w:rFonts w:cs="Times New Roman"/>
          <w:i/>
        </w:rPr>
        <w:t>quae</w:t>
      </w:r>
      <w:proofErr w:type="spellEnd"/>
      <w:r w:rsidR="00293EF5">
        <w:rPr>
          <w:rFonts w:cs="Times New Roman"/>
          <w:i/>
        </w:rPr>
        <w:t xml:space="preserve"> </w:t>
      </w:r>
      <w:proofErr w:type="spellStart"/>
      <w:r w:rsidR="00293EF5">
        <w:rPr>
          <w:rFonts w:cs="Times New Roman"/>
          <w:i/>
        </w:rPr>
        <w:t>sunt</w:t>
      </w:r>
      <w:proofErr w:type="spellEnd"/>
      <w:r w:rsidR="00293EF5">
        <w:rPr>
          <w:rFonts w:cs="Times New Roman"/>
          <w:i/>
        </w:rPr>
        <w:t xml:space="preserve"> </w:t>
      </w:r>
      <w:proofErr w:type="spellStart"/>
      <w:r w:rsidR="00293EF5">
        <w:rPr>
          <w:rFonts w:cs="Times New Roman"/>
          <w:i/>
        </w:rPr>
        <w:t>eruntue</w:t>
      </w:r>
      <w:proofErr w:type="spellEnd"/>
      <w:r w:rsidR="00293EF5">
        <w:rPr>
          <w:rFonts w:cs="Times New Roman"/>
          <w:i/>
        </w:rPr>
        <w:t xml:space="preserve"> in Gallia </w:t>
      </w:r>
      <w:proofErr w:type="spellStart"/>
      <w:r w:rsidR="00293EF5">
        <w:rPr>
          <w:rFonts w:cs="Times New Roman"/>
          <w:i/>
        </w:rPr>
        <w:t>Cisalpina</w:t>
      </w:r>
      <w:proofErr w:type="spellEnd"/>
      <w:r w:rsidR="00A13B99">
        <w:rPr>
          <w:rFonts w:cs="Times New Roman"/>
        </w:rPr>
        <w:t>’</w:t>
      </w:r>
      <w:r w:rsidR="00293EF5">
        <w:rPr>
          <w:rFonts w:cs="Times New Roman"/>
          <w:i/>
        </w:rPr>
        <w:t xml:space="preserve"> </w:t>
      </w:r>
      <w:r w:rsidR="00293EF5">
        <w:rPr>
          <w:rFonts w:cs="Times New Roman"/>
        </w:rPr>
        <w:t xml:space="preserve">regulations concerning when </w:t>
      </w:r>
      <w:r w:rsidR="00A13B99">
        <w:rPr>
          <w:rFonts w:cs="Times New Roman"/>
        </w:rPr>
        <w:t>‘</w:t>
      </w:r>
      <w:r w:rsidR="00293EF5">
        <w:rPr>
          <w:rFonts w:cs="Times New Roman"/>
          <w:i/>
        </w:rPr>
        <w:t xml:space="preserve">a </w:t>
      </w:r>
      <w:proofErr w:type="spellStart"/>
      <w:r w:rsidR="00293EF5">
        <w:rPr>
          <w:rFonts w:cs="Times New Roman"/>
          <w:i/>
        </w:rPr>
        <w:t>quoquomq</w:t>
      </w:r>
      <w:proofErr w:type="spellEnd"/>
      <w:r w:rsidR="00293EF5">
        <w:rPr>
          <w:rFonts w:cs="Times New Roman"/>
          <w:i/>
        </w:rPr>
        <w:t>(</w:t>
      </w:r>
      <w:proofErr w:type="spellStart"/>
      <w:r w:rsidR="00293EF5">
        <w:rPr>
          <w:rFonts w:cs="Times New Roman"/>
          <w:i/>
        </w:rPr>
        <w:t>ue</w:t>
      </w:r>
      <w:proofErr w:type="spellEnd"/>
      <w:r w:rsidR="00293EF5">
        <w:rPr>
          <w:rFonts w:cs="Times New Roman"/>
          <w:i/>
        </w:rPr>
        <w:t xml:space="preserve">) </w:t>
      </w:r>
      <w:proofErr w:type="spellStart"/>
      <w:r w:rsidR="00293EF5">
        <w:rPr>
          <w:rFonts w:cs="Times New Roman"/>
          <w:i/>
        </w:rPr>
        <w:t>pecunia</w:t>
      </w:r>
      <w:proofErr w:type="spellEnd"/>
      <w:r w:rsidR="00293EF5">
        <w:rPr>
          <w:rFonts w:cs="Times New Roman"/>
          <w:i/>
        </w:rPr>
        <w:t xml:space="preserve"> </w:t>
      </w:r>
      <w:proofErr w:type="spellStart"/>
      <w:r w:rsidR="00293EF5">
        <w:rPr>
          <w:rFonts w:cs="Times New Roman"/>
          <w:i/>
        </w:rPr>
        <w:t>certa</w:t>
      </w:r>
      <w:proofErr w:type="spellEnd"/>
      <w:r w:rsidR="00293EF5">
        <w:rPr>
          <w:rFonts w:cs="Times New Roman"/>
          <w:i/>
        </w:rPr>
        <w:t xml:space="preserve"> </w:t>
      </w:r>
      <w:proofErr w:type="spellStart"/>
      <w:r w:rsidR="00293EF5">
        <w:rPr>
          <w:rFonts w:cs="Times New Roman"/>
          <w:i/>
        </w:rPr>
        <w:t>credita</w:t>
      </w:r>
      <w:proofErr w:type="spellEnd"/>
      <w:r w:rsidR="00293EF5">
        <w:rPr>
          <w:rFonts w:cs="Times New Roman"/>
          <w:i/>
        </w:rPr>
        <w:t>…</w:t>
      </w:r>
      <w:proofErr w:type="spellStart"/>
      <w:r w:rsidR="00293EF5">
        <w:rPr>
          <w:rFonts w:cs="Times New Roman"/>
          <w:i/>
        </w:rPr>
        <w:t>petetur</w:t>
      </w:r>
      <w:proofErr w:type="spellEnd"/>
      <w:r w:rsidR="00293EF5">
        <w:rPr>
          <w:rFonts w:cs="Times New Roman"/>
        </w:rPr>
        <w:t>,</w:t>
      </w:r>
      <w:r w:rsidR="00A13B99">
        <w:rPr>
          <w:rFonts w:cs="Times New Roman"/>
        </w:rPr>
        <w:t>’</w:t>
      </w:r>
      <w:r w:rsidR="00293EF5">
        <w:rPr>
          <w:rFonts w:cs="Times New Roman"/>
        </w:rPr>
        <w:t xml:space="preserve"> provided that </w:t>
      </w:r>
      <w:r w:rsidR="00A13B99">
        <w:rPr>
          <w:rFonts w:cs="Times New Roman"/>
          <w:i/>
        </w:rPr>
        <w:t>‘</w:t>
      </w:r>
      <w:proofErr w:type="spellStart"/>
      <w:r w:rsidR="00293EF5">
        <w:rPr>
          <w:rFonts w:cs="Times New Roman"/>
          <w:i/>
        </w:rPr>
        <w:t>quae</w:t>
      </w:r>
      <w:proofErr w:type="spellEnd"/>
      <w:r w:rsidR="00293EF5">
        <w:rPr>
          <w:rFonts w:cs="Times New Roman"/>
          <w:i/>
        </w:rPr>
        <w:t xml:space="preserve"> res non </w:t>
      </w:r>
      <w:proofErr w:type="spellStart"/>
      <w:r w:rsidR="00293EF5">
        <w:rPr>
          <w:rFonts w:cs="Times New Roman"/>
          <w:i/>
        </w:rPr>
        <w:t>pluris</w:t>
      </w:r>
      <w:proofErr w:type="spellEnd"/>
      <w:r w:rsidR="00293EF5">
        <w:rPr>
          <w:rFonts w:cs="Times New Roman"/>
          <w:i/>
        </w:rPr>
        <w:t xml:space="preserve"> (</w:t>
      </w:r>
      <w:proofErr w:type="spellStart"/>
      <w:r w:rsidR="00293EF5">
        <w:rPr>
          <w:rFonts w:cs="Times New Roman"/>
          <w:i/>
        </w:rPr>
        <w:t>sestertium</w:t>
      </w:r>
      <w:proofErr w:type="spellEnd"/>
      <w:r w:rsidR="00293EF5">
        <w:rPr>
          <w:rFonts w:cs="Times New Roman"/>
          <w:i/>
        </w:rPr>
        <w:t>) (</w:t>
      </w:r>
      <w:proofErr w:type="spellStart"/>
      <w:r w:rsidR="00293EF5">
        <w:rPr>
          <w:rFonts w:cs="Times New Roman"/>
          <w:i/>
        </w:rPr>
        <w:t>quindecim</w:t>
      </w:r>
      <w:proofErr w:type="spellEnd"/>
      <w:r w:rsidR="00293EF5">
        <w:rPr>
          <w:rFonts w:cs="Times New Roman"/>
          <w:i/>
        </w:rPr>
        <w:t xml:space="preserve"> </w:t>
      </w:r>
      <w:proofErr w:type="spellStart"/>
      <w:r w:rsidR="00293EF5">
        <w:rPr>
          <w:rFonts w:cs="Times New Roman"/>
          <w:i/>
        </w:rPr>
        <w:t>milibus</w:t>
      </w:r>
      <w:proofErr w:type="spellEnd"/>
      <w:r w:rsidR="00293EF5">
        <w:rPr>
          <w:rFonts w:cs="Times New Roman"/>
          <w:i/>
        </w:rPr>
        <w:t xml:space="preserve">) </w:t>
      </w:r>
      <w:proofErr w:type="spellStart"/>
      <w:r w:rsidR="00293EF5">
        <w:rPr>
          <w:rFonts w:cs="Times New Roman"/>
          <w:i/>
        </w:rPr>
        <w:t>erit</w:t>
      </w:r>
      <w:proofErr w:type="spellEnd"/>
      <w:r w:rsidR="00293EF5">
        <w:rPr>
          <w:rFonts w:cs="Times New Roman"/>
          <w:i/>
        </w:rPr>
        <w:t>.</w:t>
      </w:r>
      <w:r w:rsidR="00A13B99">
        <w:rPr>
          <w:rFonts w:cs="Times New Roman"/>
        </w:rPr>
        <w:t>’</w:t>
      </w:r>
      <w:r w:rsidR="00293EF5">
        <w:rPr>
          <w:rStyle w:val="FootnoteReference"/>
          <w:rFonts w:cs="Times New Roman"/>
        </w:rPr>
        <w:footnoteReference w:id="14"/>
      </w:r>
      <w:r w:rsidR="00293EF5">
        <w:rPr>
          <w:rFonts w:cs="Times New Roman"/>
        </w:rPr>
        <w:t xml:space="preserve"> Chapter XXII</w:t>
      </w:r>
      <w:r w:rsidR="00EE7231">
        <w:rPr>
          <w:rFonts w:cs="Times New Roman"/>
        </w:rPr>
        <w:t xml:space="preserve">, in a similar fashion, details when </w:t>
      </w:r>
      <w:r w:rsidR="00A13B99">
        <w:rPr>
          <w:rFonts w:cs="Times New Roman"/>
        </w:rPr>
        <w:t>‘</w:t>
      </w:r>
      <w:r w:rsidR="00EE7231">
        <w:rPr>
          <w:rFonts w:cs="Times New Roman"/>
          <w:i/>
        </w:rPr>
        <w:t xml:space="preserve">a quo quid </w:t>
      </w:r>
      <w:proofErr w:type="spellStart"/>
      <w:r w:rsidR="00EE7231">
        <w:rPr>
          <w:rFonts w:cs="Times New Roman"/>
          <w:i/>
        </w:rPr>
        <w:t>praeter</w:t>
      </w:r>
      <w:proofErr w:type="spellEnd"/>
      <w:r w:rsidR="00EE7231">
        <w:rPr>
          <w:rFonts w:cs="Times New Roman"/>
          <w:i/>
        </w:rPr>
        <w:t xml:space="preserve"> </w:t>
      </w:r>
      <w:proofErr w:type="spellStart"/>
      <w:r w:rsidR="00EE7231">
        <w:rPr>
          <w:rFonts w:cs="Times New Roman"/>
          <w:i/>
        </w:rPr>
        <w:t>pecuniam</w:t>
      </w:r>
      <w:proofErr w:type="spellEnd"/>
      <w:r w:rsidR="00EE7231">
        <w:rPr>
          <w:rFonts w:cs="Times New Roman"/>
          <w:i/>
        </w:rPr>
        <w:t xml:space="preserve"> </w:t>
      </w:r>
      <w:proofErr w:type="spellStart"/>
      <w:r w:rsidR="00EE7231">
        <w:rPr>
          <w:rFonts w:cs="Times New Roman"/>
          <w:i/>
        </w:rPr>
        <w:t>certam</w:t>
      </w:r>
      <w:proofErr w:type="spellEnd"/>
      <w:r w:rsidR="00EE7231">
        <w:rPr>
          <w:rFonts w:cs="Times New Roman"/>
          <w:i/>
        </w:rPr>
        <w:t xml:space="preserve"> </w:t>
      </w:r>
      <w:proofErr w:type="spellStart"/>
      <w:r w:rsidR="00EE7231">
        <w:rPr>
          <w:rFonts w:cs="Times New Roman"/>
          <w:i/>
        </w:rPr>
        <w:t>creditam</w:t>
      </w:r>
      <w:proofErr w:type="spellEnd"/>
      <w:r w:rsidR="00EE7231">
        <w:rPr>
          <w:rFonts w:cs="Times New Roman"/>
          <w:i/>
        </w:rPr>
        <w:t>…</w:t>
      </w:r>
      <w:proofErr w:type="spellStart"/>
      <w:r w:rsidR="00EE7231">
        <w:rPr>
          <w:rFonts w:cs="Times New Roman"/>
          <w:i/>
        </w:rPr>
        <w:t>petetur</w:t>
      </w:r>
      <w:proofErr w:type="spellEnd"/>
      <w:r w:rsidR="001377E6">
        <w:rPr>
          <w:rFonts w:cs="Times New Roman"/>
        </w:rPr>
        <w:t>,</w:t>
      </w:r>
      <w:r w:rsidR="00A13B99">
        <w:rPr>
          <w:rFonts w:cs="Times New Roman"/>
        </w:rPr>
        <w:t>’</w:t>
      </w:r>
      <w:r w:rsidR="00EE7231">
        <w:rPr>
          <w:rStyle w:val="FootnoteReference"/>
          <w:rFonts w:cs="Times New Roman"/>
        </w:rPr>
        <w:footnoteReference w:id="15"/>
      </w:r>
      <w:r w:rsidR="00EE7231">
        <w:rPr>
          <w:rFonts w:cs="Times New Roman"/>
        </w:rPr>
        <w:t xml:space="preserve"> </w:t>
      </w:r>
      <w:r w:rsidR="001377E6">
        <w:rPr>
          <w:rFonts w:cs="Times New Roman"/>
        </w:rPr>
        <w:t xml:space="preserve">again </w:t>
      </w:r>
      <w:r w:rsidR="00EE7231">
        <w:rPr>
          <w:rFonts w:cs="Times New Roman"/>
        </w:rPr>
        <w:t>under the same financial limitations as the prior chapter, except here it specifies that for the defendant “</w:t>
      </w:r>
      <w:proofErr w:type="spellStart"/>
      <w:r w:rsidR="00EE7231">
        <w:rPr>
          <w:rFonts w:cs="Times New Roman"/>
          <w:i/>
        </w:rPr>
        <w:t>omnei</w:t>
      </w:r>
      <w:proofErr w:type="spellEnd"/>
      <w:r w:rsidR="00EE7231">
        <w:rPr>
          <w:rFonts w:cs="Times New Roman"/>
          <w:i/>
        </w:rPr>
        <w:t xml:space="preserve"> </w:t>
      </w:r>
      <w:proofErr w:type="spellStart"/>
      <w:r w:rsidR="00EE7231">
        <w:rPr>
          <w:rFonts w:cs="Times New Roman"/>
          <w:i/>
        </w:rPr>
        <w:t>pecunia</w:t>
      </w:r>
      <w:proofErr w:type="spellEnd"/>
      <w:r w:rsidR="00EE7231">
        <w:rPr>
          <w:rFonts w:cs="Times New Roman"/>
          <w:i/>
        </w:rPr>
        <w:t xml:space="preserve"> </w:t>
      </w:r>
      <w:proofErr w:type="spellStart"/>
      <w:r w:rsidR="00EE7231">
        <w:rPr>
          <w:rFonts w:cs="Times New Roman"/>
          <w:i/>
        </w:rPr>
        <w:t>ibei</w:t>
      </w:r>
      <w:proofErr w:type="spellEnd"/>
      <w:r w:rsidR="00EE7231">
        <w:rPr>
          <w:rFonts w:cs="Times New Roman"/>
          <w:i/>
        </w:rPr>
        <w:t xml:space="preserve"> </w:t>
      </w:r>
      <w:proofErr w:type="spellStart"/>
      <w:r w:rsidR="00EE7231">
        <w:rPr>
          <w:rFonts w:cs="Times New Roman"/>
          <w:i/>
        </w:rPr>
        <w:t>ius</w:t>
      </w:r>
      <w:proofErr w:type="spellEnd"/>
      <w:r w:rsidR="00EE7231">
        <w:rPr>
          <w:rFonts w:cs="Times New Roman"/>
        </w:rPr>
        <w:t>.”</w:t>
      </w:r>
      <w:r w:rsidR="00EE7231">
        <w:rPr>
          <w:rStyle w:val="FootnoteReference"/>
          <w:rFonts w:cs="Times New Roman"/>
        </w:rPr>
        <w:footnoteReference w:id="16"/>
      </w:r>
      <w:r w:rsidR="00EE7231">
        <w:rPr>
          <w:rFonts w:cs="Times New Roman"/>
        </w:rPr>
        <w:t xml:space="preserve"> Chapter XXIII</w:t>
      </w:r>
      <w:r w:rsidR="00E15492">
        <w:rPr>
          <w:rFonts w:cs="Times New Roman"/>
        </w:rPr>
        <w:t xml:space="preserve"> begins to instruct </w:t>
      </w:r>
      <w:r w:rsidR="00A13B99">
        <w:rPr>
          <w:rFonts w:cs="Times New Roman"/>
        </w:rPr>
        <w:t>‘</w:t>
      </w:r>
      <w:proofErr w:type="spellStart"/>
      <w:r w:rsidR="00E15492">
        <w:rPr>
          <w:rFonts w:cs="Times New Roman"/>
          <w:i/>
        </w:rPr>
        <w:t>queiquomque</w:t>
      </w:r>
      <w:proofErr w:type="spellEnd"/>
      <w:r w:rsidR="00E15492">
        <w:rPr>
          <w:rFonts w:cs="Times New Roman"/>
          <w:i/>
        </w:rPr>
        <w:t>…</w:t>
      </w:r>
      <w:proofErr w:type="spellStart"/>
      <w:r w:rsidR="00E15492">
        <w:rPr>
          <w:rFonts w:cs="Times New Roman"/>
          <w:i/>
        </w:rPr>
        <w:t>i</w:t>
      </w:r>
      <w:proofErr w:type="spellEnd"/>
      <w:r w:rsidR="00E15492">
        <w:rPr>
          <w:rFonts w:cs="Times New Roman"/>
          <w:i/>
        </w:rPr>
        <w:t>(</w:t>
      </w:r>
      <w:proofErr w:type="spellStart"/>
      <w:r w:rsidR="00E15492">
        <w:rPr>
          <w:rFonts w:cs="Times New Roman"/>
          <w:i/>
        </w:rPr>
        <w:t>ure</w:t>
      </w:r>
      <w:proofErr w:type="spellEnd"/>
      <w:r w:rsidR="00E15492">
        <w:rPr>
          <w:rFonts w:cs="Times New Roman"/>
          <w:i/>
        </w:rPr>
        <w:t>) d(</w:t>
      </w:r>
      <w:proofErr w:type="spellStart"/>
      <w:r w:rsidR="00E15492">
        <w:rPr>
          <w:rFonts w:cs="Times New Roman"/>
          <w:i/>
        </w:rPr>
        <w:t>eicundo</w:t>
      </w:r>
      <w:proofErr w:type="spellEnd"/>
      <w:r w:rsidR="00E15492">
        <w:rPr>
          <w:rFonts w:cs="Times New Roman"/>
          <w:i/>
        </w:rPr>
        <w:t>) p(</w:t>
      </w:r>
      <w:proofErr w:type="spellStart"/>
      <w:r w:rsidR="00E15492">
        <w:rPr>
          <w:rFonts w:cs="Times New Roman"/>
          <w:i/>
        </w:rPr>
        <w:t>raerit</w:t>
      </w:r>
      <w:proofErr w:type="spellEnd"/>
      <w:r w:rsidR="00E15492">
        <w:rPr>
          <w:rFonts w:cs="Times New Roman"/>
          <w:i/>
        </w:rPr>
        <w:t>)</w:t>
      </w:r>
      <w:r w:rsidR="00A13B99">
        <w:rPr>
          <w:rFonts w:cs="Times New Roman"/>
        </w:rPr>
        <w:t>’</w:t>
      </w:r>
      <w:r w:rsidR="00D754B3">
        <w:rPr>
          <w:rFonts w:cs="Times New Roman"/>
        </w:rPr>
        <w:t xml:space="preserve"> in the procedures </w:t>
      </w:r>
      <w:r w:rsidR="0061534C">
        <w:rPr>
          <w:rFonts w:cs="Times New Roman"/>
        </w:rPr>
        <w:t xml:space="preserve">for petitioners who </w:t>
      </w:r>
      <w:r w:rsidR="00A13B99">
        <w:rPr>
          <w:rFonts w:cs="Times New Roman"/>
        </w:rPr>
        <w:t>‘</w:t>
      </w:r>
      <w:proofErr w:type="spellStart"/>
      <w:r w:rsidR="0061534C">
        <w:rPr>
          <w:rFonts w:cs="Times New Roman"/>
          <w:i/>
        </w:rPr>
        <w:t>postulauerint</w:t>
      </w:r>
      <w:proofErr w:type="spellEnd"/>
      <w:r w:rsidR="0061534C">
        <w:rPr>
          <w:rFonts w:cs="Times New Roman"/>
          <w:i/>
        </w:rPr>
        <w:t xml:space="preserve">, </w:t>
      </w:r>
      <w:proofErr w:type="spellStart"/>
      <w:r w:rsidR="0061534C">
        <w:rPr>
          <w:rFonts w:cs="Times New Roman"/>
          <w:i/>
        </w:rPr>
        <w:t>ita</w:t>
      </w:r>
      <w:proofErr w:type="spellEnd"/>
      <w:r w:rsidR="0061534C">
        <w:rPr>
          <w:rFonts w:cs="Times New Roman"/>
          <w:i/>
        </w:rPr>
        <w:t xml:space="preserve"> </w:t>
      </w:r>
      <w:proofErr w:type="spellStart"/>
      <w:r w:rsidR="0061534C">
        <w:rPr>
          <w:rFonts w:cs="Times New Roman"/>
          <w:i/>
        </w:rPr>
        <w:t>ius</w:t>
      </w:r>
      <w:proofErr w:type="spellEnd"/>
      <w:r w:rsidR="0061534C">
        <w:rPr>
          <w:rFonts w:cs="Times New Roman"/>
          <w:i/>
        </w:rPr>
        <w:t xml:space="preserve"> </w:t>
      </w:r>
      <w:proofErr w:type="spellStart"/>
      <w:r w:rsidR="0061534C">
        <w:rPr>
          <w:rFonts w:cs="Times New Roman"/>
          <w:i/>
        </w:rPr>
        <w:t>deicito</w:t>
      </w:r>
      <w:proofErr w:type="spellEnd"/>
      <w:r w:rsidR="0061534C">
        <w:rPr>
          <w:rFonts w:cs="Times New Roman"/>
          <w:i/>
        </w:rPr>
        <w:t xml:space="preserve"> </w:t>
      </w:r>
      <w:proofErr w:type="spellStart"/>
      <w:r w:rsidR="0061534C">
        <w:rPr>
          <w:rFonts w:cs="Times New Roman"/>
          <w:i/>
        </w:rPr>
        <w:t>decernito</w:t>
      </w:r>
      <w:proofErr w:type="spellEnd"/>
      <w:r w:rsidR="0061534C">
        <w:rPr>
          <w:rFonts w:cs="Times New Roman"/>
          <w:i/>
        </w:rPr>
        <w:t xml:space="preserve"> </w:t>
      </w:r>
      <w:proofErr w:type="spellStart"/>
      <w:r w:rsidR="0061534C">
        <w:rPr>
          <w:rFonts w:cs="Times New Roman"/>
          <w:i/>
        </w:rPr>
        <w:t>iudicia</w:t>
      </w:r>
      <w:proofErr w:type="spellEnd"/>
      <w:r w:rsidR="0061534C">
        <w:rPr>
          <w:rFonts w:cs="Times New Roman"/>
          <w:i/>
        </w:rPr>
        <w:t xml:space="preserve"> </w:t>
      </w:r>
      <w:proofErr w:type="spellStart"/>
      <w:r w:rsidR="0061534C">
        <w:rPr>
          <w:rFonts w:cs="Times New Roman"/>
          <w:i/>
        </w:rPr>
        <w:t>dato</w:t>
      </w:r>
      <w:proofErr w:type="spellEnd"/>
      <w:r w:rsidR="0061534C">
        <w:rPr>
          <w:rFonts w:cs="Times New Roman"/>
          <w:i/>
        </w:rPr>
        <w:t xml:space="preserve"> </w:t>
      </w:r>
      <w:proofErr w:type="spellStart"/>
      <w:r w:rsidR="0061534C">
        <w:rPr>
          <w:rFonts w:cs="Times New Roman"/>
          <w:i/>
        </w:rPr>
        <w:t>iudicare</w:t>
      </w:r>
      <w:proofErr w:type="spellEnd"/>
      <w:r w:rsidR="0061534C">
        <w:rPr>
          <w:rFonts w:cs="Times New Roman"/>
          <w:i/>
        </w:rPr>
        <w:t xml:space="preserve"> </w:t>
      </w:r>
      <w:proofErr w:type="spellStart"/>
      <w:r w:rsidR="0061534C">
        <w:rPr>
          <w:rFonts w:cs="Times New Roman"/>
          <w:i/>
        </w:rPr>
        <w:t>iubeto</w:t>
      </w:r>
      <w:proofErr w:type="spellEnd"/>
      <w:r w:rsidR="00AA0454">
        <w:rPr>
          <w:rFonts w:cs="Times New Roman"/>
          <w:i/>
        </w:rPr>
        <w:t>,</w:t>
      </w:r>
      <w:r w:rsidR="00A13B99">
        <w:rPr>
          <w:rFonts w:cs="Times New Roman"/>
        </w:rPr>
        <w:t>’</w:t>
      </w:r>
      <w:r w:rsidR="0061534C">
        <w:rPr>
          <w:rStyle w:val="FootnoteReference"/>
          <w:rFonts w:cs="Times New Roman"/>
        </w:rPr>
        <w:footnoteReference w:id="17"/>
      </w:r>
      <w:r w:rsidR="0061534C">
        <w:rPr>
          <w:rFonts w:cs="Times New Roman"/>
        </w:rPr>
        <w:t xml:space="preserve"> before it breaks off.</w:t>
      </w:r>
    </w:p>
    <w:p w:rsidR="0061534C" w:rsidRDefault="0061534C" w:rsidP="00E46D79">
      <w:pPr>
        <w:spacing w:line="480" w:lineRule="auto"/>
        <w:jc w:val="left"/>
        <w:rPr>
          <w:rFonts w:cs="Times New Roman"/>
        </w:rPr>
      </w:pPr>
      <w:r>
        <w:rPr>
          <w:rFonts w:cs="Times New Roman"/>
        </w:rPr>
        <w:tab/>
        <w:t xml:space="preserve">Connected to these general precepts are further stipulations that provide insights into the gradual </w:t>
      </w:r>
      <w:r w:rsidR="001377E6">
        <w:rPr>
          <w:rFonts w:cs="Times New Roman"/>
        </w:rPr>
        <w:t>development</w:t>
      </w:r>
      <w:r>
        <w:rPr>
          <w:rFonts w:cs="Times New Roman"/>
        </w:rPr>
        <w:t xml:space="preserve"> of a unified Italy. Crawford states plainly that </w:t>
      </w:r>
      <w:r w:rsidR="00A13B99">
        <w:rPr>
          <w:rFonts w:cs="Times New Roman"/>
        </w:rPr>
        <w:t>‘</w:t>
      </w:r>
      <w:r>
        <w:rPr>
          <w:rFonts w:cs="Times New Roman"/>
        </w:rPr>
        <w:t>[s]</w:t>
      </w:r>
      <w:proofErr w:type="spellStart"/>
      <w:r>
        <w:rPr>
          <w:rFonts w:cs="Times New Roman"/>
        </w:rPr>
        <w:t>ince</w:t>
      </w:r>
      <w:proofErr w:type="spellEnd"/>
      <w:r>
        <w:rPr>
          <w:rFonts w:cs="Times New Roman"/>
        </w:rPr>
        <w:t xml:space="preserve"> the last four chapters all begin with a phrase that limits their application to Cisalpine Gaul, our text has always been taken as part of a statute which laid down some of the rules of the Roman civil law for that region and, at least in </w:t>
      </w:r>
      <w:proofErr w:type="spellStart"/>
      <w:r>
        <w:rPr>
          <w:rFonts w:cs="Times New Roman"/>
        </w:rPr>
        <w:t>Chs</w:t>
      </w:r>
      <w:proofErr w:type="spellEnd"/>
      <w:r>
        <w:rPr>
          <w:rFonts w:cs="Times New Roman"/>
        </w:rPr>
        <w:t>. XXI-XXII, related their application</w:t>
      </w:r>
      <w:r w:rsidR="00FB4487">
        <w:rPr>
          <w:rFonts w:cs="Times New Roman"/>
        </w:rPr>
        <w:t xml:space="preserve"> systematically to jurisdiction at Rome.</w:t>
      </w:r>
      <w:r w:rsidR="00A13B99">
        <w:rPr>
          <w:rFonts w:cs="Times New Roman"/>
        </w:rPr>
        <w:t>’</w:t>
      </w:r>
      <w:r w:rsidR="00FB4487">
        <w:rPr>
          <w:rStyle w:val="FootnoteReference"/>
          <w:rFonts w:cs="Times New Roman"/>
        </w:rPr>
        <w:footnoteReference w:id="18"/>
      </w:r>
      <w:r w:rsidR="002C5E25">
        <w:rPr>
          <w:rFonts w:cs="Times New Roman"/>
        </w:rPr>
        <w:t xml:space="preserve"> </w:t>
      </w:r>
      <w:r w:rsidR="00803BFE">
        <w:rPr>
          <w:rFonts w:cs="Times New Roman"/>
        </w:rPr>
        <w:t xml:space="preserve">The opening of Chapter XX is particularly direct in this regard with its sweeping opening before moving to the specific issue of </w:t>
      </w:r>
      <w:r w:rsidR="00803BFE">
        <w:rPr>
          <w:rFonts w:cs="Times New Roman"/>
          <w:i/>
        </w:rPr>
        <w:t xml:space="preserve">damnum </w:t>
      </w:r>
      <w:proofErr w:type="spellStart"/>
      <w:r w:rsidR="00803BFE">
        <w:rPr>
          <w:rFonts w:cs="Times New Roman"/>
          <w:i/>
        </w:rPr>
        <w:t>infectum</w:t>
      </w:r>
      <w:proofErr w:type="spellEnd"/>
      <w:r w:rsidR="00803BFE">
        <w:rPr>
          <w:rFonts w:cs="Times New Roman"/>
        </w:rPr>
        <w:t xml:space="preserve">: </w:t>
      </w:r>
      <w:r w:rsidR="00166883">
        <w:rPr>
          <w:rFonts w:cs="Times New Roman"/>
          <w:i/>
        </w:rPr>
        <w:t>‘</w:t>
      </w:r>
      <w:r w:rsidR="00803BFE" w:rsidRPr="00803BFE">
        <w:rPr>
          <w:rFonts w:cs="Times New Roman"/>
          <w:i/>
        </w:rPr>
        <w:t>[Q]</w:t>
      </w:r>
      <w:proofErr w:type="spellStart"/>
      <w:r w:rsidR="00803BFE" w:rsidRPr="00803BFE">
        <w:rPr>
          <w:rFonts w:cs="Times New Roman"/>
          <w:i/>
        </w:rPr>
        <w:t>ua</w:t>
      </w:r>
      <w:proofErr w:type="spellEnd"/>
      <w:r w:rsidR="00803BFE" w:rsidRPr="00803BFE">
        <w:rPr>
          <w:rFonts w:cs="Times New Roman"/>
          <w:i/>
        </w:rPr>
        <w:t xml:space="preserve"> de re </w:t>
      </w:r>
      <w:proofErr w:type="spellStart"/>
      <w:r w:rsidR="00803BFE" w:rsidRPr="00803BFE">
        <w:rPr>
          <w:rFonts w:cs="Times New Roman"/>
          <w:i/>
        </w:rPr>
        <w:t>quisque</w:t>
      </w:r>
      <w:proofErr w:type="spellEnd"/>
      <w:r w:rsidR="00803BFE" w:rsidRPr="00803BFE">
        <w:rPr>
          <w:rFonts w:cs="Times New Roman"/>
          <w:i/>
        </w:rPr>
        <w:t xml:space="preserve"> et a quo in Gallia </w:t>
      </w:r>
      <w:proofErr w:type="spellStart"/>
      <w:r w:rsidR="00803BFE" w:rsidRPr="00803BFE">
        <w:rPr>
          <w:rFonts w:cs="Times New Roman"/>
          <w:i/>
        </w:rPr>
        <w:t>Cisalpeina</w:t>
      </w:r>
      <w:proofErr w:type="spellEnd"/>
      <w:r w:rsidR="00803BFE" w:rsidRPr="00803BFE">
        <w:rPr>
          <w:rFonts w:cs="Times New Roman"/>
          <w:i/>
        </w:rPr>
        <w:t xml:space="preserve"> </w:t>
      </w:r>
      <w:proofErr w:type="spellStart"/>
      <w:r w:rsidR="00803BFE" w:rsidRPr="00803BFE">
        <w:rPr>
          <w:rFonts w:cs="Times New Roman"/>
          <w:i/>
        </w:rPr>
        <w:t>damnei</w:t>
      </w:r>
      <w:proofErr w:type="spellEnd"/>
      <w:r w:rsidR="00803BFE" w:rsidRPr="00803BFE">
        <w:rPr>
          <w:rFonts w:cs="Times New Roman"/>
          <w:i/>
        </w:rPr>
        <w:t xml:space="preserve"> </w:t>
      </w:r>
      <w:proofErr w:type="spellStart"/>
      <w:r w:rsidR="00803BFE" w:rsidRPr="00803BFE">
        <w:rPr>
          <w:rFonts w:cs="Times New Roman"/>
          <w:i/>
        </w:rPr>
        <w:t>infectei</w:t>
      </w:r>
      <w:proofErr w:type="spellEnd"/>
      <w:r w:rsidR="00803BFE" w:rsidRPr="00803BFE">
        <w:rPr>
          <w:rFonts w:cs="Times New Roman"/>
          <w:i/>
        </w:rPr>
        <w:t xml:space="preserve"> ex formula </w:t>
      </w:r>
      <w:proofErr w:type="spellStart"/>
      <w:r w:rsidR="00803BFE" w:rsidRPr="00803BFE">
        <w:rPr>
          <w:rFonts w:cs="Times New Roman"/>
          <w:i/>
        </w:rPr>
        <w:t>restipularei</w:t>
      </w:r>
      <w:proofErr w:type="spellEnd"/>
      <w:r w:rsidR="00803BFE" w:rsidRPr="00803BFE">
        <w:rPr>
          <w:rFonts w:cs="Times New Roman"/>
          <w:i/>
        </w:rPr>
        <w:t xml:space="preserve"> </w:t>
      </w:r>
      <w:proofErr w:type="spellStart"/>
      <w:r w:rsidR="00803BFE" w:rsidRPr="00803BFE">
        <w:rPr>
          <w:rFonts w:cs="Times New Roman"/>
          <w:i/>
        </w:rPr>
        <w:t>satisue</w:t>
      </w:r>
      <w:proofErr w:type="spellEnd"/>
      <w:r w:rsidR="00803BFE" w:rsidRPr="00803BFE">
        <w:rPr>
          <w:rFonts w:cs="Times New Roman"/>
          <w:i/>
        </w:rPr>
        <w:t xml:space="preserve"> </w:t>
      </w:r>
      <w:proofErr w:type="spellStart"/>
      <w:r w:rsidR="00803BFE" w:rsidRPr="00803BFE">
        <w:rPr>
          <w:rFonts w:cs="Times New Roman"/>
          <w:i/>
        </w:rPr>
        <w:t>accipere</w:t>
      </w:r>
      <w:proofErr w:type="spellEnd"/>
      <w:r w:rsidR="00803BFE" w:rsidRPr="00803BFE">
        <w:rPr>
          <w:rFonts w:cs="Times New Roman"/>
          <w:i/>
        </w:rPr>
        <w:t xml:space="preserve"> </w:t>
      </w:r>
      <w:proofErr w:type="spellStart"/>
      <w:r w:rsidR="00803BFE" w:rsidRPr="00803BFE">
        <w:rPr>
          <w:rFonts w:cs="Times New Roman"/>
          <w:i/>
        </w:rPr>
        <w:t>volet</w:t>
      </w:r>
      <w:proofErr w:type="spellEnd"/>
      <w:r w:rsidR="00803BFE">
        <w:rPr>
          <w:rFonts w:cs="Times New Roman"/>
        </w:rPr>
        <w:t>.</w:t>
      </w:r>
      <w:r w:rsidR="00166883">
        <w:rPr>
          <w:rFonts w:cs="Times New Roman"/>
        </w:rPr>
        <w:t>’</w:t>
      </w:r>
      <w:r w:rsidR="00803BFE">
        <w:rPr>
          <w:rStyle w:val="FootnoteReference"/>
          <w:rFonts w:cs="Times New Roman"/>
        </w:rPr>
        <w:footnoteReference w:id="19"/>
      </w:r>
      <w:r w:rsidR="00803BFE">
        <w:rPr>
          <w:rFonts w:cs="Times New Roman"/>
        </w:rPr>
        <w:t xml:space="preserve"> Clearly the </w:t>
      </w:r>
      <w:r w:rsidR="00803BFE">
        <w:rPr>
          <w:rFonts w:cs="Times New Roman"/>
        </w:rPr>
        <w:lastRenderedPageBreak/>
        <w:t xml:space="preserve">Romans are </w:t>
      </w:r>
      <w:r w:rsidR="003A5AFD">
        <w:rPr>
          <w:rFonts w:cs="Times New Roman"/>
        </w:rPr>
        <w:t xml:space="preserve">instructing the </w:t>
      </w:r>
      <w:proofErr w:type="spellStart"/>
      <w:r w:rsidR="003A5AFD">
        <w:rPr>
          <w:rFonts w:cs="Times New Roman"/>
        </w:rPr>
        <w:t>Transpadani</w:t>
      </w:r>
      <w:proofErr w:type="spellEnd"/>
      <w:r w:rsidR="003A5AFD">
        <w:rPr>
          <w:rFonts w:cs="Times New Roman"/>
        </w:rPr>
        <w:t xml:space="preserve"> that when it comes to the financial issues of civil law, they must proceed as the Roman</w:t>
      </w:r>
      <w:r w:rsidR="00AA0454">
        <w:rPr>
          <w:rFonts w:cs="Times New Roman"/>
        </w:rPr>
        <w:t>s</w:t>
      </w:r>
      <w:r w:rsidR="003A5AFD">
        <w:rPr>
          <w:rFonts w:cs="Times New Roman"/>
        </w:rPr>
        <w:t xml:space="preserve"> prescribe. The implication for Italian unity immediately follow</w:t>
      </w:r>
      <w:r w:rsidR="001377E6">
        <w:rPr>
          <w:rFonts w:cs="Times New Roman"/>
        </w:rPr>
        <w:t>s</w:t>
      </w:r>
      <w:r w:rsidR="003A5AFD">
        <w:rPr>
          <w:rFonts w:cs="Times New Roman"/>
        </w:rPr>
        <w:t>: there is a single manner for legal proceedings in Cisalpine Gaul, and that is the Roman manner.</w:t>
      </w:r>
    </w:p>
    <w:p w:rsidR="003A5AFD" w:rsidRDefault="003A5AFD" w:rsidP="00E46D79">
      <w:pPr>
        <w:spacing w:line="480" w:lineRule="auto"/>
        <w:jc w:val="left"/>
        <w:rPr>
          <w:rFonts w:cs="Times New Roman"/>
        </w:rPr>
      </w:pPr>
      <w:r>
        <w:rPr>
          <w:rFonts w:cs="Times New Roman"/>
        </w:rPr>
        <w:tab/>
        <w:t xml:space="preserve">Aside from </w:t>
      </w:r>
      <w:r w:rsidR="006D4EE5">
        <w:rPr>
          <w:rFonts w:cs="Times New Roman"/>
        </w:rPr>
        <w:t xml:space="preserve">these </w:t>
      </w:r>
      <w:r>
        <w:rPr>
          <w:rFonts w:cs="Times New Roman"/>
        </w:rPr>
        <w:t xml:space="preserve">general implications, there is also a very specific and practical way whereby the </w:t>
      </w:r>
      <w:proofErr w:type="spellStart"/>
      <w:r>
        <w:rPr>
          <w:rFonts w:cs="Times New Roman"/>
        </w:rPr>
        <w:t>Transpadani</w:t>
      </w:r>
      <w:proofErr w:type="spellEnd"/>
      <w:r>
        <w:rPr>
          <w:rFonts w:cs="Times New Roman"/>
        </w:rPr>
        <w:t xml:space="preserve"> are brought into the Roman orbit: </w:t>
      </w:r>
      <w:r w:rsidR="00166883">
        <w:rPr>
          <w:rFonts w:cs="Times New Roman"/>
        </w:rPr>
        <w:t>in Chapters XXI and XXII the</w:t>
      </w:r>
      <w:r w:rsidR="001377E6">
        <w:rPr>
          <w:rFonts w:cs="Times New Roman"/>
        </w:rPr>
        <w:t xml:space="preserve">y are given the </w:t>
      </w:r>
      <w:r w:rsidR="00166883">
        <w:rPr>
          <w:rFonts w:cs="Times New Roman"/>
        </w:rPr>
        <w:t>right to appeal to the Roman praetor under</w:t>
      </w:r>
      <w:r w:rsidR="006D4EE5">
        <w:rPr>
          <w:rFonts w:cs="Times New Roman"/>
        </w:rPr>
        <w:t xml:space="preserve"> the</w:t>
      </w:r>
      <w:r w:rsidR="00166883">
        <w:rPr>
          <w:rFonts w:cs="Times New Roman"/>
        </w:rPr>
        <w:t xml:space="preserve"> condition</w:t>
      </w:r>
      <w:r w:rsidR="006D4EE5">
        <w:rPr>
          <w:rFonts w:cs="Times New Roman"/>
        </w:rPr>
        <w:t xml:space="preserve"> that the matter i</w:t>
      </w:r>
      <w:r w:rsidR="00AA0454">
        <w:rPr>
          <w:rFonts w:cs="Times New Roman"/>
        </w:rPr>
        <w:t>n</w:t>
      </w:r>
      <w:r w:rsidR="006D4EE5">
        <w:rPr>
          <w:rFonts w:cs="Times New Roman"/>
        </w:rPr>
        <w:t xml:space="preserve"> dispute exceed</w:t>
      </w:r>
      <w:r w:rsidR="00AA0454">
        <w:rPr>
          <w:rFonts w:cs="Times New Roman"/>
        </w:rPr>
        <w:t>s</w:t>
      </w:r>
      <w:r w:rsidR="006D4EE5">
        <w:rPr>
          <w:rFonts w:cs="Times New Roman"/>
        </w:rPr>
        <w:t xml:space="preserve"> 15,000 sesterces</w:t>
      </w:r>
      <w:r w:rsidR="00AA0454">
        <w:rPr>
          <w:rFonts w:cs="Times New Roman"/>
        </w:rPr>
        <w:t xml:space="preserve">; the </w:t>
      </w:r>
      <w:proofErr w:type="spellStart"/>
      <w:r w:rsidR="00AA0454" w:rsidRPr="00AA0454">
        <w:rPr>
          <w:rFonts w:cs="Times New Roman"/>
          <w:i/>
        </w:rPr>
        <w:t>lex</w:t>
      </w:r>
      <w:proofErr w:type="spellEnd"/>
      <w:r w:rsidR="00AA0454">
        <w:rPr>
          <w:rFonts w:cs="Times New Roman"/>
        </w:rPr>
        <w:t xml:space="preserve"> commands that matters less than this amount be settled in the local courts</w:t>
      </w:r>
      <w:r w:rsidR="006D4EE5">
        <w:rPr>
          <w:rFonts w:cs="Times New Roman"/>
        </w:rPr>
        <w:t>.</w:t>
      </w:r>
      <w:r w:rsidR="00166883">
        <w:rPr>
          <w:rStyle w:val="FootnoteReference"/>
          <w:rFonts w:cs="Times New Roman"/>
        </w:rPr>
        <w:footnoteReference w:id="20"/>
      </w:r>
      <w:r w:rsidR="00166883">
        <w:rPr>
          <w:rFonts w:cs="Times New Roman"/>
        </w:rPr>
        <w:t xml:space="preserve"> </w:t>
      </w:r>
      <w:r w:rsidR="006D4EE5">
        <w:rPr>
          <w:rFonts w:cs="Times New Roman"/>
        </w:rPr>
        <w:t xml:space="preserve">This right of appeal </w:t>
      </w:r>
      <w:r w:rsidR="001377E6">
        <w:rPr>
          <w:rFonts w:cs="Times New Roman"/>
        </w:rPr>
        <w:t>and the conditions attached to it are</w:t>
      </w:r>
      <w:r w:rsidR="006D4EE5">
        <w:rPr>
          <w:rFonts w:cs="Times New Roman"/>
        </w:rPr>
        <w:t xml:space="preserve"> of no small importance</w:t>
      </w:r>
      <w:r w:rsidR="005B2E88">
        <w:rPr>
          <w:rFonts w:cs="Times New Roman"/>
        </w:rPr>
        <w:t>.</w:t>
      </w:r>
      <w:r w:rsidR="006D4EE5">
        <w:rPr>
          <w:rFonts w:cs="Times New Roman"/>
        </w:rPr>
        <w:t xml:space="preserve"> Hardy notes that </w:t>
      </w:r>
      <w:r w:rsidR="003A3CDB">
        <w:rPr>
          <w:rFonts w:cs="Times New Roman"/>
        </w:rPr>
        <w:t>the sum of 15,000 serves to denote a distinct break from the citizens’ former ways of legal proceedings to this new approach now that they are Roman citizens.</w:t>
      </w:r>
      <w:r w:rsidR="003A3CDB">
        <w:rPr>
          <w:rStyle w:val="FootnoteReference"/>
          <w:rFonts w:cs="Times New Roman"/>
        </w:rPr>
        <w:footnoteReference w:id="21"/>
      </w:r>
      <w:r w:rsidR="00AA0454">
        <w:rPr>
          <w:rFonts w:cs="Times New Roman"/>
        </w:rPr>
        <w:t xml:space="preserve"> Their larger business dealings are now worthy of attention in the capital itself. </w:t>
      </w:r>
      <w:r w:rsidR="007857CA">
        <w:rPr>
          <w:rFonts w:cs="Times New Roman"/>
        </w:rPr>
        <w:t xml:space="preserve">And if their business is important in Rome, it would not be unreasonable for the </w:t>
      </w:r>
      <w:proofErr w:type="spellStart"/>
      <w:r w:rsidR="007857CA">
        <w:rPr>
          <w:rFonts w:cs="Times New Roman"/>
        </w:rPr>
        <w:t>Transpadani</w:t>
      </w:r>
      <w:proofErr w:type="spellEnd"/>
      <w:r w:rsidR="007857CA">
        <w:rPr>
          <w:rFonts w:cs="Times New Roman"/>
        </w:rPr>
        <w:t xml:space="preserve"> to assume that they are important as well. This fact alone might well have contributed to forming a Rome-centered consciousness among the new citizens.</w:t>
      </w:r>
    </w:p>
    <w:p w:rsidR="00377A28" w:rsidRDefault="007857CA" w:rsidP="00E46D79">
      <w:pPr>
        <w:spacing w:line="480" w:lineRule="auto"/>
        <w:jc w:val="left"/>
        <w:rPr>
          <w:rFonts w:cs="Times New Roman"/>
        </w:rPr>
      </w:pPr>
      <w:r>
        <w:rPr>
          <w:rFonts w:cs="Times New Roman"/>
        </w:rPr>
        <w:tab/>
      </w:r>
      <w:proofErr w:type="spellStart"/>
      <w:r>
        <w:rPr>
          <w:rFonts w:cs="Times New Roman"/>
        </w:rPr>
        <w:t>Haeussler</w:t>
      </w:r>
      <w:proofErr w:type="spellEnd"/>
      <w:r>
        <w:rPr>
          <w:rFonts w:cs="Times New Roman"/>
        </w:rPr>
        <w:t xml:space="preserve"> points out that </w:t>
      </w:r>
      <w:r w:rsidR="00AF4044">
        <w:rPr>
          <w:rFonts w:cs="Times New Roman"/>
        </w:rPr>
        <w:t>it was the élite, above all, who benefited from the right of appeal to Rome: the 15,000 sesterces minimum meant that, in practice, only wealthy citizens would be able to take their cases outside of the local courts.</w:t>
      </w:r>
      <w:r w:rsidR="00AF4044">
        <w:rPr>
          <w:rStyle w:val="FootnoteReference"/>
          <w:rFonts w:cs="Times New Roman"/>
        </w:rPr>
        <w:footnoteReference w:id="22"/>
      </w:r>
      <w:r w:rsidR="00AF4044">
        <w:rPr>
          <w:rFonts w:cs="Times New Roman"/>
        </w:rPr>
        <w:t xml:space="preserve"> By this precept, </w:t>
      </w:r>
    </w:p>
    <w:p w:rsidR="00377A28" w:rsidRDefault="00AF4044" w:rsidP="00170CBA">
      <w:pPr>
        <w:ind w:firstLine="720"/>
        <w:jc w:val="left"/>
        <w:rPr>
          <w:rFonts w:cs="Times New Roman"/>
        </w:rPr>
      </w:pPr>
      <w:r>
        <w:rPr>
          <w:rFonts w:cs="Times New Roman"/>
        </w:rPr>
        <w:t xml:space="preserve">local élites across Italy of their own accord chose to interact more closely with </w:t>
      </w:r>
    </w:p>
    <w:p w:rsidR="00377A28" w:rsidRDefault="00AF4044" w:rsidP="00170CBA">
      <w:pPr>
        <w:ind w:firstLine="720"/>
        <w:jc w:val="left"/>
        <w:rPr>
          <w:rFonts w:cs="Times New Roman"/>
        </w:rPr>
      </w:pPr>
      <w:r>
        <w:rPr>
          <w:rFonts w:cs="Times New Roman"/>
        </w:rPr>
        <w:t xml:space="preserve">Roman institutions, while the </w:t>
      </w:r>
      <w:proofErr w:type="spellStart"/>
      <w:r>
        <w:rPr>
          <w:rFonts w:cs="Times New Roman"/>
          <w:i/>
        </w:rPr>
        <w:t>lex</w:t>
      </w:r>
      <w:proofErr w:type="spellEnd"/>
      <w:r>
        <w:rPr>
          <w:rFonts w:cs="Times New Roman"/>
          <w:i/>
        </w:rPr>
        <w:t xml:space="preserve"> de Gallia </w:t>
      </w:r>
      <w:proofErr w:type="spellStart"/>
      <w:r>
        <w:rPr>
          <w:rFonts w:cs="Times New Roman"/>
          <w:i/>
        </w:rPr>
        <w:t>Cisalpina</w:t>
      </w:r>
      <w:proofErr w:type="spellEnd"/>
      <w:r>
        <w:rPr>
          <w:rFonts w:cs="Times New Roman"/>
        </w:rPr>
        <w:t xml:space="preserve"> also defined—or asserted</w:t>
      </w:r>
      <w:r w:rsidR="00377A28">
        <w:rPr>
          <w:rFonts w:cs="Times New Roman"/>
        </w:rPr>
        <w:t>—</w:t>
      </w:r>
    </w:p>
    <w:p w:rsidR="00377A28" w:rsidRDefault="00377A28" w:rsidP="00170CBA">
      <w:pPr>
        <w:ind w:firstLine="720"/>
        <w:jc w:val="left"/>
        <w:rPr>
          <w:rFonts w:cs="Times New Roman"/>
        </w:rPr>
      </w:pPr>
      <w:r>
        <w:rPr>
          <w:rFonts w:cs="Times New Roman"/>
        </w:rPr>
        <w:t xml:space="preserve">their authority in jurisprudence which helped to stabilize local hierarchies, while at </w:t>
      </w:r>
    </w:p>
    <w:p w:rsidR="00377A28" w:rsidRDefault="00377A28" w:rsidP="00170CBA">
      <w:pPr>
        <w:ind w:firstLine="720"/>
        <w:jc w:val="left"/>
        <w:rPr>
          <w:rFonts w:cs="Times New Roman"/>
        </w:rPr>
      </w:pPr>
      <w:r>
        <w:rPr>
          <w:rFonts w:cs="Times New Roman"/>
        </w:rPr>
        <w:t xml:space="preserve">the same time spreading Roman concepts of law, morality and jurisdiction across </w:t>
      </w:r>
    </w:p>
    <w:p w:rsidR="00170CBA" w:rsidRDefault="00377A28" w:rsidP="00170CBA">
      <w:pPr>
        <w:ind w:firstLine="720"/>
        <w:jc w:val="left"/>
        <w:rPr>
          <w:rFonts w:cs="Times New Roman"/>
        </w:rPr>
      </w:pPr>
      <w:r>
        <w:rPr>
          <w:rFonts w:cs="Times New Roman"/>
        </w:rPr>
        <w:t>Cisalpine Gaul.</w:t>
      </w:r>
      <w:r>
        <w:rPr>
          <w:rStyle w:val="FootnoteReference"/>
          <w:rFonts w:cs="Times New Roman"/>
        </w:rPr>
        <w:footnoteReference w:id="23"/>
      </w:r>
    </w:p>
    <w:p w:rsidR="00377A28" w:rsidRDefault="00377A28" w:rsidP="00E46D79">
      <w:pPr>
        <w:spacing w:line="480" w:lineRule="auto"/>
        <w:jc w:val="left"/>
        <w:rPr>
          <w:rFonts w:cs="Times New Roman"/>
        </w:rPr>
      </w:pPr>
      <w:r>
        <w:rPr>
          <w:rFonts w:cs="Times New Roman"/>
        </w:rPr>
        <w:lastRenderedPageBreak/>
        <w:t xml:space="preserve">Since the right of appeal enabled the </w:t>
      </w:r>
      <w:proofErr w:type="spellStart"/>
      <w:r>
        <w:rPr>
          <w:rFonts w:cs="Times New Roman"/>
        </w:rPr>
        <w:t>Transpadani</w:t>
      </w:r>
      <w:proofErr w:type="spellEnd"/>
      <w:r>
        <w:rPr>
          <w:rFonts w:cs="Times New Roman"/>
        </w:rPr>
        <w:t xml:space="preserve"> élites to benefit themselves vis-à-vis the locals, these same élites helped with unifying Italy by bringing</w:t>
      </w:r>
      <w:r w:rsidR="00ED54C1">
        <w:rPr>
          <w:rFonts w:cs="Times New Roman"/>
        </w:rPr>
        <w:t xml:space="preserve"> Roman legal tactics and philosophy to their own region. </w:t>
      </w:r>
      <w:r w:rsidR="001377E6">
        <w:rPr>
          <w:rFonts w:cs="Times New Roman"/>
        </w:rPr>
        <w:t>The fervor with which they spread these concepts at home would contribute substantially to the adoption of a more Roman way of thinking and proceeding.</w:t>
      </w:r>
    </w:p>
    <w:p w:rsidR="00377A28" w:rsidRPr="000B0A06" w:rsidRDefault="00335567" w:rsidP="00E46D79">
      <w:pPr>
        <w:spacing w:line="480" w:lineRule="auto"/>
        <w:jc w:val="left"/>
        <w:rPr>
          <w:rFonts w:cs="Times New Roman"/>
        </w:rPr>
      </w:pPr>
      <w:r>
        <w:rPr>
          <w:rFonts w:cs="Times New Roman"/>
        </w:rPr>
        <w:tab/>
      </w:r>
      <w:r w:rsidR="005F3847">
        <w:rPr>
          <w:rFonts w:cs="Times New Roman"/>
        </w:rPr>
        <w:t xml:space="preserve">There is a second factor in the </w:t>
      </w:r>
      <w:r w:rsidR="005F3847">
        <w:rPr>
          <w:rFonts w:cs="Times New Roman"/>
          <w:i/>
        </w:rPr>
        <w:t xml:space="preserve">Lex de Gallia </w:t>
      </w:r>
      <w:proofErr w:type="spellStart"/>
      <w:r w:rsidR="005F3847">
        <w:rPr>
          <w:rFonts w:cs="Times New Roman"/>
          <w:i/>
        </w:rPr>
        <w:t>Cisalpina</w:t>
      </w:r>
      <w:proofErr w:type="spellEnd"/>
      <w:r w:rsidR="005F3847">
        <w:rPr>
          <w:rFonts w:cs="Times New Roman"/>
          <w:i/>
        </w:rPr>
        <w:t xml:space="preserve"> </w:t>
      </w:r>
      <w:r w:rsidR="005F3847">
        <w:rPr>
          <w:rFonts w:cs="Times New Roman"/>
        </w:rPr>
        <w:t xml:space="preserve">that contributed to unifying Italy. </w:t>
      </w:r>
      <w:r>
        <w:rPr>
          <w:rFonts w:cs="Times New Roman"/>
        </w:rPr>
        <w:t>As much as the</w:t>
      </w:r>
      <w:r w:rsidR="005F3847">
        <w:rPr>
          <w:rFonts w:cs="Times New Roman"/>
        </w:rPr>
        <w:t xml:space="preserve"> </w:t>
      </w:r>
      <w:proofErr w:type="spellStart"/>
      <w:r w:rsidR="005F3847">
        <w:rPr>
          <w:rFonts w:cs="Times New Roman"/>
          <w:i/>
        </w:rPr>
        <w:t>lex</w:t>
      </w:r>
      <w:proofErr w:type="spellEnd"/>
      <w:r>
        <w:rPr>
          <w:rFonts w:cs="Times New Roman"/>
        </w:rPr>
        <w:t xml:space="preserve"> dictates the practices for the local magistrates, the concluding sentence of Chapter XX turns its attention to Roman magistrates with imperium: </w:t>
      </w:r>
      <w:r w:rsidR="000B0A06">
        <w:rPr>
          <w:rFonts w:cs="Times New Roman"/>
        </w:rPr>
        <w:t>‘</w:t>
      </w:r>
      <w:proofErr w:type="spellStart"/>
      <w:r w:rsidRPr="00335567">
        <w:rPr>
          <w:rFonts w:cs="Times New Roman"/>
          <w:i/>
        </w:rPr>
        <w:t>neiue</w:t>
      </w:r>
      <w:proofErr w:type="spellEnd"/>
      <w:r w:rsidRPr="00335567">
        <w:rPr>
          <w:rFonts w:cs="Times New Roman"/>
          <w:i/>
        </w:rPr>
        <w:t xml:space="preserve"> </w:t>
      </w:r>
      <w:proofErr w:type="spellStart"/>
      <w:r w:rsidRPr="00335567">
        <w:rPr>
          <w:rFonts w:cs="Times New Roman"/>
          <w:i/>
        </w:rPr>
        <w:t>quis</w:t>
      </w:r>
      <w:proofErr w:type="spellEnd"/>
      <w:r w:rsidRPr="00335567">
        <w:rPr>
          <w:rFonts w:cs="Times New Roman"/>
          <w:i/>
        </w:rPr>
        <w:t xml:space="preserve"> mag(</w:t>
      </w:r>
      <w:proofErr w:type="spellStart"/>
      <w:r w:rsidRPr="00335567">
        <w:rPr>
          <w:rFonts w:cs="Times New Roman"/>
          <w:i/>
        </w:rPr>
        <w:t>istratus</w:t>
      </w:r>
      <w:proofErr w:type="spellEnd"/>
      <w:r w:rsidRPr="00335567">
        <w:rPr>
          <w:rFonts w:cs="Times New Roman"/>
          <w:i/>
        </w:rPr>
        <w:t>)</w:t>
      </w:r>
      <w:r>
        <w:rPr>
          <w:rFonts w:cs="Times New Roman"/>
        </w:rPr>
        <w:t xml:space="preserve"> </w:t>
      </w:r>
      <w:proofErr w:type="spellStart"/>
      <w:r w:rsidRPr="00335567">
        <w:rPr>
          <w:rFonts w:cs="Times New Roman"/>
          <w:i/>
        </w:rPr>
        <w:t>proue</w:t>
      </w:r>
      <w:proofErr w:type="spellEnd"/>
      <w:r w:rsidRPr="00335567">
        <w:rPr>
          <w:rFonts w:cs="Times New Roman"/>
          <w:i/>
        </w:rPr>
        <w:t xml:space="preserve"> mag(</w:t>
      </w:r>
      <w:proofErr w:type="spellStart"/>
      <w:r w:rsidRPr="00335567">
        <w:rPr>
          <w:rFonts w:cs="Times New Roman"/>
          <w:i/>
        </w:rPr>
        <w:t>istratu</w:t>
      </w:r>
      <w:proofErr w:type="spellEnd"/>
      <w:r w:rsidRPr="00335567">
        <w:rPr>
          <w:rFonts w:cs="Times New Roman"/>
          <w:i/>
        </w:rPr>
        <w:t xml:space="preserve">) </w:t>
      </w:r>
      <w:proofErr w:type="spellStart"/>
      <w:r w:rsidRPr="00335567">
        <w:rPr>
          <w:rFonts w:cs="Times New Roman"/>
          <w:i/>
        </w:rPr>
        <w:t>neiue</w:t>
      </w:r>
      <w:proofErr w:type="spellEnd"/>
      <w:r>
        <w:rPr>
          <w:rFonts w:cs="Times New Roman"/>
          <w:i/>
        </w:rPr>
        <w:t xml:space="preserve"> </w:t>
      </w:r>
      <w:proofErr w:type="spellStart"/>
      <w:r>
        <w:rPr>
          <w:rFonts w:cs="Times New Roman"/>
          <w:i/>
        </w:rPr>
        <w:t>quis</w:t>
      </w:r>
      <w:proofErr w:type="spellEnd"/>
      <w:r>
        <w:rPr>
          <w:rFonts w:cs="Times New Roman"/>
          <w:i/>
        </w:rPr>
        <w:t xml:space="preserve">, pro quo </w:t>
      </w:r>
      <w:proofErr w:type="spellStart"/>
      <w:r>
        <w:rPr>
          <w:rFonts w:cs="Times New Roman"/>
          <w:i/>
        </w:rPr>
        <w:t>imperio</w:t>
      </w:r>
      <w:proofErr w:type="spellEnd"/>
      <w:r>
        <w:rPr>
          <w:rFonts w:cs="Times New Roman"/>
          <w:i/>
        </w:rPr>
        <w:t xml:space="preserve"> </w:t>
      </w:r>
      <w:proofErr w:type="spellStart"/>
      <w:r>
        <w:rPr>
          <w:rFonts w:cs="Times New Roman"/>
          <w:i/>
        </w:rPr>
        <w:t>potestateue</w:t>
      </w:r>
      <w:proofErr w:type="spellEnd"/>
      <w:r>
        <w:rPr>
          <w:rFonts w:cs="Times New Roman"/>
          <w:i/>
        </w:rPr>
        <w:t xml:space="preserve"> </w:t>
      </w:r>
      <w:proofErr w:type="spellStart"/>
      <w:r>
        <w:rPr>
          <w:rFonts w:cs="Times New Roman"/>
          <w:i/>
        </w:rPr>
        <w:t>erit</w:t>
      </w:r>
      <w:proofErr w:type="spellEnd"/>
      <w:r>
        <w:rPr>
          <w:rFonts w:cs="Times New Roman"/>
          <w:i/>
        </w:rPr>
        <w:t xml:space="preserve">, </w:t>
      </w:r>
      <w:proofErr w:type="spellStart"/>
      <w:r w:rsidR="000B0A06">
        <w:rPr>
          <w:rFonts w:cs="Times New Roman"/>
          <w:i/>
        </w:rPr>
        <w:t>intercedito</w:t>
      </w:r>
      <w:proofErr w:type="spellEnd"/>
      <w:r w:rsidR="000B0A06">
        <w:rPr>
          <w:rFonts w:cs="Times New Roman"/>
          <w:i/>
        </w:rPr>
        <w:t xml:space="preserve"> </w:t>
      </w:r>
      <w:proofErr w:type="spellStart"/>
      <w:r w:rsidR="000B0A06">
        <w:rPr>
          <w:rFonts w:cs="Times New Roman"/>
          <w:i/>
        </w:rPr>
        <w:t>neiue</w:t>
      </w:r>
      <w:proofErr w:type="spellEnd"/>
      <w:r w:rsidR="000B0A06">
        <w:rPr>
          <w:rFonts w:cs="Times New Roman"/>
          <w:i/>
        </w:rPr>
        <w:t xml:space="preserve"> </w:t>
      </w:r>
      <w:proofErr w:type="spellStart"/>
      <w:r w:rsidR="000B0A06">
        <w:rPr>
          <w:rFonts w:cs="Times New Roman"/>
          <w:i/>
        </w:rPr>
        <w:t>aliud</w:t>
      </w:r>
      <w:proofErr w:type="spellEnd"/>
      <w:r w:rsidR="000B0A06">
        <w:rPr>
          <w:rFonts w:cs="Times New Roman"/>
          <w:i/>
        </w:rPr>
        <w:t xml:space="preserve"> </w:t>
      </w:r>
      <w:proofErr w:type="spellStart"/>
      <w:r w:rsidR="000B0A06">
        <w:rPr>
          <w:rFonts w:cs="Times New Roman"/>
          <w:i/>
        </w:rPr>
        <w:t>facito</w:t>
      </w:r>
      <w:proofErr w:type="spellEnd"/>
      <w:r w:rsidR="000B0A06">
        <w:rPr>
          <w:rFonts w:cs="Times New Roman"/>
          <w:i/>
        </w:rPr>
        <w:t xml:space="preserve">, quo minus d(e) e(a) r(e) </w:t>
      </w:r>
      <w:proofErr w:type="spellStart"/>
      <w:r w:rsidR="000B0A06">
        <w:rPr>
          <w:rFonts w:cs="Times New Roman"/>
          <w:i/>
        </w:rPr>
        <w:t>ita</w:t>
      </w:r>
      <w:proofErr w:type="spellEnd"/>
      <w:r w:rsidR="000B0A06">
        <w:rPr>
          <w:rFonts w:cs="Times New Roman"/>
          <w:i/>
        </w:rPr>
        <w:t xml:space="preserve"> </w:t>
      </w:r>
      <w:proofErr w:type="spellStart"/>
      <w:r w:rsidR="000B0A06">
        <w:rPr>
          <w:rFonts w:cs="Times New Roman"/>
          <w:i/>
        </w:rPr>
        <w:t>iudicium</w:t>
      </w:r>
      <w:proofErr w:type="spellEnd"/>
      <w:r w:rsidR="000B0A06">
        <w:rPr>
          <w:rFonts w:cs="Times New Roman"/>
          <w:i/>
        </w:rPr>
        <w:t xml:space="preserve"> </w:t>
      </w:r>
      <w:proofErr w:type="spellStart"/>
      <w:r w:rsidR="000B0A06">
        <w:rPr>
          <w:rFonts w:cs="Times New Roman"/>
          <w:i/>
        </w:rPr>
        <w:t>detur</w:t>
      </w:r>
      <w:proofErr w:type="spellEnd"/>
      <w:r w:rsidR="000B0A06">
        <w:rPr>
          <w:rFonts w:cs="Times New Roman"/>
          <w:i/>
        </w:rPr>
        <w:t xml:space="preserve"> </w:t>
      </w:r>
      <w:proofErr w:type="spellStart"/>
      <w:r w:rsidR="000B0A06">
        <w:rPr>
          <w:rFonts w:cs="Times New Roman"/>
          <w:i/>
        </w:rPr>
        <w:t>iudiceturque</w:t>
      </w:r>
      <w:proofErr w:type="spellEnd"/>
      <w:r w:rsidR="000B0A06">
        <w:rPr>
          <w:rFonts w:cs="Times New Roman"/>
          <w:i/>
        </w:rPr>
        <w:t>.</w:t>
      </w:r>
      <w:r w:rsidR="000B0A06">
        <w:rPr>
          <w:rFonts w:cs="Times New Roman"/>
        </w:rPr>
        <w:t>’</w:t>
      </w:r>
      <w:r w:rsidR="000B0A06">
        <w:rPr>
          <w:rStyle w:val="FootnoteReference"/>
          <w:rFonts w:cs="Times New Roman"/>
        </w:rPr>
        <w:footnoteReference w:id="24"/>
      </w:r>
      <w:r w:rsidR="000B0A06">
        <w:rPr>
          <w:rFonts w:cs="Times New Roman"/>
        </w:rPr>
        <w:t xml:space="preserve"> By ordering Roman magistrates not to use their imperium to intercede in cases that should remain on the local level, the </w:t>
      </w:r>
      <w:proofErr w:type="spellStart"/>
      <w:r w:rsidR="000B0A06">
        <w:rPr>
          <w:rFonts w:cs="Times New Roman"/>
          <w:i/>
        </w:rPr>
        <w:t>lex</w:t>
      </w:r>
      <w:proofErr w:type="spellEnd"/>
      <w:r w:rsidR="000B0A06">
        <w:rPr>
          <w:rFonts w:cs="Times New Roman"/>
        </w:rPr>
        <w:t xml:space="preserve"> confirms Potter’s observation, mentioned earlier, that the posted laws also delineated—and limited—their power. To the extent that such restrictions were obeyed by the Roman magistrates, this stipulation could have contributed to Italian unification by fostering trust between the locals and the more powerful Roman representatives. The </w:t>
      </w:r>
      <w:proofErr w:type="spellStart"/>
      <w:r w:rsidR="000B0A06">
        <w:rPr>
          <w:rFonts w:cs="Times New Roman"/>
        </w:rPr>
        <w:t>Transpadani</w:t>
      </w:r>
      <w:proofErr w:type="spellEnd"/>
      <w:r w:rsidR="000B0A06">
        <w:rPr>
          <w:rFonts w:cs="Times New Roman"/>
        </w:rPr>
        <w:t xml:space="preserve">, like citizens in the other </w:t>
      </w:r>
      <w:proofErr w:type="spellStart"/>
      <w:r w:rsidR="000B0A06">
        <w:rPr>
          <w:rFonts w:cs="Times New Roman"/>
          <w:i/>
        </w:rPr>
        <w:t>municipia</w:t>
      </w:r>
      <w:proofErr w:type="spellEnd"/>
      <w:r w:rsidR="000B0A06">
        <w:rPr>
          <w:rFonts w:cs="Times New Roman"/>
        </w:rPr>
        <w:t xml:space="preserve"> in Italy, would be more likely to accept and then adopt Roman customs and practices if they saw the Romans foster healthy intra-community relations, rather than threaten these relations with suppression by superior force. </w:t>
      </w:r>
    </w:p>
    <w:p w:rsidR="00166883" w:rsidRDefault="00166883" w:rsidP="00E46D79">
      <w:pPr>
        <w:spacing w:line="480" w:lineRule="auto"/>
        <w:jc w:val="left"/>
        <w:rPr>
          <w:rFonts w:cs="Times New Roman"/>
        </w:rPr>
      </w:pPr>
      <w:r>
        <w:rPr>
          <w:rFonts w:cs="Times New Roman"/>
        </w:rPr>
        <w:tab/>
      </w:r>
      <w:r w:rsidR="001377E6">
        <w:rPr>
          <w:rFonts w:cs="Times New Roman"/>
        </w:rPr>
        <w:t xml:space="preserve">The date of the </w:t>
      </w:r>
      <w:r w:rsidR="001377E6">
        <w:rPr>
          <w:rFonts w:cs="Times New Roman"/>
          <w:i/>
        </w:rPr>
        <w:t xml:space="preserve">Lex de Gallia </w:t>
      </w:r>
      <w:proofErr w:type="spellStart"/>
      <w:r w:rsidR="001377E6">
        <w:rPr>
          <w:rFonts w:cs="Times New Roman"/>
          <w:i/>
        </w:rPr>
        <w:t>Cisalpina</w:t>
      </w:r>
      <w:proofErr w:type="spellEnd"/>
      <w:r w:rsidR="001377E6">
        <w:rPr>
          <w:rFonts w:cs="Times New Roman"/>
        </w:rPr>
        <w:t xml:space="preserve"> is disputed</w:t>
      </w:r>
      <w:r w:rsidR="000448E0">
        <w:rPr>
          <w:rFonts w:cs="Times New Roman"/>
        </w:rPr>
        <w:t xml:space="preserve">: Was it promulgated immediately after the </w:t>
      </w:r>
      <w:proofErr w:type="spellStart"/>
      <w:r w:rsidR="000448E0">
        <w:rPr>
          <w:rFonts w:cs="Times New Roman"/>
        </w:rPr>
        <w:t>Transpadani</w:t>
      </w:r>
      <w:proofErr w:type="spellEnd"/>
      <w:r w:rsidR="000448E0">
        <w:rPr>
          <w:rFonts w:cs="Times New Roman"/>
        </w:rPr>
        <w:t xml:space="preserve"> received citizenship under the auspices of Julius Caesar, or was it enacted after Cisalpine Gaul lost its provincial status in 41 BC? In the surviving fragment alone, there is no indication of its date of composition. Arguing for the earlier date is E.G. Hardy, who points to the Este Fragment as justification.</w:t>
      </w:r>
      <w:r w:rsidR="000448E0">
        <w:rPr>
          <w:rStyle w:val="FootnoteReference"/>
          <w:rFonts w:cs="Times New Roman"/>
        </w:rPr>
        <w:footnoteReference w:id="25"/>
      </w:r>
      <w:r w:rsidR="00CB6017">
        <w:rPr>
          <w:rFonts w:cs="Times New Roman"/>
        </w:rPr>
        <w:t xml:space="preserve"> The fragments found at Este, he argues, </w:t>
      </w:r>
      <w:r w:rsidR="00066E45">
        <w:rPr>
          <w:rFonts w:cs="Times New Roman"/>
        </w:rPr>
        <w:t>‘</w:t>
      </w:r>
      <w:r w:rsidR="00CB6017">
        <w:rPr>
          <w:rFonts w:cs="Times New Roman"/>
        </w:rPr>
        <w:t xml:space="preserve">almost certainly </w:t>
      </w:r>
      <w:r w:rsidR="00CB6017">
        <w:rPr>
          <w:rFonts w:cs="Times New Roman"/>
        </w:rPr>
        <w:lastRenderedPageBreak/>
        <w:t>belong</w:t>
      </w:r>
      <w:r w:rsidR="00066E45">
        <w:rPr>
          <w:rFonts w:cs="Times New Roman"/>
        </w:rPr>
        <w:t>’</w:t>
      </w:r>
      <w:r w:rsidR="00CB6017">
        <w:rPr>
          <w:rFonts w:cs="Times New Roman"/>
        </w:rPr>
        <w:t xml:space="preserve"> to the </w:t>
      </w:r>
      <w:r w:rsidR="00CB6017">
        <w:rPr>
          <w:rFonts w:cs="Times New Roman"/>
          <w:i/>
        </w:rPr>
        <w:t xml:space="preserve">Lex de Gallia </w:t>
      </w:r>
      <w:proofErr w:type="spellStart"/>
      <w:r w:rsidR="00CB6017">
        <w:rPr>
          <w:rFonts w:cs="Times New Roman"/>
          <w:i/>
        </w:rPr>
        <w:t>Cisalpina</w:t>
      </w:r>
      <w:proofErr w:type="spellEnd"/>
      <w:r w:rsidR="00CB6017">
        <w:rPr>
          <w:rFonts w:cs="Times New Roman"/>
        </w:rPr>
        <w:t xml:space="preserve"> because in the former text </w:t>
      </w:r>
      <w:r w:rsidR="00066E45">
        <w:rPr>
          <w:rFonts w:cs="Times New Roman"/>
        </w:rPr>
        <w:t>‘</w:t>
      </w:r>
      <w:r w:rsidR="00CB6017">
        <w:rPr>
          <w:rFonts w:cs="Times New Roman"/>
        </w:rPr>
        <w:t xml:space="preserve">allusion is made to a law passed by L. </w:t>
      </w:r>
      <w:proofErr w:type="spellStart"/>
      <w:r w:rsidR="00CB6017">
        <w:rPr>
          <w:rFonts w:cs="Times New Roman"/>
        </w:rPr>
        <w:t>Roscius</w:t>
      </w:r>
      <w:proofErr w:type="spellEnd"/>
      <w:r w:rsidR="00CB6017">
        <w:rPr>
          <w:rFonts w:cs="Times New Roman"/>
        </w:rPr>
        <w:t xml:space="preserve"> on the 11</w:t>
      </w:r>
      <w:r w:rsidR="00CB6017" w:rsidRPr="00CB6017">
        <w:rPr>
          <w:rFonts w:cs="Times New Roman"/>
          <w:vertAlign w:val="superscript"/>
        </w:rPr>
        <w:t>th</w:t>
      </w:r>
      <w:r w:rsidR="00CB6017">
        <w:rPr>
          <w:rFonts w:cs="Times New Roman"/>
        </w:rPr>
        <w:t xml:space="preserve"> of March, clearly in the same year in which the law itself was passed.</w:t>
      </w:r>
      <w:r w:rsidR="00066E45">
        <w:rPr>
          <w:rFonts w:cs="Times New Roman"/>
        </w:rPr>
        <w:t>’</w:t>
      </w:r>
      <w:r w:rsidR="00CB6017">
        <w:rPr>
          <w:rStyle w:val="FootnoteReference"/>
          <w:rFonts w:cs="Times New Roman"/>
        </w:rPr>
        <w:footnoteReference w:id="26"/>
      </w:r>
    </w:p>
    <w:p w:rsidR="00DB167A" w:rsidRDefault="00DB167A" w:rsidP="00E46D79">
      <w:pPr>
        <w:spacing w:line="480" w:lineRule="auto"/>
        <w:jc w:val="left"/>
        <w:rPr>
          <w:rFonts w:cs="Times New Roman"/>
        </w:rPr>
      </w:pPr>
      <w:r>
        <w:rPr>
          <w:rFonts w:cs="Times New Roman"/>
        </w:rPr>
        <w:tab/>
        <w:t xml:space="preserve">If Hardy’s dating is correct, then the </w:t>
      </w:r>
      <w:r>
        <w:rPr>
          <w:rFonts w:cs="Times New Roman"/>
          <w:i/>
        </w:rPr>
        <w:t xml:space="preserve">Lex de Gallia </w:t>
      </w:r>
      <w:proofErr w:type="spellStart"/>
      <w:r>
        <w:rPr>
          <w:rFonts w:cs="Times New Roman"/>
          <w:i/>
        </w:rPr>
        <w:t>Cisalpina</w:t>
      </w:r>
      <w:proofErr w:type="spellEnd"/>
      <w:r>
        <w:rPr>
          <w:rFonts w:cs="Times New Roman"/>
        </w:rPr>
        <w:t xml:space="preserve"> </w:t>
      </w:r>
      <w:r w:rsidR="00066E45">
        <w:rPr>
          <w:rFonts w:cs="Times New Roman"/>
        </w:rPr>
        <w:t>‘</w:t>
      </w:r>
      <w:r>
        <w:rPr>
          <w:rFonts w:cs="Times New Roman"/>
        </w:rPr>
        <w:t>simply made applicable to it the same judicial principles, the same forms of procedure, and the same lines of demarcation between local and imperial competence, which had long, either by custom or by statute, been in force for the rest of Italy.</w:t>
      </w:r>
      <w:r w:rsidR="00066E45">
        <w:rPr>
          <w:rFonts w:cs="Times New Roman"/>
        </w:rPr>
        <w:t>’</w:t>
      </w:r>
      <w:r>
        <w:rPr>
          <w:rStyle w:val="FootnoteReference"/>
          <w:rFonts w:cs="Times New Roman"/>
        </w:rPr>
        <w:footnoteReference w:id="27"/>
      </w:r>
      <w:r>
        <w:rPr>
          <w:rFonts w:cs="Times New Roman"/>
        </w:rPr>
        <w:t xml:space="preserve"> In other words, the purpose of the </w:t>
      </w:r>
      <w:proofErr w:type="spellStart"/>
      <w:r>
        <w:rPr>
          <w:rFonts w:cs="Times New Roman"/>
          <w:i/>
        </w:rPr>
        <w:t>lex</w:t>
      </w:r>
      <w:proofErr w:type="spellEnd"/>
      <w:r>
        <w:rPr>
          <w:rFonts w:cs="Times New Roman"/>
        </w:rPr>
        <w:t xml:space="preserve"> was to </w:t>
      </w:r>
      <w:r w:rsidR="00973D5B">
        <w:rPr>
          <w:rFonts w:cs="Times New Roman"/>
        </w:rPr>
        <w:t>help</w:t>
      </w:r>
      <w:r w:rsidR="00066E45">
        <w:rPr>
          <w:rFonts w:cs="Times New Roman"/>
        </w:rPr>
        <w:t xml:space="preserve"> the</w:t>
      </w:r>
      <w:r>
        <w:rPr>
          <w:rFonts w:cs="Times New Roman"/>
        </w:rPr>
        <w:t xml:space="preserve"> region north of the River Po </w:t>
      </w:r>
      <w:r w:rsidR="00973D5B">
        <w:rPr>
          <w:rFonts w:cs="Times New Roman"/>
        </w:rPr>
        <w:t>to</w:t>
      </w:r>
      <w:r>
        <w:rPr>
          <w:rFonts w:cs="Times New Roman"/>
        </w:rPr>
        <w:t xml:space="preserve"> </w:t>
      </w:r>
      <w:r w:rsidR="00066E45">
        <w:rPr>
          <w:rFonts w:cs="Times New Roman"/>
        </w:rPr>
        <w:t>“catch up” with the rest of Italy, where the march to Romanization had already begun.</w:t>
      </w:r>
      <w:r>
        <w:rPr>
          <w:rFonts w:cs="Times New Roman"/>
        </w:rPr>
        <w:t xml:space="preserve"> </w:t>
      </w:r>
      <w:r w:rsidR="00066E45">
        <w:rPr>
          <w:rFonts w:cs="Times New Roman"/>
        </w:rPr>
        <w:t>In addition, Caesar, who at the time was at war with Pompey and the senate, could well have benefited from more support from</w:t>
      </w:r>
      <w:r w:rsidR="00973D5B">
        <w:rPr>
          <w:rFonts w:cs="Times New Roman"/>
        </w:rPr>
        <w:t xml:space="preserve"> a greater number of</w:t>
      </w:r>
      <w:r w:rsidR="00066E45">
        <w:rPr>
          <w:rFonts w:cs="Times New Roman"/>
        </w:rPr>
        <w:t xml:space="preserve"> Roman citizens. It w</w:t>
      </w:r>
      <w:r w:rsidR="00973D5B">
        <w:rPr>
          <w:rFonts w:cs="Times New Roman"/>
        </w:rPr>
        <w:t>ould be</w:t>
      </w:r>
      <w:r w:rsidR="00066E45">
        <w:rPr>
          <w:rFonts w:cs="Times New Roman"/>
        </w:rPr>
        <w:t xml:space="preserve"> to his advantage </w:t>
      </w:r>
      <w:r w:rsidR="007A403D">
        <w:rPr>
          <w:rFonts w:cs="Times New Roman"/>
        </w:rPr>
        <w:t>for</w:t>
      </w:r>
      <w:r w:rsidR="00066E45">
        <w:rPr>
          <w:rFonts w:cs="Times New Roman"/>
        </w:rPr>
        <w:t xml:space="preserve"> the </w:t>
      </w:r>
      <w:proofErr w:type="spellStart"/>
      <w:r w:rsidR="00066E45">
        <w:rPr>
          <w:rFonts w:cs="Times New Roman"/>
        </w:rPr>
        <w:t>Transpadani</w:t>
      </w:r>
      <w:proofErr w:type="spellEnd"/>
      <w:r w:rsidR="007A403D">
        <w:rPr>
          <w:rFonts w:cs="Times New Roman"/>
        </w:rPr>
        <w:t xml:space="preserve"> to</w:t>
      </w:r>
      <w:r w:rsidR="00066E45">
        <w:rPr>
          <w:rFonts w:cs="Times New Roman"/>
        </w:rPr>
        <w:t xml:space="preserve"> become citizens and </w:t>
      </w:r>
      <w:r w:rsidR="007A403D">
        <w:rPr>
          <w:rFonts w:cs="Times New Roman"/>
        </w:rPr>
        <w:t xml:space="preserve">to </w:t>
      </w:r>
      <w:r w:rsidR="00066E45">
        <w:rPr>
          <w:rFonts w:cs="Times New Roman"/>
        </w:rPr>
        <w:t>learn the rules of their new status as quickly as possible.</w:t>
      </w:r>
    </w:p>
    <w:p w:rsidR="00066E45" w:rsidRDefault="00066E45" w:rsidP="00E46D79">
      <w:pPr>
        <w:spacing w:line="480" w:lineRule="auto"/>
        <w:jc w:val="left"/>
        <w:rPr>
          <w:rFonts w:cs="Times New Roman"/>
        </w:rPr>
      </w:pPr>
      <w:r>
        <w:rPr>
          <w:rFonts w:cs="Times New Roman"/>
        </w:rPr>
        <w:tab/>
        <w:t>The earlier date championed by Hardy is not without questions or critic</w:t>
      </w:r>
      <w:r w:rsidR="00973D5B">
        <w:rPr>
          <w:rFonts w:cs="Times New Roman"/>
        </w:rPr>
        <w:t>isms</w:t>
      </w:r>
      <w:r>
        <w:rPr>
          <w:rFonts w:cs="Times New Roman"/>
        </w:rPr>
        <w:t xml:space="preserve">. Hardy’s main piece of evidence—that the Este Fragment is the same law as the </w:t>
      </w:r>
      <w:r>
        <w:rPr>
          <w:rFonts w:cs="Times New Roman"/>
          <w:i/>
        </w:rPr>
        <w:t xml:space="preserve">Lex de Gallia </w:t>
      </w:r>
      <w:proofErr w:type="spellStart"/>
      <w:r>
        <w:rPr>
          <w:rFonts w:cs="Times New Roman"/>
          <w:i/>
        </w:rPr>
        <w:t>Cisalpina</w:t>
      </w:r>
      <w:proofErr w:type="spellEnd"/>
      <w:r>
        <w:rPr>
          <w:rFonts w:cs="Times New Roman"/>
        </w:rPr>
        <w:t xml:space="preserve">—is rejected by Crawford and by </w:t>
      </w:r>
      <w:proofErr w:type="spellStart"/>
      <w:r>
        <w:rPr>
          <w:rFonts w:cs="Times New Roman"/>
        </w:rPr>
        <w:t>Ha</w:t>
      </w:r>
      <w:r w:rsidR="008308A9">
        <w:rPr>
          <w:rFonts w:cs="Times New Roman"/>
        </w:rPr>
        <w:t>eu</w:t>
      </w:r>
      <w:r>
        <w:rPr>
          <w:rFonts w:cs="Times New Roman"/>
        </w:rPr>
        <w:t>ssler</w:t>
      </w:r>
      <w:proofErr w:type="spellEnd"/>
      <w:r>
        <w:rPr>
          <w:rFonts w:cs="Times New Roman"/>
        </w:rPr>
        <w:t>.</w:t>
      </w:r>
      <w:r>
        <w:rPr>
          <w:rStyle w:val="FootnoteReference"/>
          <w:rFonts w:cs="Times New Roman"/>
        </w:rPr>
        <w:footnoteReference w:id="28"/>
      </w:r>
      <w:r w:rsidR="008308A9">
        <w:rPr>
          <w:rFonts w:cs="Times New Roman"/>
        </w:rPr>
        <w:t xml:space="preserve"> For them, the two laws are different, with the Este Fragment </w:t>
      </w:r>
      <w:r w:rsidR="00EE26BA">
        <w:rPr>
          <w:rFonts w:cs="Times New Roman"/>
        </w:rPr>
        <w:t>concerned with only three types of communities</w:t>
      </w:r>
      <w:r w:rsidR="00973D5B">
        <w:rPr>
          <w:rFonts w:cs="Times New Roman"/>
        </w:rPr>
        <w:t xml:space="preserve"> (as opposed to the </w:t>
      </w:r>
      <w:proofErr w:type="spellStart"/>
      <w:r w:rsidR="00973D5B">
        <w:rPr>
          <w:rFonts w:cs="Times New Roman"/>
          <w:i/>
        </w:rPr>
        <w:t>lex</w:t>
      </w:r>
      <w:proofErr w:type="spellEnd"/>
      <w:r w:rsidR="00973D5B">
        <w:rPr>
          <w:rFonts w:cs="Times New Roman"/>
        </w:rPr>
        <w:t>, which listed nine types)</w:t>
      </w:r>
      <w:r w:rsidR="00EE26BA">
        <w:rPr>
          <w:rFonts w:cs="Times New Roman"/>
        </w:rPr>
        <w:t xml:space="preserve"> and </w:t>
      </w:r>
      <w:r w:rsidR="008308A9">
        <w:rPr>
          <w:rFonts w:cs="Times New Roman"/>
        </w:rPr>
        <w:t>potentially dating to the 80s or 70s BC.</w:t>
      </w:r>
      <w:r w:rsidR="008308A9">
        <w:rPr>
          <w:rStyle w:val="FootnoteReference"/>
          <w:rFonts w:cs="Times New Roman"/>
        </w:rPr>
        <w:footnoteReference w:id="29"/>
      </w:r>
      <w:r w:rsidR="008308A9">
        <w:rPr>
          <w:rFonts w:cs="Times New Roman"/>
        </w:rPr>
        <w:t xml:space="preserve"> If th</w:t>
      </w:r>
      <w:r w:rsidR="00952F75">
        <w:rPr>
          <w:rFonts w:cs="Times New Roman"/>
        </w:rPr>
        <w:t xml:space="preserve">e fragment substantially predates the </w:t>
      </w:r>
      <w:r w:rsidR="00952F75">
        <w:rPr>
          <w:rFonts w:cs="Times New Roman"/>
          <w:i/>
        </w:rPr>
        <w:t xml:space="preserve">Lex de Gallia </w:t>
      </w:r>
      <w:proofErr w:type="spellStart"/>
      <w:r w:rsidR="00952F75">
        <w:rPr>
          <w:rFonts w:cs="Times New Roman"/>
          <w:i/>
        </w:rPr>
        <w:t>Cisalpina</w:t>
      </w:r>
      <w:proofErr w:type="spellEnd"/>
      <w:r w:rsidR="008308A9">
        <w:rPr>
          <w:rFonts w:cs="Times New Roman"/>
        </w:rPr>
        <w:t xml:space="preserve">, then Hardy’s ‘L. </w:t>
      </w:r>
      <w:proofErr w:type="spellStart"/>
      <w:r w:rsidR="008308A9">
        <w:rPr>
          <w:rFonts w:cs="Times New Roman"/>
        </w:rPr>
        <w:t>Roscius</w:t>
      </w:r>
      <w:proofErr w:type="spellEnd"/>
      <w:r w:rsidR="008308A9">
        <w:rPr>
          <w:rFonts w:cs="Times New Roman"/>
        </w:rPr>
        <w:t xml:space="preserve">’ named in the fragment might well have been </w:t>
      </w:r>
      <w:r w:rsidR="00952F75">
        <w:rPr>
          <w:rFonts w:cs="Times New Roman"/>
        </w:rPr>
        <w:t xml:space="preserve">L. </w:t>
      </w:r>
      <w:proofErr w:type="spellStart"/>
      <w:r w:rsidR="00952F75">
        <w:rPr>
          <w:rFonts w:cs="Times New Roman"/>
        </w:rPr>
        <w:t>Roscius</w:t>
      </w:r>
      <w:proofErr w:type="spellEnd"/>
      <w:r w:rsidR="00952F75">
        <w:rPr>
          <w:rFonts w:cs="Times New Roman"/>
        </w:rPr>
        <w:t xml:space="preserve"> </w:t>
      </w:r>
      <w:proofErr w:type="spellStart"/>
      <w:r w:rsidR="00952F75">
        <w:rPr>
          <w:rFonts w:cs="Times New Roman"/>
        </w:rPr>
        <w:t>Otho</w:t>
      </w:r>
      <w:proofErr w:type="spellEnd"/>
      <w:r w:rsidR="00952F75">
        <w:rPr>
          <w:rFonts w:cs="Times New Roman"/>
        </w:rPr>
        <w:t>, tribune in 67 BC and then praetor in 63,</w:t>
      </w:r>
      <w:r w:rsidR="00952F75">
        <w:rPr>
          <w:rStyle w:val="FootnoteReference"/>
          <w:rFonts w:cs="Times New Roman"/>
        </w:rPr>
        <w:footnoteReference w:id="30"/>
      </w:r>
      <w:r w:rsidR="00952F75">
        <w:rPr>
          <w:rFonts w:cs="Times New Roman"/>
        </w:rPr>
        <w:t xml:space="preserve"> and not L. </w:t>
      </w:r>
      <w:proofErr w:type="spellStart"/>
      <w:r w:rsidR="00952F75">
        <w:rPr>
          <w:rFonts w:cs="Times New Roman"/>
        </w:rPr>
        <w:t>Roscius</w:t>
      </w:r>
      <w:proofErr w:type="spellEnd"/>
      <w:r w:rsidR="00952F75">
        <w:rPr>
          <w:rFonts w:cs="Times New Roman"/>
        </w:rPr>
        <w:t xml:space="preserve"> </w:t>
      </w:r>
      <w:proofErr w:type="spellStart"/>
      <w:r w:rsidR="00952F75">
        <w:rPr>
          <w:rFonts w:cs="Times New Roman"/>
        </w:rPr>
        <w:t>Fabatus</w:t>
      </w:r>
      <w:proofErr w:type="spellEnd"/>
      <w:r w:rsidR="00952F75">
        <w:rPr>
          <w:rFonts w:cs="Times New Roman"/>
        </w:rPr>
        <w:t>, the praetor of 49 BC.</w:t>
      </w:r>
      <w:r w:rsidR="00EE26BA">
        <w:rPr>
          <w:rFonts w:cs="Times New Roman"/>
        </w:rPr>
        <w:t xml:space="preserve"> </w:t>
      </w:r>
    </w:p>
    <w:p w:rsidR="00EE26BA" w:rsidRDefault="00EE26BA" w:rsidP="00E46D79">
      <w:pPr>
        <w:spacing w:line="480" w:lineRule="auto"/>
        <w:jc w:val="left"/>
        <w:rPr>
          <w:rFonts w:cs="Times New Roman"/>
        </w:rPr>
      </w:pPr>
      <w:r>
        <w:rPr>
          <w:rFonts w:cs="Times New Roman"/>
        </w:rPr>
        <w:lastRenderedPageBreak/>
        <w:tab/>
        <w:t xml:space="preserve">A second and stronger point in consideration of dating the </w:t>
      </w:r>
      <w:r>
        <w:rPr>
          <w:rFonts w:cs="Times New Roman"/>
          <w:i/>
        </w:rPr>
        <w:t xml:space="preserve">Lex de Gallia </w:t>
      </w:r>
      <w:proofErr w:type="spellStart"/>
      <w:r>
        <w:rPr>
          <w:rFonts w:cs="Times New Roman"/>
          <w:i/>
        </w:rPr>
        <w:t>Cisalpina</w:t>
      </w:r>
      <w:proofErr w:type="spellEnd"/>
      <w:r>
        <w:rPr>
          <w:rFonts w:cs="Times New Roman"/>
        </w:rPr>
        <w:t xml:space="preserve"> to 41 BC after the region lost its provincial status, is, as </w:t>
      </w:r>
      <w:proofErr w:type="spellStart"/>
      <w:r>
        <w:rPr>
          <w:rFonts w:cs="Times New Roman"/>
        </w:rPr>
        <w:t>Haeussler</w:t>
      </w:r>
      <w:proofErr w:type="spellEnd"/>
      <w:r>
        <w:rPr>
          <w:rFonts w:cs="Times New Roman"/>
        </w:rPr>
        <w:t xml:space="preserve"> points out, the absence both of the word ‘province</w:t>
      </w:r>
      <w:r w:rsidR="00AA0739">
        <w:rPr>
          <w:rFonts w:cs="Times New Roman"/>
        </w:rPr>
        <w:t>’</w:t>
      </w:r>
      <w:r>
        <w:rPr>
          <w:rFonts w:cs="Times New Roman"/>
        </w:rPr>
        <w:t xml:space="preserve"> and of legal directives for the proconsul, who would have been in charge of the province’s administration and almost certainly mentioned in the law.</w:t>
      </w:r>
      <w:r w:rsidR="00AA0739">
        <w:rPr>
          <w:rStyle w:val="FootnoteReference"/>
          <w:rFonts w:cs="Times New Roman"/>
        </w:rPr>
        <w:footnoteReference w:id="31"/>
      </w:r>
      <w:r w:rsidR="00AA0739">
        <w:rPr>
          <w:rFonts w:cs="Times New Roman"/>
        </w:rPr>
        <w:t xml:space="preserve"> In fact, the </w:t>
      </w:r>
      <w:proofErr w:type="spellStart"/>
      <w:r w:rsidR="00AA0739">
        <w:rPr>
          <w:rFonts w:cs="Times New Roman"/>
          <w:i/>
        </w:rPr>
        <w:t>lex</w:t>
      </w:r>
      <w:proofErr w:type="spellEnd"/>
      <w:r w:rsidR="00AA0739">
        <w:rPr>
          <w:rFonts w:cs="Times New Roman"/>
        </w:rPr>
        <w:t xml:space="preserve"> could not have detailed procedures for appealing to the praetor in Rome if a proconsul were simultaneously governing the province.</w:t>
      </w:r>
      <w:r w:rsidR="00AA0739">
        <w:rPr>
          <w:rStyle w:val="FootnoteReference"/>
          <w:rFonts w:cs="Times New Roman"/>
        </w:rPr>
        <w:footnoteReference w:id="32"/>
      </w:r>
      <w:r w:rsidR="00AA0739">
        <w:rPr>
          <w:rFonts w:cs="Times New Roman"/>
        </w:rPr>
        <w:t xml:space="preserve"> Hardy attempts to account for this fact by appealing to the ‘peculiar circumstances of the province,’ including the large number of Roman colonies that were </w:t>
      </w:r>
      <w:r w:rsidR="00973D5B">
        <w:rPr>
          <w:rFonts w:cs="Times New Roman"/>
        </w:rPr>
        <w:t xml:space="preserve">already </w:t>
      </w:r>
      <w:r w:rsidR="00AA0739">
        <w:rPr>
          <w:rFonts w:cs="Times New Roman"/>
        </w:rPr>
        <w:t xml:space="preserve">in the region before the province was charted by Sulla and the fact that, in possessing the </w:t>
      </w:r>
      <w:proofErr w:type="spellStart"/>
      <w:r w:rsidR="00AA0739">
        <w:rPr>
          <w:rFonts w:cs="Times New Roman"/>
          <w:i/>
        </w:rPr>
        <w:t>ius</w:t>
      </w:r>
      <w:proofErr w:type="spellEnd"/>
      <w:r w:rsidR="00AA0739">
        <w:rPr>
          <w:rFonts w:cs="Times New Roman"/>
          <w:i/>
        </w:rPr>
        <w:t xml:space="preserve"> </w:t>
      </w:r>
      <w:proofErr w:type="spellStart"/>
      <w:r w:rsidR="00AA0739">
        <w:rPr>
          <w:rFonts w:cs="Times New Roman"/>
          <w:i/>
        </w:rPr>
        <w:t>Latii</w:t>
      </w:r>
      <w:proofErr w:type="spellEnd"/>
      <w:r w:rsidR="00AA0739">
        <w:rPr>
          <w:rFonts w:cs="Times New Roman"/>
        </w:rPr>
        <w:t xml:space="preserve"> since 89 BC, large areas of the </w:t>
      </w:r>
      <w:r w:rsidR="00973D5B">
        <w:rPr>
          <w:rFonts w:cs="Times New Roman"/>
        </w:rPr>
        <w:t xml:space="preserve">region </w:t>
      </w:r>
      <w:r w:rsidR="00AA0739">
        <w:rPr>
          <w:rFonts w:cs="Times New Roman"/>
        </w:rPr>
        <w:t>were ‘not subject to Roman law at all.’</w:t>
      </w:r>
      <w:r w:rsidR="00AA0739">
        <w:rPr>
          <w:rStyle w:val="FootnoteReference"/>
          <w:rFonts w:cs="Times New Roman"/>
        </w:rPr>
        <w:footnoteReference w:id="33"/>
      </w:r>
      <w:r w:rsidR="00D527B4">
        <w:rPr>
          <w:rFonts w:cs="Times New Roman"/>
        </w:rPr>
        <w:t xml:space="preserve"> But these defenses do not explain why the </w:t>
      </w:r>
      <w:proofErr w:type="spellStart"/>
      <w:r w:rsidR="00D527B4">
        <w:rPr>
          <w:rFonts w:cs="Times New Roman"/>
        </w:rPr>
        <w:t>Transpadani</w:t>
      </w:r>
      <w:proofErr w:type="spellEnd"/>
      <w:r w:rsidR="00D527B4">
        <w:rPr>
          <w:rFonts w:cs="Times New Roman"/>
        </w:rPr>
        <w:t xml:space="preserve"> were given the right to appeal to the praetor in Rome, a right </w:t>
      </w:r>
      <w:r w:rsidR="00973D5B">
        <w:rPr>
          <w:rFonts w:cs="Times New Roman"/>
        </w:rPr>
        <w:t xml:space="preserve">that provincial inhabitants </w:t>
      </w:r>
      <w:r w:rsidR="00D527B4">
        <w:rPr>
          <w:rFonts w:cs="Times New Roman"/>
        </w:rPr>
        <w:t xml:space="preserve">cannot claim. In the end, it seems the later date of 41 BC for the establishment of the </w:t>
      </w:r>
      <w:proofErr w:type="spellStart"/>
      <w:r w:rsidR="00D527B4">
        <w:rPr>
          <w:rFonts w:cs="Times New Roman"/>
          <w:i/>
        </w:rPr>
        <w:t>lex</w:t>
      </w:r>
      <w:proofErr w:type="spellEnd"/>
      <w:r w:rsidR="00D527B4">
        <w:rPr>
          <w:rFonts w:cs="Times New Roman"/>
        </w:rPr>
        <w:t xml:space="preserve"> is the more persuasive one.</w:t>
      </w:r>
    </w:p>
    <w:p w:rsidR="00D527B4" w:rsidRDefault="00D527B4" w:rsidP="00E46D79">
      <w:pPr>
        <w:spacing w:line="480" w:lineRule="auto"/>
        <w:jc w:val="left"/>
        <w:rPr>
          <w:rFonts w:cs="Times New Roman"/>
        </w:rPr>
      </w:pPr>
      <w:r>
        <w:rPr>
          <w:rFonts w:cs="Times New Roman"/>
        </w:rPr>
        <w:tab/>
        <w:t xml:space="preserve">In terms of developing a more united Italy, the year 41 BC is of particular note. At this point, young Octavian was trying to establish his own power in Rome against Marc Antony. By removing Cisalpine Gaul’s provincial status, Octavian forced Antony to withdraw his legions from the region. The </w:t>
      </w:r>
      <w:proofErr w:type="spellStart"/>
      <w:r>
        <w:rPr>
          <w:rFonts w:cs="Times New Roman"/>
          <w:i/>
        </w:rPr>
        <w:t>lex</w:t>
      </w:r>
      <w:proofErr w:type="spellEnd"/>
      <w:r w:rsidR="005044A7">
        <w:rPr>
          <w:rFonts w:cs="Times New Roman"/>
        </w:rPr>
        <w:t>, in declaring the rules for appeal to Rome by the locals,</w:t>
      </w:r>
      <w:r>
        <w:rPr>
          <w:rFonts w:cs="Times New Roman"/>
        </w:rPr>
        <w:t xml:space="preserve"> had the additional effect of bringing </w:t>
      </w:r>
      <w:proofErr w:type="spellStart"/>
      <w:r>
        <w:rPr>
          <w:rFonts w:cs="Times New Roman"/>
        </w:rPr>
        <w:t>Cisapline</w:t>
      </w:r>
      <w:proofErr w:type="spellEnd"/>
      <w:r>
        <w:rPr>
          <w:rFonts w:cs="Times New Roman"/>
        </w:rPr>
        <w:t xml:space="preserve"> Gaul north of the River Po increasingly under the </w:t>
      </w:r>
      <w:r w:rsidR="00973D5B">
        <w:rPr>
          <w:rFonts w:cs="Times New Roman"/>
        </w:rPr>
        <w:t xml:space="preserve">sway </w:t>
      </w:r>
      <w:r>
        <w:rPr>
          <w:rFonts w:cs="Times New Roman"/>
        </w:rPr>
        <w:t xml:space="preserve">of Rome itself. In this way, the </w:t>
      </w:r>
      <w:r>
        <w:rPr>
          <w:rFonts w:cs="Times New Roman"/>
          <w:i/>
        </w:rPr>
        <w:t xml:space="preserve">Lex de Gallia </w:t>
      </w:r>
      <w:proofErr w:type="spellStart"/>
      <w:r>
        <w:rPr>
          <w:rFonts w:cs="Times New Roman"/>
          <w:i/>
        </w:rPr>
        <w:t>Cisalpina</w:t>
      </w:r>
      <w:proofErr w:type="spellEnd"/>
      <w:r>
        <w:rPr>
          <w:rFonts w:cs="Times New Roman"/>
        </w:rPr>
        <w:t xml:space="preserve"> can be seen as the unwitting first step to the coming </w:t>
      </w:r>
      <w:proofErr w:type="spellStart"/>
      <w:r>
        <w:rPr>
          <w:rFonts w:cs="Times New Roman"/>
        </w:rPr>
        <w:t>bureaucratisation</w:t>
      </w:r>
      <w:proofErr w:type="spellEnd"/>
      <w:r>
        <w:rPr>
          <w:rFonts w:cs="Times New Roman"/>
        </w:rPr>
        <w:t xml:space="preserve"> and </w:t>
      </w:r>
      <w:proofErr w:type="spellStart"/>
      <w:r>
        <w:rPr>
          <w:rFonts w:cs="Times New Roman"/>
        </w:rPr>
        <w:t>centralised</w:t>
      </w:r>
      <w:proofErr w:type="spellEnd"/>
      <w:r>
        <w:rPr>
          <w:rFonts w:cs="Times New Roman"/>
        </w:rPr>
        <w:t xml:space="preserve"> administration </w:t>
      </w:r>
      <w:r w:rsidR="005044A7">
        <w:rPr>
          <w:rFonts w:cs="Times New Roman"/>
        </w:rPr>
        <w:t xml:space="preserve">of Augustus’s imperial rule in the ensuing decades, when Italy would be ultimately united as the center of one enormous empire ruled by one man. </w:t>
      </w:r>
    </w:p>
    <w:p w:rsidR="005044A7" w:rsidRDefault="005044A7" w:rsidP="00E46D79">
      <w:pPr>
        <w:spacing w:line="480" w:lineRule="auto"/>
        <w:jc w:val="left"/>
        <w:rPr>
          <w:rFonts w:cs="Times New Roman"/>
        </w:rPr>
      </w:pPr>
      <w:r>
        <w:rPr>
          <w:rFonts w:cs="Times New Roman"/>
        </w:rPr>
        <w:lastRenderedPageBreak/>
        <w:tab/>
        <w:t>M.W. Frederiksen is right to caution that Augustus’s legislation, while ‘securing uniformity’ in practice, was not an attempt to remake or undermine local administration in the outer regions of the empire.</w:t>
      </w:r>
      <w:r>
        <w:rPr>
          <w:rStyle w:val="FootnoteReference"/>
          <w:rFonts w:cs="Times New Roman"/>
        </w:rPr>
        <w:footnoteReference w:id="34"/>
      </w:r>
      <w:r w:rsidR="002812E6">
        <w:rPr>
          <w:rFonts w:cs="Times New Roman"/>
        </w:rPr>
        <w:t xml:space="preserve"> In the same way, one cannot deem the </w:t>
      </w:r>
      <w:r w:rsidR="002812E6">
        <w:rPr>
          <w:rFonts w:cs="Times New Roman"/>
          <w:i/>
        </w:rPr>
        <w:t xml:space="preserve">Lex de Gallia </w:t>
      </w:r>
      <w:proofErr w:type="spellStart"/>
      <w:r w:rsidR="002812E6">
        <w:rPr>
          <w:rFonts w:cs="Times New Roman"/>
          <w:i/>
        </w:rPr>
        <w:t>Cisalpina</w:t>
      </w:r>
      <w:proofErr w:type="spellEnd"/>
      <w:r w:rsidR="002812E6">
        <w:rPr>
          <w:rFonts w:cs="Times New Roman"/>
        </w:rPr>
        <w:t xml:space="preserve"> </w:t>
      </w:r>
      <w:r w:rsidR="00973D5B">
        <w:rPr>
          <w:rFonts w:cs="Times New Roman"/>
        </w:rPr>
        <w:t xml:space="preserve">as </w:t>
      </w:r>
      <w:r w:rsidR="002812E6">
        <w:rPr>
          <w:rFonts w:cs="Times New Roman"/>
        </w:rPr>
        <w:t xml:space="preserve">the first stage of a planned takeover of the Mediterranean world. Yet the nature of the </w:t>
      </w:r>
      <w:proofErr w:type="spellStart"/>
      <w:r w:rsidR="002812E6">
        <w:rPr>
          <w:rFonts w:cs="Times New Roman"/>
          <w:i/>
        </w:rPr>
        <w:t>lex</w:t>
      </w:r>
      <w:proofErr w:type="spellEnd"/>
      <w:r w:rsidR="002812E6">
        <w:rPr>
          <w:rFonts w:cs="Times New Roman"/>
        </w:rPr>
        <w:t xml:space="preserve"> combined with its timing make it plausible that perhaps it was remembered by Augustus as his reign continued as an early model for how he ought to govern the </w:t>
      </w:r>
      <w:r w:rsidR="00973D5B">
        <w:rPr>
          <w:rFonts w:cs="Times New Roman"/>
        </w:rPr>
        <w:t>faraway</w:t>
      </w:r>
      <w:r w:rsidR="002812E6">
        <w:rPr>
          <w:rFonts w:cs="Times New Roman"/>
        </w:rPr>
        <w:t xml:space="preserve"> places of his empire.</w:t>
      </w:r>
    </w:p>
    <w:p w:rsidR="002812E6" w:rsidRPr="00E46D79" w:rsidRDefault="002812E6" w:rsidP="00E46D79">
      <w:pPr>
        <w:spacing w:line="480" w:lineRule="auto"/>
        <w:jc w:val="left"/>
        <w:rPr>
          <w:rFonts w:cs="Times New Roman"/>
        </w:rPr>
      </w:pPr>
      <w:r>
        <w:rPr>
          <w:rFonts w:cs="Times New Roman"/>
        </w:rPr>
        <w:tab/>
        <w:t>While this speculation is intriguing, it should not distract from the immediate</w:t>
      </w:r>
      <w:r w:rsidR="00973D5B">
        <w:rPr>
          <w:rFonts w:cs="Times New Roman"/>
        </w:rPr>
        <w:t xml:space="preserve"> and more important</w:t>
      </w:r>
      <w:r>
        <w:rPr>
          <w:rFonts w:cs="Times New Roman"/>
        </w:rPr>
        <w:t xml:space="preserve"> role that the </w:t>
      </w:r>
      <w:r>
        <w:rPr>
          <w:rFonts w:cs="Times New Roman"/>
          <w:i/>
        </w:rPr>
        <w:t xml:space="preserve">Lex de Gallia </w:t>
      </w:r>
      <w:proofErr w:type="spellStart"/>
      <w:r>
        <w:rPr>
          <w:rFonts w:cs="Times New Roman"/>
          <w:i/>
        </w:rPr>
        <w:t>Cisalpina</w:t>
      </w:r>
      <w:proofErr w:type="spellEnd"/>
      <w:r>
        <w:rPr>
          <w:rFonts w:cs="Times New Roman"/>
        </w:rPr>
        <w:t xml:space="preserve"> played in developing a united Italy by encouraging legal proceedings throughout Italy to be done in a Roman manner, and, if need be, to be appealed to Rome itself. As </w:t>
      </w:r>
      <w:proofErr w:type="spellStart"/>
      <w:r>
        <w:rPr>
          <w:rFonts w:cs="Times New Roman"/>
        </w:rPr>
        <w:t>Haeussler</w:t>
      </w:r>
      <w:proofErr w:type="spellEnd"/>
      <w:r>
        <w:rPr>
          <w:rFonts w:cs="Times New Roman"/>
        </w:rPr>
        <w:t xml:space="preserve"> concludes, </w:t>
      </w:r>
      <w:r w:rsidR="008B435B">
        <w:rPr>
          <w:rFonts w:cs="Times New Roman"/>
        </w:rPr>
        <w:t>‘</w:t>
      </w:r>
      <w:r>
        <w:rPr>
          <w:rFonts w:cs="Times New Roman"/>
        </w:rPr>
        <w:t>With the enfranchisement</w:t>
      </w:r>
      <w:r w:rsidR="008B435B">
        <w:rPr>
          <w:rFonts w:cs="Times New Roman"/>
        </w:rPr>
        <w:t xml:space="preserve"> [of the local peoples]</w:t>
      </w:r>
      <w:r>
        <w:rPr>
          <w:rFonts w:cs="Times New Roman"/>
        </w:rPr>
        <w:t>, status</w:t>
      </w:r>
      <w:r w:rsidR="008B435B">
        <w:rPr>
          <w:rFonts w:cs="Times New Roman"/>
        </w:rPr>
        <w:t xml:space="preserve"> and</w:t>
      </w:r>
      <w:r>
        <w:rPr>
          <w:rFonts w:cs="Times New Roman"/>
        </w:rPr>
        <w:t xml:space="preserve"> </w:t>
      </w:r>
      <w:proofErr w:type="spellStart"/>
      <w:r>
        <w:rPr>
          <w:rFonts w:cs="Times New Roman"/>
          <w:i/>
        </w:rPr>
        <w:t>auctoritas</w:t>
      </w:r>
      <w:proofErr w:type="spellEnd"/>
      <w:r w:rsidR="008B435B">
        <w:rPr>
          <w:rFonts w:cs="Times New Roman"/>
        </w:rPr>
        <w:t xml:space="preserve"> had to be increasingly acquired in a Roman environment, while local competences increasingly operated in Roman-style context, Roman power structures therefore must have had a direct impact on aspects of identity and culture from the last century BC onward.’</w:t>
      </w:r>
      <w:r w:rsidR="008B435B">
        <w:rPr>
          <w:rStyle w:val="FootnoteReference"/>
          <w:rFonts w:cs="Times New Roman"/>
        </w:rPr>
        <w:footnoteReference w:id="35"/>
      </w:r>
      <w:r w:rsidR="008B435B">
        <w:rPr>
          <w:rFonts w:cs="Times New Roman"/>
        </w:rPr>
        <w:t xml:space="preserve"> </w:t>
      </w:r>
      <w:r w:rsidR="00E46D79">
        <w:rPr>
          <w:rFonts w:cs="Times New Roman"/>
        </w:rPr>
        <w:t xml:space="preserve">By developing a Roman identity and Roman culture in </w:t>
      </w:r>
      <w:proofErr w:type="spellStart"/>
      <w:r w:rsidR="00E46D79">
        <w:rPr>
          <w:rFonts w:cs="Times New Roman"/>
        </w:rPr>
        <w:t>Cisapline</w:t>
      </w:r>
      <w:proofErr w:type="spellEnd"/>
      <w:r w:rsidR="00E46D79">
        <w:rPr>
          <w:rFonts w:cs="Times New Roman"/>
        </w:rPr>
        <w:t xml:space="preserve"> Gaul, the </w:t>
      </w:r>
      <w:proofErr w:type="spellStart"/>
      <w:r w:rsidR="00E46D79">
        <w:rPr>
          <w:rFonts w:cs="Times New Roman"/>
        </w:rPr>
        <w:t>Transpadani</w:t>
      </w:r>
      <w:proofErr w:type="spellEnd"/>
      <w:r w:rsidR="00E46D79">
        <w:rPr>
          <w:rFonts w:cs="Times New Roman"/>
        </w:rPr>
        <w:t xml:space="preserve"> were joining the other Italian </w:t>
      </w:r>
      <w:proofErr w:type="spellStart"/>
      <w:r w:rsidR="00E46D79">
        <w:rPr>
          <w:rFonts w:cs="Times New Roman"/>
          <w:i/>
        </w:rPr>
        <w:t>municipia</w:t>
      </w:r>
      <w:proofErr w:type="spellEnd"/>
      <w:r w:rsidR="00E46D79">
        <w:rPr>
          <w:rFonts w:cs="Times New Roman"/>
        </w:rPr>
        <w:t xml:space="preserve"> in becoming one under the aegis of Rome.</w:t>
      </w:r>
    </w:p>
    <w:p w:rsidR="00E2543B" w:rsidRDefault="00195336" w:rsidP="00CE247D">
      <w:pPr>
        <w:jc w:val="left"/>
      </w:pPr>
      <w:r>
        <w:tab/>
      </w:r>
    </w:p>
    <w:p w:rsidR="00170CBA" w:rsidRDefault="00170CBA" w:rsidP="00CE247D">
      <w:pPr>
        <w:jc w:val="left"/>
      </w:pPr>
    </w:p>
    <w:p w:rsidR="00170CBA" w:rsidRDefault="00170CBA" w:rsidP="00CE247D">
      <w:pPr>
        <w:jc w:val="left"/>
      </w:pPr>
    </w:p>
    <w:p w:rsidR="00170CBA" w:rsidRDefault="00170CBA" w:rsidP="00CE247D">
      <w:pPr>
        <w:jc w:val="left"/>
      </w:pPr>
    </w:p>
    <w:p w:rsidR="00170CBA" w:rsidRDefault="00170CBA" w:rsidP="00CE247D">
      <w:pPr>
        <w:jc w:val="left"/>
      </w:pPr>
    </w:p>
    <w:p w:rsidR="00170CBA" w:rsidRDefault="00170CBA" w:rsidP="00CE247D">
      <w:pPr>
        <w:jc w:val="left"/>
      </w:pPr>
    </w:p>
    <w:p w:rsidR="00170CBA" w:rsidRDefault="00170CBA" w:rsidP="00CE247D">
      <w:pPr>
        <w:jc w:val="left"/>
      </w:pPr>
    </w:p>
    <w:p w:rsidR="00170CBA" w:rsidRDefault="00170CBA" w:rsidP="00CE247D">
      <w:pPr>
        <w:jc w:val="left"/>
      </w:pPr>
    </w:p>
    <w:p w:rsidR="00170CBA" w:rsidRDefault="00170CBA" w:rsidP="00CE247D">
      <w:pPr>
        <w:jc w:val="left"/>
      </w:pPr>
    </w:p>
    <w:p w:rsidR="00170CBA" w:rsidRDefault="00170CBA" w:rsidP="00CE247D">
      <w:pPr>
        <w:jc w:val="left"/>
      </w:pPr>
    </w:p>
    <w:p w:rsidR="00170CBA" w:rsidRDefault="00170CBA" w:rsidP="00CE247D">
      <w:pPr>
        <w:jc w:val="left"/>
      </w:pPr>
    </w:p>
    <w:p w:rsidR="00170CBA" w:rsidRDefault="00170CBA" w:rsidP="00CE247D">
      <w:pPr>
        <w:jc w:val="left"/>
      </w:pPr>
    </w:p>
    <w:p w:rsidR="00170CBA" w:rsidRDefault="00170CBA" w:rsidP="00CE247D">
      <w:pPr>
        <w:jc w:val="left"/>
      </w:pPr>
    </w:p>
    <w:p w:rsidR="00E2543B" w:rsidRPr="00E131EC" w:rsidRDefault="00E2543B" w:rsidP="00621CFE">
      <w:pPr>
        <w:jc w:val="left"/>
      </w:pPr>
    </w:p>
    <w:p w:rsidR="00E22AEE" w:rsidRPr="00E46D79" w:rsidRDefault="00E46D79" w:rsidP="00A84914">
      <w:bookmarkStart w:id="0" w:name="_GoBack"/>
      <w:bookmarkEnd w:id="0"/>
      <w:r>
        <w:rPr>
          <w:u w:val="single"/>
        </w:rPr>
        <w:lastRenderedPageBreak/>
        <w:t>Bibliography</w:t>
      </w:r>
    </w:p>
    <w:p w:rsidR="00E46D79" w:rsidRDefault="00E46D79" w:rsidP="00621CFE">
      <w:pPr>
        <w:jc w:val="left"/>
      </w:pPr>
    </w:p>
    <w:p w:rsidR="00E46D79" w:rsidRDefault="00943256" w:rsidP="00621CFE">
      <w:pPr>
        <w:jc w:val="left"/>
      </w:pPr>
      <w:r>
        <w:t xml:space="preserve">Beard, M. 2015. </w:t>
      </w:r>
      <w:r w:rsidR="00621CFE">
        <w:rPr>
          <w:i/>
        </w:rPr>
        <w:t>SPQR: A History of Ancient Rome</w:t>
      </w:r>
      <w:r w:rsidR="00621CFE">
        <w:t xml:space="preserve">. New York: </w:t>
      </w:r>
      <w:proofErr w:type="spellStart"/>
      <w:r w:rsidR="00621CFE">
        <w:t>Liveright</w:t>
      </w:r>
      <w:proofErr w:type="spellEnd"/>
      <w:r w:rsidR="00621CFE">
        <w:t xml:space="preserve"> Publishing </w:t>
      </w:r>
    </w:p>
    <w:p w:rsidR="00943256" w:rsidRDefault="00621CFE" w:rsidP="00E46D79">
      <w:pPr>
        <w:ind w:firstLine="720"/>
        <w:jc w:val="left"/>
      </w:pPr>
      <w:r>
        <w:t>Corporation.</w:t>
      </w:r>
    </w:p>
    <w:p w:rsidR="00E46D79" w:rsidRDefault="00E46D79" w:rsidP="00E46D79">
      <w:pPr>
        <w:ind w:firstLine="720"/>
        <w:jc w:val="left"/>
      </w:pPr>
    </w:p>
    <w:p w:rsidR="00D0650E" w:rsidRDefault="00D0650E" w:rsidP="00621CFE">
      <w:pPr>
        <w:jc w:val="left"/>
      </w:pPr>
      <w:r>
        <w:t xml:space="preserve">Crawford, M. 1996. </w:t>
      </w:r>
      <w:r>
        <w:rPr>
          <w:i/>
        </w:rPr>
        <w:t>Roman Statutes.</w:t>
      </w:r>
      <w:r>
        <w:t xml:space="preserve"> London: Institute of Classical Studies.</w:t>
      </w:r>
    </w:p>
    <w:p w:rsidR="00E46D79" w:rsidRPr="00D0650E" w:rsidRDefault="00E46D79" w:rsidP="00621CFE">
      <w:pPr>
        <w:jc w:val="left"/>
      </w:pPr>
    </w:p>
    <w:p w:rsidR="00516283" w:rsidRDefault="003E45D4" w:rsidP="00621CFE">
      <w:pPr>
        <w:jc w:val="left"/>
      </w:pPr>
      <w:r>
        <w:t xml:space="preserve">Frederiksen, M.W. 1964. </w:t>
      </w:r>
      <w:r w:rsidR="00377A28">
        <w:t>‘</w:t>
      </w:r>
      <w:r>
        <w:t xml:space="preserve">The </w:t>
      </w:r>
      <w:r>
        <w:rPr>
          <w:i/>
        </w:rPr>
        <w:t xml:space="preserve">Lex </w:t>
      </w:r>
      <w:proofErr w:type="spellStart"/>
      <w:r>
        <w:rPr>
          <w:i/>
        </w:rPr>
        <w:t>Rubria</w:t>
      </w:r>
      <w:proofErr w:type="spellEnd"/>
      <w:r>
        <w:t>: Reconsiderations.</w:t>
      </w:r>
      <w:r w:rsidR="00377A28">
        <w:t>’</w:t>
      </w:r>
      <w:r>
        <w:t xml:space="preserve"> </w:t>
      </w:r>
      <w:r>
        <w:rPr>
          <w:i/>
        </w:rPr>
        <w:t>Journal of Roman Studies</w:t>
      </w:r>
      <w:r w:rsidR="003D152A">
        <w:t xml:space="preserve"> </w:t>
      </w:r>
      <w:r>
        <w:t>54</w:t>
      </w:r>
      <w:r w:rsidR="003D152A">
        <w:t>,</w:t>
      </w:r>
      <w:r>
        <w:t xml:space="preserve"> </w:t>
      </w:r>
    </w:p>
    <w:p w:rsidR="003E45D4" w:rsidRDefault="003E45D4" w:rsidP="00516283">
      <w:pPr>
        <w:ind w:firstLine="720"/>
        <w:jc w:val="left"/>
      </w:pPr>
      <w:r>
        <w:t>129-134.</w:t>
      </w:r>
    </w:p>
    <w:p w:rsidR="00516283" w:rsidRDefault="00516283" w:rsidP="00516283">
      <w:pPr>
        <w:ind w:firstLine="720"/>
        <w:jc w:val="left"/>
      </w:pPr>
    </w:p>
    <w:p w:rsidR="003D152A" w:rsidRDefault="003D152A" w:rsidP="00621CFE">
      <w:pPr>
        <w:jc w:val="left"/>
      </w:pPr>
      <w:r>
        <w:t xml:space="preserve">Gardner, J.F. 2009. </w:t>
      </w:r>
      <w:r w:rsidR="00377A28">
        <w:t>‘</w:t>
      </w:r>
      <w:r>
        <w:t>The Dictator,</w:t>
      </w:r>
      <w:r w:rsidR="00377A28">
        <w:t>’</w:t>
      </w:r>
      <w:r>
        <w:t xml:space="preserve"> in Griffin, M. (ed.), </w:t>
      </w:r>
      <w:r>
        <w:rPr>
          <w:i/>
        </w:rPr>
        <w:t>A Companion to Julius Caesar</w:t>
      </w:r>
      <w:r>
        <w:t>, 57-71.</w:t>
      </w:r>
    </w:p>
    <w:p w:rsidR="00516283" w:rsidRPr="003D152A" w:rsidRDefault="00516283" w:rsidP="00621CFE">
      <w:pPr>
        <w:jc w:val="left"/>
      </w:pPr>
    </w:p>
    <w:p w:rsidR="00516283" w:rsidRDefault="00837BA7" w:rsidP="00621CFE">
      <w:pPr>
        <w:jc w:val="left"/>
        <w:rPr>
          <w:i/>
        </w:rPr>
      </w:pPr>
      <w:proofErr w:type="spellStart"/>
      <w:r>
        <w:t>Haeussler</w:t>
      </w:r>
      <w:proofErr w:type="spellEnd"/>
      <w:r>
        <w:t xml:space="preserve">, R. 2016. </w:t>
      </w:r>
      <w:r>
        <w:rPr>
          <w:i/>
        </w:rPr>
        <w:t xml:space="preserve">Becoming Roman? Diverging Identities and Experiences in Ancient </w:t>
      </w:r>
    </w:p>
    <w:p w:rsidR="00837BA7" w:rsidRDefault="00837BA7" w:rsidP="00516283">
      <w:pPr>
        <w:ind w:firstLine="720"/>
        <w:jc w:val="left"/>
      </w:pPr>
      <w:r>
        <w:rPr>
          <w:i/>
        </w:rPr>
        <w:t>Northwest Italy</w:t>
      </w:r>
      <w:r>
        <w:t>. New York: Routledge.</w:t>
      </w:r>
    </w:p>
    <w:p w:rsidR="00516283" w:rsidRDefault="00516283" w:rsidP="00516283">
      <w:pPr>
        <w:ind w:firstLine="720"/>
        <w:jc w:val="left"/>
      </w:pPr>
    </w:p>
    <w:p w:rsidR="00F8619F" w:rsidRDefault="00F8619F" w:rsidP="00621CFE">
      <w:pPr>
        <w:jc w:val="left"/>
      </w:pPr>
      <w:r>
        <w:t xml:space="preserve">Hardy. E.G. 1912. </w:t>
      </w:r>
      <w:r>
        <w:rPr>
          <w:i/>
        </w:rPr>
        <w:t>Roman Laws and Charters</w:t>
      </w:r>
      <w:r>
        <w:t>. Oxford: The Clarendon Press.</w:t>
      </w:r>
    </w:p>
    <w:p w:rsidR="00516283" w:rsidRPr="00F8619F" w:rsidRDefault="00516283" w:rsidP="00621CFE">
      <w:pPr>
        <w:jc w:val="left"/>
      </w:pPr>
    </w:p>
    <w:p w:rsidR="00621CFE" w:rsidRDefault="00621CFE" w:rsidP="00621CFE">
      <w:pPr>
        <w:jc w:val="left"/>
      </w:pPr>
      <w:r>
        <w:t xml:space="preserve">Potter, D. 2014. </w:t>
      </w:r>
      <w:r>
        <w:rPr>
          <w:i/>
        </w:rPr>
        <w:t>Ancient Rome: A New History</w:t>
      </w:r>
      <w:r>
        <w:t>, 2</w:t>
      </w:r>
      <w:r w:rsidRPr="009405AA">
        <w:rPr>
          <w:vertAlign w:val="superscript"/>
        </w:rPr>
        <w:t>nd</w:t>
      </w:r>
      <w:r>
        <w:t xml:space="preserve"> Ed. New York: Thames &amp; Hudson.</w:t>
      </w:r>
    </w:p>
    <w:p w:rsidR="00516283" w:rsidRDefault="00516283" w:rsidP="00621CFE">
      <w:pPr>
        <w:jc w:val="left"/>
      </w:pPr>
    </w:p>
    <w:p w:rsidR="00952F75" w:rsidRDefault="00952F75" w:rsidP="00621CFE">
      <w:pPr>
        <w:jc w:val="left"/>
      </w:pPr>
      <w:r>
        <w:t xml:space="preserve">Ryan, F.X. 1997. ‘The Praetorship of L. </w:t>
      </w:r>
      <w:proofErr w:type="spellStart"/>
      <w:r>
        <w:t>Roscius</w:t>
      </w:r>
      <w:proofErr w:type="spellEnd"/>
      <w:r>
        <w:t xml:space="preserve"> </w:t>
      </w:r>
      <w:proofErr w:type="spellStart"/>
      <w:r>
        <w:t>Otho</w:t>
      </w:r>
      <w:proofErr w:type="spellEnd"/>
      <w:r>
        <w:t xml:space="preserve">.’ </w:t>
      </w:r>
      <w:r>
        <w:rPr>
          <w:i/>
        </w:rPr>
        <w:t>Hermes</w:t>
      </w:r>
      <w:r>
        <w:t xml:space="preserve"> 125, 236-240.</w:t>
      </w:r>
    </w:p>
    <w:p w:rsidR="00516283" w:rsidRPr="00952F75" w:rsidRDefault="00516283" w:rsidP="00621CFE">
      <w:pPr>
        <w:jc w:val="left"/>
      </w:pPr>
    </w:p>
    <w:p w:rsidR="00516283" w:rsidRDefault="003E45D4" w:rsidP="00621CFE">
      <w:pPr>
        <w:jc w:val="left"/>
      </w:pPr>
      <w:r>
        <w:t xml:space="preserve">Rodger, A. 1996. </w:t>
      </w:r>
      <w:r w:rsidR="00377A28">
        <w:t>‘</w:t>
      </w:r>
      <w:r>
        <w:t xml:space="preserve">Jurisdictional Limits in the </w:t>
      </w:r>
      <w:r>
        <w:rPr>
          <w:i/>
        </w:rPr>
        <w:t xml:space="preserve">Lex </w:t>
      </w:r>
      <w:proofErr w:type="spellStart"/>
      <w:r>
        <w:rPr>
          <w:i/>
        </w:rPr>
        <w:t>Irnitana</w:t>
      </w:r>
      <w:proofErr w:type="spellEnd"/>
      <w:r>
        <w:t xml:space="preserve"> and the </w:t>
      </w:r>
      <w:r>
        <w:rPr>
          <w:i/>
        </w:rPr>
        <w:t xml:space="preserve">Lex de Gallia </w:t>
      </w:r>
      <w:proofErr w:type="spellStart"/>
      <w:r>
        <w:rPr>
          <w:i/>
        </w:rPr>
        <w:t>Cisalpina</w:t>
      </w:r>
      <w:proofErr w:type="spellEnd"/>
      <w:r>
        <w:t>.</w:t>
      </w:r>
      <w:r w:rsidR="00377A28">
        <w:t>’</w:t>
      </w:r>
      <w:r>
        <w:t xml:space="preserve"> </w:t>
      </w:r>
    </w:p>
    <w:p w:rsidR="003E45D4" w:rsidRDefault="003E45D4" w:rsidP="00516283">
      <w:pPr>
        <w:ind w:firstLine="720"/>
        <w:jc w:val="left"/>
      </w:pPr>
      <w:proofErr w:type="spellStart"/>
      <w:r>
        <w:rPr>
          <w:i/>
        </w:rPr>
        <w:t>Zeitschrift</w:t>
      </w:r>
      <w:proofErr w:type="spellEnd"/>
      <w:r>
        <w:rPr>
          <w:i/>
        </w:rPr>
        <w:t xml:space="preserve"> </w:t>
      </w:r>
      <w:proofErr w:type="spellStart"/>
      <w:r>
        <w:rPr>
          <w:i/>
        </w:rPr>
        <w:t>f</w:t>
      </w:r>
      <w:r>
        <w:rPr>
          <w:rFonts w:cs="Times New Roman"/>
          <w:i/>
        </w:rPr>
        <w:t>ü</w:t>
      </w:r>
      <w:r>
        <w:rPr>
          <w:i/>
        </w:rPr>
        <w:t>r</w:t>
      </w:r>
      <w:proofErr w:type="spellEnd"/>
      <w:r>
        <w:rPr>
          <w:i/>
        </w:rPr>
        <w:t xml:space="preserve"> </w:t>
      </w:r>
      <w:proofErr w:type="spellStart"/>
      <w:r>
        <w:rPr>
          <w:i/>
        </w:rPr>
        <w:t>Papyrologie</w:t>
      </w:r>
      <w:proofErr w:type="spellEnd"/>
      <w:r>
        <w:rPr>
          <w:i/>
        </w:rPr>
        <w:t xml:space="preserve"> und </w:t>
      </w:r>
      <w:proofErr w:type="spellStart"/>
      <w:r>
        <w:rPr>
          <w:i/>
        </w:rPr>
        <w:t>Epigraphik</w:t>
      </w:r>
      <w:proofErr w:type="spellEnd"/>
      <w:r>
        <w:t xml:space="preserve"> 110</w:t>
      </w:r>
      <w:r w:rsidR="003D152A">
        <w:t>,</w:t>
      </w:r>
      <w:r>
        <w:t xml:space="preserve"> 189-206.</w:t>
      </w:r>
    </w:p>
    <w:p w:rsidR="00516283" w:rsidRPr="003E45D4" w:rsidRDefault="00516283" w:rsidP="00516283">
      <w:pPr>
        <w:ind w:firstLine="720"/>
        <w:jc w:val="left"/>
      </w:pPr>
    </w:p>
    <w:p w:rsidR="00516283" w:rsidRDefault="00621CFE" w:rsidP="00621CFE">
      <w:pPr>
        <w:jc w:val="left"/>
      </w:pPr>
      <w:r>
        <w:t xml:space="preserve">Ward, A., </w:t>
      </w:r>
      <w:proofErr w:type="spellStart"/>
      <w:r>
        <w:t>Heich</w:t>
      </w:r>
      <w:r w:rsidR="00CE247D">
        <w:t>elheim</w:t>
      </w:r>
      <w:proofErr w:type="spellEnd"/>
      <w:r w:rsidR="00CE247D">
        <w:t xml:space="preserve">, F. and Yeo, C. 1999. </w:t>
      </w:r>
      <w:r w:rsidR="00CE247D">
        <w:rPr>
          <w:i/>
        </w:rPr>
        <w:t>A History of the Roman People</w:t>
      </w:r>
      <w:r w:rsidR="00CE247D">
        <w:t>, 3</w:t>
      </w:r>
      <w:r w:rsidR="00CE247D" w:rsidRPr="00CE247D">
        <w:rPr>
          <w:vertAlign w:val="superscript"/>
        </w:rPr>
        <w:t>rd</w:t>
      </w:r>
      <w:r w:rsidR="00CE247D">
        <w:t xml:space="preserve"> Ed. Upper </w:t>
      </w:r>
    </w:p>
    <w:p w:rsidR="00621CFE" w:rsidRPr="00CE247D" w:rsidRDefault="00CE247D" w:rsidP="00621CFE">
      <w:pPr>
        <w:jc w:val="left"/>
      </w:pPr>
      <w:r>
        <w:t xml:space="preserve">Saddle River, New Jersey: Prentice Hall. </w:t>
      </w:r>
    </w:p>
    <w:sectPr w:rsidR="00621CFE" w:rsidRPr="00CE247D">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22AEE" w:rsidRDefault="00E22AEE" w:rsidP="00E22AEE">
      <w:r>
        <w:separator/>
      </w:r>
    </w:p>
  </w:endnote>
  <w:endnote w:type="continuationSeparator" w:id="0">
    <w:p w:rsidR="00E22AEE" w:rsidRDefault="00E22AEE" w:rsidP="00E22AE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22AEE" w:rsidRDefault="00E22AEE" w:rsidP="00E22AEE">
      <w:r>
        <w:separator/>
      </w:r>
    </w:p>
  </w:footnote>
  <w:footnote w:type="continuationSeparator" w:id="0">
    <w:p w:rsidR="00E22AEE" w:rsidRDefault="00E22AEE" w:rsidP="00E22AEE">
      <w:r>
        <w:continuationSeparator/>
      </w:r>
    </w:p>
  </w:footnote>
  <w:footnote w:id="1">
    <w:p w:rsidR="00E22AEE" w:rsidRDefault="00E22AEE" w:rsidP="00E22AEE">
      <w:pPr>
        <w:pStyle w:val="FootnoteText"/>
        <w:jc w:val="left"/>
      </w:pPr>
      <w:r>
        <w:rPr>
          <w:rStyle w:val="FootnoteReference"/>
        </w:rPr>
        <w:footnoteRef/>
      </w:r>
      <w:r>
        <w:t xml:space="preserve"> </w:t>
      </w:r>
      <w:r>
        <w:rPr>
          <w:rStyle w:val="st"/>
          <w:lang w:val="pt-PT"/>
        </w:rPr>
        <w:t>CIL XI 1146; CIL I</w:t>
      </w:r>
      <w:r>
        <w:rPr>
          <w:rStyle w:val="st"/>
          <w:vertAlign w:val="superscript"/>
          <w:lang w:val="pt-PT"/>
        </w:rPr>
        <w:t>2</w:t>
      </w:r>
      <w:r>
        <w:rPr>
          <w:rStyle w:val="st"/>
          <w:lang w:val="pt-PT"/>
        </w:rPr>
        <w:t xml:space="preserve"> 592 = Bruns, Fontes</w:t>
      </w:r>
      <w:r>
        <w:rPr>
          <w:rStyle w:val="st"/>
          <w:vertAlign w:val="superscript"/>
          <w:lang w:val="pt-PT"/>
        </w:rPr>
        <w:t>7</w:t>
      </w:r>
      <w:r>
        <w:rPr>
          <w:rStyle w:val="st"/>
          <w:lang w:val="pt-PT"/>
        </w:rPr>
        <w:t>, no. 16= FIRA I2 no. 19; Crawford 1996: I.461–77 no. 28.</w:t>
      </w:r>
    </w:p>
  </w:footnote>
  <w:footnote w:id="2">
    <w:p w:rsidR="00C53854" w:rsidRPr="00C53854" w:rsidRDefault="00C53854" w:rsidP="00C53854">
      <w:pPr>
        <w:pStyle w:val="FootnoteText"/>
        <w:jc w:val="left"/>
      </w:pPr>
      <w:r>
        <w:rPr>
          <w:rStyle w:val="FootnoteReference"/>
        </w:rPr>
        <w:footnoteRef/>
      </w:r>
      <w:r>
        <w:t xml:space="preserve"> Frederiksen</w:t>
      </w:r>
      <w:r w:rsidR="00195336">
        <w:t xml:space="preserve"> </w:t>
      </w:r>
      <w:r>
        <w:t>1964</w:t>
      </w:r>
      <w:r w:rsidR="00A7509D">
        <w:t xml:space="preserve">; </w:t>
      </w:r>
      <w:r w:rsidR="003E45D4">
        <w:t>Rodger 1996.</w:t>
      </w:r>
    </w:p>
  </w:footnote>
  <w:footnote w:id="3">
    <w:p w:rsidR="001678F9" w:rsidRPr="009405AA" w:rsidRDefault="001678F9" w:rsidP="001678F9">
      <w:pPr>
        <w:pStyle w:val="FootnoteText"/>
        <w:jc w:val="left"/>
      </w:pPr>
      <w:r>
        <w:rPr>
          <w:rStyle w:val="FootnoteReference"/>
        </w:rPr>
        <w:footnoteRef/>
      </w:r>
      <w:r>
        <w:t xml:space="preserve"> Potter 2014: </w:t>
      </w:r>
      <w:r w:rsidR="00195336">
        <w:t>124.</w:t>
      </w:r>
      <w:r w:rsidR="009405AA">
        <w:t xml:space="preserve"> Potter refers to the </w:t>
      </w:r>
      <w:r w:rsidR="009405AA">
        <w:rPr>
          <w:i/>
        </w:rPr>
        <w:t xml:space="preserve">Lex </w:t>
      </w:r>
      <w:proofErr w:type="spellStart"/>
      <w:r w:rsidR="009405AA">
        <w:rPr>
          <w:i/>
        </w:rPr>
        <w:t>Agraria</w:t>
      </w:r>
      <w:proofErr w:type="spellEnd"/>
      <w:r w:rsidR="009405AA">
        <w:t xml:space="preserve"> of 111 BC as an example</w:t>
      </w:r>
      <w:r w:rsidR="00AA0454">
        <w:t>,</w:t>
      </w:r>
      <w:r w:rsidR="009405AA">
        <w:t xml:space="preserve"> 116.</w:t>
      </w:r>
    </w:p>
  </w:footnote>
  <w:footnote w:id="4">
    <w:p w:rsidR="00195336" w:rsidRDefault="00195336" w:rsidP="00195336">
      <w:pPr>
        <w:pStyle w:val="FootnoteText"/>
        <w:jc w:val="left"/>
      </w:pPr>
      <w:r>
        <w:rPr>
          <w:rStyle w:val="FootnoteReference"/>
        </w:rPr>
        <w:footnoteRef/>
      </w:r>
      <w:r>
        <w:t xml:space="preserve"> Ibid.</w:t>
      </w:r>
    </w:p>
  </w:footnote>
  <w:footnote w:id="5">
    <w:p w:rsidR="008D7B22" w:rsidRDefault="008D7B22" w:rsidP="008D7B22">
      <w:pPr>
        <w:pStyle w:val="FootnoteText"/>
        <w:jc w:val="left"/>
      </w:pPr>
      <w:r>
        <w:rPr>
          <w:rStyle w:val="FootnoteReference"/>
        </w:rPr>
        <w:footnoteRef/>
      </w:r>
      <w:r>
        <w:t xml:space="preserve"> Beard 2015: 236-237.</w:t>
      </w:r>
    </w:p>
  </w:footnote>
  <w:footnote w:id="6">
    <w:p w:rsidR="007E54F3" w:rsidRDefault="007E54F3" w:rsidP="007E54F3">
      <w:pPr>
        <w:pStyle w:val="FootnoteText"/>
        <w:jc w:val="left"/>
      </w:pPr>
      <w:r>
        <w:rPr>
          <w:rStyle w:val="FootnoteReference"/>
        </w:rPr>
        <w:footnoteRef/>
      </w:r>
      <w:r>
        <w:t xml:space="preserve"> Ward et al. 1999: 165.</w:t>
      </w:r>
    </w:p>
  </w:footnote>
  <w:footnote w:id="7">
    <w:p w:rsidR="007E54F3" w:rsidRDefault="007E54F3" w:rsidP="007E54F3">
      <w:pPr>
        <w:pStyle w:val="FootnoteText"/>
        <w:jc w:val="left"/>
      </w:pPr>
      <w:r>
        <w:rPr>
          <w:rStyle w:val="FootnoteReference"/>
        </w:rPr>
        <w:footnoteRef/>
      </w:r>
      <w:r>
        <w:t xml:space="preserve"> Ibid.</w:t>
      </w:r>
    </w:p>
  </w:footnote>
  <w:footnote w:id="8">
    <w:p w:rsidR="00943256" w:rsidRDefault="00943256" w:rsidP="00943256">
      <w:pPr>
        <w:pStyle w:val="FootnoteText"/>
        <w:jc w:val="left"/>
      </w:pPr>
      <w:r>
        <w:rPr>
          <w:rStyle w:val="FootnoteReference"/>
        </w:rPr>
        <w:footnoteRef/>
      </w:r>
      <w:r>
        <w:t xml:space="preserve"> Potter 2014: 127.</w:t>
      </w:r>
    </w:p>
  </w:footnote>
  <w:footnote w:id="9">
    <w:p w:rsidR="00943256" w:rsidRDefault="00943256" w:rsidP="00943256">
      <w:pPr>
        <w:pStyle w:val="FootnoteText"/>
        <w:jc w:val="left"/>
      </w:pPr>
      <w:r>
        <w:rPr>
          <w:rStyle w:val="FootnoteReference"/>
        </w:rPr>
        <w:footnoteRef/>
      </w:r>
      <w:r>
        <w:t xml:space="preserve"> Beard 2015: 239.</w:t>
      </w:r>
    </w:p>
  </w:footnote>
  <w:footnote w:id="10">
    <w:p w:rsidR="00837BA7" w:rsidRDefault="00837BA7" w:rsidP="00837BA7">
      <w:pPr>
        <w:pStyle w:val="FootnoteText"/>
        <w:jc w:val="left"/>
      </w:pPr>
      <w:r>
        <w:rPr>
          <w:rStyle w:val="FootnoteReference"/>
        </w:rPr>
        <w:footnoteRef/>
      </w:r>
      <w:r>
        <w:t xml:space="preserve"> </w:t>
      </w:r>
      <w:proofErr w:type="spellStart"/>
      <w:r>
        <w:t>Haeussler</w:t>
      </w:r>
      <w:proofErr w:type="spellEnd"/>
      <w:r>
        <w:t xml:space="preserve"> 2013: 116. </w:t>
      </w:r>
      <w:proofErr w:type="spellStart"/>
      <w:r>
        <w:t>Haeussler</w:t>
      </w:r>
      <w:proofErr w:type="spellEnd"/>
      <w:r>
        <w:t xml:space="preserve"> cites Cicero </w:t>
      </w:r>
      <w:r w:rsidR="00AA0454">
        <w:t>in</w:t>
      </w:r>
      <w:r>
        <w:t xml:space="preserve"> listing Cisalpine Gaul as a territorial province in 56 BC.</w:t>
      </w:r>
    </w:p>
  </w:footnote>
  <w:footnote w:id="11">
    <w:p w:rsidR="00F8619F" w:rsidRDefault="00F8619F" w:rsidP="00F8619F">
      <w:pPr>
        <w:pStyle w:val="FootnoteText"/>
        <w:jc w:val="left"/>
      </w:pPr>
      <w:r>
        <w:rPr>
          <w:rStyle w:val="FootnoteReference"/>
        </w:rPr>
        <w:footnoteRef/>
      </w:r>
      <w:r>
        <w:t xml:space="preserve"> Hardy 1912: 112.</w:t>
      </w:r>
    </w:p>
  </w:footnote>
  <w:footnote w:id="12">
    <w:p w:rsidR="003D152A" w:rsidRDefault="003D152A" w:rsidP="003D152A">
      <w:pPr>
        <w:pStyle w:val="FootnoteText"/>
        <w:jc w:val="both"/>
      </w:pPr>
      <w:r>
        <w:rPr>
          <w:rStyle w:val="FootnoteReference"/>
        </w:rPr>
        <w:footnoteRef/>
      </w:r>
      <w:r>
        <w:t xml:space="preserve"> Gardner 2009: 65-66.</w:t>
      </w:r>
    </w:p>
  </w:footnote>
  <w:footnote w:id="13">
    <w:p w:rsidR="00C2200C" w:rsidRDefault="00C2200C" w:rsidP="00C2200C">
      <w:pPr>
        <w:pStyle w:val="FootnoteText"/>
        <w:jc w:val="left"/>
      </w:pPr>
      <w:r>
        <w:rPr>
          <w:rStyle w:val="FootnoteReference"/>
        </w:rPr>
        <w:footnoteRef/>
      </w:r>
      <w:r>
        <w:t xml:space="preserve"> XX, ll.</w:t>
      </w:r>
      <w:r w:rsidR="00EE7231">
        <w:t xml:space="preserve"> </w:t>
      </w:r>
      <w:r>
        <w:t>15-16.</w:t>
      </w:r>
    </w:p>
  </w:footnote>
  <w:footnote w:id="14">
    <w:p w:rsidR="00293EF5" w:rsidRDefault="00293EF5" w:rsidP="00293EF5">
      <w:pPr>
        <w:pStyle w:val="FootnoteText"/>
        <w:jc w:val="left"/>
      </w:pPr>
      <w:r>
        <w:rPr>
          <w:rStyle w:val="FootnoteReference"/>
        </w:rPr>
        <w:footnoteRef/>
      </w:r>
      <w:r>
        <w:t xml:space="preserve"> XXI, ll.</w:t>
      </w:r>
      <w:r w:rsidR="00EE7231">
        <w:t xml:space="preserve"> </w:t>
      </w:r>
      <w:r>
        <w:t>1-4.</w:t>
      </w:r>
    </w:p>
  </w:footnote>
  <w:footnote w:id="15">
    <w:p w:rsidR="00EE7231" w:rsidRDefault="00EE7231" w:rsidP="00EE7231">
      <w:pPr>
        <w:pStyle w:val="FootnoteText"/>
        <w:jc w:val="left"/>
      </w:pPr>
      <w:r>
        <w:rPr>
          <w:rStyle w:val="FootnoteReference"/>
        </w:rPr>
        <w:footnoteRef/>
      </w:r>
      <w:r>
        <w:t xml:space="preserve"> XXII, ll. 25-27.</w:t>
      </w:r>
    </w:p>
  </w:footnote>
  <w:footnote w:id="16">
    <w:p w:rsidR="00EE7231" w:rsidRPr="00EE7231" w:rsidRDefault="00EE7231" w:rsidP="00EE7231">
      <w:pPr>
        <w:pStyle w:val="FootnoteText"/>
        <w:jc w:val="left"/>
      </w:pPr>
      <w:r>
        <w:rPr>
          <w:rStyle w:val="FootnoteReference"/>
        </w:rPr>
        <w:footnoteRef/>
      </w:r>
      <w:r>
        <w:t xml:space="preserve"> XXII, ll. 28. For a detailed examination of the significance of </w:t>
      </w:r>
      <w:proofErr w:type="spellStart"/>
      <w:r>
        <w:rPr>
          <w:i/>
        </w:rPr>
        <w:t>omnei</w:t>
      </w:r>
      <w:proofErr w:type="spellEnd"/>
      <w:r>
        <w:rPr>
          <w:i/>
        </w:rPr>
        <w:t xml:space="preserve"> </w:t>
      </w:r>
      <w:proofErr w:type="spellStart"/>
      <w:r>
        <w:rPr>
          <w:i/>
        </w:rPr>
        <w:t>pecunia</w:t>
      </w:r>
      <w:proofErr w:type="spellEnd"/>
      <w:r>
        <w:t>, see Rodger 1996: 200-202.</w:t>
      </w:r>
    </w:p>
  </w:footnote>
  <w:footnote w:id="17">
    <w:p w:rsidR="0061534C" w:rsidRDefault="0061534C" w:rsidP="0061534C">
      <w:pPr>
        <w:pStyle w:val="FootnoteText"/>
        <w:jc w:val="left"/>
      </w:pPr>
      <w:r>
        <w:rPr>
          <w:rStyle w:val="FootnoteReference"/>
        </w:rPr>
        <w:footnoteRef/>
      </w:r>
      <w:r>
        <w:t xml:space="preserve"> XXII</w:t>
      </w:r>
      <w:r w:rsidR="00803BFE">
        <w:t>I</w:t>
      </w:r>
      <w:r>
        <w:t>, 53, 56-57.</w:t>
      </w:r>
    </w:p>
  </w:footnote>
  <w:footnote w:id="18">
    <w:p w:rsidR="00FB4487" w:rsidRDefault="00FB4487" w:rsidP="00FB4487">
      <w:pPr>
        <w:pStyle w:val="FootnoteText"/>
        <w:jc w:val="left"/>
      </w:pPr>
      <w:r>
        <w:rPr>
          <w:rStyle w:val="FootnoteReference"/>
        </w:rPr>
        <w:footnoteRef/>
      </w:r>
      <w:r>
        <w:t xml:space="preserve"> Crawford 1996: 462.</w:t>
      </w:r>
    </w:p>
  </w:footnote>
  <w:footnote w:id="19">
    <w:p w:rsidR="00803BFE" w:rsidRDefault="00803BFE" w:rsidP="00803BFE">
      <w:pPr>
        <w:pStyle w:val="FootnoteText"/>
        <w:jc w:val="left"/>
      </w:pPr>
      <w:r>
        <w:rPr>
          <w:rStyle w:val="FootnoteReference"/>
        </w:rPr>
        <w:footnoteRef/>
      </w:r>
      <w:r>
        <w:t xml:space="preserve"> XX, ll. 7-8.</w:t>
      </w:r>
    </w:p>
  </w:footnote>
  <w:footnote w:id="20">
    <w:p w:rsidR="00166883" w:rsidRPr="006D4EE5" w:rsidRDefault="00166883" w:rsidP="00166883">
      <w:pPr>
        <w:pStyle w:val="FootnoteText"/>
        <w:jc w:val="left"/>
      </w:pPr>
      <w:r>
        <w:rPr>
          <w:rStyle w:val="FootnoteReference"/>
        </w:rPr>
        <w:footnoteRef/>
      </w:r>
      <w:r>
        <w:t xml:space="preserve"> Rodger</w:t>
      </w:r>
      <w:r w:rsidR="006D4EE5">
        <w:t xml:space="preserve"> 1996: 206,</w:t>
      </w:r>
      <w:r>
        <w:t xml:space="preserve"> argues that </w:t>
      </w:r>
      <w:r w:rsidR="006D4EE5">
        <w:t xml:space="preserve">the phrase </w:t>
      </w:r>
      <w:r>
        <w:t>‘</w:t>
      </w:r>
      <w:proofErr w:type="spellStart"/>
      <w:r>
        <w:rPr>
          <w:i/>
        </w:rPr>
        <w:t>omnei</w:t>
      </w:r>
      <w:proofErr w:type="spellEnd"/>
      <w:r>
        <w:rPr>
          <w:i/>
        </w:rPr>
        <w:t xml:space="preserve"> </w:t>
      </w:r>
      <w:proofErr w:type="spellStart"/>
      <w:r>
        <w:rPr>
          <w:i/>
        </w:rPr>
        <w:t>pecunia</w:t>
      </w:r>
      <w:proofErr w:type="spellEnd"/>
      <w:r w:rsidR="006D4EE5">
        <w:t>’ delineates that matters less tha</w:t>
      </w:r>
      <w:r w:rsidR="000B0A06">
        <w:t>n</w:t>
      </w:r>
      <w:r w:rsidR="006D4EE5">
        <w:t xml:space="preserve"> 15,000 sesterces ‘in respect of the whole sum.</w:t>
      </w:r>
      <w:r w:rsidR="001377E6">
        <w:t>’</w:t>
      </w:r>
    </w:p>
  </w:footnote>
  <w:footnote w:id="21">
    <w:p w:rsidR="003A3CDB" w:rsidRDefault="003A3CDB" w:rsidP="003A3CDB">
      <w:pPr>
        <w:pStyle w:val="FootnoteText"/>
        <w:jc w:val="left"/>
      </w:pPr>
      <w:r>
        <w:rPr>
          <w:rStyle w:val="FootnoteReference"/>
        </w:rPr>
        <w:footnoteRef/>
      </w:r>
      <w:r>
        <w:t xml:space="preserve"> Hardy 1912: 124. </w:t>
      </w:r>
    </w:p>
  </w:footnote>
  <w:footnote w:id="22">
    <w:p w:rsidR="00AF4044" w:rsidRDefault="00AF4044" w:rsidP="00AF4044">
      <w:pPr>
        <w:pStyle w:val="FootnoteText"/>
        <w:jc w:val="left"/>
      </w:pPr>
      <w:r>
        <w:rPr>
          <w:rStyle w:val="FootnoteReference"/>
        </w:rPr>
        <w:footnoteRef/>
      </w:r>
      <w:r>
        <w:t xml:space="preserve"> </w:t>
      </w:r>
      <w:proofErr w:type="spellStart"/>
      <w:r>
        <w:t>Haeussler</w:t>
      </w:r>
      <w:proofErr w:type="spellEnd"/>
      <w:r>
        <w:t xml:space="preserve"> 2013: 194.</w:t>
      </w:r>
    </w:p>
  </w:footnote>
  <w:footnote w:id="23">
    <w:p w:rsidR="00377A28" w:rsidRDefault="00377A28" w:rsidP="00377A28">
      <w:pPr>
        <w:pStyle w:val="FootnoteText"/>
        <w:jc w:val="left"/>
      </w:pPr>
      <w:r>
        <w:rPr>
          <w:rStyle w:val="FootnoteReference"/>
        </w:rPr>
        <w:footnoteRef/>
      </w:r>
      <w:r>
        <w:t xml:space="preserve"> Ibid., 195.</w:t>
      </w:r>
    </w:p>
  </w:footnote>
  <w:footnote w:id="24">
    <w:p w:rsidR="000B0A06" w:rsidRDefault="000B0A06" w:rsidP="000B0A06">
      <w:pPr>
        <w:pStyle w:val="FootnoteText"/>
        <w:jc w:val="left"/>
      </w:pPr>
      <w:r>
        <w:rPr>
          <w:rStyle w:val="FootnoteReference"/>
        </w:rPr>
        <w:footnoteRef/>
      </w:r>
      <w:r>
        <w:t xml:space="preserve"> XX, ll. 50-52.</w:t>
      </w:r>
    </w:p>
  </w:footnote>
  <w:footnote w:id="25">
    <w:p w:rsidR="000448E0" w:rsidRDefault="000448E0" w:rsidP="00807123">
      <w:pPr>
        <w:pStyle w:val="FootnoteText"/>
        <w:jc w:val="both"/>
      </w:pPr>
      <w:r>
        <w:rPr>
          <w:rStyle w:val="FootnoteReference"/>
        </w:rPr>
        <w:footnoteRef/>
      </w:r>
      <w:r>
        <w:t xml:space="preserve"> Hardy 1912: 11</w:t>
      </w:r>
      <w:r w:rsidR="00CB6017">
        <w:t>1</w:t>
      </w:r>
      <w:r>
        <w:t>.</w:t>
      </w:r>
    </w:p>
  </w:footnote>
  <w:footnote w:id="26">
    <w:p w:rsidR="00CB6017" w:rsidRDefault="00CB6017" w:rsidP="00CB6017">
      <w:pPr>
        <w:pStyle w:val="FootnoteText"/>
        <w:jc w:val="left"/>
      </w:pPr>
      <w:r>
        <w:rPr>
          <w:rStyle w:val="FootnoteReference"/>
        </w:rPr>
        <w:footnoteRef/>
      </w:r>
      <w:r>
        <w:t xml:space="preserve"> Ibid.</w:t>
      </w:r>
    </w:p>
  </w:footnote>
  <w:footnote w:id="27">
    <w:p w:rsidR="00DB167A" w:rsidRDefault="00DB167A" w:rsidP="00DB167A">
      <w:pPr>
        <w:pStyle w:val="FootnoteText"/>
        <w:jc w:val="left"/>
      </w:pPr>
      <w:r>
        <w:rPr>
          <w:rStyle w:val="FootnoteReference"/>
        </w:rPr>
        <w:footnoteRef/>
      </w:r>
      <w:r>
        <w:t xml:space="preserve"> Ibid., 116.</w:t>
      </w:r>
    </w:p>
  </w:footnote>
  <w:footnote w:id="28">
    <w:p w:rsidR="00066E45" w:rsidRDefault="00066E45" w:rsidP="00066E45">
      <w:pPr>
        <w:pStyle w:val="FootnoteText"/>
        <w:jc w:val="left"/>
      </w:pPr>
      <w:r>
        <w:rPr>
          <w:rStyle w:val="FootnoteReference"/>
        </w:rPr>
        <w:footnoteRef/>
      </w:r>
      <w:r>
        <w:t xml:space="preserve"> Crawford</w:t>
      </w:r>
      <w:r w:rsidR="008308A9">
        <w:t xml:space="preserve"> 1996: 462; </w:t>
      </w:r>
      <w:proofErr w:type="spellStart"/>
      <w:r w:rsidR="008308A9">
        <w:t>Haeussler</w:t>
      </w:r>
      <w:proofErr w:type="spellEnd"/>
      <w:r w:rsidR="008308A9">
        <w:t xml:space="preserve"> 2013: 193.</w:t>
      </w:r>
    </w:p>
  </w:footnote>
  <w:footnote w:id="29">
    <w:p w:rsidR="008308A9" w:rsidRDefault="008308A9" w:rsidP="008308A9">
      <w:pPr>
        <w:pStyle w:val="FootnoteText"/>
        <w:jc w:val="left"/>
      </w:pPr>
      <w:r>
        <w:rPr>
          <w:rStyle w:val="FootnoteReference"/>
        </w:rPr>
        <w:footnoteRef/>
      </w:r>
      <w:r>
        <w:t xml:space="preserve"> </w:t>
      </w:r>
      <w:proofErr w:type="spellStart"/>
      <w:r>
        <w:t>Haeussler</w:t>
      </w:r>
      <w:proofErr w:type="spellEnd"/>
      <w:r>
        <w:t xml:space="preserve"> 2</w:t>
      </w:r>
      <w:r w:rsidR="00952F75">
        <w:t>01</w:t>
      </w:r>
      <w:r>
        <w:t>3: 193</w:t>
      </w:r>
      <w:r w:rsidR="00EE26BA">
        <w:t>-194</w:t>
      </w:r>
      <w:r>
        <w:t>.</w:t>
      </w:r>
    </w:p>
  </w:footnote>
  <w:footnote w:id="30">
    <w:p w:rsidR="00952F75" w:rsidRDefault="00952F75" w:rsidP="00952F75">
      <w:pPr>
        <w:pStyle w:val="FootnoteText"/>
        <w:jc w:val="left"/>
      </w:pPr>
      <w:r>
        <w:rPr>
          <w:rStyle w:val="FootnoteReference"/>
        </w:rPr>
        <w:footnoteRef/>
      </w:r>
      <w:r>
        <w:t xml:space="preserve"> Ryan 1997: 236-238.</w:t>
      </w:r>
    </w:p>
  </w:footnote>
  <w:footnote w:id="31">
    <w:p w:rsidR="00AA0739" w:rsidRDefault="00AA0739" w:rsidP="00AA0739">
      <w:pPr>
        <w:pStyle w:val="FootnoteText"/>
        <w:jc w:val="left"/>
      </w:pPr>
      <w:r>
        <w:rPr>
          <w:rStyle w:val="FootnoteReference"/>
        </w:rPr>
        <w:footnoteRef/>
      </w:r>
      <w:r>
        <w:t xml:space="preserve"> </w:t>
      </w:r>
      <w:proofErr w:type="spellStart"/>
      <w:r>
        <w:t>Haeussler</w:t>
      </w:r>
      <w:proofErr w:type="spellEnd"/>
      <w:r>
        <w:t xml:space="preserve"> 2013: 194.</w:t>
      </w:r>
    </w:p>
  </w:footnote>
  <w:footnote w:id="32">
    <w:p w:rsidR="00AA0739" w:rsidRDefault="00AA0739" w:rsidP="00AA0739">
      <w:pPr>
        <w:pStyle w:val="FootnoteText"/>
        <w:jc w:val="left"/>
      </w:pPr>
      <w:r>
        <w:rPr>
          <w:rStyle w:val="FootnoteReference"/>
        </w:rPr>
        <w:footnoteRef/>
      </w:r>
      <w:r>
        <w:t xml:space="preserve"> Ibid.</w:t>
      </w:r>
    </w:p>
  </w:footnote>
  <w:footnote w:id="33">
    <w:p w:rsidR="00AA0739" w:rsidRDefault="00AA0739" w:rsidP="00AA0739">
      <w:pPr>
        <w:pStyle w:val="FootnoteText"/>
        <w:jc w:val="left"/>
      </w:pPr>
      <w:r>
        <w:rPr>
          <w:rStyle w:val="FootnoteReference"/>
        </w:rPr>
        <w:footnoteRef/>
      </w:r>
      <w:r>
        <w:t xml:space="preserve"> Hardy 1912: 111.</w:t>
      </w:r>
    </w:p>
  </w:footnote>
  <w:footnote w:id="34">
    <w:p w:rsidR="005044A7" w:rsidRDefault="005044A7" w:rsidP="005044A7">
      <w:pPr>
        <w:pStyle w:val="FootnoteText"/>
        <w:jc w:val="left"/>
      </w:pPr>
      <w:r>
        <w:rPr>
          <w:rStyle w:val="FootnoteReference"/>
        </w:rPr>
        <w:footnoteRef/>
      </w:r>
      <w:r>
        <w:t xml:space="preserve"> Frederiksen 1964: 133.</w:t>
      </w:r>
    </w:p>
  </w:footnote>
  <w:footnote w:id="35">
    <w:p w:rsidR="008B435B" w:rsidRDefault="008B435B" w:rsidP="008B435B">
      <w:pPr>
        <w:pStyle w:val="FootnoteText"/>
        <w:jc w:val="left"/>
      </w:pPr>
      <w:r>
        <w:rPr>
          <w:rStyle w:val="FootnoteReference"/>
        </w:rPr>
        <w:footnoteRef/>
      </w:r>
      <w:r>
        <w:t xml:space="preserve"> </w:t>
      </w:r>
      <w:proofErr w:type="spellStart"/>
      <w:r>
        <w:t>Haeussler</w:t>
      </w:r>
      <w:proofErr w:type="spellEnd"/>
      <w:r>
        <w:t xml:space="preserve"> 2013: 195.</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78160154"/>
      <w:docPartObj>
        <w:docPartGallery w:val="Page Numbers (Top of Page)"/>
        <w:docPartUnique/>
      </w:docPartObj>
    </w:sdtPr>
    <w:sdtEndPr>
      <w:rPr>
        <w:noProof/>
      </w:rPr>
    </w:sdtEndPr>
    <w:sdtContent>
      <w:p w:rsidR="003E165A" w:rsidRDefault="003E165A">
        <w:pPr>
          <w:pStyle w:val="Header"/>
          <w:jc w:val="right"/>
        </w:pPr>
        <w:r>
          <w:t xml:space="preserve"> </w:t>
        </w:r>
        <w:r>
          <w:rPr>
            <w:i/>
          </w:rPr>
          <w:t xml:space="preserve">Lex de Gallia </w:t>
        </w:r>
        <w:proofErr w:type="spellStart"/>
        <w:r>
          <w:rPr>
            <w:i/>
          </w:rPr>
          <w:t>Cisalpina</w:t>
        </w:r>
        <w:proofErr w:type="spellEnd"/>
        <w:r>
          <w:t xml:space="preserve"> </w:t>
        </w:r>
        <w:r>
          <w:fldChar w:fldCharType="begin"/>
        </w:r>
        <w:r>
          <w:instrText xml:space="preserve"> PAGE   \* MERGEFORMAT </w:instrText>
        </w:r>
        <w:r>
          <w:fldChar w:fldCharType="separate"/>
        </w:r>
        <w:r w:rsidR="00A84914">
          <w:rPr>
            <w:noProof/>
          </w:rPr>
          <w:t>11</w:t>
        </w:r>
        <w:r>
          <w:rPr>
            <w:noProof/>
          </w:rPr>
          <w:fldChar w:fldCharType="end"/>
        </w:r>
      </w:p>
    </w:sdtContent>
  </w:sdt>
  <w:p w:rsidR="003E165A" w:rsidRDefault="003E165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0E30BD"/>
    <w:multiLevelType w:val="hybridMultilevel"/>
    <w:tmpl w:val="552029B0"/>
    <w:lvl w:ilvl="0" w:tplc="BED0D824">
      <w:start w:val="1"/>
      <w:numFmt w:val="decimal"/>
      <w:lvlText w:val="(%1)"/>
      <w:lvlJc w:val="left"/>
      <w:pPr>
        <w:ind w:left="720" w:hanging="360"/>
      </w:pPr>
      <w:rPr>
        <w:i w:val="0"/>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2AEE"/>
    <w:rsid w:val="000448E0"/>
    <w:rsid w:val="00066E45"/>
    <w:rsid w:val="000B0A06"/>
    <w:rsid w:val="001377E6"/>
    <w:rsid w:val="00166883"/>
    <w:rsid w:val="001678F9"/>
    <w:rsid w:val="00170CBA"/>
    <w:rsid w:val="00195336"/>
    <w:rsid w:val="002812E6"/>
    <w:rsid w:val="00293EF5"/>
    <w:rsid w:val="002C12CC"/>
    <w:rsid w:val="002C5E25"/>
    <w:rsid w:val="00335567"/>
    <w:rsid w:val="00377A28"/>
    <w:rsid w:val="003A3CDB"/>
    <w:rsid w:val="003A5AFD"/>
    <w:rsid w:val="003B27C7"/>
    <w:rsid w:val="003D152A"/>
    <w:rsid w:val="003E165A"/>
    <w:rsid w:val="003E45D4"/>
    <w:rsid w:val="005044A7"/>
    <w:rsid w:val="00516283"/>
    <w:rsid w:val="005A7F56"/>
    <w:rsid w:val="005B2E88"/>
    <w:rsid w:val="005F3847"/>
    <w:rsid w:val="005F594D"/>
    <w:rsid w:val="00611912"/>
    <w:rsid w:val="0061534C"/>
    <w:rsid w:val="00621CFE"/>
    <w:rsid w:val="006D4EE5"/>
    <w:rsid w:val="00733353"/>
    <w:rsid w:val="007446F8"/>
    <w:rsid w:val="007857CA"/>
    <w:rsid w:val="007A403D"/>
    <w:rsid w:val="007C3870"/>
    <w:rsid w:val="007E54F3"/>
    <w:rsid w:val="00803BFE"/>
    <w:rsid w:val="00807123"/>
    <w:rsid w:val="008308A9"/>
    <w:rsid w:val="00837BA7"/>
    <w:rsid w:val="008B435B"/>
    <w:rsid w:val="008C3C67"/>
    <w:rsid w:val="008D7B22"/>
    <w:rsid w:val="009405AA"/>
    <w:rsid w:val="00943256"/>
    <w:rsid w:val="00952F75"/>
    <w:rsid w:val="00973D5B"/>
    <w:rsid w:val="00986A07"/>
    <w:rsid w:val="009B32AF"/>
    <w:rsid w:val="009B5881"/>
    <w:rsid w:val="00A13B99"/>
    <w:rsid w:val="00A7509D"/>
    <w:rsid w:val="00A80690"/>
    <w:rsid w:val="00A84914"/>
    <w:rsid w:val="00AA0454"/>
    <w:rsid w:val="00AA0739"/>
    <w:rsid w:val="00AB5488"/>
    <w:rsid w:val="00AF4044"/>
    <w:rsid w:val="00B11CE5"/>
    <w:rsid w:val="00C2200C"/>
    <w:rsid w:val="00C37D54"/>
    <w:rsid w:val="00C53854"/>
    <w:rsid w:val="00CB6017"/>
    <w:rsid w:val="00CE247D"/>
    <w:rsid w:val="00D0650E"/>
    <w:rsid w:val="00D527B4"/>
    <w:rsid w:val="00D754B3"/>
    <w:rsid w:val="00DB167A"/>
    <w:rsid w:val="00E131EC"/>
    <w:rsid w:val="00E15492"/>
    <w:rsid w:val="00E22AEE"/>
    <w:rsid w:val="00E2543B"/>
    <w:rsid w:val="00E46D79"/>
    <w:rsid w:val="00E74893"/>
    <w:rsid w:val="00ED54C1"/>
    <w:rsid w:val="00EE26BA"/>
    <w:rsid w:val="00EE7231"/>
    <w:rsid w:val="00F172BD"/>
    <w:rsid w:val="00F8619F"/>
    <w:rsid w:val="00FB448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475DBE"/>
  <w15:chartTrackingRefBased/>
  <w15:docId w15:val="{BA6F6352-3AB2-4EC0-8DF1-A98ED1F163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theme="minorBidi"/>
        <w:sz w:val="24"/>
        <w:szCs w:val="22"/>
        <w:lang w:val="en-US" w:eastAsia="en-US" w:bidi="ar-SA"/>
      </w:rPr>
    </w:rPrDefault>
    <w:pPrDefault>
      <w:pPr>
        <w:jc w:val="center"/>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E22AEE"/>
    <w:pPr>
      <w:spacing w:before="100" w:beforeAutospacing="1" w:after="100" w:afterAutospacing="1"/>
      <w:jc w:val="left"/>
    </w:pPr>
    <w:rPr>
      <w:rFonts w:eastAsia="Times New Roman" w:cs="Times New Roman"/>
      <w:szCs w:val="24"/>
      <w:lang w:val="en-GB" w:eastAsia="en-GB"/>
    </w:rPr>
  </w:style>
  <w:style w:type="character" w:customStyle="1" w:styleId="st">
    <w:name w:val="st"/>
    <w:basedOn w:val="DefaultParagraphFont"/>
    <w:rsid w:val="00E22AEE"/>
  </w:style>
  <w:style w:type="paragraph" w:styleId="FootnoteText">
    <w:name w:val="footnote text"/>
    <w:basedOn w:val="Normal"/>
    <w:link w:val="FootnoteTextChar"/>
    <w:uiPriority w:val="99"/>
    <w:semiHidden/>
    <w:unhideWhenUsed/>
    <w:rsid w:val="00E22AEE"/>
    <w:rPr>
      <w:sz w:val="20"/>
      <w:szCs w:val="20"/>
    </w:rPr>
  </w:style>
  <w:style w:type="character" w:customStyle="1" w:styleId="FootnoteTextChar">
    <w:name w:val="Footnote Text Char"/>
    <w:basedOn w:val="DefaultParagraphFont"/>
    <w:link w:val="FootnoteText"/>
    <w:uiPriority w:val="99"/>
    <w:semiHidden/>
    <w:rsid w:val="00E22AEE"/>
    <w:rPr>
      <w:sz w:val="20"/>
      <w:szCs w:val="20"/>
    </w:rPr>
  </w:style>
  <w:style w:type="character" w:styleId="FootnoteReference">
    <w:name w:val="footnote reference"/>
    <w:basedOn w:val="DefaultParagraphFont"/>
    <w:uiPriority w:val="99"/>
    <w:semiHidden/>
    <w:unhideWhenUsed/>
    <w:rsid w:val="00E22AEE"/>
    <w:rPr>
      <w:vertAlign w:val="superscript"/>
    </w:rPr>
  </w:style>
  <w:style w:type="paragraph" w:styleId="EndnoteText">
    <w:name w:val="endnote text"/>
    <w:basedOn w:val="Normal"/>
    <w:link w:val="EndnoteTextChar"/>
    <w:uiPriority w:val="99"/>
    <w:semiHidden/>
    <w:unhideWhenUsed/>
    <w:rsid w:val="00F8619F"/>
    <w:rPr>
      <w:sz w:val="20"/>
      <w:szCs w:val="20"/>
    </w:rPr>
  </w:style>
  <w:style w:type="character" w:customStyle="1" w:styleId="EndnoteTextChar">
    <w:name w:val="Endnote Text Char"/>
    <w:basedOn w:val="DefaultParagraphFont"/>
    <w:link w:val="EndnoteText"/>
    <w:uiPriority w:val="99"/>
    <w:semiHidden/>
    <w:rsid w:val="00F8619F"/>
    <w:rPr>
      <w:sz w:val="20"/>
      <w:szCs w:val="20"/>
    </w:rPr>
  </w:style>
  <w:style w:type="character" w:styleId="EndnoteReference">
    <w:name w:val="endnote reference"/>
    <w:basedOn w:val="DefaultParagraphFont"/>
    <w:uiPriority w:val="99"/>
    <w:semiHidden/>
    <w:unhideWhenUsed/>
    <w:rsid w:val="00F8619F"/>
    <w:rPr>
      <w:vertAlign w:val="superscript"/>
    </w:rPr>
  </w:style>
  <w:style w:type="paragraph" w:styleId="Header">
    <w:name w:val="header"/>
    <w:basedOn w:val="Normal"/>
    <w:link w:val="HeaderChar"/>
    <w:uiPriority w:val="99"/>
    <w:unhideWhenUsed/>
    <w:rsid w:val="003E165A"/>
    <w:pPr>
      <w:tabs>
        <w:tab w:val="center" w:pos="4680"/>
        <w:tab w:val="right" w:pos="9360"/>
      </w:tabs>
    </w:pPr>
  </w:style>
  <w:style w:type="character" w:customStyle="1" w:styleId="HeaderChar">
    <w:name w:val="Header Char"/>
    <w:basedOn w:val="DefaultParagraphFont"/>
    <w:link w:val="Header"/>
    <w:uiPriority w:val="99"/>
    <w:rsid w:val="003E165A"/>
  </w:style>
  <w:style w:type="paragraph" w:styleId="Footer">
    <w:name w:val="footer"/>
    <w:basedOn w:val="Normal"/>
    <w:link w:val="FooterChar"/>
    <w:uiPriority w:val="99"/>
    <w:unhideWhenUsed/>
    <w:rsid w:val="003E165A"/>
    <w:pPr>
      <w:tabs>
        <w:tab w:val="center" w:pos="4680"/>
        <w:tab w:val="right" w:pos="9360"/>
      </w:tabs>
    </w:pPr>
  </w:style>
  <w:style w:type="character" w:customStyle="1" w:styleId="FooterChar">
    <w:name w:val="Footer Char"/>
    <w:basedOn w:val="DefaultParagraphFont"/>
    <w:link w:val="Footer"/>
    <w:uiPriority w:val="99"/>
    <w:rsid w:val="003E165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229789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0FFC"/>
    <w:rsid w:val="00B40FF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FB1854C110B43538A54C268C7BF42EA">
    <w:name w:val="6FB1854C110B43538A54C268C7BF42EA"/>
    <w:rsid w:val="00B40FF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TURABIAN.XSL" StyleName="Turabian" Version="6"/>
</file>

<file path=customXml/itemProps1.xml><?xml version="1.0" encoding="utf-8"?>
<ds:datastoreItem xmlns:ds="http://schemas.openxmlformats.org/officeDocument/2006/customXml" ds:itemID="{363F0F65-61CD-4A87-A1F2-A298525E5C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887</TotalTime>
  <Pages>11</Pages>
  <Words>2537</Words>
  <Characters>14461</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Owner</dc:creator>
  <cp:keywords/>
  <dc:description/>
  <cp:lastModifiedBy>Owner</cp:lastModifiedBy>
  <cp:revision>18</cp:revision>
  <dcterms:created xsi:type="dcterms:W3CDTF">2017-11-26T19:48:00Z</dcterms:created>
  <dcterms:modified xsi:type="dcterms:W3CDTF">2017-12-02T03:12:00Z</dcterms:modified>
</cp:coreProperties>
</file>