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A638AE4" w:rsidP="5394FC23" w:rsidRDefault="5A638AE4" w14:paraId="1D8EF387" w14:textId="755F3FA3">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5A638AE4" w:rsidP="5394FC23" w:rsidRDefault="5A638AE4" w14:paraId="296D373B" w14:textId="1DC4430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5A638AE4" w:rsidP="5394FC23" w:rsidRDefault="5A638AE4" w14:paraId="66AA52E4" w14:textId="69D9CEB0">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5A638AE4" w:rsidP="5394FC23" w:rsidRDefault="5A638AE4" w14:paraId="313E7343" w14:textId="4CD2CCE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5A638AE4" w:rsidP="5394FC23" w:rsidRDefault="5A638AE4" w14:paraId="6C7474E6" w14:textId="58972EE7">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7B7D4926">
        <w:drawing>
          <wp:inline wp14:editId="7C13A3F3" wp14:anchorId="076E2DD0">
            <wp:extent cx="4930976" cy="1638143"/>
            <wp:effectExtent l="0" t="0" r="0" b="0"/>
            <wp:docPr id="430155066" name="" title=""/>
            <wp:cNvGraphicFramePr>
              <a:graphicFrameLocks noChangeAspect="1"/>
            </wp:cNvGraphicFramePr>
            <a:graphic>
              <a:graphicData uri="http://schemas.openxmlformats.org/drawingml/2006/picture">
                <pic:pic>
                  <pic:nvPicPr>
                    <pic:cNvPr id="0" name=""/>
                    <pic:cNvPicPr/>
                  </pic:nvPicPr>
                  <pic:blipFill>
                    <a:blip r:embed="R16b35d02f1334012">
                      <a:extLst>
                        <a:ext xmlns:a="http://schemas.openxmlformats.org/drawingml/2006/main" uri="{28A0092B-C50C-407E-A947-70E740481C1C}">
                          <a14:useLocalDpi val="0"/>
                        </a:ext>
                      </a:extLst>
                    </a:blip>
                    <a:stretch>
                      <a:fillRect/>
                    </a:stretch>
                  </pic:blipFill>
                  <pic:spPr>
                    <a:xfrm>
                      <a:off x="0" y="0"/>
                      <a:ext cx="4930976" cy="1638143"/>
                    </a:xfrm>
                    <a:prstGeom prst="rect">
                      <a:avLst/>
                    </a:prstGeom>
                  </pic:spPr>
                </pic:pic>
              </a:graphicData>
            </a:graphic>
          </wp:inline>
        </w:drawing>
      </w:r>
    </w:p>
    <w:p w:rsidR="5A638AE4" w:rsidP="5394FC23" w:rsidRDefault="5A638AE4" w14:paraId="78F601A5" w14:textId="684B8E4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5A638AE4" w:rsidP="5394FC23" w:rsidRDefault="5A638AE4" w14:paraId="71FC04FD" w14:textId="6139EF9D">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394FC23" wp14:paraId="24266D5C" wp14:textId="24AB7BC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5394FC23" w:rsidR="134F6D34">
        <w:rPr>
          <w:rFonts w:ascii="Arial" w:hAnsi="Arial" w:eastAsia="Arial" w:cs="Arial"/>
          <w:b w:val="0"/>
          <w:bCs w:val="0"/>
          <w:i w:val="0"/>
          <w:iCs w:val="0"/>
          <w:caps w:val="0"/>
          <w:smallCaps w:val="0"/>
          <w:color w:val="000000" w:themeColor="text1" w:themeTint="FF" w:themeShade="FF"/>
          <w:sz w:val="22"/>
          <w:szCs w:val="22"/>
        </w:rPr>
        <w:t>Rebecca Travers - 2128316</w:t>
      </w:r>
    </w:p>
    <w:p xmlns:wp14="http://schemas.microsoft.com/office/word/2010/wordml" w:rsidP="5394FC23" wp14:paraId="7DAF7E74" wp14:textId="73F185AB">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5394FC23" w:rsidR="134F6D34">
        <w:rPr>
          <w:rFonts w:ascii="Arial" w:hAnsi="Arial" w:eastAsia="Arial" w:cs="Arial"/>
          <w:b w:val="0"/>
          <w:bCs w:val="0"/>
          <w:i w:val="0"/>
          <w:iCs w:val="0"/>
          <w:caps w:val="0"/>
          <w:smallCaps w:val="0"/>
          <w:color w:val="000000" w:themeColor="text1" w:themeTint="FF" w:themeShade="FF"/>
          <w:sz w:val="22"/>
          <w:szCs w:val="22"/>
        </w:rPr>
        <w:t>BA Leadership and Management</w:t>
      </w:r>
    </w:p>
    <w:p xmlns:wp14="http://schemas.microsoft.com/office/word/2010/wordml" w:rsidP="48143B45" wp14:paraId="44ACD73E" wp14:textId="6F35E66C">
      <w:pPr>
        <w:pStyle w:val="Normal"/>
        <w:suppressLineNumbers w:val="0"/>
        <w:bidi w:val="0"/>
        <w:spacing w:before="0" w:beforeAutospacing="off" w:after="160" w:afterAutospacing="off" w:line="259" w:lineRule="auto"/>
        <w:ind w:left="0" w:right="0"/>
        <w:jc w:val="center"/>
      </w:pPr>
      <w:r w:rsidRPr="639BD1EC" w:rsidR="134F6D34">
        <w:rPr>
          <w:rFonts w:ascii="Arial" w:hAnsi="Arial" w:eastAsia="Arial" w:cs="Arial"/>
          <w:b w:val="0"/>
          <w:bCs w:val="0"/>
          <w:i w:val="0"/>
          <w:iCs w:val="0"/>
          <w:caps w:val="0"/>
          <w:smallCaps w:val="0"/>
          <w:color w:val="000000" w:themeColor="text1" w:themeTint="FF" w:themeShade="FF"/>
          <w:sz w:val="22"/>
          <w:szCs w:val="22"/>
        </w:rPr>
        <w:t>Leading and implementing workplace change</w:t>
      </w:r>
    </w:p>
    <w:p xmlns:wp14="http://schemas.microsoft.com/office/word/2010/wordml" w:rsidP="5394FC23" wp14:paraId="245ACEB6" wp14:textId="1BAB34D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5394FC23" w:rsidR="134F6D34">
        <w:rPr>
          <w:rFonts w:ascii="Arial" w:hAnsi="Arial" w:eastAsia="Arial" w:cs="Arial"/>
          <w:b w:val="0"/>
          <w:bCs w:val="0"/>
          <w:i w:val="0"/>
          <w:iCs w:val="0"/>
          <w:caps w:val="0"/>
          <w:smallCaps w:val="0"/>
          <w:color w:val="000000" w:themeColor="text1" w:themeTint="FF" w:themeShade="FF"/>
          <w:sz w:val="22"/>
          <w:szCs w:val="22"/>
        </w:rPr>
        <w:t>BMSW6103_BIRM</w:t>
      </w:r>
    </w:p>
    <w:p xmlns:wp14="http://schemas.microsoft.com/office/word/2010/wordml" w:rsidP="5394FC23" wp14:paraId="5B55F33B" wp14:textId="41BB6C89">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5394FC23" w:rsidR="134F6D34">
        <w:rPr>
          <w:rFonts w:ascii="Arial" w:hAnsi="Arial" w:eastAsia="Arial" w:cs="Arial"/>
          <w:b w:val="0"/>
          <w:bCs w:val="0"/>
          <w:i w:val="0"/>
          <w:iCs w:val="0"/>
          <w:caps w:val="0"/>
          <w:smallCaps w:val="0"/>
          <w:color w:val="000000" w:themeColor="text1" w:themeTint="FF" w:themeShade="FF"/>
          <w:sz w:val="22"/>
          <w:szCs w:val="22"/>
        </w:rPr>
        <w:t>Lecturer – Patrick Yeboah</w:t>
      </w:r>
    </w:p>
    <w:p w:rsidR="5394FC23" w:rsidP="5394FC23" w:rsidRDefault="5394FC23" w14:paraId="24878E30" w14:textId="55035052">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p>
    <w:p w:rsidR="5394FC23" w:rsidP="5394FC23" w:rsidRDefault="5394FC23" w14:paraId="05CFFC5F" w14:textId="6A4E0148">
      <w:pPr>
        <w:pStyle w:val="Normal"/>
      </w:pPr>
    </w:p>
    <w:p xmlns:wp14="http://schemas.microsoft.com/office/word/2010/wordml" wp14:paraId="4CF0267C" wp14:textId="0968D5E3">
      <w:r>
        <w:br w:type="page"/>
      </w:r>
    </w:p>
    <w:p xmlns:wp14="http://schemas.microsoft.com/office/word/2010/wordml" wp14:paraId="2C078E63" wp14:textId="37CAEA19">
      <w:r w:rsidR="295D3B8C">
        <w:rPr/>
        <w:t>Table of content</w:t>
      </w:r>
    </w:p>
    <w:sdt>
      <w:sdtPr>
        <w:id w:val="36572921"/>
        <w:docPartObj>
          <w:docPartGallery w:val="Table of Contents"/>
          <w:docPartUnique/>
        </w:docPartObj>
      </w:sdtPr>
      <w:sdtContent>
        <w:p w:rsidR="5394FC23" w:rsidP="5394FC23" w:rsidRDefault="5394FC23" w14:paraId="40199D5E" w14:textId="29CDBFF0">
          <w:pPr>
            <w:pStyle w:val="TOC1"/>
            <w:tabs>
              <w:tab w:val="right" w:leader="dot" w:pos="9360"/>
            </w:tabs>
            <w:bidi w:val="0"/>
            <w:rPr>
              <w:rStyle w:val="Hyperlink"/>
            </w:rPr>
          </w:pPr>
          <w:r>
            <w:fldChar w:fldCharType="begin"/>
          </w:r>
          <w:r>
            <w:instrText xml:space="preserve">TOC \o "1-9" \z \u \h</w:instrText>
          </w:r>
          <w:r>
            <w:fldChar w:fldCharType="separate"/>
          </w:r>
          <w:hyperlink w:anchor="_Toc885335438">
            <w:r w:rsidRPr="5394FC23" w:rsidR="5394FC23">
              <w:rPr>
                <w:rStyle w:val="Hyperlink"/>
              </w:rPr>
              <w:t>Introduction</w:t>
            </w:r>
            <w:r>
              <w:tab/>
            </w:r>
            <w:r>
              <w:fldChar w:fldCharType="begin"/>
            </w:r>
            <w:r>
              <w:instrText xml:space="preserve">PAGEREF _Toc885335438 \h</w:instrText>
            </w:r>
            <w:r>
              <w:fldChar w:fldCharType="separate"/>
            </w:r>
            <w:r w:rsidRPr="5394FC23" w:rsidR="5394FC23">
              <w:rPr>
                <w:rStyle w:val="Hyperlink"/>
              </w:rPr>
              <w:t>2</w:t>
            </w:r>
            <w:r>
              <w:fldChar w:fldCharType="end"/>
            </w:r>
          </w:hyperlink>
        </w:p>
        <w:p w:rsidR="5394FC23" w:rsidP="5394FC23" w:rsidRDefault="5394FC23" w14:paraId="7E7893AC" w14:textId="79C1B067">
          <w:pPr>
            <w:pStyle w:val="TOC2"/>
            <w:tabs>
              <w:tab w:val="right" w:leader="dot" w:pos="9360"/>
            </w:tabs>
            <w:bidi w:val="0"/>
            <w:rPr>
              <w:rStyle w:val="Hyperlink"/>
            </w:rPr>
          </w:pPr>
          <w:hyperlink w:anchor="_Toc1179447398">
            <w:r w:rsidRPr="5394FC23" w:rsidR="5394FC23">
              <w:rPr>
                <w:rStyle w:val="Hyperlink"/>
              </w:rPr>
              <w:t>Overview of Lloyds Bank</w:t>
            </w:r>
            <w:r>
              <w:tab/>
            </w:r>
            <w:r>
              <w:fldChar w:fldCharType="begin"/>
            </w:r>
            <w:r>
              <w:instrText xml:space="preserve">PAGEREF _Toc1179447398 \h</w:instrText>
            </w:r>
            <w:r>
              <w:fldChar w:fldCharType="separate"/>
            </w:r>
            <w:r w:rsidRPr="5394FC23" w:rsidR="5394FC23">
              <w:rPr>
                <w:rStyle w:val="Hyperlink"/>
              </w:rPr>
              <w:t>4</w:t>
            </w:r>
            <w:r>
              <w:fldChar w:fldCharType="end"/>
            </w:r>
          </w:hyperlink>
        </w:p>
        <w:p w:rsidR="5394FC23" w:rsidP="5394FC23" w:rsidRDefault="5394FC23" w14:paraId="059D6315" w14:textId="4578C25A">
          <w:pPr>
            <w:pStyle w:val="TOC1"/>
            <w:tabs>
              <w:tab w:val="right" w:leader="dot" w:pos="9360"/>
            </w:tabs>
            <w:bidi w:val="0"/>
            <w:rPr>
              <w:rStyle w:val="Hyperlink"/>
            </w:rPr>
          </w:pPr>
          <w:hyperlink w:anchor="_Toc2009322862">
            <w:r w:rsidRPr="5394FC23" w:rsidR="5394FC23">
              <w:rPr>
                <w:rStyle w:val="Hyperlink"/>
              </w:rPr>
              <w:t>Analysis of Lloyds bank</w:t>
            </w:r>
            <w:r>
              <w:tab/>
            </w:r>
            <w:r>
              <w:fldChar w:fldCharType="begin"/>
            </w:r>
            <w:r>
              <w:instrText xml:space="preserve">PAGEREF _Toc2009322862 \h</w:instrText>
            </w:r>
            <w:r>
              <w:fldChar w:fldCharType="separate"/>
            </w:r>
            <w:r w:rsidRPr="5394FC23" w:rsidR="5394FC23">
              <w:rPr>
                <w:rStyle w:val="Hyperlink"/>
              </w:rPr>
              <w:t>6</w:t>
            </w:r>
            <w:r>
              <w:fldChar w:fldCharType="end"/>
            </w:r>
          </w:hyperlink>
        </w:p>
        <w:p w:rsidR="5394FC23" w:rsidP="5394FC23" w:rsidRDefault="5394FC23" w14:paraId="4DA49E00" w14:textId="4A5723DE">
          <w:pPr>
            <w:pStyle w:val="TOC2"/>
            <w:tabs>
              <w:tab w:val="right" w:leader="dot" w:pos="9360"/>
            </w:tabs>
            <w:bidi w:val="0"/>
            <w:rPr>
              <w:rStyle w:val="Hyperlink"/>
            </w:rPr>
          </w:pPr>
          <w:hyperlink w:anchor="_Toc219054522">
            <w:r w:rsidRPr="5394FC23" w:rsidR="5394FC23">
              <w:rPr>
                <w:rStyle w:val="Hyperlink"/>
              </w:rPr>
              <w:t>PEST ANALYSIS</w:t>
            </w:r>
            <w:r>
              <w:tab/>
            </w:r>
            <w:r>
              <w:fldChar w:fldCharType="begin"/>
            </w:r>
            <w:r>
              <w:instrText xml:space="preserve">PAGEREF _Toc219054522 \h</w:instrText>
            </w:r>
            <w:r>
              <w:fldChar w:fldCharType="separate"/>
            </w:r>
            <w:r w:rsidRPr="5394FC23" w:rsidR="5394FC23">
              <w:rPr>
                <w:rStyle w:val="Hyperlink"/>
              </w:rPr>
              <w:t>6</w:t>
            </w:r>
            <w:r>
              <w:fldChar w:fldCharType="end"/>
            </w:r>
          </w:hyperlink>
        </w:p>
        <w:p w:rsidR="5394FC23" w:rsidP="5394FC23" w:rsidRDefault="5394FC23" w14:paraId="3F6C401F" w14:textId="19F6970B">
          <w:pPr>
            <w:pStyle w:val="TOC2"/>
            <w:tabs>
              <w:tab w:val="right" w:leader="dot" w:pos="9360"/>
            </w:tabs>
            <w:bidi w:val="0"/>
            <w:rPr>
              <w:rStyle w:val="Hyperlink"/>
            </w:rPr>
          </w:pPr>
          <w:hyperlink w:anchor="_Toc562803761">
            <w:r w:rsidRPr="5394FC23" w:rsidR="5394FC23">
              <w:rPr>
                <w:rStyle w:val="Hyperlink"/>
              </w:rPr>
              <w:t>Political;</w:t>
            </w:r>
            <w:r>
              <w:tab/>
            </w:r>
            <w:r>
              <w:fldChar w:fldCharType="begin"/>
            </w:r>
            <w:r>
              <w:instrText xml:space="preserve">PAGEREF _Toc562803761 \h</w:instrText>
            </w:r>
            <w:r>
              <w:fldChar w:fldCharType="separate"/>
            </w:r>
            <w:r w:rsidRPr="5394FC23" w:rsidR="5394FC23">
              <w:rPr>
                <w:rStyle w:val="Hyperlink"/>
              </w:rPr>
              <w:t>7</w:t>
            </w:r>
            <w:r>
              <w:fldChar w:fldCharType="end"/>
            </w:r>
          </w:hyperlink>
        </w:p>
        <w:p w:rsidR="5394FC23" w:rsidP="5394FC23" w:rsidRDefault="5394FC23" w14:paraId="5010ED4F" w14:textId="1341C403">
          <w:pPr>
            <w:pStyle w:val="TOC2"/>
            <w:tabs>
              <w:tab w:val="right" w:leader="dot" w:pos="9360"/>
            </w:tabs>
            <w:bidi w:val="0"/>
            <w:rPr>
              <w:rStyle w:val="Hyperlink"/>
            </w:rPr>
          </w:pPr>
          <w:hyperlink w:anchor="_Toc1559104881">
            <w:r w:rsidRPr="5394FC23" w:rsidR="5394FC23">
              <w:rPr>
                <w:rStyle w:val="Hyperlink"/>
              </w:rPr>
              <w:t>Economical;</w:t>
            </w:r>
            <w:r>
              <w:tab/>
            </w:r>
            <w:r>
              <w:fldChar w:fldCharType="begin"/>
            </w:r>
            <w:r>
              <w:instrText xml:space="preserve">PAGEREF _Toc1559104881 \h</w:instrText>
            </w:r>
            <w:r>
              <w:fldChar w:fldCharType="separate"/>
            </w:r>
            <w:r w:rsidRPr="5394FC23" w:rsidR="5394FC23">
              <w:rPr>
                <w:rStyle w:val="Hyperlink"/>
              </w:rPr>
              <w:t>8</w:t>
            </w:r>
            <w:r>
              <w:fldChar w:fldCharType="end"/>
            </w:r>
          </w:hyperlink>
        </w:p>
        <w:p w:rsidR="5394FC23" w:rsidP="5394FC23" w:rsidRDefault="5394FC23" w14:paraId="3E3A5E7E" w14:textId="6E2F63E6">
          <w:pPr>
            <w:pStyle w:val="TOC2"/>
            <w:tabs>
              <w:tab w:val="right" w:leader="dot" w:pos="9360"/>
            </w:tabs>
            <w:bidi w:val="0"/>
            <w:rPr>
              <w:rStyle w:val="Hyperlink"/>
            </w:rPr>
          </w:pPr>
          <w:hyperlink w:anchor="_Toc568182242">
            <w:r w:rsidRPr="5394FC23" w:rsidR="5394FC23">
              <w:rPr>
                <w:rStyle w:val="Hyperlink"/>
              </w:rPr>
              <w:t>Social;</w:t>
            </w:r>
            <w:r>
              <w:tab/>
            </w:r>
            <w:r>
              <w:fldChar w:fldCharType="begin"/>
            </w:r>
            <w:r>
              <w:instrText xml:space="preserve">PAGEREF _Toc568182242 \h</w:instrText>
            </w:r>
            <w:r>
              <w:fldChar w:fldCharType="separate"/>
            </w:r>
            <w:r w:rsidRPr="5394FC23" w:rsidR="5394FC23">
              <w:rPr>
                <w:rStyle w:val="Hyperlink"/>
              </w:rPr>
              <w:t>8</w:t>
            </w:r>
            <w:r>
              <w:fldChar w:fldCharType="end"/>
            </w:r>
          </w:hyperlink>
        </w:p>
        <w:p w:rsidR="5394FC23" w:rsidP="5394FC23" w:rsidRDefault="5394FC23" w14:paraId="00149ACF" w14:textId="256184C6">
          <w:pPr>
            <w:pStyle w:val="TOC2"/>
            <w:tabs>
              <w:tab w:val="right" w:leader="dot" w:pos="9360"/>
            </w:tabs>
            <w:bidi w:val="0"/>
            <w:rPr>
              <w:rStyle w:val="Hyperlink"/>
            </w:rPr>
          </w:pPr>
          <w:hyperlink w:anchor="_Toc1132649495">
            <w:r w:rsidRPr="5394FC23" w:rsidR="5394FC23">
              <w:rPr>
                <w:rStyle w:val="Hyperlink"/>
              </w:rPr>
              <w:t>Technological;</w:t>
            </w:r>
            <w:r>
              <w:tab/>
            </w:r>
            <w:r>
              <w:fldChar w:fldCharType="begin"/>
            </w:r>
            <w:r>
              <w:instrText xml:space="preserve">PAGEREF _Toc1132649495 \h</w:instrText>
            </w:r>
            <w:r>
              <w:fldChar w:fldCharType="separate"/>
            </w:r>
            <w:r w:rsidRPr="5394FC23" w:rsidR="5394FC23">
              <w:rPr>
                <w:rStyle w:val="Hyperlink"/>
              </w:rPr>
              <w:t>8</w:t>
            </w:r>
            <w:r>
              <w:fldChar w:fldCharType="end"/>
            </w:r>
          </w:hyperlink>
        </w:p>
        <w:p w:rsidR="5394FC23" w:rsidP="5394FC23" w:rsidRDefault="5394FC23" w14:paraId="46D9293E" w14:textId="0EF7DE4E">
          <w:pPr>
            <w:pStyle w:val="TOC1"/>
            <w:tabs>
              <w:tab w:val="right" w:leader="dot" w:pos="9360"/>
            </w:tabs>
            <w:bidi w:val="0"/>
            <w:rPr>
              <w:rStyle w:val="Hyperlink"/>
            </w:rPr>
          </w:pPr>
          <w:hyperlink w:anchor="_Toc2122634500">
            <w:r w:rsidRPr="5394FC23" w:rsidR="5394FC23">
              <w:rPr>
                <w:rStyle w:val="Hyperlink"/>
              </w:rPr>
              <w:t>SWOT ANALYSIS</w:t>
            </w:r>
            <w:r>
              <w:tab/>
            </w:r>
            <w:r>
              <w:fldChar w:fldCharType="begin"/>
            </w:r>
            <w:r>
              <w:instrText xml:space="preserve">PAGEREF _Toc2122634500 \h</w:instrText>
            </w:r>
            <w:r>
              <w:fldChar w:fldCharType="separate"/>
            </w:r>
            <w:r w:rsidRPr="5394FC23" w:rsidR="5394FC23">
              <w:rPr>
                <w:rStyle w:val="Hyperlink"/>
              </w:rPr>
              <w:t>8</w:t>
            </w:r>
            <w:r>
              <w:fldChar w:fldCharType="end"/>
            </w:r>
          </w:hyperlink>
        </w:p>
        <w:p w:rsidR="5394FC23" w:rsidP="5394FC23" w:rsidRDefault="5394FC23" w14:paraId="1DE33684" w14:textId="675CA7FF">
          <w:pPr>
            <w:pStyle w:val="TOC2"/>
            <w:tabs>
              <w:tab w:val="right" w:leader="dot" w:pos="9360"/>
            </w:tabs>
            <w:bidi w:val="0"/>
            <w:rPr>
              <w:rStyle w:val="Hyperlink"/>
            </w:rPr>
          </w:pPr>
          <w:hyperlink w:anchor="_Toc2047698979">
            <w:r w:rsidRPr="5394FC23" w:rsidR="5394FC23">
              <w:rPr>
                <w:rStyle w:val="Hyperlink"/>
              </w:rPr>
              <w:t>Strengths;</w:t>
            </w:r>
            <w:r>
              <w:tab/>
            </w:r>
            <w:r>
              <w:fldChar w:fldCharType="begin"/>
            </w:r>
            <w:r>
              <w:instrText xml:space="preserve">PAGEREF _Toc2047698979 \h</w:instrText>
            </w:r>
            <w:r>
              <w:fldChar w:fldCharType="separate"/>
            </w:r>
            <w:r w:rsidRPr="5394FC23" w:rsidR="5394FC23">
              <w:rPr>
                <w:rStyle w:val="Hyperlink"/>
              </w:rPr>
              <w:t>9</w:t>
            </w:r>
            <w:r>
              <w:fldChar w:fldCharType="end"/>
            </w:r>
          </w:hyperlink>
        </w:p>
        <w:p w:rsidR="5394FC23" w:rsidP="5394FC23" w:rsidRDefault="5394FC23" w14:paraId="511BC883" w14:textId="0BFF90A5">
          <w:pPr>
            <w:pStyle w:val="TOC2"/>
            <w:tabs>
              <w:tab w:val="right" w:leader="dot" w:pos="9360"/>
            </w:tabs>
            <w:bidi w:val="0"/>
            <w:rPr>
              <w:rStyle w:val="Hyperlink"/>
            </w:rPr>
          </w:pPr>
          <w:hyperlink w:anchor="_Toc1873193253">
            <w:r w:rsidRPr="5394FC23" w:rsidR="5394FC23">
              <w:rPr>
                <w:rStyle w:val="Hyperlink"/>
              </w:rPr>
              <w:t>Weaknesses;</w:t>
            </w:r>
            <w:r>
              <w:tab/>
            </w:r>
            <w:r>
              <w:fldChar w:fldCharType="begin"/>
            </w:r>
            <w:r>
              <w:instrText xml:space="preserve">PAGEREF _Toc1873193253 \h</w:instrText>
            </w:r>
            <w:r>
              <w:fldChar w:fldCharType="separate"/>
            </w:r>
            <w:r w:rsidRPr="5394FC23" w:rsidR="5394FC23">
              <w:rPr>
                <w:rStyle w:val="Hyperlink"/>
              </w:rPr>
              <w:t>9</w:t>
            </w:r>
            <w:r>
              <w:fldChar w:fldCharType="end"/>
            </w:r>
          </w:hyperlink>
        </w:p>
        <w:p w:rsidR="5394FC23" w:rsidP="5394FC23" w:rsidRDefault="5394FC23" w14:paraId="63F45589" w14:textId="0F22DA70">
          <w:pPr>
            <w:pStyle w:val="TOC2"/>
            <w:tabs>
              <w:tab w:val="right" w:leader="dot" w:pos="9360"/>
            </w:tabs>
            <w:bidi w:val="0"/>
            <w:rPr>
              <w:rStyle w:val="Hyperlink"/>
            </w:rPr>
          </w:pPr>
          <w:hyperlink w:anchor="_Toc2125597759">
            <w:r w:rsidRPr="5394FC23" w:rsidR="5394FC23">
              <w:rPr>
                <w:rStyle w:val="Hyperlink"/>
              </w:rPr>
              <w:t>Opportunities;</w:t>
            </w:r>
            <w:r>
              <w:tab/>
            </w:r>
            <w:r>
              <w:fldChar w:fldCharType="begin"/>
            </w:r>
            <w:r>
              <w:instrText xml:space="preserve">PAGEREF _Toc2125597759 \h</w:instrText>
            </w:r>
            <w:r>
              <w:fldChar w:fldCharType="separate"/>
            </w:r>
            <w:r w:rsidRPr="5394FC23" w:rsidR="5394FC23">
              <w:rPr>
                <w:rStyle w:val="Hyperlink"/>
              </w:rPr>
              <w:t>10</w:t>
            </w:r>
            <w:r>
              <w:fldChar w:fldCharType="end"/>
            </w:r>
          </w:hyperlink>
        </w:p>
        <w:p w:rsidR="5394FC23" w:rsidP="5394FC23" w:rsidRDefault="5394FC23" w14:paraId="19EA7A3D" w14:textId="1A594010">
          <w:pPr>
            <w:pStyle w:val="TOC2"/>
            <w:tabs>
              <w:tab w:val="right" w:leader="dot" w:pos="9360"/>
            </w:tabs>
            <w:bidi w:val="0"/>
            <w:rPr>
              <w:rStyle w:val="Hyperlink"/>
            </w:rPr>
          </w:pPr>
          <w:hyperlink w:anchor="_Toc430017563">
            <w:r w:rsidRPr="5394FC23" w:rsidR="5394FC23">
              <w:rPr>
                <w:rStyle w:val="Hyperlink"/>
              </w:rPr>
              <w:t>Threats;</w:t>
            </w:r>
            <w:r>
              <w:tab/>
            </w:r>
            <w:r>
              <w:fldChar w:fldCharType="begin"/>
            </w:r>
            <w:r>
              <w:instrText xml:space="preserve">PAGEREF _Toc430017563 \h</w:instrText>
            </w:r>
            <w:r>
              <w:fldChar w:fldCharType="separate"/>
            </w:r>
            <w:r w:rsidRPr="5394FC23" w:rsidR="5394FC23">
              <w:rPr>
                <w:rStyle w:val="Hyperlink"/>
              </w:rPr>
              <w:t>10</w:t>
            </w:r>
            <w:r>
              <w:fldChar w:fldCharType="end"/>
            </w:r>
          </w:hyperlink>
        </w:p>
        <w:p w:rsidR="5394FC23" w:rsidP="5394FC23" w:rsidRDefault="5394FC23" w14:paraId="1F504EBA" w14:textId="2D285BDE">
          <w:pPr>
            <w:pStyle w:val="TOC1"/>
            <w:tabs>
              <w:tab w:val="right" w:leader="dot" w:pos="9360"/>
            </w:tabs>
            <w:bidi w:val="0"/>
            <w:rPr>
              <w:rStyle w:val="Hyperlink"/>
            </w:rPr>
          </w:pPr>
          <w:hyperlink w:anchor="_Toc1129223087">
            <w:r w:rsidRPr="5394FC23" w:rsidR="5394FC23">
              <w:rPr>
                <w:rStyle w:val="Hyperlink"/>
              </w:rPr>
              <w:t>Change management models</w:t>
            </w:r>
            <w:r>
              <w:tab/>
            </w:r>
            <w:r>
              <w:fldChar w:fldCharType="begin"/>
            </w:r>
            <w:r>
              <w:instrText xml:space="preserve">PAGEREF _Toc1129223087 \h</w:instrText>
            </w:r>
            <w:r>
              <w:fldChar w:fldCharType="separate"/>
            </w:r>
            <w:r w:rsidRPr="5394FC23" w:rsidR="5394FC23">
              <w:rPr>
                <w:rStyle w:val="Hyperlink"/>
              </w:rPr>
              <w:t>10</w:t>
            </w:r>
            <w:r>
              <w:fldChar w:fldCharType="end"/>
            </w:r>
          </w:hyperlink>
        </w:p>
        <w:p w:rsidR="5394FC23" w:rsidP="5394FC23" w:rsidRDefault="5394FC23" w14:paraId="159E3FC5" w14:textId="167FA648">
          <w:pPr>
            <w:pStyle w:val="TOC2"/>
            <w:tabs>
              <w:tab w:val="right" w:leader="dot" w:pos="9360"/>
            </w:tabs>
            <w:bidi w:val="0"/>
            <w:rPr>
              <w:rStyle w:val="Hyperlink"/>
            </w:rPr>
          </w:pPr>
          <w:hyperlink w:anchor="_Toc483365960">
            <w:r w:rsidRPr="5394FC23" w:rsidR="5394FC23">
              <w:rPr>
                <w:rStyle w:val="Hyperlink"/>
              </w:rPr>
              <w:t>Lewins three steps of change Model</w:t>
            </w:r>
            <w:r>
              <w:tab/>
            </w:r>
            <w:r>
              <w:fldChar w:fldCharType="begin"/>
            </w:r>
            <w:r>
              <w:instrText xml:space="preserve">PAGEREF _Toc483365960 \h</w:instrText>
            </w:r>
            <w:r>
              <w:fldChar w:fldCharType="separate"/>
            </w:r>
            <w:r w:rsidRPr="5394FC23" w:rsidR="5394FC23">
              <w:rPr>
                <w:rStyle w:val="Hyperlink"/>
              </w:rPr>
              <w:t>11</w:t>
            </w:r>
            <w:r>
              <w:fldChar w:fldCharType="end"/>
            </w:r>
          </w:hyperlink>
        </w:p>
        <w:p w:rsidR="5394FC23" w:rsidP="5394FC23" w:rsidRDefault="5394FC23" w14:paraId="4D242CEC" w14:textId="46AAA0F3">
          <w:pPr>
            <w:pStyle w:val="TOC2"/>
            <w:tabs>
              <w:tab w:val="right" w:leader="dot" w:pos="9360"/>
            </w:tabs>
            <w:bidi w:val="0"/>
            <w:rPr>
              <w:rStyle w:val="Hyperlink"/>
            </w:rPr>
          </w:pPr>
          <w:hyperlink w:anchor="_Toc67119953">
            <w:r w:rsidRPr="5394FC23" w:rsidR="5394FC23">
              <w:rPr>
                <w:rStyle w:val="Hyperlink"/>
              </w:rPr>
              <w:t>Kotter’s 8 steps of change model</w:t>
            </w:r>
            <w:r>
              <w:tab/>
            </w:r>
            <w:r>
              <w:fldChar w:fldCharType="begin"/>
            </w:r>
            <w:r>
              <w:instrText xml:space="preserve">PAGEREF _Toc67119953 \h</w:instrText>
            </w:r>
            <w:r>
              <w:fldChar w:fldCharType="separate"/>
            </w:r>
            <w:r w:rsidRPr="5394FC23" w:rsidR="5394FC23">
              <w:rPr>
                <w:rStyle w:val="Hyperlink"/>
              </w:rPr>
              <w:t>12</w:t>
            </w:r>
            <w:r>
              <w:fldChar w:fldCharType="end"/>
            </w:r>
          </w:hyperlink>
        </w:p>
        <w:p w:rsidR="5394FC23" w:rsidP="5394FC23" w:rsidRDefault="5394FC23" w14:paraId="0F902EBE" w14:textId="253D18D2">
          <w:pPr>
            <w:pStyle w:val="TOC1"/>
            <w:tabs>
              <w:tab w:val="right" w:leader="dot" w:pos="9360"/>
            </w:tabs>
            <w:bidi w:val="0"/>
            <w:rPr>
              <w:rStyle w:val="Hyperlink"/>
            </w:rPr>
          </w:pPr>
          <w:hyperlink w:anchor="_Toc912325742">
            <w:r w:rsidRPr="5394FC23" w:rsidR="5394FC23">
              <w:rPr>
                <w:rStyle w:val="Hyperlink"/>
              </w:rPr>
              <w:t>Impact of organisational culture on change management in organisations</w:t>
            </w:r>
            <w:r>
              <w:tab/>
            </w:r>
            <w:r>
              <w:fldChar w:fldCharType="begin"/>
            </w:r>
            <w:r>
              <w:instrText xml:space="preserve">PAGEREF _Toc912325742 \h</w:instrText>
            </w:r>
            <w:r>
              <w:fldChar w:fldCharType="separate"/>
            </w:r>
            <w:r w:rsidRPr="5394FC23" w:rsidR="5394FC23">
              <w:rPr>
                <w:rStyle w:val="Hyperlink"/>
              </w:rPr>
              <w:t>15</w:t>
            </w:r>
            <w:r>
              <w:fldChar w:fldCharType="end"/>
            </w:r>
          </w:hyperlink>
        </w:p>
        <w:p w:rsidR="5394FC23" w:rsidP="5394FC23" w:rsidRDefault="5394FC23" w14:paraId="6BC558DA" w14:textId="0D3AF7DF">
          <w:pPr>
            <w:pStyle w:val="TOC1"/>
            <w:tabs>
              <w:tab w:val="right" w:leader="dot" w:pos="9360"/>
            </w:tabs>
            <w:bidi w:val="0"/>
            <w:rPr>
              <w:rStyle w:val="Hyperlink"/>
            </w:rPr>
          </w:pPr>
          <w:hyperlink w:anchor="_Toc1869326425">
            <w:r w:rsidRPr="5394FC23" w:rsidR="5394FC23">
              <w:rPr>
                <w:rStyle w:val="Hyperlink"/>
              </w:rPr>
              <w:t>Lloyds banks culture;</w:t>
            </w:r>
            <w:r>
              <w:tab/>
            </w:r>
            <w:r>
              <w:fldChar w:fldCharType="begin"/>
            </w:r>
            <w:r>
              <w:instrText xml:space="preserve">PAGEREF _Toc1869326425 \h</w:instrText>
            </w:r>
            <w:r>
              <w:fldChar w:fldCharType="separate"/>
            </w:r>
            <w:r w:rsidRPr="5394FC23" w:rsidR="5394FC23">
              <w:rPr>
                <w:rStyle w:val="Hyperlink"/>
              </w:rPr>
              <w:t>15</w:t>
            </w:r>
            <w:r>
              <w:fldChar w:fldCharType="end"/>
            </w:r>
          </w:hyperlink>
        </w:p>
        <w:p w:rsidR="5394FC23" w:rsidP="5394FC23" w:rsidRDefault="5394FC23" w14:paraId="29A5B822" w14:textId="31606CB2">
          <w:pPr>
            <w:pStyle w:val="TOC1"/>
            <w:tabs>
              <w:tab w:val="right" w:leader="dot" w:pos="9360"/>
            </w:tabs>
            <w:bidi w:val="0"/>
            <w:rPr>
              <w:rStyle w:val="Hyperlink"/>
            </w:rPr>
          </w:pPr>
          <w:hyperlink w:anchor="_Toc710880086">
            <w:r w:rsidRPr="5394FC23" w:rsidR="5394FC23">
              <w:rPr>
                <w:rStyle w:val="Hyperlink"/>
              </w:rPr>
              <w:t>Recommendations</w:t>
            </w:r>
            <w:r>
              <w:tab/>
            </w:r>
            <w:r>
              <w:fldChar w:fldCharType="begin"/>
            </w:r>
            <w:r>
              <w:instrText xml:space="preserve">PAGEREF _Toc710880086 \h</w:instrText>
            </w:r>
            <w:r>
              <w:fldChar w:fldCharType="separate"/>
            </w:r>
            <w:r w:rsidRPr="5394FC23" w:rsidR="5394FC23">
              <w:rPr>
                <w:rStyle w:val="Hyperlink"/>
              </w:rPr>
              <w:t>17</w:t>
            </w:r>
            <w:r>
              <w:fldChar w:fldCharType="end"/>
            </w:r>
          </w:hyperlink>
        </w:p>
        <w:p w:rsidR="5394FC23" w:rsidP="5394FC23" w:rsidRDefault="5394FC23" w14:paraId="306F8F05" w14:textId="0903C451">
          <w:pPr>
            <w:pStyle w:val="TOC1"/>
            <w:tabs>
              <w:tab w:val="right" w:leader="dot" w:pos="9360"/>
            </w:tabs>
            <w:bidi w:val="0"/>
            <w:rPr>
              <w:rStyle w:val="Hyperlink"/>
            </w:rPr>
          </w:pPr>
          <w:hyperlink w:anchor="_Toc1224378438">
            <w:r w:rsidRPr="5394FC23" w:rsidR="5394FC23">
              <w:rPr>
                <w:rStyle w:val="Hyperlink"/>
              </w:rPr>
              <w:t>REFERENCES</w:t>
            </w:r>
            <w:r>
              <w:tab/>
            </w:r>
            <w:r>
              <w:fldChar w:fldCharType="begin"/>
            </w:r>
            <w:r>
              <w:instrText xml:space="preserve">PAGEREF _Toc1224378438 \h</w:instrText>
            </w:r>
            <w:r>
              <w:fldChar w:fldCharType="separate"/>
            </w:r>
            <w:r w:rsidRPr="5394FC23" w:rsidR="5394FC23">
              <w:rPr>
                <w:rStyle w:val="Hyperlink"/>
              </w:rPr>
              <w:t>18</w:t>
            </w:r>
            <w:r>
              <w:fldChar w:fldCharType="end"/>
            </w:r>
          </w:hyperlink>
          <w:r>
            <w:fldChar w:fldCharType="end"/>
          </w:r>
        </w:p>
      </w:sdtContent>
    </w:sdt>
    <w:p w:rsidR="48143B45" w:rsidRDefault="48143B45" w14:paraId="4185CC55" w14:textId="106BC637"/>
    <w:p w:rsidR="48143B45" w:rsidRDefault="48143B45" w14:paraId="64144947" w14:textId="74EF857F"/>
    <w:p w:rsidR="48143B45" w:rsidRDefault="48143B45" w14:paraId="700E19F1" w14:textId="3B8D2EDA"/>
    <w:p w:rsidR="48143B45" w:rsidRDefault="48143B45" w14:paraId="1EE95D58" w14:textId="406DA564"/>
    <w:p w:rsidR="48143B45" w:rsidRDefault="48143B45" w14:paraId="382D56F2" w14:textId="2F6447DB"/>
    <w:p w:rsidR="48143B45" w:rsidRDefault="48143B45" w14:paraId="609F7020" w14:textId="04B809F9"/>
    <w:p w:rsidR="48143B45" w:rsidRDefault="48143B45" w14:paraId="01A2C00D" w14:textId="378E3F17"/>
    <w:p w:rsidR="48143B45" w:rsidRDefault="48143B45" w14:paraId="2321396B" w14:textId="14CE917D"/>
    <w:p w:rsidR="48143B45" w:rsidRDefault="48143B45" w14:paraId="169E545E" w14:textId="6BB68A1E"/>
    <w:p w:rsidR="48143B45" w:rsidP="5394FC23" w:rsidRDefault="48143B45" w14:paraId="7BEF9C91" w14:textId="69A855F4">
      <w:pPr>
        <w:spacing w:line="360" w:lineRule="auto"/>
        <w:rPr>
          <w:rFonts w:ascii="Arial" w:hAnsi="Arial" w:eastAsia="Arial" w:cs="Arial"/>
          <w:sz w:val="22"/>
          <w:szCs w:val="22"/>
        </w:rPr>
      </w:pPr>
    </w:p>
    <w:p w:rsidR="48143B45" w:rsidP="5394FC23" w:rsidRDefault="48143B45" w14:paraId="2782240F" w14:textId="6B158728">
      <w:pPr>
        <w:spacing w:line="360" w:lineRule="auto"/>
        <w:rPr>
          <w:rFonts w:ascii="Arial" w:hAnsi="Arial" w:eastAsia="Arial" w:cs="Arial"/>
          <w:sz w:val="22"/>
          <w:szCs w:val="22"/>
        </w:rPr>
      </w:pPr>
    </w:p>
    <w:p w:rsidR="48143B45" w:rsidP="5394FC23" w:rsidRDefault="48143B45" w14:paraId="6C2D68C6" w14:textId="52C4AE61">
      <w:pPr>
        <w:spacing w:line="360" w:lineRule="auto"/>
        <w:rPr>
          <w:rFonts w:ascii="Arial" w:hAnsi="Arial" w:eastAsia="Arial" w:cs="Arial"/>
          <w:sz w:val="22"/>
          <w:szCs w:val="22"/>
        </w:rPr>
      </w:pPr>
    </w:p>
    <w:p w:rsidR="48143B45" w:rsidP="5394FC23" w:rsidRDefault="48143B45" w14:paraId="29103818" w14:textId="08F98D96">
      <w:pPr>
        <w:pStyle w:val="Normal"/>
        <w:spacing w:line="360" w:lineRule="auto"/>
        <w:rPr>
          <w:rFonts w:ascii="Arial" w:hAnsi="Arial" w:eastAsia="Arial" w:cs="Arial"/>
          <w:sz w:val="22"/>
          <w:szCs w:val="22"/>
        </w:rPr>
      </w:pPr>
    </w:p>
    <w:p w:rsidR="48143B45" w:rsidP="5394FC23" w:rsidRDefault="48143B45" w14:paraId="25620484" w14:textId="268502B1">
      <w:pPr>
        <w:spacing w:line="360" w:lineRule="auto"/>
        <w:rPr>
          <w:rFonts w:ascii="Arial" w:hAnsi="Arial" w:eastAsia="Arial" w:cs="Arial"/>
          <w:sz w:val="22"/>
          <w:szCs w:val="22"/>
        </w:rPr>
      </w:pPr>
      <w:r w:rsidRPr="5394FC23">
        <w:rPr>
          <w:rFonts w:ascii="Arial" w:hAnsi="Arial" w:eastAsia="Arial" w:cs="Arial"/>
          <w:sz w:val="22"/>
          <w:szCs w:val="22"/>
        </w:rPr>
        <w:br w:type="page"/>
      </w:r>
    </w:p>
    <w:p w:rsidR="2E49CA8E" w:rsidP="5394FC23" w:rsidRDefault="2E49CA8E" w14:paraId="0E1719D6" w14:textId="74482390">
      <w:pPr>
        <w:pStyle w:val="Heading1"/>
        <w:spacing w:line="360" w:lineRule="auto"/>
        <w:jc w:val="both"/>
        <w:rPr>
          <w:rFonts w:ascii="Arial" w:hAnsi="Arial" w:eastAsia="Arial" w:cs="Arial"/>
          <w:b w:val="1"/>
          <w:bCs w:val="1"/>
          <w:color w:val="auto"/>
          <w:sz w:val="22"/>
          <w:szCs w:val="22"/>
          <w:u w:val="single"/>
        </w:rPr>
      </w:pPr>
      <w:bookmarkStart w:name="_Toc885335438" w:id="1080977742"/>
      <w:r w:rsidRPr="5394FC23" w:rsidR="6958CB03">
        <w:rPr>
          <w:rFonts w:ascii="Arial" w:hAnsi="Arial" w:eastAsia="Arial" w:cs="Arial"/>
          <w:b w:val="1"/>
          <w:bCs w:val="1"/>
          <w:sz w:val="22"/>
          <w:szCs w:val="22"/>
        </w:rPr>
        <w:t>I</w:t>
      </w:r>
      <w:r w:rsidRPr="5394FC23" w:rsidR="6958CB03">
        <w:rPr>
          <w:rFonts w:ascii="Arial" w:hAnsi="Arial" w:eastAsia="Arial" w:cs="Arial"/>
          <w:b w:val="1"/>
          <w:bCs w:val="1"/>
          <w:color w:val="auto"/>
          <w:sz w:val="22"/>
          <w:szCs w:val="22"/>
        </w:rPr>
        <w:t>ntroduction</w:t>
      </w:r>
      <w:bookmarkEnd w:id="1080977742"/>
    </w:p>
    <w:p w:rsidR="76306F5E" w:rsidP="5394FC23" w:rsidRDefault="76306F5E" w14:paraId="0692C83A" w14:textId="1DB0C8E1">
      <w:pPr>
        <w:spacing w:before="0" w:beforeAutospacing="off" w:after="0" w:afterAutospacing="off" w:line="360" w:lineRule="auto"/>
        <w:jc w:val="both"/>
        <w:rPr>
          <w:rFonts w:ascii="Arial" w:hAnsi="Arial" w:eastAsia="Arial" w:cs="Arial"/>
          <w:noProof w:val="0"/>
          <w:color w:val="auto"/>
          <w:sz w:val="22"/>
          <w:szCs w:val="22"/>
          <w:lang w:val="en-GB"/>
        </w:rPr>
      </w:pPr>
      <w:r w:rsidRPr="5394FC23" w:rsidR="6E58F477">
        <w:rPr>
          <w:rFonts w:ascii="Arial" w:hAnsi="Arial" w:eastAsia="Arial" w:cs="Arial"/>
          <w:noProof w:val="0"/>
          <w:color w:val="auto"/>
          <w:sz w:val="22"/>
          <w:szCs w:val="22"/>
          <w:lang w:val="en-GB"/>
        </w:rPr>
        <w:t>Leading and managing organi</w:t>
      </w:r>
      <w:r w:rsidRPr="5394FC23" w:rsidR="4A69A79C">
        <w:rPr>
          <w:rFonts w:ascii="Arial" w:hAnsi="Arial" w:eastAsia="Arial" w:cs="Arial"/>
          <w:noProof w:val="0"/>
          <w:color w:val="auto"/>
          <w:sz w:val="22"/>
          <w:szCs w:val="22"/>
          <w:lang w:val="en-GB"/>
        </w:rPr>
        <w:t>s</w:t>
      </w:r>
      <w:r w:rsidRPr="5394FC23" w:rsidR="6E58F477">
        <w:rPr>
          <w:rFonts w:ascii="Arial" w:hAnsi="Arial" w:eastAsia="Arial" w:cs="Arial"/>
          <w:noProof w:val="0"/>
          <w:color w:val="auto"/>
          <w:sz w:val="22"/>
          <w:szCs w:val="22"/>
          <w:lang w:val="en-GB"/>
        </w:rPr>
        <w:t xml:space="preserve">ational change has become increasingly critical in today’s fast-paced, competitive business environment. As emphasized by Payne, Trumbach, and </w:t>
      </w:r>
      <w:r w:rsidRPr="5394FC23" w:rsidR="6E58F477">
        <w:rPr>
          <w:rFonts w:ascii="Arial" w:hAnsi="Arial" w:eastAsia="Arial" w:cs="Arial"/>
          <w:noProof w:val="0"/>
          <w:color w:val="auto"/>
          <w:sz w:val="22"/>
          <w:szCs w:val="22"/>
          <w:lang w:val="en-GB"/>
        </w:rPr>
        <w:t>Soharu</w:t>
      </w:r>
      <w:r w:rsidRPr="5394FC23" w:rsidR="6E58F477">
        <w:rPr>
          <w:rFonts w:ascii="Arial" w:hAnsi="Arial" w:eastAsia="Arial" w:cs="Arial"/>
          <w:noProof w:val="0"/>
          <w:color w:val="auto"/>
          <w:sz w:val="22"/>
          <w:szCs w:val="22"/>
          <w:lang w:val="en-GB"/>
        </w:rPr>
        <w:t xml:space="preserve"> (2023), companies must adapt swiftly to keep pace with market trends, technological advancements, and evolving customer needs. This agility is essential not only to </w:t>
      </w:r>
      <w:r w:rsidRPr="5394FC23" w:rsidR="6E58F477">
        <w:rPr>
          <w:rFonts w:ascii="Arial" w:hAnsi="Arial" w:eastAsia="Arial" w:cs="Arial"/>
          <w:noProof w:val="0"/>
          <w:color w:val="auto"/>
          <w:sz w:val="22"/>
          <w:szCs w:val="22"/>
          <w:lang w:val="en-GB"/>
        </w:rPr>
        <w:t>remain</w:t>
      </w:r>
      <w:r w:rsidRPr="5394FC23" w:rsidR="6E58F477">
        <w:rPr>
          <w:rFonts w:ascii="Arial" w:hAnsi="Arial" w:eastAsia="Arial" w:cs="Arial"/>
          <w:noProof w:val="0"/>
          <w:color w:val="auto"/>
          <w:sz w:val="22"/>
          <w:szCs w:val="22"/>
          <w:lang w:val="en-GB"/>
        </w:rPr>
        <w:t xml:space="preserve"> productive but also to stay relevant and competitive in a world where change is the only constant. The effectiveness with which an organization manages change </w:t>
      </w:r>
      <w:r w:rsidRPr="5394FC23" w:rsidR="46B7C024">
        <w:rPr>
          <w:rFonts w:ascii="Arial" w:hAnsi="Arial" w:eastAsia="Arial" w:cs="Arial"/>
          <w:noProof w:val="0"/>
          <w:color w:val="auto"/>
          <w:sz w:val="22"/>
          <w:szCs w:val="22"/>
          <w:lang w:val="en-GB"/>
        </w:rPr>
        <w:t>determines</w:t>
      </w:r>
      <w:r w:rsidRPr="5394FC23" w:rsidR="6E58F477">
        <w:rPr>
          <w:rFonts w:ascii="Arial" w:hAnsi="Arial" w:eastAsia="Arial" w:cs="Arial"/>
          <w:noProof w:val="0"/>
          <w:color w:val="auto"/>
          <w:sz w:val="22"/>
          <w:szCs w:val="22"/>
          <w:lang w:val="en-GB"/>
        </w:rPr>
        <w:t xml:space="preserve"> its potential for long-term success. This process, however, is not without its challenges. Brunes (2017) and Miles (2017) note that resistance from employees and communication barriers often impede change initiatives. Yet, cultivating adaptability and improving operational effectiveness are essential for </w:t>
      </w:r>
      <w:r w:rsidRPr="5394FC23" w:rsidR="6E58F477">
        <w:rPr>
          <w:rFonts w:ascii="Arial" w:hAnsi="Arial" w:eastAsia="Arial" w:cs="Arial"/>
          <w:noProof w:val="0"/>
          <w:color w:val="auto"/>
          <w:sz w:val="22"/>
          <w:szCs w:val="22"/>
          <w:lang w:val="en-GB"/>
        </w:rPr>
        <w:t>maintaining</w:t>
      </w:r>
      <w:r w:rsidRPr="5394FC23" w:rsidR="6E58F477">
        <w:rPr>
          <w:rFonts w:ascii="Arial" w:hAnsi="Arial" w:eastAsia="Arial" w:cs="Arial"/>
          <w:noProof w:val="0"/>
          <w:color w:val="auto"/>
          <w:sz w:val="22"/>
          <w:szCs w:val="22"/>
          <w:lang w:val="en-GB"/>
        </w:rPr>
        <w:t xml:space="preserve"> a competitive edge—especially in sectors driven by rapid innovation.</w:t>
      </w:r>
    </w:p>
    <w:p w:rsidR="76306F5E" w:rsidP="5394FC23" w:rsidRDefault="76306F5E" w14:paraId="1212483B" w14:textId="4E93008A">
      <w:pPr>
        <w:spacing w:before="0" w:beforeAutospacing="off" w:after="0" w:afterAutospacing="off" w:line="360" w:lineRule="auto"/>
        <w:jc w:val="both"/>
        <w:rPr>
          <w:rFonts w:ascii="Arial" w:hAnsi="Arial" w:eastAsia="Arial" w:cs="Arial"/>
          <w:noProof w:val="0"/>
          <w:color w:val="auto"/>
          <w:sz w:val="22"/>
          <w:szCs w:val="22"/>
          <w:lang w:val="en-GB"/>
        </w:rPr>
      </w:pPr>
    </w:p>
    <w:p w:rsidR="76306F5E" w:rsidP="5394FC23" w:rsidRDefault="76306F5E" w14:paraId="2AEEE11E" w14:textId="08FC7A3F">
      <w:pPr>
        <w:spacing w:before="0" w:beforeAutospacing="off" w:after="0" w:afterAutospacing="off" w:line="360" w:lineRule="auto"/>
        <w:jc w:val="both"/>
        <w:rPr>
          <w:rFonts w:ascii="Arial" w:hAnsi="Arial" w:eastAsia="Arial" w:cs="Arial"/>
          <w:noProof w:val="0"/>
          <w:color w:val="auto"/>
          <w:sz w:val="22"/>
          <w:szCs w:val="22"/>
          <w:lang w:val="en-GB"/>
        </w:rPr>
      </w:pPr>
      <w:r w:rsidRPr="5394FC23" w:rsidR="6E58F477">
        <w:rPr>
          <w:rFonts w:ascii="Arial" w:hAnsi="Arial" w:eastAsia="Arial" w:cs="Arial"/>
          <w:noProof w:val="0"/>
          <w:color w:val="auto"/>
          <w:sz w:val="22"/>
          <w:szCs w:val="22"/>
          <w:lang w:val="en-GB"/>
        </w:rPr>
        <w:t xml:space="preserve">In particular, the financial services industry requires constant adaptation and innovation. Factors such as regulatory changes, technological advancements, and shifts in customer behaviour present a range of challenges that demand robust change management strategies. This report focuses on the change management practices of Lloyds Bank, one of the oldest and most established financial institutions in the UK. Since its founding in 1765, Lloyds has continuously evolved to </w:t>
      </w:r>
      <w:r w:rsidRPr="5394FC23" w:rsidR="6E58F477">
        <w:rPr>
          <w:rFonts w:ascii="Arial" w:hAnsi="Arial" w:eastAsia="Arial" w:cs="Arial"/>
          <w:noProof w:val="0"/>
          <w:color w:val="auto"/>
          <w:sz w:val="22"/>
          <w:szCs w:val="22"/>
          <w:lang w:val="en-GB"/>
        </w:rPr>
        <w:t>maintain</w:t>
      </w:r>
      <w:r w:rsidRPr="5394FC23" w:rsidR="6E58F477">
        <w:rPr>
          <w:rFonts w:ascii="Arial" w:hAnsi="Arial" w:eastAsia="Arial" w:cs="Arial"/>
          <w:noProof w:val="0"/>
          <w:color w:val="auto"/>
          <w:sz w:val="22"/>
          <w:szCs w:val="22"/>
          <w:lang w:val="en-GB"/>
        </w:rPr>
        <w:t xml:space="preserve"> its position in a dynamic marketplace. However, the economic landscape is shifting rapidly, with disruptions from technological advancements, regulatory transformations, and rising consumer expectations. </w:t>
      </w:r>
      <w:r w:rsidRPr="5394FC23" w:rsidR="4BC69E37">
        <w:rPr>
          <w:rFonts w:ascii="Arial" w:hAnsi="Arial" w:eastAsia="Arial" w:cs="Arial"/>
          <w:noProof w:val="0"/>
          <w:color w:val="auto"/>
          <w:sz w:val="22"/>
          <w:szCs w:val="22"/>
          <w:lang w:val="en-GB"/>
        </w:rPr>
        <w:t>Considering</w:t>
      </w:r>
      <w:r w:rsidRPr="5394FC23" w:rsidR="6E58F477">
        <w:rPr>
          <w:rFonts w:ascii="Arial" w:hAnsi="Arial" w:eastAsia="Arial" w:cs="Arial"/>
          <w:noProof w:val="0"/>
          <w:color w:val="auto"/>
          <w:sz w:val="22"/>
          <w:szCs w:val="22"/>
          <w:lang w:val="en-GB"/>
        </w:rPr>
        <w:t xml:space="preserve"> these changes, evaluating Lloyds’ current </w:t>
      </w:r>
      <w:r w:rsidRPr="5394FC23" w:rsidR="6C25C1E9">
        <w:rPr>
          <w:rFonts w:ascii="Arial" w:hAnsi="Arial" w:eastAsia="Arial" w:cs="Arial"/>
          <w:noProof w:val="0"/>
          <w:color w:val="auto"/>
          <w:sz w:val="22"/>
          <w:szCs w:val="22"/>
          <w:lang w:val="en-GB"/>
        </w:rPr>
        <w:t>strategies,</w:t>
      </w:r>
      <w:r w:rsidRPr="5394FC23" w:rsidR="6E58F477">
        <w:rPr>
          <w:rFonts w:ascii="Arial" w:hAnsi="Arial" w:eastAsia="Arial" w:cs="Arial"/>
          <w:noProof w:val="0"/>
          <w:color w:val="auto"/>
          <w:sz w:val="22"/>
          <w:szCs w:val="22"/>
          <w:lang w:val="en-GB"/>
        </w:rPr>
        <w:t xml:space="preserve"> and recommending improvements is essential to ensure its continued success.</w:t>
      </w:r>
    </w:p>
    <w:p w:rsidR="76306F5E" w:rsidP="5394FC23" w:rsidRDefault="76306F5E" w14:paraId="24362F3F" w14:textId="682A492D">
      <w:pPr>
        <w:spacing w:before="0" w:beforeAutospacing="off" w:after="0" w:afterAutospacing="off" w:line="360" w:lineRule="auto"/>
        <w:jc w:val="both"/>
        <w:rPr>
          <w:rFonts w:ascii="Arial" w:hAnsi="Arial" w:eastAsia="Arial" w:cs="Arial"/>
          <w:noProof w:val="0"/>
          <w:color w:val="auto"/>
          <w:sz w:val="22"/>
          <w:szCs w:val="22"/>
          <w:lang w:val="en-GB"/>
        </w:rPr>
      </w:pPr>
    </w:p>
    <w:p w:rsidR="76306F5E" w:rsidP="5394FC23" w:rsidRDefault="76306F5E" w14:paraId="7EEDCA64" w14:textId="654EA049">
      <w:pPr>
        <w:spacing w:before="0" w:beforeAutospacing="off" w:after="0" w:afterAutospacing="off" w:line="360" w:lineRule="auto"/>
        <w:jc w:val="both"/>
        <w:rPr>
          <w:rFonts w:ascii="Arial" w:hAnsi="Arial" w:eastAsia="Arial" w:cs="Arial"/>
          <w:noProof w:val="0"/>
          <w:color w:val="auto"/>
          <w:sz w:val="22"/>
          <w:szCs w:val="22"/>
          <w:lang w:val="en-GB"/>
        </w:rPr>
      </w:pPr>
      <w:r w:rsidRPr="5394FC23" w:rsidR="6E58F477">
        <w:rPr>
          <w:rFonts w:ascii="Arial" w:hAnsi="Arial" w:eastAsia="Arial" w:cs="Arial"/>
          <w:noProof w:val="0"/>
          <w:color w:val="auto"/>
          <w:sz w:val="22"/>
          <w:szCs w:val="22"/>
          <w:lang w:val="en-GB"/>
        </w:rPr>
        <w:t xml:space="preserve">This report will conduct a comprehensive analysis of Lloyds Bank’s approach to change management, particularly in the context of recent challenges. One significant issue for Lloyds in recent years has been the fluctuation in its share value. Data from Statista (2024) shows that Lloyds Banking Group’s shares remained </w:t>
      </w:r>
      <w:r w:rsidRPr="5394FC23" w:rsidR="31950D7A">
        <w:rPr>
          <w:rFonts w:ascii="Arial" w:hAnsi="Arial" w:eastAsia="Arial" w:cs="Arial"/>
          <w:noProof w:val="0"/>
          <w:color w:val="auto"/>
          <w:sz w:val="22"/>
          <w:szCs w:val="22"/>
          <w:lang w:val="en-GB"/>
        </w:rPr>
        <w:t>stable</w:t>
      </w:r>
      <w:r w:rsidRPr="5394FC23" w:rsidR="6E58F477">
        <w:rPr>
          <w:rFonts w:ascii="Arial" w:hAnsi="Arial" w:eastAsia="Arial" w:cs="Arial"/>
          <w:noProof w:val="0"/>
          <w:color w:val="auto"/>
          <w:sz w:val="22"/>
          <w:szCs w:val="22"/>
          <w:lang w:val="en-GB"/>
        </w:rPr>
        <w:t xml:space="preserve"> from 2010 to 2021, peaking in 2017 with </w:t>
      </w:r>
      <w:r w:rsidRPr="5394FC23" w:rsidR="007CBB53">
        <w:rPr>
          <w:rFonts w:ascii="Arial" w:hAnsi="Arial" w:eastAsia="Arial" w:cs="Arial"/>
          <w:noProof w:val="0"/>
          <w:color w:val="auto"/>
          <w:sz w:val="22"/>
          <w:szCs w:val="22"/>
          <w:lang w:val="en-GB"/>
        </w:rPr>
        <w:t>72</w:t>
      </w:r>
      <w:r w:rsidRPr="5394FC23" w:rsidR="6E58F477">
        <w:rPr>
          <w:rFonts w:ascii="Arial" w:hAnsi="Arial" w:eastAsia="Arial" w:cs="Arial"/>
          <w:noProof w:val="0"/>
          <w:color w:val="auto"/>
          <w:sz w:val="22"/>
          <w:szCs w:val="22"/>
          <w:lang w:val="en-GB"/>
        </w:rPr>
        <w:t xml:space="preserve"> billion shares globally. However, by 2022, the number of shares had declined, dropping to around 63.5 billion in 2023—a decrease of over 3.7 billion shares compared to the previous year. This decline signals potential challenges within Lloyds’ current strategies, especially considering the increasing market competition and pressure to perform. In this context, examining Lloyds' change management practices is crucial to </w:t>
      </w:r>
      <w:r w:rsidRPr="5394FC23" w:rsidR="6E58F477">
        <w:rPr>
          <w:rFonts w:ascii="Arial" w:hAnsi="Arial" w:eastAsia="Arial" w:cs="Arial"/>
          <w:noProof w:val="0"/>
          <w:color w:val="auto"/>
          <w:sz w:val="22"/>
          <w:szCs w:val="22"/>
          <w:lang w:val="en-GB"/>
        </w:rPr>
        <w:t>identify</w:t>
      </w:r>
      <w:r w:rsidRPr="5394FC23" w:rsidR="6E58F477">
        <w:rPr>
          <w:rFonts w:ascii="Arial" w:hAnsi="Arial" w:eastAsia="Arial" w:cs="Arial"/>
          <w:noProof w:val="0"/>
          <w:color w:val="auto"/>
          <w:sz w:val="22"/>
          <w:szCs w:val="22"/>
          <w:lang w:val="en-GB"/>
        </w:rPr>
        <w:t xml:space="preserve"> areas that require adjustment to stabili</w:t>
      </w:r>
      <w:r w:rsidRPr="5394FC23" w:rsidR="350B8E74">
        <w:rPr>
          <w:rFonts w:ascii="Arial" w:hAnsi="Arial" w:eastAsia="Arial" w:cs="Arial"/>
          <w:noProof w:val="0"/>
          <w:color w:val="auto"/>
          <w:sz w:val="22"/>
          <w:szCs w:val="22"/>
          <w:lang w:val="en-GB"/>
        </w:rPr>
        <w:t>s</w:t>
      </w:r>
      <w:r w:rsidRPr="5394FC23" w:rsidR="6E58F477">
        <w:rPr>
          <w:rFonts w:ascii="Arial" w:hAnsi="Arial" w:eastAsia="Arial" w:cs="Arial"/>
          <w:noProof w:val="0"/>
          <w:color w:val="auto"/>
          <w:sz w:val="22"/>
          <w:szCs w:val="22"/>
          <w:lang w:val="en-GB"/>
        </w:rPr>
        <w:t>e and enhance its market position.</w:t>
      </w:r>
    </w:p>
    <w:p w:rsidR="76306F5E" w:rsidP="5394FC23" w:rsidRDefault="76306F5E" w14:paraId="7152A50B" w14:textId="020A1A56">
      <w:pPr>
        <w:spacing w:before="0" w:beforeAutospacing="off" w:after="0" w:afterAutospacing="off" w:line="360" w:lineRule="auto"/>
        <w:jc w:val="both"/>
        <w:rPr>
          <w:rFonts w:ascii="Arial" w:hAnsi="Arial" w:eastAsia="Arial" w:cs="Arial"/>
          <w:noProof w:val="0"/>
          <w:color w:val="auto"/>
          <w:sz w:val="22"/>
          <w:szCs w:val="22"/>
          <w:lang w:val="en-GB"/>
        </w:rPr>
      </w:pPr>
    </w:p>
    <w:p w:rsidR="76306F5E" w:rsidP="5394FC23" w:rsidRDefault="76306F5E" w14:paraId="72EC49BE" w14:textId="438ED0E2">
      <w:pPr>
        <w:spacing w:before="0" w:beforeAutospacing="off" w:after="0" w:afterAutospacing="off" w:line="360" w:lineRule="auto"/>
        <w:jc w:val="both"/>
        <w:rPr>
          <w:rFonts w:ascii="Arial" w:hAnsi="Arial" w:eastAsia="Arial" w:cs="Arial"/>
          <w:noProof w:val="0"/>
          <w:color w:val="auto"/>
          <w:sz w:val="22"/>
          <w:szCs w:val="22"/>
          <w:lang w:val="en-GB"/>
        </w:rPr>
      </w:pPr>
      <w:r w:rsidRPr="5394FC23" w:rsidR="6E58F477">
        <w:rPr>
          <w:rFonts w:ascii="Arial" w:hAnsi="Arial" w:eastAsia="Arial" w:cs="Arial"/>
          <w:noProof w:val="0"/>
          <w:color w:val="auto"/>
          <w:sz w:val="22"/>
          <w:szCs w:val="22"/>
          <w:lang w:val="en-GB"/>
        </w:rPr>
        <w:t>Organi</w:t>
      </w:r>
      <w:r w:rsidRPr="5394FC23" w:rsidR="10582B7D">
        <w:rPr>
          <w:rFonts w:ascii="Arial" w:hAnsi="Arial" w:eastAsia="Arial" w:cs="Arial"/>
          <w:noProof w:val="0"/>
          <w:color w:val="auto"/>
          <w:sz w:val="22"/>
          <w:szCs w:val="22"/>
          <w:lang w:val="en-GB"/>
        </w:rPr>
        <w:t>s</w:t>
      </w:r>
      <w:r w:rsidRPr="5394FC23" w:rsidR="6E58F477">
        <w:rPr>
          <w:rFonts w:ascii="Arial" w:hAnsi="Arial" w:eastAsia="Arial" w:cs="Arial"/>
          <w:noProof w:val="0"/>
          <w:color w:val="auto"/>
          <w:sz w:val="22"/>
          <w:szCs w:val="22"/>
          <w:lang w:val="en-GB"/>
        </w:rPr>
        <w:t xml:space="preserve">ational change management has long been a subject of theoretical and practical interest. Mondo and </w:t>
      </w:r>
      <w:r w:rsidRPr="5394FC23" w:rsidR="6E58F477">
        <w:rPr>
          <w:rFonts w:ascii="Arial" w:hAnsi="Arial" w:eastAsia="Arial" w:cs="Arial"/>
          <w:noProof w:val="0"/>
          <w:color w:val="auto"/>
          <w:sz w:val="22"/>
          <w:szCs w:val="22"/>
          <w:lang w:val="en-GB"/>
        </w:rPr>
        <w:t>Musungwini</w:t>
      </w:r>
      <w:r w:rsidRPr="5394FC23" w:rsidR="6E58F477">
        <w:rPr>
          <w:rFonts w:ascii="Arial" w:hAnsi="Arial" w:eastAsia="Arial" w:cs="Arial"/>
          <w:noProof w:val="0"/>
          <w:color w:val="auto"/>
          <w:sz w:val="22"/>
          <w:szCs w:val="22"/>
          <w:lang w:val="en-GB"/>
        </w:rPr>
        <w:t xml:space="preserve"> (2019) describe change management as involving strategic techniques, innovative practices, and effective tools designed to drive and positively influence transformative change within organi</w:t>
      </w:r>
      <w:r w:rsidRPr="5394FC23" w:rsidR="598387F5">
        <w:rPr>
          <w:rFonts w:ascii="Arial" w:hAnsi="Arial" w:eastAsia="Arial" w:cs="Arial"/>
          <w:noProof w:val="0"/>
          <w:color w:val="auto"/>
          <w:sz w:val="22"/>
          <w:szCs w:val="22"/>
          <w:lang w:val="en-GB"/>
        </w:rPr>
        <w:t>s</w:t>
      </w:r>
      <w:r w:rsidRPr="5394FC23" w:rsidR="6E58F477">
        <w:rPr>
          <w:rFonts w:ascii="Arial" w:hAnsi="Arial" w:eastAsia="Arial" w:cs="Arial"/>
          <w:noProof w:val="0"/>
          <w:color w:val="auto"/>
          <w:sz w:val="22"/>
          <w:szCs w:val="22"/>
          <w:lang w:val="en-GB"/>
        </w:rPr>
        <w:t xml:space="preserve">ations. Numerous theorists, including Kotter (1995), have developed models aimed at guiding organisations successfully through change. Kotter’s 8-step model, introduced in 1995, will serve as the foundation for </w:t>
      </w:r>
      <w:r w:rsidRPr="5394FC23" w:rsidR="014836B3">
        <w:rPr>
          <w:rFonts w:ascii="Arial" w:hAnsi="Arial" w:eastAsia="Arial" w:cs="Arial"/>
          <w:noProof w:val="0"/>
          <w:color w:val="auto"/>
          <w:sz w:val="22"/>
          <w:szCs w:val="22"/>
          <w:lang w:val="en-GB"/>
        </w:rPr>
        <w:t>analysing</w:t>
      </w:r>
      <w:r w:rsidRPr="5394FC23" w:rsidR="6E58F477">
        <w:rPr>
          <w:rFonts w:ascii="Arial" w:hAnsi="Arial" w:eastAsia="Arial" w:cs="Arial"/>
          <w:noProof w:val="0"/>
          <w:color w:val="auto"/>
          <w:sz w:val="22"/>
          <w:szCs w:val="22"/>
          <w:lang w:val="en-GB"/>
        </w:rPr>
        <w:t xml:space="preserve"> Lloyds Bank’s approach to managing change in this report. Through Kotter’s model, this report aims to outline a change management plan to help address Lloyds’ declining share value while enhancing its overall organizational effectiveness.</w:t>
      </w:r>
    </w:p>
    <w:p w:rsidR="76306F5E" w:rsidP="5394FC23" w:rsidRDefault="76306F5E" w14:paraId="73D1BC7A" w14:textId="2EF92B15">
      <w:pPr>
        <w:spacing w:before="0" w:beforeAutospacing="off" w:after="0" w:afterAutospacing="off" w:line="360" w:lineRule="auto"/>
        <w:jc w:val="both"/>
        <w:rPr>
          <w:rFonts w:ascii="Arial" w:hAnsi="Arial" w:eastAsia="Arial" w:cs="Arial"/>
          <w:noProof w:val="0"/>
          <w:color w:val="auto"/>
          <w:sz w:val="22"/>
          <w:szCs w:val="22"/>
          <w:lang w:val="en-GB"/>
        </w:rPr>
      </w:pPr>
    </w:p>
    <w:p w:rsidR="76306F5E" w:rsidP="5394FC23" w:rsidRDefault="76306F5E" w14:paraId="444F8D03" w14:textId="37B8E1AF">
      <w:pPr>
        <w:spacing w:before="0" w:beforeAutospacing="off" w:after="0" w:afterAutospacing="off" w:line="360" w:lineRule="auto"/>
        <w:jc w:val="both"/>
        <w:rPr>
          <w:rFonts w:ascii="Arial" w:hAnsi="Arial" w:eastAsia="Arial" w:cs="Arial"/>
          <w:noProof w:val="0"/>
          <w:color w:val="auto"/>
          <w:sz w:val="22"/>
          <w:szCs w:val="22"/>
          <w:lang w:val="en-GB"/>
        </w:rPr>
      </w:pPr>
      <w:r w:rsidRPr="5394FC23" w:rsidR="6E58F477">
        <w:rPr>
          <w:rFonts w:ascii="Arial" w:hAnsi="Arial" w:eastAsia="Arial" w:cs="Arial"/>
          <w:noProof w:val="0"/>
          <w:color w:val="auto"/>
          <w:sz w:val="22"/>
          <w:szCs w:val="22"/>
          <w:lang w:val="en-GB"/>
        </w:rPr>
        <w:t xml:space="preserve">In addition to Kotter’s model, this report will also incorporate Lewin’s 3-step change model (1947) to further assess Lloyds Bank’s change management practices. Known for its versatility, Lewin’s model has been widely endorsed by researchers for decades. According to Bakari, </w:t>
      </w:r>
      <w:r w:rsidRPr="5394FC23" w:rsidR="6E58F477">
        <w:rPr>
          <w:rFonts w:ascii="Arial" w:hAnsi="Arial" w:eastAsia="Arial" w:cs="Arial"/>
          <w:noProof w:val="0"/>
          <w:color w:val="auto"/>
          <w:sz w:val="22"/>
          <w:szCs w:val="22"/>
          <w:lang w:val="en-GB"/>
        </w:rPr>
        <w:t>Hunjra</w:t>
      </w:r>
      <w:r w:rsidRPr="5394FC23" w:rsidR="6E58F477">
        <w:rPr>
          <w:rFonts w:ascii="Arial" w:hAnsi="Arial" w:eastAsia="Arial" w:cs="Arial"/>
          <w:noProof w:val="0"/>
          <w:color w:val="auto"/>
          <w:sz w:val="22"/>
          <w:szCs w:val="22"/>
          <w:lang w:val="en-GB"/>
        </w:rPr>
        <w:t>, and Niazi (2017), Kurt Lewin—a pioneering social scientist—advocated for resolving social conflicts through behavioural change. His 3-step model, which consists of unfreezing, changing, and refreezing, has become a cornerstone for many change management strategies. By employing Lewin’s model, this report will evaluate whether Lloyds’ change management practices align with best practices and explore which model may be more effective within the banking industry to guide a management change plan.</w:t>
      </w:r>
    </w:p>
    <w:p w:rsidR="76306F5E" w:rsidP="5394FC23" w:rsidRDefault="76306F5E" w14:paraId="6C4D6C9A" w14:textId="42FA471D">
      <w:pPr>
        <w:spacing w:before="0" w:beforeAutospacing="off" w:after="0" w:afterAutospacing="off" w:line="360" w:lineRule="auto"/>
        <w:jc w:val="both"/>
        <w:rPr>
          <w:rFonts w:ascii="Arial" w:hAnsi="Arial" w:eastAsia="Arial" w:cs="Arial"/>
          <w:noProof w:val="0"/>
          <w:color w:val="auto"/>
          <w:sz w:val="22"/>
          <w:szCs w:val="22"/>
          <w:lang w:val="en-GB"/>
        </w:rPr>
      </w:pPr>
    </w:p>
    <w:p w:rsidR="76306F5E" w:rsidP="5394FC23" w:rsidRDefault="76306F5E" w14:paraId="21700F6B" w14:textId="040A1C0C">
      <w:pPr>
        <w:spacing w:before="0" w:beforeAutospacing="off" w:after="0" w:afterAutospacing="off" w:line="360" w:lineRule="auto"/>
        <w:jc w:val="both"/>
        <w:rPr>
          <w:rFonts w:ascii="Arial" w:hAnsi="Arial" w:eastAsia="Arial" w:cs="Arial"/>
          <w:noProof w:val="0"/>
          <w:color w:val="auto"/>
          <w:sz w:val="22"/>
          <w:szCs w:val="22"/>
          <w:lang w:val="en-GB"/>
        </w:rPr>
      </w:pPr>
      <w:r w:rsidRPr="5394FC23" w:rsidR="6E58F477">
        <w:rPr>
          <w:rFonts w:ascii="Arial" w:hAnsi="Arial" w:eastAsia="Arial" w:cs="Arial"/>
          <w:noProof w:val="0"/>
          <w:color w:val="auto"/>
          <w:sz w:val="22"/>
          <w:szCs w:val="22"/>
          <w:lang w:val="en-GB"/>
        </w:rPr>
        <w:t xml:space="preserve">To provide a comprehensive evaluation, this report will not only </w:t>
      </w:r>
      <w:r w:rsidRPr="5394FC23" w:rsidR="0CAA5768">
        <w:rPr>
          <w:rFonts w:ascii="Arial" w:hAnsi="Arial" w:eastAsia="Arial" w:cs="Arial"/>
          <w:noProof w:val="0"/>
          <w:color w:val="auto"/>
          <w:sz w:val="22"/>
          <w:szCs w:val="22"/>
          <w:lang w:val="en-GB"/>
        </w:rPr>
        <w:t>analyse</w:t>
      </w:r>
      <w:r w:rsidRPr="5394FC23" w:rsidR="6E58F477">
        <w:rPr>
          <w:rFonts w:ascii="Arial" w:hAnsi="Arial" w:eastAsia="Arial" w:cs="Arial"/>
          <w:noProof w:val="0"/>
          <w:color w:val="auto"/>
          <w:sz w:val="22"/>
          <w:szCs w:val="22"/>
          <w:lang w:val="en-GB"/>
        </w:rPr>
        <w:t xml:space="preserve"> Lloyds’ current change management strategies but also compare them to those of JP Morgan Chase, one of the world’s leading financial institutions. As a top global player in investment banking revenue, JP Morgan Chase offers a valuable benchmark for assessing Lloyds' approach to change management. By comparing Lloyds’ strategies with those of JP Morgan Chase, this report aims to </w:t>
      </w:r>
      <w:r w:rsidRPr="5394FC23" w:rsidR="6E58F477">
        <w:rPr>
          <w:rFonts w:ascii="Arial" w:hAnsi="Arial" w:eastAsia="Arial" w:cs="Arial"/>
          <w:noProof w:val="0"/>
          <w:color w:val="auto"/>
          <w:sz w:val="22"/>
          <w:szCs w:val="22"/>
          <w:lang w:val="en-GB"/>
        </w:rPr>
        <w:t>identify</w:t>
      </w:r>
      <w:r w:rsidRPr="5394FC23" w:rsidR="6E58F477">
        <w:rPr>
          <w:rFonts w:ascii="Arial" w:hAnsi="Arial" w:eastAsia="Arial" w:cs="Arial"/>
          <w:noProof w:val="0"/>
          <w:color w:val="auto"/>
          <w:sz w:val="22"/>
          <w:szCs w:val="22"/>
          <w:lang w:val="en-GB"/>
        </w:rPr>
        <w:t xml:space="preserve"> actionable recommendations to help Lloyds navigate current challenges, reinforce its market position, and secure its future in a rapidly evolving financial sector.</w:t>
      </w:r>
    </w:p>
    <w:p w:rsidR="76306F5E" w:rsidP="5394FC23" w:rsidRDefault="76306F5E" w14:paraId="7E1D528F" w14:textId="435A5E59">
      <w:pPr>
        <w:spacing w:before="0" w:beforeAutospacing="off" w:after="0" w:afterAutospacing="off" w:line="360" w:lineRule="auto"/>
        <w:jc w:val="both"/>
        <w:rPr>
          <w:rFonts w:ascii="Arial" w:hAnsi="Arial" w:eastAsia="Arial" w:cs="Arial"/>
          <w:noProof w:val="0"/>
          <w:color w:val="auto"/>
          <w:sz w:val="22"/>
          <w:szCs w:val="22"/>
          <w:lang w:val="en-GB"/>
        </w:rPr>
      </w:pPr>
    </w:p>
    <w:p w:rsidR="76306F5E" w:rsidP="5394FC23" w:rsidRDefault="76306F5E" w14:paraId="6C2AAB07" w14:textId="468E30AB">
      <w:pPr>
        <w:pStyle w:val="Heading2"/>
        <w:spacing w:line="360" w:lineRule="auto"/>
        <w:jc w:val="both"/>
        <w:rPr>
          <w:rFonts w:ascii="Arial" w:hAnsi="Arial" w:eastAsia="Arial" w:cs="Arial"/>
          <w:b w:val="1"/>
          <w:bCs w:val="1"/>
          <w:noProof w:val="0"/>
          <w:color w:val="auto"/>
          <w:sz w:val="22"/>
          <w:szCs w:val="22"/>
          <w:lang w:val="en-GB"/>
        </w:rPr>
      </w:pPr>
      <w:bookmarkStart w:name="_Toc1179447398" w:id="115250434"/>
      <w:r w:rsidRPr="5394FC23" w:rsidR="6E58F477">
        <w:rPr>
          <w:rFonts w:ascii="Arial" w:hAnsi="Arial" w:eastAsia="Arial" w:cs="Arial"/>
          <w:b w:val="1"/>
          <w:bCs w:val="1"/>
          <w:noProof w:val="0"/>
          <w:color w:val="auto"/>
          <w:sz w:val="22"/>
          <w:szCs w:val="22"/>
          <w:lang w:val="en-GB"/>
        </w:rPr>
        <w:t>Overview of Lloyds Bank</w:t>
      </w:r>
      <w:bookmarkEnd w:id="115250434"/>
    </w:p>
    <w:p w:rsidR="76306F5E" w:rsidP="5394FC23" w:rsidRDefault="76306F5E" w14:paraId="1E2F8512" w14:textId="756F1994">
      <w:pPr>
        <w:spacing w:before="0" w:beforeAutospacing="off" w:after="0" w:afterAutospacing="off" w:line="360" w:lineRule="auto"/>
        <w:jc w:val="both"/>
        <w:rPr>
          <w:rFonts w:ascii="Arial" w:hAnsi="Arial" w:eastAsia="Arial" w:cs="Arial"/>
          <w:noProof w:val="0"/>
          <w:color w:val="auto"/>
          <w:sz w:val="22"/>
          <w:szCs w:val="22"/>
          <w:lang w:val="en-GB"/>
        </w:rPr>
      </w:pPr>
      <w:r w:rsidRPr="5394FC23" w:rsidR="6E58F477">
        <w:rPr>
          <w:rFonts w:ascii="Arial" w:hAnsi="Arial" w:eastAsia="Arial" w:cs="Arial"/>
          <w:noProof w:val="0"/>
          <w:color w:val="auto"/>
          <w:sz w:val="22"/>
          <w:szCs w:val="22"/>
          <w:lang w:val="en-GB"/>
        </w:rPr>
        <w:t xml:space="preserve">Lloyds Bank is one of the most established financial institutions in the United Kingdom, with a history that spans over 325 years. Founded in Birmingham in 1765, Lloyds Bank has grown to serve over 27 million customers and is supported by approximately 2.2 million shareholders, as </w:t>
      </w:r>
      <w:r w:rsidRPr="5394FC23" w:rsidR="6E58F477">
        <w:rPr>
          <w:rFonts w:ascii="Arial" w:hAnsi="Arial" w:eastAsia="Arial" w:cs="Arial"/>
          <w:noProof w:val="0"/>
          <w:color w:val="auto"/>
          <w:sz w:val="22"/>
          <w:szCs w:val="22"/>
          <w:lang w:val="en-GB"/>
        </w:rPr>
        <w:t>indicated</w:t>
      </w:r>
      <w:r w:rsidRPr="5394FC23" w:rsidR="6E58F477">
        <w:rPr>
          <w:rFonts w:ascii="Arial" w:hAnsi="Arial" w:eastAsia="Arial" w:cs="Arial"/>
          <w:noProof w:val="0"/>
          <w:color w:val="auto"/>
          <w:sz w:val="22"/>
          <w:szCs w:val="22"/>
          <w:lang w:val="en-GB"/>
        </w:rPr>
        <w:t xml:space="preserve"> in its 2024 annual report. Throughout its long history, Lloyds has been dedicated to supporting both individual customers and businesses, </w:t>
      </w:r>
      <w:r w:rsidRPr="5394FC23" w:rsidR="6E58F477">
        <w:rPr>
          <w:rFonts w:ascii="Arial" w:hAnsi="Arial" w:eastAsia="Arial" w:cs="Arial"/>
          <w:noProof w:val="0"/>
          <w:color w:val="auto"/>
          <w:sz w:val="22"/>
          <w:szCs w:val="22"/>
          <w:lang w:val="en-GB"/>
        </w:rPr>
        <w:t>providing</w:t>
      </w:r>
      <w:r w:rsidRPr="5394FC23" w:rsidR="6E58F477">
        <w:rPr>
          <w:rFonts w:ascii="Arial" w:hAnsi="Arial" w:eastAsia="Arial" w:cs="Arial"/>
          <w:noProof w:val="0"/>
          <w:color w:val="auto"/>
          <w:sz w:val="22"/>
          <w:szCs w:val="22"/>
          <w:lang w:val="en-GB"/>
        </w:rPr>
        <w:t xml:space="preserve"> a range of financial services that foster growth and investment. This dedication to customer support has been a fundamental aspect of Lloyds Bank’s operations, strengthening its reputation as a reliable partner for personal and business banking needs.</w:t>
      </w:r>
    </w:p>
    <w:p w:rsidR="76306F5E" w:rsidP="5394FC23" w:rsidRDefault="76306F5E" w14:paraId="01D97814" w14:textId="68D9AAB8">
      <w:pPr>
        <w:spacing w:before="0" w:beforeAutospacing="off" w:after="0" w:afterAutospacing="off" w:line="360" w:lineRule="auto"/>
        <w:jc w:val="both"/>
        <w:rPr>
          <w:rFonts w:ascii="Arial" w:hAnsi="Arial" w:eastAsia="Arial" w:cs="Arial"/>
          <w:noProof w:val="0"/>
          <w:color w:val="auto"/>
          <w:sz w:val="22"/>
          <w:szCs w:val="22"/>
          <w:lang w:val="en-GB"/>
        </w:rPr>
      </w:pPr>
    </w:p>
    <w:p w:rsidR="76306F5E" w:rsidP="5394FC23" w:rsidRDefault="76306F5E" w14:paraId="2F0B7DB1" w14:textId="54905673">
      <w:pPr>
        <w:spacing w:before="0" w:beforeAutospacing="off" w:after="0" w:afterAutospacing="off" w:line="360" w:lineRule="auto"/>
        <w:jc w:val="both"/>
        <w:rPr>
          <w:rFonts w:ascii="Arial" w:hAnsi="Arial" w:eastAsia="Arial" w:cs="Arial"/>
          <w:noProof w:val="0"/>
          <w:color w:val="auto"/>
          <w:sz w:val="22"/>
          <w:szCs w:val="22"/>
          <w:lang w:val="en-GB"/>
        </w:rPr>
      </w:pPr>
      <w:r w:rsidRPr="5394FC23" w:rsidR="6E58F477">
        <w:rPr>
          <w:rFonts w:ascii="Arial" w:hAnsi="Arial" w:eastAsia="Arial" w:cs="Arial"/>
          <w:noProof w:val="0"/>
          <w:color w:val="auto"/>
          <w:sz w:val="22"/>
          <w:szCs w:val="22"/>
          <w:lang w:val="en-GB"/>
        </w:rPr>
        <w:t xml:space="preserve">Beyond traditional banking services, Lloyds has emphasized providing tailored support to businesses, especially during economically challenging periods. The bank assists clients facing financial difficulties, offering guidance and resources to help them navigate these challenges successfully. This customer-focused approach </w:t>
      </w:r>
      <w:r w:rsidRPr="5394FC23" w:rsidR="6E58F477">
        <w:rPr>
          <w:rFonts w:ascii="Arial" w:hAnsi="Arial" w:eastAsia="Arial" w:cs="Arial"/>
          <w:noProof w:val="0"/>
          <w:color w:val="auto"/>
          <w:sz w:val="22"/>
          <w:szCs w:val="22"/>
          <w:lang w:val="en-GB"/>
        </w:rPr>
        <w:t>remains</w:t>
      </w:r>
      <w:r w:rsidRPr="5394FC23" w:rsidR="6E58F477">
        <w:rPr>
          <w:rFonts w:ascii="Arial" w:hAnsi="Arial" w:eastAsia="Arial" w:cs="Arial"/>
          <w:noProof w:val="0"/>
          <w:color w:val="auto"/>
          <w:sz w:val="22"/>
          <w:szCs w:val="22"/>
          <w:lang w:val="en-GB"/>
        </w:rPr>
        <w:t xml:space="preserve"> a central pillar of Lloyds Bank’s mission and reflects its commitment to delivering positive outcomes for its clients. Today, Lloyds Bank </w:t>
      </w:r>
      <w:r w:rsidRPr="5394FC23" w:rsidR="6E58F477">
        <w:rPr>
          <w:rFonts w:ascii="Arial" w:hAnsi="Arial" w:eastAsia="Arial" w:cs="Arial"/>
          <w:noProof w:val="0"/>
          <w:color w:val="auto"/>
          <w:sz w:val="22"/>
          <w:szCs w:val="22"/>
          <w:lang w:val="en-GB"/>
        </w:rPr>
        <w:t>remains</w:t>
      </w:r>
      <w:r w:rsidRPr="5394FC23" w:rsidR="6E58F477">
        <w:rPr>
          <w:rFonts w:ascii="Arial" w:hAnsi="Arial" w:eastAsia="Arial" w:cs="Arial"/>
          <w:noProof w:val="0"/>
          <w:color w:val="auto"/>
          <w:sz w:val="22"/>
          <w:szCs w:val="22"/>
          <w:lang w:val="en-GB"/>
        </w:rPr>
        <w:t xml:space="preserve"> a prominent player in the UK financial landscape, prioritizing customer satisfaction while adapting to the evolving demands of the modern banking industry.</w:t>
      </w:r>
    </w:p>
    <w:p w:rsidR="76306F5E" w:rsidP="5394FC23" w:rsidRDefault="76306F5E" w14:paraId="2A74D89B" w14:textId="66F482D2">
      <w:pPr>
        <w:spacing w:before="0" w:beforeAutospacing="off" w:after="0" w:afterAutospacing="off" w:line="360" w:lineRule="auto"/>
        <w:jc w:val="both"/>
        <w:rPr>
          <w:rFonts w:ascii="Arial" w:hAnsi="Arial" w:eastAsia="Arial" w:cs="Arial"/>
          <w:noProof w:val="0"/>
          <w:color w:val="auto"/>
          <w:sz w:val="22"/>
          <w:szCs w:val="22"/>
          <w:lang w:val="en-GB"/>
        </w:rPr>
      </w:pPr>
    </w:p>
    <w:p w:rsidR="76306F5E" w:rsidP="5394FC23" w:rsidRDefault="76306F5E" w14:paraId="36F467E1" w14:textId="37F96D1D">
      <w:pPr>
        <w:spacing w:before="0" w:beforeAutospacing="off" w:after="0" w:afterAutospacing="off" w:line="360" w:lineRule="auto"/>
        <w:jc w:val="both"/>
        <w:rPr>
          <w:rFonts w:ascii="Arial" w:hAnsi="Arial" w:eastAsia="Arial" w:cs="Arial"/>
          <w:noProof w:val="0"/>
          <w:color w:val="auto"/>
          <w:sz w:val="22"/>
          <w:szCs w:val="22"/>
          <w:lang w:val="en-GB"/>
        </w:rPr>
      </w:pPr>
      <w:r w:rsidRPr="5394FC23" w:rsidR="6E58F477">
        <w:rPr>
          <w:rFonts w:ascii="Arial" w:hAnsi="Arial" w:eastAsia="Arial" w:cs="Arial"/>
          <w:noProof w:val="0"/>
          <w:color w:val="auto"/>
          <w:sz w:val="22"/>
          <w:szCs w:val="22"/>
          <w:lang w:val="en-GB"/>
        </w:rPr>
        <w:t xml:space="preserve">However, the financial sector continues to be marked by volatility, a challenge that was further amplified by the COVID-19 pandemic. The pandemic required banks like Lloyds to adopt new human resources strategies and digital technologies to ensure operational continuity and </w:t>
      </w:r>
      <w:r w:rsidRPr="5394FC23" w:rsidR="6E58F477">
        <w:rPr>
          <w:rFonts w:ascii="Arial" w:hAnsi="Arial" w:eastAsia="Arial" w:cs="Arial"/>
          <w:noProof w:val="0"/>
          <w:color w:val="auto"/>
          <w:sz w:val="22"/>
          <w:szCs w:val="22"/>
          <w:lang w:val="en-GB"/>
        </w:rPr>
        <w:t>maintain</w:t>
      </w:r>
      <w:r w:rsidRPr="5394FC23" w:rsidR="6E58F477">
        <w:rPr>
          <w:rFonts w:ascii="Arial" w:hAnsi="Arial" w:eastAsia="Arial" w:cs="Arial"/>
          <w:noProof w:val="0"/>
          <w:color w:val="auto"/>
          <w:sz w:val="22"/>
          <w:szCs w:val="22"/>
          <w:lang w:val="en-GB"/>
        </w:rPr>
        <w:t xml:space="preserve"> a competitive edge. As </w:t>
      </w:r>
      <w:r w:rsidRPr="5394FC23" w:rsidR="6E58F477">
        <w:rPr>
          <w:rFonts w:ascii="Arial" w:hAnsi="Arial" w:eastAsia="Arial" w:cs="Arial"/>
          <w:noProof w:val="0"/>
          <w:color w:val="auto"/>
          <w:sz w:val="22"/>
          <w:szCs w:val="22"/>
          <w:lang w:val="en-GB"/>
        </w:rPr>
        <w:t>Kpinpuo</w:t>
      </w:r>
      <w:r w:rsidRPr="5394FC23" w:rsidR="6E58F477">
        <w:rPr>
          <w:rFonts w:ascii="Arial" w:hAnsi="Arial" w:eastAsia="Arial" w:cs="Arial"/>
          <w:noProof w:val="0"/>
          <w:color w:val="auto"/>
          <w:sz w:val="22"/>
          <w:szCs w:val="22"/>
          <w:lang w:val="en-GB"/>
        </w:rPr>
        <w:t xml:space="preserve">, </w:t>
      </w:r>
      <w:r w:rsidRPr="5394FC23" w:rsidR="6E58F477">
        <w:rPr>
          <w:rFonts w:ascii="Arial" w:hAnsi="Arial" w:eastAsia="Arial" w:cs="Arial"/>
          <w:noProof w:val="0"/>
          <w:color w:val="auto"/>
          <w:sz w:val="22"/>
          <w:szCs w:val="22"/>
          <w:lang w:val="en-GB"/>
        </w:rPr>
        <w:t>Akolgo</w:t>
      </w:r>
      <w:r w:rsidRPr="5394FC23" w:rsidR="6E58F477">
        <w:rPr>
          <w:rFonts w:ascii="Arial" w:hAnsi="Arial" w:eastAsia="Arial" w:cs="Arial"/>
          <w:noProof w:val="0"/>
          <w:color w:val="auto"/>
          <w:sz w:val="22"/>
          <w:szCs w:val="22"/>
          <w:lang w:val="en-GB"/>
        </w:rPr>
        <w:t>, and Naimi (2023) suggest, employee commitment is crucial for implementing successful change initiatives, which have included COVID-19 safety protocols, enhanced ATM services, expanded digital banking options, and improvements to HR systems. Innovations in management practices have become essential for banks to meet these demands and remain resilient in a constantly changing environment.</w:t>
      </w:r>
    </w:p>
    <w:p w:rsidR="76306F5E" w:rsidP="5394FC23" w:rsidRDefault="76306F5E" w14:paraId="02EFDFC5" w14:textId="57BDADF4">
      <w:pPr>
        <w:spacing w:before="0" w:beforeAutospacing="off" w:after="0" w:afterAutospacing="off" w:line="360" w:lineRule="auto"/>
        <w:jc w:val="both"/>
        <w:rPr>
          <w:rFonts w:ascii="Arial" w:hAnsi="Arial" w:eastAsia="Arial" w:cs="Arial"/>
          <w:noProof w:val="0"/>
          <w:color w:val="auto"/>
          <w:sz w:val="22"/>
          <w:szCs w:val="22"/>
          <w:lang w:val="en-GB"/>
        </w:rPr>
      </w:pPr>
    </w:p>
    <w:p w:rsidR="76306F5E" w:rsidP="5394FC23" w:rsidRDefault="76306F5E" w14:paraId="3FDADE6B" w14:textId="0A9D0F4C">
      <w:pPr>
        <w:spacing w:before="0" w:beforeAutospacing="off" w:after="0" w:afterAutospacing="off" w:line="360" w:lineRule="auto"/>
        <w:jc w:val="both"/>
        <w:rPr>
          <w:rFonts w:ascii="Arial" w:hAnsi="Arial" w:eastAsia="Arial" w:cs="Arial"/>
          <w:noProof w:val="0"/>
          <w:color w:val="auto"/>
          <w:sz w:val="22"/>
          <w:szCs w:val="22"/>
          <w:lang w:val="en-GB"/>
        </w:rPr>
      </w:pPr>
      <w:r w:rsidRPr="5394FC23" w:rsidR="6E58F477">
        <w:rPr>
          <w:rFonts w:ascii="Arial" w:hAnsi="Arial" w:eastAsia="Arial" w:cs="Arial"/>
          <w:noProof w:val="0"/>
          <w:color w:val="auto"/>
          <w:sz w:val="22"/>
          <w:szCs w:val="22"/>
          <w:lang w:val="en-GB"/>
        </w:rPr>
        <w:t xml:space="preserve">This report will </w:t>
      </w:r>
      <w:r w:rsidRPr="5394FC23" w:rsidR="6E58F477">
        <w:rPr>
          <w:rFonts w:ascii="Arial" w:hAnsi="Arial" w:eastAsia="Arial" w:cs="Arial"/>
          <w:noProof w:val="0"/>
          <w:color w:val="auto"/>
          <w:sz w:val="22"/>
          <w:szCs w:val="22"/>
          <w:lang w:val="en-GB"/>
        </w:rPr>
        <w:t>utilize</w:t>
      </w:r>
      <w:r w:rsidRPr="5394FC23" w:rsidR="6E58F477">
        <w:rPr>
          <w:rFonts w:ascii="Arial" w:hAnsi="Arial" w:eastAsia="Arial" w:cs="Arial"/>
          <w:noProof w:val="0"/>
          <w:color w:val="auto"/>
          <w:sz w:val="22"/>
          <w:szCs w:val="22"/>
          <w:lang w:val="en-GB"/>
        </w:rPr>
        <w:t xml:space="preserve"> Kotter’s 8-step model and Lewin’s 3-step model to assess Lloyds’ change management approach and propose actionable recommendations for improvement. Kotter’s model emphasizes creating urgency, building a guiding coalition, developing a vision, and fostering momentum to implement change successfully. Meanwhile, Lewin’s model, with its unfreezing, changing, and refreezing stages, provides a more flexible approach to enacting change within an organization. Each model offers valuable insights, and comparing their applicability within the context of Lloyds Bank will help </w:t>
      </w:r>
      <w:r w:rsidRPr="5394FC23" w:rsidR="6E58F477">
        <w:rPr>
          <w:rFonts w:ascii="Arial" w:hAnsi="Arial" w:eastAsia="Arial" w:cs="Arial"/>
          <w:noProof w:val="0"/>
          <w:color w:val="auto"/>
          <w:sz w:val="22"/>
          <w:szCs w:val="22"/>
          <w:lang w:val="en-GB"/>
        </w:rPr>
        <w:t>identify</w:t>
      </w:r>
      <w:r w:rsidRPr="5394FC23" w:rsidR="6E58F477">
        <w:rPr>
          <w:rFonts w:ascii="Arial" w:hAnsi="Arial" w:eastAsia="Arial" w:cs="Arial"/>
          <w:noProof w:val="0"/>
          <w:color w:val="auto"/>
          <w:sz w:val="22"/>
          <w:szCs w:val="22"/>
          <w:lang w:val="en-GB"/>
        </w:rPr>
        <w:t xml:space="preserve"> strategies best suited to address the bank’s current challenges.</w:t>
      </w:r>
    </w:p>
    <w:p w:rsidR="76306F5E" w:rsidP="5394FC23" w:rsidRDefault="76306F5E" w14:paraId="1B903DA4" w14:textId="75564500">
      <w:pPr>
        <w:spacing w:before="0" w:beforeAutospacing="off" w:after="0" w:afterAutospacing="off" w:line="360" w:lineRule="auto"/>
        <w:jc w:val="both"/>
        <w:rPr>
          <w:rFonts w:ascii="Arial" w:hAnsi="Arial" w:eastAsia="Arial" w:cs="Arial"/>
          <w:noProof w:val="0"/>
          <w:color w:val="auto"/>
          <w:sz w:val="22"/>
          <w:szCs w:val="22"/>
          <w:lang w:val="en-GB"/>
        </w:rPr>
      </w:pPr>
    </w:p>
    <w:p w:rsidR="76306F5E" w:rsidP="5394FC23" w:rsidRDefault="76306F5E" w14:paraId="4B59074C" w14:textId="7F5E242B">
      <w:pPr>
        <w:spacing w:before="0" w:beforeAutospacing="off" w:after="0" w:afterAutospacing="off" w:line="360" w:lineRule="auto"/>
        <w:jc w:val="both"/>
        <w:rPr>
          <w:rFonts w:ascii="Arial" w:hAnsi="Arial" w:eastAsia="Arial" w:cs="Arial"/>
          <w:noProof w:val="0"/>
          <w:color w:val="auto"/>
          <w:sz w:val="22"/>
          <w:szCs w:val="22"/>
          <w:lang w:val="en-GB"/>
        </w:rPr>
      </w:pPr>
      <w:r w:rsidRPr="5394FC23" w:rsidR="6E58F477">
        <w:rPr>
          <w:rFonts w:ascii="Arial" w:hAnsi="Arial" w:eastAsia="Arial" w:cs="Arial"/>
          <w:noProof w:val="0"/>
          <w:color w:val="auto"/>
          <w:sz w:val="22"/>
          <w:szCs w:val="22"/>
          <w:lang w:val="en-GB"/>
        </w:rPr>
        <w:t xml:space="preserve">By examining Lloyds Bank’s existing change management practices alongside those of JP Morgan Chase, this report </w:t>
      </w:r>
      <w:r w:rsidRPr="5394FC23" w:rsidR="6E58F477">
        <w:rPr>
          <w:rFonts w:ascii="Arial" w:hAnsi="Arial" w:eastAsia="Arial" w:cs="Arial"/>
          <w:noProof w:val="0"/>
          <w:color w:val="auto"/>
          <w:sz w:val="22"/>
          <w:szCs w:val="22"/>
          <w:lang w:val="en-GB"/>
        </w:rPr>
        <w:t>seeks</w:t>
      </w:r>
      <w:r w:rsidRPr="5394FC23" w:rsidR="6E58F477">
        <w:rPr>
          <w:rFonts w:ascii="Arial" w:hAnsi="Arial" w:eastAsia="Arial" w:cs="Arial"/>
          <w:noProof w:val="0"/>
          <w:color w:val="auto"/>
          <w:sz w:val="22"/>
          <w:szCs w:val="22"/>
          <w:lang w:val="en-GB"/>
        </w:rPr>
        <w:t xml:space="preserve"> to provide a well-rounded analysis of how Lloyds can navigate the evolving financial landscape more effectively. With increased competition and technological disruptions challenging traditional banking models, implementing an adaptable and effective change management plan will be critical for Lloyds to enhance its organizational effectiveness, stabilize its share value, and </w:t>
      </w:r>
      <w:r w:rsidRPr="5394FC23" w:rsidR="6E58F477">
        <w:rPr>
          <w:rFonts w:ascii="Arial" w:hAnsi="Arial" w:eastAsia="Arial" w:cs="Arial"/>
          <w:noProof w:val="0"/>
          <w:color w:val="auto"/>
          <w:sz w:val="22"/>
          <w:szCs w:val="22"/>
          <w:lang w:val="en-GB"/>
        </w:rPr>
        <w:t>maintain</w:t>
      </w:r>
      <w:r w:rsidRPr="5394FC23" w:rsidR="6E58F477">
        <w:rPr>
          <w:rFonts w:ascii="Arial" w:hAnsi="Arial" w:eastAsia="Arial" w:cs="Arial"/>
          <w:noProof w:val="0"/>
          <w:color w:val="auto"/>
          <w:sz w:val="22"/>
          <w:szCs w:val="22"/>
          <w:lang w:val="en-GB"/>
        </w:rPr>
        <w:t xml:space="preserve"> its market position as a leading financial institution in the UK</w:t>
      </w:r>
      <w:r w:rsidRPr="5394FC23" w:rsidR="6E58F477">
        <w:rPr>
          <w:rFonts w:ascii="Arial" w:hAnsi="Arial" w:eastAsia="Arial" w:cs="Arial"/>
          <w:noProof w:val="0"/>
          <w:color w:val="auto"/>
          <w:sz w:val="22"/>
          <w:szCs w:val="22"/>
          <w:lang w:val="en-GB"/>
        </w:rPr>
        <w:t>.</w:t>
      </w:r>
    </w:p>
    <w:p w:rsidR="76306F5E" w:rsidP="5394FC23" w:rsidRDefault="76306F5E" w14:paraId="3E1B24EE" w14:textId="49B34631">
      <w:pPr>
        <w:pStyle w:val="Heading1"/>
        <w:spacing w:line="360" w:lineRule="auto"/>
        <w:jc w:val="both"/>
        <w:rPr>
          <w:rFonts w:ascii="Arial" w:hAnsi="Arial" w:eastAsia="Arial" w:cs="Arial"/>
          <w:b w:val="1"/>
          <w:bCs w:val="1"/>
          <w:color w:val="auto"/>
          <w:sz w:val="22"/>
          <w:szCs w:val="22"/>
        </w:rPr>
      </w:pPr>
      <w:bookmarkStart w:name="_Toc2009322862" w:id="558702102"/>
      <w:r w:rsidRPr="5394FC23" w:rsidR="4F9C0DE8">
        <w:rPr>
          <w:rFonts w:ascii="Arial" w:hAnsi="Arial" w:eastAsia="Arial" w:cs="Arial"/>
          <w:b w:val="1"/>
          <w:bCs w:val="1"/>
          <w:color w:val="auto"/>
          <w:sz w:val="22"/>
          <w:szCs w:val="22"/>
        </w:rPr>
        <w:t xml:space="preserve">Analysis of </w:t>
      </w:r>
      <w:r w:rsidRPr="5394FC23" w:rsidR="4F9C0DE8">
        <w:rPr>
          <w:rFonts w:ascii="Arial" w:hAnsi="Arial" w:eastAsia="Arial" w:cs="Arial"/>
          <w:b w:val="1"/>
          <w:bCs w:val="1"/>
          <w:color w:val="auto"/>
          <w:sz w:val="22"/>
          <w:szCs w:val="22"/>
        </w:rPr>
        <w:t>Lloyds</w:t>
      </w:r>
      <w:r w:rsidRPr="5394FC23" w:rsidR="4F9C0DE8">
        <w:rPr>
          <w:rFonts w:ascii="Arial" w:hAnsi="Arial" w:eastAsia="Arial" w:cs="Arial"/>
          <w:b w:val="1"/>
          <w:bCs w:val="1"/>
          <w:color w:val="auto"/>
          <w:sz w:val="22"/>
          <w:szCs w:val="22"/>
        </w:rPr>
        <w:t xml:space="preserve"> bank</w:t>
      </w:r>
      <w:bookmarkEnd w:id="558702102"/>
    </w:p>
    <w:p w:rsidR="76306F5E" w:rsidP="5394FC23" w:rsidRDefault="76306F5E" w14:paraId="397DF338" w14:textId="1A00A183">
      <w:pPr>
        <w:pStyle w:val="Heading2"/>
        <w:spacing w:line="360" w:lineRule="auto"/>
        <w:jc w:val="both"/>
        <w:rPr>
          <w:rFonts w:ascii="Arial" w:hAnsi="Arial" w:eastAsia="Arial" w:cs="Arial"/>
          <w:b w:val="1"/>
          <w:bCs w:val="1"/>
          <w:color w:val="auto"/>
          <w:sz w:val="22"/>
          <w:szCs w:val="22"/>
        </w:rPr>
      </w:pPr>
      <w:bookmarkStart w:name="_Toc219054522" w:id="884165426"/>
      <w:r w:rsidRPr="5394FC23" w:rsidR="6A5DF08B">
        <w:rPr>
          <w:rFonts w:ascii="Arial" w:hAnsi="Arial" w:eastAsia="Arial" w:cs="Arial"/>
          <w:b w:val="1"/>
          <w:bCs w:val="1"/>
          <w:color w:val="auto"/>
          <w:sz w:val="22"/>
          <w:szCs w:val="22"/>
        </w:rPr>
        <w:t>PEST ANALYSIS</w:t>
      </w:r>
      <w:bookmarkEnd w:id="884165426"/>
    </w:p>
    <w:p w:rsidR="76306F5E" w:rsidP="5394FC23" w:rsidRDefault="76306F5E" w14:paraId="12C23745" w14:textId="1CC7E3B4">
      <w:pPr>
        <w:pStyle w:val="Normal"/>
        <w:spacing w:line="360" w:lineRule="auto"/>
        <w:jc w:val="both"/>
        <w:rPr>
          <w:rFonts w:ascii="Arial" w:hAnsi="Arial" w:eastAsia="Arial" w:cs="Arial"/>
          <w:color w:val="auto"/>
          <w:sz w:val="22"/>
          <w:szCs w:val="22"/>
        </w:rPr>
      </w:pPr>
      <w:r w:rsidRPr="5394FC23" w:rsidR="4337AE1B">
        <w:rPr>
          <w:rFonts w:ascii="Arial" w:hAnsi="Arial" w:eastAsia="Arial" w:cs="Arial"/>
          <w:color w:val="auto"/>
          <w:sz w:val="22"/>
          <w:szCs w:val="22"/>
        </w:rPr>
        <w:t xml:space="preserve">To gain a well-rounded, comprehensive understanding of Lloyds Bank, it is crucial to examine its macro-environment in depth. This requires identifying key external factors that, while beyond the bank's direct control, can </w:t>
      </w:r>
      <w:bookmarkStart w:name="_Int_zljxyYZ0" w:id="1389680433"/>
      <w:r w:rsidRPr="5394FC23" w:rsidR="4337AE1B">
        <w:rPr>
          <w:rFonts w:ascii="Arial" w:hAnsi="Arial" w:eastAsia="Arial" w:cs="Arial"/>
          <w:color w:val="auto"/>
          <w:sz w:val="22"/>
          <w:szCs w:val="22"/>
        </w:rPr>
        <w:t>substantially influence</w:t>
      </w:r>
      <w:bookmarkEnd w:id="1389680433"/>
      <w:r w:rsidRPr="5394FC23" w:rsidR="4337AE1B">
        <w:rPr>
          <w:rFonts w:ascii="Arial" w:hAnsi="Arial" w:eastAsia="Arial" w:cs="Arial"/>
          <w:color w:val="auto"/>
          <w:sz w:val="22"/>
          <w:szCs w:val="22"/>
        </w:rPr>
        <w:t xml:space="preserve"> its </w:t>
      </w:r>
      <w:r w:rsidRPr="5394FC23" w:rsidR="4337AE1B">
        <w:rPr>
          <w:rFonts w:ascii="Arial" w:hAnsi="Arial" w:eastAsia="Arial" w:cs="Arial"/>
          <w:color w:val="auto"/>
          <w:sz w:val="22"/>
          <w:szCs w:val="22"/>
        </w:rPr>
        <w:t>operational</w:t>
      </w:r>
      <w:r w:rsidRPr="5394FC23" w:rsidR="4337AE1B">
        <w:rPr>
          <w:rFonts w:ascii="Arial" w:hAnsi="Arial" w:eastAsia="Arial" w:cs="Arial"/>
          <w:color w:val="auto"/>
          <w:sz w:val="22"/>
          <w:szCs w:val="22"/>
        </w:rPr>
        <w:t xml:space="preserve"> and decision-making processes. A PEST analysis—focused on political, economic, social, and technological factors—serves as an ideal framework for evaluating these external conditions and is a widely used approach (Wang and Hou, 2023). Through this analysis, we can obtain valuable insights into the potential challenges and opportunities Lloyds Bank may face.</w:t>
      </w:r>
    </w:p>
    <w:p w:rsidR="76306F5E" w:rsidP="5394FC23" w:rsidRDefault="76306F5E" w14:paraId="79C51E0E" w14:textId="71F0ADEC">
      <w:pPr>
        <w:pStyle w:val="Normal"/>
        <w:spacing w:line="360" w:lineRule="auto"/>
        <w:jc w:val="both"/>
        <w:rPr>
          <w:rFonts w:ascii="Arial" w:hAnsi="Arial" w:eastAsia="Arial" w:cs="Arial"/>
          <w:color w:val="auto"/>
          <w:sz w:val="22"/>
          <w:szCs w:val="22"/>
        </w:rPr>
      </w:pPr>
    </w:p>
    <w:p w:rsidR="76306F5E" w:rsidP="5394FC23" w:rsidRDefault="76306F5E" w14:paraId="4D8DA9A7" w14:textId="3EB5EE30">
      <w:pPr>
        <w:pStyle w:val="Normal"/>
        <w:spacing w:line="360" w:lineRule="auto"/>
        <w:jc w:val="both"/>
        <w:rPr>
          <w:rFonts w:ascii="Arial" w:hAnsi="Arial" w:eastAsia="Arial" w:cs="Arial"/>
          <w:b w:val="0"/>
          <w:bCs w:val="0"/>
          <w:color w:val="auto"/>
          <w:sz w:val="22"/>
          <w:szCs w:val="22"/>
        </w:rPr>
      </w:pPr>
      <w:r w:rsidR="5EA90881">
        <w:drawing>
          <wp:inline wp14:editId="70EADCDB" wp14:anchorId="1FBBDC4C">
            <wp:extent cx="5943600" cy="4114800"/>
            <wp:effectExtent l="0" t="0" r="0" b="0"/>
            <wp:docPr id="910173143" name="" title=""/>
            <wp:cNvGraphicFramePr>
              <a:graphicFrameLocks noChangeAspect="1"/>
            </wp:cNvGraphicFramePr>
            <a:graphic>
              <a:graphicData uri="http://schemas.openxmlformats.org/drawingml/2006/picture">
                <pic:pic>
                  <pic:nvPicPr>
                    <pic:cNvPr id="0" name=""/>
                    <pic:cNvPicPr/>
                  </pic:nvPicPr>
                  <pic:blipFill>
                    <a:blip r:embed="R3089c5676aab4acc">
                      <a:extLst>
                        <a:ext xmlns:a="http://schemas.openxmlformats.org/drawingml/2006/main" uri="{28A0092B-C50C-407E-A947-70E740481C1C}">
                          <a14:useLocalDpi val="0"/>
                        </a:ext>
                      </a:extLst>
                    </a:blip>
                    <a:stretch>
                      <a:fillRect/>
                    </a:stretch>
                  </pic:blipFill>
                  <pic:spPr>
                    <a:xfrm>
                      <a:off x="0" y="0"/>
                      <a:ext cx="5943600" cy="4114800"/>
                    </a:xfrm>
                    <a:prstGeom prst="rect">
                      <a:avLst/>
                    </a:prstGeom>
                  </pic:spPr>
                </pic:pic>
              </a:graphicData>
            </a:graphic>
          </wp:inline>
        </w:drawing>
      </w:r>
      <w:r>
        <w:tab/>
      </w:r>
      <w:r>
        <w:tab/>
      </w:r>
      <w:r>
        <w:tab/>
      </w:r>
      <w:r>
        <w:tab/>
      </w:r>
      <w:r>
        <w:tab/>
      </w:r>
      <w:r>
        <w:tab/>
      </w:r>
      <w:r>
        <w:tab/>
      </w:r>
      <w:r>
        <w:tab/>
      </w:r>
      <w:r>
        <w:tab/>
      </w:r>
      <w:r w:rsidRPr="5394FC23" w:rsidR="391E46DF">
        <w:rPr>
          <w:rFonts w:ascii="Arial" w:hAnsi="Arial" w:eastAsia="Arial" w:cs="Arial"/>
          <w:b w:val="1"/>
          <w:bCs w:val="1"/>
          <w:color w:val="auto"/>
          <w:sz w:val="22"/>
          <w:szCs w:val="22"/>
        </w:rPr>
        <w:t>Table 1</w:t>
      </w:r>
      <w:r w:rsidRPr="5394FC23" w:rsidR="4E91B3B0">
        <w:rPr>
          <w:rFonts w:ascii="Arial" w:hAnsi="Arial" w:eastAsia="Arial" w:cs="Arial"/>
          <w:b w:val="1"/>
          <w:bCs w:val="1"/>
          <w:color w:val="auto"/>
          <w:sz w:val="22"/>
          <w:szCs w:val="22"/>
        </w:rPr>
        <w:t xml:space="preserve"> </w:t>
      </w:r>
      <w:r w:rsidRPr="5394FC23" w:rsidR="31DD7079">
        <w:rPr>
          <w:rFonts w:ascii="Arial" w:hAnsi="Arial" w:eastAsia="Arial" w:cs="Arial"/>
          <w:b w:val="1"/>
          <w:bCs w:val="1"/>
          <w:color w:val="auto"/>
          <w:sz w:val="22"/>
          <w:szCs w:val="22"/>
        </w:rPr>
        <w:t xml:space="preserve">- </w:t>
      </w:r>
      <w:r w:rsidRPr="5394FC23" w:rsidR="31DD7079">
        <w:rPr>
          <w:rFonts w:ascii="Arial" w:hAnsi="Arial" w:eastAsia="Arial" w:cs="Arial"/>
          <w:b w:val="0"/>
          <w:bCs w:val="0"/>
          <w:color w:val="auto"/>
          <w:sz w:val="22"/>
          <w:szCs w:val="22"/>
        </w:rPr>
        <w:t>Source - Author</w:t>
      </w:r>
    </w:p>
    <w:p w:rsidR="76306F5E" w:rsidP="5394FC23" w:rsidRDefault="76306F5E" w14:paraId="45CE4D10" w14:textId="3E717234">
      <w:pPr>
        <w:pStyle w:val="Normal"/>
        <w:spacing w:line="360" w:lineRule="auto"/>
        <w:jc w:val="both"/>
        <w:rPr>
          <w:rFonts w:ascii="Arial" w:hAnsi="Arial" w:eastAsia="Arial" w:cs="Arial"/>
          <w:color w:val="auto"/>
          <w:sz w:val="22"/>
          <w:szCs w:val="22"/>
        </w:rPr>
      </w:pPr>
      <w:bookmarkStart w:name="_Toc562803761" w:id="1170777762"/>
      <w:r w:rsidRPr="5394FC23" w:rsidR="62621876">
        <w:rPr>
          <w:rStyle w:val="Heading2Char"/>
          <w:rFonts w:ascii="Arial" w:hAnsi="Arial" w:eastAsia="Arial" w:cs="Arial"/>
          <w:b w:val="1"/>
          <w:bCs w:val="1"/>
          <w:i w:val="1"/>
          <w:iCs w:val="1"/>
          <w:color w:val="auto"/>
          <w:sz w:val="22"/>
          <w:szCs w:val="22"/>
        </w:rPr>
        <w:t>Political</w:t>
      </w:r>
      <w:r w:rsidRPr="5394FC23" w:rsidR="62621876">
        <w:rPr>
          <w:rStyle w:val="Heading2Char"/>
          <w:rFonts w:ascii="Arial" w:hAnsi="Arial" w:eastAsia="Arial" w:cs="Arial"/>
          <w:b w:val="1"/>
          <w:bCs w:val="1"/>
          <w:i w:val="1"/>
          <w:iCs w:val="1"/>
          <w:color w:val="auto"/>
          <w:sz w:val="22"/>
          <w:szCs w:val="22"/>
        </w:rPr>
        <w:t>;</w:t>
      </w:r>
      <w:bookmarkEnd w:id="1170777762"/>
      <w:r w:rsidRPr="5394FC23" w:rsidR="62621876">
        <w:rPr>
          <w:rFonts w:ascii="Arial" w:hAnsi="Arial" w:eastAsia="Arial" w:cs="Arial"/>
          <w:color w:val="auto"/>
          <w:sz w:val="22"/>
          <w:szCs w:val="22"/>
        </w:rPr>
        <w:t xml:space="preserve"> </w:t>
      </w:r>
      <w:r w:rsidRPr="5394FC23" w:rsidR="4288FC1E">
        <w:rPr>
          <w:rFonts w:ascii="Arial" w:hAnsi="Arial" w:eastAsia="Arial" w:cs="Arial"/>
          <w:color w:val="auto"/>
          <w:sz w:val="22"/>
          <w:szCs w:val="22"/>
        </w:rPr>
        <w:t xml:space="preserve">When examining the political factors </w:t>
      </w:r>
      <w:r w:rsidRPr="5394FC23" w:rsidR="4288FC1E">
        <w:rPr>
          <w:rFonts w:ascii="Arial" w:hAnsi="Arial" w:eastAsia="Arial" w:cs="Arial"/>
          <w:color w:val="auto"/>
          <w:sz w:val="22"/>
          <w:szCs w:val="22"/>
        </w:rPr>
        <w:t>impacting</w:t>
      </w:r>
      <w:r w:rsidRPr="5394FC23" w:rsidR="4288FC1E">
        <w:rPr>
          <w:rFonts w:ascii="Arial" w:hAnsi="Arial" w:eastAsia="Arial" w:cs="Arial"/>
          <w:color w:val="auto"/>
          <w:sz w:val="22"/>
          <w:szCs w:val="22"/>
        </w:rPr>
        <w:t xml:space="preserve"> Lloyds Bank, regulatory requirements and political stability </w:t>
      </w:r>
      <w:r w:rsidRPr="5394FC23" w:rsidR="4288FC1E">
        <w:rPr>
          <w:rFonts w:ascii="Arial" w:hAnsi="Arial" w:eastAsia="Arial" w:cs="Arial"/>
          <w:color w:val="auto"/>
          <w:sz w:val="22"/>
          <w:szCs w:val="22"/>
        </w:rPr>
        <w:t>emerge</w:t>
      </w:r>
      <w:r w:rsidRPr="5394FC23" w:rsidR="4288FC1E">
        <w:rPr>
          <w:rFonts w:ascii="Arial" w:hAnsi="Arial" w:eastAsia="Arial" w:cs="Arial"/>
          <w:color w:val="auto"/>
          <w:sz w:val="22"/>
          <w:szCs w:val="22"/>
        </w:rPr>
        <w:t xml:space="preserve"> as critical concerns for the entire banking sector</w:t>
      </w:r>
      <w:r w:rsidRPr="5394FC23" w:rsidR="65F37BDD">
        <w:rPr>
          <w:rFonts w:ascii="Arial" w:hAnsi="Arial" w:eastAsia="Arial" w:cs="Arial"/>
          <w:color w:val="auto"/>
          <w:sz w:val="22"/>
          <w:szCs w:val="22"/>
        </w:rPr>
        <w:t xml:space="preserve"> (Adem, 2022)</w:t>
      </w:r>
      <w:r w:rsidRPr="5394FC23" w:rsidR="4288FC1E">
        <w:rPr>
          <w:rFonts w:ascii="Arial" w:hAnsi="Arial" w:eastAsia="Arial" w:cs="Arial"/>
          <w:color w:val="auto"/>
          <w:sz w:val="22"/>
          <w:szCs w:val="22"/>
        </w:rPr>
        <w:t xml:space="preserve">. </w:t>
      </w:r>
      <w:r w:rsidRPr="5394FC23" w:rsidR="40469B73">
        <w:rPr>
          <w:rFonts w:ascii="Arial" w:hAnsi="Arial" w:eastAsia="Arial" w:cs="Arial"/>
          <w:color w:val="auto"/>
          <w:sz w:val="22"/>
          <w:szCs w:val="22"/>
        </w:rPr>
        <w:t xml:space="preserve">According to </w:t>
      </w:r>
      <w:r w:rsidRPr="5394FC23" w:rsidR="40469B73">
        <w:rPr>
          <w:rFonts w:ascii="Arial" w:hAnsi="Arial" w:eastAsia="Arial" w:cs="Arial"/>
          <w:color w:val="auto"/>
          <w:sz w:val="22"/>
          <w:szCs w:val="22"/>
        </w:rPr>
        <w:t>Witherden</w:t>
      </w:r>
      <w:r w:rsidRPr="5394FC23" w:rsidR="40469B73">
        <w:rPr>
          <w:rFonts w:ascii="Arial" w:hAnsi="Arial" w:eastAsia="Arial" w:cs="Arial"/>
          <w:color w:val="auto"/>
          <w:sz w:val="22"/>
          <w:szCs w:val="22"/>
        </w:rPr>
        <w:t xml:space="preserve"> and Wilson (2024) </w:t>
      </w:r>
      <w:r w:rsidRPr="5394FC23" w:rsidR="4288FC1E">
        <w:rPr>
          <w:rFonts w:ascii="Arial" w:hAnsi="Arial" w:eastAsia="Arial" w:cs="Arial"/>
          <w:color w:val="auto"/>
          <w:sz w:val="22"/>
          <w:szCs w:val="22"/>
        </w:rPr>
        <w:t xml:space="preserve">Banks must ensure compliance with the Financial Conduct Authority (FCA), which is regulated by the Bank of England. </w:t>
      </w:r>
      <w:r w:rsidRPr="5394FC23" w:rsidR="7BD2CB81">
        <w:rPr>
          <w:rFonts w:ascii="Arial" w:hAnsi="Arial" w:eastAsia="Arial" w:cs="Arial"/>
          <w:color w:val="auto"/>
          <w:sz w:val="22"/>
          <w:szCs w:val="22"/>
        </w:rPr>
        <w:t xml:space="preserve">As noted by </w:t>
      </w:r>
      <w:r w:rsidRPr="5394FC23" w:rsidR="7BD2CB81">
        <w:rPr>
          <w:rFonts w:ascii="Arial" w:hAnsi="Arial" w:eastAsia="Arial" w:cs="Arial"/>
          <w:noProof w:val="0"/>
          <w:sz w:val="22"/>
          <w:szCs w:val="22"/>
          <w:lang w:val="en-GB"/>
        </w:rPr>
        <w:t>Grasselli</w:t>
      </w:r>
      <w:r w:rsidRPr="5394FC23" w:rsidR="7BD2CB81">
        <w:rPr>
          <w:rFonts w:ascii="Arial" w:hAnsi="Arial" w:eastAsia="Arial" w:cs="Arial"/>
          <w:noProof w:val="0"/>
          <w:sz w:val="22"/>
          <w:szCs w:val="22"/>
          <w:lang w:val="en-GB"/>
        </w:rPr>
        <w:t>, (2022)</w:t>
      </w:r>
      <w:r w:rsidRPr="5394FC23" w:rsidR="7BD2CB81">
        <w:rPr>
          <w:rFonts w:ascii="Arial" w:hAnsi="Arial" w:eastAsia="Arial" w:cs="Arial"/>
          <w:color w:val="auto"/>
          <w:sz w:val="22"/>
          <w:szCs w:val="22"/>
        </w:rPr>
        <w:t xml:space="preserve"> </w:t>
      </w:r>
      <w:r w:rsidRPr="5394FC23" w:rsidR="4288FC1E">
        <w:rPr>
          <w:rFonts w:ascii="Arial" w:hAnsi="Arial" w:eastAsia="Arial" w:cs="Arial"/>
          <w:color w:val="auto"/>
          <w:sz w:val="22"/>
          <w:szCs w:val="22"/>
        </w:rPr>
        <w:t xml:space="preserve">The 2008 global budgetary crisis, which nearly caused the collapse of multiple banks in the UK, highlighted the vulnerability of financial institutions to economic instability. In response to these challenges, Lloyds Bank </w:t>
      </w:r>
      <w:r w:rsidRPr="5394FC23" w:rsidR="4288FC1E">
        <w:rPr>
          <w:rFonts w:ascii="Arial" w:hAnsi="Arial" w:eastAsia="Arial" w:cs="Arial"/>
          <w:color w:val="auto"/>
          <w:sz w:val="22"/>
          <w:szCs w:val="22"/>
        </w:rPr>
        <w:t>sought</w:t>
      </w:r>
      <w:r w:rsidRPr="5394FC23" w:rsidR="4288FC1E">
        <w:rPr>
          <w:rFonts w:ascii="Arial" w:hAnsi="Arial" w:eastAsia="Arial" w:cs="Arial"/>
          <w:color w:val="auto"/>
          <w:sz w:val="22"/>
          <w:szCs w:val="22"/>
        </w:rPr>
        <w:t xml:space="preserve"> to mitigate the effects of the crisis by merging with HBOS (Halifax Bank of Scotland), according to information from lloydsbankinggroup.com</w:t>
      </w:r>
      <w:r w:rsidRPr="5394FC23" w:rsidR="629C0978">
        <w:rPr>
          <w:rFonts w:ascii="Arial" w:hAnsi="Arial" w:eastAsia="Arial" w:cs="Arial"/>
          <w:color w:val="auto"/>
          <w:sz w:val="22"/>
          <w:szCs w:val="22"/>
        </w:rPr>
        <w:t xml:space="preserve"> (2009)</w:t>
      </w:r>
      <w:r w:rsidRPr="5394FC23" w:rsidR="4288FC1E">
        <w:rPr>
          <w:rFonts w:ascii="Arial" w:hAnsi="Arial" w:eastAsia="Arial" w:cs="Arial"/>
          <w:color w:val="auto"/>
          <w:sz w:val="22"/>
          <w:szCs w:val="22"/>
        </w:rPr>
        <w:t>.</w:t>
      </w:r>
    </w:p>
    <w:p w:rsidR="76306F5E" w:rsidP="5394FC23" w:rsidRDefault="76306F5E" w14:paraId="034B72CD" w14:textId="6D5B0967">
      <w:pPr>
        <w:pStyle w:val="Normal"/>
        <w:spacing w:line="360" w:lineRule="auto"/>
        <w:jc w:val="both"/>
        <w:rPr>
          <w:rFonts w:ascii="Arial" w:hAnsi="Arial" w:eastAsia="Arial" w:cs="Arial"/>
          <w:color w:val="auto"/>
          <w:sz w:val="22"/>
          <w:szCs w:val="22"/>
        </w:rPr>
      </w:pPr>
      <w:r w:rsidRPr="5394FC23" w:rsidR="4288FC1E">
        <w:rPr>
          <w:rFonts w:ascii="Arial" w:hAnsi="Arial" w:eastAsia="Arial" w:cs="Arial"/>
          <w:color w:val="auto"/>
          <w:sz w:val="22"/>
          <w:szCs w:val="22"/>
        </w:rPr>
        <w:t xml:space="preserve">Despite this merger, Lloyds Bank required </w:t>
      </w:r>
      <w:r w:rsidRPr="5394FC23" w:rsidR="4288FC1E">
        <w:rPr>
          <w:rFonts w:ascii="Arial" w:hAnsi="Arial" w:eastAsia="Arial" w:cs="Arial"/>
          <w:color w:val="auto"/>
          <w:sz w:val="22"/>
          <w:szCs w:val="22"/>
        </w:rPr>
        <w:t>additional</w:t>
      </w:r>
      <w:r w:rsidRPr="5394FC23" w:rsidR="4288FC1E">
        <w:rPr>
          <w:rFonts w:ascii="Arial" w:hAnsi="Arial" w:eastAsia="Arial" w:cs="Arial"/>
          <w:color w:val="auto"/>
          <w:sz w:val="22"/>
          <w:szCs w:val="22"/>
        </w:rPr>
        <w:t xml:space="preserve"> support to avoid closure. According to GOV.UK, the UK government intervened in 2009 with a £20.3 billion investment in Lloyds Bank, securing a 43% stake in the organization. However, Lloyds became the first UK bank to repay its bailout, successfully transferring the government’s holdings by 2017, as reported by both GOV.UK and insider.co.uk</w:t>
      </w:r>
      <w:r w:rsidRPr="5394FC23" w:rsidR="42FCD75A">
        <w:rPr>
          <w:rFonts w:ascii="Arial" w:hAnsi="Arial" w:eastAsia="Arial" w:cs="Arial"/>
          <w:color w:val="auto"/>
          <w:sz w:val="22"/>
          <w:szCs w:val="22"/>
        </w:rPr>
        <w:t xml:space="preserve"> (2017)</w:t>
      </w:r>
      <w:r w:rsidRPr="5394FC23" w:rsidR="4288FC1E">
        <w:rPr>
          <w:rFonts w:ascii="Arial" w:hAnsi="Arial" w:eastAsia="Arial" w:cs="Arial"/>
          <w:color w:val="auto"/>
          <w:sz w:val="22"/>
          <w:szCs w:val="22"/>
        </w:rPr>
        <w:t>.</w:t>
      </w:r>
    </w:p>
    <w:p w:rsidR="76306F5E" w:rsidP="5394FC23" w:rsidRDefault="76306F5E" w14:paraId="2CE36777" w14:textId="3E983E10">
      <w:pPr>
        <w:pStyle w:val="Normal"/>
        <w:spacing w:line="360" w:lineRule="auto"/>
        <w:jc w:val="both"/>
        <w:rPr>
          <w:rFonts w:ascii="Arial" w:hAnsi="Arial" w:eastAsia="Arial" w:cs="Arial"/>
          <w:color w:val="auto"/>
          <w:sz w:val="22"/>
          <w:szCs w:val="22"/>
        </w:rPr>
      </w:pPr>
      <w:r w:rsidRPr="5394FC23" w:rsidR="4288FC1E">
        <w:rPr>
          <w:rFonts w:ascii="Arial" w:hAnsi="Arial" w:eastAsia="Arial" w:cs="Arial"/>
          <w:color w:val="auto"/>
          <w:sz w:val="22"/>
          <w:szCs w:val="22"/>
        </w:rPr>
        <w:t xml:space="preserve">Following this recovery, Lloyds Bank faced </w:t>
      </w:r>
      <w:r w:rsidRPr="5394FC23" w:rsidR="4288FC1E">
        <w:rPr>
          <w:rFonts w:ascii="Arial" w:hAnsi="Arial" w:eastAsia="Arial" w:cs="Arial"/>
          <w:color w:val="auto"/>
          <w:sz w:val="22"/>
          <w:szCs w:val="22"/>
        </w:rPr>
        <w:t>additional</w:t>
      </w:r>
      <w:r w:rsidRPr="5394FC23" w:rsidR="4288FC1E">
        <w:rPr>
          <w:rFonts w:ascii="Arial" w:hAnsi="Arial" w:eastAsia="Arial" w:cs="Arial"/>
          <w:color w:val="auto"/>
          <w:sz w:val="22"/>
          <w:szCs w:val="22"/>
        </w:rPr>
        <w:t xml:space="preserve"> setbacks, notably the mis-selling of Payment Protection Insurance (PPI). This issue, as reported by insider.co.uk, resulted in costs exceeding £17 billion by 2017, further </w:t>
      </w:r>
      <w:r w:rsidRPr="5394FC23" w:rsidR="4288FC1E">
        <w:rPr>
          <w:rFonts w:ascii="Arial" w:hAnsi="Arial" w:eastAsia="Arial" w:cs="Arial"/>
          <w:color w:val="auto"/>
          <w:sz w:val="22"/>
          <w:szCs w:val="22"/>
        </w:rPr>
        <w:t>impacting</w:t>
      </w:r>
      <w:r w:rsidRPr="5394FC23" w:rsidR="4288FC1E">
        <w:rPr>
          <w:rFonts w:ascii="Arial" w:hAnsi="Arial" w:eastAsia="Arial" w:cs="Arial"/>
          <w:color w:val="auto"/>
          <w:sz w:val="22"/>
          <w:szCs w:val="22"/>
        </w:rPr>
        <w:t xml:space="preserve"> the bank's financial stability and reputation.</w:t>
      </w:r>
    </w:p>
    <w:p w:rsidR="76306F5E" w:rsidP="5394FC23" w:rsidRDefault="76306F5E" w14:paraId="5DCD6669" w14:textId="6891C007">
      <w:pPr>
        <w:pStyle w:val="Normal"/>
        <w:suppressLineNumbers w:val="0"/>
        <w:bidi w:val="0"/>
        <w:spacing w:before="0" w:beforeAutospacing="off" w:after="160" w:afterAutospacing="off" w:line="360" w:lineRule="auto"/>
        <w:ind w:left="0" w:right="0"/>
        <w:jc w:val="both"/>
        <w:rPr>
          <w:rFonts w:ascii="Arial" w:hAnsi="Arial" w:eastAsia="Arial" w:cs="Arial"/>
          <w:color w:val="auto"/>
          <w:sz w:val="22"/>
          <w:szCs w:val="22"/>
        </w:rPr>
      </w:pPr>
      <w:bookmarkStart w:name="_Toc1559104881" w:id="203435306"/>
      <w:r w:rsidRPr="5394FC23" w:rsidR="0E7733AB">
        <w:rPr>
          <w:rStyle w:val="Heading2Char"/>
          <w:rFonts w:ascii="Arial" w:hAnsi="Arial" w:eastAsia="Arial" w:cs="Arial"/>
          <w:b w:val="1"/>
          <w:bCs w:val="1"/>
          <w:i w:val="1"/>
          <w:iCs w:val="1"/>
          <w:color w:val="auto"/>
          <w:sz w:val="22"/>
          <w:szCs w:val="22"/>
        </w:rPr>
        <w:t>Economical;</w:t>
      </w:r>
      <w:bookmarkEnd w:id="203435306"/>
      <w:r w:rsidRPr="5394FC23" w:rsidR="0E7733AB">
        <w:rPr>
          <w:rFonts w:ascii="Arial" w:hAnsi="Arial" w:eastAsia="Arial" w:cs="Arial"/>
          <w:color w:val="auto"/>
          <w:sz w:val="22"/>
          <w:szCs w:val="22"/>
        </w:rPr>
        <w:t xml:space="preserve"> </w:t>
      </w:r>
      <w:r w:rsidRPr="5394FC23" w:rsidR="29A853A0">
        <w:rPr>
          <w:rFonts w:ascii="Arial" w:hAnsi="Arial" w:eastAsia="Arial" w:cs="Arial"/>
          <w:color w:val="auto"/>
          <w:sz w:val="22"/>
          <w:szCs w:val="22"/>
        </w:rPr>
        <w:t xml:space="preserve">The economic climate heavily influences the operations of Lloyds Bank, with fluctuations in interest rates directly </w:t>
      </w:r>
      <w:r w:rsidRPr="5394FC23" w:rsidR="29A853A0">
        <w:rPr>
          <w:rFonts w:ascii="Arial" w:hAnsi="Arial" w:eastAsia="Arial" w:cs="Arial"/>
          <w:color w:val="auto"/>
          <w:sz w:val="22"/>
          <w:szCs w:val="22"/>
        </w:rPr>
        <w:t>impacting</w:t>
      </w:r>
      <w:r w:rsidRPr="5394FC23" w:rsidR="29A853A0">
        <w:rPr>
          <w:rFonts w:ascii="Arial" w:hAnsi="Arial" w:eastAsia="Arial" w:cs="Arial"/>
          <w:color w:val="auto"/>
          <w:sz w:val="22"/>
          <w:szCs w:val="22"/>
        </w:rPr>
        <w:t xml:space="preserve"> the organi</w:t>
      </w:r>
      <w:r w:rsidRPr="5394FC23" w:rsidR="69DE83B0">
        <w:rPr>
          <w:rFonts w:ascii="Arial" w:hAnsi="Arial" w:eastAsia="Arial" w:cs="Arial"/>
          <w:color w:val="auto"/>
          <w:sz w:val="22"/>
          <w:szCs w:val="22"/>
        </w:rPr>
        <w:t>s</w:t>
      </w:r>
      <w:r w:rsidRPr="5394FC23" w:rsidR="29A853A0">
        <w:rPr>
          <w:rFonts w:ascii="Arial" w:hAnsi="Arial" w:eastAsia="Arial" w:cs="Arial"/>
          <w:color w:val="auto"/>
          <w:sz w:val="22"/>
          <w:szCs w:val="22"/>
        </w:rPr>
        <w:t>ation’s profitability</w:t>
      </w:r>
      <w:r w:rsidRPr="5394FC23" w:rsidR="02859798">
        <w:rPr>
          <w:rFonts w:ascii="Arial" w:hAnsi="Arial" w:eastAsia="Arial" w:cs="Arial"/>
          <w:color w:val="auto"/>
          <w:sz w:val="22"/>
          <w:szCs w:val="22"/>
        </w:rPr>
        <w:t xml:space="preserve"> (Adem, 2022)</w:t>
      </w:r>
      <w:r w:rsidRPr="5394FC23" w:rsidR="29A853A0">
        <w:rPr>
          <w:rFonts w:ascii="Arial" w:hAnsi="Arial" w:eastAsia="Arial" w:cs="Arial"/>
          <w:color w:val="auto"/>
          <w:sz w:val="22"/>
          <w:szCs w:val="22"/>
        </w:rPr>
        <w:t>. In recent years, the UK has faced considerable economic challenges, particularly with the cost-of-living crisis, which has significantly altered customer spending and borrowing behaviours</w:t>
      </w:r>
      <w:r w:rsidRPr="5394FC23" w:rsidR="12D2E42F">
        <w:rPr>
          <w:rFonts w:ascii="Arial" w:hAnsi="Arial" w:eastAsia="Arial" w:cs="Arial"/>
          <w:color w:val="auto"/>
          <w:sz w:val="22"/>
          <w:szCs w:val="22"/>
        </w:rPr>
        <w:t xml:space="preserve"> (Hick and Collins 2024)</w:t>
      </w:r>
      <w:r w:rsidRPr="5394FC23" w:rsidR="29A853A0">
        <w:rPr>
          <w:rFonts w:ascii="Arial" w:hAnsi="Arial" w:eastAsia="Arial" w:cs="Arial"/>
          <w:color w:val="auto"/>
          <w:sz w:val="22"/>
          <w:szCs w:val="22"/>
        </w:rPr>
        <w:t>. This crisis has led to instability in employment for both individuals and businesses, which in turn has shaped the overall operational landscape for Lloyds Bank.</w:t>
      </w:r>
    </w:p>
    <w:p w:rsidR="76306F5E" w:rsidP="5394FC23" w:rsidRDefault="76306F5E" w14:paraId="5D1B6C13" w14:textId="186EAC05">
      <w:pPr>
        <w:pStyle w:val="Normal"/>
        <w:suppressLineNumbers w:val="0"/>
        <w:bidi w:val="0"/>
        <w:spacing w:before="0" w:beforeAutospacing="off" w:after="160" w:afterAutospacing="off" w:line="360" w:lineRule="auto"/>
        <w:ind w:left="0" w:right="0"/>
        <w:jc w:val="both"/>
        <w:rPr>
          <w:rFonts w:ascii="Arial" w:hAnsi="Arial" w:eastAsia="Arial" w:cs="Arial"/>
          <w:color w:val="auto"/>
          <w:sz w:val="22"/>
          <w:szCs w:val="22"/>
        </w:rPr>
      </w:pPr>
      <w:bookmarkStart w:name="_Toc568182242" w:id="1761824394"/>
      <w:r w:rsidRPr="5394FC23" w:rsidR="7A5F4A35">
        <w:rPr>
          <w:rStyle w:val="Heading2Char"/>
          <w:rFonts w:ascii="Arial" w:hAnsi="Arial" w:eastAsia="Arial" w:cs="Arial"/>
          <w:b w:val="1"/>
          <w:bCs w:val="1"/>
          <w:i w:val="1"/>
          <w:iCs w:val="1"/>
          <w:color w:val="auto"/>
          <w:sz w:val="22"/>
          <w:szCs w:val="22"/>
        </w:rPr>
        <w:t>Social;</w:t>
      </w:r>
      <w:bookmarkEnd w:id="1761824394"/>
      <w:r w:rsidRPr="5394FC23" w:rsidR="7A5F4A35">
        <w:rPr>
          <w:rFonts w:ascii="Arial" w:hAnsi="Arial" w:eastAsia="Arial" w:cs="Arial"/>
          <w:color w:val="auto"/>
          <w:sz w:val="22"/>
          <w:szCs w:val="22"/>
        </w:rPr>
        <w:t xml:space="preserve"> </w:t>
      </w:r>
      <w:r w:rsidRPr="5394FC23" w:rsidR="12385216">
        <w:rPr>
          <w:rFonts w:ascii="Arial" w:hAnsi="Arial" w:eastAsia="Arial" w:cs="Arial"/>
          <w:color w:val="auto"/>
          <w:sz w:val="22"/>
          <w:szCs w:val="22"/>
        </w:rPr>
        <w:t xml:space="preserve">When examining the social aspect, the rapid growth of digital banking has significantly reshaped customer expectations, with technological advancements now crucial to Lloyds Bank’s operations and customer engagement strategies. </w:t>
      </w:r>
      <w:r w:rsidRPr="5394FC23" w:rsidR="3FB4D816">
        <w:rPr>
          <w:rFonts w:ascii="Arial" w:hAnsi="Arial" w:eastAsia="Arial" w:cs="Arial"/>
          <w:color w:val="auto"/>
          <w:sz w:val="22"/>
          <w:szCs w:val="22"/>
        </w:rPr>
        <w:t xml:space="preserve">As noted by </w:t>
      </w:r>
      <w:r w:rsidRPr="5394FC23" w:rsidR="3FB4D816">
        <w:rPr>
          <w:rFonts w:ascii="Arial" w:hAnsi="Arial" w:eastAsia="Arial" w:cs="Arial"/>
          <w:noProof w:val="0"/>
          <w:sz w:val="22"/>
          <w:szCs w:val="22"/>
          <w:lang w:val="en-GB"/>
        </w:rPr>
        <w:t xml:space="preserve">Martínez-Caro, Cegarra-Navarro, and Alfonso-Ruiz, (2020) the entire world is </w:t>
      </w:r>
      <w:r w:rsidRPr="5394FC23" w:rsidR="3FB4D816">
        <w:rPr>
          <w:rFonts w:ascii="Arial" w:hAnsi="Arial" w:eastAsia="Arial" w:cs="Arial"/>
          <w:noProof w:val="0"/>
          <w:sz w:val="22"/>
          <w:szCs w:val="22"/>
          <w:lang w:val="en-GB"/>
        </w:rPr>
        <w:t>operating</w:t>
      </w:r>
      <w:r w:rsidRPr="5394FC23" w:rsidR="3FB4D816">
        <w:rPr>
          <w:rFonts w:ascii="Arial" w:hAnsi="Arial" w:eastAsia="Arial" w:cs="Arial"/>
          <w:noProof w:val="0"/>
          <w:sz w:val="22"/>
          <w:szCs w:val="22"/>
          <w:lang w:val="en-GB"/>
        </w:rPr>
        <w:t xml:space="preserve"> in</w:t>
      </w:r>
      <w:r w:rsidRPr="5394FC23" w:rsidR="12385216">
        <w:rPr>
          <w:rFonts w:ascii="Arial" w:hAnsi="Arial" w:eastAsia="Arial" w:cs="Arial"/>
          <w:color w:val="auto"/>
          <w:sz w:val="22"/>
          <w:szCs w:val="22"/>
        </w:rPr>
        <w:t xml:space="preserve"> an era where convenience, speed, and personalized services are paramount</w:t>
      </w:r>
      <w:r w:rsidRPr="5394FC23" w:rsidR="43001140">
        <w:rPr>
          <w:rFonts w:ascii="Arial" w:hAnsi="Arial" w:eastAsia="Arial" w:cs="Arial"/>
          <w:color w:val="auto"/>
          <w:sz w:val="22"/>
          <w:szCs w:val="22"/>
        </w:rPr>
        <w:t>.</w:t>
      </w:r>
      <w:r w:rsidRPr="5394FC23" w:rsidR="12385216">
        <w:rPr>
          <w:rFonts w:ascii="Arial" w:hAnsi="Arial" w:eastAsia="Arial" w:cs="Arial"/>
          <w:color w:val="auto"/>
          <w:sz w:val="22"/>
          <w:szCs w:val="22"/>
        </w:rPr>
        <w:t xml:space="preserve"> Lloyds must continually innovate to meet these evolving demands. Beyond just technology, </w:t>
      </w:r>
      <w:r w:rsidRPr="5394FC23" w:rsidR="12385216">
        <w:rPr>
          <w:rFonts w:ascii="Arial" w:hAnsi="Arial" w:eastAsia="Arial" w:cs="Arial"/>
          <w:color w:val="auto"/>
          <w:sz w:val="22"/>
          <w:szCs w:val="22"/>
        </w:rPr>
        <w:t>maintaining</w:t>
      </w:r>
      <w:r w:rsidRPr="5394FC23" w:rsidR="12385216">
        <w:rPr>
          <w:rFonts w:ascii="Arial" w:hAnsi="Arial" w:eastAsia="Arial" w:cs="Arial"/>
          <w:color w:val="auto"/>
          <w:sz w:val="22"/>
          <w:szCs w:val="22"/>
        </w:rPr>
        <w:t xml:space="preserve"> trust</w:t>
      </w:r>
      <w:r w:rsidRPr="5394FC23" w:rsidR="00D7EA72">
        <w:rPr>
          <w:rFonts w:ascii="Arial" w:hAnsi="Arial" w:eastAsia="Arial" w:cs="Arial"/>
          <w:color w:val="auto"/>
          <w:sz w:val="22"/>
          <w:szCs w:val="22"/>
        </w:rPr>
        <w:t xml:space="preserve"> with their customers</w:t>
      </w:r>
      <w:r w:rsidRPr="5394FC23" w:rsidR="12385216">
        <w:rPr>
          <w:rFonts w:ascii="Arial" w:hAnsi="Arial" w:eastAsia="Arial" w:cs="Arial"/>
          <w:color w:val="auto"/>
          <w:sz w:val="22"/>
          <w:szCs w:val="22"/>
        </w:rPr>
        <w:t xml:space="preserve"> </w:t>
      </w:r>
      <w:r w:rsidRPr="5394FC23" w:rsidR="12385216">
        <w:rPr>
          <w:rFonts w:ascii="Arial" w:hAnsi="Arial" w:eastAsia="Arial" w:cs="Arial"/>
          <w:color w:val="auto"/>
          <w:sz w:val="22"/>
          <w:szCs w:val="22"/>
        </w:rPr>
        <w:t>remains</w:t>
      </w:r>
      <w:r w:rsidRPr="5394FC23" w:rsidR="12385216">
        <w:rPr>
          <w:rFonts w:ascii="Arial" w:hAnsi="Arial" w:eastAsia="Arial" w:cs="Arial"/>
          <w:color w:val="auto"/>
          <w:sz w:val="22"/>
          <w:szCs w:val="22"/>
        </w:rPr>
        <w:t xml:space="preserve"> a core priority, especially given the lasting </w:t>
      </w:r>
      <w:r w:rsidRPr="5394FC23" w:rsidR="2F8B36AC">
        <w:rPr>
          <w:rFonts w:ascii="Arial" w:hAnsi="Arial" w:eastAsia="Arial" w:cs="Arial"/>
          <w:color w:val="auto"/>
          <w:sz w:val="22"/>
          <w:szCs w:val="22"/>
        </w:rPr>
        <w:t>magnitude</w:t>
      </w:r>
      <w:r w:rsidRPr="5394FC23" w:rsidR="12385216">
        <w:rPr>
          <w:rFonts w:ascii="Arial" w:hAnsi="Arial" w:eastAsia="Arial" w:cs="Arial"/>
          <w:color w:val="auto"/>
          <w:sz w:val="22"/>
          <w:szCs w:val="22"/>
        </w:rPr>
        <w:t xml:space="preserve"> of the 2008 </w:t>
      </w:r>
      <w:r w:rsidRPr="5394FC23" w:rsidR="12385216">
        <w:rPr>
          <w:rFonts w:ascii="Arial" w:hAnsi="Arial" w:eastAsia="Arial" w:cs="Arial"/>
          <w:color w:val="auto"/>
          <w:sz w:val="22"/>
          <w:szCs w:val="22"/>
        </w:rPr>
        <w:t>financial crisis</w:t>
      </w:r>
      <w:r w:rsidRPr="5394FC23" w:rsidR="73932353">
        <w:rPr>
          <w:rFonts w:ascii="Arial" w:hAnsi="Arial" w:eastAsia="Arial" w:cs="Arial"/>
          <w:color w:val="auto"/>
          <w:sz w:val="22"/>
          <w:szCs w:val="22"/>
        </w:rPr>
        <w:t xml:space="preserve"> (</w:t>
      </w:r>
      <w:r w:rsidRPr="5394FC23" w:rsidR="73932353">
        <w:rPr>
          <w:rFonts w:ascii="Arial" w:hAnsi="Arial" w:eastAsia="Arial" w:cs="Arial"/>
          <w:color w:val="auto"/>
          <w:sz w:val="22"/>
          <w:szCs w:val="22"/>
        </w:rPr>
        <w:t>Grasselli</w:t>
      </w:r>
      <w:r w:rsidRPr="5394FC23" w:rsidR="73932353">
        <w:rPr>
          <w:rFonts w:ascii="Arial" w:hAnsi="Arial" w:eastAsia="Arial" w:cs="Arial"/>
          <w:color w:val="auto"/>
          <w:sz w:val="22"/>
          <w:szCs w:val="22"/>
        </w:rPr>
        <w:t>, 2022)</w:t>
      </w:r>
      <w:r w:rsidRPr="5394FC23" w:rsidR="12385216">
        <w:rPr>
          <w:rFonts w:ascii="Arial" w:hAnsi="Arial" w:eastAsia="Arial" w:cs="Arial"/>
          <w:color w:val="auto"/>
          <w:sz w:val="22"/>
          <w:szCs w:val="22"/>
        </w:rPr>
        <w:t>. Strengthening this trust is essential for building long-term customer relationships and repairing past reputational setbacks. Additionally, promoting financial inclusion has become a strategic focus, as Lloyds aims to expand its customer base by making banking accessible to underserved communities.</w:t>
      </w:r>
    </w:p>
    <w:p w:rsidR="76306F5E" w:rsidP="5394FC23" w:rsidRDefault="76306F5E" w14:paraId="60CDA44B" w14:textId="19127300">
      <w:pPr>
        <w:pStyle w:val="Normal"/>
        <w:suppressLineNumbers w:val="0"/>
        <w:bidi w:val="0"/>
        <w:spacing w:before="0" w:beforeAutospacing="off" w:after="160" w:afterAutospacing="off" w:line="360" w:lineRule="auto"/>
        <w:ind w:left="0" w:right="0"/>
        <w:jc w:val="both"/>
        <w:rPr>
          <w:rFonts w:ascii="Arial" w:hAnsi="Arial" w:eastAsia="Arial" w:cs="Arial"/>
          <w:color w:val="auto"/>
          <w:sz w:val="22"/>
          <w:szCs w:val="22"/>
        </w:rPr>
      </w:pPr>
      <w:bookmarkStart w:name="_Toc1132649495" w:id="1058466859"/>
      <w:r w:rsidRPr="5394FC23" w:rsidR="50947BEE">
        <w:rPr>
          <w:rStyle w:val="Heading2Char"/>
          <w:rFonts w:ascii="Arial" w:hAnsi="Arial" w:eastAsia="Arial" w:cs="Arial"/>
          <w:b w:val="1"/>
          <w:bCs w:val="1"/>
          <w:i w:val="1"/>
          <w:iCs w:val="1"/>
          <w:color w:val="auto"/>
          <w:sz w:val="22"/>
          <w:szCs w:val="22"/>
        </w:rPr>
        <w:t>Technological;</w:t>
      </w:r>
      <w:bookmarkEnd w:id="1058466859"/>
      <w:r w:rsidRPr="5394FC23" w:rsidR="50947BEE">
        <w:rPr>
          <w:rFonts w:ascii="Arial" w:hAnsi="Arial" w:eastAsia="Arial" w:cs="Arial"/>
          <w:color w:val="auto"/>
          <w:sz w:val="22"/>
          <w:szCs w:val="22"/>
        </w:rPr>
        <w:t xml:space="preserve"> </w:t>
      </w:r>
      <w:r w:rsidRPr="5394FC23" w:rsidR="7942DA5D">
        <w:rPr>
          <w:rFonts w:ascii="Arial" w:hAnsi="Arial" w:eastAsia="Arial" w:cs="Arial"/>
          <w:color w:val="auto"/>
          <w:sz w:val="22"/>
          <w:szCs w:val="22"/>
        </w:rPr>
        <w:t>The Lloyds Bank annual report</w:t>
      </w:r>
      <w:r w:rsidRPr="5394FC23" w:rsidR="75733D2F">
        <w:rPr>
          <w:rFonts w:ascii="Arial" w:hAnsi="Arial" w:eastAsia="Arial" w:cs="Arial"/>
          <w:color w:val="auto"/>
          <w:sz w:val="22"/>
          <w:szCs w:val="22"/>
        </w:rPr>
        <w:t xml:space="preserve"> (2024)</w:t>
      </w:r>
      <w:r w:rsidRPr="5394FC23" w:rsidR="7942DA5D">
        <w:rPr>
          <w:rFonts w:ascii="Arial" w:hAnsi="Arial" w:eastAsia="Arial" w:cs="Arial"/>
          <w:color w:val="auto"/>
          <w:sz w:val="22"/>
          <w:szCs w:val="22"/>
        </w:rPr>
        <w:t xml:space="preserve"> highlights the critical role of technological factors in its operations. Digital innovation and competition from fintech are central to Lloyds Bank's ongoing efforts to improve its online and mobile banking services</w:t>
      </w:r>
      <w:r w:rsidRPr="5394FC23" w:rsidR="7604D2FE">
        <w:rPr>
          <w:rFonts w:ascii="Arial" w:hAnsi="Arial" w:eastAsia="Arial" w:cs="Arial"/>
          <w:color w:val="auto"/>
          <w:sz w:val="22"/>
          <w:szCs w:val="22"/>
        </w:rPr>
        <w:t xml:space="preserve"> (Fakhira, </w:t>
      </w:r>
      <w:r w:rsidRPr="5394FC23" w:rsidR="7604D2FE">
        <w:rPr>
          <w:rFonts w:ascii="Arial" w:hAnsi="Arial" w:eastAsia="Arial" w:cs="Arial"/>
          <w:sz w:val="22"/>
          <w:szCs w:val="22"/>
        </w:rPr>
        <w:t>Zulbainarni</w:t>
      </w:r>
      <w:r w:rsidRPr="5394FC23" w:rsidR="7604D2FE">
        <w:rPr>
          <w:rFonts w:ascii="Arial" w:hAnsi="Arial" w:eastAsia="Arial" w:cs="Arial"/>
          <w:sz w:val="22"/>
          <w:szCs w:val="22"/>
        </w:rPr>
        <w:t>, and Simanjuntak 2023)</w:t>
      </w:r>
      <w:r w:rsidRPr="5394FC23" w:rsidR="7942DA5D">
        <w:rPr>
          <w:rFonts w:ascii="Arial" w:hAnsi="Arial" w:eastAsia="Arial" w:cs="Arial"/>
          <w:color w:val="auto"/>
          <w:sz w:val="22"/>
          <w:szCs w:val="22"/>
        </w:rPr>
        <w:t>. Ensuring robust cybersecurity and data protection is essential for safeguarding customer information and fostering trust</w:t>
      </w:r>
      <w:r w:rsidRPr="5394FC23" w:rsidR="34397AC5">
        <w:rPr>
          <w:rFonts w:ascii="Arial" w:hAnsi="Arial" w:eastAsia="Arial" w:cs="Arial"/>
          <w:color w:val="auto"/>
          <w:sz w:val="22"/>
          <w:szCs w:val="22"/>
        </w:rPr>
        <w:t xml:space="preserve"> (</w:t>
      </w:r>
      <w:r w:rsidRPr="5394FC23" w:rsidR="34397AC5">
        <w:rPr>
          <w:rFonts w:ascii="Arial" w:hAnsi="Arial" w:eastAsia="Arial" w:cs="Arial"/>
          <w:noProof w:val="0"/>
          <w:sz w:val="22"/>
          <w:szCs w:val="22"/>
          <w:lang w:val="en-GB"/>
        </w:rPr>
        <w:t>Mgiba</w:t>
      </w:r>
      <w:r w:rsidRPr="5394FC23" w:rsidR="34397AC5">
        <w:rPr>
          <w:rFonts w:ascii="Arial" w:hAnsi="Arial" w:eastAsia="Arial" w:cs="Arial"/>
          <w:noProof w:val="0"/>
          <w:sz w:val="22"/>
          <w:szCs w:val="22"/>
          <w:lang w:val="en-GB"/>
        </w:rPr>
        <w:t xml:space="preserve">, and </w:t>
      </w:r>
      <w:r w:rsidRPr="5394FC23" w:rsidR="34397AC5">
        <w:rPr>
          <w:rFonts w:ascii="Arial" w:hAnsi="Arial" w:eastAsia="Arial" w:cs="Arial"/>
          <w:noProof w:val="0"/>
          <w:sz w:val="22"/>
          <w:szCs w:val="22"/>
          <w:lang w:val="en-GB"/>
        </w:rPr>
        <w:t>Mxotwa</w:t>
      </w:r>
      <w:r w:rsidRPr="5394FC23" w:rsidR="34397AC5">
        <w:rPr>
          <w:rFonts w:ascii="Arial" w:hAnsi="Arial" w:eastAsia="Arial" w:cs="Arial"/>
          <w:noProof w:val="0"/>
          <w:sz w:val="22"/>
          <w:szCs w:val="22"/>
          <w:lang w:val="en-GB"/>
        </w:rPr>
        <w:t>,  2024)</w:t>
      </w:r>
      <w:r w:rsidRPr="5394FC23" w:rsidR="7942DA5D">
        <w:rPr>
          <w:rFonts w:ascii="Arial" w:hAnsi="Arial" w:eastAsia="Arial" w:cs="Arial"/>
          <w:color w:val="auto"/>
          <w:sz w:val="22"/>
          <w:szCs w:val="22"/>
        </w:rPr>
        <w:t>. Additionally, integrating artificial intelligence and machine learning has enhanced operational efficiency and improved the customer experience, allowing the bank to offer more responsive and personalized services</w:t>
      </w:r>
      <w:r w:rsidRPr="5394FC23" w:rsidR="21875256">
        <w:rPr>
          <w:rFonts w:ascii="Arial" w:hAnsi="Arial" w:eastAsia="Arial" w:cs="Arial"/>
          <w:color w:val="auto"/>
          <w:sz w:val="22"/>
          <w:szCs w:val="22"/>
        </w:rPr>
        <w:t xml:space="preserve"> (Lloyds Bank annual report 2024)</w:t>
      </w:r>
      <w:r w:rsidRPr="5394FC23" w:rsidR="7942DA5D">
        <w:rPr>
          <w:rFonts w:ascii="Arial" w:hAnsi="Arial" w:eastAsia="Arial" w:cs="Arial"/>
          <w:color w:val="auto"/>
          <w:sz w:val="22"/>
          <w:szCs w:val="22"/>
        </w:rPr>
        <w:t>.</w:t>
      </w:r>
    </w:p>
    <w:p w:rsidR="76306F5E" w:rsidP="5394FC23" w:rsidRDefault="76306F5E" w14:paraId="2D109623" w14:textId="6FB4E8BC">
      <w:pPr>
        <w:pStyle w:val="Heading1"/>
        <w:spacing w:line="360" w:lineRule="auto"/>
        <w:jc w:val="both"/>
        <w:rPr>
          <w:rFonts w:ascii="Arial" w:hAnsi="Arial" w:eastAsia="Arial" w:cs="Arial"/>
          <w:b w:val="1"/>
          <w:bCs w:val="1"/>
          <w:color w:val="auto"/>
          <w:sz w:val="22"/>
          <w:szCs w:val="22"/>
        </w:rPr>
      </w:pPr>
      <w:bookmarkStart w:name="_Toc2122634500" w:id="357223850"/>
      <w:r w:rsidRPr="5394FC23" w:rsidR="5A2C6DFC">
        <w:rPr>
          <w:rFonts w:ascii="Arial" w:hAnsi="Arial" w:eastAsia="Arial" w:cs="Arial"/>
          <w:b w:val="1"/>
          <w:bCs w:val="1"/>
          <w:color w:val="auto"/>
          <w:sz w:val="22"/>
          <w:szCs w:val="22"/>
        </w:rPr>
        <w:t>SWOT ANALYSIS</w:t>
      </w:r>
      <w:bookmarkEnd w:id="357223850"/>
    </w:p>
    <w:p w:rsidR="76306F5E" w:rsidP="5394FC23" w:rsidRDefault="76306F5E" w14:paraId="7F4D2A4B" w14:textId="19C72895">
      <w:pPr>
        <w:pStyle w:val="Normal"/>
        <w:spacing w:line="360" w:lineRule="auto"/>
        <w:jc w:val="both"/>
        <w:rPr>
          <w:rFonts w:ascii="Arial" w:hAnsi="Arial" w:eastAsia="Arial" w:cs="Arial"/>
          <w:color w:val="auto"/>
          <w:sz w:val="22"/>
          <w:szCs w:val="22"/>
        </w:rPr>
      </w:pPr>
      <w:r w:rsidRPr="5394FC23" w:rsidR="0CB4A17C">
        <w:rPr>
          <w:rFonts w:ascii="Arial" w:hAnsi="Arial" w:eastAsia="Arial" w:cs="Arial"/>
          <w:color w:val="auto"/>
          <w:sz w:val="22"/>
          <w:szCs w:val="22"/>
        </w:rPr>
        <w:t xml:space="preserve">To understand Lloyd's Bank, we will use a SWOT analysis to </w:t>
      </w:r>
      <w:r w:rsidRPr="5394FC23" w:rsidR="0CB4A17C">
        <w:rPr>
          <w:rFonts w:ascii="Arial" w:hAnsi="Arial" w:eastAsia="Arial" w:cs="Arial"/>
          <w:color w:val="auto"/>
          <w:sz w:val="22"/>
          <w:szCs w:val="22"/>
        </w:rPr>
        <w:t>identify</w:t>
      </w:r>
      <w:r w:rsidRPr="5394FC23" w:rsidR="0CB4A17C">
        <w:rPr>
          <w:rFonts w:ascii="Arial" w:hAnsi="Arial" w:eastAsia="Arial" w:cs="Arial"/>
          <w:color w:val="auto"/>
          <w:sz w:val="22"/>
          <w:szCs w:val="22"/>
        </w:rPr>
        <w:t xml:space="preserve"> its strengths, weaknesses, opportunities, and threats. This common technique helps assess a company's micro-environment. As </w:t>
      </w:r>
      <w:r w:rsidRPr="5394FC23" w:rsidR="0CB4A17C">
        <w:rPr>
          <w:rFonts w:ascii="Arial" w:hAnsi="Arial" w:eastAsia="Arial" w:cs="Arial"/>
          <w:color w:val="auto"/>
          <w:sz w:val="22"/>
          <w:szCs w:val="22"/>
        </w:rPr>
        <w:t xml:space="preserve">Fakhira, </w:t>
      </w:r>
      <w:r w:rsidRPr="5394FC23" w:rsidR="0CB4A17C">
        <w:rPr>
          <w:rFonts w:ascii="Arial" w:hAnsi="Arial" w:eastAsia="Arial" w:cs="Arial"/>
          <w:color w:val="auto"/>
          <w:sz w:val="22"/>
          <w:szCs w:val="22"/>
        </w:rPr>
        <w:t>Zulbainarni</w:t>
      </w:r>
      <w:r w:rsidRPr="5394FC23" w:rsidR="0CB4A17C">
        <w:rPr>
          <w:rFonts w:ascii="Arial" w:hAnsi="Arial" w:eastAsia="Arial" w:cs="Arial"/>
          <w:color w:val="auto"/>
          <w:sz w:val="22"/>
          <w:szCs w:val="22"/>
        </w:rPr>
        <w:t xml:space="preserve">, and Simanjuntak (2023) note, SWOT analysis helps companies formulate strategic goals to boost organisational productivity and profitability. By examining Lloyd's Bank's recent history, </w:t>
      </w:r>
      <w:r w:rsidRPr="5394FC23" w:rsidR="0646A92D">
        <w:rPr>
          <w:rFonts w:ascii="Arial" w:hAnsi="Arial" w:eastAsia="Arial" w:cs="Arial"/>
          <w:color w:val="auto"/>
          <w:sz w:val="22"/>
          <w:szCs w:val="22"/>
        </w:rPr>
        <w:t>this report will</w:t>
      </w:r>
      <w:r w:rsidRPr="5394FC23" w:rsidR="0CB4A17C">
        <w:rPr>
          <w:rFonts w:ascii="Arial" w:hAnsi="Arial" w:eastAsia="Arial" w:cs="Arial"/>
          <w:color w:val="auto"/>
          <w:sz w:val="22"/>
          <w:szCs w:val="22"/>
        </w:rPr>
        <w:t xml:space="preserve"> explore industry challenges like post-COVID economic uncertainty and digital disruption in UK banking.</w:t>
      </w:r>
    </w:p>
    <w:p w:rsidR="76306F5E" w:rsidP="5394FC23" w:rsidRDefault="76306F5E" w14:paraId="6EC4D097" w14:textId="77323E39">
      <w:pPr>
        <w:pStyle w:val="Normal"/>
        <w:spacing w:line="360" w:lineRule="auto"/>
        <w:jc w:val="both"/>
        <w:rPr>
          <w:rFonts w:ascii="Arial" w:hAnsi="Arial" w:eastAsia="Arial" w:cs="Arial"/>
          <w:b w:val="0"/>
          <w:bCs w:val="0"/>
          <w:color w:val="auto"/>
          <w:sz w:val="22"/>
          <w:szCs w:val="22"/>
        </w:rPr>
      </w:pPr>
      <w:r w:rsidR="5B7F3C9C">
        <w:drawing>
          <wp:inline wp14:editId="25637349" wp14:anchorId="79FC80CC">
            <wp:extent cx="5943600" cy="4438650"/>
            <wp:effectExtent l="0" t="0" r="0" b="0"/>
            <wp:docPr id="1885877362" name="" title=""/>
            <wp:cNvGraphicFramePr>
              <a:graphicFrameLocks noChangeAspect="1"/>
            </wp:cNvGraphicFramePr>
            <a:graphic>
              <a:graphicData uri="http://schemas.openxmlformats.org/drawingml/2006/picture">
                <pic:pic>
                  <pic:nvPicPr>
                    <pic:cNvPr id="0" name=""/>
                    <pic:cNvPicPr/>
                  </pic:nvPicPr>
                  <pic:blipFill>
                    <a:blip r:embed="Rccd098e455ac4460">
                      <a:extLst>
                        <a:ext xmlns:a="http://schemas.openxmlformats.org/drawingml/2006/main" uri="{28A0092B-C50C-407E-A947-70E740481C1C}">
                          <a14:useLocalDpi val="0"/>
                        </a:ext>
                      </a:extLst>
                    </a:blip>
                    <a:stretch>
                      <a:fillRect/>
                    </a:stretch>
                  </pic:blipFill>
                  <pic:spPr>
                    <a:xfrm>
                      <a:off x="0" y="0"/>
                      <a:ext cx="5943600" cy="4438650"/>
                    </a:xfrm>
                    <a:prstGeom prst="rect">
                      <a:avLst/>
                    </a:prstGeom>
                  </pic:spPr>
                </pic:pic>
              </a:graphicData>
            </a:graphic>
          </wp:inline>
        </w:drawing>
      </w:r>
      <w:r>
        <w:tab/>
      </w:r>
      <w:r>
        <w:tab/>
      </w:r>
      <w:r>
        <w:tab/>
      </w:r>
      <w:r>
        <w:tab/>
      </w:r>
      <w:r>
        <w:tab/>
      </w:r>
      <w:r>
        <w:tab/>
      </w:r>
      <w:r>
        <w:tab/>
      </w:r>
      <w:r w:rsidRPr="5394FC23" w:rsidR="18B06107">
        <w:rPr>
          <w:rFonts w:ascii="Arial" w:hAnsi="Arial" w:eastAsia="Arial" w:cs="Arial"/>
          <w:b w:val="1"/>
          <w:bCs w:val="1"/>
          <w:color w:val="auto"/>
          <w:sz w:val="22"/>
          <w:szCs w:val="22"/>
        </w:rPr>
        <w:t>Table 2</w:t>
      </w:r>
      <w:r w:rsidRPr="5394FC23" w:rsidR="18B06107">
        <w:rPr>
          <w:rFonts w:ascii="Arial" w:hAnsi="Arial" w:eastAsia="Arial" w:cs="Arial"/>
          <w:b w:val="0"/>
          <w:bCs w:val="0"/>
          <w:color w:val="auto"/>
          <w:sz w:val="22"/>
          <w:szCs w:val="22"/>
        </w:rPr>
        <w:t>- Source</w:t>
      </w:r>
      <w:r w:rsidRPr="5394FC23" w:rsidR="64FAF00E">
        <w:rPr>
          <w:rFonts w:ascii="Arial" w:hAnsi="Arial" w:eastAsia="Arial" w:cs="Arial"/>
          <w:b w:val="0"/>
          <w:bCs w:val="0"/>
          <w:color w:val="auto"/>
          <w:sz w:val="22"/>
          <w:szCs w:val="22"/>
        </w:rPr>
        <w:t xml:space="preserve"> – </w:t>
      </w:r>
      <w:r w:rsidRPr="5394FC23" w:rsidR="18B06107">
        <w:rPr>
          <w:rFonts w:ascii="Arial" w:hAnsi="Arial" w:eastAsia="Arial" w:cs="Arial"/>
          <w:b w:val="0"/>
          <w:bCs w:val="0"/>
          <w:color w:val="auto"/>
          <w:sz w:val="22"/>
          <w:szCs w:val="22"/>
        </w:rPr>
        <w:t>Author</w:t>
      </w:r>
    </w:p>
    <w:p w:rsidR="31EA5A16" w:rsidP="5394FC23" w:rsidRDefault="31EA5A16" w14:paraId="394DA95E" w14:textId="4D1FF37C">
      <w:pPr>
        <w:pStyle w:val="Normal"/>
        <w:spacing w:line="360" w:lineRule="auto"/>
        <w:jc w:val="both"/>
        <w:rPr>
          <w:rFonts w:ascii="Arial" w:hAnsi="Arial" w:eastAsia="Arial" w:cs="Arial"/>
          <w:b w:val="0"/>
          <w:bCs w:val="0"/>
          <w:color w:val="auto"/>
          <w:sz w:val="22"/>
          <w:szCs w:val="22"/>
        </w:rPr>
      </w:pPr>
      <w:bookmarkStart w:name="_Toc2047698979" w:id="122545105"/>
      <w:r w:rsidRPr="5394FC23" w:rsidR="31EA5A16">
        <w:rPr>
          <w:rStyle w:val="Heading2Char"/>
          <w:rFonts w:ascii="Arial" w:hAnsi="Arial" w:eastAsia="Arial" w:cs="Arial"/>
          <w:b w:val="1"/>
          <w:bCs w:val="1"/>
          <w:i w:val="1"/>
          <w:iCs w:val="1"/>
          <w:color w:val="auto"/>
          <w:sz w:val="22"/>
          <w:szCs w:val="22"/>
        </w:rPr>
        <w:t>Strengths</w:t>
      </w:r>
      <w:r w:rsidRPr="5394FC23" w:rsidR="31EA5A16">
        <w:rPr>
          <w:rStyle w:val="Heading2Char"/>
          <w:rFonts w:ascii="Arial" w:hAnsi="Arial" w:eastAsia="Arial" w:cs="Arial"/>
          <w:b w:val="1"/>
          <w:bCs w:val="1"/>
          <w:i w:val="1"/>
          <w:iCs w:val="1"/>
          <w:color w:val="auto"/>
          <w:sz w:val="22"/>
          <w:szCs w:val="22"/>
        </w:rPr>
        <w:t>;</w:t>
      </w:r>
      <w:bookmarkEnd w:id="122545105"/>
      <w:r w:rsidRPr="5394FC23" w:rsidR="31EA5A16">
        <w:rPr>
          <w:rFonts w:ascii="Arial" w:hAnsi="Arial" w:eastAsia="Arial" w:cs="Arial"/>
          <w:b w:val="0"/>
          <w:bCs w:val="0"/>
          <w:color w:val="auto"/>
          <w:sz w:val="22"/>
          <w:szCs w:val="22"/>
        </w:rPr>
        <w:t xml:space="preserve"> </w:t>
      </w:r>
      <w:r w:rsidRPr="5394FC23" w:rsidR="2BBF3020">
        <w:rPr>
          <w:rFonts w:ascii="Arial" w:hAnsi="Arial" w:eastAsia="Arial" w:cs="Arial"/>
          <w:b w:val="0"/>
          <w:bCs w:val="0"/>
          <w:color w:val="auto"/>
          <w:sz w:val="22"/>
          <w:szCs w:val="22"/>
        </w:rPr>
        <w:t xml:space="preserve">As outlined above, Lloyds Bank </w:t>
      </w:r>
      <w:r w:rsidRPr="5394FC23" w:rsidR="2BBF3020">
        <w:rPr>
          <w:rFonts w:ascii="Arial" w:hAnsi="Arial" w:eastAsia="Arial" w:cs="Arial"/>
          <w:b w:val="0"/>
          <w:bCs w:val="0"/>
          <w:color w:val="auto"/>
          <w:sz w:val="22"/>
          <w:szCs w:val="22"/>
        </w:rPr>
        <w:t>possesses</w:t>
      </w:r>
      <w:r w:rsidRPr="5394FC23" w:rsidR="2BBF3020">
        <w:rPr>
          <w:rFonts w:ascii="Arial" w:hAnsi="Arial" w:eastAsia="Arial" w:cs="Arial"/>
          <w:b w:val="0"/>
          <w:bCs w:val="0"/>
          <w:color w:val="auto"/>
          <w:sz w:val="22"/>
          <w:szCs w:val="22"/>
        </w:rPr>
        <w:t xml:space="preserve"> </w:t>
      </w:r>
      <w:r w:rsidRPr="5394FC23" w:rsidR="2BBF3020">
        <w:rPr>
          <w:rFonts w:ascii="Arial" w:hAnsi="Arial" w:eastAsia="Arial" w:cs="Arial"/>
          <w:b w:val="0"/>
          <w:bCs w:val="0"/>
          <w:color w:val="auto"/>
          <w:sz w:val="22"/>
          <w:szCs w:val="22"/>
        </w:rPr>
        <w:t>numerous</w:t>
      </w:r>
      <w:r w:rsidRPr="5394FC23" w:rsidR="2BBF3020">
        <w:rPr>
          <w:rFonts w:ascii="Arial" w:hAnsi="Arial" w:eastAsia="Arial" w:cs="Arial"/>
          <w:b w:val="0"/>
          <w:bCs w:val="0"/>
          <w:color w:val="auto"/>
          <w:sz w:val="22"/>
          <w:szCs w:val="22"/>
        </w:rPr>
        <w:t xml:space="preserve"> strengths, including a robust customer base of 27 million within the UK</w:t>
      </w:r>
      <w:r w:rsidRPr="5394FC23" w:rsidR="2DA3C09F">
        <w:rPr>
          <w:rFonts w:ascii="Arial" w:hAnsi="Arial" w:eastAsia="Arial" w:cs="Arial"/>
          <w:b w:val="0"/>
          <w:bCs w:val="0"/>
          <w:color w:val="auto"/>
          <w:sz w:val="22"/>
          <w:szCs w:val="22"/>
        </w:rPr>
        <w:t xml:space="preserve"> (Lloyds Bank annual report 2024)</w:t>
      </w:r>
      <w:r w:rsidRPr="5394FC23" w:rsidR="2BBF3020">
        <w:rPr>
          <w:rFonts w:ascii="Arial" w:hAnsi="Arial" w:eastAsia="Arial" w:cs="Arial"/>
          <w:b w:val="0"/>
          <w:bCs w:val="0"/>
          <w:color w:val="auto"/>
          <w:sz w:val="22"/>
          <w:szCs w:val="22"/>
        </w:rPr>
        <w:t xml:space="preserve">. Of these, 19.5 million customers actively use online banking, highlighting Lloyds’ substantial digital presence, as noted by </w:t>
      </w:r>
      <w:r w:rsidRPr="5394FC23" w:rsidR="2BBF3020">
        <w:rPr>
          <w:rFonts w:ascii="Arial" w:hAnsi="Arial" w:eastAsia="Arial" w:cs="Arial"/>
          <w:b w:val="0"/>
          <w:bCs w:val="0"/>
          <w:color w:val="auto"/>
          <w:sz w:val="22"/>
          <w:szCs w:val="22"/>
        </w:rPr>
        <w:t>Witherdon</w:t>
      </w:r>
      <w:r w:rsidRPr="5394FC23" w:rsidR="2BBF3020">
        <w:rPr>
          <w:rFonts w:ascii="Arial" w:hAnsi="Arial" w:eastAsia="Arial" w:cs="Arial"/>
          <w:b w:val="0"/>
          <w:bCs w:val="0"/>
          <w:color w:val="auto"/>
          <w:sz w:val="22"/>
          <w:szCs w:val="22"/>
        </w:rPr>
        <w:t xml:space="preserve"> and Wilson (2024). This strong online engagement </w:t>
      </w:r>
      <w:r w:rsidRPr="5394FC23" w:rsidR="2BBF3020">
        <w:rPr>
          <w:rFonts w:ascii="Arial" w:hAnsi="Arial" w:eastAsia="Arial" w:cs="Arial"/>
          <w:b w:val="0"/>
          <w:bCs w:val="0"/>
          <w:color w:val="auto"/>
          <w:sz w:val="22"/>
          <w:szCs w:val="22"/>
        </w:rPr>
        <w:t>indicates</w:t>
      </w:r>
      <w:r w:rsidRPr="5394FC23" w:rsidR="2BBF3020">
        <w:rPr>
          <w:rFonts w:ascii="Arial" w:hAnsi="Arial" w:eastAsia="Arial" w:cs="Arial"/>
          <w:b w:val="0"/>
          <w:bCs w:val="0"/>
          <w:color w:val="auto"/>
          <w:sz w:val="22"/>
          <w:szCs w:val="22"/>
        </w:rPr>
        <w:t xml:space="preserve"> a well-established infrastructure for digital banking, which is essential in today’s financial landscape. Lloyds also offers a diverse array of financial products tailored to both individuals and businesses, from personal current accounts to business loans and investment services. With an extensive network of physical branches throughout the UK, Lloyds </w:t>
      </w:r>
      <w:r w:rsidRPr="5394FC23" w:rsidR="2BBF3020">
        <w:rPr>
          <w:rFonts w:ascii="Arial" w:hAnsi="Arial" w:eastAsia="Arial" w:cs="Arial"/>
          <w:b w:val="0"/>
          <w:bCs w:val="0"/>
          <w:color w:val="auto"/>
          <w:sz w:val="22"/>
          <w:szCs w:val="22"/>
        </w:rPr>
        <w:t>remains</w:t>
      </w:r>
      <w:r w:rsidRPr="5394FC23" w:rsidR="2BBF3020">
        <w:rPr>
          <w:rFonts w:ascii="Arial" w:hAnsi="Arial" w:eastAsia="Arial" w:cs="Arial"/>
          <w:b w:val="0"/>
          <w:bCs w:val="0"/>
          <w:color w:val="auto"/>
          <w:sz w:val="22"/>
          <w:szCs w:val="22"/>
        </w:rPr>
        <w:t xml:space="preserve"> accessible, combining in-person services with digital solutions to meet varied customer needs.</w:t>
      </w:r>
    </w:p>
    <w:p w:rsidR="7D68CFD4" w:rsidP="5394FC23" w:rsidRDefault="7D68CFD4" w14:paraId="397436D6" w14:textId="4F5E83AC">
      <w:pPr>
        <w:pStyle w:val="Normal"/>
        <w:spacing w:line="360" w:lineRule="auto"/>
        <w:jc w:val="both"/>
        <w:rPr>
          <w:rFonts w:ascii="Arial" w:hAnsi="Arial" w:eastAsia="Arial" w:cs="Arial"/>
          <w:b w:val="0"/>
          <w:bCs w:val="0"/>
          <w:i w:val="0"/>
          <w:iCs w:val="0"/>
          <w:color w:val="auto"/>
          <w:sz w:val="22"/>
          <w:szCs w:val="22"/>
        </w:rPr>
      </w:pPr>
      <w:bookmarkStart w:name="_Toc1873193253" w:id="250093772"/>
      <w:r w:rsidRPr="5394FC23" w:rsidR="7D68CFD4">
        <w:rPr>
          <w:rStyle w:val="Heading2Char"/>
          <w:rFonts w:ascii="Arial" w:hAnsi="Arial" w:eastAsia="Arial" w:cs="Arial"/>
          <w:b w:val="1"/>
          <w:bCs w:val="1"/>
          <w:i w:val="1"/>
          <w:iCs w:val="1"/>
          <w:color w:val="auto"/>
          <w:sz w:val="22"/>
          <w:szCs w:val="22"/>
        </w:rPr>
        <w:t>Weaknesses;</w:t>
      </w:r>
      <w:bookmarkEnd w:id="250093772"/>
      <w:r w:rsidRPr="5394FC23" w:rsidR="7D68CFD4">
        <w:rPr>
          <w:rFonts w:ascii="Arial" w:hAnsi="Arial" w:eastAsia="Arial" w:cs="Arial"/>
          <w:b w:val="1"/>
          <w:bCs w:val="1"/>
          <w:i w:val="1"/>
          <w:iCs w:val="1"/>
          <w:color w:val="auto"/>
          <w:sz w:val="22"/>
          <w:szCs w:val="22"/>
        </w:rPr>
        <w:t xml:space="preserve"> </w:t>
      </w:r>
      <w:r w:rsidRPr="5394FC23" w:rsidR="5D14B2E6">
        <w:rPr>
          <w:rFonts w:ascii="Arial" w:hAnsi="Arial" w:eastAsia="Arial" w:cs="Arial"/>
          <w:b w:val="0"/>
          <w:bCs w:val="0"/>
          <w:i w:val="0"/>
          <w:iCs w:val="0"/>
          <w:color w:val="auto"/>
          <w:sz w:val="22"/>
          <w:szCs w:val="22"/>
        </w:rPr>
        <w:t xml:space="preserve">Although Lloyds Bank has many strengths, it also faces notable weaknesses. Primarily focused on the UK market, </w:t>
      </w:r>
      <w:r w:rsidRPr="5394FC23" w:rsidR="77372D0C">
        <w:rPr>
          <w:rFonts w:ascii="Arial" w:hAnsi="Arial" w:eastAsia="Arial" w:cs="Arial"/>
          <w:b w:val="0"/>
          <w:bCs w:val="0"/>
          <w:i w:val="0"/>
          <w:iCs w:val="0"/>
          <w:color w:val="auto"/>
          <w:sz w:val="22"/>
          <w:szCs w:val="22"/>
        </w:rPr>
        <w:t>Lloyds</w:t>
      </w:r>
      <w:r w:rsidRPr="5394FC23" w:rsidR="5D14B2E6">
        <w:rPr>
          <w:rFonts w:ascii="Arial" w:hAnsi="Arial" w:eastAsia="Arial" w:cs="Arial"/>
          <w:b w:val="0"/>
          <w:bCs w:val="0"/>
          <w:i w:val="0"/>
          <w:iCs w:val="0"/>
          <w:color w:val="auto"/>
          <w:sz w:val="22"/>
          <w:szCs w:val="22"/>
        </w:rPr>
        <w:t xml:space="preserve"> limited geographical reach contrasts sharply with global leaders like Chase Bank, which </w:t>
      </w:r>
      <w:r w:rsidRPr="5394FC23" w:rsidR="5D14B2E6">
        <w:rPr>
          <w:rFonts w:ascii="Arial" w:hAnsi="Arial" w:eastAsia="Arial" w:cs="Arial"/>
          <w:b w:val="0"/>
          <w:bCs w:val="0"/>
          <w:i w:val="0"/>
          <w:iCs w:val="0"/>
          <w:color w:val="auto"/>
          <w:sz w:val="22"/>
          <w:szCs w:val="22"/>
        </w:rPr>
        <w:t>benefit</w:t>
      </w:r>
      <w:r w:rsidRPr="5394FC23" w:rsidR="5D14B2E6">
        <w:rPr>
          <w:rFonts w:ascii="Arial" w:hAnsi="Arial" w:eastAsia="Arial" w:cs="Arial"/>
          <w:b w:val="0"/>
          <w:bCs w:val="0"/>
          <w:i w:val="0"/>
          <w:iCs w:val="0"/>
          <w:color w:val="auto"/>
          <w:sz w:val="22"/>
          <w:szCs w:val="22"/>
        </w:rPr>
        <w:t xml:space="preserve"> from an international presence. Additionally,</w:t>
      </w:r>
      <w:r w:rsidRPr="5394FC23" w:rsidR="574ACF42">
        <w:rPr>
          <w:rFonts w:ascii="Arial" w:hAnsi="Arial" w:eastAsia="Arial" w:cs="Arial"/>
          <w:b w:val="0"/>
          <w:bCs w:val="0"/>
          <w:i w:val="0"/>
          <w:iCs w:val="0"/>
          <w:color w:val="auto"/>
          <w:sz w:val="22"/>
          <w:szCs w:val="22"/>
        </w:rPr>
        <w:t xml:space="preserve"> as noted by </w:t>
      </w:r>
      <w:r w:rsidRPr="5394FC23" w:rsidR="574ACF42">
        <w:rPr>
          <w:rFonts w:ascii="Arial" w:hAnsi="Arial" w:eastAsia="Arial" w:cs="Arial"/>
          <w:b w:val="0"/>
          <w:bCs w:val="0"/>
          <w:i w:val="0"/>
          <w:iCs w:val="0"/>
          <w:caps w:val="0"/>
          <w:smallCaps w:val="0"/>
          <w:noProof w:val="0"/>
          <w:color w:val="000000" w:themeColor="text1" w:themeTint="FF" w:themeShade="FF"/>
          <w:sz w:val="22"/>
          <w:szCs w:val="22"/>
          <w:lang w:val="en-GB"/>
        </w:rPr>
        <w:t>Witherdon</w:t>
      </w:r>
      <w:r w:rsidRPr="5394FC23" w:rsidR="574ACF42">
        <w:rPr>
          <w:rFonts w:ascii="Arial" w:hAnsi="Arial" w:eastAsia="Arial" w:cs="Arial"/>
          <w:b w:val="0"/>
          <w:bCs w:val="0"/>
          <w:i w:val="0"/>
          <w:iCs w:val="0"/>
          <w:caps w:val="0"/>
          <w:smallCaps w:val="0"/>
          <w:noProof w:val="0"/>
          <w:color w:val="000000" w:themeColor="text1" w:themeTint="FF" w:themeShade="FF"/>
          <w:sz w:val="22"/>
          <w:szCs w:val="22"/>
          <w:lang w:val="en-GB"/>
        </w:rPr>
        <w:t>, and Wilson (2024),</w:t>
      </w:r>
      <w:r w:rsidRPr="5394FC23" w:rsidR="5D14B2E6">
        <w:rPr>
          <w:rFonts w:ascii="Arial" w:hAnsi="Arial" w:eastAsia="Arial" w:cs="Arial"/>
          <w:b w:val="0"/>
          <w:bCs w:val="0"/>
          <w:i w:val="0"/>
          <w:iCs w:val="0"/>
          <w:color w:val="auto"/>
          <w:sz w:val="22"/>
          <w:szCs w:val="22"/>
        </w:rPr>
        <w:t xml:space="preserve"> Lloyds has closed </w:t>
      </w:r>
      <w:r w:rsidRPr="5394FC23" w:rsidR="5D14B2E6">
        <w:rPr>
          <w:rFonts w:ascii="Arial" w:hAnsi="Arial" w:eastAsia="Arial" w:cs="Arial"/>
          <w:b w:val="0"/>
          <w:bCs w:val="0"/>
          <w:i w:val="0"/>
          <w:iCs w:val="0"/>
          <w:color w:val="auto"/>
          <w:sz w:val="22"/>
          <w:szCs w:val="22"/>
        </w:rPr>
        <w:t>numerous</w:t>
      </w:r>
      <w:r w:rsidRPr="5394FC23" w:rsidR="5D14B2E6">
        <w:rPr>
          <w:rFonts w:ascii="Arial" w:hAnsi="Arial" w:eastAsia="Arial" w:cs="Arial"/>
          <w:b w:val="0"/>
          <w:bCs w:val="0"/>
          <w:i w:val="0"/>
          <w:iCs w:val="0"/>
          <w:color w:val="auto"/>
          <w:sz w:val="22"/>
          <w:szCs w:val="22"/>
        </w:rPr>
        <w:t xml:space="preserve"> branches, with</w:t>
      </w:r>
      <w:r w:rsidRPr="5394FC23" w:rsidR="21CE6496">
        <w:rPr>
          <w:rFonts w:ascii="Arial" w:hAnsi="Arial" w:eastAsia="Arial" w:cs="Arial"/>
          <w:b w:val="0"/>
          <w:bCs w:val="0"/>
          <w:i w:val="0"/>
          <w:iCs w:val="0"/>
          <w:color w:val="auto"/>
          <w:sz w:val="22"/>
          <w:szCs w:val="22"/>
        </w:rPr>
        <w:t xml:space="preserve"> up to 190</w:t>
      </w:r>
      <w:r w:rsidRPr="5394FC23" w:rsidR="5D14B2E6">
        <w:rPr>
          <w:rFonts w:ascii="Arial" w:hAnsi="Arial" w:eastAsia="Arial" w:cs="Arial"/>
          <w:b w:val="0"/>
          <w:bCs w:val="0"/>
          <w:i w:val="0"/>
          <w:iCs w:val="0"/>
          <w:color w:val="auto"/>
          <w:sz w:val="22"/>
          <w:szCs w:val="22"/>
        </w:rPr>
        <w:t xml:space="preserve"> more closures </w:t>
      </w:r>
      <w:r w:rsidRPr="5394FC23" w:rsidR="5D14B2E6">
        <w:rPr>
          <w:rFonts w:ascii="Arial" w:hAnsi="Arial" w:eastAsia="Arial" w:cs="Arial"/>
          <w:b w:val="0"/>
          <w:bCs w:val="0"/>
          <w:i w:val="0"/>
          <w:iCs w:val="0"/>
          <w:color w:val="auto"/>
          <w:sz w:val="22"/>
          <w:szCs w:val="22"/>
        </w:rPr>
        <w:t>anticipated</w:t>
      </w:r>
      <w:r w:rsidRPr="5394FC23" w:rsidR="5D14B2E6">
        <w:rPr>
          <w:rFonts w:ascii="Arial" w:hAnsi="Arial" w:eastAsia="Arial" w:cs="Arial"/>
          <w:b w:val="0"/>
          <w:bCs w:val="0"/>
          <w:i w:val="0"/>
          <w:iCs w:val="0"/>
          <w:color w:val="auto"/>
          <w:sz w:val="22"/>
          <w:szCs w:val="22"/>
        </w:rPr>
        <w:t xml:space="preserve"> in </w:t>
      </w:r>
      <w:r w:rsidRPr="5394FC23" w:rsidR="1839C989">
        <w:rPr>
          <w:rFonts w:ascii="Arial" w:hAnsi="Arial" w:eastAsia="Arial" w:cs="Arial"/>
          <w:b w:val="0"/>
          <w:bCs w:val="0"/>
          <w:i w:val="0"/>
          <w:iCs w:val="0"/>
          <w:color w:val="auto"/>
          <w:sz w:val="22"/>
          <w:szCs w:val="22"/>
        </w:rPr>
        <w:t>2024-</w:t>
      </w:r>
      <w:r w:rsidRPr="5394FC23" w:rsidR="5D14B2E6">
        <w:rPr>
          <w:rFonts w:ascii="Arial" w:hAnsi="Arial" w:eastAsia="Arial" w:cs="Arial"/>
          <w:b w:val="0"/>
          <w:bCs w:val="0"/>
          <w:i w:val="0"/>
          <w:iCs w:val="0"/>
          <w:color w:val="auto"/>
          <w:sz w:val="22"/>
          <w:szCs w:val="22"/>
        </w:rPr>
        <w:t>2025</w:t>
      </w:r>
      <w:r w:rsidRPr="5394FC23" w:rsidR="5D14B2E6">
        <w:rPr>
          <w:rFonts w:ascii="Arial" w:hAnsi="Arial" w:eastAsia="Arial" w:cs="Arial"/>
          <w:b w:val="0"/>
          <w:bCs w:val="0"/>
          <w:i w:val="0"/>
          <w:iCs w:val="0"/>
          <w:color w:val="auto"/>
          <w:sz w:val="22"/>
          <w:szCs w:val="22"/>
        </w:rPr>
        <w:t xml:space="preserve">. This reduction may disadvantage customers who rely on in-person services and are less comfortable with digital banking. As highlighted in the PEST analysis, </w:t>
      </w:r>
      <w:r w:rsidRPr="5394FC23" w:rsidR="19CCBA2F">
        <w:rPr>
          <w:rFonts w:ascii="Arial" w:hAnsi="Arial" w:eastAsia="Arial" w:cs="Arial"/>
          <w:b w:val="0"/>
          <w:bCs w:val="0"/>
          <w:i w:val="0"/>
          <w:iCs w:val="0"/>
          <w:color w:val="auto"/>
          <w:sz w:val="22"/>
          <w:szCs w:val="22"/>
        </w:rPr>
        <w:t xml:space="preserve">and in research conducted by </w:t>
      </w:r>
      <w:r w:rsidRPr="5394FC23" w:rsidR="19CCBA2F">
        <w:rPr>
          <w:rFonts w:ascii="Arial" w:hAnsi="Arial" w:eastAsia="Arial" w:cs="Arial"/>
          <w:b w:val="0"/>
          <w:bCs w:val="0"/>
          <w:i w:val="0"/>
          <w:iCs w:val="0"/>
          <w:color w:val="auto"/>
          <w:sz w:val="22"/>
          <w:szCs w:val="22"/>
        </w:rPr>
        <w:t>Grasselli</w:t>
      </w:r>
      <w:r w:rsidRPr="5394FC23" w:rsidR="19CCBA2F">
        <w:rPr>
          <w:rFonts w:ascii="Arial" w:hAnsi="Arial" w:eastAsia="Arial" w:cs="Arial"/>
          <w:b w:val="0"/>
          <w:bCs w:val="0"/>
          <w:i w:val="0"/>
          <w:iCs w:val="0"/>
          <w:color w:val="auto"/>
          <w:sz w:val="22"/>
          <w:szCs w:val="22"/>
        </w:rPr>
        <w:t xml:space="preserve"> (2022) </w:t>
      </w:r>
      <w:r w:rsidRPr="5394FC23" w:rsidR="5D14B2E6">
        <w:rPr>
          <w:rFonts w:ascii="Arial" w:hAnsi="Arial" w:eastAsia="Arial" w:cs="Arial"/>
          <w:b w:val="0"/>
          <w:bCs w:val="0"/>
          <w:i w:val="0"/>
          <w:iCs w:val="0"/>
          <w:color w:val="auto"/>
          <w:sz w:val="22"/>
          <w:szCs w:val="22"/>
        </w:rPr>
        <w:t xml:space="preserve">Lloyds is also susceptible to economic downturns. However, one of its most costly weaknesses is its dependence on legacy IT systems, which are increasingly expensive to </w:t>
      </w:r>
      <w:r w:rsidRPr="5394FC23" w:rsidR="5D14B2E6">
        <w:rPr>
          <w:rFonts w:ascii="Arial" w:hAnsi="Arial" w:eastAsia="Arial" w:cs="Arial"/>
          <w:b w:val="0"/>
          <w:bCs w:val="0"/>
          <w:i w:val="0"/>
          <w:iCs w:val="0"/>
          <w:color w:val="auto"/>
          <w:sz w:val="22"/>
          <w:szCs w:val="22"/>
        </w:rPr>
        <w:t>maintain</w:t>
      </w:r>
      <w:r w:rsidRPr="5394FC23" w:rsidR="5D14B2E6">
        <w:rPr>
          <w:rFonts w:ascii="Arial" w:hAnsi="Arial" w:eastAsia="Arial" w:cs="Arial"/>
          <w:b w:val="0"/>
          <w:bCs w:val="0"/>
          <w:i w:val="0"/>
          <w:iCs w:val="0"/>
          <w:color w:val="auto"/>
          <w:sz w:val="22"/>
          <w:szCs w:val="22"/>
        </w:rPr>
        <w:t xml:space="preserve"> and challenging to upgrade</w:t>
      </w:r>
      <w:r w:rsidRPr="5394FC23" w:rsidR="5195B71B">
        <w:rPr>
          <w:rFonts w:ascii="Arial" w:hAnsi="Arial" w:eastAsia="Arial" w:cs="Arial"/>
          <w:b w:val="0"/>
          <w:bCs w:val="0"/>
          <w:i w:val="0"/>
          <w:iCs w:val="0"/>
          <w:color w:val="auto"/>
          <w:sz w:val="22"/>
          <w:szCs w:val="22"/>
        </w:rPr>
        <w:t xml:space="preserve"> (</w:t>
      </w:r>
      <w:r w:rsidRPr="5394FC23" w:rsidR="5195B71B">
        <w:rPr>
          <w:rFonts w:ascii="Arial" w:hAnsi="Arial" w:eastAsia="Arial" w:cs="Arial"/>
          <w:sz w:val="22"/>
          <w:szCs w:val="22"/>
        </w:rPr>
        <w:t xml:space="preserve">Fakhira,  </w:t>
      </w:r>
      <w:r w:rsidRPr="5394FC23" w:rsidR="5195B71B">
        <w:rPr>
          <w:rFonts w:ascii="Arial" w:hAnsi="Arial" w:eastAsia="Arial" w:cs="Arial"/>
          <w:sz w:val="22"/>
          <w:szCs w:val="22"/>
        </w:rPr>
        <w:t>Zulbainarni</w:t>
      </w:r>
      <w:r w:rsidRPr="5394FC23" w:rsidR="5195B71B">
        <w:rPr>
          <w:rFonts w:ascii="Arial" w:hAnsi="Arial" w:eastAsia="Arial" w:cs="Arial"/>
          <w:sz w:val="22"/>
          <w:szCs w:val="22"/>
        </w:rPr>
        <w:t>, and Simanjuntak 2023)</w:t>
      </w:r>
      <w:r w:rsidRPr="5394FC23" w:rsidR="5D14B2E6">
        <w:rPr>
          <w:rFonts w:ascii="Arial" w:hAnsi="Arial" w:eastAsia="Arial" w:cs="Arial"/>
          <w:b w:val="0"/>
          <w:bCs w:val="0"/>
          <w:i w:val="0"/>
          <w:iCs w:val="0"/>
          <w:color w:val="auto"/>
          <w:sz w:val="22"/>
          <w:szCs w:val="22"/>
        </w:rPr>
        <w:t>.</w:t>
      </w:r>
    </w:p>
    <w:p w:rsidR="7D7D2F6E" w:rsidP="5394FC23" w:rsidRDefault="7D7D2F6E" w14:paraId="3C318DE9" w14:textId="38E5726D">
      <w:pPr>
        <w:pStyle w:val="Normal"/>
        <w:spacing w:line="360" w:lineRule="auto"/>
        <w:jc w:val="both"/>
        <w:rPr>
          <w:rFonts w:ascii="Arial" w:hAnsi="Arial" w:eastAsia="Arial" w:cs="Arial"/>
          <w:b w:val="0"/>
          <w:bCs w:val="0"/>
          <w:i w:val="0"/>
          <w:iCs w:val="0"/>
          <w:color w:val="auto"/>
          <w:sz w:val="22"/>
          <w:szCs w:val="22"/>
        </w:rPr>
      </w:pPr>
      <w:bookmarkStart w:name="_Toc2125597759" w:id="1786859061"/>
      <w:r w:rsidRPr="5394FC23" w:rsidR="7D7D2F6E">
        <w:rPr>
          <w:rStyle w:val="Heading2Char"/>
          <w:rFonts w:ascii="Arial" w:hAnsi="Arial" w:eastAsia="Arial" w:cs="Arial"/>
          <w:b w:val="1"/>
          <w:bCs w:val="1"/>
          <w:i w:val="1"/>
          <w:iCs w:val="1"/>
          <w:color w:val="auto"/>
          <w:sz w:val="22"/>
          <w:szCs w:val="22"/>
        </w:rPr>
        <w:t>Opportunities</w:t>
      </w:r>
      <w:r w:rsidRPr="5394FC23" w:rsidR="5D14B2E6">
        <w:rPr>
          <w:rStyle w:val="Heading2Char"/>
          <w:rFonts w:ascii="Arial" w:hAnsi="Arial" w:eastAsia="Arial" w:cs="Arial"/>
          <w:b w:val="1"/>
          <w:bCs w:val="1"/>
          <w:i w:val="1"/>
          <w:iCs w:val="1"/>
          <w:color w:val="auto"/>
          <w:sz w:val="22"/>
          <w:szCs w:val="22"/>
        </w:rPr>
        <w:t>;</w:t>
      </w:r>
      <w:bookmarkEnd w:id="1786859061"/>
      <w:r w:rsidRPr="5394FC23" w:rsidR="45E854A5">
        <w:rPr>
          <w:rFonts w:ascii="Arial" w:hAnsi="Arial" w:eastAsia="Arial" w:cs="Arial"/>
          <w:b w:val="0"/>
          <w:bCs w:val="0"/>
          <w:i w:val="0"/>
          <w:iCs w:val="0"/>
          <w:color w:val="auto"/>
          <w:sz w:val="22"/>
          <w:szCs w:val="22"/>
        </w:rPr>
        <w:t xml:space="preserve"> Building on the weaknesses mentioned, Lloyds Bank could enhance its productivity by forming strategic partnerships with international banks, such as industry leader Chase, to expand its global capabilities. Another crucial step would be modernising its technological infrastructure,</w:t>
      </w:r>
      <w:r w:rsidRPr="5394FC23" w:rsidR="5B849BAF">
        <w:rPr>
          <w:rFonts w:ascii="Arial" w:hAnsi="Arial" w:eastAsia="Arial" w:cs="Arial"/>
          <w:b w:val="0"/>
          <w:bCs w:val="0"/>
          <w:i w:val="0"/>
          <w:iCs w:val="0"/>
          <w:color w:val="auto"/>
          <w:sz w:val="22"/>
          <w:szCs w:val="22"/>
        </w:rPr>
        <w:t xml:space="preserve"> as noted by </w:t>
      </w:r>
      <w:r w:rsidRPr="5394FC23" w:rsidR="5B849BAF">
        <w:rPr>
          <w:rFonts w:ascii="Arial" w:hAnsi="Arial" w:eastAsia="Arial" w:cs="Arial"/>
          <w:noProof w:val="0"/>
          <w:sz w:val="22"/>
          <w:szCs w:val="22"/>
          <w:lang w:val="en-GB"/>
        </w:rPr>
        <w:t>Mgiba</w:t>
      </w:r>
      <w:r w:rsidRPr="5394FC23" w:rsidR="5B849BAF">
        <w:rPr>
          <w:rFonts w:ascii="Arial" w:hAnsi="Arial" w:eastAsia="Arial" w:cs="Arial"/>
          <w:noProof w:val="0"/>
          <w:sz w:val="22"/>
          <w:szCs w:val="22"/>
          <w:lang w:val="en-GB"/>
        </w:rPr>
        <w:t xml:space="preserve"> and </w:t>
      </w:r>
      <w:r w:rsidRPr="5394FC23" w:rsidR="5B849BAF">
        <w:rPr>
          <w:rFonts w:ascii="Arial" w:hAnsi="Arial" w:eastAsia="Arial" w:cs="Arial"/>
          <w:noProof w:val="0"/>
          <w:sz w:val="22"/>
          <w:szCs w:val="22"/>
          <w:lang w:val="en-GB"/>
        </w:rPr>
        <w:t>Mxotwa</w:t>
      </w:r>
      <w:r w:rsidRPr="5394FC23" w:rsidR="5B849BAF">
        <w:rPr>
          <w:rFonts w:ascii="Arial" w:hAnsi="Arial" w:eastAsia="Arial" w:cs="Arial"/>
          <w:noProof w:val="0"/>
          <w:sz w:val="22"/>
          <w:szCs w:val="22"/>
          <w:lang w:val="en-GB"/>
        </w:rPr>
        <w:t xml:space="preserve"> (2024)</w:t>
      </w:r>
      <w:r w:rsidRPr="5394FC23" w:rsidR="45E854A5">
        <w:rPr>
          <w:rFonts w:ascii="Arial" w:hAnsi="Arial" w:eastAsia="Arial" w:cs="Arial"/>
          <w:b w:val="0"/>
          <w:bCs w:val="0"/>
          <w:i w:val="0"/>
          <w:iCs w:val="0"/>
          <w:color w:val="auto"/>
          <w:sz w:val="22"/>
          <w:szCs w:val="22"/>
        </w:rPr>
        <w:t xml:space="preserve"> moving away from costly legacy IT systems toward more efficient solutions like blockchain </w:t>
      </w:r>
      <w:r w:rsidRPr="5394FC23" w:rsidR="0FE1CD19">
        <w:rPr>
          <w:rFonts w:ascii="Arial" w:hAnsi="Arial" w:eastAsia="Arial" w:cs="Arial"/>
          <w:b w:val="0"/>
          <w:bCs w:val="0"/>
          <w:i w:val="0"/>
          <w:iCs w:val="0"/>
          <w:color w:val="auto"/>
          <w:sz w:val="22"/>
          <w:szCs w:val="22"/>
        </w:rPr>
        <w:t xml:space="preserve">or cloud </w:t>
      </w:r>
      <w:r w:rsidRPr="5394FC23" w:rsidR="45E854A5">
        <w:rPr>
          <w:rFonts w:ascii="Arial" w:hAnsi="Arial" w:eastAsia="Arial" w:cs="Arial"/>
          <w:b w:val="0"/>
          <w:bCs w:val="0"/>
          <w:i w:val="0"/>
          <w:iCs w:val="0"/>
          <w:color w:val="auto"/>
          <w:sz w:val="22"/>
          <w:szCs w:val="22"/>
        </w:rPr>
        <w:t>technology</w:t>
      </w:r>
      <w:r w:rsidRPr="5394FC23" w:rsidR="764CA447">
        <w:rPr>
          <w:rFonts w:ascii="Arial" w:hAnsi="Arial" w:eastAsia="Arial" w:cs="Arial"/>
          <w:b w:val="0"/>
          <w:bCs w:val="0"/>
          <w:i w:val="0"/>
          <w:iCs w:val="0"/>
          <w:color w:val="auto"/>
          <w:sz w:val="22"/>
          <w:szCs w:val="22"/>
        </w:rPr>
        <w:t xml:space="preserve"> helps improve cybersecurity as well as </w:t>
      </w:r>
      <w:r w:rsidRPr="5394FC23" w:rsidR="36B37A99">
        <w:rPr>
          <w:rFonts w:ascii="Arial" w:hAnsi="Arial" w:eastAsia="Arial" w:cs="Arial"/>
          <w:b w:val="0"/>
          <w:bCs w:val="0"/>
          <w:i w:val="0"/>
          <w:iCs w:val="0"/>
          <w:color w:val="auto"/>
          <w:sz w:val="22"/>
          <w:szCs w:val="22"/>
        </w:rPr>
        <w:t>gaining financial advantage</w:t>
      </w:r>
      <w:r w:rsidRPr="5394FC23" w:rsidR="45E854A5">
        <w:rPr>
          <w:rFonts w:ascii="Arial" w:hAnsi="Arial" w:eastAsia="Arial" w:cs="Arial"/>
          <w:b w:val="0"/>
          <w:bCs w:val="0"/>
          <w:i w:val="0"/>
          <w:iCs w:val="0"/>
          <w:color w:val="auto"/>
          <w:sz w:val="22"/>
          <w:szCs w:val="22"/>
        </w:rPr>
        <w:t xml:space="preserve">. Additionally, as suggested by </w:t>
      </w:r>
      <w:r w:rsidRPr="5394FC23" w:rsidR="45E854A5">
        <w:rPr>
          <w:rFonts w:ascii="Arial" w:hAnsi="Arial" w:eastAsia="Arial" w:cs="Arial"/>
          <w:b w:val="0"/>
          <w:bCs w:val="0"/>
          <w:i w:val="0"/>
          <w:iCs w:val="0"/>
          <w:color w:val="auto"/>
          <w:sz w:val="22"/>
          <w:szCs w:val="22"/>
        </w:rPr>
        <w:t xml:space="preserve">Fakhira, </w:t>
      </w:r>
      <w:r w:rsidRPr="5394FC23" w:rsidR="45E854A5">
        <w:rPr>
          <w:rFonts w:ascii="Arial" w:hAnsi="Arial" w:eastAsia="Arial" w:cs="Arial"/>
          <w:b w:val="0"/>
          <w:bCs w:val="0"/>
          <w:i w:val="0"/>
          <w:iCs w:val="0"/>
          <w:color w:val="auto"/>
          <w:sz w:val="22"/>
          <w:szCs w:val="22"/>
        </w:rPr>
        <w:t>Zulbainarni</w:t>
      </w:r>
      <w:r w:rsidRPr="5394FC23" w:rsidR="45E854A5">
        <w:rPr>
          <w:rFonts w:ascii="Arial" w:hAnsi="Arial" w:eastAsia="Arial" w:cs="Arial"/>
          <w:b w:val="0"/>
          <w:bCs w:val="0"/>
          <w:i w:val="0"/>
          <w:iCs w:val="0"/>
          <w:color w:val="auto"/>
          <w:sz w:val="22"/>
          <w:szCs w:val="22"/>
        </w:rPr>
        <w:t xml:space="preserve">, and Simanjuntak (2023), positioning itself as a green loan provider presents a valuable opportunity for Lloyds to strengthen its role in sustainable finance and </w:t>
      </w:r>
      <w:r w:rsidRPr="5394FC23" w:rsidR="45E854A5">
        <w:rPr>
          <w:rFonts w:ascii="Arial" w:hAnsi="Arial" w:eastAsia="Arial" w:cs="Arial"/>
          <w:b w:val="0"/>
          <w:bCs w:val="0"/>
          <w:i w:val="0"/>
          <w:iCs w:val="0"/>
          <w:color w:val="auto"/>
          <w:sz w:val="22"/>
          <w:szCs w:val="22"/>
        </w:rPr>
        <w:t>establish</w:t>
      </w:r>
      <w:r w:rsidRPr="5394FC23" w:rsidR="45E854A5">
        <w:rPr>
          <w:rFonts w:ascii="Arial" w:hAnsi="Arial" w:eastAsia="Arial" w:cs="Arial"/>
          <w:b w:val="0"/>
          <w:bCs w:val="0"/>
          <w:i w:val="0"/>
          <w:iCs w:val="0"/>
          <w:color w:val="auto"/>
          <w:sz w:val="22"/>
          <w:szCs w:val="22"/>
        </w:rPr>
        <w:t xml:space="preserve"> a competitive edge as a leader in eco-conscious banking solutions.</w:t>
      </w:r>
    </w:p>
    <w:p w:rsidR="47D06031" w:rsidP="5394FC23" w:rsidRDefault="47D06031" w14:paraId="4FFD9119" w14:textId="4889CB83">
      <w:pPr>
        <w:pStyle w:val="Normal"/>
        <w:spacing w:line="360" w:lineRule="auto"/>
        <w:jc w:val="both"/>
        <w:rPr>
          <w:rFonts w:ascii="Arial" w:hAnsi="Arial" w:eastAsia="Arial" w:cs="Arial"/>
          <w:b w:val="0"/>
          <w:bCs w:val="0"/>
          <w:i w:val="0"/>
          <w:iCs w:val="0"/>
          <w:color w:val="auto"/>
          <w:sz w:val="22"/>
          <w:szCs w:val="22"/>
        </w:rPr>
      </w:pPr>
      <w:bookmarkStart w:name="_Toc430017563" w:id="222395133"/>
      <w:r w:rsidRPr="5394FC23" w:rsidR="47D06031">
        <w:rPr>
          <w:rStyle w:val="Heading2Char"/>
          <w:rFonts w:ascii="Arial" w:hAnsi="Arial" w:eastAsia="Arial" w:cs="Arial"/>
          <w:b w:val="1"/>
          <w:bCs w:val="1"/>
          <w:i w:val="1"/>
          <w:iCs w:val="1"/>
          <w:color w:val="auto"/>
          <w:sz w:val="22"/>
          <w:szCs w:val="22"/>
        </w:rPr>
        <w:t>Threats;</w:t>
      </w:r>
      <w:bookmarkEnd w:id="222395133"/>
      <w:r w:rsidRPr="5394FC23" w:rsidR="47D06031">
        <w:rPr>
          <w:rFonts w:ascii="Arial" w:hAnsi="Arial" w:eastAsia="Arial" w:cs="Arial"/>
          <w:b w:val="1"/>
          <w:bCs w:val="1"/>
          <w:i w:val="1"/>
          <w:iCs w:val="1"/>
          <w:color w:val="auto"/>
          <w:sz w:val="22"/>
          <w:szCs w:val="22"/>
        </w:rPr>
        <w:t xml:space="preserve"> </w:t>
      </w:r>
      <w:r w:rsidRPr="5394FC23" w:rsidR="24FEA819">
        <w:rPr>
          <w:rFonts w:ascii="Arial" w:hAnsi="Arial" w:eastAsia="Arial" w:cs="Arial"/>
          <w:b w:val="0"/>
          <w:bCs w:val="0"/>
          <w:i w:val="0"/>
          <w:iCs w:val="0"/>
          <w:color w:val="auto"/>
          <w:sz w:val="22"/>
          <w:szCs w:val="22"/>
        </w:rPr>
        <w:t>L</w:t>
      </w:r>
      <w:r w:rsidRPr="5394FC23" w:rsidR="24FEA819">
        <w:rPr>
          <w:rFonts w:ascii="Arial" w:hAnsi="Arial" w:eastAsia="Arial" w:cs="Arial"/>
          <w:b w:val="0"/>
          <w:bCs w:val="0"/>
          <w:i w:val="0"/>
          <w:iCs w:val="0"/>
          <w:color w:val="auto"/>
          <w:sz w:val="22"/>
          <w:szCs w:val="22"/>
        </w:rPr>
        <w:t xml:space="preserve">loyds Bank faces several pressing threats. With rapid technological advancements, cybersecurity is a top concern; </w:t>
      </w:r>
      <w:r w:rsidRPr="5394FC23" w:rsidR="24FEA819">
        <w:rPr>
          <w:rFonts w:ascii="Arial" w:hAnsi="Arial" w:eastAsia="Arial" w:cs="Arial"/>
          <w:b w:val="0"/>
          <w:bCs w:val="0"/>
          <w:i w:val="0"/>
          <w:iCs w:val="0"/>
          <w:color w:val="auto"/>
          <w:sz w:val="22"/>
          <w:szCs w:val="22"/>
        </w:rPr>
        <w:t>Mgiba</w:t>
      </w:r>
      <w:r w:rsidRPr="5394FC23" w:rsidR="24FEA819">
        <w:rPr>
          <w:rFonts w:ascii="Arial" w:hAnsi="Arial" w:eastAsia="Arial" w:cs="Arial"/>
          <w:b w:val="0"/>
          <w:bCs w:val="0"/>
          <w:i w:val="0"/>
          <w:iCs w:val="0"/>
          <w:color w:val="auto"/>
          <w:sz w:val="22"/>
          <w:szCs w:val="22"/>
        </w:rPr>
        <w:t xml:space="preserve"> and </w:t>
      </w:r>
      <w:r w:rsidRPr="5394FC23" w:rsidR="24FEA819">
        <w:rPr>
          <w:rFonts w:ascii="Arial" w:hAnsi="Arial" w:eastAsia="Arial" w:cs="Arial"/>
          <w:b w:val="0"/>
          <w:bCs w:val="0"/>
          <w:i w:val="0"/>
          <w:iCs w:val="0"/>
          <w:color w:val="auto"/>
          <w:sz w:val="22"/>
          <w:szCs w:val="22"/>
        </w:rPr>
        <w:t>Mxotwa</w:t>
      </w:r>
      <w:r w:rsidRPr="5394FC23" w:rsidR="24FEA819">
        <w:rPr>
          <w:rFonts w:ascii="Arial" w:hAnsi="Arial" w:eastAsia="Arial" w:cs="Arial"/>
          <w:b w:val="0"/>
          <w:bCs w:val="0"/>
          <w:i w:val="0"/>
          <w:iCs w:val="0"/>
          <w:color w:val="auto"/>
          <w:sz w:val="22"/>
          <w:szCs w:val="22"/>
        </w:rPr>
        <w:t xml:space="preserve"> (2024) highlight that data breaches could diminish customer trust, leading to </w:t>
      </w:r>
      <w:r w:rsidRPr="5394FC23" w:rsidR="24FEA819">
        <w:rPr>
          <w:rFonts w:ascii="Arial" w:hAnsi="Arial" w:eastAsia="Arial" w:cs="Arial"/>
          <w:b w:val="0"/>
          <w:bCs w:val="0"/>
          <w:i w:val="0"/>
          <w:iCs w:val="0"/>
          <w:color w:val="auto"/>
          <w:sz w:val="22"/>
          <w:szCs w:val="22"/>
        </w:rPr>
        <w:t>possible customer</w:t>
      </w:r>
      <w:r w:rsidRPr="5394FC23" w:rsidR="24FEA819">
        <w:rPr>
          <w:rFonts w:ascii="Arial" w:hAnsi="Arial" w:eastAsia="Arial" w:cs="Arial"/>
          <w:b w:val="0"/>
          <w:bCs w:val="0"/>
          <w:i w:val="0"/>
          <w:iCs w:val="0"/>
          <w:color w:val="auto"/>
          <w:sz w:val="22"/>
          <w:szCs w:val="22"/>
        </w:rPr>
        <w:t xml:space="preserve"> loss and financial vulnerability. Regulatory changes also pose challenges, as events like the COVID-19 pandemic and the 2008 </w:t>
      </w:r>
      <w:r w:rsidRPr="5394FC23" w:rsidR="24FEA819">
        <w:rPr>
          <w:rFonts w:ascii="Arial" w:hAnsi="Arial" w:eastAsia="Arial" w:cs="Arial"/>
          <w:b w:val="0"/>
          <w:bCs w:val="0"/>
          <w:i w:val="0"/>
          <w:iCs w:val="0"/>
          <w:color w:val="auto"/>
          <w:sz w:val="22"/>
          <w:szCs w:val="22"/>
        </w:rPr>
        <w:t>financial crisis</w:t>
      </w:r>
      <w:r w:rsidRPr="5394FC23" w:rsidR="24FEA819">
        <w:rPr>
          <w:rFonts w:ascii="Arial" w:hAnsi="Arial" w:eastAsia="Arial" w:cs="Arial"/>
          <w:b w:val="0"/>
          <w:bCs w:val="0"/>
          <w:i w:val="0"/>
          <w:iCs w:val="0"/>
          <w:color w:val="auto"/>
          <w:sz w:val="22"/>
          <w:szCs w:val="22"/>
        </w:rPr>
        <w:t xml:space="preserve"> have </w:t>
      </w:r>
      <w:r w:rsidRPr="5394FC23" w:rsidR="24FEA819">
        <w:rPr>
          <w:rFonts w:ascii="Arial" w:hAnsi="Arial" w:eastAsia="Arial" w:cs="Arial"/>
          <w:b w:val="0"/>
          <w:bCs w:val="0"/>
          <w:i w:val="0"/>
          <w:iCs w:val="0"/>
          <w:color w:val="auto"/>
          <w:sz w:val="22"/>
          <w:szCs w:val="22"/>
        </w:rPr>
        <w:t>impacted</w:t>
      </w:r>
      <w:r w:rsidRPr="5394FC23" w:rsidR="24FEA819">
        <w:rPr>
          <w:rFonts w:ascii="Arial" w:hAnsi="Arial" w:eastAsia="Arial" w:cs="Arial"/>
          <w:b w:val="0"/>
          <w:bCs w:val="0"/>
          <w:i w:val="0"/>
          <w:iCs w:val="0"/>
          <w:color w:val="auto"/>
          <w:sz w:val="22"/>
          <w:szCs w:val="22"/>
        </w:rPr>
        <w:t xml:space="preserve"> operational standards (</w:t>
      </w:r>
      <w:r w:rsidRPr="5394FC23" w:rsidR="24FEA819">
        <w:rPr>
          <w:rFonts w:ascii="Arial" w:hAnsi="Arial" w:eastAsia="Arial" w:cs="Arial"/>
          <w:b w:val="0"/>
          <w:bCs w:val="0"/>
          <w:i w:val="0"/>
          <w:iCs w:val="0"/>
          <w:color w:val="auto"/>
          <w:sz w:val="22"/>
          <w:szCs w:val="22"/>
        </w:rPr>
        <w:t>Grasselli</w:t>
      </w:r>
      <w:r w:rsidRPr="5394FC23" w:rsidR="24FEA819">
        <w:rPr>
          <w:rFonts w:ascii="Arial" w:hAnsi="Arial" w:eastAsia="Arial" w:cs="Arial"/>
          <w:b w:val="0"/>
          <w:bCs w:val="0"/>
          <w:i w:val="0"/>
          <w:iCs w:val="0"/>
          <w:color w:val="auto"/>
          <w:sz w:val="22"/>
          <w:szCs w:val="22"/>
        </w:rPr>
        <w:t xml:space="preserve">, 2022). Moreover, competition is intensifying as international banks expand within the UK market. Yoshida (2019) </w:t>
      </w:r>
      <w:r w:rsidRPr="5394FC23" w:rsidR="24FEA819">
        <w:rPr>
          <w:rFonts w:ascii="Arial" w:hAnsi="Arial" w:eastAsia="Arial" w:cs="Arial"/>
          <w:b w:val="0"/>
          <w:bCs w:val="0"/>
          <w:i w:val="0"/>
          <w:iCs w:val="0"/>
          <w:color w:val="auto"/>
          <w:sz w:val="22"/>
          <w:szCs w:val="22"/>
        </w:rPr>
        <w:t>observes</w:t>
      </w:r>
      <w:r w:rsidRPr="5394FC23" w:rsidR="24FEA819">
        <w:rPr>
          <w:rFonts w:ascii="Arial" w:hAnsi="Arial" w:eastAsia="Arial" w:cs="Arial"/>
          <w:b w:val="0"/>
          <w:bCs w:val="0"/>
          <w:i w:val="0"/>
          <w:iCs w:val="0"/>
          <w:color w:val="auto"/>
          <w:sz w:val="22"/>
          <w:szCs w:val="22"/>
        </w:rPr>
        <w:t xml:space="preserve"> that many customers are drawn to tech-focused international banks, such as Chase and Monzo, which provide advanced digital services that appeal to a tech-savvy demographic.</w:t>
      </w:r>
    </w:p>
    <w:p w:rsidR="05081A57" w:rsidP="5394FC23" w:rsidRDefault="05081A57" w14:paraId="54C9C22D" w14:textId="35614F80">
      <w:pPr>
        <w:pStyle w:val="Heading1"/>
        <w:spacing w:line="360" w:lineRule="auto"/>
        <w:jc w:val="both"/>
        <w:rPr>
          <w:rFonts w:ascii="Arial" w:hAnsi="Arial" w:eastAsia="Arial" w:cs="Arial"/>
          <w:b w:val="1"/>
          <w:bCs w:val="1"/>
          <w:color w:val="auto"/>
          <w:sz w:val="22"/>
          <w:szCs w:val="22"/>
        </w:rPr>
      </w:pPr>
      <w:bookmarkStart w:name="_Toc1129223087" w:id="2083259236"/>
      <w:r w:rsidRPr="5394FC23" w:rsidR="6ECB7C5B">
        <w:rPr>
          <w:rFonts w:ascii="Arial" w:hAnsi="Arial" w:eastAsia="Arial" w:cs="Arial"/>
          <w:b w:val="1"/>
          <w:bCs w:val="1"/>
          <w:color w:val="auto"/>
          <w:sz w:val="22"/>
          <w:szCs w:val="22"/>
        </w:rPr>
        <w:t>Change management models</w:t>
      </w:r>
      <w:bookmarkEnd w:id="2083259236"/>
    </w:p>
    <w:p w:rsidR="5A638AE4" w:rsidP="5394FC23" w:rsidRDefault="5A638AE4" w14:paraId="4F174E2B" w14:textId="79C572FC">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5394FC23" w:rsidR="2E59AFBF">
        <w:rPr>
          <w:rFonts w:ascii="Arial" w:hAnsi="Arial" w:eastAsia="Arial" w:cs="Arial"/>
          <w:b w:val="0"/>
          <w:bCs w:val="0"/>
          <w:i w:val="0"/>
          <w:iCs w:val="0"/>
          <w:caps w:val="0"/>
          <w:smallCaps w:val="0"/>
          <w:noProof w:val="0"/>
          <w:color w:val="auto"/>
          <w:sz w:val="22"/>
          <w:szCs w:val="22"/>
          <w:lang w:val="en-GB"/>
        </w:rPr>
        <w:t xml:space="preserve">Implementing strategic change is notoriously difficult. Research from </w:t>
      </w:r>
      <w:r w:rsidRPr="5394FC23" w:rsidR="2E59AFBF">
        <w:rPr>
          <w:rFonts w:ascii="Arial" w:hAnsi="Arial" w:eastAsia="Arial" w:cs="Arial"/>
          <w:b w:val="0"/>
          <w:bCs w:val="0"/>
          <w:i w:val="0"/>
          <w:iCs w:val="0"/>
          <w:caps w:val="0"/>
          <w:smallCaps w:val="0"/>
          <w:noProof w:val="0"/>
          <w:color w:val="auto"/>
          <w:sz w:val="22"/>
          <w:szCs w:val="22"/>
          <w:lang w:val="en-GB"/>
        </w:rPr>
        <w:t>Sittrop</w:t>
      </w:r>
      <w:r w:rsidRPr="5394FC23" w:rsidR="2E59AFBF">
        <w:rPr>
          <w:rFonts w:ascii="Arial" w:hAnsi="Arial" w:eastAsia="Arial" w:cs="Arial"/>
          <w:b w:val="0"/>
          <w:bCs w:val="0"/>
          <w:i w:val="0"/>
          <w:iCs w:val="0"/>
          <w:caps w:val="0"/>
          <w:smallCaps w:val="0"/>
          <w:noProof w:val="0"/>
          <w:color w:val="auto"/>
          <w:sz w:val="22"/>
          <w:szCs w:val="22"/>
          <w:lang w:val="en-GB"/>
        </w:rPr>
        <w:t xml:space="preserve"> and Crosthwaite (2021), Kotter (1995), and others </w:t>
      </w:r>
      <w:r w:rsidRPr="5394FC23" w:rsidR="2E59AFBF">
        <w:rPr>
          <w:rFonts w:ascii="Arial" w:hAnsi="Arial" w:eastAsia="Arial" w:cs="Arial"/>
          <w:b w:val="0"/>
          <w:bCs w:val="0"/>
          <w:i w:val="0"/>
          <w:iCs w:val="0"/>
          <w:caps w:val="0"/>
          <w:smallCaps w:val="0"/>
          <w:noProof w:val="0"/>
          <w:color w:val="auto"/>
          <w:sz w:val="22"/>
          <w:szCs w:val="22"/>
          <w:lang w:val="en-GB"/>
        </w:rPr>
        <w:t>indicates</w:t>
      </w:r>
      <w:r w:rsidRPr="5394FC23" w:rsidR="2E59AFBF">
        <w:rPr>
          <w:rFonts w:ascii="Arial" w:hAnsi="Arial" w:eastAsia="Arial" w:cs="Arial"/>
          <w:b w:val="0"/>
          <w:bCs w:val="0"/>
          <w:i w:val="0"/>
          <w:iCs w:val="0"/>
          <w:caps w:val="0"/>
          <w:smallCaps w:val="0"/>
          <w:noProof w:val="0"/>
          <w:color w:val="auto"/>
          <w:sz w:val="22"/>
          <w:szCs w:val="22"/>
          <w:lang w:val="en-GB"/>
        </w:rPr>
        <w:t xml:space="preserve"> that over 70% of organisational change initiatives fail. Given this high failure rate, this analysis will examine two widely respected change management models to explore strategic options to help Lloyds Bank remain competitive in the banking sector. The focus will be on Kotter’s 8-Step Change Model and Lewin’s 3-Step Change Model, assessing their effectiveness in </w:t>
      </w:r>
      <w:r w:rsidRPr="5394FC23" w:rsidR="2E59AFBF">
        <w:rPr>
          <w:rFonts w:ascii="Arial" w:hAnsi="Arial" w:eastAsia="Arial" w:cs="Arial"/>
          <w:b w:val="0"/>
          <w:bCs w:val="0"/>
          <w:i w:val="0"/>
          <w:iCs w:val="0"/>
          <w:caps w:val="0"/>
          <w:smallCaps w:val="0"/>
          <w:noProof w:val="0"/>
          <w:color w:val="auto"/>
          <w:sz w:val="22"/>
          <w:szCs w:val="22"/>
          <w:lang w:val="en-GB"/>
        </w:rPr>
        <w:t>facilitating</w:t>
      </w:r>
      <w:r w:rsidRPr="5394FC23" w:rsidR="2E59AFBF">
        <w:rPr>
          <w:rFonts w:ascii="Arial" w:hAnsi="Arial" w:eastAsia="Arial" w:cs="Arial"/>
          <w:b w:val="0"/>
          <w:bCs w:val="0"/>
          <w:i w:val="0"/>
          <w:iCs w:val="0"/>
          <w:caps w:val="0"/>
          <w:smallCaps w:val="0"/>
          <w:noProof w:val="0"/>
          <w:color w:val="auto"/>
          <w:sz w:val="22"/>
          <w:szCs w:val="22"/>
          <w:lang w:val="en-GB"/>
        </w:rPr>
        <w:t xml:space="preserve"> successful change within the banking industry. By analysing the strengths and limitations of each model, this study aims to </w:t>
      </w:r>
      <w:r w:rsidRPr="5394FC23" w:rsidR="2E59AFBF">
        <w:rPr>
          <w:rFonts w:ascii="Arial" w:hAnsi="Arial" w:eastAsia="Arial" w:cs="Arial"/>
          <w:b w:val="0"/>
          <w:bCs w:val="0"/>
          <w:i w:val="0"/>
          <w:iCs w:val="0"/>
          <w:caps w:val="0"/>
          <w:smallCaps w:val="0"/>
          <w:noProof w:val="0"/>
          <w:color w:val="auto"/>
          <w:sz w:val="22"/>
          <w:szCs w:val="22"/>
          <w:lang w:val="en-GB"/>
        </w:rPr>
        <w:t>identify</w:t>
      </w:r>
      <w:r w:rsidRPr="5394FC23" w:rsidR="2E59AFBF">
        <w:rPr>
          <w:rFonts w:ascii="Arial" w:hAnsi="Arial" w:eastAsia="Arial" w:cs="Arial"/>
          <w:b w:val="0"/>
          <w:bCs w:val="0"/>
          <w:i w:val="0"/>
          <w:iCs w:val="0"/>
          <w:caps w:val="0"/>
          <w:smallCaps w:val="0"/>
          <w:noProof w:val="0"/>
          <w:color w:val="auto"/>
          <w:sz w:val="22"/>
          <w:szCs w:val="22"/>
          <w:lang w:val="en-GB"/>
        </w:rPr>
        <w:t xml:space="preserve"> the most thorough and suitable approach for Lloyds Bank. A critical comparison of Kotter’s and Lewin’s methodologies will offer insights into which framework may best support Lloyds Bank’s strategic goals as it navigates the complexities of industry change.</w:t>
      </w:r>
    </w:p>
    <w:p w:rsidR="5A638AE4" w:rsidP="5394FC23" w:rsidRDefault="5A638AE4" w14:paraId="3684BEFB" w14:textId="6975A9BA">
      <w:pPr>
        <w:pStyle w:val="Heading2"/>
        <w:spacing w:line="360" w:lineRule="auto"/>
        <w:jc w:val="both"/>
        <w:rPr>
          <w:rFonts w:ascii="Arial" w:hAnsi="Arial" w:eastAsia="Arial" w:cs="Arial"/>
          <w:b w:val="1"/>
          <w:bCs w:val="1"/>
          <w:noProof w:val="0"/>
          <w:color w:val="auto"/>
          <w:sz w:val="22"/>
          <w:szCs w:val="22"/>
          <w:lang w:val="en-GB"/>
        </w:rPr>
      </w:pPr>
      <w:bookmarkStart w:name="_Toc483365960" w:id="816060065"/>
      <w:r w:rsidRPr="5394FC23" w:rsidR="4A7AB414">
        <w:rPr>
          <w:rFonts w:ascii="Arial" w:hAnsi="Arial" w:eastAsia="Arial" w:cs="Arial"/>
          <w:b w:val="1"/>
          <w:bCs w:val="1"/>
          <w:noProof w:val="0"/>
          <w:color w:val="auto"/>
          <w:sz w:val="22"/>
          <w:szCs w:val="22"/>
          <w:lang w:val="en-GB"/>
        </w:rPr>
        <w:t>Lewins three steps of change Model</w:t>
      </w:r>
      <w:bookmarkEnd w:id="816060065"/>
    </w:p>
    <w:p w:rsidR="5A638AE4" w:rsidP="5394FC23" w:rsidRDefault="5A638AE4" w14:paraId="00A7A4EB" w14:textId="1589348D">
      <w:pPr>
        <w:pStyle w:val="Normal"/>
        <w:spacing w:line="360" w:lineRule="auto"/>
        <w:jc w:val="both"/>
        <w:rPr>
          <w:rFonts w:ascii="Arial" w:hAnsi="Arial" w:eastAsia="Arial" w:cs="Arial"/>
          <w:noProof w:val="0"/>
          <w:color w:val="auto"/>
          <w:sz w:val="22"/>
          <w:szCs w:val="22"/>
          <w:lang w:val="en-GB"/>
        </w:rPr>
      </w:pPr>
      <w:r w:rsidRPr="5394FC23" w:rsidR="107A6E75">
        <w:rPr>
          <w:rFonts w:ascii="Arial" w:hAnsi="Arial" w:eastAsia="Arial" w:cs="Arial"/>
          <w:noProof w:val="0"/>
          <w:color w:val="auto"/>
          <w:sz w:val="22"/>
          <w:szCs w:val="22"/>
          <w:lang w:val="en-GB"/>
        </w:rPr>
        <w:t xml:space="preserve">Kurt Lewin's three-step change model, introduced in 1947, provides a structured framework for implementing organisational change. As noted by Bakari, </w:t>
      </w:r>
      <w:r w:rsidRPr="5394FC23" w:rsidR="107A6E75">
        <w:rPr>
          <w:rFonts w:ascii="Arial" w:hAnsi="Arial" w:eastAsia="Arial" w:cs="Arial"/>
          <w:noProof w:val="0"/>
          <w:color w:val="auto"/>
          <w:sz w:val="22"/>
          <w:szCs w:val="22"/>
          <w:lang w:val="en-GB"/>
        </w:rPr>
        <w:t>Hunjra</w:t>
      </w:r>
      <w:r w:rsidRPr="5394FC23" w:rsidR="107A6E75">
        <w:rPr>
          <w:rFonts w:ascii="Arial" w:hAnsi="Arial" w:eastAsia="Arial" w:cs="Arial"/>
          <w:noProof w:val="0"/>
          <w:color w:val="auto"/>
          <w:sz w:val="22"/>
          <w:szCs w:val="22"/>
          <w:lang w:val="en-GB"/>
        </w:rPr>
        <w:t xml:space="preserve">, and Niazi (2017) and Burnes (2004), this model begins with the "unfreezing" phase, where stakeholders and employees are prepared for upcoming changes by challenging established practices and mindsets. For example, as </w:t>
      </w:r>
      <w:r w:rsidRPr="5394FC23" w:rsidR="107A6E75">
        <w:rPr>
          <w:rFonts w:ascii="Arial" w:hAnsi="Arial" w:eastAsia="Arial" w:cs="Arial"/>
          <w:noProof w:val="0"/>
          <w:color w:val="auto"/>
          <w:sz w:val="22"/>
          <w:szCs w:val="22"/>
          <w:lang w:val="en-GB"/>
        </w:rPr>
        <w:t>Grasselli</w:t>
      </w:r>
      <w:r w:rsidRPr="5394FC23" w:rsidR="107A6E75">
        <w:rPr>
          <w:rFonts w:ascii="Arial" w:hAnsi="Arial" w:eastAsia="Arial" w:cs="Arial"/>
          <w:noProof w:val="0"/>
          <w:color w:val="auto"/>
          <w:sz w:val="22"/>
          <w:szCs w:val="22"/>
          <w:lang w:val="en-GB"/>
        </w:rPr>
        <w:t xml:space="preserve"> (2022) </w:t>
      </w:r>
      <w:r w:rsidRPr="5394FC23" w:rsidR="107A6E75">
        <w:rPr>
          <w:rFonts w:ascii="Arial" w:hAnsi="Arial" w:eastAsia="Arial" w:cs="Arial"/>
          <w:noProof w:val="0"/>
          <w:color w:val="auto"/>
          <w:sz w:val="22"/>
          <w:szCs w:val="22"/>
          <w:lang w:val="en-GB"/>
        </w:rPr>
        <w:t>observed</w:t>
      </w:r>
      <w:r w:rsidRPr="5394FC23" w:rsidR="107A6E75">
        <w:rPr>
          <w:rFonts w:ascii="Arial" w:hAnsi="Arial" w:eastAsia="Arial" w:cs="Arial"/>
          <w:noProof w:val="0"/>
          <w:color w:val="auto"/>
          <w:sz w:val="22"/>
          <w:szCs w:val="22"/>
          <w:lang w:val="en-GB"/>
        </w:rPr>
        <w:t xml:space="preserve">, during the COVID-19 pandemic, many organisations </w:t>
      </w:r>
      <w:r w:rsidRPr="5394FC23" w:rsidR="107A6E75">
        <w:rPr>
          <w:rFonts w:ascii="Arial" w:hAnsi="Arial" w:eastAsia="Arial" w:cs="Arial"/>
          <w:noProof w:val="0"/>
          <w:color w:val="auto"/>
          <w:sz w:val="22"/>
          <w:szCs w:val="22"/>
          <w:lang w:val="en-GB"/>
        </w:rPr>
        <w:t>anticipated</w:t>
      </w:r>
      <w:r w:rsidRPr="5394FC23" w:rsidR="107A6E75">
        <w:rPr>
          <w:rFonts w:ascii="Arial" w:hAnsi="Arial" w:eastAsia="Arial" w:cs="Arial"/>
          <w:noProof w:val="0"/>
          <w:color w:val="auto"/>
          <w:sz w:val="22"/>
          <w:szCs w:val="22"/>
          <w:lang w:val="en-GB"/>
        </w:rPr>
        <w:t xml:space="preserve"> the impact of lockdowns and adjusted their strategies accordingly. At Lloyds Bank, this phase involved preparing employees and stakeholders for a transition to digital operations, moving away from traditional, in-person services.</w:t>
      </w:r>
    </w:p>
    <w:p w:rsidR="5A638AE4" w:rsidP="5394FC23" w:rsidRDefault="5A638AE4" w14:paraId="622071E1" w14:textId="10497240">
      <w:pPr>
        <w:pStyle w:val="Normal"/>
        <w:spacing w:line="360" w:lineRule="auto"/>
        <w:jc w:val="both"/>
        <w:rPr>
          <w:rFonts w:ascii="Arial" w:hAnsi="Arial" w:eastAsia="Arial" w:cs="Arial"/>
          <w:noProof w:val="0"/>
          <w:color w:val="auto"/>
          <w:sz w:val="22"/>
          <w:szCs w:val="22"/>
          <w:lang w:val="en-GB"/>
        </w:rPr>
      </w:pPr>
      <w:r w:rsidRPr="5394FC23" w:rsidR="3B7389EB">
        <w:rPr>
          <w:rFonts w:ascii="Arial" w:hAnsi="Arial" w:eastAsia="Arial" w:cs="Arial"/>
          <w:noProof w:val="0"/>
          <w:color w:val="auto"/>
          <w:sz w:val="22"/>
          <w:szCs w:val="22"/>
          <w:lang w:val="en-GB"/>
        </w:rPr>
        <w:t xml:space="preserve">As outlined by Bakari, </w:t>
      </w:r>
      <w:r w:rsidRPr="5394FC23" w:rsidR="3B7389EB">
        <w:rPr>
          <w:rFonts w:ascii="Arial" w:hAnsi="Arial" w:eastAsia="Arial" w:cs="Arial"/>
          <w:noProof w:val="0"/>
          <w:color w:val="auto"/>
          <w:sz w:val="22"/>
          <w:szCs w:val="22"/>
          <w:lang w:val="en-GB"/>
        </w:rPr>
        <w:t>Hunjra</w:t>
      </w:r>
      <w:r w:rsidRPr="5394FC23" w:rsidR="3B7389EB">
        <w:rPr>
          <w:rFonts w:ascii="Arial" w:hAnsi="Arial" w:eastAsia="Arial" w:cs="Arial"/>
          <w:noProof w:val="0"/>
          <w:color w:val="auto"/>
          <w:sz w:val="22"/>
          <w:szCs w:val="22"/>
          <w:lang w:val="en-GB"/>
        </w:rPr>
        <w:t xml:space="preserve">, and Niazi (2017) and Burnes (2004), the second stage in Lewin's model is the "change" phase, where new practices and norms are implemented across the organisation. This stage can be challenging, often leading to uncertainty and anxiety among employees as they adjust to new systems. To </w:t>
      </w:r>
      <w:r w:rsidRPr="5394FC23" w:rsidR="3B7389EB">
        <w:rPr>
          <w:rFonts w:ascii="Arial" w:hAnsi="Arial" w:eastAsia="Arial" w:cs="Arial"/>
          <w:noProof w:val="0"/>
          <w:color w:val="auto"/>
          <w:sz w:val="22"/>
          <w:szCs w:val="22"/>
          <w:lang w:val="en-GB"/>
        </w:rPr>
        <w:t>facilitate</w:t>
      </w:r>
      <w:r w:rsidRPr="5394FC23" w:rsidR="3B7389EB">
        <w:rPr>
          <w:rFonts w:ascii="Arial" w:hAnsi="Arial" w:eastAsia="Arial" w:cs="Arial"/>
          <w:noProof w:val="0"/>
          <w:color w:val="auto"/>
          <w:sz w:val="22"/>
          <w:szCs w:val="22"/>
          <w:lang w:val="en-GB"/>
        </w:rPr>
        <w:t xml:space="preserve"> a smoother transition, organisations </w:t>
      </w:r>
      <w:r w:rsidRPr="5394FC23" w:rsidR="3B7389EB">
        <w:rPr>
          <w:rFonts w:ascii="Arial" w:hAnsi="Arial" w:eastAsia="Arial" w:cs="Arial"/>
          <w:noProof w:val="0"/>
          <w:color w:val="auto"/>
          <w:sz w:val="22"/>
          <w:szCs w:val="22"/>
          <w:lang w:val="en-GB"/>
        </w:rPr>
        <w:t>generally set</w:t>
      </w:r>
      <w:r w:rsidRPr="5394FC23" w:rsidR="3B7389EB">
        <w:rPr>
          <w:rFonts w:ascii="Arial" w:hAnsi="Arial" w:eastAsia="Arial" w:cs="Arial"/>
          <w:noProof w:val="0"/>
          <w:color w:val="auto"/>
          <w:sz w:val="22"/>
          <w:szCs w:val="22"/>
          <w:lang w:val="en-GB"/>
        </w:rPr>
        <w:t xml:space="preserve"> clear goals and introduce changes in gradual, manageable steps. In the banking sector’s shift toward digitalisation, Lloyds Bank supported this phase by providing targeted training, equipping employees to adapt to new digital tools, and effectively </w:t>
      </w:r>
      <w:r w:rsidRPr="5394FC23" w:rsidR="3B7389EB">
        <w:rPr>
          <w:rFonts w:ascii="Arial" w:hAnsi="Arial" w:eastAsia="Arial" w:cs="Arial"/>
          <w:noProof w:val="0"/>
          <w:color w:val="auto"/>
          <w:sz w:val="22"/>
          <w:szCs w:val="22"/>
          <w:lang w:val="en-GB"/>
        </w:rPr>
        <w:t>assisting</w:t>
      </w:r>
      <w:r w:rsidRPr="5394FC23" w:rsidR="3B7389EB">
        <w:rPr>
          <w:rFonts w:ascii="Arial" w:hAnsi="Arial" w:eastAsia="Arial" w:cs="Arial"/>
          <w:noProof w:val="0"/>
          <w:color w:val="auto"/>
          <w:sz w:val="22"/>
          <w:szCs w:val="22"/>
          <w:lang w:val="en-GB"/>
        </w:rPr>
        <w:t xml:space="preserve"> customers in the evolving digital environment.</w:t>
      </w:r>
    </w:p>
    <w:p w:rsidR="5A638AE4" w:rsidP="5394FC23" w:rsidRDefault="5A638AE4" w14:paraId="6BE8AFC4" w14:textId="600948A0">
      <w:pPr>
        <w:pStyle w:val="Normal"/>
        <w:spacing w:line="360" w:lineRule="auto"/>
        <w:jc w:val="both"/>
        <w:rPr>
          <w:rFonts w:ascii="Arial" w:hAnsi="Arial" w:eastAsia="Arial" w:cs="Arial"/>
          <w:noProof w:val="0"/>
          <w:color w:val="auto"/>
          <w:sz w:val="22"/>
          <w:szCs w:val="22"/>
          <w:lang w:val="en-GB"/>
        </w:rPr>
      </w:pPr>
      <w:r w:rsidRPr="5394FC23" w:rsidR="064A41BF">
        <w:rPr>
          <w:rFonts w:ascii="Arial" w:hAnsi="Arial" w:eastAsia="Arial" w:cs="Arial"/>
          <w:noProof w:val="0"/>
          <w:color w:val="auto"/>
          <w:sz w:val="22"/>
          <w:szCs w:val="22"/>
          <w:lang w:val="en-GB"/>
        </w:rPr>
        <w:t xml:space="preserve">The final stage, "refreezing," as described by Bakari, </w:t>
      </w:r>
      <w:r w:rsidRPr="5394FC23" w:rsidR="064A41BF">
        <w:rPr>
          <w:rFonts w:ascii="Arial" w:hAnsi="Arial" w:eastAsia="Arial" w:cs="Arial"/>
          <w:noProof w:val="0"/>
          <w:color w:val="auto"/>
          <w:sz w:val="22"/>
          <w:szCs w:val="22"/>
          <w:lang w:val="en-GB"/>
        </w:rPr>
        <w:t>Hunjra</w:t>
      </w:r>
      <w:r w:rsidRPr="5394FC23" w:rsidR="064A41BF">
        <w:rPr>
          <w:rFonts w:ascii="Arial" w:hAnsi="Arial" w:eastAsia="Arial" w:cs="Arial"/>
          <w:noProof w:val="0"/>
          <w:color w:val="auto"/>
          <w:sz w:val="22"/>
          <w:szCs w:val="22"/>
          <w:lang w:val="en-GB"/>
        </w:rPr>
        <w:t xml:space="preserve">, and Niazi (2017) and Burnes (2004), centres on embedding changes into the organisation's routine operations, making new practices an integral part of its culture. At Lloyds Bank, this commitment to digitalisation extended well beyond the immediate demands of the pandemic. As highlighted in Lloyds' annual report (2024), which states, “We have a clear strategic vision to become a customer-focused digital leader,” digital transformation has evolved into a key priority, shaping the bank’s long-term growth strategy and operational </w:t>
      </w:r>
      <w:r w:rsidRPr="5394FC23" w:rsidR="064A41BF">
        <w:rPr>
          <w:rFonts w:ascii="Arial" w:hAnsi="Arial" w:eastAsia="Arial" w:cs="Arial"/>
          <w:noProof w:val="0"/>
          <w:color w:val="auto"/>
          <w:sz w:val="22"/>
          <w:szCs w:val="22"/>
          <w:lang w:val="en-GB"/>
        </w:rPr>
        <w:t>objectives</w:t>
      </w:r>
      <w:r w:rsidRPr="5394FC23" w:rsidR="064A41BF">
        <w:rPr>
          <w:rFonts w:ascii="Arial" w:hAnsi="Arial" w:eastAsia="Arial" w:cs="Arial"/>
          <w:noProof w:val="0"/>
          <w:color w:val="auto"/>
          <w:sz w:val="22"/>
          <w:szCs w:val="22"/>
          <w:lang w:val="en-GB"/>
        </w:rPr>
        <w:t xml:space="preserve"> within the banking industry.</w:t>
      </w:r>
    </w:p>
    <w:p w:rsidR="5A638AE4" w:rsidP="5394FC23" w:rsidRDefault="5A638AE4" w14:paraId="45839313" w14:textId="08C5BD97">
      <w:pPr>
        <w:pStyle w:val="Normal"/>
        <w:spacing w:line="360" w:lineRule="auto"/>
        <w:jc w:val="both"/>
        <w:rPr>
          <w:rFonts w:ascii="Arial" w:hAnsi="Arial" w:eastAsia="Arial" w:cs="Arial"/>
          <w:noProof w:val="0"/>
          <w:color w:val="auto"/>
          <w:sz w:val="22"/>
          <w:szCs w:val="22"/>
          <w:lang w:val="en-GB"/>
        </w:rPr>
      </w:pPr>
      <w:r w:rsidRPr="5394FC23" w:rsidR="706A4A66">
        <w:rPr>
          <w:rFonts w:ascii="Arial" w:hAnsi="Arial" w:eastAsia="Arial" w:cs="Arial"/>
          <w:noProof w:val="0"/>
          <w:color w:val="auto"/>
          <w:sz w:val="22"/>
          <w:szCs w:val="22"/>
          <w:lang w:val="en-GB"/>
        </w:rPr>
        <w:t xml:space="preserve">Lewin’s three-step change management model has long been celebrated for its structured approach, with Bakari, </w:t>
      </w:r>
      <w:r w:rsidRPr="5394FC23" w:rsidR="706A4A66">
        <w:rPr>
          <w:rFonts w:ascii="Arial" w:hAnsi="Arial" w:eastAsia="Arial" w:cs="Arial"/>
          <w:noProof w:val="0"/>
          <w:color w:val="auto"/>
          <w:sz w:val="22"/>
          <w:szCs w:val="22"/>
          <w:lang w:val="en-GB"/>
        </w:rPr>
        <w:t>Hunjra</w:t>
      </w:r>
      <w:r w:rsidRPr="5394FC23" w:rsidR="706A4A66">
        <w:rPr>
          <w:rFonts w:ascii="Arial" w:hAnsi="Arial" w:eastAsia="Arial" w:cs="Arial"/>
          <w:noProof w:val="0"/>
          <w:color w:val="auto"/>
          <w:sz w:val="22"/>
          <w:szCs w:val="22"/>
          <w:lang w:val="en-GB"/>
        </w:rPr>
        <w:t xml:space="preserve">, and Niazi (2017) recognising him as the "father of planned change" (p. 155). Despite its </w:t>
      </w:r>
      <w:r w:rsidRPr="5394FC23" w:rsidR="706A4A66">
        <w:rPr>
          <w:rFonts w:ascii="Arial" w:hAnsi="Arial" w:eastAsia="Arial" w:cs="Arial"/>
          <w:noProof w:val="0"/>
          <w:color w:val="auto"/>
          <w:sz w:val="22"/>
          <w:szCs w:val="22"/>
          <w:lang w:val="en-GB"/>
        </w:rPr>
        <w:t>initial</w:t>
      </w:r>
      <w:r w:rsidRPr="5394FC23" w:rsidR="706A4A66">
        <w:rPr>
          <w:rFonts w:ascii="Arial" w:hAnsi="Arial" w:eastAsia="Arial" w:cs="Arial"/>
          <w:noProof w:val="0"/>
          <w:color w:val="auto"/>
          <w:sz w:val="22"/>
          <w:szCs w:val="22"/>
          <w:lang w:val="en-GB"/>
        </w:rPr>
        <w:t xml:space="preserve"> influence, however, the model has faced increasing criticism in today’s fast-paced, complex environments. Burnes (2004) argues that Lewin’s model is “relevant only to small-scale changes in stable conditions” (p. 978), highlighting its limitations in rapidly evolving contexts where a more adaptive and flexible approach is needed. Moreover, the model's linear, top-down structure can be overly rigid, often neglecting the nuanced, human-centred aspects of change. In modern workplaces, change often requires collaboration, empathy, and adaptability</w:t>
      </w:r>
      <w:r w:rsidRPr="5394FC23" w:rsidR="10BA27E1">
        <w:rPr>
          <w:rFonts w:ascii="Arial" w:hAnsi="Arial" w:eastAsia="Arial" w:cs="Arial"/>
          <w:noProof w:val="0"/>
          <w:color w:val="auto"/>
          <w:sz w:val="22"/>
          <w:szCs w:val="22"/>
          <w:lang w:val="en-GB"/>
        </w:rPr>
        <w:t xml:space="preserve"> (Brunes 2017)</w:t>
      </w:r>
      <w:r w:rsidRPr="5394FC23" w:rsidR="706A4A66">
        <w:rPr>
          <w:rFonts w:ascii="Arial" w:hAnsi="Arial" w:eastAsia="Arial" w:cs="Arial"/>
          <w:noProof w:val="0"/>
          <w:color w:val="auto"/>
          <w:sz w:val="22"/>
          <w:szCs w:val="22"/>
          <w:lang w:val="en-GB"/>
        </w:rPr>
        <w:t xml:space="preserve">, which Lewin’s </w:t>
      </w:r>
      <w:r w:rsidRPr="5394FC23" w:rsidR="3327D6E9">
        <w:rPr>
          <w:rFonts w:ascii="Arial" w:hAnsi="Arial" w:eastAsia="Arial" w:cs="Arial"/>
          <w:noProof w:val="0"/>
          <w:color w:val="auto"/>
          <w:sz w:val="22"/>
          <w:szCs w:val="22"/>
          <w:lang w:val="en-GB"/>
        </w:rPr>
        <w:t>approach</w:t>
      </w:r>
      <w:r w:rsidRPr="5394FC23" w:rsidR="706A4A66">
        <w:rPr>
          <w:rFonts w:ascii="Arial" w:hAnsi="Arial" w:eastAsia="Arial" w:cs="Arial"/>
          <w:noProof w:val="0"/>
          <w:color w:val="auto"/>
          <w:sz w:val="22"/>
          <w:szCs w:val="22"/>
          <w:lang w:val="en-GB"/>
        </w:rPr>
        <w:t xml:space="preserve"> lacks</w:t>
      </w:r>
      <w:r w:rsidRPr="5394FC23" w:rsidR="3EFBD287">
        <w:rPr>
          <w:rFonts w:ascii="Arial" w:hAnsi="Arial" w:eastAsia="Arial" w:cs="Arial"/>
          <w:noProof w:val="0"/>
          <w:color w:val="auto"/>
          <w:sz w:val="22"/>
          <w:szCs w:val="22"/>
          <w:lang w:val="en-GB"/>
        </w:rPr>
        <w:t xml:space="preserve"> (Brunes 2004)</w:t>
      </w:r>
      <w:r w:rsidRPr="5394FC23" w:rsidR="706A4A66">
        <w:rPr>
          <w:rFonts w:ascii="Arial" w:hAnsi="Arial" w:eastAsia="Arial" w:cs="Arial"/>
          <w:noProof w:val="0"/>
          <w:color w:val="auto"/>
          <w:sz w:val="22"/>
          <w:szCs w:val="22"/>
          <w:lang w:val="en-GB"/>
        </w:rPr>
        <w:t>. Consequently, while Lewin’s framework provides a foundational understanding of structured change, its application may be inadequate for addressing the demands of large-scale, unpredictable shifts in today's organisations.</w:t>
      </w:r>
    </w:p>
    <w:p w:rsidR="5A638AE4" w:rsidP="5394FC23" w:rsidRDefault="5A638AE4" w14:paraId="467E7D80" w14:textId="36B4B062">
      <w:pPr>
        <w:pStyle w:val="Normal"/>
        <w:spacing w:line="360" w:lineRule="auto"/>
        <w:jc w:val="both"/>
        <w:rPr>
          <w:rFonts w:ascii="Arial" w:hAnsi="Arial" w:eastAsia="Arial" w:cs="Arial"/>
          <w:noProof w:val="0"/>
          <w:color w:val="auto"/>
          <w:sz w:val="22"/>
          <w:szCs w:val="22"/>
          <w:lang w:val="en-GB"/>
        </w:rPr>
      </w:pPr>
    </w:p>
    <w:p w:rsidR="5A638AE4" w:rsidP="5394FC23" w:rsidRDefault="5A638AE4" w14:paraId="137605D0" w14:textId="196B720E">
      <w:pPr>
        <w:pStyle w:val="Normal"/>
        <w:spacing w:line="360" w:lineRule="auto"/>
        <w:jc w:val="both"/>
        <w:rPr>
          <w:rFonts w:ascii="Arial" w:hAnsi="Arial" w:eastAsia="Arial" w:cs="Arial"/>
          <w:noProof w:val="0"/>
          <w:color w:val="auto"/>
          <w:sz w:val="22"/>
          <w:szCs w:val="22"/>
          <w:lang w:val="en-GB"/>
        </w:rPr>
      </w:pPr>
    </w:p>
    <w:p w:rsidR="5A638AE4" w:rsidP="5394FC23" w:rsidRDefault="5A638AE4" w14:paraId="77C19EB6" w14:textId="007A96BA">
      <w:pPr>
        <w:pStyle w:val="Normal"/>
        <w:spacing w:line="360" w:lineRule="auto"/>
        <w:jc w:val="both"/>
        <w:rPr>
          <w:rFonts w:ascii="Arial" w:hAnsi="Arial" w:eastAsia="Arial" w:cs="Arial"/>
          <w:noProof w:val="0"/>
          <w:color w:val="auto"/>
          <w:sz w:val="22"/>
          <w:szCs w:val="22"/>
          <w:lang w:val="en-GB"/>
        </w:rPr>
      </w:pPr>
    </w:p>
    <w:p w:rsidR="5A638AE4" w:rsidP="5394FC23" w:rsidRDefault="5A638AE4" w14:paraId="52E7FDEF" w14:textId="2EAADF3E">
      <w:pPr>
        <w:pStyle w:val="Normal"/>
        <w:spacing w:line="360" w:lineRule="auto"/>
        <w:jc w:val="both"/>
        <w:rPr>
          <w:rFonts w:ascii="Arial" w:hAnsi="Arial" w:eastAsia="Arial" w:cs="Arial"/>
          <w:noProof w:val="0"/>
          <w:color w:val="auto"/>
          <w:sz w:val="22"/>
          <w:szCs w:val="22"/>
          <w:lang w:val="en-GB"/>
        </w:rPr>
      </w:pPr>
    </w:p>
    <w:p w:rsidR="5A638AE4" w:rsidP="5394FC23" w:rsidRDefault="5A638AE4" w14:paraId="0322499B" w14:textId="395FC252">
      <w:pPr>
        <w:pStyle w:val="Normal"/>
        <w:spacing w:line="360" w:lineRule="auto"/>
        <w:jc w:val="both"/>
        <w:rPr>
          <w:rFonts w:ascii="Arial" w:hAnsi="Arial" w:eastAsia="Arial" w:cs="Arial"/>
          <w:noProof w:val="0"/>
          <w:color w:val="auto"/>
          <w:sz w:val="22"/>
          <w:szCs w:val="22"/>
          <w:lang w:val="en-GB"/>
        </w:rPr>
      </w:pPr>
    </w:p>
    <w:p w:rsidR="5A638AE4" w:rsidP="5394FC23" w:rsidRDefault="5A638AE4" w14:paraId="5BBBC5E5" w14:textId="2C1C1283">
      <w:pPr>
        <w:pStyle w:val="Normal"/>
        <w:spacing w:line="360" w:lineRule="auto"/>
        <w:jc w:val="both"/>
        <w:rPr>
          <w:rFonts w:ascii="Arial" w:hAnsi="Arial" w:eastAsia="Arial" w:cs="Arial"/>
          <w:noProof w:val="0"/>
          <w:color w:val="auto"/>
          <w:sz w:val="22"/>
          <w:szCs w:val="22"/>
          <w:lang w:val="en-GB"/>
        </w:rPr>
      </w:pPr>
    </w:p>
    <w:p w:rsidR="5A638AE4" w:rsidP="5394FC23" w:rsidRDefault="5A638AE4" w14:paraId="0B3E3CAA" w14:textId="02B0E82C">
      <w:pPr>
        <w:pStyle w:val="Heading2"/>
        <w:spacing w:line="360" w:lineRule="auto"/>
        <w:jc w:val="both"/>
        <w:rPr>
          <w:rFonts w:ascii="Arial" w:hAnsi="Arial" w:eastAsia="Arial" w:cs="Arial"/>
          <w:b w:val="1"/>
          <w:bCs w:val="1"/>
          <w:noProof w:val="0"/>
          <w:color w:val="auto"/>
          <w:sz w:val="22"/>
          <w:szCs w:val="22"/>
          <w:lang w:val="en-GB"/>
        </w:rPr>
      </w:pPr>
      <w:bookmarkStart w:name="_Toc67119953" w:id="79537249"/>
      <w:r w:rsidRPr="5394FC23" w:rsidR="42A365AC">
        <w:rPr>
          <w:rFonts w:ascii="Arial" w:hAnsi="Arial" w:eastAsia="Arial" w:cs="Arial"/>
          <w:b w:val="1"/>
          <w:bCs w:val="1"/>
          <w:noProof w:val="0"/>
          <w:color w:val="auto"/>
          <w:sz w:val="22"/>
          <w:szCs w:val="22"/>
          <w:lang w:val="en-GB"/>
        </w:rPr>
        <w:t>Kotter’s 8 steps of change model</w:t>
      </w:r>
      <w:bookmarkEnd w:id="79537249"/>
    </w:p>
    <w:p w:rsidR="5A638AE4" w:rsidP="5394FC23" w:rsidRDefault="5A638AE4" w14:paraId="0D7B567B" w14:textId="5A39917A">
      <w:pPr>
        <w:pStyle w:val="Normal"/>
        <w:spacing w:line="360" w:lineRule="auto"/>
        <w:jc w:val="both"/>
        <w:rPr>
          <w:rFonts w:ascii="Arial" w:hAnsi="Arial" w:eastAsia="Arial" w:cs="Arial"/>
          <w:noProof w:val="0"/>
          <w:color w:val="auto"/>
          <w:sz w:val="22"/>
          <w:szCs w:val="22"/>
          <w:lang w:val="en-GB"/>
        </w:rPr>
      </w:pPr>
    </w:p>
    <w:p w:rsidR="5A638AE4" w:rsidP="5394FC23" w:rsidRDefault="5A638AE4" w14:paraId="4B9C4F6A" w14:textId="3656E3CD">
      <w:pPr>
        <w:pStyle w:val="Normal"/>
        <w:spacing w:line="360" w:lineRule="auto"/>
        <w:jc w:val="both"/>
        <w:rPr>
          <w:rFonts w:ascii="Arial" w:hAnsi="Arial" w:eastAsia="Arial" w:cs="Arial"/>
          <w:color w:val="auto"/>
          <w:sz w:val="22"/>
          <w:szCs w:val="22"/>
        </w:rPr>
      </w:pPr>
      <w:r w:rsidR="51AF7AC4">
        <w:drawing>
          <wp:inline wp14:editId="375E047E" wp14:anchorId="65804998">
            <wp:extent cx="3196958" cy="3372976"/>
            <wp:effectExtent l="0" t="0" r="0" b="0"/>
            <wp:docPr id="465779435" name="" title=""/>
            <wp:cNvGraphicFramePr>
              <a:graphicFrameLocks noChangeAspect="1"/>
            </wp:cNvGraphicFramePr>
            <a:graphic>
              <a:graphicData uri="http://schemas.openxmlformats.org/drawingml/2006/picture">
                <pic:pic>
                  <pic:nvPicPr>
                    <pic:cNvPr id="0" name=""/>
                    <pic:cNvPicPr/>
                  </pic:nvPicPr>
                  <pic:blipFill>
                    <a:blip r:embed="R5fefbfe992aa4b29">
                      <a:extLst>
                        <a:ext xmlns:a="http://schemas.openxmlformats.org/drawingml/2006/main" uri="{28A0092B-C50C-407E-A947-70E740481C1C}">
                          <a14:useLocalDpi val="0"/>
                        </a:ext>
                      </a:extLst>
                    </a:blip>
                    <a:srcRect l="12259" t="1917" r="7211" b="1095"/>
                    <a:stretch>
                      <a:fillRect/>
                    </a:stretch>
                  </pic:blipFill>
                  <pic:spPr>
                    <a:xfrm>
                      <a:off x="0" y="0"/>
                      <a:ext cx="3196958" cy="3372976"/>
                    </a:xfrm>
                    <a:prstGeom prst="rect">
                      <a:avLst/>
                    </a:prstGeom>
                  </pic:spPr>
                </pic:pic>
              </a:graphicData>
            </a:graphic>
          </wp:inline>
        </w:drawing>
      </w:r>
    </w:p>
    <w:p w:rsidR="5A638AE4" w:rsidP="5394FC23" w:rsidRDefault="5A638AE4" w14:paraId="34A13306" w14:textId="6B7B4D2D">
      <w:pPr>
        <w:pStyle w:val="Normal"/>
        <w:spacing w:line="360" w:lineRule="auto"/>
        <w:jc w:val="both"/>
        <w:rPr>
          <w:rFonts w:ascii="Arial" w:hAnsi="Arial" w:eastAsia="Arial" w:cs="Arial"/>
          <w:color w:val="auto"/>
          <w:sz w:val="22"/>
          <w:szCs w:val="22"/>
        </w:rPr>
      </w:pPr>
      <w:r w:rsidRPr="5394FC23" w:rsidR="3EBA8E2A">
        <w:rPr>
          <w:rFonts w:ascii="Arial" w:hAnsi="Arial" w:eastAsia="Arial" w:cs="Arial"/>
          <w:color w:val="auto"/>
          <w:sz w:val="22"/>
          <w:szCs w:val="22"/>
        </w:rPr>
        <w:t>Kotter’s 8 Step Change Model (Kotter 1995)</w:t>
      </w:r>
    </w:p>
    <w:p w:rsidR="5A638AE4" w:rsidP="5394FC23" w:rsidRDefault="5A638AE4" w14:paraId="27A6B72D" w14:textId="7AE6735D">
      <w:pPr>
        <w:pStyle w:val="Normal"/>
        <w:spacing w:line="360" w:lineRule="auto"/>
        <w:jc w:val="both"/>
        <w:rPr>
          <w:rFonts w:ascii="Arial" w:hAnsi="Arial" w:eastAsia="Arial" w:cs="Arial"/>
          <w:color w:val="auto"/>
          <w:sz w:val="22"/>
          <w:szCs w:val="22"/>
        </w:rPr>
      </w:pPr>
      <w:r w:rsidRPr="5394FC23" w:rsidR="0E463495">
        <w:rPr>
          <w:rFonts w:ascii="Arial" w:hAnsi="Arial" w:eastAsia="Arial" w:cs="Arial"/>
          <w:color w:val="auto"/>
          <w:sz w:val="22"/>
          <w:szCs w:val="22"/>
        </w:rPr>
        <w:t xml:space="preserve">In Kotter’s change management model, the </w:t>
      </w:r>
      <w:r w:rsidRPr="5394FC23" w:rsidR="0E463495">
        <w:rPr>
          <w:rFonts w:ascii="Arial" w:hAnsi="Arial" w:eastAsia="Arial" w:cs="Arial"/>
          <w:color w:val="auto"/>
          <w:sz w:val="22"/>
          <w:szCs w:val="22"/>
        </w:rPr>
        <w:t>initial</w:t>
      </w:r>
      <w:r w:rsidRPr="5394FC23" w:rsidR="0E463495">
        <w:rPr>
          <w:rFonts w:ascii="Arial" w:hAnsi="Arial" w:eastAsia="Arial" w:cs="Arial"/>
          <w:color w:val="auto"/>
          <w:sz w:val="22"/>
          <w:szCs w:val="22"/>
        </w:rPr>
        <w:t xml:space="preserve"> step in guiding an organisation through transformation is creating a sense of urgency (Kotter, 1995). A relevant example in banking is the COVID-19 pandemic, which </w:t>
      </w:r>
      <w:r w:rsidRPr="5394FC23" w:rsidR="0E463495">
        <w:rPr>
          <w:rFonts w:ascii="Arial" w:hAnsi="Arial" w:eastAsia="Arial" w:cs="Arial"/>
          <w:color w:val="auto"/>
          <w:sz w:val="22"/>
          <w:szCs w:val="22"/>
        </w:rPr>
        <w:t>necessitated</w:t>
      </w:r>
      <w:r w:rsidRPr="5394FC23" w:rsidR="0E463495">
        <w:rPr>
          <w:rFonts w:ascii="Arial" w:hAnsi="Arial" w:eastAsia="Arial" w:cs="Arial"/>
          <w:color w:val="auto"/>
          <w:sz w:val="22"/>
          <w:szCs w:val="22"/>
        </w:rPr>
        <w:t xml:space="preserve"> branch closures to protect public health (</w:t>
      </w:r>
      <w:r w:rsidRPr="5394FC23" w:rsidR="0E463495">
        <w:rPr>
          <w:rFonts w:ascii="Arial" w:hAnsi="Arial" w:eastAsia="Arial" w:cs="Arial"/>
          <w:color w:val="auto"/>
          <w:sz w:val="22"/>
          <w:szCs w:val="22"/>
        </w:rPr>
        <w:t>Grasselli</w:t>
      </w:r>
      <w:r w:rsidRPr="5394FC23" w:rsidR="0E463495">
        <w:rPr>
          <w:rFonts w:ascii="Arial" w:hAnsi="Arial" w:eastAsia="Arial" w:cs="Arial"/>
          <w:color w:val="auto"/>
          <w:sz w:val="22"/>
          <w:szCs w:val="22"/>
        </w:rPr>
        <w:t>, 2022). To continue operations amid such uncertainty, a rapid transition to digital services became essential.</w:t>
      </w:r>
    </w:p>
    <w:p w:rsidR="5A638AE4" w:rsidP="5394FC23" w:rsidRDefault="5A638AE4" w14:paraId="0BB0668C" w14:textId="64CAC4CE">
      <w:pPr>
        <w:pStyle w:val="Normal"/>
        <w:spacing w:line="360" w:lineRule="auto"/>
        <w:jc w:val="both"/>
        <w:rPr>
          <w:rFonts w:ascii="Arial" w:hAnsi="Arial" w:eastAsia="Arial" w:cs="Arial"/>
          <w:color w:val="auto"/>
          <w:sz w:val="22"/>
          <w:szCs w:val="22"/>
        </w:rPr>
      </w:pPr>
      <w:r w:rsidRPr="5394FC23" w:rsidR="0E463495">
        <w:rPr>
          <w:rFonts w:ascii="Arial" w:hAnsi="Arial" w:eastAsia="Arial" w:cs="Arial"/>
          <w:color w:val="auto"/>
          <w:sz w:val="22"/>
          <w:szCs w:val="22"/>
        </w:rPr>
        <w:t>Kotter’s next step emphasises building a guiding coalition, which, in the banking context, involves aligning stakeholders and employees with the need for prompt change, especially in unprecedented situations (</w:t>
      </w:r>
      <w:r w:rsidRPr="5394FC23" w:rsidR="0E463495">
        <w:rPr>
          <w:rFonts w:ascii="Arial" w:hAnsi="Arial" w:eastAsia="Arial" w:cs="Arial"/>
          <w:color w:val="auto"/>
          <w:sz w:val="22"/>
          <w:szCs w:val="22"/>
        </w:rPr>
        <w:t>Sittrop</w:t>
      </w:r>
      <w:r w:rsidRPr="5394FC23" w:rsidR="0E463495">
        <w:rPr>
          <w:rFonts w:ascii="Arial" w:hAnsi="Arial" w:eastAsia="Arial" w:cs="Arial"/>
          <w:color w:val="auto"/>
          <w:sz w:val="22"/>
          <w:szCs w:val="22"/>
        </w:rPr>
        <w:t xml:space="preserve"> and Crosthwaite, 2021). For Lloyds Bank, a strong coalition would be instrumental in promoting digital innovation to equip teams for these impending shifts.</w:t>
      </w:r>
    </w:p>
    <w:p w:rsidR="5A638AE4" w:rsidP="5394FC23" w:rsidRDefault="5A638AE4" w14:paraId="2F7D330D" w14:textId="72B495E7">
      <w:pPr>
        <w:pStyle w:val="Normal"/>
        <w:suppressLineNumbers w:val="0"/>
        <w:bidi w:val="0"/>
        <w:spacing w:before="0" w:beforeAutospacing="off" w:after="160" w:afterAutospacing="off" w:line="360" w:lineRule="auto"/>
        <w:ind w:left="0" w:right="0"/>
        <w:jc w:val="both"/>
        <w:rPr>
          <w:rFonts w:ascii="Arial" w:hAnsi="Arial" w:eastAsia="Arial" w:cs="Arial"/>
          <w:color w:val="auto"/>
          <w:sz w:val="22"/>
          <w:szCs w:val="22"/>
        </w:rPr>
      </w:pPr>
      <w:r w:rsidRPr="5394FC23" w:rsidR="734CFD11">
        <w:rPr>
          <w:rFonts w:ascii="Arial" w:hAnsi="Arial" w:eastAsia="Arial" w:cs="Arial"/>
          <w:color w:val="auto"/>
          <w:sz w:val="22"/>
          <w:szCs w:val="22"/>
        </w:rPr>
        <w:t xml:space="preserve">The following step in Kotter’s model involves crafting clear visions and strategies to guide the change process (Kotter, 1995; </w:t>
      </w:r>
      <w:r w:rsidRPr="5394FC23" w:rsidR="734CFD11">
        <w:rPr>
          <w:rFonts w:ascii="Arial" w:hAnsi="Arial" w:eastAsia="Arial" w:cs="Arial"/>
          <w:color w:val="auto"/>
          <w:sz w:val="22"/>
          <w:szCs w:val="22"/>
        </w:rPr>
        <w:t>Sittrop</w:t>
      </w:r>
      <w:r w:rsidRPr="5394FC23" w:rsidR="734CFD11">
        <w:rPr>
          <w:rFonts w:ascii="Arial" w:hAnsi="Arial" w:eastAsia="Arial" w:cs="Arial"/>
          <w:color w:val="auto"/>
          <w:sz w:val="22"/>
          <w:szCs w:val="22"/>
        </w:rPr>
        <w:t xml:space="preserve"> and Crosthwaite, 2021). For Lloyds Bank, this meant planning how operations would function without in-person support for certain customer groups.</w:t>
      </w:r>
    </w:p>
    <w:p w:rsidR="5A638AE4" w:rsidP="5394FC23" w:rsidRDefault="5A638AE4" w14:paraId="5F431C2E" w14:textId="77DE3BD8">
      <w:pPr>
        <w:pStyle w:val="Normal"/>
        <w:suppressLineNumbers w:val="0"/>
        <w:bidi w:val="0"/>
        <w:spacing w:before="0" w:beforeAutospacing="off" w:after="160" w:afterAutospacing="off" w:line="360" w:lineRule="auto"/>
        <w:ind w:left="0" w:right="0"/>
        <w:jc w:val="both"/>
        <w:rPr>
          <w:rFonts w:ascii="Arial" w:hAnsi="Arial" w:eastAsia="Arial" w:cs="Arial"/>
          <w:color w:val="auto"/>
          <w:sz w:val="22"/>
          <w:szCs w:val="22"/>
        </w:rPr>
      </w:pPr>
      <w:r w:rsidRPr="5394FC23" w:rsidR="734CFD11">
        <w:rPr>
          <w:rFonts w:ascii="Arial" w:hAnsi="Arial" w:eastAsia="Arial" w:cs="Arial"/>
          <w:color w:val="auto"/>
          <w:sz w:val="22"/>
          <w:szCs w:val="22"/>
        </w:rPr>
        <w:t xml:space="preserve">Step four emphasises communicating the change effectively (Kotter, 1995), guiding Lloyds Bank’s leaders to outline a forward-looking vision and encourage employees to embrace a digital-first approach. Mohamed (2021) underscores the importance of clear communication in conveying this vision, while </w:t>
      </w:r>
      <w:r w:rsidRPr="5394FC23" w:rsidR="734CFD11">
        <w:rPr>
          <w:rFonts w:ascii="Arial" w:hAnsi="Arial" w:eastAsia="Arial" w:cs="Arial"/>
          <w:color w:val="auto"/>
          <w:sz w:val="22"/>
          <w:szCs w:val="22"/>
        </w:rPr>
        <w:t>Sittrop</w:t>
      </w:r>
      <w:r w:rsidRPr="5394FC23" w:rsidR="734CFD11">
        <w:rPr>
          <w:rFonts w:ascii="Arial" w:hAnsi="Arial" w:eastAsia="Arial" w:cs="Arial"/>
          <w:color w:val="auto"/>
          <w:sz w:val="22"/>
          <w:szCs w:val="22"/>
        </w:rPr>
        <w:t xml:space="preserve"> and Crosthwaite (2021) warn that inadequate management of resistance can hinder innovation, especially if employees do not fully support the change.</w:t>
      </w:r>
    </w:p>
    <w:p w:rsidR="5A638AE4" w:rsidP="5394FC23" w:rsidRDefault="5A638AE4" w14:paraId="37D7364C" w14:textId="40EC9E51">
      <w:pPr>
        <w:pStyle w:val="Normal"/>
        <w:suppressLineNumbers w:val="0"/>
        <w:bidi w:val="0"/>
        <w:spacing w:before="0" w:beforeAutospacing="off" w:after="160" w:afterAutospacing="off" w:line="360" w:lineRule="auto"/>
        <w:ind w:left="0" w:right="0"/>
        <w:jc w:val="both"/>
        <w:rPr>
          <w:rFonts w:ascii="Arial" w:hAnsi="Arial" w:eastAsia="Arial" w:cs="Arial"/>
          <w:color w:val="auto"/>
          <w:sz w:val="22"/>
          <w:szCs w:val="22"/>
        </w:rPr>
      </w:pPr>
      <w:r w:rsidRPr="5394FC23" w:rsidR="39A16A32">
        <w:rPr>
          <w:rFonts w:ascii="Arial" w:hAnsi="Arial" w:eastAsia="Arial" w:cs="Arial"/>
          <w:color w:val="auto"/>
          <w:sz w:val="22"/>
          <w:szCs w:val="22"/>
        </w:rPr>
        <w:t xml:space="preserve">Obstacles are inevitable during any change process, and Kotter’s fifth step emphasises the importance of removing these barriers (Kotter, 1995; </w:t>
      </w:r>
      <w:r w:rsidRPr="5394FC23" w:rsidR="39A16A32">
        <w:rPr>
          <w:rFonts w:ascii="Arial" w:hAnsi="Arial" w:eastAsia="Arial" w:cs="Arial"/>
          <w:color w:val="auto"/>
          <w:sz w:val="22"/>
          <w:szCs w:val="22"/>
        </w:rPr>
        <w:t>Sittrop</w:t>
      </w:r>
      <w:r w:rsidRPr="5394FC23" w:rsidR="39A16A32">
        <w:rPr>
          <w:rFonts w:ascii="Arial" w:hAnsi="Arial" w:eastAsia="Arial" w:cs="Arial"/>
          <w:color w:val="auto"/>
          <w:sz w:val="22"/>
          <w:szCs w:val="22"/>
        </w:rPr>
        <w:t xml:space="preserve"> and Crosthwaite, 2021). For Lloyds Bank, a significant barrier in the digitalisation of banking processes is cybersecurity and data protection. As services shift online, the risk of cyberattacks and data breaches increases, making it essential to implement strong security measures to safeguard sensitive information and preserve customer trust (</w:t>
      </w:r>
      <w:r w:rsidRPr="5394FC23" w:rsidR="39A16A32">
        <w:rPr>
          <w:rFonts w:ascii="Arial" w:hAnsi="Arial" w:eastAsia="Arial" w:cs="Arial"/>
          <w:color w:val="auto"/>
          <w:sz w:val="22"/>
          <w:szCs w:val="22"/>
        </w:rPr>
        <w:t>Mgiba</w:t>
      </w:r>
      <w:r w:rsidRPr="5394FC23" w:rsidR="39A16A32">
        <w:rPr>
          <w:rFonts w:ascii="Arial" w:hAnsi="Arial" w:eastAsia="Arial" w:cs="Arial"/>
          <w:color w:val="auto"/>
          <w:sz w:val="22"/>
          <w:szCs w:val="22"/>
        </w:rPr>
        <w:t xml:space="preserve"> and </w:t>
      </w:r>
      <w:r w:rsidRPr="5394FC23" w:rsidR="39A16A32">
        <w:rPr>
          <w:rFonts w:ascii="Arial" w:hAnsi="Arial" w:eastAsia="Arial" w:cs="Arial"/>
          <w:color w:val="auto"/>
          <w:sz w:val="22"/>
          <w:szCs w:val="22"/>
        </w:rPr>
        <w:t>Mxotwa</w:t>
      </w:r>
      <w:r w:rsidRPr="5394FC23" w:rsidR="39A16A32">
        <w:rPr>
          <w:rFonts w:ascii="Arial" w:hAnsi="Arial" w:eastAsia="Arial" w:cs="Arial"/>
          <w:color w:val="auto"/>
          <w:sz w:val="22"/>
          <w:szCs w:val="22"/>
        </w:rPr>
        <w:t>, 2024).</w:t>
      </w:r>
    </w:p>
    <w:p w:rsidR="5A638AE4" w:rsidP="5394FC23" w:rsidRDefault="5A638AE4" w14:paraId="2D519ED9" w14:textId="2959E46E">
      <w:pPr>
        <w:pStyle w:val="Normal"/>
        <w:spacing w:line="360" w:lineRule="auto"/>
        <w:jc w:val="both"/>
        <w:rPr>
          <w:rFonts w:ascii="Arial" w:hAnsi="Arial" w:eastAsia="Arial" w:cs="Arial"/>
          <w:color w:val="auto"/>
          <w:sz w:val="22"/>
          <w:szCs w:val="22"/>
        </w:rPr>
      </w:pPr>
      <w:r w:rsidRPr="5394FC23" w:rsidR="2C86ADEA">
        <w:rPr>
          <w:rFonts w:ascii="Arial" w:hAnsi="Arial" w:eastAsia="Arial" w:cs="Arial"/>
          <w:color w:val="auto"/>
          <w:sz w:val="22"/>
          <w:szCs w:val="22"/>
        </w:rPr>
        <w:t xml:space="preserve">Kotter’s sixth step emphasizes achieving short-term wins (Kotter, 1995; </w:t>
      </w:r>
      <w:r w:rsidRPr="5394FC23" w:rsidR="2C86ADEA">
        <w:rPr>
          <w:rFonts w:ascii="Arial" w:hAnsi="Arial" w:eastAsia="Arial" w:cs="Arial"/>
          <w:color w:val="auto"/>
          <w:sz w:val="22"/>
          <w:szCs w:val="22"/>
        </w:rPr>
        <w:t>Sittrop</w:t>
      </w:r>
      <w:r w:rsidRPr="5394FC23" w:rsidR="2C86ADEA">
        <w:rPr>
          <w:rFonts w:ascii="Arial" w:hAnsi="Arial" w:eastAsia="Arial" w:cs="Arial"/>
          <w:color w:val="auto"/>
          <w:sz w:val="22"/>
          <w:szCs w:val="22"/>
        </w:rPr>
        <w:t xml:space="preserve"> and Crosthwaite, 2021). For Lloyds Bank, this includes engaging 19.5 million customers as active digital users. These early successes help boost team morale and lay the groundwork for reaching longer-term </w:t>
      </w:r>
      <w:r w:rsidRPr="5394FC23" w:rsidR="2C86ADEA">
        <w:rPr>
          <w:rFonts w:ascii="Arial" w:hAnsi="Arial" w:eastAsia="Arial" w:cs="Arial"/>
          <w:color w:val="auto"/>
          <w:sz w:val="22"/>
          <w:szCs w:val="22"/>
        </w:rPr>
        <w:t>objectives</w:t>
      </w:r>
      <w:r w:rsidRPr="5394FC23" w:rsidR="2C86ADEA">
        <w:rPr>
          <w:rFonts w:ascii="Arial" w:hAnsi="Arial" w:eastAsia="Arial" w:cs="Arial"/>
          <w:color w:val="auto"/>
          <w:sz w:val="22"/>
          <w:szCs w:val="22"/>
        </w:rPr>
        <w:t>. Since the pandemic, Lloyds Bank has strengthened its commitment to becoming a top digital bank (Lloyds Bank Annual Report, 2024).</w:t>
      </w:r>
    </w:p>
    <w:p w:rsidR="5A638AE4" w:rsidP="5394FC23" w:rsidRDefault="5A638AE4" w14:paraId="2040243A" w14:textId="50F7371F">
      <w:pPr>
        <w:pStyle w:val="Normal"/>
        <w:spacing w:line="360" w:lineRule="auto"/>
        <w:jc w:val="both"/>
        <w:rPr>
          <w:rFonts w:ascii="Arial" w:hAnsi="Arial" w:eastAsia="Arial" w:cs="Arial"/>
          <w:color w:val="auto"/>
          <w:sz w:val="22"/>
          <w:szCs w:val="22"/>
        </w:rPr>
      </w:pPr>
      <w:r w:rsidRPr="5394FC23" w:rsidR="41F58BFC">
        <w:rPr>
          <w:rFonts w:ascii="Arial" w:hAnsi="Arial" w:eastAsia="Arial" w:cs="Arial"/>
          <w:color w:val="auto"/>
          <w:sz w:val="22"/>
          <w:szCs w:val="22"/>
        </w:rPr>
        <w:t xml:space="preserve"> Building on change is the focus of Kotter’s seventh step</w:t>
      </w:r>
      <w:r w:rsidRPr="5394FC23" w:rsidR="3A71FF2D">
        <w:rPr>
          <w:rFonts w:ascii="Arial" w:hAnsi="Arial" w:eastAsia="Arial" w:cs="Arial"/>
          <w:color w:val="auto"/>
          <w:sz w:val="22"/>
          <w:szCs w:val="22"/>
        </w:rPr>
        <w:t xml:space="preserve"> (Kotter, 1995; </w:t>
      </w:r>
      <w:r w:rsidRPr="5394FC23" w:rsidR="3A71FF2D">
        <w:rPr>
          <w:rFonts w:ascii="Arial" w:hAnsi="Arial" w:eastAsia="Arial" w:cs="Arial"/>
          <w:color w:val="auto"/>
          <w:sz w:val="22"/>
          <w:szCs w:val="22"/>
        </w:rPr>
        <w:t>Sittrop</w:t>
      </w:r>
      <w:r w:rsidRPr="5394FC23" w:rsidR="3A71FF2D">
        <w:rPr>
          <w:rFonts w:ascii="Arial" w:hAnsi="Arial" w:eastAsia="Arial" w:cs="Arial"/>
          <w:color w:val="auto"/>
          <w:sz w:val="22"/>
          <w:szCs w:val="22"/>
        </w:rPr>
        <w:t xml:space="preserve"> and Crosthwaite, 2021)</w:t>
      </w:r>
      <w:r w:rsidRPr="5394FC23" w:rsidR="41F58BFC">
        <w:rPr>
          <w:rFonts w:ascii="Arial" w:hAnsi="Arial" w:eastAsia="Arial" w:cs="Arial"/>
          <w:color w:val="auto"/>
          <w:sz w:val="22"/>
          <w:szCs w:val="22"/>
        </w:rPr>
        <w:t xml:space="preserve">, which emphasizes that short-term wins should not be seen as the final achievement. Instead, organizations should </w:t>
      </w:r>
      <w:r w:rsidRPr="5394FC23" w:rsidR="41F58BFC">
        <w:rPr>
          <w:rFonts w:ascii="Arial" w:hAnsi="Arial" w:eastAsia="Arial" w:cs="Arial"/>
          <w:color w:val="auto"/>
          <w:sz w:val="22"/>
          <w:szCs w:val="22"/>
        </w:rPr>
        <w:t>leverage</w:t>
      </w:r>
      <w:r w:rsidRPr="5394FC23" w:rsidR="41F58BFC">
        <w:rPr>
          <w:rFonts w:ascii="Arial" w:hAnsi="Arial" w:eastAsia="Arial" w:cs="Arial"/>
          <w:color w:val="auto"/>
          <w:sz w:val="22"/>
          <w:szCs w:val="22"/>
        </w:rPr>
        <w:t xml:space="preserve"> these wins to drive further progress. Mohamed (2021) explains that continually supporting teams in their pursuit of the change vision and closely </w:t>
      </w:r>
      <w:r w:rsidRPr="5394FC23" w:rsidR="41F58BFC">
        <w:rPr>
          <w:rFonts w:ascii="Arial" w:hAnsi="Arial" w:eastAsia="Arial" w:cs="Arial"/>
          <w:color w:val="auto"/>
          <w:sz w:val="22"/>
          <w:szCs w:val="22"/>
        </w:rPr>
        <w:t>monitoring</w:t>
      </w:r>
      <w:r w:rsidRPr="5394FC23" w:rsidR="41F58BFC">
        <w:rPr>
          <w:rFonts w:ascii="Arial" w:hAnsi="Arial" w:eastAsia="Arial" w:cs="Arial"/>
          <w:color w:val="auto"/>
          <w:sz w:val="22"/>
          <w:szCs w:val="22"/>
        </w:rPr>
        <w:t xml:space="preserve"> progress helps sustain momentum, ensuring the successful implementation of the change process.</w:t>
      </w:r>
    </w:p>
    <w:p w:rsidR="5A638AE4" w:rsidP="5394FC23" w:rsidRDefault="5A638AE4" w14:paraId="3545551B" w14:textId="51566BA1">
      <w:pPr>
        <w:pStyle w:val="Normal"/>
        <w:spacing w:line="360" w:lineRule="auto"/>
        <w:jc w:val="both"/>
        <w:rPr>
          <w:rFonts w:ascii="Arial" w:hAnsi="Arial" w:eastAsia="Arial" w:cs="Arial"/>
          <w:color w:val="auto"/>
          <w:sz w:val="22"/>
          <w:szCs w:val="22"/>
        </w:rPr>
      </w:pPr>
      <w:r w:rsidRPr="5394FC23" w:rsidR="28802F2D">
        <w:rPr>
          <w:rFonts w:ascii="Arial" w:hAnsi="Arial" w:eastAsia="Arial" w:cs="Arial"/>
          <w:color w:val="auto"/>
          <w:sz w:val="22"/>
          <w:szCs w:val="22"/>
        </w:rPr>
        <w:t>The final phase is to embed the change within the organisation</w:t>
      </w:r>
      <w:r w:rsidRPr="5394FC23" w:rsidR="07825096">
        <w:rPr>
          <w:rFonts w:ascii="Arial" w:hAnsi="Arial" w:eastAsia="Arial" w:cs="Arial"/>
          <w:color w:val="auto"/>
          <w:sz w:val="22"/>
          <w:szCs w:val="22"/>
        </w:rPr>
        <w:t xml:space="preserve"> (Kotter, 1995; </w:t>
      </w:r>
      <w:r w:rsidRPr="5394FC23" w:rsidR="07825096">
        <w:rPr>
          <w:rFonts w:ascii="Arial" w:hAnsi="Arial" w:eastAsia="Arial" w:cs="Arial"/>
          <w:color w:val="auto"/>
          <w:sz w:val="22"/>
          <w:szCs w:val="22"/>
        </w:rPr>
        <w:t>Sittrop</w:t>
      </w:r>
      <w:r w:rsidRPr="5394FC23" w:rsidR="07825096">
        <w:rPr>
          <w:rFonts w:ascii="Arial" w:hAnsi="Arial" w:eastAsia="Arial" w:cs="Arial"/>
          <w:color w:val="auto"/>
          <w:sz w:val="22"/>
          <w:szCs w:val="22"/>
        </w:rPr>
        <w:t xml:space="preserve"> and Crosthwaite, 2021)</w:t>
      </w:r>
      <w:r w:rsidRPr="5394FC23" w:rsidR="28802F2D">
        <w:rPr>
          <w:rFonts w:ascii="Arial" w:hAnsi="Arial" w:eastAsia="Arial" w:cs="Arial"/>
          <w:color w:val="auto"/>
          <w:sz w:val="22"/>
          <w:szCs w:val="22"/>
        </w:rPr>
        <w:t>. Often, this involves adapting organisational visions and missions to align with the overarching goals of the strategic shift. This step focuses on solidifying the changes, making them an integral part of the organisation’s culture and daily practices.</w:t>
      </w:r>
    </w:p>
    <w:p w:rsidR="5A638AE4" w:rsidP="5394FC23" w:rsidRDefault="5A638AE4" w14:paraId="37DB28AA" w14:textId="01D47203">
      <w:pPr>
        <w:pStyle w:val="Normal"/>
        <w:spacing w:line="360" w:lineRule="auto"/>
        <w:jc w:val="both"/>
        <w:rPr>
          <w:rFonts w:ascii="Arial" w:hAnsi="Arial" w:eastAsia="Arial" w:cs="Arial"/>
          <w:color w:val="auto"/>
          <w:sz w:val="22"/>
          <w:szCs w:val="22"/>
        </w:rPr>
      </w:pPr>
      <w:r w:rsidRPr="5394FC23" w:rsidR="4CBEF57E">
        <w:rPr>
          <w:rFonts w:ascii="Arial" w:hAnsi="Arial" w:eastAsia="Arial" w:cs="Arial"/>
          <w:color w:val="auto"/>
          <w:sz w:val="22"/>
          <w:szCs w:val="22"/>
        </w:rPr>
        <w:t>Kotter’s 8-Step Change Model provides a structured approach to organi</w:t>
      </w:r>
      <w:r w:rsidRPr="5394FC23" w:rsidR="1798F1E6">
        <w:rPr>
          <w:rFonts w:ascii="Arial" w:hAnsi="Arial" w:eastAsia="Arial" w:cs="Arial"/>
          <w:color w:val="auto"/>
          <w:sz w:val="22"/>
          <w:szCs w:val="22"/>
        </w:rPr>
        <w:t>s</w:t>
      </w:r>
      <w:r w:rsidRPr="5394FC23" w:rsidR="4CBEF57E">
        <w:rPr>
          <w:rFonts w:ascii="Arial" w:hAnsi="Arial" w:eastAsia="Arial" w:cs="Arial"/>
          <w:color w:val="auto"/>
          <w:sz w:val="22"/>
          <w:szCs w:val="22"/>
        </w:rPr>
        <w:t xml:space="preserve">ational change, emphasizing urgency, coalition-building, </w:t>
      </w:r>
      <w:r w:rsidRPr="5394FC23" w:rsidR="70AEF55C">
        <w:rPr>
          <w:rFonts w:ascii="Arial" w:hAnsi="Arial" w:eastAsia="Arial" w:cs="Arial"/>
          <w:color w:val="auto"/>
          <w:sz w:val="22"/>
          <w:szCs w:val="22"/>
        </w:rPr>
        <w:t>unclouded vision</w:t>
      </w:r>
      <w:r w:rsidRPr="5394FC23" w:rsidR="4CBEF57E">
        <w:rPr>
          <w:rFonts w:ascii="Arial" w:hAnsi="Arial" w:eastAsia="Arial" w:cs="Arial"/>
          <w:color w:val="auto"/>
          <w:sz w:val="22"/>
          <w:szCs w:val="22"/>
        </w:rPr>
        <w:t>, and embedding new practices in the culture</w:t>
      </w:r>
      <w:r w:rsidRPr="5394FC23" w:rsidR="7A41D7F8">
        <w:rPr>
          <w:rFonts w:ascii="Arial" w:hAnsi="Arial" w:eastAsia="Arial" w:cs="Arial"/>
          <w:color w:val="auto"/>
          <w:sz w:val="22"/>
          <w:szCs w:val="22"/>
        </w:rPr>
        <w:t xml:space="preserve"> (Kotter, 1995; </w:t>
      </w:r>
      <w:r w:rsidRPr="5394FC23" w:rsidR="7A41D7F8">
        <w:rPr>
          <w:rFonts w:ascii="Arial" w:hAnsi="Arial" w:eastAsia="Arial" w:cs="Arial"/>
          <w:color w:val="auto"/>
          <w:sz w:val="22"/>
          <w:szCs w:val="22"/>
        </w:rPr>
        <w:t>Sittrop</w:t>
      </w:r>
      <w:r w:rsidRPr="5394FC23" w:rsidR="7A41D7F8">
        <w:rPr>
          <w:rFonts w:ascii="Arial" w:hAnsi="Arial" w:eastAsia="Arial" w:cs="Arial"/>
          <w:color w:val="auto"/>
          <w:sz w:val="22"/>
          <w:szCs w:val="22"/>
        </w:rPr>
        <w:t xml:space="preserve"> and Crosthwaite, 2021)</w:t>
      </w:r>
      <w:r w:rsidRPr="5394FC23" w:rsidR="4CBEF57E">
        <w:rPr>
          <w:rFonts w:ascii="Arial" w:hAnsi="Arial" w:eastAsia="Arial" w:cs="Arial"/>
          <w:color w:val="auto"/>
          <w:sz w:val="22"/>
          <w:szCs w:val="22"/>
        </w:rPr>
        <w:t xml:space="preserve">. Its strength lies in its detailed, sequential framework, which can help leaders </w:t>
      </w:r>
      <w:r w:rsidRPr="5394FC23" w:rsidR="4CBEF57E">
        <w:rPr>
          <w:rFonts w:ascii="Arial" w:hAnsi="Arial" w:eastAsia="Arial" w:cs="Arial"/>
          <w:color w:val="auto"/>
          <w:sz w:val="22"/>
          <w:szCs w:val="22"/>
        </w:rPr>
        <w:t>maintain</w:t>
      </w:r>
      <w:r w:rsidRPr="5394FC23" w:rsidR="4CBEF57E">
        <w:rPr>
          <w:rFonts w:ascii="Arial" w:hAnsi="Arial" w:eastAsia="Arial" w:cs="Arial"/>
          <w:color w:val="auto"/>
          <w:sz w:val="22"/>
          <w:szCs w:val="22"/>
        </w:rPr>
        <w:t xml:space="preserve"> momentum and reduce resistance to change</w:t>
      </w:r>
      <w:r w:rsidRPr="5394FC23" w:rsidR="028F1D04">
        <w:rPr>
          <w:rFonts w:ascii="Arial" w:hAnsi="Arial" w:eastAsia="Arial" w:cs="Arial"/>
          <w:color w:val="auto"/>
          <w:sz w:val="22"/>
          <w:szCs w:val="22"/>
        </w:rPr>
        <w:t xml:space="preserve"> (Graves </w:t>
      </w:r>
      <w:r w:rsidRPr="5394FC23" w:rsidR="028F1D04">
        <w:rPr>
          <w:rFonts w:ascii="Arial" w:hAnsi="Arial" w:eastAsia="Arial" w:cs="Arial"/>
          <w:i w:val="1"/>
          <w:iCs w:val="1"/>
          <w:color w:val="auto"/>
          <w:sz w:val="22"/>
          <w:szCs w:val="22"/>
        </w:rPr>
        <w:t>et al</w:t>
      </w:r>
      <w:r w:rsidRPr="5394FC23" w:rsidR="028F1D04">
        <w:rPr>
          <w:rFonts w:ascii="Arial" w:hAnsi="Arial" w:eastAsia="Arial" w:cs="Arial"/>
          <w:color w:val="auto"/>
          <w:sz w:val="22"/>
          <w:szCs w:val="22"/>
        </w:rPr>
        <w:t xml:space="preserve"> 2023)</w:t>
      </w:r>
      <w:r w:rsidRPr="5394FC23" w:rsidR="4CBEF57E">
        <w:rPr>
          <w:rFonts w:ascii="Arial" w:hAnsi="Arial" w:eastAsia="Arial" w:cs="Arial"/>
          <w:color w:val="auto"/>
          <w:sz w:val="22"/>
          <w:szCs w:val="22"/>
        </w:rPr>
        <w:t>. By including steps for short-term wins and cultural integration, Kotter’s model aims to foster lasting transformation within organi</w:t>
      </w:r>
      <w:r w:rsidRPr="5394FC23" w:rsidR="09B4DE6D">
        <w:rPr>
          <w:rFonts w:ascii="Arial" w:hAnsi="Arial" w:eastAsia="Arial" w:cs="Arial"/>
          <w:color w:val="auto"/>
          <w:sz w:val="22"/>
          <w:szCs w:val="22"/>
        </w:rPr>
        <w:t>s</w:t>
      </w:r>
      <w:r w:rsidRPr="5394FC23" w:rsidR="4CBEF57E">
        <w:rPr>
          <w:rFonts w:ascii="Arial" w:hAnsi="Arial" w:eastAsia="Arial" w:cs="Arial"/>
          <w:color w:val="auto"/>
          <w:sz w:val="22"/>
          <w:szCs w:val="22"/>
        </w:rPr>
        <w:t>ations.</w:t>
      </w:r>
    </w:p>
    <w:p w:rsidR="5A638AE4" w:rsidP="5394FC23" w:rsidRDefault="5A638AE4" w14:paraId="461EE4A4" w14:textId="7CDFE81F">
      <w:pPr>
        <w:pStyle w:val="Normal"/>
        <w:spacing w:line="360" w:lineRule="auto"/>
        <w:jc w:val="both"/>
        <w:rPr>
          <w:rFonts w:ascii="Arial" w:hAnsi="Arial" w:eastAsia="Arial" w:cs="Arial"/>
          <w:color w:val="auto"/>
          <w:sz w:val="22"/>
          <w:szCs w:val="22"/>
        </w:rPr>
      </w:pPr>
      <w:r w:rsidRPr="5394FC23" w:rsidR="24888554">
        <w:rPr>
          <w:rFonts w:ascii="Arial" w:hAnsi="Arial" w:eastAsia="Arial" w:cs="Arial"/>
          <w:color w:val="auto"/>
          <w:sz w:val="22"/>
          <w:szCs w:val="22"/>
        </w:rPr>
        <w:t xml:space="preserve">However, the model has been criticised for its rigid, linear structure, which may not be well-suited to today’s fast-paced and dynamic business environments that often require rapid and flexible responses (Graves et al., 2023; Kotter and von </w:t>
      </w:r>
      <w:r w:rsidRPr="5394FC23" w:rsidR="24888554">
        <w:rPr>
          <w:rFonts w:ascii="Arial" w:hAnsi="Arial" w:eastAsia="Arial" w:cs="Arial"/>
          <w:color w:val="auto"/>
          <w:sz w:val="22"/>
          <w:szCs w:val="22"/>
        </w:rPr>
        <w:t>Ameln</w:t>
      </w:r>
      <w:r w:rsidRPr="5394FC23" w:rsidR="24888554">
        <w:rPr>
          <w:rFonts w:ascii="Arial" w:hAnsi="Arial" w:eastAsia="Arial" w:cs="Arial"/>
          <w:color w:val="auto"/>
          <w:sz w:val="22"/>
          <w:szCs w:val="22"/>
        </w:rPr>
        <w:t xml:space="preserve">, 2019). Critics argue that its step-by-step approach assumes a predictable change process, which can hinder adaptation in volatile situations. Furthermore, as Kotter and von </w:t>
      </w:r>
      <w:r w:rsidRPr="5394FC23" w:rsidR="24888554">
        <w:rPr>
          <w:rFonts w:ascii="Arial" w:hAnsi="Arial" w:eastAsia="Arial" w:cs="Arial"/>
          <w:color w:val="auto"/>
          <w:sz w:val="22"/>
          <w:szCs w:val="22"/>
        </w:rPr>
        <w:t>Ameln</w:t>
      </w:r>
      <w:r w:rsidRPr="5394FC23" w:rsidR="24888554">
        <w:rPr>
          <w:rFonts w:ascii="Arial" w:hAnsi="Arial" w:eastAsia="Arial" w:cs="Arial"/>
          <w:color w:val="auto"/>
          <w:sz w:val="22"/>
          <w:szCs w:val="22"/>
        </w:rPr>
        <w:t xml:space="preserve"> (2019) point out in their more recent works, the model's top-down approach may limit employee involvement, potentially diminishing buy-in and hindering overall engagement.</w:t>
      </w:r>
    </w:p>
    <w:p w:rsidR="5A638AE4" w:rsidP="5394FC23" w:rsidRDefault="5A638AE4" w14:paraId="58E2D4C3" w14:textId="4971D1BA">
      <w:pPr>
        <w:pStyle w:val="Normal"/>
        <w:suppressLineNumbers w:val="0"/>
        <w:bidi w:val="0"/>
        <w:spacing w:before="0" w:beforeAutospacing="off" w:after="160" w:afterAutospacing="off" w:line="360" w:lineRule="auto"/>
        <w:ind w:left="0" w:right="0"/>
        <w:jc w:val="both"/>
        <w:rPr>
          <w:rFonts w:ascii="Arial" w:hAnsi="Arial" w:eastAsia="Arial" w:cs="Arial"/>
          <w:color w:val="auto"/>
          <w:sz w:val="22"/>
          <w:szCs w:val="22"/>
        </w:rPr>
      </w:pPr>
      <w:r w:rsidRPr="5394FC23" w:rsidR="714B4B6B">
        <w:rPr>
          <w:rFonts w:ascii="Arial" w:hAnsi="Arial" w:eastAsia="Arial" w:cs="Arial"/>
          <w:color w:val="auto"/>
          <w:sz w:val="22"/>
          <w:szCs w:val="22"/>
        </w:rPr>
        <w:t>In comparing Lewin’s three-step model with Kotter’s change model, research suggests that Kotter’s approach may be more effective for Lloyds Bank. While Kotter’s model has certain limitations, it provides a more detailed analysis of organi</w:t>
      </w:r>
      <w:r w:rsidRPr="5394FC23" w:rsidR="484853BB">
        <w:rPr>
          <w:rFonts w:ascii="Arial" w:hAnsi="Arial" w:eastAsia="Arial" w:cs="Arial"/>
          <w:color w:val="auto"/>
          <w:sz w:val="22"/>
          <w:szCs w:val="22"/>
        </w:rPr>
        <w:t>s</w:t>
      </w:r>
      <w:r w:rsidRPr="5394FC23" w:rsidR="714B4B6B">
        <w:rPr>
          <w:rFonts w:ascii="Arial" w:hAnsi="Arial" w:eastAsia="Arial" w:cs="Arial"/>
          <w:color w:val="auto"/>
          <w:sz w:val="22"/>
          <w:szCs w:val="22"/>
        </w:rPr>
        <w:t>ational conditions, making it a more suitable and effective framework for driving change within Lloyds Bank.</w:t>
      </w:r>
    </w:p>
    <w:p w:rsidR="5A638AE4" w:rsidP="5394FC23" w:rsidRDefault="5A638AE4" w14:paraId="3EDC3EA2" w14:textId="5C92847B">
      <w:pPr>
        <w:pStyle w:val="Heading1"/>
        <w:bidi w:val="0"/>
        <w:spacing w:line="360" w:lineRule="auto"/>
        <w:jc w:val="both"/>
        <w:rPr>
          <w:rFonts w:ascii="Arial" w:hAnsi="Arial" w:eastAsia="Arial" w:cs="Arial"/>
          <w:b w:val="1"/>
          <w:bCs w:val="1"/>
          <w:color w:val="auto"/>
          <w:sz w:val="22"/>
          <w:szCs w:val="22"/>
        </w:rPr>
      </w:pPr>
      <w:bookmarkStart w:name="_Toc912325742" w:id="1972647310"/>
      <w:r w:rsidRPr="5394FC23" w:rsidR="0CE20F02">
        <w:rPr>
          <w:rFonts w:ascii="Arial" w:hAnsi="Arial" w:eastAsia="Arial" w:cs="Arial"/>
          <w:b w:val="1"/>
          <w:bCs w:val="1"/>
          <w:color w:val="auto"/>
          <w:sz w:val="22"/>
          <w:szCs w:val="22"/>
        </w:rPr>
        <w:t>Impact of organisational culture on change management in organisations</w:t>
      </w:r>
      <w:bookmarkEnd w:id="1972647310"/>
    </w:p>
    <w:p w:rsidR="5A638AE4" w:rsidP="5394FC23" w:rsidRDefault="5A638AE4" w14:paraId="6617A87C" w14:textId="78BF073B">
      <w:pPr>
        <w:pStyle w:val="Normal"/>
        <w:bidi w:val="0"/>
        <w:spacing w:line="360" w:lineRule="auto"/>
        <w:jc w:val="both"/>
        <w:rPr>
          <w:rFonts w:ascii="Arial" w:hAnsi="Arial" w:eastAsia="Arial" w:cs="Arial"/>
          <w:color w:val="auto"/>
          <w:sz w:val="22"/>
          <w:szCs w:val="22"/>
        </w:rPr>
      </w:pPr>
      <w:r w:rsidRPr="5394FC23" w:rsidR="5504F9E1">
        <w:rPr>
          <w:rFonts w:ascii="Arial" w:hAnsi="Arial" w:eastAsia="Arial" w:cs="Arial"/>
          <w:color w:val="auto"/>
          <w:sz w:val="22"/>
          <w:szCs w:val="22"/>
        </w:rPr>
        <w:t>Organisational culture plays a critical role in the success of a change management program, as it shapes employee attitudes, behaviour, and openness to change. A supportive culture—characterised by adaptability, trust, and collaboration—can significantly ease the change process, helping employees embrace new initiatives and align with the program’s goals</w:t>
      </w:r>
      <w:r w:rsidRPr="5394FC23" w:rsidR="02648B7F">
        <w:rPr>
          <w:rFonts w:ascii="Arial" w:hAnsi="Arial" w:eastAsia="Arial" w:cs="Arial"/>
          <w:color w:val="auto"/>
          <w:sz w:val="22"/>
          <w:szCs w:val="22"/>
        </w:rPr>
        <w:t xml:space="preserve"> (Bakari, </w:t>
      </w:r>
      <w:r w:rsidRPr="5394FC23" w:rsidR="02648B7F">
        <w:rPr>
          <w:rFonts w:ascii="Arial" w:hAnsi="Arial" w:eastAsia="Arial" w:cs="Arial"/>
          <w:color w:val="auto"/>
          <w:sz w:val="22"/>
          <w:szCs w:val="22"/>
        </w:rPr>
        <w:t>Hunjra</w:t>
      </w:r>
      <w:r w:rsidRPr="5394FC23" w:rsidR="02648B7F">
        <w:rPr>
          <w:rFonts w:ascii="Arial" w:hAnsi="Arial" w:eastAsia="Arial" w:cs="Arial"/>
          <w:color w:val="auto"/>
          <w:sz w:val="22"/>
          <w:szCs w:val="22"/>
        </w:rPr>
        <w:t xml:space="preserve"> and Niazi</w:t>
      </w:r>
      <w:r w:rsidRPr="5394FC23" w:rsidR="39E3843F">
        <w:rPr>
          <w:rFonts w:ascii="Arial" w:hAnsi="Arial" w:eastAsia="Arial" w:cs="Arial"/>
          <w:color w:val="auto"/>
          <w:sz w:val="22"/>
          <w:szCs w:val="22"/>
        </w:rPr>
        <w:t>,</w:t>
      </w:r>
      <w:r w:rsidRPr="5394FC23" w:rsidR="02648B7F">
        <w:rPr>
          <w:rFonts w:ascii="Arial" w:hAnsi="Arial" w:eastAsia="Arial" w:cs="Arial"/>
          <w:color w:val="auto"/>
          <w:sz w:val="22"/>
          <w:szCs w:val="22"/>
        </w:rPr>
        <w:t xml:space="preserve"> 2017; Burnes</w:t>
      </w:r>
      <w:r w:rsidRPr="5394FC23" w:rsidR="1EEDC5DB">
        <w:rPr>
          <w:rFonts w:ascii="Arial" w:hAnsi="Arial" w:eastAsia="Arial" w:cs="Arial"/>
          <w:color w:val="auto"/>
          <w:sz w:val="22"/>
          <w:szCs w:val="22"/>
        </w:rPr>
        <w:t>,</w:t>
      </w:r>
      <w:r w:rsidRPr="5394FC23" w:rsidR="02648B7F">
        <w:rPr>
          <w:rFonts w:ascii="Arial" w:hAnsi="Arial" w:eastAsia="Arial" w:cs="Arial"/>
          <w:color w:val="auto"/>
          <w:sz w:val="22"/>
          <w:szCs w:val="22"/>
        </w:rPr>
        <w:t xml:space="preserve"> 2004; Burnes</w:t>
      </w:r>
      <w:r w:rsidRPr="5394FC23" w:rsidR="110E728C">
        <w:rPr>
          <w:rFonts w:ascii="Arial" w:hAnsi="Arial" w:eastAsia="Arial" w:cs="Arial"/>
          <w:color w:val="auto"/>
          <w:sz w:val="22"/>
          <w:szCs w:val="22"/>
        </w:rPr>
        <w:t>,</w:t>
      </w:r>
      <w:r w:rsidRPr="5394FC23" w:rsidR="02648B7F">
        <w:rPr>
          <w:rFonts w:ascii="Arial" w:hAnsi="Arial" w:eastAsia="Arial" w:cs="Arial"/>
          <w:color w:val="auto"/>
          <w:sz w:val="22"/>
          <w:szCs w:val="22"/>
        </w:rPr>
        <w:t xml:space="preserve"> 2017; </w:t>
      </w:r>
      <w:r w:rsidRPr="5394FC23" w:rsidR="6663403C">
        <w:rPr>
          <w:rFonts w:ascii="Arial" w:hAnsi="Arial" w:eastAsia="Arial" w:cs="Arial"/>
          <w:color w:val="auto"/>
          <w:sz w:val="22"/>
          <w:szCs w:val="22"/>
        </w:rPr>
        <w:t>Mohamed, 2021</w:t>
      </w:r>
      <w:r w:rsidRPr="5394FC23" w:rsidR="0389C394">
        <w:rPr>
          <w:rFonts w:ascii="Arial" w:hAnsi="Arial" w:eastAsia="Arial" w:cs="Arial"/>
          <w:color w:val="auto"/>
          <w:sz w:val="22"/>
          <w:szCs w:val="22"/>
        </w:rPr>
        <w:t xml:space="preserve">; Payne, Trumbach and </w:t>
      </w:r>
      <w:r w:rsidRPr="5394FC23" w:rsidR="0389C394">
        <w:rPr>
          <w:rFonts w:ascii="Arial" w:hAnsi="Arial" w:eastAsia="Arial" w:cs="Arial"/>
          <w:color w:val="auto"/>
          <w:sz w:val="22"/>
          <w:szCs w:val="22"/>
        </w:rPr>
        <w:t>Soharu</w:t>
      </w:r>
      <w:r w:rsidRPr="5394FC23" w:rsidR="0389C394">
        <w:rPr>
          <w:rFonts w:ascii="Arial" w:hAnsi="Arial" w:eastAsia="Arial" w:cs="Arial"/>
          <w:color w:val="auto"/>
          <w:sz w:val="22"/>
          <w:szCs w:val="22"/>
        </w:rPr>
        <w:t xml:space="preserve"> 2023)</w:t>
      </w:r>
      <w:r w:rsidRPr="5394FC23" w:rsidR="5504F9E1">
        <w:rPr>
          <w:rFonts w:ascii="Arial" w:hAnsi="Arial" w:eastAsia="Arial" w:cs="Arial"/>
          <w:color w:val="auto"/>
          <w:sz w:val="22"/>
          <w:szCs w:val="22"/>
        </w:rPr>
        <w:t>. In such environments, communication flows more openly, reducing resistance and fostering engagement at all levels.</w:t>
      </w:r>
    </w:p>
    <w:p w:rsidR="5A638AE4" w:rsidP="5394FC23" w:rsidRDefault="5A638AE4" w14:paraId="61A093CA" w14:textId="4D6808FA">
      <w:pPr>
        <w:pStyle w:val="Normal"/>
        <w:bidi w:val="0"/>
        <w:spacing w:line="360" w:lineRule="auto"/>
        <w:jc w:val="both"/>
        <w:rPr>
          <w:rFonts w:ascii="Arial" w:hAnsi="Arial" w:eastAsia="Arial" w:cs="Arial"/>
          <w:color w:val="auto"/>
          <w:sz w:val="22"/>
          <w:szCs w:val="22"/>
        </w:rPr>
      </w:pPr>
      <w:r w:rsidRPr="5394FC23" w:rsidR="5504F9E1">
        <w:rPr>
          <w:rFonts w:ascii="Arial" w:hAnsi="Arial" w:eastAsia="Arial" w:cs="Arial"/>
          <w:color w:val="auto"/>
          <w:sz w:val="22"/>
          <w:szCs w:val="22"/>
        </w:rPr>
        <w:t>Conversely, a rigid or risk-averse culture can hinder change efforts</w:t>
      </w:r>
      <w:r w:rsidRPr="5394FC23" w:rsidR="6A18B844">
        <w:rPr>
          <w:rFonts w:ascii="Arial" w:hAnsi="Arial" w:eastAsia="Arial" w:cs="Arial"/>
          <w:color w:val="auto"/>
          <w:sz w:val="22"/>
          <w:szCs w:val="22"/>
        </w:rPr>
        <w:t xml:space="preserve"> (Graves et al 2023; </w:t>
      </w:r>
      <w:r w:rsidRPr="5394FC23" w:rsidR="6A18B844">
        <w:rPr>
          <w:rFonts w:ascii="Arial" w:hAnsi="Arial" w:eastAsia="Arial" w:cs="Arial"/>
          <w:color w:val="auto"/>
          <w:sz w:val="22"/>
          <w:szCs w:val="22"/>
        </w:rPr>
        <w:t>Kpinpou</w:t>
      </w:r>
      <w:r w:rsidRPr="5394FC23" w:rsidR="6A18B844">
        <w:rPr>
          <w:rFonts w:ascii="Arial" w:hAnsi="Arial" w:eastAsia="Arial" w:cs="Arial"/>
          <w:color w:val="auto"/>
          <w:sz w:val="22"/>
          <w:szCs w:val="22"/>
        </w:rPr>
        <w:t xml:space="preserve">, </w:t>
      </w:r>
      <w:r w:rsidRPr="5394FC23" w:rsidR="6A18B844">
        <w:rPr>
          <w:rFonts w:ascii="Arial" w:hAnsi="Arial" w:eastAsia="Arial" w:cs="Arial"/>
          <w:color w:val="auto"/>
          <w:sz w:val="22"/>
          <w:szCs w:val="22"/>
        </w:rPr>
        <w:t>Akolgo</w:t>
      </w:r>
      <w:r w:rsidRPr="5394FC23" w:rsidR="6A18B844">
        <w:rPr>
          <w:rFonts w:ascii="Arial" w:hAnsi="Arial" w:eastAsia="Arial" w:cs="Arial"/>
          <w:color w:val="auto"/>
          <w:sz w:val="22"/>
          <w:szCs w:val="22"/>
        </w:rPr>
        <w:t xml:space="preserve"> and Naimi</w:t>
      </w:r>
      <w:r w:rsidRPr="5394FC23" w:rsidR="4ECE5C0C">
        <w:rPr>
          <w:rFonts w:ascii="Arial" w:hAnsi="Arial" w:eastAsia="Arial" w:cs="Arial"/>
          <w:color w:val="auto"/>
          <w:sz w:val="22"/>
          <w:szCs w:val="22"/>
        </w:rPr>
        <w:t xml:space="preserve"> 2023)</w:t>
      </w:r>
      <w:r w:rsidRPr="5394FC23" w:rsidR="5504F9E1">
        <w:rPr>
          <w:rFonts w:ascii="Arial" w:hAnsi="Arial" w:eastAsia="Arial" w:cs="Arial"/>
          <w:color w:val="auto"/>
          <w:sz w:val="22"/>
          <w:szCs w:val="22"/>
        </w:rPr>
        <w:t>. Employees in such settings may be resistant to altering established norms and viewing new processes with scepticism or anxiety. This resistance can slow implementation, decrease morale, and even lead to higher turnover if employees feel uncomfortable with the changes</w:t>
      </w:r>
      <w:r w:rsidRPr="5394FC23" w:rsidR="2CF23D5A">
        <w:rPr>
          <w:rFonts w:ascii="Arial" w:hAnsi="Arial" w:eastAsia="Arial" w:cs="Arial"/>
          <w:color w:val="auto"/>
          <w:sz w:val="22"/>
          <w:szCs w:val="22"/>
        </w:rPr>
        <w:t xml:space="preserve"> (Burnes, 2017; Graves et al., 2023; Kotter and von </w:t>
      </w:r>
      <w:r w:rsidRPr="5394FC23" w:rsidR="2CF23D5A">
        <w:rPr>
          <w:rFonts w:ascii="Arial" w:hAnsi="Arial" w:eastAsia="Arial" w:cs="Arial"/>
          <w:color w:val="auto"/>
          <w:sz w:val="22"/>
          <w:szCs w:val="22"/>
        </w:rPr>
        <w:t>Ameln</w:t>
      </w:r>
      <w:r w:rsidRPr="5394FC23" w:rsidR="2CF23D5A">
        <w:rPr>
          <w:rFonts w:ascii="Arial" w:hAnsi="Arial" w:eastAsia="Arial" w:cs="Arial"/>
          <w:color w:val="auto"/>
          <w:sz w:val="22"/>
          <w:szCs w:val="22"/>
        </w:rPr>
        <w:t>, 2019</w:t>
      </w:r>
      <w:r w:rsidRPr="5394FC23" w:rsidR="3D157A70">
        <w:rPr>
          <w:rFonts w:ascii="Arial" w:hAnsi="Arial" w:eastAsia="Arial" w:cs="Arial"/>
          <w:color w:val="auto"/>
          <w:sz w:val="22"/>
          <w:szCs w:val="22"/>
        </w:rPr>
        <w:t>)</w:t>
      </w:r>
      <w:r w:rsidRPr="5394FC23" w:rsidR="5504F9E1">
        <w:rPr>
          <w:rFonts w:ascii="Arial" w:hAnsi="Arial" w:eastAsia="Arial" w:cs="Arial"/>
          <w:color w:val="auto"/>
          <w:sz w:val="22"/>
          <w:szCs w:val="22"/>
        </w:rPr>
        <w:t>.</w:t>
      </w:r>
    </w:p>
    <w:p w:rsidR="5A638AE4" w:rsidP="5394FC23" w:rsidRDefault="5A638AE4" w14:paraId="7B8D53CF" w14:textId="46D146CE">
      <w:pPr>
        <w:pStyle w:val="Normal"/>
        <w:bidi w:val="0"/>
        <w:spacing w:line="360" w:lineRule="auto"/>
        <w:jc w:val="both"/>
        <w:rPr>
          <w:rFonts w:ascii="Arial" w:hAnsi="Arial" w:eastAsia="Arial" w:cs="Arial"/>
          <w:color w:val="auto"/>
          <w:sz w:val="22"/>
          <w:szCs w:val="22"/>
        </w:rPr>
      </w:pPr>
      <w:r w:rsidRPr="5394FC23" w:rsidR="5504F9E1">
        <w:rPr>
          <w:rFonts w:ascii="Arial" w:hAnsi="Arial" w:eastAsia="Arial" w:cs="Arial"/>
          <w:color w:val="auto"/>
          <w:sz w:val="22"/>
          <w:szCs w:val="22"/>
        </w:rPr>
        <w:t xml:space="preserve">Thus, for change management programs to succeed, leaders must assess and, if necessary, adapt the organisational culture, ensuring it aligns with the change </w:t>
      </w:r>
      <w:r w:rsidRPr="5394FC23" w:rsidR="5504F9E1">
        <w:rPr>
          <w:rFonts w:ascii="Arial" w:hAnsi="Arial" w:eastAsia="Arial" w:cs="Arial"/>
          <w:color w:val="auto"/>
          <w:sz w:val="22"/>
          <w:szCs w:val="22"/>
        </w:rPr>
        <w:t>objectives</w:t>
      </w:r>
      <w:r w:rsidRPr="5394FC23" w:rsidR="21A3BF35">
        <w:rPr>
          <w:rFonts w:ascii="Arial" w:hAnsi="Arial" w:eastAsia="Arial" w:cs="Arial"/>
          <w:color w:val="auto"/>
          <w:sz w:val="22"/>
          <w:szCs w:val="22"/>
        </w:rPr>
        <w:t xml:space="preserve"> (</w:t>
      </w:r>
      <w:r w:rsidRPr="5394FC23" w:rsidR="21A3BF35">
        <w:rPr>
          <w:rFonts w:ascii="Arial" w:hAnsi="Arial" w:eastAsia="Arial" w:cs="Arial"/>
          <w:noProof w:val="0"/>
          <w:sz w:val="22"/>
          <w:szCs w:val="22"/>
          <w:lang w:val="en-GB"/>
        </w:rPr>
        <w:t>Martínez-Caro, Cegarra-Navarro, and Alfonso-Ruiz 2020)</w:t>
      </w:r>
      <w:r w:rsidRPr="5394FC23" w:rsidR="5504F9E1">
        <w:rPr>
          <w:rFonts w:ascii="Arial" w:hAnsi="Arial" w:eastAsia="Arial" w:cs="Arial"/>
          <w:color w:val="auto"/>
          <w:sz w:val="22"/>
          <w:szCs w:val="22"/>
        </w:rPr>
        <w:t>. Cultivating a flexible, growth-oriented culture can enhance the program’s effectiveness and long-term impact.</w:t>
      </w:r>
    </w:p>
    <w:p w:rsidR="5A638AE4" w:rsidP="5394FC23" w:rsidRDefault="5A638AE4" w14:paraId="70F98980" w14:textId="5CC9371C">
      <w:pPr>
        <w:pStyle w:val="Heading1"/>
        <w:rPr>
          <w:rFonts w:ascii="Arial" w:hAnsi="Arial" w:eastAsia="Arial" w:cs="Arial"/>
          <w:b w:val="1"/>
          <w:bCs w:val="1"/>
          <w:color w:val="auto"/>
          <w:sz w:val="22"/>
          <w:szCs w:val="22"/>
        </w:rPr>
      </w:pPr>
      <w:bookmarkStart w:name="_Toc1869326425" w:id="1878679018"/>
      <w:r w:rsidRPr="5394FC23" w:rsidR="3FCFBB29">
        <w:rPr>
          <w:rFonts w:ascii="Arial" w:hAnsi="Arial" w:eastAsia="Arial" w:cs="Arial"/>
          <w:b w:val="1"/>
          <w:bCs w:val="1"/>
          <w:color w:val="auto"/>
          <w:sz w:val="22"/>
          <w:szCs w:val="22"/>
        </w:rPr>
        <w:t>Lloyds banks culture;</w:t>
      </w:r>
      <w:bookmarkEnd w:id="1878679018"/>
    </w:p>
    <w:p w:rsidR="5A638AE4" w:rsidP="5394FC23" w:rsidRDefault="5A638AE4" w14:paraId="47DE2A20" w14:textId="2A752150">
      <w:pPr>
        <w:pStyle w:val="Normal"/>
        <w:spacing w:line="360" w:lineRule="auto"/>
        <w:jc w:val="both"/>
        <w:rPr>
          <w:rFonts w:ascii="Arial" w:hAnsi="Arial" w:eastAsia="Arial" w:cs="Arial"/>
          <w:sz w:val="22"/>
          <w:szCs w:val="22"/>
        </w:rPr>
      </w:pPr>
      <w:r w:rsidRPr="5394FC23" w:rsidR="08D89B7E">
        <w:rPr>
          <w:rFonts w:ascii="Arial" w:hAnsi="Arial" w:eastAsia="Arial" w:cs="Arial"/>
          <w:sz w:val="22"/>
          <w:szCs w:val="22"/>
        </w:rPr>
        <w:t xml:space="preserve">Lloyds Bank is committed to cultivating an inclusive organisational culture rooted in its core values. As </w:t>
      </w:r>
      <w:r w:rsidRPr="5394FC23" w:rsidR="08D89B7E">
        <w:rPr>
          <w:rFonts w:ascii="Arial" w:hAnsi="Arial" w:eastAsia="Arial" w:cs="Arial"/>
          <w:sz w:val="22"/>
          <w:szCs w:val="22"/>
        </w:rPr>
        <w:t>stated</w:t>
      </w:r>
      <w:r w:rsidRPr="5394FC23" w:rsidR="08D89B7E">
        <w:rPr>
          <w:rFonts w:ascii="Arial" w:hAnsi="Arial" w:eastAsia="Arial" w:cs="Arial"/>
          <w:sz w:val="22"/>
          <w:szCs w:val="22"/>
        </w:rPr>
        <w:t xml:space="preserve"> in the "Culture and Inclusion" (2024) section of their </w:t>
      </w:r>
      <w:r w:rsidRPr="5394FC23" w:rsidR="4FA02378">
        <w:rPr>
          <w:rFonts w:ascii="Arial" w:hAnsi="Arial" w:eastAsia="Arial" w:cs="Arial"/>
          <w:sz w:val="22"/>
          <w:szCs w:val="22"/>
        </w:rPr>
        <w:t>career's</w:t>
      </w:r>
      <w:r w:rsidRPr="5394FC23" w:rsidR="08D89B7E">
        <w:rPr>
          <w:rFonts w:ascii="Arial" w:hAnsi="Arial" w:eastAsia="Arial" w:cs="Arial"/>
          <w:sz w:val="22"/>
          <w:szCs w:val="22"/>
        </w:rPr>
        <w:t xml:space="preserve"> webpage, Lloyds Bank emphasises, "This is critical to our business success as we know that colleagues who can show up to work as themselves are those that bring their best." While this emphasis on inclusion is vital, it also presents unique challenges, as the bank must account for diverse cultural backgrounds and beliefs to create a welcoming and inclusive environment for all employees.</w:t>
      </w:r>
    </w:p>
    <w:p w:rsidR="5A638AE4" w:rsidP="5394FC23" w:rsidRDefault="5A638AE4" w14:paraId="746F835E" w14:textId="66CB8F12">
      <w:pPr>
        <w:pStyle w:val="Normal"/>
        <w:spacing w:line="360" w:lineRule="auto"/>
        <w:jc w:val="both"/>
        <w:rPr>
          <w:rStyle w:val="Heading1Char"/>
          <w:rFonts w:ascii="Arial" w:hAnsi="Arial" w:eastAsia="Arial" w:cs="Arial"/>
          <w:b w:val="1"/>
          <w:bCs w:val="1"/>
          <w:color w:val="auto"/>
          <w:sz w:val="22"/>
          <w:szCs w:val="22"/>
          <w:u w:val="none"/>
        </w:rPr>
      </w:pPr>
      <w:bookmarkStart w:name="_Toc710880086" w:id="1079933708"/>
      <w:r w:rsidRPr="5394FC23" w:rsidR="699E8F3B">
        <w:rPr>
          <w:rStyle w:val="Heading1Char"/>
          <w:rFonts w:ascii="Arial" w:hAnsi="Arial" w:eastAsia="Arial" w:cs="Arial"/>
          <w:b w:val="1"/>
          <w:bCs w:val="1"/>
          <w:color w:val="auto"/>
          <w:sz w:val="22"/>
          <w:szCs w:val="22"/>
          <w:u w:val="none"/>
        </w:rPr>
        <w:t>Financial plan</w:t>
      </w:r>
    </w:p>
    <w:p w:rsidR="5A638AE4" w:rsidP="5394FC23" w:rsidRDefault="5A638AE4" w14:paraId="21B26A80" w14:textId="15F0F2B5">
      <w:pPr>
        <w:pStyle w:val="Normal"/>
        <w:spacing w:line="360" w:lineRule="auto"/>
        <w:jc w:val="both"/>
        <w:rPr>
          <w:rFonts w:ascii="Arial" w:hAnsi="Arial" w:eastAsia="Arial" w:cs="Arial"/>
          <w:noProof w:val="0"/>
          <w:sz w:val="22"/>
          <w:szCs w:val="22"/>
          <w:lang w:val="en-GB"/>
        </w:rPr>
      </w:pPr>
      <w:r w:rsidRPr="5394FC23" w:rsidR="7E94D3D7">
        <w:rPr>
          <w:rFonts w:ascii="Arial" w:hAnsi="Arial" w:eastAsia="Arial" w:cs="Arial"/>
          <w:noProof w:val="0"/>
          <w:sz w:val="22"/>
          <w:szCs w:val="22"/>
          <w:lang w:val="en-GB"/>
        </w:rPr>
        <w:t xml:space="preserve">To enhance its cost efficiency and ensure long-term sustainability, Lloyds Bank needs a strong financial plan. As highlighted by Utomo, Yuliani, and Wulandari (2021), successful financial planning relies on the strategic allocation, distribution, and management of resources within the organisation. For Lloyds Bank, dedicated funds should be </w:t>
      </w:r>
      <w:r w:rsidRPr="5394FC23" w:rsidR="7E94D3D7">
        <w:rPr>
          <w:rFonts w:ascii="Arial" w:hAnsi="Arial" w:eastAsia="Arial" w:cs="Arial"/>
          <w:noProof w:val="0"/>
          <w:sz w:val="22"/>
          <w:szCs w:val="22"/>
          <w:lang w:val="en-GB"/>
        </w:rPr>
        <w:t>allocated</w:t>
      </w:r>
      <w:r w:rsidRPr="5394FC23" w:rsidR="7E94D3D7">
        <w:rPr>
          <w:rFonts w:ascii="Arial" w:hAnsi="Arial" w:eastAsia="Arial" w:cs="Arial"/>
          <w:noProof w:val="0"/>
          <w:sz w:val="22"/>
          <w:szCs w:val="22"/>
          <w:lang w:val="en-GB"/>
        </w:rPr>
        <w:t xml:space="preserve"> to key areas, including employee development programs, technology upgrades, and any external support or consultancy needed throughout the change process. Establishing a contingency fund is also essential to cover any potential timeline extensions or unforeseen costs that may arise. The next critical step in the financial plan is to implement a financial tracking mechanism to </w:t>
      </w:r>
      <w:r w:rsidRPr="5394FC23" w:rsidR="7E94D3D7">
        <w:rPr>
          <w:rFonts w:ascii="Arial" w:hAnsi="Arial" w:eastAsia="Arial" w:cs="Arial"/>
          <w:noProof w:val="0"/>
          <w:sz w:val="22"/>
          <w:szCs w:val="22"/>
          <w:lang w:val="en-GB"/>
        </w:rPr>
        <w:t>monitor</w:t>
      </w:r>
      <w:r w:rsidRPr="5394FC23" w:rsidR="7E94D3D7">
        <w:rPr>
          <w:rFonts w:ascii="Arial" w:hAnsi="Arial" w:eastAsia="Arial" w:cs="Arial"/>
          <w:noProof w:val="0"/>
          <w:sz w:val="22"/>
          <w:szCs w:val="22"/>
          <w:lang w:val="en-GB"/>
        </w:rPr>
        <w:t xml:space="preserve"> expenditures and ensure resource allocation is aligned with project goals. This mechanism will allow Lloyds Bank to evaluate the cost-benefit impacts associated with the change process regularly. Finally, a periodic return on investment (ROI) analysis should be conducted to confirm that the changes meet the bank’s strategic and financial </w:t>
      </w:r>
      <w:r w:rsidRPr="5394FC23" w:rsidR="7E94D3D7">
        <w:rPr>
          <w:rFonts w:ascii="Arial" w:hAnsi="Arial" w:eastAsia="Arial" w:cs="Arial"/>
          <w:noProof w:val="0"/>
          <w:sz w:val="22"/>
          <w:szCs w:val="22"/>
          <w:lang w:val="en-GB"/>
        </w:rPr>
        <w:t>objectives</w:t>
      </w:r>
      <w:r w:rsidRPr="5394FC23" w:rsidR="7E94D3D7">
        <w:rPr>
          <w:rFonts w:ascii="Arial" w:hAnsi="Arial" w:eastAsia="Arial" w:cs="Arial"/>
          <w:noProof w:val="0"/>
          <w:sz w:val="22"/>
          <w:szCs w:val="22"/>
          <w:lang w:val="en-GB"/>
        </w:rPr>
        <w:t>.</w:t>
      </w:r>
    </w:p>
    <w:p w:rsidR="5A638AE4" w:rsidP="5394FC23" w:rsidRDefault="5A638AE4" w14:paraId="10ECB7B5" w14:textId="3211E826">
      <w:pPr>
        <w:pStyle w:val="Normal"/>
        <w:spacing w:line="360" w:lineRule="auto"/>
        <w:jc w:val="both"/>
        <w:rPr>
          <w:rFonts w:ascii="Arial" w:hAnsi="Arial" w:eastAsia="Arial" w:cs="Arial"/>
          <w:b w:val="1"/>
          <w:bCs w:val="1"/>
          <w:noProof w:val="0"/>
          <w:sz w:val="22"/>
          <w:szCs w:val="22"/>
          <w:lang w:val="en-GB"/>
        </w:rPr>
      </w:pPr>
      <w:r w:rsidRPr="5394FC23" w:rsidR="7E94D3D7">
        <w:rPr>
          <w:rFonts w:ascii="Arial" w:hAnsi="Arial" w:eastAsia="Arial" w:cs="Arial"/>
          <w:b w:val="1"/>
          <w:bCs w:val="1"/>
          <w:noProof w:val="0"/>
          <w:sz w:val="22"/>
          <w:szCs w:val="22"/>
          <w:lang w:val="en-GB"/>
        </w:rPr>
        <w:t>Communication Plan</w:t>
      </w:r>
    </w:p>
    <w:p w:rsidR="5A638AE4" w:rsidP="5394FC23" w:rsidRDefault="5A638AE4" w14:paraId="014A3598" w14:textId="0A7ED687">
      <w:pPr>
        <w:pStyle w:val="Normal"/>
        <w:spacing w:line="360" w:lineRule="auto"/>
        <w:jc w:val="both"/>
        <w:rPr>
          <w:rFonts w:ascii="Arial" w:hAnsi="Arial" w:eastAsia="Arial" w:cs="Arial"/>
          <w:b w:val="0"/>
          <w:bCs w:val="0"/>
          <w:noProof w:val="0"/>
          <w:sz w:val="22"/>
          <w:szCs w:val="22"/>
          <w:lang w:val="en-GB"/>
        </w:rPr>
      </w:pPr>
      <w:r w:rsidRPr="5394FC23" w:rsidR="0409F78C">
        <w:rPr>
          <w:rFonts w:ascii="Arial" w:hAnsi="Arial" w:eastAsia="Arial" w:cs="Arial"/>
          <w:b w:val="0"/>
          <w:bCs w:val="0"/>
          <w:noProof w:val="0"/>
          <w:sz w:val="22"/>
          <w:szCs w:val="22"/>
          <w:lang w:val="en-GB"/>
        </w:rPr>
        <w:t>An effective communication plan is essential in change management to keep all stakeholders informed, engaged, and supportive. As Torppa and Smith (2011) emphasize, a well-designed communication plan reduces resistance to change, builds transparency, and fosters trust between the organisation and its stakeholders. The first step in this plan involves identifying and mapping stakeholders, and distinguishing primary, secondary, and external groups. The second step is selecting the most suitable communication channels for Lloyds Bank, such as visual tools like posters, email updates, intranet announcements, and department meetings, to convey information about the change effectively.</w:t>
      </w:r>
    </w:p>
    <w:p w:rsidR="5A638AE4" w:rsidP="5394FC23" w:rsidRDefault="5A638AE4" w14:paraId="1D8E5641" w14:textId="75105144">
      <w:pPr>
        <w:pStyle w:val="Normal"/>
        <w:spacing w:line="360" w:lineRule="auto"/>
        <w:jc w:val="both"/>
      </w:pPr>
      <w:r w:rsidRPr="5394FC23" w:rsidR="0409F78C">
        <w:rPr>
          <w:rFonts w:ascii="Arial" w:hAnsi="Arial" w:eastAsia="Arial" w:cs="Arial"/>
          <w:b w:val="0"/>
          <w:bCs w:val="0"/>
          <w:noProof w:val="0"/>
          <w:sz w:val="22"/>
          <w:szCs w:val="22"/>
          <w:lang w:val="en-GB"/>
        </w:rPr>
        <w:t>While messages should be tailored to address the specific needs of each stakeholder group, the overall change narrative should remain consistent across the board. This consistency, combined with clear communication of both progress and challenges, will help sustain trust within Lloyds Bank. Feedback mechanisms—such as regular surveys, polls, and focus groups—are critical for gauging stakeholder perceptions and insights on the change process.</w:t>
      </w:r>
    </w:p>
    <w:p w:rsidR="5A638AE4" w:rsidP="5394FC23" w:rsidRDefault="5A638AE4" w14:paraId="2499A884" w14:textId="1F1982B1">
      <w:pPr>
        <w:pStyle w:val="Normal"/>
        <w:spacing w:line="360" w:lineRule="auto"/>
        <w:jc w:val="both"/>
      </w:pPr>
      <w:r w:rsidRPr="5394FC23" w:rsidR="0409F78C">
        <w:rPr>
          <w:rFonts w:ascii="Arial" w:hAnsi="Arial" w:eastAsia="Arial" w:cs="Arial"/>
          <w:b w:val="0"/>
          <w:bCs w:val="0"/>
          <w:noProof w:val="0"/>
          <w:sz w:val="22"/>
          <w:szCs w:val="22"/>
          <w:lang w:val="en-GB"/>
        </w:rPr>
        <w:t xml:space="preserve">Strong, visible leadership is also crucial for steering the communication plan. Lastly, evaluating the communication plan's effectiveness is necessary to </w:t>
      </w:r>
      <w:r w:rsidRPr="5394FC23" w:rsidR="0409F78C">
        <w:rPr>
          <w:rFonts w:ascii="Arial" w:hAnsi="Arial" w:eastAsia="Arial" w:cs="Arial"/>
          <w:b w:val="0"/>
          <w:bCs w:val="0"/>
          <w:noProof w:val="0"/>
          <w:sz w:val="22"/>
          <w:szCs w:val="22"/>
          <w:lang w:val="en-GB"/>
        </w:rPr>
        <w:t>identify</w:t>
      </w:r>
      <w:r w:rsidRPr="5394FC23" w:rsidR="0409F78C">
        <w:rPr>
          <w:rFonts w:ascii="Arial" w:hAnsi="Arial" w:eastAsia="Arial" w:cs="Arial"/>
          <w:b w:val="0"/>
          <w:bCs w:val="0"/>
          <w:noProof w:val="0"/>
          <w:sz w:val="22"/>
          <w:szCs w:val="22"/>
          <w:lang w:val="en-GB"/>
        </w:rPr>
        <w:t xml:space="preserve"> </w:t>
      </w:r>
      <w:r w:rsidRPr="5394FC23" w:rsidR="0409F78C">
        <w:rPr>
          <w:rFonts w:ascii="Arial" w:hAnsi="Arial" w:eastAsia="Arial" w:cs="Arial"/>
          <w:b w:val="0"/>
          <w:bCs w:val="0"/>
          <w:noProof w:val="0"/>
          <w:sz w:val="22"/>
          <w:szCs w:val="22"/>
          <w:lang w:val="en-GB"/>
        </w:rPr>
        <w:t>what is</w:t>
      </w:r>
      <w:r w:rsidRPr="5394FC23" w:rsidR="0409F78C">
        <w:rPr>
          <w:rFonts w:ascii="Arial" w:hAnsi="Arial" w:eastAsia="Arial" w:cs="Arial"/>
          <w:b w:val="0"/>
          <w:bCs w:val="0"/>
          <w:noProof w:val="0"/>
          <w:sz w:val="22"/>
          <w:szCs w:val="22"/>
          <w:lang w:val="en-GB"/>
        </w:rPr>
        <w:t xml:space="preserve"> working and where adjustments are needed. Employee engagement can be </w:t>
      </w:r>
      <w:r w:rsidRPr="5394FC23" w:rsidR="0409F78C">
        <w:rPr>
          <w:rFonts w:ascii="Arial" w:hAnsi="Arial" w:eastAsia="Arial" w:cs="Arial"/>
          <w:b w:val="0"/>
          <w:bCs w:val="0"/>
          <w:noProof w:val="0"/>
          <w:sz w:val="22"/>
          <w:szCs w:val="22"/>
          <w:lang w:val="en-GB"/>
        </w:rPr>
        <w:t>monitored</w:t>
      </w:r>
      <w:r w:rsidRPr="5394FC23" w:rsidR="0409F78C">
        <w:rPr>
          <w:rFonts w:ascii="Arial" w:hAnsi="Arial" w:eastAsia="Arial" w:cs="Arial"/>
          <w:b w:val="0"/>
          <w:bCs w:val="0"/>
          <w:noProof w:val="0"/>
          <w:sz w:val="22"/>
          <w:szCs w:val="22"/>
          <w:lang w:val="en-GB"/>
        </w:rPr>
        <w:t xml:space="preserve"> through feedback scores and attendance at change-related meetings, offering valuable insights into the plan’s impact.</w:t>
      </w:r>
    </w:p>
    <w:p w:rsidR="5A638AE4" w:rsidP="5394FC23" w:rsidRDefault="5A638AE4" w14:paraId="2A82AB67" w14:textId="1B85AC66">
      <w:pPr>
        <w:pStyle w:val="Normal"/>
        <w:spacing w:line="360" w:lineRule="auto"/>
        <w:jc w:val="both"/>
        <w:rPr>
          <w:rStyle w:val="Heading1Char"/>
          <w:rFonts w:ascii="Arial" w:hAnsi="Arial" w:eastAsia="Arial" w:cs="Arial"/>
          <w:b w:val="1"/>
          <w:bCs w:val="1"/>
          <w:color w:val="auto"/>
          <w:sz w:val="22"/>
          <w:szCs w:val="22"/>
          <w:u w:val="none"/>
        </w:rPr>
      </w:pPr>
      <w:r w:rsidRPr="5394FC23" w:rsidR="48117A1D">
        <w:rPr>
          <w:rStyle w:val="Heading1Char"/>
          <w:rFonts w:ascii="Arial" w:hAnsi="Arial" w:eastAsia="Arial" w:cs="Arial"/>
          <w:b w:val="1"/>
          <w:bCs w:val="1"/>
          <w:color w:val="auto"/>
          <w:sz w:val="22"/>
          <w:szCs w:val="22"/>
          <w:u w:val="none"/>
        </w:rPr>
        <w:t>Recommendations</w:t>
      </w:r>
      <w:bookmarkEnd w:id="1079933708"/>
    </w:p>
    <w:p w:rsidR="5A638AE4" w:rsidP="5394FC23" w:rsidRDefault="5A638AE4" w14:paraId="26C4E606" w14:textId="02088184">
      <w:pPr>
        <w:pStyle w:val="Normal"/>
        <w:spacing w:line="360" w:lineRule="auto"/>
        <w:jc w:val="both"/>
        <w:rPr>
          <w:rFonts w:ascii="Arial" w:hAnsi="Arial" w:eastAsia="Arial" w:cs="Arial"/>
          <w:sz w:val="22"/>
          <w:szCs w:val="22"/>
        </w:rPr>
      </w:pPr>
      <w:r w:rsidRPr="5394FC23" w:rsidR="1024B746">
        <w:rPr>
          <w:rFonts w:ascii="Arial" w:hAnsi="Arial" w:eastAsia="Arial" w:cs="Arial"/>
          <w:sz w:val="22"/>
          <w:szCs w:val="22"/>
        </w:rPr>
        <w:t xml:space="preserve">A key recommendation for Lloyds Bank to foster further growth is to expand its international presence. As Yoshida (2019) points out, partnerships between established banks and fintech companies, such as JP Morgan Chase, present a highly favourable path. Chase, a fintech leader, excels in reaching a global customer base through a competitive business strategy that includes customer rewards programs. This bank </w:t>
      </w:r>
      <w:r w:rsidRPr="5394FC23" w:rsidR="1024B746">
        <w:rPr>
          <w:rFonts w:ascii="Arial" w:hAnsi="Arial" w:eastAsia="Arial" w:cs="Arial"/>
          <w:sz w:val="22"/>
          <w:szCs w:val="22"/>
        </w:rPr>
        <w:t>maintains</w:t>
      </w:r>
      <w:r w:rsidRPr="5394FC23" w:rsidR="1024B746">
        <w:rPr>
          <w:rFonts w:ascii="Arial" w:hAnsi="Arial" w:eastAsia="Arial" w:cs="Arial"/>
          <w:sz w:val="22"/>
          <w:szCs w:val="22"/>
        </w:rPr>
        <w:t xml:space="preserve"> digital competitiveness through substantial investment in its digital platform, with Yoshida (2019) noting an annual investment of over $10.8 billion in digital transformation. A partnership with such an efficient organization could accelerate Lloyds Bank's digital transformation, enhancing its competitive advantage both in the UK and globally.</w:t>
      </w:r>
    </w:p>
    <w:p w:rsidR="5A638AE4" w:rsidP="5394FC23" w:rsidRDefault="5A638AE4" w14:paraId="2D0D0B4F" w14:textId="1BE51F35">
      <w:pPr>
        <w:pStyle w:val="Normal"/>
        <w:spacing w:line="360" w:lineRule="auto"/>
        <w:jc w:val="both"/>
        <w:rPr>
          <w:rFonts w:ascii="Arial" w:hAnsi="Arial" w:eastAsia="Arial" w:cs="Arial"/>
          <w:b w:val="1"/>
          <w:bCs w:val="1"/>
          <w:sz w:val="22"/>
          <w:szCs w:val="22"/>
        </w:rPr>
      </w:pPr>
      <w:r w:rsidRPr="5394FC23" w:rsidR="1024B746">
        <w:rPr>
          <w:rFonts w:ascii="Arial" w:hAnsi="Arial" w:eastAsia="Arial" w:cs="Arial"/>
          <w:b w:val="1"/>
          <w:bCs w:val="1"/>
          <w:sz w:val="22"/>
          <w:szCs w:val="22"/>
        </w:rPr>
        <w:t>Conclu</w:t>
      </w:r>
      <w:r w:rsidRPr="5394FC23" w:rsidR="2959CC76">
        <w:rPr>
          <w:rFonts w:ascii="Arial" w:hAnsi="Arial" w:eastAsia="Arial" w:cs="Arial"/>
          <w:b w:val="1"/>
          <w:bCs w:val="1"/>
          <w:sz w:val="22"/>
          <w:szCs w:val="22"/>
        </w:rPr>
        <w:t>sion</w:t>
      </w:r>
    </w:p>
    <w:p w:rsidR="5A638AE4" w:rsidP="5394FC23" w:rsidRDefault="5A638AE4" w14:paraId="34E72471" w14:textId="6CEE67B5">
      <w:pPr>
        <w:pStyle w:val="Normal"/>
        <w:spacing w:line="360" w:lineRule="auto"/>
        <w:jc w:val="both"/>
        <w:rPr>
          <w:rFonts w:ascii="Arial" w:hAnsi="Arial" w:eastAsia="Arial" w:cs="Arial"/>
          <w:sz w:val="22"/>
          <w:szCs w:val="22"/>
        </w:rPr>
      </w:pPr>
      <w:r w:rsidRPr="5394FC23" w:rsidR="2959CC76">
        <w:rPr>
          <w:rFonts w:ascii="Arial" w:hAnsi="Arial" w:eastAsia="Arial" w:cs="Arial"/>
          <w:sz w:val="22"/>
          <w:szCs w:val="22"/>
        </w:rPr>
        <w:t xml:space="preserve">In conclusion, organisational change is a vital yet complex process that requires businesses to continuously adapt to an ever-evolving environment. Despite extensive research and theoretical development over the years, companies still face significant challenges in navigating change, particularly in a business landscape that is increasingly unpredictable. As Payne, Trumbach, and </w:t>
      </w:r>
      <w:r w:rsidRPr="5394FC23" w:rsidR="2959CC76">
        <w:rPr>
          <w:rFonts w:ascii="Arial" w:hAnsi="Arial" w:eastAsia="Arial" w:cs="Arial"/>
          <w:sz w:val="22"/>
          <w:szCs w:val="22"/>
        </w:rPr>
        <w:t>Soharu</w:t>
      </w:r>
      <w:r w:rsidRPr="5394FC23" w:rsidR="2959CC76">
        <w:rPr>
          <w:rFonts w:ascii="Arial" w:hAnsi="Arial" w:eastAsia="Arial" w:cs="Arial"/>
          <w:sz w:val="22"/>
          <w:szCs w:val="22"/>
        </w:rPr>
        <w:t xml:space="preserve"> (2023) emphasize, adaptation is essential for businesses to stay competitive amid constant barriers. This exploration of Lloyds Bank’s approach to change highlights how well-founded strategies, informed by both macro and micro-environmental analysis, can guide effective transformation, even in a highly competitive sector.</w:t>
      </w:r>
    </w:p>
    <w:p w:rsidR="5A638AE4" w:rsidP="5394FC23" w:rsidRDefault="5A638AE4" w14:paraId="2794EE38" w14:textId="65BA828C">
      <w:pPr>
        <w:pStyle w:val="Normal"/>
        <w:spacing w:line="360" w:lineRule="auto"/>
        <w:jc w:val="both"/>
        <w:rPr>
          <w:rFonts w:ascii="Arial" w:hAnsi="Arial" w:eastAsia="Arial" w:cs="Arial"/>
          <w:sz w:val="22"/>
          <w:szCs w:val="22"/>
        </w:rPr>
      </w:pPr>
      <w:r w:rsidRPr="5394FC23" w:rsidR="2959CC76">
        <w:rPr>
          <w:rFonts w:ascii="Arial" w:hAnsi="Arial" w:eastAsia="Arial" w:cs="Arial"/>
          <w:sz w:val="22"/>
          <w:szCs w:val="22"/>
        </w:rPr>
        <w:t xml:space="preserve">One major challenge in organisational change, as Brunes (2017) and Miles (2017) </w:t>
      </w:r>
      <w:r w:rsidRPr="5394FC23" w:rsidR="2959CC76">
        <w:rPr>
          <w:rFonts w:ascii="Arial" w:hAnsi="Arial" w:eastAsia="Arial" w:cs="Arial"/>
          <w:sz w:val="22"/>
          <w:szCs w:val="22"/>
        </w:rPr>
        <w:t>observe</w:t>
      </w:r>
      <w:r w:rsidRPr="5394FC23" w:rsidR="2959CC76">
        <w:rPr>
          <w:rFonts w:ascii="Arial" w:hAnsi="Arial" w:eastAsia="Arial" w:cs="Arial"/>
          <w:sz w:val="22"/>
          <w:szCs w:val="22"/>
        </w:rPr>
        <w:t xml:space="preserve">, is the risk of an unclear direction, communication breakdowns, and employee resistance. Such obstacles underscore the importance of strategic planning and leadership during change, as also argued by Mondo and </w:t>
      </w:r>
      <w:r w:rsidRPr="5394FC23" w:rsidR="2959CC76">
        <w:rPr>
          <w:rFonts w:ascii="Arial" w:hAnsi="Arial" w:eastAsia="Arial" w:cs="Arial"/>
          <w:sz w:val="22"/>
          <w:szCs w:val="22"/>
        </w:rPr>
        <w:t>Musungwini</w:t>
      </w:r>
      <w:r w:rsidRPr="5394FC23" w:rsidR="2959CC76">
        <w:rPr>
          <w:rFonts w:ascii="Arial" w:hAnsi="Arial" w:eastAsia="Arial" w:cs="Arial"/>
          <w:sz w:val="22"/>
          <w:szCs w:val="22"/>
        </w:rPr>
        <w:t xml:space="preserve"> (2019), who stress that thorough preparation and management are essential. This involves not only outlining a clear strategy but also investing in employee training to ease the transition and build internal support. Lloyds Bank’s approach reflects this understanding, as it emphasizes employee readiness and support to </w:t>
      </w:r>
      <w:r w:rsidRPr="5394FC23" w:rsidR="2959CC76">
        <w:rPr>
          <w:rFonts w:ascii="Arial" w:hAnsi="Arial" w:eastAsia="Arial" w:cs="Arial"/>
          <w:sz w:val="22"/>
          <w:szCs w:val="22"/>
        </w:rPr>
        <w:t>facilitate</w:t>
      </w:r>
      <w:r w:rsidRPr="5394FC23" w:rsidR="2959CC76">
        <w:rPr>
          <w:rFonts w:ascii="Arial" w:hAnsi="Arial" w:eastAsia="Arial" w:cs="Arial"/>
          <w:sz w:val="22"/>
          <w:szCs w:val="22"/>
        </w:rPr>
        <w:t xml:space="preserve"> digital advancements and foster an inclusive workplace.</w:t>
      </w:r>
    </w:p>
    <w:p w:rsidR="5A638AE4" w:rsidP="5394FC23" w:rsidRDefault="5A638AE4" w14:paraId="383399E8" w14:textId="044F063B">
      <w:pPr>
        <w:pStyle w:val="Normal"/>
        <w:spacing w:line="360" w:lineRule="auto"/>
        <w:jc w:val="both"/>
        <w:rPr>
          <w:rFonts w:ascii="Arial" w:hAnsi="Arial" w:eastAsia="Arial" w:cs="Arial"/>
          <w:sz w:val="22"/>
          <w:szCs w:val="22"/>
        </w:rPr>
      </w:pPr>
      <w:r w:rsidRPr="5394FC23" w:rsidR="2959CC76">
        <w:rPr>
          <w:rFonts w:ascii="Arial" w:hAnsi="Arial" w:eastAsia="Arial" w:cs="Arial"/>
          <w:sz w:val="22"/>
          <w:szCs w:val="22"/>
        </w:rPr>
        <w:t xml:space="preserve">The analytical tools applied in this study, including a PEST analysis to assess Lloyds Bank’s macro-environment and a SWOT analysis to examine its internal capabilities, have underscored the importance of understanding both external and internal factors. Wang and Hou (2023) highlight the adaptability of PEST analysis in capturing the dynamics of the external environment, while Fakhira, </w:t>
      </w:r>
      <w:r w:rsidRPr="5394FC23" w:rsidR="2959CC76">
        <w:rPr>
          <w:rFonts w:ascii="Arial" w:hAnsi="Arial" w:eastAsia="Arial" w:cs="Arial"/>
          <w:sz w:val="22"/>
          <w:szCs w:val="22"/>
        </w:rPr>
        <w:t>Zulbainarni</w:t>
      </w:r>
      <w:r w:rsidRPr="5394FC23" w:rsidR="2959CC76">
        <w:rPr>
          <w:rFonts w:ascii="Arial" w:hAnsi="Arial" w:eastAsia="Arial" w:cs="Arial"/>
          <w:sz w:val="22"/>
          <w:szCs w:val="22"/>
        </w:rPr>
        <w:t xml:space="preserve">, and Simanjuntak (2023) recognize SWOT analysis as a valuable tool for defining strategic goals. Together, these methods </w:t>
      </w:r>
      <w:r w:rsidRPr="5394FC23" w:rsidR="2959CC76">
        <w:rPr>
          <w:rFonts w:ascii="Arial" w:hAnsi="Arial" w:eastAsia="Arial" w:cs="Arial"/>
          <w:sz w:val="22"/>
          <w:szCs w:val="22"/>
        </w:rPr>
        <w:t>provide</w:t>
      </w:r>
      <w:r w:rsidRPr="5394FC23" w:rsidR="2959CC76">
        <w:rPr>
          <w:rFonts w:ascii="Arial" w:hAnsi="Arial" w:eastAsia="Arial" w:cs="Arial"/>
          <w:sz w:val="22"/>
          <w:szCs w:val="22"/>
        </w:rPr>
        <w:t xml:space="preserve"> a comprehensive view of Lloyds Bank’s position and preparedness to manage change, aligning with best practices in organisational transformation.</w:t>
      </w:r>
    </w:p>
    <w:p w:rsidR="5A638AE4" w:rsidP="5394FC23" w:rsidRDefault="5A638AE4" w14:paraId="1BB52771" w14:textId="7DCF3F70">
      <w:pPr>
        <w:pStyle w:val="Normal"/>
        <w:spacing w:line="360" w:lineRule="auto"/>
        <w:jc w:val="both"/>
        <w:rPr>
          <w:rFonts w:ascii="Arial" w:hAnsi="Arial" w:eastAsia="Arial" w:cs="Arial"/>
          <w:sz w:val="22"/>
          <w:szCs w:val="22"/>
        </w:rPr>
      </w:pPr>
      <w:r w:rsidRPr="5394FC23" w:rsidR="2959CC76">
        <w:rPr>
          <w:rFonts w:ascii="Arial" w:hAnsi="Arial" w:eastAsia="Arial" w:cs="Arial"/>
          <w:sz w:val="22"/>
          <w:szCs w:val="22"/>
        </w:rPr>
        <w:t xml:space="preserve">In analysing change management models, this text examined two prominent frameworks: Kotter’s 8-Step Model and Lewin’s 3-Step Model. These models offer structured approaches that can mitigate the inherent risks in change processes, each providing a roadmap for engaging employees, building momentum, and sustaining progress. By applying these models </w:t>
      </w:r>
      <w:r w:rsidRPr="5394FC23" w:rsidR="2959CC76">
        <w:rPr>
          <w:rFonts w:ascii="Arial" w:hAnsi="Arial" w:eastAsia="Arial" w:cs="Arial"/>
          <w:sz w:val="22"/>
          <w:szCs w:val="22"/>
        </w:rPr>
        <w:t>hypothetically to</w:t>
      </w:r>
      <w:r w:rsidRPr="5394FC23" w:rsidR="2959CC76">
        <w:rPr>
          <w:rFonts w:ascii="Arial" w:hAnsi="Arial" w:eastAsia="Arial" w:cs="Arial"/>
          <w:sz w:val="22"/>
          <w:szCs w:val="22"/>
        </w:rPr>
        <w:t xml:space="preserve"> Lloyds Bank’s past challenges, this study has shown how structured change management could have supported smoother transitions and </w:t>
      </w:r>
      <w:r w:rsidRPr="5394FC23" w:rsidR="2959CC76">
        <w:rPr>
          <w:rFonts w:ascii="Arial" w:hAnsi="Arial" w:eastAsia="Arial" w:cs="Arial"/>
          <w:sz w:val="22"/>
          <w:szCs w:val="22"/>
        </w:rPr>
        <w:t>possibly accelerated</w:t>
      </w:r>
      <w:r w:rsidRPr="5394FC23" w:rsidR="2959CC76">
        <w:rPr>
          <w:rFonts w:ascii="Arial" w:hAnsi="Arial" w:eastAsia="Arial" w:cs="Arial"/>
          <w:sz w:val="22"/>
          <w:szCs w:val="22"/>
        </w:rPr>
        <w:t xml:space="preserve"> the achievement of strategic </w:t>
      </w:r>
      <w:r w:rsidRPr="5394FC23" w:rsidR="2959CC76">
        <w:rPr>
          <w:rFonts w:ascii="Arial" w:hAnsi="Arial" w:eastAsia="Arial" w:cs="Arial"/>
          <w:sz w:val="22"/>
          <w:szCs w:val="22"/>
        </w:rPr>
        <w:t>objectives</w:t>
      </w:r>
      <w:r w:rsidRPr="5394FC23" w:rsidR="2959CC76">
        <w:rPr>
          <w:rFonts w:ascii="Arial" w:hAnsi="Arial" w:eastAsia="Arial" w:cs="Arial"/>
          <w:sz w:val="22"/>
          <w:szCs w:val="22"/>
        </w:rPr>
        <w:t>.</w:t>
      </w:r>
    </w:p>
    <w:p w:rsidR="5A638AE4" w:rsidP="5394FC23" w:rsidRDefault="5A638AE4" w14:paraId="51461810" w14:textId="328EA8D1">
      <w:pPr>
        <w:pStyle w:val="Normal"/>
        <w:spacing w:line="360" w:lineRule="auto"/>
        <w:jc w:val="both"/>
        <w:rPr>
          <w:rFonts w:ascii="Arial" w:hAnsi="Arial" w:eastAsia="Arial" w:cs="Arial"/>
          <w:sz w:val="22"/>
          <w:szCs w:val="22"/>
        </w:rPr>
      </w:pPr>
      <w:r w:rsidRPr="5394FC23" w:rsidR="2959CC76">
        <w:rPr>
          <w:rFonts w:ascii="Arial" w:hAnsi="Arial" w:eastAsia="Arial" w:cs="Arial"/>
          <w:sz w:val="22"/>
          <w:szCs w:val="22"/>
        </w:rPr>
        <w:t xml:space="preserve">Organisational culture </w:t>
      </w:r>
      <w:r w:rsidRPr="5394FC23" w:rsidR="2959CC76">
        <w:rPr>
          <w:rFonts w:ascii="Arial" w:hAnsi="Arial" w:eastAsia="Arial" w:cs="Arial"/>
          <w:sz w:val="22"/>
          <w:szCs w:val="22"/>
        </w:rPr>
        <w:t>emerged</w:t>
      </w:r>
      <w:r w:rsidRPr="5394FC23" w:rsidR="2959CC76">
        <w:rPr>
          <w:rFonts w:ascii="Arial" w:hAnsi="Arial" w:eastAsia="Arial" w:cs="Arial"/>
          <w:sz w:val="22"/>
          <w:szCs w:val="22"/>
        </w:rPr>
        <w:t xml:space="preserve"> as another critical </w:t>
      </w:r>
      <w:r w:rsidRPr="5394FC23" w:rsidR="2959CC76">
        <w:rPr>
          <w:rFonts w:ascii="Arial" w:hAnsi="Arial" w:eastAsia="Arial" w:cs="Arial"/>
          <w:sz w:val="22"/>
          <w:szCs w:val="22"/>
        </w:rPr>
        <w:t>component</w:t>
      </w:r>
      <w:r w:rsidRPr="5394FC23" w:rsidR="2959CC76">
        <w:rPr>
          <w:rFonts w:ascii="Arial" w:hAnsi="Arial" w:eastAsia="Arial" w:cs="Arial"/>
          <w:sz w:val="22"/>
          <w:szCs w:val="22"/>
        </w:rPr>
        <w:t xml:space="preserve"> of change management at Lloyds Bank. Research </w:t>
      </w:r>
      <w:r w:rsidRPr="5394FC23" w:rsidR="2959CC76">
        <w:rPr>
          <w:rFonts w:ascii="Arial" w:hAnsi="Arial" w:eastAsia="Arial" w:cs="Arial"/>
          <w:sz w:val="22"/>
          <w:szCs w:val="22"/>
        </w:rPr>
        <w:t>indicates</w:t>
      </w:r>
      <w:r w:rsidRPr="5394FC23" w:rsidR="2959CC76">
        <w:rPr>
          <w:rFonts w:ascii="Arial" w:hAnsi="Arial" w:eastAsia="Arial" w:cs="Arial"/>
          <w:sz w:val="22"/>
          <w:szCs w:val="22"/>
        </w:rPr>
        <w:t xml:space="preserve"> that a supportive culture, characterised by adaptability, trust, and collaboration, </w:t>
      </w:r>
      <w:r w:rsidRPr="5394FC23" w:rsidR="2959CC76">
        <w:rPr>
          <w:rFonts w:ascii="Arial" w:hAnsi="Arial" w:eastAsia="Arial" w:cs="Arial"/>
          <w:sz w:val="22"/>
          <w:szCs w:val="22"/>
        </w:rPr>
        <w:t>greatly eases</w:t>
      </w:r>
      <w:r w:rsidRPr="5394FC23" w:rsidR="2959CC76">
        <w:rPr>
          <w:rFonts w:ascii="Arial" w:hAnsi="Arial" w:eastAsia="Arial" w:cs="Arial"/>
          <w:sz w:val="22"/>
          <w:szCs w:val="22"/>
        </w:rPr>
        <w:t xml:space="preserve"> change efforts (Bakari, </w:t>
      </w:r>
      <w:r w:rsidRPr="5394FC23" w:rsidR="2959CC76">
        <w:rPr>
          <w:rFonts w:ascii="Arial" w:hAnsi="Arial" w:eastAsia="Arial" w:cs="Arial"/>
          <w:sz w:val="22"/>
          <w:szCs w:val="22"/>
        </w:rPr>
        <w:t>Hunjra</w:t>
      </w:r>
      <w:r w:rsidRPr="5394FC23" w:rsidR="2959CC76">
        <w:rPr>
          <w:rFonts w:ascii="Arial" w:hAnsi="Arial" w:eastAsia="Arial" w:cs="Arial"/>
          <w:sz w:val="22"/>
          <w:szCs w:val="22"/>
        </w:rPr>
        <w:t>, and Niazi, 2017; Burnes, 2004; Mohamed, 2021). For Lloyds Bank, fostering an inclusive, diverse, and digitally forward workplace has been fundamental to its approach. This culture not only aligns with the goals of modern organisational change but also strengthens employee engagement and buy-in, essential elements for a successful transformation process.</w:t>
      </w:r>
    </w:p>
    <w:p w:rsidR="5A638AE4" w:rsidP="5394FC23" w:rsidRDefault="5A638AE4" w14:paraId="65DDB85B" w14:textId="7BFED9C2">
      <w:pPr>
        <w:pStyle w:val="Normal"/>
        <w:spacing w:line="360" w:lineRule="auto"/>
        <w:jc w:val="both"/>
        <w:rPr>
          <w:rFonts w:ascii="Arial" w:hAnsi="Arial" w:eastAsia="Arial" w:cs="Arial"/>
          <w:sz w:val="22"/>
          <w:szCs w:val="22"/>
        </w:rPr>
      </w:pPr>
      <w:r w:rsidRPr="5394FC23" w:rsidR="2959CC76">
        <w:rPr>
          <w:rFonts w:ascii="Arial" w:hAnsi="Arial" w:eastAsia="Arial" w:cs="Arial"/>
          <w:sz w:val="22"/>
          <w:szCs w:val="22"/>
        </w:rPr>
        <w:t xml:space="preserve">In summary, for Lloyds Bank or any organisation facing similar challenges, the integration of robust strategic analysis, proven change management frameworks, and a supportive organisational culture can provide </w:t>
      </w:r>
      <w:r w:rsidRPr="5394FC23" w:rsidR="4E1086E7">
        <w:rPr>
          <w:rFonts w:ascii="Arial" w:hAnsi="Arial" w:eastAsia="Arial" w:cs="Arial"/>
          <w:sz w:val="22"/>
          <w:szCs w:val="22"/>
        </w:rPr>
        <w:t>a solid foundation</w:t>
      </w:r>
      <w:r w:rsidRPr="5394FC23" w:rsidR="2959CC76">
        <w:rPr>
          <w:rFonts w:ascii="Arial" w:hAnsi="Arial" w:eastAsia="Arial" w:cs="Arial"/>
          <w:sz w:val="22"/>
          <w:szCs w:val="22"/>
        </w:rPr>
        <w:t xml:space="preserve"> for navigating change. By </w:t>
      </w:r>
      <w:r w:rsidRPr="5394FC23" w:rsidR="2959CC76">
        <w:rPr>
          <w:rFonts w:ascii="Arial" w:hAnsi="Arial" w:eastAsia="Arial" w:cs="Arial"/>
          <w:sz w:val="22"/>
          <w:szCs w:val="22"/>
        </w:rPr>
        <w:t>leveraging</w:t>
      </w:r>
      <w:r w:rsidRPr="5394FC23" w:rsidR="2959CC76">
        <w:rPr>
          <w:rFonts w:ascii="Arial" w:hAnsi="Arial" w:eastAsia="Arial" w:cs="Arial"/>
          <w:sz w:val="22"/>
          <w:szCs w:val="22"/>
        </w:rPr>
        <w:t xml:space="preserve"> these elements effectively, Lloyds Bank can continue to progress toward its goals of digital advancement, inclusivity, and sustained competitiveness. The recommendations formulated in this study suggest further focus on strategic employee development and alignment between cultural values and operational goals, positioning Lloyds Bank to face future changes with resilience and agility.</w:t>
      </w:r>
    </w:p>
    <w:p w:rsidR="5A638AE4" w:rsidP="5394FC23" w:rsidRDefault="5A638AE4" w14:paraId="2ED083CB" w14:textId="7B228F15">
      <w:pPr>
        <w:pStyle w:val="Normal"/>
        <w:spacing w:line="360" w:lineRule="auto"/>
        <w:jc w:val="both"/>
      </w:pPr>
      <w:r w:rsidR="2434D76F">
        <w:rPr/>
        <w:t xml:space="preserve"> </w:t>
      </w:r>
      <w:r>
        <w:br w:type="page"/>
      </w:r>
      <w:r>
        <w:tab/>
      </w:r>
    </w:p>
    <w:p w:rsidR="674D6F63" w:rsidP="5394FC23" w:rsidRDefault="674D6F63" w14:paraId="340850ED" w14:textId="0A6EE62E">
      <w:pPr>
        <w:pStyle w:val="Heading1"/>
        <w:rPr>
          <w:rFonts w:ascii="Arial" w:hAnsi="Arial" w:eastAsia="Arial" w:cs="Arial"/>
          <w:b w:val="1"/>
          <w:bCs w:val="1"/>
          <w:color w:val="auto"/>
          <w:sz w:val="24"/>
          <w:szCs w:val="24"/>
        </w:rPr>
      </w:pPr>
      <w:bookmarkStart w:name="_Toc1224378438" w:id="1895802864"/>
      <w:r w:rsidRPr="5394FC23" w:rsidR="674D6F63">
        <w:rPr>
          <w:rFonts w:ascii="Arial" w:hAnsi="Arial" w:eastAsia="Arial" w:cs="Arial"/>
          <w:b w:val="1"/>
          <w:bCs w:val="1"/>
          <w:color w:val="auto"/>
          <w:sz w:val="24"/>
          <w:szCs w:val="24"/>
        </w:rPr>
        <w:t>REFERENCES</w:t>
      </w:r>
      <w:bookmarkEnd w:id="1895802864"/>
    </w:p>
    <w:p w:rsidR="3F80FAD7" w:rsidP="5394FC23" w:rsidRDefault="3F80FAD7" w14:paraId="1819E16A" w14:textId="6A0B6325">
      <w:pPr>
        <w:spacing w:before="0" w:beforeAutospacing="off" w:after="0" w:afterAutospacing="off" w:line="360" w:lineRule="auto"/>
        <w:rPr>
          <w:rFonts w:ascii="Arial" w:hAnsi="Arial" w:eastAsia="Arial" w:cs="Arial"/>
          <w:noProof w:val="0"/>
          <w:sz w:val="22"/>
          <w:szCs w:val="22"/>
          <w:lang w:val="en-GB"/>
        </w:rPr>
      </w:pPr>
      <w:r w:rsidRPr="5394FC23" w:rsidR="3F80FAD7">
        <w:rPr>
          <w:rFonts w:ascii="Arial" w:hAnsi="Arial" w:eastAsia="Arial" w:cs="Arial"/>
          <w:noProof w:val="0"/>
          <w:sz w:val="22"/>
          <w:szCs w:val="22"/>
          <w:lang w:val="en-GB"/>
        </w:rPr>
        <w:t>Acuti</w:t>
      </w:r>
      <w:r w:rsidRPr="5394FC23" w:rsidR="3F80FAD7">
        <w:rPr>
          <w:rFonts w:ascii="Arial" w:hAnsi="Arial" w:eastAsia="Arial" w:cs="Arial"/>
          <w:noProof w:val="0"/>
          <w:sz w:val="22"/>
          <w:szCs w:val="22"/>
          <w:lang w:val="en-GB"/>
        </w:rPr>
        <w:t>, D., Glozer, S. and Crane, A. (2024) ‘What is (and is not) stakeholder dialogue in CSR? A review and research agenda</w:t>
      </w:r>
      <w:r w:rsidRPr="5394FC23" w:rsidR="3F80FAD7">
        <w:rPr>
          <w:rFonts w:ascii="Arial" w:hAnsi="Arial" w:eastAsia="Arial" w:cs="Arial"/>
          <w:noProof w:val="0"/>
          <w:sz w:val="22"/>
          <w:szCs w:val="22"/>
          <w:lang w:val="en-GB"/>
        </w:rPr>
        <w:t>’,</w:t>
      </w:r>
      <w:r w:rsidRPr="5394FC23" w:rsidR="3F80FAD7">
        <w:rPr>
          <w:rFonts w:ascii="Arial" w:hAnsi="Arial" w:eastAsia="Arial" w:cs="Arial"/>
          <w:noProof w:val="0"/>
          <w:sz w:val="22"/>
          <w:szCs w:val="22"/>
          <w:lang w:val="en-GB"/>
        </w:rPr>
        <w:t xml:space="preserve"> </w:t>
      </w:r>
      <w:r w:rsidRPr="5394FC23" w:rsidR="3F80FAD7">
        <w:rPr>
          <w:rFonts w:ascii="Arial" w:hAnsi="Arial" w:eastAsia="Arial" w:cs="Arial"/>
          <w:i w:val="1"/>
          <w:iCs w:val="1"/>
          <w:noProof w:val="0"/>
          <w:sz w:val="22"/>
          <w:szCs w:val="22"/>
          <w:lang w:val="en-GB"/>
        </w:rPr>
        <w:t xml:space="preserve">International journal of management </w:t>
      </w:r>
      <w:r w:rsidRPr="5394FC23" w:rsidR="3F80FAD7">
        <w:rPr>
          <w:rFonts w:ascii="Arial" w:hAnsi="Arial" w:eastAsia="Arial" w:cs="Arial"/>
          <w:i w:val="1"/>
          <w:iCs w:val="1"/>
          <w:noProof w:val="0"/>
          <w:sz w:val="22"/>
          <w:szCs w:val="22"/>
          <w:lang w:val="en-GB"/>
        </w:rPr>
        <w:t>reviews :</w:t>
      </w:r>
      <w:r w:rsidRPr="5394FC23" w:rsidR="3F80FAD7">
        <w:rPr>
          <w:rFonts w:ascii="Arial" w:hAnsi="Arial" w:eastAsia="Arial" w:cs="Arial"/>
          <w:i w:val="1"/>
          <w:iCs w:val="1"/>
          <w:noProof w:val="0"/>
          <w:sz w:val="22"/>
          <w:szCs w:val="22"/>
          <w:lang w:val="en-GB"/>
        </w:rPr>
        <w:t xml:space="preserve"> IJMR</w:t>
      </w:r>
      <w:r w:rsidRPr="5394FC23" w:rsidR="3F80FAD7">
        <w:rPr>
          <w:rFonts w:ascii="Arial" w:hAnsi="Arial" w:eastAsia="Arial" w:cs="Arial"/>
          <w:noProof w:val="0"/>
          <w:sz w:val="22"/>
          <w:szCs w:val="22"/>
          <w:lang w:val="en-GB"/>
        </w:rPr>
        <w:t xml:space="preserve">, 26(4), pp. 518–535. Available at: </w:t>
      </w:r>
      <w:hyperlink r:id="Rd567877f6c444c6c">
        <w:r w:rsidRPr="5394FC23" w:rsidR="3F80FAD7">
          <w:rPr>
            <w:rStyle w:val="Hyperlink"/>
            <w:rFonts w:ascii="Arial" w:hAnsi="Arial" w:eastAsia="Arial" w:cs="Arial"/>
            <w:noProof w:val="0"/>
            <w:sz w:val="22"/>
            <w:szCs w:val="22"/>
            <w:lang w:val="en-GB"/>
          </w:rPr>
          <w:t>https://doi.org/10.1111/ijmr.12363</w:t>
        </w:r>
      </w:hyperlink>
      <w:r w:rsidRPr="5394FC23" w:rsidR="3F80FAD7">
        <w:rPr>
          <w:rFonts w:ascii="Arial" w:hAnsi="Arial" w:eastAsia="Arial" w:cs="Arial"/>
          <w:noProof w:val="0"/>
          <w:sz w:val="22"/>
          <w:szCs w:val="22"/>
          <w:lang w:val="en-GB"/>
        </w:rPr>
        <w:t>.</w:t>
      </w:r>
      <w:r w:rsidRPr="5394FC23" w:rsidR="3F80FAD7">
        <w:rPr>
          <w:rFonts w:ascii="Arial" w:hAnsi="Arial" w:eastAsia="Arial" w:cs="Arial"/>
          <w:noProof w:val="0"/>
          <w:sz w:val="22"/>
          <w:szCs w:val="22"/>
          <w:lang w:val="en-GB"/>
        </w:rPr>
        <w:t xml:space="preserve"> </w:t>
      </w:r>
    </w:p>
    <w:p w:rsidR="5394FC23" w:rsidP="5394FC23" w:rsidRDefault="5394FC23" w14:paraId="2A3E3B43" w14:textId="1B6DA768">
      <w:pPr>
        <w:spacing w:before="0" w:beforeAutospacing="off" w:after="0" w:afterAutospacing="off" w:line="360" w:lineRule="auto"/>
        <w:rPr>
          <w:rFonts w:ascii="Arial" w:hAnsi="Arial" w:eastAsia="Arial" w:cs="Arial"/>
          <w:noProof w:val="0"/>
          <w:sz w:val="22"/>
          <w:szCs w:val="22"/>
          <w:lang w:val="en-GB"/>
        </w:rPr>
      </w:pPr>
    </w:p>
    <w:p w:rsidR="7F5836B9" w:rsidP="5394FC23" w:rsidRDefault="7F5836B9" w14:paraId="5AFE233F" w14:textId="1B061899">
      <w:pPr>
        <w:spacing w:before="0" w:beforeAutospacing="off" w:after="0" w:afterAutospacing="off" w:line="360" w:lineRule="auto"/>
        <w:rPr>
          <w:rFonts w:ascii="Arial" w:hAnsi="Arial" w:eastAsia="Arial" w:cs="Arial"/>
          <w:noProof w:val="0"/>
          <w:sz w:val="22"/>
          <w:szCs w:val="22"/>
          <w:lang w:val="en-GB"/>
        </w:rPr>
      </w:pPr>
      <w:r w:rsidRPr="5394FC23" w:rsidR="7F5836B9">
        <w:rPr>
          <w:rFonts w:ascii="Arial" w:hAnsi="Arial" w:eastAsia="Arial" w:cs="Arial"/>
          <w:noProof w:val="0"/>
          <w:sz w:val="22"/>
          <w:szCs w:val="22"/>
          <w:lang w:val="en-GB"/>
        </w:rPr>
        <w:t xml:space="preserve">Adem, M. (2022) ‘Determinants of Credit Risk in Ethiopian Banking Industry: Does Political Stability Matter?’, </w:t>
      </w:r>
      <w:r w:rsidRPr="5394FC23" w:rsidR="7F5836B9">
        <w:rPr>
          <w:rFonts w:ascii="Arial" w:hAnsi="Arial" w:eastAsia="Arial" w:cs="Arial"/>
          <w:i w:val="1"/>
          <w:iCs w:val="1"/>
          <w:noProof w:val="0"/>
          <w:sz w:val="22"/>
          <w:szCs w:val="22"/>
          <w:lang w:val="en-GB"/>
        </w:rPr>
        <w:t>Global business review</w:t>
      </w:r>
      <w:r w:rsidRPr="5394FC23" w:rsidR="7F5836B9">
        <w:rPr>
          <w:rFonts w:ascii="Arial" w:hAnsi="Arial" w:eastAsia="Arial" w:cs="Arial"/>
          <w:noProof w:val="0"/>
          <w:sz w:val="22"/>
          <w:szCs w:val="22"/>
          <w:lang w:val="en-GB"/>
        </w:rPr>
        <w:t xml:space="preserve"> [Preprint]. Available at: </w:t>
      </w:r>
      <w:hyperlink r:id="Re07e7d61046c4040">
        <w:r w:rsidRPr="5394FC23" w:rsidR="7F5836B9">
          <w:rPr>
            <w:rStyle w:val="Hyperlink"/>
            <w:rFonts w:ascii="Arial" w:hAnsi="Arial" w:eastAsia="Arial" w:cs="Arial"/>
            <w:noProof w:val="0"/>
            <w:sz w:val="22"/>
            <w:szCs w:val="22"/>
            <w:lang w:val="en-GB"/>
          </w:rPr>
          <w:t>https://doi.org/10.1177/09721509221104244</w:t>
        </w:r>
      </w:hyperlink>
      <w:r w:rsidRPr="5394FC23" w:rsidR="7F5836B9">
        <w:rPr>
          <w:rFonts w:ascii="Arial" w:hAnsi="Arial" w:eastAsia="Arial" w:cs="Arial"/>
          <w:noProof w:val="0"/>
          <w:sz w:val="22"/>
          <w:szCs w:val="22"/>
          <w:lang w:val="en-GB"/>
        </w:rPr>
        <w:t>.</w:t>
      </w:r>
      <w:r w:rsidRPr="5394FC23" w:rsidR="7F5836B9">
        <w:rPr>
          <w:rFonts w:ascii="Arial" w:hAnsi="Arial" w:eastAsia="Arial" w:cs="Arial"/>
          <w:noProof w:val="0"/>
          <w:sz w:val="22"/>
          <w:szCs w:val="22"/>
          <w:lang w:val="en-GB"/>
        </w:rPr>
        <w:t xml:space="preserve"> </w:t>
      </w:r>
    </w:p>
    <w:p w:rsidR="5394FC23" w:rsidP="5394FC23" w:rsidRDefault="5394FC23" w14:paraId="00CCFB59" w14:textId="2A33C706">
      <w:pPr>
        <w:spacing w:before="0" w:beforeAutospacing="off" w:after="0" w:afterAutospacing="off" w:line="360" w:lineRule="auto"/>
        <w:rPr>
          <w:rFonts w:ascii="Arial" w:hAnsi="Arial" w:eastAsia="Arial" w:cs="Arial"/>
          <w:noProof w:val="0"/>
          <w:sz w:val="22"/>
          <w:szCs w:val="22"/>
          <w:lang w:val="en-GB"/>
        </w:rPr>
      </w:pPr>
    </w:p>
    <w:p w:rsidR="33CACFBD" w:rsidP="5394FC23" w:rsidRDefault="33CACFBD" w14:paraId="358F706E" w14:textId="3B1C1EFC">
      <w:pPr>
        <w:spacing w:before="0" w:beforeAutospacing="off" w:after="0" w:afterAutospacing="off" w:line="360" w:lineRule="auto"/>
        <w:rPr>
          <w:rFonts w:ascii="Arial" w:hAnsi="Arial" w:eastAsia="Arial" w:cs="Arial"/>
          <w:noProof w:val="0"/>
          <w:sz w:val="22"/>
          <w:szCs w:val="22"/>
          <w:lang w:val="en-GB"/>
        </w:rPr>
      </w:pPr>
      <w:r w:rsidRPr="5394FC23" w:rsidR="33CACFBD">
        <w:rPr>
          <w:rFonts w:ascii="Arial" w:hAnsi="Arial" w:eastAsia="Arial" w:cs="Arial"/>
          <w:noProof w:val="0"/>
          <w:sz w:val="22"/>
          <w:szCs w:val="22"/>
          <w:lang w:val="en-GB"/>
        </w:rPr>
        <w:t xml:space="preserve">Bakari, H., </w:t>
      </w:r>
      <w:r w:rsidRPr="5394FC23" w:rsidR="33CACFBD">
        <w:rPr>
          <w:rFonts w:ascii="Arial" w:hAnsi="Arial" w:eastAsia="Arial" w:cs="Arial"/>
          <w:noProof w:val="0"/>
          <w:sz w:val="22"/>
          <w:szCs w:val="22"/>
          <w:lang w:val="en-GB"/>
        </w:rPr>
        <w:t>Hunjra</w:t>
      </w:r>
      <w:r w:rsidRPr="5394FC23" w:rsidR="33CACFBD">
        <w:rPr>
          <w:rFonts w:ascii="Arial" w:hAnsi="Arial" w:eastAsia="Arial" w:cs="Arial"/>
          <w:noProof w:val="0"/>
          <w:sz w:val="22"/>
          <w:szCs w:val="22"/>
          <w:lang w:val="en-GB"/>
        </w:rPr>
        <w:t xml:space="preserve">, A.I. and Niazi, G.S.K. (2017) ‘How Does Authentic Leadership Influence Planned Organizational Change? The Role of Employees’ Perceptions: Integration of Theory of Planned </w:t>
      </w:r>
      <w:r w:rsidRPr="5394FC23" w:rsidR="33CACFBD">
        <w:rPr>
          <w:rFonts w:ascii="Arial" w:hAnsi="Arial" w:eastAsia="Arial" w:cs="Arial"/>
          <w:noProof w:val="0"/>
          <w:sz w:val="22"/>
          <w:szCs w:val="22"/>
          <w:lang w:val="en-GB"/>
        </w:rPr>
        <w:t>Behavior</w:t>
      </w:r>
      <w:r w:rsidRPr="5394FC23" w:rsidR="33CACFBD">
        <w:rPr>
          <w:rFonts w:ascii="Arial" w:hAnsi="Arial" w:eastAsia="Arial" w:cs="Arial"/>
          <w:noProof w:val="0"/>
          <w:sz w:val="22"/>
          <w:szCs w:val="22"/>
          <w:lang w:val="en-GB"/>
        </w:rPr>
        <w:t xml:space="preserve"> and Lewin’s Three Step Model</w:t>
      </w:r>
      <w:r w:rsidRPr="5394FC23" w:rsidR="33CACFBD">
        <w:rPr>
          <w:rFonts w:ascii="Arial" w:hAnsi="Arial" w:eastAsia="Arial" w:cs="Arial"/>
          <w:noProof w:val="0"/>
          <w:sz w:val="22"/>
          <w:szCs w:val="22"/>
          <w:lang w:val="en-GB"/>
        </w:rPr>
        <w:t>’,</w:t>
      </w:r>
      <w:r w:rsidRPr="5394FC23" w:rsidR="33CACFBD">
        <w:rPr>
          <w:rFonts w:ascii="Arial" w:hAnsi="Arial" w:eastAsia="Arial" w:cs="Arial"/>
          <w:noProof w:val="0"/>
          <w:sz w:val="22"/>
          <w:szCs w:val="22"/>
          <w:lang w:val="en-GB"/>
        </w:rPr>
        <w:t xml:space="preserve"> </w:t>
      </w:r>
      <w:r w:rsidRPr="5394FC23" w:rsidR="33CACFBD">
        <w:rPr>
          <w:rFonts w:ascii="Arial" w:hAnsi="Arial" w:eastAsia="Arial" w:cs="Arial"/>
          <w:i w:val="1"/>
          <w:iCs w:val="1"/>
          <w:noProof w:val="0"/>
          <w:sz w:val="22"/>
          <w:szCs w:val="22"/>
          <w:lang w:val="en-GB"/>
        </w:rPr>
        <w:t>Journal of change management</w:t>
      </w:r>
      <w:r w:rsidRPr="5394FC23" w:rsidR="33CACFBD">
        <w:rPr>
          <w:rFonts w:ascii="Arial" w:hAnsi="Arial" w:eastAsia="Arial" w:cs="Arial"/>
          <w:noProof w:val="0"/>
          <w:sz w:val="22"/>
          <w:szCs w:val="22"/>
          <w:lang w:val="en-GB"/>
        </w:rPr>
        <w:t xml:space="preserve">, 17(2), pp. 155–187. Available at: </w:t>
      </w:r>
      <w:hyperlink r:id="R014c302e36904f3f">
        <w:r w:rsidRPr="5394FC23" w:rsidR="33CACFBD">
          <w:rPr>
            <w:rStyle w:val="Hyperlink"/>
            <w:rFonts w:ascii="Arial" w:hAnsi="Arial" w:eastAsia="Arial" w:cs="Arial"/>
            <w:noProof w:val="0"/>
            <w:sz w:val="22"/>
            <w:szCs w:val="22"/>
            <w:lang w:val="en-GB"/>
          </w:rPr>
          <w:t>https://doi.org/10.1080/14697017.2017.1299370</w:t>
        </w:r>
      </w:hyperlink>
      <w:r w:rsidRPr="5394FC23" w:rsidR="33CACFBD">
        <w:rPr>
          <w:rFonts w:ascii="Arial" w:hAnsi="Arial" w:eastAsia="Arial" w:cs="Arial"/>
          <w:noProof w:val="0"/>
          <w:sz w:val="22"/>
          <w:szCs w:val="22"/>
          <w:lang w:val="en-GB"/>
        </w:rPr>
        <w:t>.</w:t>
      </w:r>
    </w:p>
    <w:p w:rsidR="5394FC23" w:rsidP="5394FC23" w:rsidRDefault="5394FC23" w14:paraId="77330234" w14:textId="068CF0B9">
      <w:pPr>
        <w:spacing w:before="0" w:beforeAutospacing="off" w:after="0" w:afterAutospacing="off" w:line="360" w:lineRule="auto"/>
        <w:rPr>
          <w:rFonts w:ascii="Arial" w:hAnsi="Arial" w:eastAsia="Arial" w:cs="Arial"/>
          <w:noProof w:val="0"/>
          <w:sz w:val="22"/>
          <w:szCs w:val="22"/>
          <w:lang w:val="en-GB"/>
        </w:rPr>
      </w:pPr>
    </w:p>
    <w:p w:rsidR="46A8AF01" w:rsidP="5394FC23" w:rsidRDefault="46A8AF01" w14:paraId="4D491E7F" w14:textId="3CAF9E21">
      <w:pPr>
        <w:spacing w:before="0" w:beforeAutospacing="off" w:after="0" w:afterAutospacing="off" w:line="360" w:lineRule="auto"/>
        <w:rPr>
          <w:rFonts w:ascii="Arial" w:hAnsi="Arial" w:eastAsia="Arial" w:cs="Arial"/>
          <w:noProof w:val="0"/>
          <w:sz w:val="22"/>
          <w:szCs w:val="22"/>
          <w:lang w:val="en-GB"/>
        </w:rPr>
      </w:pPr>
      <w:r w:rsidRPr="5394FC23" w:rsidR="46A8AF01">
        <w:rPr>
          <w:rFonts w:ascii="Arial" w:hAnsi="Arial" w:eastAsia="Arial" w:cs="Arial"/>
          <w:noProof w:val="0"/>
          <w:sz w:val="22"/>
          <w:szCs w:val="22"/>
          <w:lang w:val="en-GB"/>
        </w:rPr>
        <w:t xml:space="preserve">Burnes, B. (2004) ‘Kurt Lewin and the Planned Approach to Change: A Re-appraisal’, </w:t>
      </w:r>
      <w:r w:rsidRPr="5394FC23" w:rsidR="46A8AF01">
        <w:rPr>
          <w:rFonts w:ascii="Arial" w:hAnsi="Arial" w:eastAsia="Arial" w:cs="Arial"/>
          <w:i w:val="1"/>
          <w:iCs w:val="1"/>
          <w:noProof w:val="0"/>
          <w:sz w:val="22"/>
          <w:szCs w:val="22"/>
          <w:lang w:val="en-GB"/>
        </w:rPr>
        <w:t>Journal of management studies</w:t>
      </w:r>
      <w:r w:rsidRPr="5394FC23" w:rsidR="46A8AF01">
        <w:rPr>
          <w:rFonts w:ascii="Arial" w:hAnsi="Arial" w:eastAsia="Arial" w:cs="Arial"/>
          <w:noProof w:val="0"/>
          <w:sz w:val="22"/>
          <w:szCs w:val="22"/>
          <w:lang w:val="en-GB"/>
        </w:rPr>
        <w:t xml:space="preserve">, 41(6), pp. 977–1002. Available at: </w:t>
      </w:r>
      <w:hyperlink r:id="Rfb6b2868be23410c">
        <w:r w:rsidRPr="5394FC23" w:rsidR="46A8AF01">
          <w:rPr>
            <w:rStyle w:val="Hyperlink"/>
            <w:rFonts w:ascii="Arial" w:hAnsi="Arial" w:eastAsia="Arial" w:cs="Arial"/>
            <w:noProof w:val="0"/>
            <w:sz w:val="22"/>
            <w:szCs w:val="22"/>
            <w:lang w:val="en-GB"/>
          </w:rPr>
          <w:t>https://doi.org/10.1111/j.1467-6486.2004.00463.x</w:t>
        </w:r>
      </w:hyperlink>
      <w:r w:rsidRPr="5394FC23" w:rsidR="46A8AF01">
        <w:rPr>
          <w:rFonts w:ascii="Arial" w:hAnsi="Arial" w:eastAsia="Arial" w:cs="Arial"/>
          <w:noProof w:val="0"/>
          <w:sz w:val="22"/>
          <w:szCs w:val="22"/>
          <w:lang w:val="en-GB"/>
        </w:rPr>
        <w:t>.</w:t>
      </w:r>
    </w:p>
    <w:p w:rsidR="5394FC23" w:rsidP="5394FC23" w:rsidRDefault="5394FC23" w14:paraId="157ECE66" w14:textId="374A5AC2">
      <w:pPr>
        <w:spacing w:line="360" w:lineRule="auto"/>
        <w:rPr>
          <w:rFonts w:ascii="Arial" w:hAnsi="Arial" w:eastAsia="Arial" w:cs="Arial"/>
          <w:sz w:val="22"/>
          <w:szCs w:val="22"/>
        </w:rPr>
      </w:pPr>
    </w:p>
    <w:p w:rsidR="674D6F63" w:rsidP="5394FC23" w:rsidRDefault="674D6F63" w14:paraId="0030D0E3" w14:textId="456F7980">
      <w:pPr>
        <w:spacing w:before="0" w:beforeAutospacing="off" w:after="0" w:afterAutospacing="off" w:line="360" w:lineRule="auto"/>
        <w:rPr>
          <w:rFonts w:ascii="Arial" w:hAnsi="Arial" w:eastAsia="Arial" w:cs="Arial"/>
          <w:sz w:val="22"/>
          <w:szCs w:val="22"/>
        </w:rPr>
      </w:pPr>
      <w:r w:rsidRPr="5394FC23" w:rsidR="674D6F63">
        <w:rPr>
          <w:rFonts w:ascii="Arial" w:hAnsi="Arial" w:eastAsia="Arial" w:cs="Arial"/>
          <w:sz w:val="22"/>
          <w:szCs w:val="22"/>
        </w:rPr>
        <w:t xml:space="preserve">Burnes, B. (2017) </w:t>
      </w:r>
      <w:r w:rsidRPr="5394FC23" w:rsidR="674D6F63">
        <w:rPr>
          <w:rFonts w:ascii="Arial" w:hAnsi="Arial" w:eastAsia="Arial" w:cs="Arial"/>
          <w:i w:val="1"/>
          <w:iCs w:val="1"/>
          <w:sz w:val="22"/>
          <w:szCs w:val="22"/>
        </w:rPr>
        <w:t>Managing change</w:t>
      </w:r>
      <w:r w:rsidRPr="5394FC23" w:rsidR="674D6F63">
        <w:rPr>
          <w:rFonts w:ascii="Arial" w:hAnsi="Arial" w:eastAsia="Arial" w:cs="Arial"/>
          <w:sz w:val="22"/>
          <w:szCs w:val="22"/>
        </w:rPr>
        <w:t xml:space="preserve">. 7th ed. </w:t>
      </w:r>
      <w:r w:rsidRPr="5394FC23" w:rsidR="674D6F63">
        <w:rPr>
          <w:rFonts w:ascii="Arial" w:hAnsi="Arial" w:eastAsia="Arial" w:cs="Arial"/>
          <w:sz w:val="22"/>
          <w:szCs w:val="22"/>
        </w:rPr>
        <w:t>Harlow: Pearson.</w:t>
      </w:r>
    </w:p>
    <w:p w:rsidR="05081A57" w:rsidP="5394FC23" w:rsidRDefault="05081A57" w14:paraId="78C4D894" w14:textId="54F1583F">
      <w:pPr>
        <w:spacing w:before="0" w:beforeAutospacing="off" w:after="0" w:afterAutospacing="off" w:line="360" w:lineRule="auto"/>
        <w:rPr>
          <w:rFonts w:ascii="Arial" w:hAnsi="Arial" w:eastAsia="Arial" w:cs="Arial"/>
          <w:noProof w:val="0"/>
          <w:sz w:val="22"/>
          <w:szCs w:val="22"/>
          <w:lang w:val="en-US"/>
        </w:rPr>
      </w:pPr>
    </w:p>
    <w:p w:rsidR="054BB65E" w:rsidP="5394FC23" w:rsidRDefault="054BB65E" w14:paraId="41DE3ED7" w14:textId="2BFC82DC">
      <w:pPr>
        <w:spacing w:before="0" w:beforeAutospacing="off" w:after="0" w:afterAutospacing="off" w:line="360" w:lineRule="auto"/>
        <w:rPr>
          <w:rFonts w:ascii="Arial" w:hAnsi="Arial" w:eastAsia="Arial" w:cs="Arial"/>
          <w:sz w:val="22"/>
          <w:szCs w:val="22"/>
        </w:rPr>
      </w:pPr>
      <w:r w:rsidRPr="5394FC23" w:rsidR="054BB65E">
        <w:rPr>
          <w:rFonts w:ascii="Arial" w:hAnsi="Arial" w:eastAsia="Arial" w:cs="Arial"/>
          <w:sz w:val="22"/>
          <w:szCs w:val="22"/>
        </w:rPr>
        <w:t xml:space="preserve">Conaty, F. and Robbins, G. (2021) ‘A stakeholder salience perspective on performance and management control systems in non-profit </w:t>
      </w:r>
      <w:r w:rsidRPr="5394FC23" w:rsidR="054BB65E">
        <w:rPr>
          <w:rFonts w:ascii="Arial" w:hAnsi="Arial" w:eastAsia="Arial" w:cs="Arial"/>
          <w:sz w:val="22"/>
          <w:szCs w:val="22"/>
        </w:rPr>
        <w:t>organisations</w:t>
      </w:r>
      <w:r w:rsidRPr="5394FC23" w:rsidR="054BB65E">
        <w:rPr>
          <w:rFonts w:ascii="Arial" w:hAnsi="Arial" w:eastAsia="Arial" w:cs="Arial"/>
          <w:sz w:val="22"/>
          <w:szCs w:val="22"/>
        </w:rPr>
        <w:t xml:space="preserve">’, </w:t>
      </w:r>
      <w:r w:rsidRPr="5394FC23" w:rsidR="054BB65E">
        <w:rPr>
          <w:rFonts w:ascii="Arial" w:hAnsi="Arial" w:eastAsia="Arial" w:cs="Arial"/>
          <w:i w:val="1"/>
          <w:iCs w:val="1"/>
          <w:sz w:val="22"/>
          <w:szCs w:val="22"/>
        </w:rPr>
        <w:t>Critical perspectives on accounting</w:t>
      </w:r>
      <w:r w:rsidRPr="5394FC23" w:rsidR="054BB65E">
        <w:rPr>
          <w:rFonts w:ascii="Arial" w:hAnsi="Arial" w:eastAsia="Arial" w:cs="Arial"/>
          <w:sz w:val="22"/>
          <w:szCs w:val="22"/>
        </w:rPr>
        <w:t xml:space="preserve">, 80, pp. 102052-. Available at: </w:t>
      </w:r>
      <w:hyperlink r:id="Radfea6c2cdf6474e">
        <w:r w:rsidRPr="5394FC23" w:rsidR="054BB65E">
          <w:rPr>
            <w:rStyle w:val="Hyperlink"/>
            <w:rFonts w:ascii="Arial" w:hAnsi="Arial" w:eastAsia="Arial" w:cs="Arial"/>
            <w:sz w:val="22"/>
            <w:szCs w:val="22"/>
          </w:rPr>
          <w:t>https://doi.org/10.1016/j.cpa.2018.07.001</w:t>
        </w:r>
      </w:hyperlink>
      <w:r w:rsidRPr="5394FC23" w:rsidR="054BB65E">
        <w:rPr>
          <w:rFonts w:ascii="Arial" w:hAnsi="Arial" w:eastAsia="Arial" w:cs="Arial"/>
          <w:sz w:val="22"/>
          <w:szCs w:val="22"/>
        </w:rPr>
        <w:t>.</w:t>
      </w:r>
    </w:p>
    <w:p w:rsidR="05081A57" w:rsidP="5394FC23" w:rsidRDefault="05081A57" w14:paraId="398306A4" w14:textId="34C9DA8B">
      <w:pPr>
        <w:spacing w:before="0" w:beforeAutospacing="off" w:after="0" w:afterAutospacing="off" w:line="360" w:lineRule="auto"/>
        <w:rPr>
          <w:rFonts w:ascii="Arial" w:hAnsi="Arial" w:eastAsia="Arial" w:cs="Arial"/>
          <w:sz w:val="22"/>
          <w:szCs w:val="22"/>
        </w:rPr>
      </w:pPr>
    </w:p>
    <w:p w:rsidR="05081A57" w:rsidP="5394FC23" w:rsidRDefault="05081A57" w14:paraId="3F551E4F" w14:textId="1137A0E5">
      <w:pPr>
        <w:spacing w:before="0" w:beforeAutospacing="off" w:after="0" w:afterAutospacing="off" w:line="360" w:lineRule="auto"/>
        <w:rPr>
          <w:rFonts w:ascii="Arial" w:hAnsi="Arial" w:eastAsia="Arial" w:cs="Arial"/>
          <w:sz w:val="22"/>
          <w:szCs w:val="22"/>
        </w:rPr>
      </w:pPr>
      <w:r w:rsidRPr="5394FC23" w:rsidR="75BCFDD1">
        <w:rPr>
          <w:rFonts w:ascii="Arial" w:hAnsi="Arial" w:eastAsia="Arial" w:cs="Arial"/>
          <w:sz w:val="22"/>
          <w:szCs w:val="22"/>
        </w:rPr>
        <w:t xml:space="preserve">Fakhira, N., </w:t>
      </w:r>
      <w:r w:rsidRPr="5394FC23" w:rsidR="75BCFDD1">
        <w:rPr>
          <w:rFonts w:ascii="Arial" w:hAnsi="Arial" w:eastAsia="Arial" w:cs="Arial"/>
          <w:sz w:val="22"/>
          <w:szCs w:val="22"/>
        </w:rPr>
        <w:t>Zulbainarni</w:t>
      </w:r>
      <w:r w:rsidRPr="5394FC23" w:rsidR="75BCFDD1">
        <w:rPr>
          <w:rFonts w:ascii="Arial" w:hAnsi="Arial" w:eastAsia="Arial" w:cs="Arial"/>
          <w:sz w:val="22"/>
          <w:szCs w:val="22"/>
        </w:rPr>
        <w:t xml:space="preserve">, N., and Simanjuntak, M. (2023) ‘Green Banking Adoption Strategy (Case Study of Banks in </w:t>
      </w:r>
      <w:r w:rsidRPr="5394FC23" w:rsidR="75BCFDD1">
        <w:rPr>
          <w:rFonts w:ascii="Arial" w:hAnsi="Arial" w:eastAsia="Arial" w:cs="Arial"/>
          <w:sz w:val="22"/>
          <w:szCs w:val="22"/>
        </w:rPr>
        <w:t>Jabodetabek</w:t>
      </w:r>
      <w:r w:rsidRPr="5394FC23" w:rsidR="75BCFDD1">
        <w:rPr>
          <w:rFonts w:ascii="Arial" w:hAnsi="Arial" w:eastAsia="Arial" w:cs="Arial"/>
          <w:sz w:val="22"/>
          <w:szCs w:val="22"/>
        </w:rPr>
        <w:t xml:space="preserve">)’, </w:t>
      </w:r>
      <w:r w:rsidRPr="5394FC23" w:rsidR="75BCFDD1">
        <w:rPr>
          <w:rFonts w:ascii="Arial" w:hAnsi="Arial" w:eastAsia="Arial" w:cs="Arial"/>
          <w:i w:val="1"/>
          <w:iCs w:val="1"/>
          <w:sz w:val="22"/>
          <w:szCs w:val="22"/>
        </w:rPr>
        <w:t>Indonesian Journal of Business and Entrepreneurship</w:t>
      </w:r>
      <w:r w:rsidRPr="5394FC23" w:rsidR="75BCFDD1">
        <w:rPr>
          <w:rFonts w:ascii="Arial" w:hAnsi="Arial" w:eastAsia="Arial" w:cs="Arial"/>
          <w:sz w:val="22"/>
          <w:szCs w:val="22"/>
        </w:rPr>
        <w:t xml:space="preserve">, 9(1), pp. 49–49. Available at: </w:t>
      </w:r>
      <w:hyperlink r:id="R88c99e95c9be4c14">
        <w:r w:rsidRPr="5394FC23" w:rsidR="75BCFDD1">
          <w:rPr>
            <w:rStyle w:val="Hyperlink"/>
            <w:rFonts w:ascii="Arial" w:hAnsi="Arial" w:eastAsia="Arial" w:cs="Arial"/>
            <w:sz w:val="22"/>
            <w:szCs w:val="22"/>
          </w:rPr>
          <w:t>https://doi.org/10.17358/ijbe.9.1.49</w:t>
        </w:r>
      </w:hyperlink>
      <w:r w:rsidRPr="5394FC23" w:rsidR="75BCFDD1">
        <w:rPr>
          <w:rFonts w:ascii="Arial" w:hAnsi="Arial" w:eastAsia="Arial" w:cs="Arial"/>
          <w:sz w:val="22"/>
          <w:szCs w:val="22"/>
        </w:rPr>
        <w:t>.</w:t>
      </w:r>
    </w:p>
    <w:p w:rsidR="05081A57" w:rsidP="5394FC23" w:rsidRDefault="05081A57" w14:paraId="073A4711" w14:textId="00A98D95">
      <w:pPr>
        <w:spacing w:before="0" w:beforeAutospacing="off" w:after="0" w:afterAutospacing="off" w:line="360" w:lineRule="auto"/>
        <w:rPr>
          <w:rFonts w:ascii="Arial" w:hAnsi="Arial" w:eastAsia="Arial" w:cs="Arial"/>
          <w:sz w:val="22"/>
          <w:szCs w:val="22"/>
        </w:rPr>
      </w:pPr>
    </w:p>
    <w:p w:rsidR="05081A57" w:rsidP="5394FC23" w:rsidRDefault="05081A57" w14:paraId="36C4EE0B" w14:textId="081E6AE1">
      <w:pPr>
        <w:spacing w:before="0" w:beforeAutospacing="off" w:after="0" w:afterAutospacing="off" w:line="360" w:lineRule="auto"/>
        <w:rPr>
          <w:rFonts w:ascii="Arial" w:hAnsi="Arial" w:eastAsia="Arial" w:cs="Arial"/>
          <w:noProof w:val="0"/>
          <w:sz w:val="22"/>
          <w:szCs w:val="22"/>
          <w:lang w:val="en-GB"/>
        </w:rPr>
      </w:pPr>
      <w:r w:rsidRPr="5394FC23" w:rsidR="1BB73AF9">
        <w:rPr>
          <w:rFonts w:ascii="Arial" w:hAnsi="Arial" w:eastAsia="Arial" w:cs="Arial"/>
          <w:noProof w:val="0"/>
          <w:sz w:val="22"/>
          <w:szCs w:val="22"/>
          <w:lang w:val="en-GB"/>
        </w:rPr>
        <w:t>Grasselli</w:t>
      </w:r>
      <w:r w:rsidRPr="5394FC23" w:rsidR="1BB73AF9">
        <w:rPr>
          <w:rFonts w:ascii="Arial" w:hAnsi="Arial" w:eastAsia="Arial" w:cs="Arial"/>
          <w:noProof w:val="0"/>
          <w:sz w:val="22"/>
          <w:szCs w:val="22"/>
          <w:lang w:val="en-GB"/>
        </w:rPr>
        <w:t xml:space="preserve">, M.R. (2022) ‘Monetary Policy Responses to Covid-19: A Comparison with the 2008 Crisis and Implications for the Future of Central Banking’, </w:t>
      </w:r>
      <w:r w:rsidRPr="5394FC23" w:rsidR="1BB73AF9">
        <w:rPr>
          <w:rFonts w:ascii="Arial" w:hAnsi="Arial" w:eastAsia="Arial" w:cs="Arial"/>
          <w:i w:val="1"/>
          <w:iCs w:val="1"/>
          <w:noProof w:val="0"/>
          <w:sz w:val="22"/>
          <w:szCs w:val="22"/>
          <w:lang w:val="en-GB"/>
        </w:rPr>
        <w:t>Review of political economy</w:t>
      </w:r>
      <w:r w:rsidRPr="5394FC23" w:rsidR="1BB73AF9">
        <w:rPr>
          <w:rFonts w:ascii="Arial" w:hAnsi="Arial" w:eastAsia="Arial" w:cs="Arial"/>
          <w:noProof w:val="0"/>
          <w:sz w:val="22"/>
          <w:szCs w:val="22"/>
          <w:lang w:val="en-GB"/>
        </w:rPr>
        <w:t xml:space="preserve">, 34(3), pp. 420–445. Available at: </w:t>
      </w:r>
      <w:hyperlink r:id="R4a676e6ac4e444d1">
        <w:r w:rsidRPr="5394FC23" w:rsidR="1BB73AF9">
          <w:rPr>
            <w:rStyle w:val="Hyperlink"/>
            <w:rFonts w:ascii="Arial" w:hAnsi="Arial" w:eastAsia="Arial" w:cs="Arial"/>
            <w:noProof w:val="0"/>
            <w:sz w:val="22"/>
            <w:szCs w:val="22"/>
            <w:lang w:val="en-GB"/>
          </w:rPr>
          <w:t>https://doi.org/10.1080/09538259.2021.1908778</w:t>
        </w:r>
      </w:hyperlink>
      <w:r w:rsidRPr="5394FC23" w:rsidR="1BB73AF9">
        <w:rPr>
          <w:rFonts w:ascii="Arial" w:hAnsi="Arial" w:eastAsia="Arial" w:cs="Arial"/>
          <w:noProof w:val="0"/>
          <w:sz w:val="22"/>
          <w:szCs w:val="22"/>
          <w:lang w:val="en-GB"/>
        </w:rPr>
        <w:t>.</w:t>
      </w:r>
    </w:p>
    <w:p w:rsidR="05081A57" w:rsidP="5394FC23" w:rsidRDefault="05081A57" w14:paraId="6F342400" w14:textId="4CC21B56">
      <w:pPr>
        <w:spacing w:before="0" w:beforeAutospacing="off" w:after="0" w:afterAutospacing="off" w:line="360" w:lineRule="auto"/>
        <w:rPr>
          <w:rFonts w:ascii="Arial" w:hAnsi="Arial" w:eastAsia="Arial" w:cs="Arial"/>
          <w:noProof w:val="0"/>
          <w:sz w:val="22"/>
          <w:szCs w:val="22"/>
          <w:lang w:val="en-US"/>
        </w:rPr>
      </w:pPr>
    </w:p>
    <w:p w:rsidR="44AC2F07" w:rsidP="5394FC23" w:rsidRDefault="44AC2F07" w14:paraId="659269E0" w14:textId="26AB68CA">
      <w:pPr>
        <w:spacing w:before="0" w:beforeAutospacing="off" w:after="0" w:afterAutospacing="off" w:line="360" w:lineRule="auto"/>
        <w:rPr>
          <w:rFonts w:ascii="Arial" w:hAnsi="Arial" w:eastAsia="Arial" w:cs="Arial"/>
          <w:noProof w:val="0"/>
          <w:sz w:val="22"/>
          <w:szCs w:val="22"/>
          <w:lang w:val="en-GB"/>
        </w:rPr>
      </w:pPr>
      <w:r w:rsidRPr="5394FC23" w:rsidR="44AC2F07">
        <w:rPr>
          <w:rFonts w:ascii="Arial" w:hAnsi="Arial" w:eastAsia="Arial" w:cs="Arial"/>
          <w:noProof w:val="0"/>
          <w:sz w:val="22"/>
          <w:szCs w:val="22"/>
          <w:lang w:val="en-GB"/>
        </w:rPr>
        <w:t xml:space="preserve">Graves, L. </w:t>
      </w:r>
      <w:r w:rsidRPr="5394FC23" w:rsidR="44AC2F07">
        <w:rPr>
          <w:rFonts w:ascii="Arial" w:hAnsi="Arial" w:eastAsia="Arial" w:cs="Arial"/>
          <w:i w:val="1"/>
          <w:iCs w:val="1"/>
          <w:noProof w:val="0"/>
          <w:sz w:val="22"/>
          <w:szCs w:val="22"/>
          <w:lang w:val="en-GB"/>
        </w:rPr>
        <w:t>et al.</w:t>
      </w:r>
      <w:r w:rsidRPr="5394FC23" w:rsidR="44AC2F07">
        <w:rPr>
          <w:rFonts w:ascii="Arial" w:hAnsi="Arial" w:eastAsia="Arial" w:cs="Arial"/>
          <w:noProof w:val="0"/>
          <w:sz w:val="22"/>
          <w:szCs w:val="22"/>
          <w:lang w:val="en-GB"/>
        </w:rPr>
        <w:t xml:space="preserve"> (2023) ‘Creating change: Kotter’s Change Management Model in action’, </w:t>
      </w:r>
      <w:r w:rsidRPr="5394FC23" w:rsidR="44AC2F07">
        <w:rPr>
          <w:rFonts w:ascii="Arial" w:hAnsi="Arial" w:eastAsia="Arial" w:cs="Arial"/>
          <w:i w:val="1"/>
          <w:iCs w:val="1"/>
          <w:noProof w:val="0"/>
          <w:sz w:val="22"/>
          <w:szCs w:val="22"/>
          <w:lang w:val="en-GB"/>
        </w:rPr>
        <w:t>Canadian medical education journal</w:t>
      </w:r>
      <w:r w:rsidRPr="5394FC23" w:rsidR="44AC2F07">
        <w:rPr>
          <w:rFonts w:ascii="Arial" w:hAnsi="Arial" w:eastAsia="Arial" w:cs="Arial"/>
          <w:noProof w:val="0"/>
          <w:sz w:val="22"/>
          <w:szCs w:val="22"/>
          <w:lang w:val="en-GB"/>
        </w:rPr>
        <w:t xml:space="preserve"> [Preprint]. Available at: </w:t>
      </w:r>
      <w:hyperlink r:id="R490d2b8d4c094ce9">
        <w:r w:rsidRPr="5394FC23" w:rsidR="44AC2F07">
          <w:rPr>
            <w:rStyle w:val="Hyperlink"/>
            <w:rFonts w:ascii="Arial" w:hAnsi="Arial" w:eastAsia="Arial" w:cs="Arial"/>
            <w:noProof w:val="0"/>
            <w:sz w:val="22"/>
            <w:szCs w:val="22"/>
            <w:lang w:val="en-GB"/>
          </w:rPr>
          <w:t>https://doi.org/10.36834/cmej.76680</w:t>
        </w:r>
      </w:hyperlink>
      <w:r w:rsidRPr="5394FC23" w:rsidR="44AC2F07">
        <w:rPr>
          <w:rFonts w:ascii="Arial" w:hAnsi="Arial" w:eastAsia="Arial" w:cs="Arial"/>
          <w:noProof w:val="0"/>
          <w:sz w:val="22"/>
          <w:szCs w:val="22"/>
          <w:lang w:val="en-GB"/>
        </w:rPr>
        <w:t xml:space="preserve">. </w:t>
      </w:r>
    </w:p>
    <w:p w:rsidR="5394FC23" w:rsidP="5394FC23" w:rsidRDefault="5394FC23" w14:paraId="5B3BD963" w14:textId="26484058">
      <w:pPr>
        <w:spacing w:before="0" w:beforeAutospacing="off" w:after="0" w:afterAutospacing="off" w:line="360" w:lineRule="auto"/>
        <w:rPr>
          <w:rFonts w:ascii="Arial" w:hAnsi="Arial" w:eastAsia="Arial" w:cs="Arial"/>
          <w:noProof w:val="0"/>
          <w:sz w:val="22"/>
          <w:szCs w:val="22"/>
          <w:lang w:val="en-GB"/>
        </w:rPr>
      </w:pPr>
    </w:p>
    <w:p w:rsidR="55C1D343" w:rsidP="5394FC23" w:rsidRDefault="55C1D343" w14:paraId="0A0BC8A2" w14:textId="43C26F1C">
      <w:pPr>
        <w:spacing w:before="0" w:beforeAutospacing="off" w:after="0" w:afterAutospacing="off" w:line="360" w:lineRule="auto"/>
        <w:rPr>
          <w:rFonts w:ascii="Arial" w:hAnsi="Arial" w:eastAsia="Arial" w:cs="Arial"/>
          <w:noProof w:val="0"/>
          <w:sz w:val="22"/>
          <w:szCs w:val="22"/>
          <w:lang w:val="en-GB"/>
        </w:rPr>
      </w:pPr>
      <w:r w:rsidRPr="5394FC23" w:rsidR="55C1D343">
        <w:rPr>
          <w:rFonts w:ascii="Arial" w:hAnsi="Arial" w:eastAsia="Arial" w:cs="Arial"/>
          <w:noProof w:val="0"/>
          <w:sz w:val="22"/>
          <w:szCs w:val="22"/>
          <w:lang w:val="en-GB"/>
        </w:rPr>
        <w:t xml:space="preserve">Hick, R. and Collins, M.L. (2024) ‘The Cost-of-Living Crisis in the UK and Ireland: on Inflation, Indexation, and One-Off Policy Responses’, </w:t>
      </w:r>
      <w:r w:rsidRPr="5394FC23" w:rsidR="55C1D343">
        <w:rPr>
          <w:rFonts w:ascii="Arial" w:hAnsi="Arial" w:eastAsia="Arial" w:cs="Arial"/>
          <w:i w:val="1"/>
          <w:iCs w:val="1"/>
          <w:noProof w:val="0"/>
          <w:sz w:val="22"/>
          <w:szCs w:val="22"/>
          <w:lang w:val="en-GB"/>
        </w:rPr>
        <w:t xml:space="preserve">Social </w:t>
      </w:r>
      <w:r w:rsidRPr="5394FC23" w:rsidR="55C1D343">
        <w:rPr>
          <w:rFonts w:ascii="Arial" w:hAnsi="Arial" w:eastAsia="Arial" w:cs="Arial"/>
          <w:i w:val="1"/>
          <w:iCs w:val="1"/>
          <w:noProof w:val="0"/>
          <w:sz w:val="22"/>
          <w:szCs w:val="22"/>
          <w:lang w:val="en-GB"/>
        </w:rPr>
        <w:t>policy</w:t>
      </w:r>
      <w:r w:rsidRPr="5394FC23" w:rsidR="55C1D343">
        <w:rPr>
          <w:rFonts w:ascii="Arial" w:hAnsi="Arial" w:eastAsia="Arial" w:cs="Arial"/>
          <w:i w:val="1"/>
          <w:iCs w:val="1"/>
          <w:noProof w:val="0"/>
          <w:sz w:val="22"/>
          <w:szCs w:val="22"/>
          <w:lang w:val="en-GB"/>
        </w:rPr>
        <w:t xml:space="preserve"> and </w:t>
      </w:r>
      <w:r w:rsidRPr="5394FC23" w:rsidR="55C1D343">
        <w:rPr>
          <w:rFonts w:ascii="Arial" w:hAnsi="Arial" w:eastAsia="Arial" w:cs="Arial"/>
          <w:i w:val="1"/>
          <w:iCs w:val="1"/>
          <w:noProof w:val="0"/>
          <w:sz w:val="22"/>
          <w:szCs w:val="22"/>
          <w:lang w:val="en-GB"/>
        </w:rPr>
        <w:t>society :</w:t>
      </w:r>
      <w:r w:rsidRPr="5394FC23" w:rsidR="55C1D343">
        <w:rPr>
          <w:rFonts w:ascii="Arial" w:hAnsi="Arial" w:eastAsia="Arial" w:cs="Arial"/>
          <w:i w:val="1"/>
          <w:iCs w:val="1"/>
          <w:noProof w:val="0"/>
          <w:sz w:val="22"/>
          <w:szCs w:val="22"/>
          <w:lang w:val="en-GB"/>
        </w:rPr>
        <w:t xml:space="preserve"> a journal of the Social Policy Association</w:t>
      </w:r>
      <w:r w:rsidRPr="5394FC23" w:rsidR="55C1D343">
        <w:rPr>
          <w:rFonts w:ascii="Arial" w:hAnsi="Arial" w:eastAsia="Arial" w:cs="Arial"/>
          <w:noProof w:val="0"/>
          <w:sz w:val="22"/>
          <w:szCs w:val="22"/>
          <w:lang w:val="en-GB"/>
        </w:rPr>
        <w:t xml:space="preserve">, 23(1), pp. 189–203. Available at: </w:t>
      </w:r>
      <w:hyperlink r:id="R7f583c5ebf7745e5">
        <w:r w:rsidRPr="5394FC23" w:rsidR="55C1D343">
          <w:rPr>
            <w:rStyle w:val="Hyperlink"/>
            <w:rFonts w:ascii="Arial" w:hAnsi="Arial" w:eastAsia="Arial" w:cs="Arial"/>
            <w:noProof w:val="0"/>
            <w:sz w:val="22"/>
            <w:szCs w:val="22"/>
            <w:lang w:val="en-GB"/>
          </w:rPr>
          <w:t>https://doi.org/10.1017/S1474746423000453</w:t>
        </w:r>
      </w:hyperlink>
      <w:r w:rsidRPr="5394FC23" w:rsidR="55C1D343">
        <w:rPr>
          <w:rFonts w:ascii="Arial" w:hAnsi="Arial" w:eastAsia="Arial" w:cs="Arial"/>
          <w:noProof w:val="0"/>
          <w:sz w:val="22"/>
          <w:szCs w:val="22"/>
          <w:lang w:val="en-GB"/>
        </w:rPr>
        <w:t>.</w:t>
      </w:r>
    </w:p>
    <w:p w:rsidR="5394FC23" w:rsidP="5394FC23" w:rsidRDefault="5394FC23" w14:paraId="38DA9D18" w14:textId="625BF071">
      <w:pPr>
        <w:spacing w:before="0" w:beforeAutospacing="off" w:after="0" w:afterAutospacing="off" w:line="360" w:lineRule="auto"/>
        <w:rPr>
          <w:rFonts w:ascii="Arial" w:hAnsi="Arial" w:eastAsia="Arial" w:cs="Arial"/>
          <w:noProof w:val="0"/>
          <w:sz w:val="22"/>
          <w:szCs w:val="22"/>
          <w:lang w:val="en-GB"/>
        </w:rPr>
      </w:pPr>
    </w:p>
    <w:p w:rsidR="5394FC23" w:rsidP="5394FC23" w:rsidRDefault="5394FC23" w14:paraId="665D91F8" w14:textId="2DB7CE5E">
      <w:pPr>
        <w:spacing w:before="0" w:beforeAutospacing="off" w:after="0" w:afterAutospacing="off" w:line="360" w:lineRule="auto"/>
        <w:rPr>
          <w:rFonts w:ascii="Arial" w:hAnsi="Arial" w:eastAsia="Arial" w:cs="Arial"/>
          <w:noProof w:val="0"/>
          <w:sz w:val="22"/>
          <w:szCs w:val="22"/>
          <w:lang w:val="en-GB"/>
        </w:rPr>
      </w:pPr>
    </w:p>
    <w:p w:rsidR="3F153E4E" w:rsidP="5394FC23" w:rsidRDefault="3F153E4E" w14:paraId="5E6B4C6E" w14:textId="430EE9C8">
      <w:pPr>
        <w:pStyle w:val="Normal"/>
        <w:spacing w:line="360" w:lineRule="auto"/>
        <w:rPr>
          <w:rFonts w:ascii="Arial" w:hAnsi="Arial" w:eastAsia="Arial" w:cs="Arial"/>
          <w:i w:val="0"/>
          <w:iCs w:val="0"/>
          <w:noProof w:val="0"/>
          <w:sz w:val="22"/>
          <w:szCs w:val="22"/>
          <w:lang w:val="en-GB"/>
        </w:rPr>
      </w:pPr>
      <w:r w:rsidRPr="5394FC23" w:rsidR="3F153E4E">
        <w:rPr>
          <w:rFonts w:ascii="Arial" w:hAnsi="Arial" w:eastAsia="Arial" w:cs="Arial"/>
          <w:noProof w:val="0"/>
          <w:sz w:val="22"/>
          <w:szCs w:val="22"/>
          <w:lang w:val="en-GB"/>
        </w:rPr>
        <w:t xml:space="preserve">HM Treasury (2017) </w:t>
      </w:r>
      <w:r w:rsidRPr="5394FC23" w:rsidR="3F153E4E">
        <w:rPr>
          <w:rFonts w:ascii="Arial" w:hAnsi="Arial" w:eastAsia="Arial" w:cs="Arial"/>
          <w:i w:val="1"/>
          <w:iCs w:val="1"/>
          <w:noProof w:val="0"/>
          <w:sz w:val="22"/>
          <w:szCs w:val="22"/>
          <w:lang w:val="en-GB"/>
        </w:rPr>
        <w:t xml:space="preserve">Government shareholdings in Lloyds Banking Group </w:t>
      </w:r>
      <w:r w:rsidRPr="5394FC23" w:rsidR="3F153E4E">
        <w:rPr>
          <w:rFonts w:ascii="Arial" w:hAnsi="Arial" w:eastAsia="Arial" w:cs="Arial"/>
          <w:i w:val="0"/>
          <w:iCs w:val="0"/>
          <w:noProof w:val="0"/>
          <w:sz w:val="22"/>
          <w:szCs w:val="22"/>
          <w:lang w:val="en-GB"/>
        </w:rPr>
        <w:t xml:space="preserve">Available at: </w:t>
      </w:r>
      <w:hyperlink w:anchor=":~:text=The%20government%20acquired%20a%2043,billion%20intervention%20in%20the%20bank." r:id="Re653628a9f324550">
        <w:r w:rsidRPr="5394FC23" w:rsidR="3F153E4E">
          <w:rPr>
            <w:rStyle w:val="Hyperlink"/>
            <w:rFonts w:ascii="Arial" w:hAnsi="Arial" w:eastAsia="Arial" w:cs="Arial"/>
            <w:b w:val="0"/>
            <w:bCs w:val="0"/>
            <w:i w:val="0"/>
            <w:iCs w:val="0"/>
            <w:caps w:val="0"/>
            <w:smallCaps w:val="0"/>
            <w:noProof w:val="0"/>
            <w:sz w:val="22"/>
            <w:szCs w:val="22"/>
            <w:lang w:val="en-GB"/>
          </w:rPr>
          <w:t>https://www.gov.uk/government/news/government-shareholding-in-lloyds-banking-group#:~:text=The%20government%20acquired%20a%2043,billion%20intervention%20in%20the%20bank.</w:t>
        </w:r>
      </w:hyperlink>
      <w:r w:rsidRPr="5394FC23" w:rsidR="3F153E4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94FC23" w:rsidR="3F153E4E">
        <w:rPr>
          <w:rFonts w:ascii="Arial" w:hAnsi="Arial" w:eastAsia="Arial" w:cs="Arial"/>
          <w:noProof w:val="0"/>
          <w:sz w:val="22"/>
          <w:szCs w:val="22"/>
          <w:lang w:val="en-GB"/>
        </w:rPr>
        <w:t xml:space="preserve"> (Accessed: 11.11.24)</w:t>
      </w:r>
    </w:p>
    <w:p w:rsidR="6CCD859D" w:rsidP="5394FC23" w:rsidRDefault="6CCD859D" w14:paraId="72D03DE6" w14:textId="332C4EFC">
      <w:pPr>
        <w:pStyle w:val="Normal"/>
        <w:spacing w:line="360" w:lineRule="auto"/>
        <w:rPr>
          <w:rFonts w:ascii="Arial" w:hAnsi="Arial" w:eastAsia="Arial" w:cs="Arial"/>
          <w:noProof w:val="0"/>
          <w:sz w:val="22"/>
          <w:szCs w:val="22"/>
          <w:lang w:val="en-GB"/>
        </w:rPr>
      </w:pPr>
      <w:r w:rsidRPr="5394FC23" w:rsidR="6CCD859D">
        <w:rPr>
          <w:rFonts w:ascii="Arial" w:hAnsi="Arial" w:eastAsia="Arial" w:cs="Arial"/>
          <w:b w:val="0"/>
          <w:bCs w:val="0"/>
          <w:i w:val="0"/>
          <w:iCs w:val="0"/>
          <w:caps w:val="0"/>
          <w:smallCaps w:val="0"/>
          <w:noProof w:val="0"/>
          <w:color w:val="141414"/>
          <w:sz w:val="22"/>
          <w:szCs w:val="22"/>
          <w:lang w:val="en-GB"/>
        </w:rPr>
        <w:t xml:space="preserve">Insider.co.uk (2017) </w:t>
      </w:r>
      <w:r w:rsidRPr="5394FC23" w:rsidR="6CCD859D">
        <w:rPr>
          <w:rFonts w:ascii="Arial" w:hAnsi="Arial" w:eastAsia="Arial" w:cs="Arial"/>
          <w:b w:val="0"/>
          <w:bCs w:val="0"/>
          <w:i w:val="1"/>
          <w:iCs w:val="1"/>
          <w:caps w:val="0"/>
          <w:smallCaps w:val="0"/>
          <w:noProof w:val="0"/>
          <w:color w:val="141414"/>
          <w:sz w:val="22"/>
          <w:szCs w:val="22"/>
          <w:lang w:val="en-GB"/>
        </w:rPr>
        <w:t xml:space="preserve">How Lloyds went from </w:t>
      </w:r>
      <w:r w:rsidRPr="5394FC23" w:rsidR="6CCD859D">
        <w:rPr>
          <w:rFonts w:ascii="Arial" w:hAnsi="Arial" w:eastAsia="Arial" w:cs="Arial"/>
          <w:b w:val="0"/>
          <w:bCs w:val="0"/>
          <w:i w:val="1"/>
          <w:iCs w:val="1"/>
          <w:caps w:val="0"/>
          <w:smallCaps w:val="0"/>
          <w:noProof w:val="0"/>
          <w:color w:val="141414"/>
          <w:sz w:val="22"/>
          <w:szCs w:val="22"/>
          <w:lang w:val="en-GB"/>
        </w:rPr>
        <w:t>basketcase</w:t>
      </w:r>
      <w:r w:rsidRPr="5394FC23" w:rsidR="6CCD859D">
        <w:rPr>
          <w:rFonts w:ascii="Arial" w:hAnsi="Arial" w:eastAsia="Arial" w:cs="Arial"/>
          <w:b w:val="0"/>
          <w:bCs w:val="0"/>
          <w:i w:val="1"/>
          <w:iCs w:val="1"/>
          <w:caps w:val="0"/>
          <w:smallCaps w:val="0"/>
          <w:noProof w:val="0"/>
          <w:color w:val="141414"/>
          <w:sz w:val="22"/>
          <w:szCs w:val="22"/>
          <w:lang w:val="en-GB"/>
        </w:rPr>
        <w:t xml:space="preserve"> in 2008 to banking force in 2017 </w:t>
      </w:r>
      <w:r w:rsidRPr="5394FC23" w:rsidR="6CCD859D">
        <w:rPr>
          <w:rFonts w:ascii="Arial" w:hAnsi="Arial" w:eastAsia="Arial" w:cs="Arial"/>
          <w:b w:val="0"/>
          <w:bCs w:val="0"/>
          <w:i w:val="0"/>
          <w:iCs w:val="0"/>
          <w:caps w:val="0"/>
          <w:smallCaps w:val="0"/>
          <w:noProof w:val="0"/>
          <w:color w:val="141414"/>
          <w:sz w:val="22"/>
          <w:szCs w:val="22"/>
          <w:lang w:val="en-GB"/>
        </w:rPr>
        <w:t xml:space="preserve">Available at: </w:t>
      </w:r>
      <w:r w:rsidRPr="5394FC23" w:rsidR="6CCD859D">
        <w:rPr>
          <w:rFonts w:ascii="Arial" w:hAnsi="Arial" w:eastAsia="Arial" w:cs="Arial"/>
          <w:noProof w:val="0"/>
          <w:sz w:val="22"/>
          <w:szCs w:val="22"/>
          <w:lang w:val="en-GB"/>
        </w:rPr>
        <w:t xml:space="preserve"> </w:t>
      </w:r>
      <w:hyperlink r:id="R034f7513c22c4ec7">
        <w:r w:rsidRPr="5394FC23" w:rsidR="6CCD859D">
          <w:rPr>
            <w:rStyle w:val="Hyperlink"/>
            <w:rFonts w:ascii="Arial" w:hAnsi="Arial" w:eastAsia="Arial" w:cs="Arial"/>
            <w:noProof w:val="0"/>
            <w:sz w:val="22"/>
            <w:szCs w:val="22"/>
            <w:lang w:val="en-GB"/>
          </w:rPr>
          <w:t>https://www.insider.co.uk/news/how-lloyds-went-basketcase-2008-10439315</w:t>
        </w:r>
      </w:hyperlink>
      <w:r w:rsidRPr="5394FC23" w:rsidR="6CCD859D">
        <w:rPr>
          <w:rFonts w:ascii="Arial" w:hAnsi="Arial" w:eastAsia="Arial" w:cs="Arial"/>
          <w:noProof w:val="0"/>
          <w:sz w:val="22"/>
          <w:szCs w:val="22"/>
          <w:lang w:val="en-GB"/>
        </w:rPr>
        <w:t xml:space="preserve"> ( Date Accessed 11.11.24)</w:t>
      </w:r>
    </w:p>
    <w:p w:rsidR="2AC7ED5F" w:rsidP="5394FC23" w:rsidRDefault="2AC7ED5F" w14:paraId="57F848C2" w14:textId="4BDD5CE0">
      <w:pPr>
        <w:spacing w:before="0" w:beforeAutospacing="off" w:after="0" w:afterAutospacing="off" w:line="360" w:lineRule="auto"/>
        <w:rPr>
          <w:rFonts w:ascii="Arial" w:hAnsi="Arial" w:eastAsia="Arial" w:cs="Arial"/>
          <w:sz w:val="22"/>
          <w:szCs w:val="22"/>
        </w:rPr>
      </w:pPr>
      <w:r w:rsidRPr="5394FC23" w:rsidR="2AC7ED5F">
        <w:rPr>
          <w:rFonts w:ascii="Arial" w:hAnsi="Arial" w:eastAsia="Arial" w:cs="Arial"/>
          <w:sz w:val="22"/>
          <w:szCs w:val="22"/>
        </w:rPr>
        <w:t xml:space="preserve">Kotter, J.P. (1995) </w:t>
      </w:r>
      <w:r w:rsidRPr="5394FC23" w:rsidR="2AC7ED5F">
        <w:rPr>
          <w:rFonts w:ascii="Arial" w:hAnsi="Arial" w:eastAsia="Arial" w:cs="Arial"/>
          <w:i w:val="1"/>
          <w:iCs w:val="1"/>
          <w:sz w:val="22"/>
          <w:szCs w:val="22"/>
        </w:rPr>
        <w:t>Leading change: Why transformation efforts fail</w:t>
      </w:r>
      <w:r w:rsidRPr="5394FC23" w:rsidR="2AC7ED5F">
        <w:rPr>
          <w:rFonts w:ascii="Arial" w:hAnsi="Arial" w:eastAsia="Arial" w:cs="Arial"/>
          <w:sz w:val="22"/>
          <w:szCs w:val="22"/>
        </w:rPr>
        <w:t xml:space="preserve">, </w:t>
      </w:r>
      <w:r w:rsidRPr="5394FC23" w:rsidR="2AC7ED5F">
        <w:rPr>
          <w:rFonts w:ascii="Arial" w:hAnsi="Arial" w:eastAsia="Arial" w:cs="Arial"/>
          <w:i w:val="1"/>
          <w:iCs w:val="1"/>
          <w:sz w:val="22"/>
          <w:szCs w:val="22"/>
        </w:rPr>
        <w:t>Harvard business review</w:t>
      </w:r>
      <w:r w:rsidRPr="5394FC23" w:rsidR="2AC7ED5F">
        <w:rPr>
          <w:rFonts w:ascii="Arial" w:hAnsi="Arial" w:eastAsia="Arial" w:cs="Arial"/>
          <w:sz w:val="22"/>
          <w:szCs w:val="22"/>
        </w:rPr>
        <w:t>. Boston: Harvard Business Review, pp. 59–67.</w:t>
      </w:r>
    </w:p>
    <w:p w:rsidR="5394FC23" w:rsidP="5394FC23" w:rsidRDefault="5394FC23" w14:paraId="78984903" w14:textId="101CD3DB">
      <w:pPr>
        <w:spacing w:before="0" w:beforeAutospacing="off" w:after="0" w:afterAutospacing="off" w:line="360" w:lineRule="auto"/>
        <w:rPr>
          <w:rFonts w:ascii="Arial" w:hAnsi="Arial" w:eastAsia="Arial" w:cs="Arial"/>
          <w:sz w:val="22"/>
          <w:szCs w:val="22"/>
        </w:rPr>
      </w:pPr>
    </w:p>
    <w:p w:rsidR="74F428E4" w:rsidP="5394FC23" w:rsidRDefault="74F428E4" w14:paraId="6AE0D82A" w14:textId="4E491999">
      <w:pPr>
        <w:spacing w:before="0" w:beforeAutospacing="off" w:after="0" w:afterAutospacing="off" w:line="360" w:lineRule="auto"/>
        <w:rPr>
          <w:rFonts w:ascii="Arial" w:hAnsi="Arial" w:eastAsia="Arial" w:cs="Arial"/>
          <w:noProof w:val="0"/>
          <w:sz w:val="22"/>
          <w:szCs w:val="22"/>
          <w:lang w:val="en-GB"/>
        </w:rPr>
      </w:pPr>
      <w:r w:rsidRPr="5394FC23" w:rsidR="74F428E4">
        <w:rPr>
          <w:rFonts w:ascii="Arial" w:hAnsi="Arial" w:eastAsia="Arial" w:cs="Arial"/>
          <w:noProof w:val="0"/>
          <w:sz w:val="22"/>
          <w:szCs w:val="22"/>
          <w:lang w:val="en-GB"/>
        </w:rPr>
        <w:t xml:space="preserve">Kotter, J. and von </w:t>
      </w:r>
      <w:r w:rsidRPr="5394FC23" w:rsidR="74F428E4">
        <w:rPr>
          <w:rFonts w:ascii="Arial" w:hAnsi="Arial" w:eastAsia="Arial" w:cs="Arial"/>
          <w:noProof w:val="0"/>
          <w:sz w:val="22"/>
          <w:szCs w:val="22"/>
          <w:lang w:val="en-GB"/>
        </w:rPr>
        <w:t>Ameln</w:t>
      </w:r>
      <w:r w:rsidRPr="5394FC23" w:rsidR="74F428E4">
        <w:rPr>
          <w:rFonts w:ascii="Arial" w:hAnsi="Arial" w:eastAsia="Arial" w:cs="Arial"/>
          <w:noProof w:val="0"/>
          <w:sz w:val="22"/>
          <w:szCs w:val="22"/>
          <w:lang w:val="en-GB"/>
        </w:rPr>
        <w:t xml:space="preserve">, F. (2019) ‘Agility, </w:t>
      </w:r>
      <w:r w:rsidRPr="5394FC23" w:rsidR="74F428E4">
        <w:rPr>
          <w:rFonts w:ascii="Arial" w:hAnsi="Arial" w:eastAsia="Arial" w:cs="Arial"/>
          <w:noProof w:val="0"/>
          <w:sz w:val="22"/>
          <w:szCs w:val="22"/>
          <w:lang w:val="en-GB"/>
        </w:rPr>
        <w:t>hierarchy</w:t>
      </w:r>
      <w:r w:rsidRPr="5394FC23" w:rsidR="74F428E4">
        <w:rPr>
          <w:rFonts w:ascii="Arial" w:hAnsi="Arial" w:eastAsia="Arial" w:cs="Arial"/>
          <w:noProof w:val="0"/>
          <w:sz w:val="22"/>
          <w:szCs w:val="22"/>
          <w:lang w:val="en-GB"/>
        </w:rPr>
        <w:t xml:space="preserve"> and lessons for the future. John Kotter on the legacy and future of Change Management</w:t>
      </w:r>
      <w:r w:rsidRPr="5394FC23" w:rsidR="74F428E4">
        <w:rPr>
          <w:rFonts w:ascii="Arial" w:hAnsi="Arial" w:eastAsia="Arial" w:cs="Arial"/>
          <w:noProof w:val="0"/>
          <w:sz w:val="22"/>
          <w:szCs w:val="22"/>
          <w:lang w:val="en-GB"/>
        </w:rPr>
        <w:t>’,</w:t>
      </w:r>
      <w:r w:rsidRPr="5394FC23" w:rsidR="74F428E4">
        <w:rPr>
          <w:rFonts w:ascii="Arial" w:hAnsi="Arial" w:eastAsia="Arial" w:cs="Arial"/>
          <w:noProof w:val="0"/>
          <w:sz w:val="22"/>
          <w:szCs w:val="22"/>
          <w:lang w:val="en-GB"/>
        </w:rPr>
        <w:t xml:space="preserve"> </w:t>
      </w:r>
      <w:r w:rsidRPr="5394FC23" w:rsidR="74F428E4">
        <w:rPr>
          <w:rFonts w:ascii="Arial" w:hAnsi="Arial" w:eastAsia="Arial" w:cs="Arial"/>
          <w:i w:val="1"/>
          <w:iCs w:val="1"/>
          <w:noProof w:val="0"/>
          <w:sz w:val="22"/>
          <w:szCs w:val="22"/>
          <w:lang w:val="en-GB"/>
        </w:rPr>
        <w:t xml:space="preserve">Gruppe. </w:t>
      </w:r>
      <w:r w:rsidRPr="5394FC23" w:rsidR="74F428E4">
        <w:rPr>
          <w:rFonts w:ascii="Arial" w:hAnsi="Arial" w:eastAsia="Arial" w:cs="Arial"/>
          <w:i w:val="1"/>
          <w:iCs w:val="1"/>
          <w:noProof w:val="0"/>
          <w:sz w:val="22"/>
          <w:szCs w:val="22"/>
          <w:lang w:val="en-GB"/>
        </w:rPr>
        <w:t>Interaktion</w:t>
      </w:r>
      <w:r w:rsidRPr="5394FC23" w:rsidR="74F428E4">
        <w:rPr>
          <w:rFonts w:ascii="Arial" w:hAnsi="Arial" w:eastAsia="Arial" w:cs="Arial"/>
          <w:i w:val="1"/>
          <w:iCs w:val="1"/>
          <w:noProof w:val="0"/>
          <w:sz w:val="22"/>
          <w:szCs w:val="22"/>
          <w:lang w:val="en-GB"/>
        </w:rPr>
        <w:t xml:space="preserve">. Organisation. </w:t>
      </w:r>
      <w:r w:rsidRPr="5394FC23" w:rsidR="74F428E4">
        <w:rPr>
          <w:rFonts w:ascii="Arial" w:hAnsi="Arial" w:eastAsia="Arial" w:cs="Arial"/>
          <w:i w:val="1"/>
          <w:iCs w:val="1"/>
          <w:noProof w:val="0"/>
          <w:sz w:val="22"/>
          <w:szCs w:val="22"/>
          <w:lang w:val="en-GB"/>
        </w:rPr>
        <w:t>Zeitschrift</w:t>
      </w:r>
      <w:r w:rsidRPr="5394FC23" w:rsidR="74F428E4">
        <w:rPr>
          <w:rFonts w:ascii="Arial" w:hAnsi="Arial" w:eastAsia="Arial" w:cs="Arial"/>
          <w:i w:val="1"/>
          <w:iCs w:val="1"/>
          <w:noProof w:val="0"/>
          <w:sz w:val="22"/>
          <w:szCs w:val="22"/>
          <w:lang w:val="en-GB"/>
        </w:rPr>
        <w:t xml:space="preserve"> für </w:t>
      </w:r>
      <w:r w:rsidRPr="5394FC23" w:rsidR="74F428E4">
        <w:rPr>
          <w:rFonts w:ascii="Arial" w:hAnsi="Arial" w:eastAsia="Arial" w:cs="Arial"/>
          <w:i w:val="1"/>
          <w:iCs w:val="1"/>
          <w:noProof w:val="0"/>
          <w:sz w:val="22"/>
          <w:szCs w:val="22"/>
          <w:lang w:val="en-GB"/>
        </w:rPr>
        <w:t>angewandte</w:t>
      </w:r>
      <w:r w:rsidRPr="5394FC23" w:rsidR="74F428E4">
        <w:rPr>
          <w:rFonts w:ascii="Arial" w:hAnsi="Arial" w:eastAsia="Arial" w:cs="Arial"/>
          <w:i w:val="1"/>
          <w:iCs w:val="1"/>
          <w:noProof w:val="0"/>
          <w:sz w:val="22"/>
          <w:szCs w:val="22"/>
          <w:lang w:val="en-GB"/>
        </w:rPr>
        <w:t xml:space="preserve"> </w:t>
      </w:r>
      <w:r w:rsidRPr="5394FC23" w:rsidR="74F428E4">
        <w:rPr>
          <w:rFonts w:ascii="Arial" w:hAnsi="Arial" w:eastAsia="Arial" w:cs="Arial"/>
          <w:i w:val="1"/>
          <w:iCs w:val="1"/>
          <w:noProof w:val="0"/>
          <w:sz w:val="22"/>
          <w:szCs w:val="22"/>
          <w:lang w:val="en-GB"/>
        </w:rPr>
        <w:t>Organisationspsychologie</w:t>
      </w:r>
      <w:r w:rsidRPr="5394FC23" w:rsidR="74F428E4">
        <w:rPr>
          <w:rFonts w:ascii="Arial" w:hAnsi="Arial" w:eastAsia="Arial" w:cs="Arial"/>
          <w:noProof w:val="0"/>
          <w:sz w:val="22"/>
          <w:szCs w:val="22"/>
          <w:lang w:val="en-GB"/>
        </w:rPr>
        <w:t xml:space="preserve">, 50(2), pp. 111–114. Available at: </w:t>
      </w:r>
      <w:hyperlink r:id="Rb20a9a6da5c04245">
        <w:r w:rsidRPr="5394FC23" w:rsidR="74F428E4">
          <w:rPr>
            <w:rStyle w:val="Hyperlink"/>
            <w:rFonts w:ascii="Arial" w:hAnsi="Arial" w:eastAsia="Arial" w:cs="Arial"/>
            <w:noProof w:val="0"/>
            <w:sz w:val="22"/>
            <w:szCs w:val="22"/>
            <w:lang w:val="en-GB"/>
          </w:rPr>
          <w:t>https://doi.org/10.1007/s11612-019-00461-5</w:t>
        </w:r>
      </w:hyperlink>
      <w:r w:rsidRPr="5394FC23" w:rsidR="74F428E4">
        <w:rPr>
          <w:rFonts w:ascii="Arial" w:hAnsi="Arial" w:eastAsia="Arial" w:cs="Arial"/>
          <w:noProof w:val="0"/>
          <w:sz w:val="22"/>
          <w:szCs w:val="22"/>
          <w:lang w:val="en-GB"/>
        </w:rPr>
        <w:t>.</w:t>
      </w:r>
    </w:p>
    <w:p w:rsidR="05081A57" w:rsidP="5394FC23" w:rsidRDefault="05081A57" w14:paraId="676C0E63" w14:textId="17C27142">
      <w:pPr>
        <w:spacing w:before="0" w:beforeAutospacing="off" w:after="0" w:afterAutospacing="off" w:line="360" w:lineRule="auto"/>
        <w:rPr>
          <w:rFonts w:ascii="Arial" w:hAnsi="Arial" w:eastAsia="Arial" w:cs="Arial"/>
          <w:noProof w:val="0"/>
          <w:sz w:val="22"/>
          <w:szCs w:val="22"/>
          <w:lang w:val="en-US"/>
        </w:rPr>
      </w:pPr>
    </w:p>
    <w:p w:rsidR="3CA0F5D9" w:rsidP="5394FC23" w:rsidRDefault="3CA0F5D9" w14:paraId="4AD6CDFD" w14:textId="5B88AD0C">
      <w:pPr>
        <w:spacing w:before="0" w:beforeAutospacing="off" w:after="0" w:afterAutospacing="off" w:line="360" w:lineRule="auto"/>
        <w:rPr>
          <w:rFonts w:ascii="Arial" w:hAnsi="Arial" w:eastAsia="Arial" w:cs="Arial"/>
          <w:sz w:val="22"/>
          <w:szCs w:val="22"/>
        </w:rPr>
      </w:pPr>
      <w:r w:rsidRPr="5394FC23" w:rsidR="3CA0F5D9">
        <w:rPr>
          <w:rFonts w:ascii="Arial" w:hAnsi="Arial" w:eastAsia="Arial" w:cs="Arial"/>
          <w:sz w:val="22"/>
          <w:szCs w:val="22"/>
        </w:rPr>
        <w:t>Kpinpuo</w:t>
      </w:r>
      <w:r w:rsidRPr="5394FC23" w:rsidR="3CA0F5D9">
        <w:rPr>
          <w:rFonts w:ascii="Arial" w:hAnsi="Arial" w:eastAsia="Arial" w:cs="Arial"/>
          <w:sz w:val="22"/>
          <w:szCs w:val="22"/>
        </w:rPr>
        <w:t xml:space="preserve">, S.D., </w:t>
      </w:r>
      <w:r w:rsidRPr="5394FC23" w:rsidR="3CA0F5D9">
        <w:rPr>
          <w:rFonts w:ascii="Arial" w:hAnsi="Arial" w:eastAsia="Arial" w:cs="Arial"/>
          <w:sz w:val="22"/>
          <w:szCs w:val="22"/>
        </w:rPr>
        <w:t>Akolgo</w:t>
      </w:r>
      <w:r w:rsidRPr="5394FC23" w:rsidR="3CA0F5D9">
        <w:rPr>
          <w:rFonts w:ascii="Arial" w:hAnsi="Arial" w:eastAsia="Arial" w:cs="Arial"/>
          <w:sz w:val="22"/>
          <w:szCs w:val="22"/>
        </w:rPr>
        <w:t xml:space="preserve">, I.G. and Naimi, L. (2023) ‘Leading change and innovation in Ghana’s banking sector: the mediating role of work autonomy’, </w:t>
      </w:r>
      <w:r w:rsidRPr="5394FC23" w:rsidR="3CA0F5D9">
        <w:rPr>
          <w:rFonts w:ascii="Arial" w:hAnsi="Arial" w:eastAsia="Arial" w:cs="Arial"/>
          <w:i w:val="1"/>
          <w:iCs w:val="1"/>
          <w:sz w:val="22"/>
          <w:szCs w:val="22"/>
        </w:rPr>
        <w:t>Industrial and commercial training</w:t>
      </w:r>
      <w:r w:rsidRPr="5394FC23" w:rsidR="3CA0F5D9">
        <w:rPr>
          <w:rFonts w:ascii="Arial" w:hAnsi="Arial" w:eastAsia="Arial" w:cs="Arial"/>
          <w:sz w:val="22"/>
          <w:szCs w:val="22"/>
        </w:rPr>
        <w:t xml:space="preserve">, 55(1), pp. 1–18. Available at: </w:t>
      </w:r>
      <w:hyperlink r:id="R3433d882355a405b">
        <w:r w:rsidRPr="5394FC23" w:rsidR="3CA0F5D9">
          <w:rPr>
            <w:rStyle w:val="Hyperlink"/>
            <w:rFonts w:ascii="Arial" w:hAnsi="Arial" w:eastAsia="Arial" w:cs="Arial"/>
            <w:sz w:val="22"/>
            <w:szCs w:val="22"/>
          </w:rPr>
          <w:t>https://doi.org/10.1108/ICT-12-2021-0086</w:t>
        </w:r>
      </w:hyperlink>
      <w:r w:rsidRPr="5394FC23" w:rsidR="3CA0F5D9">
        <w:rPr>
          <w:rFonts w:ascii="Arial" w:hAnsi="Arial" w:eastAsia="Arial" w:cs="Arial"/>
          <w:sz w:val="22"/>
          <w:szCs w:val="22"/>
        </w:rPr>
        <w:t>.</w:t>
      </w:r>
    </w:p>
    <w:p w:rsidR="5394FC23" w:rsidP="5394FC23" w:rsidRDefault="5394FC23" w14:paraId="0032B6F5" w14:textId="12520829">
      <w:pPr>
        <w:spacing w:before="0" w:beforeAutospacing="off" w:after="0" w:afterAutospacing="off" w:line="360" w:lineRule="auto"/>
        <w:rPr>
          <w:rFonts w:ascii="Arial" w:hAnsi="Arial" w:eastAsia="Arial" w:cs="Arial"/>
          <w:sz w:val="22"/>
          <w:szCs w:val="22"/>
        </w:rPr>
      </w:pPr>
    </w:p>
    <w:p w:rsidR="21760AF9" w:rsidP="5394FC23" w:rsidRDefault="21760AF9" w14:paraId="10509ACB" w14:textId="7F005F54">
      <w:pPr>
        <w:pStyle w:val="Normal"/>
        <w:spacing w:line="360" w:lineRule="auto"/>
        <w:rPr>
          <w:rFonts w:ascii="Arial" w:hAnsi="Arial" w:eastAsia="Arial" w:cs="Arial"/>
          <w:i w:val="1"/>
          <w:iCs w:val="1"/>
          <w:noProof w:val="0"/>
          <w:sz w:val="22"/>
          <w:szCs w:val="22"/>
          <w:lang w:val="en-GB"/>
        </w:rPr>
      </w:pPr>
      <w:r w:rsidRPr="5394FC23" w:rsidR="21760AF9">
        <w:rPr>
          <w:rFonts w:ascii="Arial" w:hAnsi="Arial" w:eastAsia="Arial" w:cs="Arial"/>
          <w:noProof w:val="0"/>
          <w:sz w:val="22"/>
          <w:szCs w:val="22"/>
          <w:lang w:val="en-GB"/>
        </w:rPr>
        <w:t>Lloyds</w:t>
      </w:r>
      <w:r w:rsidRPr="5394FC23" w:rsidR="21760AF9">
        <w:rPr>
          <w:rFonts w:ascii="Arial" w:hAnsi="Arial" w:eastAsia="Arial" w:cs="Arial"/>
          <w:noProof w:val="0"/>
          <w:sz w:val="22"/>
          <w:szCs w:val="22"/>
          <w:lang w:val="en-GB"/>
        </w:rPr>
        <w:t xml:space="preserve"> bank (2024) </w:t>
      </w:r>
      <w:r w:rsidRPr="5394FC23" w:rsidR="21760AF9">
        <w:rPr>
          <w:rFonts w:ascii="Arial" w:hAnsi="Arial" w:eastAsia="Arial" w:cs="Arial"/>
          <w:i w:val="1"/>
          <w:iCs w:val="1"/>
          <w:noProof w:val="0"/>
          <w:sz w:val="22"/>
          <w:szCs w:val="22"/>
          <w:lang w:val="en-GB"/>
        </w:rPr>
        <w:t xml:space="preserve">Banking near you – Branch closures </w:t>
      </w:r>
      <w:r w:rsidRPr="5394FC23" w:rsidR="21760AF9">
        <w:rPr>
          <w:rFonts w:ascii="Arial" w:hAnsi="Arial" w:eastAsia="Arial" w:cs="Arial"/>
          <w:i w:val="0"/>
          <w:iCs w:val="0"/>
          <w:noProof w:val="0"/>
          <w:sz w:val="22"/>
          <w:szCs w:val="22"/>
          <w:lang w:val="en-GB"/>
        </w:rPr>
        <w:t xml:space="preserve">Available at: </w:t>
      </w:r>
      <w:hyperlink r:id="R508ef508ae994847">
        <w:r w:rsidRPr="5394FC23" w:rsidR="21760AF9">
          <w:rPr>
            <w:rStyle w:val="Hyperlink"/>
            <w:rFonts w:ascii="Arial" w:hAnsi="Arial" w:eastAsia="Arial" w:cs="Arial"/>
            <w:noProof w:val="0"/>
            <w:sz w:val="22"/>
            <w:szCs w:val="22"/>
            <w:lang w:val="en-GB"/>
          </w:rPr>
          <w:t>https://www.lloydsbank.com/help-guidance/everyday-banking/banking-near-you/branch-closures.html</w:t>
        </w:r>
      </w:hyperlink>
      <w:r w:rsidRPr="5394FC23" w:rsidR="21760AF9">
        <w:rPr>
          <w:rFonts w:ascii="Arial" w:hAnsi="Arial" w:eastAsia="Arial" w:cs="Arial"/>
          <w:noProof w:val="0"/>
          <w:sz w:val="22"/>
          <w:szCs w:val="22"/>
          <w:lang w:val="en-GB"/>
        </w:rPr>
        <w:t xml:space="preserve"> (Accessed: 11.11.24)</w:t>
      </w:r>
    </w:p>
    <w:p w:rsidR="094CEEF4" w:rsidP="5394FC23" w:rsidRDefault="094CEEF4" w14:paraId="38E48373" w14:textId="41B26240">
      <w:pPr>
        <w:pStyle w:val="Normal"/>
        <w:spacing w:line="360" w:lineRule="auto"/>
        <w:rPr>
          <w:rFonts w:ascii="Arial" w:hAnsi="Arial" w:eastAsia="Arial" w:cs="Arial"/>
          <w:noProof w:val="0"/>
          <w:sz w:val="22"/>
          <w:szCs w:val="22"/>
          <w:lang w:val="en-GB"/>
        </w:rPr>
      </w:pPr>
      <w:r w:rsidRPr="5394FC23" w:rsidR="094CEEF4">
        <w:rPr>
          <w:rFonts w:ascii="Arial" w:hAnsi="Arial" w:eastAsia="Arial" w:cs="Arial"/>
          <w:noProof w:val="0"/>
          <w:sz w:val="22"/>
          <w:szCs w:val="22"/>
          <w:lang w:val="en-GB"/>
        </w:rPr>
        <w:t>Lloyds</w:t>
      </w:r>
      <w:r w:rsidRPr="5394FC23" w:rsidR="094CEEF4">
        <w:rPr>
          <w:rFonts w:ascii="Arial" w:hAnsi="Arial" w:eastAsia="Arial" w:cs="Arial"/>
          <w:noProof w:val="0"/>
          <w:sz w:val="22"/>
          <w:szCs w:val="22"/>
          <w:lang w:val="en-GB"/>
        </w:rPr>
        <w:t xml:space="preserve"> banking group (2009) </w:t>
      </w:r>
      <w:r w:rsidRPr="5394FC23" w:rsidR="094CEEF4">
        <w:rPr>
          <w:rFonts w:ascii="Arial" w:hAnsi="Arial" w:eastAsia="Arial" w:cs="Arial"/>
          <w:i w:val="1"/>
          <w:iCs w:val="1"/>
          <w:noProof w:val="0"/>
          <w:sz w:val="22"/>
          <w:szCs w:val="22"/>
          <w:lang w:val="en-GB"/>
        </w:rPr>
        <w:t xml:space="preserve">Acquisition update </w:t>
      </w:r>
      <w:r w:rsidRPr="5394FC23" w:rsidR="094CEEF4">
        <w:rPr>
          <w:rFonts w:ascii="Arial" w:hAnsi="Arial" w:eastAsia="Arial" w:cs="Arial"/>
          <w:i w:val="0"/>
          <w:iCs w:val="0"/>
          <w:noProof w:val="0"/>
          <w:sz w:val="22"/>
          <w:szCs w:val="22"/>
          <w:lang w:val="en-GB"/>
        </w:rPr>
        <w:t xml:space="preserve">Available at: </w:t>
      </w:r>
      <w:hyperlink r:id="R45521e8b01434e54">
        <w:r w:rsidRPr="5394FC23" w:rsidR="094CEEF4">
          <w:rPr>
            <w:rStyle w:val="Hyperlink"/>
            <w:rFonts w:ascii="Arial" w:hAnsi="Arial" w:eastAsia="Arial" w:cs="Arial"/>
            <w:noProof w:val="0"/>
            <w:sz w:val="22"/>
            <w:szCs w:val="22"/>
            <w:lang w:val="en-GB"/>
          </w:rPr>
          <w:t>https://www.lloydsbankinggroup.com/assets/pdfs/investors/investor-news/archive/2009/2009jan19_lbg_acquisition_update.pdf</w:t>
        </w:r>
      </w:hyperlink>
      <w:r w:rsidRPr="5394FC23" w:rsidR="094CEEF4">
        <w:rPr>
          <w:rFonts w:ascii="Arial" w:hAnsi="Arial" w:eastAsia="Arial" w:cs="Arial"/>
          <w:noProof w:val="0"/>
          <w:sz w:val="22"/>
          <w:szCs w:val="22"/>
          <w:lang w:val="en-GB"/>
        </w:rPr>
        <w:t xml:space="preserve"> (Accessed: 11.11.24)</w:t>
      </w:r>
    </w:p>
    <w:p w:rsidR="2880B902" w:rsidP="5394FC23" w:rsidRDefault="2880B902" w14:paraId="21418EFE" w14:textId="2CE25558">
      <w:pPr>
        <w:spacing w:before="0" w:beforeAutospacing="off" w:after="0" w:afterAutospacing="off" w:line="360" w:lineRule="auto"/>
        <w:rPr>
          <w:rFonts w:ascii="Arial" w:hAnsi="Arial" w:eastAsia="Arial" w:cs="Arial"/>
          <w:noProof w:val="0"/>
          <w:sz w:val="22"/>
          <w:szCs w:val="22"/>
          <w:lang w:val="en-GB"/>
        </w:rPr>
      </w:pPr>
      <w:r w:rsidRPr="5394FC23" w:rsidR="2880B902">
        <w:rPr>
          <w:rFonts w:ascii="Arial" w:hAnsi="Arial" w:eastAsia="Arial" w:cs="Arial"/>
          <w:noProof w:val="0"/>
          <w:sz w:val="22"/>
          <w:szCs w:val="22"/>
          <w:lang w:val="en-GB"/>
        </w:rPr>
        <w:t xml:space="preserve">Martínez-Caro, E., Cegarra-Navarro, J.G. and Alfonso-Ruiz, F.J. (2020) ‘Digital technologies and firm performance: The role of digital organisational culture’, </w:t>
      </w:r>
      <w:r w:rsidRPr="5394FC23" w:rsidR="2880B902">
        <w:rPr>
          <w:rFonts w:ascii="Arial" w:hAnsi="Arial" w:eastAsia="Arial" w:cs="Arial"/>
          <w:i w:val="1"/>
          <w:iCs w:val="1"/>
          <w:noProof w:val="0"/>
          <w:sz w:val="22"/>
          <w:szCs w:val="22"/>
          <w:lang w:val="en-GB"/>
        </w:rPr>
        <w:t>Technological forecasting &amp; social change</w:t>
      </w:r>
      <w:r w:rsidRPr="5394FC23" w:rsidR="2880B902">
        <w:rPr>
          <w:rFonts w:ascii="Arial" w:hAnsi="Arial" w:eastAsia="Arial" w:cs="Arial"/>
          <w:noProof w:val="0"/>
          <w:sz w:val="22"/>
          <w:szCs w:val="22"/>
          <w:lang w:val="en-GB"/>
        </w:rPr>
        <w:t xml:space="preserve">, 154, pp. 119962-. Available at: </w:t>
      </w:r>
      <w:hyperlink r:id="Rd5199caf3b324d1a">
        <w:r w:rsidRPr="5394FC23" w:rsidR="2880B902">
          <w:rPr>
            <w:rStyle w:val="Hyperlink"/>
            <w:rFonts w:ascii="Arial" w:hAnsi="Arial" w:eastAsia="Arial" w:cs="Arial"/>
            <w:noProof w:val="0"/>
            <w:sz w:val="22"/>
            <w:szCs w:val="22"/>
            <w:lang w:val="en-GB"/>
          </w:rPr>
          <w:t>https://doi.org/10.1016/j.techfore.2020.119962</w:t>
        </w:r>
      </w:hyperlink>
      <w:r w:rsidRPr="5394FC23" w:rsidR="2880B902">
        <w:rPr>
          <w:rFonts w:ascii="Arial" w:hAnsi="Arial" w:eastAsia="Arial" w:cs="Arial"/>
          <w:noProof w:val="0"/>
          <w:sz w:val="22"/>
          <w:szCs w:val="22"/>
          <w:lang w:val="en-GB"/>
        </w:rPr>
        <w:t>.</w:t>
      </w:r>
    </w:p>
    <w:p w:rsidR="5394FC23" w:rsidP="5394FC23" w:rsidRDefault="5394FC23" w14:paraId="3830DB4B" w14:textId="22398096">
      <w:pPr>
        <w:spacing w:before="0" w:beforeAutospacing="off" w:after="0" w:afterAutospacing="off" w:line="360" w:lineRule="auto"/>
        <w:rPr>
          <w:rFonts w:ascii="Arial" w:hAnsi="Arial" w:eastAsia="Arial" w:cs="Arial"/>
          <w:sz w:val="22"/>
          <w:szCs w:val="22"/>
        </w:rPr>
      </w:pPr>
    </w:p>
    <w:p w:rsidR="5FE24BE6" w:rsidP="5394FC23" w:rsidRDefault="5FE24BE6" w14:paraId="0E613192" w14:textId="522B2F64">
      <w:pPr>
        <w:spacing w:before="0" w:beforeAutospacing="off" w:after="0" w:afterAutospacing="off" w:line="360" w:lineRule="auto"/>
        <w:rPr>
          <w:rFonts w:ascii="Arial" w:hAnsi="Arial" w:eastAsia="Arial" w:cs="Arial"/>
          <w:noProof w:val="0"/>
          <w:sz w:val="22"/>
          <w:szCs w:val="22"/>
          <w:lang w:val="en-GB"/>
        </w:rPr>
      </w:pPr>
      <w:r w:rsidRPr="5394FC23" w:rsidR="5FE24BE6">
        <w:rPr>
          <w:rFonts w:ascii="Arial" w:hAnsi="Arial" w:eastAsia="Arial" w:cs="Arial"/>
          <w:noProof w:val="0"/>
          <w:sz w:val="22"/>
          <w:szCs w:val="22"/>
          <w:lang w:val="en-GB"/>
        </w:rPr>
        <w:t>Mgiba</w:t>
      </w:r>
      <w:r w:rsidRPr="5394FC23" w:rsidR="5FE24BE6">
        <w:rPr>
          <w:rFonts w:ascii="Arial" w:hAnsi="Arial" w:eastAsia="Arial" w:cs="Arial"/>
          <w:noProof w:val="0"/>
          <w:sz w:val="22"/>
          <w:szCs w:val="22"/>
          <w:lang w:val="en-GB"/>
        </w:rPr>
        <w:t xml:space="preserve">, F.M. and </w:t>
      </w:r>
      <w:r w:rsidRPr="5394FC23" w:rsidR="5FE24BE6">
        <w:rPr>
          <w:rFonts w:ascii="Arial" w:hAnsi="Arial" w:eastAsia="Arial" w:cs="Arial"/>
          <w:noProof w:val="0"/>
          <w:sz w:val="22"/>
          <w:szCs w:val="22"/>
          <w:lang w:val="en-GB"/>
        </w:rPr>
        <w:t>Mxotwa</w:t>
      </w:r>
      <w:r w:rsidRPr="5394FC23" w:rsidR="5FE24BE6">
        <w:rPr>
          <w:rFonts w:ascii="Arial" w:hAnsi="Arial" w:eastAsia="Arial" w:cs="Arial"/>
          <w:noProof w:val="0"/>
          <w:sz w:val="22"/>
          <w:szCs w:val="22"/>
          <w:lang w:val="en-GB"/>
        </w:rPr>
        <w:t>, T. (2024) ‘Communicating Banking Cyber-</w:t>
      </w:r>
      <w:r w:rsidRPr="5394FC23" w:rsidR="5FE24BE6">
        <w:rPr>
          <w:rFonts w:ascii="Arial" w:hAnsi="Arial" w:eastAsia="Arial" w:cs="Arial"/>
          <w:noProof w:val="0"/>
          <w:sz w:val="22"/>
          <w:szCs w:val="22"/>
          <w:lang w:val="en-GB"/>
        </w:rPr>
        <w:t>security</w:t>
      </w:r>
      <w:r w:rsidRPr="5394FC23" w:rsidR="5FE24BE6">
        <w:rPr>
          <w:rFonts w:ascii="Arial" w:hAnsi="Arial" w:eastAsia="Arial" w:cs="Arial"/>
          <w:noProof w:val="0"/>
          <w:sz w:val="22"/>
          <w:szCs w:val="22"/>
          <w:lang w:val="en-GB"/>
        </w:rPr>
        <w:t xml:space="preserve"> Measures, Customer Ethical Concerns, Experience, and Loyalty Intentions: A Developing Economy’s Perspective’, </w:t>
      </w:r>
      <w:r w:rsidRPr="5394FC23" w:rsidR="5FE24BE6">
        <w:rPr>
          <w:rFonts w:ascii="Arial" w:hAnsi="Arial" w:eastAsia="Arial" w:cs="Arial"/>
          <w:i w:val="1"/>
          <w:iCs w:val="1"/>
          <w:noProof w:val="0"/>
          <w:sz w:val="22"/>
          <w:szCs w:val="22"/>
          <w:lang w:val="en-GB"/>
        </w:rPr>
        <w:t>International review of management and marketing</w:t>
      </w:r>
      <w:r w:rsidRPr="5394FC23" w:rsidR="5FE24BE6">
        <w:rPr>
          <w:rFonts w:ascii="Arial" w:hAnsi="Arial" w:eastAsia="Arial" w:cs="Arial"/>
          <w:noProof w:val="0"/>
          <w:sz w:val="22"/>
          <w:szCs w:val="22"/>
          <w:lang w:val="en-GB"/>
        </w:rPr>
        <w:t xml:space="preserve">, 14(3), pp. 123–135. Available at: </w:t>
      </w:r>
      <w:hyperlink r:id="R982688a83787412c">
        <w:r w:rsidRPr="5394FC23" w:rsidR="5FE24BE6">
          <w:rPr>
            <w:rStyle w:val="Hyperlink"/>
            <w:rFonts w:ascii="Arial" w:hAnsi="Arial" w:eastAsia="Arial" w:cs="Arial"/>
            <w:noProof w:val="0"/>
            <w:sz w:val="22"/>
            <w:szCs w:val="22"/>
            <w:lang w:val="en-GB"/>
          </w:rPr>
          <w:t>https://doi.org/10.32479/irmm.16095</w:t>
        </w:r>
      </w:hyperlink>
      <w:r w:rsidRPr="5394FC23" w:rsidR="5FE24BE6">
        <w:rPr>
          <w:rFonts w:ascii="Arial" w:hAnsi="Arial" w:eastAsia="Arial" w:cs="Arial"/>
          <w:noProof w:val="0"/>
          <w:sz w:val="22"/>
          <w:szCs w:val="22"/>
          <w:lang w:val="en-GB"/>
        </w:rPr>
        <w:t>.</w:t>
      </w:r>
    </w:p>
    <w:p w:rsidR="5394FC23" w:rsidP="5394FC23" w:rsidRDefault="5394FC23" w14:paraId="1660133B" w14:textId="0662452E">
      <w:pPr>
        <w:spacing w:before="0" w:beforeAutospacing="off" w:after="0" w:afterAutospacing="off" w:line="360" w:lineRule="auto"/>
        <w:rPr>
          <w:rFonts w:ascii="Arial" w:hAnsi="Arial" w:eastAsia="Arial" w:cs="Arial"/>
          <w:sz w:val="22"/>
          <w:szCs w:val="22"/>
        </w:rPr>
      </w:pPr>
    </w:p>
    <w:p w:rsidR="44407D92" w:rsidP="5394FC23" w:rsidRDefault="44407D92" w14:paraId="7E93734B" w14:textId="5F4F5647">
      <w:pPr>
        <w:spacing w:before="0" w:beforeAutospacing="off" w:after="0" w:afterAutospacing="off" w:line="360" w:lineRule="auto"/>
        <w:rPr>
          <w:rFonts w:ascii="Arial" w:hAnsi="Arial" w:eastAsia="Arial" w:cs="Arial"/>
          <w:sz w:val="22"/>
          <w:szCs w:val="22"/>
        </w:rPr>
      </w:pPr>
      <w:r w:rsidRPr="5394FC23" w:rsidR="44407D92">
        <w:rPr>
          <w:rFonts w:ascii="Arial" w:hAnsi="Arial" w:eastAsia="Arial" w:cs="Arial"/>
          <w:sz w:val="22"/>
          <w:szCs w:val="22"/>
        </w:rPr>
        <w:t xml:space="preserve">Miles, S. (2017) ‘Stakeholder Theory Classification: A Theoretical and Empirical Evaluation of Definitions’, </w:t>
      </w:r>
      <w:r w:rsidRPr="5394FC23" w:rsidR="44407D92">
        <w:rPr>
          <w:rFonts w:ascii="Arial" w:hAnsi="Arial" w:eastAsia="Arial" w:cs="Arial"/>
          <w:i w:val="1"/>
          <w:iCs w:val="1"/>
          <w:sz w:val="22"/>
          <w:szCs w:val="22"/>
        </w:rPr>
        <w:t>Journal of business ethics</w:t>
      </w:r>
      <w:r w:rsidRPr="5394FC23" w:rsidR="44407D92">
        <w:rPr>
          <w:rFonts w:ascii="Arial" w:hAnsi="Arial" w:eastAsia="Arial" w:cs="Arial"/>
          <w:sz w:val="22"/>
          <w:szCs w:val="22"/>
        </w:rPr>
        <w:t xml:space="preserve">, 142(3), pp. 437–459. Available at: </w:t>
      </w:r>
      <w:hyperlink r:id="Re604533680d24d4d">
        <w:r w:rsidRPr="5394FC23" w:rsidR="44407D92">
          <w:rPr>
            <w:rStyle w:val="Hyperlink"/>
            <w:rFonts w:ascii="Arial" w:hAnsi="Arial" w:eastAsia="Arial" w:cs="Arial"/>
            <w:sz w:val="22"/>
            <w:szCs w:val="22"/>
          </w:rPr>
          <w:t>https://doi.org/10.1007/s10551-015-2741-y</w:t>
        </w:r>
      </w:hyperlink>
      <w:r w:rsidRPr="5394FC23" w:rsidR="44407D92">
        <w:rPr>
          <w:rFonts w:ascii="Arial" w:hAnsi="Arial" w:eastAsia="Arial" w:cs="Arial"/>
          <w:sz w:val="22"/>
          <w:szCs w:val="22"/>
        </w:rPr>
        <w:t>.</w:t>
      </w:r>
    </w:p>
    <w:p w:rsidR="05081A57" w:rsidP="5394FC23" w:rsidRDefault="05081A57" w14:paraId="53EC82FB" w14:textId="15595956">
      <w:pPr>
        <w:spacing w:before="0" w:beforeAutospacing="off" w:after="0" w:afterAutospacing="off" w:line="360" w:lineRule="auto"/>
        <w:rPr>
          <w:rFonts w:ascii="Arial" w:hAnsi="Arial" w:eastAsia="Arial" w:cs="Arial"/>
          <w:noProof w:val="0"/>
          <w:sz w:val="22"/>
          <w:szCs w:val="22"/>
          <w:lang w:val="en-US"/>
        </w:rPr>
      </w:pPr>
    </w:p>
    <w:p w:rsidR="3320D448" w:rsidP="5394FC23" w:rsidRDefault="3320D448" w14:paraId="5CE3AEB0" w14:textId="3DA96F26">
      <w:pPr>
        <w:spacing w:before="0" w:beforeAutospacing="off" w:after="0" w:afterAutospacing="off" w:line="360" w:lineRule="auto"/>
        <w:rPr>
          <w:rFonts w:ascii="Arial" w:hAnsi="Arial" w:eastAsia="Arial" w:cs="Arial"/>
          <w:sz w:val="22"/>
          <w:szCs w:val="22"/>
        </w:rPr>
      </w:pPr>
      <w:r w:rsidRPr="5394FC23" w:rsidR="3320D448">
        <w:rPr>
          <w:rFonts w:ascii="Arial" w:hAnsi="Arial" w:eastAsia="Arial" w:cs="Arial"/>
          <w:sz w:val="22"/>
          <w:szCs w:val="22"/>
        </w:rPr>
        <w:t xml:space="preserve">Mitchell, R.K., Agle, B.R. and Wood, D.J. (1997) ‘Toward a Theory of Stakeholder Identification and Salience: Defining the Principle of who and What Really Counts’, </w:t>
      </w:r>
      <w:r w:rsidRPr="5394FC23" w:rsidR="3320D448">
        <w:rPr>
          <w:rFonts w:ascii="Arial" w:hAnsi="Arial" w:eastAsia="Arial" w:cs="Arial"/>
          <w:i w:val="1"/>
          <w:iCs w:val="1"/>
          <w:sz w:val="22"/>
          <w:szCs w:val="22"/>
        </w:rPr>
        <w:t>The Academy of Management review</w:t>
      </w:r>
      <w:r w:rsidRPr="5394FC23" w:rsidR="3320D448">
        <w:rPr>
          <w:rFonts w:ascii="Arial" w:hAnsi="Arial" w:eastAsia="Arial" w:cs="Arial"/>
          <w:sz w:val="22"/>
          <w:szCs w:val="22"/>
        </w:rPr>
        <w:t xml:space="preserve">, 22(4), pp. 853–886. Available at: </w:t>
      </w:r>
      <w:hyperlink r:id="R67c375a3859f470a">
        <w:r w:rsidRPr="5394FC23" w:rsidR="3320D448">
          <w:rPr>
            <w:rStyle w:val="Hyperlink"/>
            <w:rFonts w:ascii="Arial" w:hAnsi="Arial" w:eastAsia="Arial" w:cs="Arial"/>
            <w:sz w:val="22"/>
            <w:szCs w:val="22"/>
          </w:rPr>
          <w:t>https://doi.org/10.5465/amr.1997.9711022105</w:t>
        </w:r>
      </w:hyperlink>
      <w:r w:rsidRPr="5394FC23" w:rsidR="3320D448">
        <w:rPr>
          <w:rFonts w:ascii="Arial" w:hAnsi="Arial" w:eastAsia="Arial" w:cs="Arial"/>
          <w:sz w:val="22"/>
          <w:szCs w:val="22"/>
        </w:rPr>
        <w:t>.</w:t>
      </w:r>
    </w:p>
    <w:p w:rsidR="639BD1EC" w:rsidP="5394FC23" w:rsidRDefault="639BD1EC" w14:paraId="565948F2" w14:textId="2D1E9615">
      <w:pPr>
        <w:spacing w:before="0" w:beforeAutospacing="off" w:after="0" w:afterAutospacing="off" w:line="360" w:lineRule="auto"/>
        <w:rPr>
          <w:rFonts w:ascii="Arial" w:hAnsi="Arial" w:eastAsia="Arial" w:cs="Arial"/>
          <w:sz w:val="22"/>
          <w:szCs w:val="22"/>
        </w:rPr>
      </w:pPr>
    </w:p>
    <w:p w:rsidR="4E38E4CC" w:rsidP="5394FC23" w:rsidRDefault="4E38E4CC" w14:paraId="16B791DC" w14:textId="1EF186F3">
      <w:pPr>
        <w:pStyle w:val="Normal"/>
        <w:spacing w:before="0" w:beforeAutospacing="off" w:after="0" w:afterAutospacing="off" w:line="360" w:lineRule="auto"/>
        <w:rPr>
          <w:rFonts w:ascii="Arial" w:hAnsi="Arial" w:eastAsia="Arial" w:cs="Arial"/>
          <w:noProof w:val="0"/>
          <w:sz w:val="22"/>
          <w:szCs w:val="22"/>
          <w:lang w:val="en-GB"/>
        </w:rPr>
      </w:pPr>
      <w:r w:rsidRPr="5394FC23" w:rsidR="4E38E4CC">
        <w:rPr>
          <w:rFonts w:ascii="Arial" w:hAnsi="Arial" w:eastAsia="Arial" w:cs="Arial"/>
          <w:b w:val="0"/>
          <w:bCs w:val="0"/>
          <w:i w:val="0"/>
          <w:iCs w:val="0"/>
          <w:caps w:val="0"/>
          <w:smallCaps w:val="0"/>
          <w:noProof w:val="0"/>
          <w:color w:val="222222"/>
          <w:sz w:val="22"/>
          <w:szCs w:val="22"/>
          <w:lang w:val="en-GB"/>
        </w:rPr>
        <w:t>Mohamed, A.A., (2021). Digital transformation and change management in the financial and banking sector.</w:t>
      </w:r>
      <w:r w:rsidRPr="5394FC23" w:rsidR="4E38E4CC">
        <w:rPr>
          <w:rFonts w:ascii="Arial" w:hAnsi="Arial" w:eastAsia="Arial" w:cs="Arial"/>
          <w:noProof w:val="0"/>
          <w:sz w:val="22"/>
          <w:szCs w:val="22"/>
          <w:lang w:val="en-GB"/>
        </w:rPr>
        <w:t xml:space="preserve"> </w:t>
      </w:r>
    </w:p>
    <w:p w:rsidR="5394FC23" w:rsidP="5394FC23" w:rsidRDefault="5394FC23" w14:paraId="047DFD9C" w14:textId="5F5D7C4F">
      <w:pPr>
        <w:pStyle w:val="Normal"/>
        <w:spacing w:before="0" w:beforeAutospacing="off" w:after="0" w:afterAutospacing="off" w:line="360" w:lineRule="auto"/>
        <w:rPr>
          <w:rFonts w:ascii="Arial" w:hAnsi="Arial" w:eastAsia="Arial" w:cs="Arial"/>
          <w:sz w:val="22"/>
          <w:szCs w:val="22"/>
        </w:rPr>
      </w:pPr>
    </w:p>
    <w:p w:rsidR="70298887" w:rsidP="5394FC23" w:rsidRDefault="70298887" w14:paraId="7208445E" w14:textId="290FF849">
      <w:pPr>
        <w:pStyle w:val="Normal"/>
        <w:spacing w:before="0" w:beforeAutospacing="off" w:after="0" w:afterAutospacing="off" w:line="360" w:lineRule="auto"/>
        <w:rPr>
          <w:rFonts w:ascii="Arial" w:hAnsi="Arial" w:eastAsia="Arial" w:cs="Arial"/>
          <w:sz w:val="22"/>
          <w:szCs w:val="22"/>
        </w:rPr>
      </w:pPr>
      <w:r w:rsidRPr="5394FC23" w:rsidR="70298887">
        <w:rPr>
          <w:rFonts w:ascii="Arial" w:hAnsi="Arial" w:eastAsia="Arial" w:cs="Arial"/>
          <w:sz w:val="22"/>
          <w:szCs w:val="22"/>
        </w:rPr>
        <w:t xml:space="preserve">Mondo, L. and </w:t>
      </w:r>
      <w:r w:rsidRPr="5394FC23" w:rsidR="70298887">
        <w:rPr>
          <w:rFonts w:ascii="Arial" w:hAnsi="Arial" w:eastAsia="Arial" w:cs="Arial"/>
          <w:sz w:val="22"/>
          <w:szCs w:val="22"/>
        </w:rPr>
        <w:t>Musungwini</w:t>
      </w:r>
      <w:r w:rsidRPr="5394FC23" w:rsidR="70298887">
        <w:rPr>
          <w:rFonts w:ascii="Arial" w:hAnsi="Arial" w:eastAsia="Arial" w:cs="Arial"/>
          <w:sz w:val="22"/>
          <w:szCs w:val="22"/>
        </w:rPr>
        <w:t xml:space="preserve">, S. (2019) ‘Developing a Change Management Model for Managing Information Systems Initiated Organisational Change: A Case of the Banking Sector in Zimbabwe’, </w:t>
      </w:r>
      <w:r w:rsidRPr="5394FC23" w:rsidR="70298887">
        <w:rPr>
          <w:rFonts w:ascii="Arial" w:hAnsi="Arial" w:eastAsia="Arial" w:cs="Arial"/>
          <w:i w:val="1"/>
          <w:iCs w:val="1"/>
          <w:sz w:val="22"/>
          <w:szCs w:val="22"/>
        </w:rPr>
        <w:t>Journal of systems integration (2010)</w:t>
      </w:r>
      <w:r w:rsidRPr="5394FC23" w:rsidR="70298887">
        <w:rPr>
          <w:rFonts w:ascii="Arial" w:hAnsi="Arial" w:eastAsia="Arial" w:cs="Arial"/>
          <w:sz w:val="22"/>
          <w:szCs w:val="22"/>
        </w:rPr>
        <w:t xml:space="preserve">, 10(1), pp. 49-. Available at: </w:t>
      </w:r>
      <w:hyperlink r:id="R699a00429b484707">
        <w:r w:rsidRPr="5394FC23" w:rsidR="70298887">
          <w:rPr>
            <w:rStyle w:val="Hyperlink"/>
            <w:rFonts w:ascii="Arial" w:hAnsi="Arial" w:eastAsia="Arial" w:cs="Arial"/>
            <w:sz w:val="22"/>
            <w:szCs w:val="22"/>
          </w:rPr>
          <w:t>https://doi.org/10.20470/jsi.v10i1.362</w:t>
        </w:r>
      </w:hyperlink>
      <w:r w:rsidRPr="5394FC23" w:rsidR="70298887">
        <w:rPr>
          <w:rFonts w:ascii="Arial" w:hAnsi="Arial" w:eastAsia="Arial" w:cs="Arial"/>
          <w:sz w:val="22"/>
          <w:szCs w:val="22"/>
        </w:rPr>
        <w:t>.</w:t>
      </w:r>
    </w:p>
    <w:p w:rsidR="5394FC23" w:rsidP="5394FC23" w:rsidRDefault="5394FC23" w14:paraId="3CFA898D" w14:textId="49B40665">
      <w:pPr>
        <w:spacing w:before="0" w:beforeAutospacing="off" w:after="0" w:afterAutospacing="off" w:line="360" w:lineRule="auto"/>
        <w:rPr>
          <w:rFonts w:ascii="Arial" w:hAnsi="Arial" w:eastAsia="Arial" w:cs="Arial"/>
          <w:sz w:val="22"/>
          <w:szCs w:val="22"/>
        </w:rPr>
      </w:pPr>
    </w:p>
    <w:p w:rsidR="25EBE824" w:rsidP="5394FC23" w:rsidRDefault="25EBE824" w14:paraId="7D6833DC" w14:textId="3F0345F4">
      <w:pPr>
        <w:spacing w:before="0" w:beforeAutospacing="off" w:after="0" w:afterAutospacing="off" w:line="360" w:lineRule="auto"/>
        <w:rPr>
          <w:rFonts w:ascii="Arial" w:hAnsi="Arial" w:eastAsia="Arial" w:cs="Arial"/>
          <w:sz w:val="22"/>
          <w:szCs w:val="22"/>
        </w:rPr>
      </w:pPr>
      <w:r w:rsidRPr="5394FC23" w:rsidR="25EBE824">
        <w:rPr>
          <w:rFonts w:ascii="Arial" w:hAnsi="Arial" w:eastAsia="Arial" w:cs="Arial"/>
          <w:sz w:val="22"/>
          <w:szCs w:val="22"/>
        </w:rPr>
        <w:t>Pauliukevičienė</w:t>
      </w:r>
      <w:r w:rsidRPr="5394FC23" w:rsidR="25EBE824">
        <w:rPr>
          <w:rFonts w:ascii="Arial" w:hAnsi="Arial" w:eastAsia="Arial" w:cs="Arial"/>
          <w:sz w:val="22"/>
          <w:szCs w:val="22"/>
        </w:rPr>
        <w:t xml:space="preserve">, G. and </w:t>
      </w:r>
      <w:r w:rsidRPr="5394FC23" w:rsidR="25EBE824">
        <w:rPr>
          <w:rFonts w:ascii="Arial" w:hAnsi="Arial" w:eastAsia="Arial" w:cs="Arial"/>
          <w:sz w:val="22"/>
          <w:szCs w:val="22"/>
        </w:rPr>
        <w:t>Stankevičienė</w:t>
      </w:r>
      <w:r w:rsidRPr="5394FC23" w:rsidR="25EBE824">
        <w:rPr>
          <w:rFonts w:ascii="Arial" w:hAnsi="Arial" w:eastAsia="Arial" w:cs="Arial"/>
          <w:sz w:val="22"/>
          <w:szCs w:val="22"/>
        </w:rPr>
        <w:t xml:space="preserve">, J. (2021) ‘Assessing statistical link between FinTech PEST environment and achievement of SDGs’, </w:t>
      </w:r>
      <w:r w:rsidRPr="5394FC23" w:rsidR="25EBE824">
        <w:rPr>
          <w:rFonts w:ascii="Arial" w:hAnsi="Arial" w:eastAsia="Arial" w:cs="Arial"/>
          <w:i w:val="1"/>
          <w:iCs w:val="1"/>
          <w:sz w:val="22"/>
          <w:szCs w:val="22"/>
        </w:rPr>
        <w:t>Public and municipal finance (Online)</w:t>
      </w:r>
      <w:r w:rsidRPr="5394FC23" w:rsidR="25EBE824">
        <w:rPr>
          <w:rFonts w:ascii="Arial" w:hAnsi="Arial" w:eastAsia="Arial" w:cs="Arial"/>
          <w:sz w:val="22"/>
          <w:szCs w:val="22"/>
        </w:rPr>
        <w:t xml:space="preserve">, 10(1), pp. 47–66. Available at: </w:t>
      </w:r>
      <w:hyperlink r:id="R64f327c1eee143ab">
        <w:r w:rsidRPr="5394FC23" w:rsidR="25EBE824">
          <w:rPr>
            <w:rStyle w:val="Hyperlink"/>
            <w:rFonts w:ascii="Arial" w:hAnsi="Arial" w:eastAsia="Arial" w:cs="Arial"/>
            <w:sz w:val="22"/>
            <w:szCs w:val="22"/>
          </w:rPr>
          <w:t>https://doi.org/10.21511/pmf.10(1).2021.05</w:t>
        </w:r>
      </w:hyperlink>
      <w:r w:rsidRPr="5394FC23" w:rsidR="25EBE824">
        <w:rPr>
          <w:rFonts w:ascii="Arial" w:hAnsi="Arial" w:eastAsia="Arial" w:cs="Arial"/>
          <w:sz w:val="22"/>
          <w:szCs w:val="22"/>
        </w:rPr>
        <w:t>.</w:t>
      </w:r>
    </w:p>
    <w:p w:rsidR="5394FC23" w:rsidP="5394FC23" w:rsidRDefault="5394FC23" w14:paraId="4DF7F2E5" w14:textId="5545BC90">
      <w:pPr>
        <w:spacing w:before="0" w:beforeAutospacing="off" w:after="0" w:afterAutospacing="off" w:line="360" w:lineRule="auto"/>
        <w:rPr>
          <w:rFonts w:ascii="Arial" w:hAnsi="Arial" w:eastAsia="Arial" w:cs="Arial"/>
          <w:sz w:val="22"/>
          <w:szCs w:val="22"/>
        </w:rPr>
      </w:pPr>
    </w:p>
    <w:p w:rsidR="1F1839B8" w:rsidP="5394FC23" w:rsidRDefault="1F1839B8" w14:paraId="21A630F3" w14:textId="2B636FD3">
      <w:pPr>
        <w:spacing w:before="0" w:beforeAutospacing="off" w:after="0" w:afterAutospacing="off" w:line="360" w:lineRule="auto"/>
        <w:rPr>
          <w:rFonts w:ascii="Arial" w:hAnsi="Arial" w:eastAsia="Arial" w:cs="Arial"/>
          <w:sz w:val="22"/>
          <w:szCs w:val="22"/>
        </w:rPr>
      </w:pPr>
      <w:r w:rsidRPr="5394FC23" w:rsidR="1F1839B8">
        <w:rPr>
          <w:rFonts w:ascii="Arial" w:hAnsi="Arial" w:eastAsia="Arial" w:cs="Arial"/>
          <w:sz w:val="22"/>
          <w:szCs w:val="22"/>
        </w:rPr>
        <w:t xml:space="preserve">Payne, D., Trumbach, C. and </w:t>
      </w:r>
      <w:r w:rsidRPr="5394FC23" w:rsidR="1F1839B8">
        <w:rPr>
          <w:rFonts w:ascii="Arial" w:hAnsi="Arial" w:eastAsia="Arial" w:cs="Arial"/>
          <w:sz w:val="22"/>
          <w:szCs w:val="22"/>
        </w:rPr>
        <w:t>Soharu</w:t>
      </w:r>
      <w:r w:rsidRPr="5394FC23" w:rsidR="1F1839B8">
        <w:rPr>
          <w:rFonts w:ascii="Arial" w:hAnsi="Arial" w:eastAsia="Arial" w:cs="Arial"/>
          <w:sz w:val="22"/>
          <w:szCs w:val="22"/>
        </w:rPr>
        <w:t xml:space="preserve">, R. (2023) ‘The Values Change Management Cycle: Ethical Change Management’, </w:t>
      </w:r>
      <w:r w:rsidRPr="5394FC23" w:rsidR="1F1839B8">
        <w:rPr>
          <w:rFonts w:ascii="Arial" w:hAnsi="Arial" w:eastAsia="Arial" w:cs="Arial"/>
          <w:i w:val="1"/>
          <w:iCs w:val="1"/>
          <w:sz w:val="22"/>
          <w:szCs w:val="22"/>
        </w:rPr>
        <w:t>Journal of business ethics</w:t>
      </w:r>
      <w:r w:rsidRPr="5394FC23" w:rsidR="1F1839B8">
        <w:rPr>
          <w:rFonts w:ascii="Arial" w:hAnsi="Arial" w:eastAsia="Arial" w:cs="Arial"/>
          <w:sz w:val="22"/>
          <w:szCs w:val="22"/>
        </w:rPr>
        <w:t xml:space="preserve">, 188(3), pp. 429–440. Available at: </w:t>
      </w:r>
      <w:hyperlink r:id="R04c63b0cafac4f66">
        <w:r w:rsidRPr="5394FC23" w:rsidR="1F1839B8">
          <w:rPr>
            <w:rStyle w:val="Hyperlink"/>
            <w:rFonts w:ascii="Arial" w:hAnsi="Arial" w:eastAsia="Arial" w:cs="Arial"/>
            <w:sz w:val="22"/>
            <w:szCs w:val="22"/>
          </w:rPr>
          <w:t>https://doi.org/10.1007/s10551-022-05306-8</w:t>
        </w:r>
      </w:hyperlink>
      <w:r w:rsidRPr="5394FC23" w:rsidR="1F1839B8">
        <w:rPr>
          <w:rFonts w:ascii="Arial" w:hAnsi="Arial" w:eastAsia="Arial" w:cs="Arial"/>
          <w:sz w:val="22"/>
          <w:szCs w:val="22"/>
        </w:rPr>
        <w:t>.</w:t>
      </w:r>
    </w:p>
    <w:p w:rsidR="5A638AE4" w:rsidP="5394FC23" w:rsidRDefault="5A638AE4" w14:paraId="38E2C1E2" w14:textId="534F655A">
      <w:pPr>
        <w:pStyle w:val="Normal"/>
        <w:spacing w:before="0" w:beforeAutospacing="off" w:after="0" w:afterAutospacing="off" w:line="360" w:lineRule="auto"/>
        <w:rPr>
          <w:rFonts w:ascii="Arial" w:hAnsi="Arial" w:eastAsia="Arial" w:cs="Arial"/>
          <w:sz w:val="22"/>
          <w:szCs w:val="22"/>
        </w:rPr>
      </w:pPr>
    </w:p>
    <w:p w:rsidR="1E264898" w:rsidP="5394FC23" w:rsidRDefault="1E264898" w14:paraId="600831B7" w14:textId="59408DDC">
      <w:pPr>
        <w:spacing w:before="0" w:beforeAutospacing="off" w:after="0" w:afterAutospacing="off" w:line="360" w:lineRule="auto"/>
        <w:rPr>
          <w:rFonts w:ascii="Arial" w:hAnsi="Arial" w:eastAsia="Arial" w:cs="Arial"/>
          <w:noProof w:val="0"/>
          <w:sz w:val="22"/>
          <w:szCs w:val="22"/>
          <w:lang w:val="en-GB"/>
        </w:rPr>
      </w:pPr>
      <w:r w:rsidRPr="5394FC23" w:rsidR="1E264898">
        <w:rPr>
          <w:rFonts w:ascii="Arial" w:hAnsi="Arial" w:eastAsia="Arial" w:cs="Arial"/>
          <w:noProof w:val="0"/>
          <w:sz w:val="22"/>
          <w:szCs w:val="22"/>
          <w:lang w:val="en-GB"/>
        </w:rPr>
        <w:t>Sittrop</w:t>
      </w:r>
      <w:r w:rsidRPr="5394FC23" w:rsidR="1E264898">
        <w:rPr>
          <w:rFonts w:ascii="Arial" w:hAnsi="Arial" w:eastAsia="Arial" w:cs="Arial"/>
          <w:noProof w:val="0"/>
          <w:sz w:val="22"/>
          <w:szCs w:val="22"/>
          <w:lang w:val="en-GB"/>
        </w:rPr>
        <w:t>, D. and Crosthwaite, C. (2021) ‘Minimising risk: The application of Kotter’s change management model on customer relationship management systems. A case study</w:t>
      </w:r>
      <w:r w:rsidRPr="5394FC23" w:rsidR="1E264898">
        <w:rPr>
          <w:rFonts w:ascii="Arial" w:hAnsi="Arial" w:eastAsia="Arial" w:cs="Arial"/>
          <w:noProof w:val="0"/>
          <w:sz w:val="22"/>
          <w:szCs w:val="22"/>
          <w:lang w:val="en-GB"/>
        </w:rPr>
        <w:t>’,</w:t>
      </w:r>
      <w:r w:rsidRPr="5394FC23" w:rsidR="1E264898">
        <w:rPr>
          <w:rFonts w:ascii="Arial" w:hAnsi="Arial" w:eastAsia="Arial" w:cs="Arial"/>
          <w:noProof w:val="0"/>
          <w:sz w:val="22"/>
          <w:szCs w:val="22"/>
          <w:lang w:val="en-GB"/>
        </w:rPr>
        <w:t xml:space="preserve"> </w:t>
      </w:r>
      <w:r w:rsidRPr="5394FC23" w:rsidR="1E264898">
        <w:rPr>
          <w:rFonts w:ascii="Arial" w:hAnsi="Arial" w:eastAsia="Arial" w:cs="Arial"/>
          <w:i w:val="1"/>
          <w:iCs w:val="1"/>
          <w:noProof w:val="0"/>
          <w:sz w:val="22"/>
          <w:szCs w:val="22"/>
          <w:lang w:val="en-GB"/>
        </w:rPr>
        <w:t xml:space="preserve">Journal of risk and </w:t>
      </w:r>
      <w:r w:rsidRPr="5394FC23" w:rsidR="1E264898">
        <w:rPr>
          <w:rFonts w:ascii="Arial" w:hAnsi="Arial" w:eastAsia="Arial" w:cs="Arial"/>
          <w:i w:val="1"/>
          <w:iCs w:val="1"/>
          <w:noProof w:val="0"/>
          <w:sz w:val="22"/>
          <w:szCs w:val="22"/>
          <w:lang w:val="en-GB"/>
        </w:rPr>
        <w:t>financial management</w:t>
      </w:r>
      <w:r w:rsidRPr="5394FC23" w:rsidR="1E264898">
        <w:rPr>
          <w:rFonts w:ascii="Arial" w:hAnsi="Arial" w:eastAsia="Arial" w:cs="Arial"/>
          <w:noProof w:val="0"/>
          <w:sz w:val="22"/>
          <w:szCs w:val="22"/>
          <w:lang w:val="en-GB"/>
        </w:rPr>
        <w:t xml:space="preserve">, 14(10), pp. 1–20. Available at: </w:t>
      </w:r>
      <w:hyperlink r:id="R917e48fed0e14e1c">
        <w:r w:rsidRPr="5394FC23" w:rsidR="1E264898">
          <w:rPr>
            <w:rStyle w:val="Hyperlink"/>
            <w:rFonts w:ascii="Arial" w:hAnsi="Arial" w:eastAsia="Arial" w:cs="Arial"/>
            <w:noProof w:val="0"/>
            <w:sz w:val="22"/>
            <w:szCs w:val="22"/>
            <w:lang w:val="en-GB"/>
          </w:rPr>
          <w:t>https://doi.org/10.3390/jrfm14100496</w:t>
        </w:r>
      </w:hyperlink>
      <w:r w:rsidRPr="5394FC23" w:rsidR="1E264898">
        <w:rPr>
          <w:rFonts w:ascii="Arial" w:hAnsi="Arial" w:eastAsia="Arial" w:cs="Arial"/>
          <w:noProof w:val="0"/>
          <w:sz w:val="22"/>
          <w:szCs w:val="22"/>
          <w:lang w:val="en-GB"/>
        </w:rPr>
        <w:t>.</w:t>
      </w:r>
    </w:p>
    <w:p w:rsidR="5394FC23" w:rsidP="5394FC23" w:rsidRDefault="5394FC23" w14:paraId="7C54EE3D" w14:textId="720C69AB">
      <w:pPr>
        <w:spacing w:before="0" w:beforeAutospacing="off" w:after="0" w:afterAutospacing="off" w:line="360" w:lineRule="auto"/>
        <w:rPr>
          <w:rFonts w:ascii="Arial" w:hAnsi="Arial" w:eastAsia="Arial" w:cs="Arial"/>
          <w:noProof w:val="0"/>
          <w:sz w:val="22"/>
          <w:szCs w:val="22"/>
          <w:lang w:val="en-GB"/>
        </w:rPr>
      </w:pPr>
    </w:p>
    <w:p w:rsidR="22DB22C6" w:rsidP="5394FC23" w:rsidRDefault="22DB22C6" w14:paraId="49E5B538" w14:textId="65EFCF5D">
      <w:pPr>
        <w:pStyle w:val="Normal"/>
        <w:spacing w:line="360" w:lineRule="auto"/>
        <w:rPr>
          <w:rFonts w:ascii="Arial" w:hAnsi="Arial" w:eastAsia="Arial" w:cs="Arial"/>
          <w:b w:val="0"/>
          <w:bCs w:val="0"/>
          <w:i w:val="0"/>
          <w:iCs w:val="0"/>
          <w:caps w:val="0"/>
          <w:smallCaps w:val="0"/>
          <w:color w:val="0F2741"/>
          <w:sz w:val="22"/>
          <w:szCs w:val="22"/>
        </w:rPr>
      </w:pPr>
      <w:r w:rsidRPr="5394FC23" w:rsidR="22DB22C6">
        <w:rPr>
          <w:rFonts w:ascii="Arial" w:hAnsi="Arial" w:eastAsia="Arial" w:cs="Arial"/>
          <w:noProof w:val="0"/>
          <w:sz w:val="22"/>
          <w:szCs w:val="22"/>
          <w:lang w:val="en-GB"/>
        </w:rPr>
        <w:t xml:space="preserve">Software Testing News (2024) </w:t>
      </w:r>
      <w:r w:rsidRPr="5394FC23" w:rsidR="22DB22C6">
        <w:rPr>
          <w:rFonts w:ascii="Arial" w:hAnsi="Arial" w:eastAsia="Arial" w:cs="Arial"/>
          <w:noProof w:val="0"/>
          <w:sz w:val="22"/>
          <w:szCs w:val="22"/>
          <w:lang w:val="en-GB"/>
        </w:rPr>
        <w:t xml:space="preserve">Lloyds plans to switch to new core banking platform to reduce costs </w:t>
      </w:r>
      <w:r w:rsidRPr="5394FC23" w:rsidR="22DB22C6">
        <w:rPr>
          <w:rFonts w:ascii="Arial" w:hAnsi="Arial" w:eastAsia="Arial" w:cs="Arial"/>
          <w:noProof w:val="0"/>
          <w:sz w:val="22"/>
          <w:szCs w:val="22"/>
          <w:lang w:val="en-GB"/>
        </w:rPr>
        <w:t xml:space="preserve">Available at: </w:t>
      </w:r>
      <w:hyperlink r:id="Rcc6408c9d55c470d">
        <w:r w:rsidRPr="5394FC23" w:rsidR="22DB22C6">
          <w:rPr>
            <w:rStyle w:val="Hyperlink"/>
            <w:rFonts w:ascii="Arial" w:hAnsi="Arial" w:eastAsia="Arial" w:cs="Arial"/>
            <w:sz w:val="22"/>
            <w:szCs w:val="22"/>
          </w:rPr>
          <w:t>https://</w:t>
        </w:r>
        <w:r w:rsidRPr="5394FC23" w:rsidR="22DB22C6">
          <w:rPr>
            <w:rStyle w:val="Hyperlink"/>
            <w:rFonts w:ascii="Arial" w:hAnsi="Arial" w:eastAsia="Arial" w:cs="Arial"/>
            <w:sz w:val="22"/>
            <w:szCs w:val="22"/>
          </w:rPr>
          <w:t>www</w:t>
        </w:r>
        <w:r w:rsidRPr="5394FC23" w:rsidR="22DB22C6">
          <w:rPr>
            <w:rStyle w:val="Hyperlink"/>
            <w:rFonts w:ascii="Arial" w:hAnsi="Arial" w:eastAsia="Arial" w:cs="Arial"/>
            <w:sz w:val="22"/>
            <w:szCs w:val="22"/>
          </w:rPr>
          <w:t>.softwaretestingnews.co.uk/18837-2-lloyds-core-banking-platform/</w:t>
        </w:r>
      </w:hyperlink>
      <w:r w:rsidRPr="5394FC23" w:rsidR="22DB22C6">
        <w:rPr>
          <w:rFonts w:ascii="Arial" w:hAnsi="Arial" w:eastAsia="Arial" w:cs="Arial"/>
          <w:sz w:val="22"/>
          <w:szCs w:val="22"/>
        </w:rPr>
        <w:t xml:space="preserve"> (Date Accessed: 29.09.24)</w:t>
      </w:r>
    </w:p>
    <w:p w:rsidR="728A5998" w:rsidP="5394FC23" w:rsidRDefault="728A5998" w14:paraId="514CE33E" w14:textId="5EC9F6DC">
      <w:pPr>
        <w:pStyle w:val="Normal"/>
        <w:spacing w:line="360" w:lineRule="auto"/>
        <w:rPr>
          <w:rFonts w:ascii="Arial" w:hAnsi="Arial" w:eastAsia="Arial" w:cs="Arial"/>
          <w:b w:val="0"/>
          <w:bCs w:val="0"/>
          <w:i w:val="0"/>
          <w:iCs w:val="0"/>
          <w:caps w:val="0"/>
          <w:smallCaps w:val="0"/>
          <w:color w:val="0F2741"/>
          <w:sz w:val="22"/>
          <w:szCs w:val="22"/>
        </w:rPr>
      </w:pPr>
      <w:r w:rsidRPr="5394FC23" w:rsidR="728A5998">
        <w:rPr>
          <w:rFonts w:ascii="Arial" w:hAnsi="Arial" w:eastAsia="Arial" w:cs="Arial"/>
          <w:b w:val="0"/>
          <w:bCs w:val="0"/>
          <w:sz w:val="22"/>
          <w:szCs w:val="22"/>
        </w:rPr>
        <w:t>Statista Research Department (2024)</w:t>
      </w:r>
      <w:r w:rsidRPr="5394FC23" w:rsidR="728A5998">
        <w:rPr>
          <w:rFonts w:ascii="Arial" w:hAnsi="Arial" w:eastAsia="Arial" w:cs="Arial"/>
          <w:b w:val="0"/>
          <w:bCs w:val="0"/>
          <w:i w:val="1"/>
          <w:iCs w:val="1"/>
          <w:sz w:val="22"/>
          <w:szCs w:val="22"/>
        </w:rPr>
        <w:t xml:space="preserve"> </w:t>
      </w:r>
      <w:r w:rsidRPr="5394FC23" w:rsidR="728A5998">
        <w:rPr>
          <w:rFonts w:ascii="Arial" w:hAnsi="Arial" w:eastAsia="Arial" w:cs="Arial"/>
          <w:b w:val="0"/>
          <w:bCs w:val="0"/>
          <w:i w:val="1"/>
          <w:iCs w:val="1"/>
          <w:caps w:val="0"/>
          <w:smallCaps w:val="0"/>
          <w:color w:val="0F2741"/>
          <w:sz w:val="22"/>
          <w:szCs w:val="22"/>
        </w:rPr>
        <w:t>Number of ordinary shares in issue worldwide of the UK Lloyds Banking Group from 2010 to 2023</w:t>
      </w:r>
      <w:r w:rsidRPr="5394FC23" w:rsidR="714C0173">
        <w:rPr>
          <w:rFonts w:ascii="Arial" w:hAnsi="Arial" w:eastAsia="Arial" w:cs="Arial"/>
          <w:b w:val="0"/>
          <w:bCs w:val="0"/>
          <w:i w:val="1"/>
          <w:iCs w:val="1"/>
          <w:caps w:val="0"/>
          <w:smallCaps w:val="0"/>
          <w:color w:val="0F2741"/>
          <w:sz w:val="22"/>
          <w:szCs w:val="22"/>
        </w:rPr>
        <w:t xml:space="preserve"> </w:t>
      </w:r>
      <w:r w:rsidRPr="5394FC23" w:rsidR="714C0173">
        <w:rPr>
          <w:rFonts w:ascii="Arial" w:hAnsi="Arial" w:eastAsia="Arial" w:cs="Arial"/>
          <w:b w:val="0"/>
          <w:bCs w:val="0"/>
          <w:i w:val="0"/>
          <w:iCs w:val="0"/>
          <w:caps w:val="0"/>
          <w:smallCaps w:val="0"/>
          <w:color w:val="0F2741"/>
          <w:sz w:val="22"/>
          <w:szCs w:val="22"/>
        </w:rPr>
        <w:t xml:space="preserve">Available at: </w:t>
      </w:r>
      <w:hyperlink w:anchor="statisticContainer" r:id="R74c9f0da52fc4697">
        <w:r w:rsidRPr="5394FC23" w:rsidR="714C0173">
          <w:rPr>
            <w:rStyle w:val="Hyperlink"/>
            <w:rFonts w:ascii="Arial" w:hAnsi="Arial" w:eastAsia="Arial" w:cs="Arial"/>
            <w:b w:val="0"/>
            <w:bCs w:val="0"/>
            <w:i w:val="0"/>
            <w:iCs w:val="0"/>
            <w:caps w:val="0"/>
            <w:smallCaps w:val="0"/>
            <w:sz w:val="22"/>
            <w:szCs w:val="22"/>
          </w:rPr>
          <w:t>https://www.statista.com/statistics/474455/uk-lloyds-banking-group-number-of-shares-in-issue/#statisticContainer</w:t>
        </w:r>
      </w:hyperlink>
      <w:r w:rsidRPr="5394FC23" w:rsidR="714C0173">
        <w:rPr>
          <w:rFonts w:ascii="Arial" w:hAnsi="Arial" w:eastAsia="Arial" w:cs="Arial"/>
          <w:b w:val="0"/>
          <w:bCs w:val="0"/>
          <w:i w:val="0"/>
          <w:iCs w:val="0"/>
          <w:caps w:val="0"/>
          <w:smallCaps w:val="0"/>
          <w:color w:val="0F2741"/>
          <w:sz w:val="22"/>
          <w:szCs w:val="22"/>
        </w:rPr>
        <w:t xml:space="preserve"> (Date Accessed: </w:t>
      </w:r>
      <w:r w:rsidRPr="5394FC23" w:rsidR="04EAB7E4">
        <w:rPr>
          <w:rFonts w:ascii="Arial" w:hAnsi="Arial" w:eastAsia="Arial" w:cs="Arial"/>
          <w:b w:val="0"/>
          <w:bCs w:val="0"/>
          <w:i w:val="0"/>
          <w:iCs w:val="0"/>
          <w:caps w:val="0"/>
          <w:smallCaps w:val="0"/>
          <w:color w:val="0F2741"/>
          <w:sz w:val="22"/>
          <w:szCs w:val="22"/>
        </w:rPr>
        <w:t>29.09.24)</w:t>
      </w:r>
    </w:p>
    <w:p w:rsidR="77A50768" w:rsidP="5394FC23" w:rsidRDefault="77A50768" w14:paraId="74A8CD56" w14:textId="497CD456">
      <w:pPr>
        <w:spacing w:before="0" w:beforeAutospacing="off" w:after="0" w:afterAutospacing="off"/>
      </w:pPr>
      <w:r w:rsidRPr="5394FC23" w:rsidR="77A50768">
        <w:rPr>
          <w:rFonts w:ascii="Arial" w:hAnsi="Arial" w:eastAsia="Arial" w:cs="Arial"/>
          <w:noProof w:val="0"/>
          <w:sz w:val="22"/>
          <w:szCs w:val="22"/>
          <w:lang w:val="en-GB"/>
        </w:rPr>
        <w:t xml:space="preserve">Torppa, C.B. and Smith, K.L. (2011) ‘Organizational Change Management: A Test of the Effectiveness of a Communication Plan’, </w:t>
      </w:r>
      <w:r w:rsidRPr="5394FC23" w:rsidR="77A50768">
        <w:rPr>
          <w:rFonts w:ascii="Arial" w:hAnsi="Arial" w:eastAsia="Arial" w:cs="Arial"/>
          <w:i w:val="1"/>
          <w:iCs w:val="1"/>
          <w:noProof w:val="0"/>
          <w:sz w:val="22"/>
          <w:szCs w:val="22"/>
          <w:lang w:val="en-GB"/>
        </w:rPr>
        <w:t>Communication research reports</w:t>
      </w:r>
      <w:r w:rsidRPr="5394FC23" w:rsidR="77A50768">
        <w:rPr>
          <w:rFonts w:ascii="Arial" w:hAnsi="Arial" w:eastAsia="Arial" w:cs="Arial"/>
          <w:noProof w:val="0"/>
          <w:sz w:val="22"/>
          <w:szCs w:val="22"/>
          <w:lang w:val="en-GB"/>
        </w:rPr>
        <w:t xml:space="preserve">, 28(1), pp. 62–73. Available at: </w:t>
      </w:r>
      <w:hyperlink r:id="Rbeb2ba050c2a4a22">
        <w:r w:rsidRPr="5394FC23" w:rsidR="77A50768">
          <w:rPr>
            <w:rStyle w:val="Hyperlink"/>
            <w:rFonts w:ascii="Arial" w:hAnsi="Arial" w:eastAsia="Arial" w:cs="Arial"/>
            <w:noProof w:val="0"/>
            <w:sz w:val="22"/>
            <w:szCs w:val="22"/>
            <w:lang w:val="en-GB"/>
          </w:rPr>
          <w:t>https://doi.org/10.1080/08824096.2011.541364</w:t>
        </w:r>
      </w:hyperlink>
      <w:r w:rsidRPr="5394FC23" w:rsidR="77A50768">
        <w:rPr>
          <w:rFonts w:ascii="Arial" w:hAnsi="Arial" w:eastAsia="Arial" w:cs="Arial"/>
          <w:noProof w:val="0"/>
          <w:sz w:val="22"/>
          <w:szCs w:val="22"/>
          <w:lang w:val="en-GB"/>
        </w:rPr>
        <w:t>.</w:t>
      </w:r>
    </w:p>
    <w:p w:rsidR="5394FC23" w:rsidP="5394FC23" w:rsidRDefault="5394FC23" w14:paraId="5490FE5D" w14:textId="4C640231">
      <w:pPr>
        <w:pStyle w:val="Normal"/>
        <w:spacing w:line="360" w:lineRule="auto"/>
        <w:rPr>
          <w:rFonts w:ascii="Arial" w:hAnsi="Arial" w:eastAsia="Arial" w:cs="Arial"/>
          <w:b w:val="0"/>
          <w:bCs w:val="0"/>
          <w:i w:val="0"/>
          <w:iCs w:val="0"/>
          <w:caps w:val="0"/>
          <w:smallCaps w:val="0"/>
          <w:color w:val="0F2741"/>
          <w:sz w:val="22"/>
          <w:szCs w:val="22"/>
        </w:rPr>
      </w:pPr>
    </w:p>
    <w:p w:rsidR="6D914A33" w:rsidP="5394FC23" w:rsidRDefault="6D914A33" w14:paraId="79AF6C52" w14:textId="3C8175E3">
      <w:pPr>
        <w:spacing w:before="0" w:beforeAutospacing="off" w:after="0" w:afterAutospacing="off"/>
      </w:pPr>
      <w:r w:rsidRPr="5394FC23" w:rsidR="6D914A33">
        <w:rPr>
          <w:rFonts w:ascii="Arial" w:hAnsi="Arial" w:eastAsia="Arial" w:cs="Arial"/>
          <w:noProof w:val="0"/>
          <w:sz w:val="22"/>
          <w:szCs w:val="22"/>
          <w:lang w:val="en-GB"/>
        </w:rPr>
        <w:t xml:space="preserve">Utomo, S.B., Yuliani, E.W. and Wulandari, N. (2021) ‘Business Process Improvement (BPI) with Enterprise Resource Planning (ERP) Financial &amp; Control (FICO) and Procurement Modules Using SAP S/4 HANA to Handle Non-Banking Processes in Case Study: PT Bank Mantap’, </w:t>
      </w:r>
      <w:r w:rsidRPr="5394FC23" w:rsidR="6D914A33">
        <w:rPr>
          <w:rFonts w:ascii="Arial" w:hAnsi="Arial" w:eastAsia="Arial" w:cs="Arial"/>
          <w:i w:val="1"/>
          <w:iCs w:val="1"/>
          <w:noProof w:val="0"/>
          <w:sz w:val="22"/>
          <w:szCs w:val="22"/>
          <w:lang w:val="en-GB"/>
        </w:rPr>
        <w:t>Journal of physics. Conference series</w:t>
      </w:r>
      <w:r w:rsidRPr="5394FC23" w:rsidR="6D914A33">
        <w:rPr>
          <w:rFonts w:ascii="Arial" w:hAnsi="Arial" w:eastAsia="Arial" w:cs="Arial"/>
          <w:noProof w:val="0"/>
          <w:sz w:val="22"/>
          <w:szCs w:val="22"/>
          <w:lang w:val="en-GB"/>
        </w:rPr>
        <w:t xml:space="preserve">, 1807(1), pp. 12004-. Available at: </w:t>
      </w:r>
      <w:hyperlink r:id="R5c9ce9d2d85243c5">
        <w:r w:rsidRPr="5394FC23" w:rsidR="6D914A33">
          <w:rPr>
            <w:rStyle w:val="Hyperlink"/>
            <w:rFonts w:ascii="Arial" w:hAnsi="Arial" w:eastAsia="Arial" w:cs="Arial"/>
            <w:noProof w:val="0"/>
            <w:sz w:val="22"/>
            <w:szCs w:val="22"/>
            <w:lang w:val="en-GB"/>
          </w:rPr>
          <w:t>https://doi.org/10.1088/1742-6596/1807/1/012004</w:t>
        </w:r>
      </w:hyperlink>
      <w:r w:rsidRPr="5394FC23" w:rsidR="6D914A33">
        <w:rPr>
          <w:rFonts w:ascii="Arial" w:hAnsi="Arial" w:eastAsia="Arial" w:cs="Arial"/>
          <w:noProof w:val="0"/>
          <w:sz w:val="22"/>
          <w:szCs w:val="22"/>
          <w:lang w:val="en-GB"/>
        </w:rPr>
        <w:t>.</w:t>
      </w:r>
    </w:p>
    <w:p w:rsidR="5394FC23" w:rsidP="5394FC23" w:rsidRDefault="5394FC23" w14:paraId="158FD032" w14:textId="1E4784E4">
      <w:pPr>
        <w:pStyle w:val="Normal"/>
        <w:spacing w:line="360" w:lineRule="auto"/>
        <w:rPr>
          <w:rFonts w:ascii="Arial" w:hAnsi="Arial" w:eastAsia="Arial" w:cs="Arial"/>
          <w:b w:val="0"/>
          <w:bCs w:val="0"/>
          <w:i w:val="0"/>
          <w:iCs w:val="0"/>
          <w:caps w:val="0"/>
          <w:smallCaps w:val="0"/>
          <w:color w:val="0F2741"/>
          <w:sz w:val="22"/>
          <w:szCs w:val="22"/>
        </w:rPr>
      </w:pPr>
    </w:p>
    <w:p w:rsidR="221749B0" w:rsidP="5394FC23" w:rsidRDefault="221749B0" w14:paraId="73E77C80" w14:textId="5A485A50">
      <w:pPr>
        <w:spacing w:before="0" w:beforeAutospacing="off" w:after="0" w:afterAutospacing="off" w:line="360" w:lineRule="auto"/>
        <w:rPr>
          <w:rFonts w:ascii="Arial" w:hAnsi="Arial" w:eastAsia="Arial" w:cs="Arial"/>
          <w:noProof w:val="0"/>
          <w:sz w:val="22"/>
          <w:szCs w:val="22"/>
          <w:lang w:val="en-GB"/>
        </w:rPr>
      </w:pPr>
      <w:r w:rsidRPr="5394FC23" w:rsidR="221749B0">
        <w:rPr>
          <w:rFonts w:ascii="Arial" w:hAnsi="Arial" w:eastAsia="Arial" w:cs="Arial"/>
          <w:noProof w:val="0"/>
          <w:sz w:val="22"/>
          <w:szCs w:val="22"/>
          <w:lang w:val="en-GB"/>
        </w:rPr>
        <w:t xml:space="preserve">Wang and Hou (2023) ‘Analysis of Macro Environment and Development Countermeasures of the Education Industry Based on the PEST Model’, </w:t>
      </w:r>
      <w:r w:rsidRPr="5394FC23" w:rsidR="221749B0">
        <w:rPr>
          <w:rFonts w:ascii="Arial" w:hAnsi="Arial" w:eastAsia="Arial" w:cs="Arial"/>
          <w:i w:val="1"/>
          <w:iCs w:val="1"/>
          <w:noProof w:val="0"/>
          <w:sz w:val="22"/>
          <w:szCs w:val="22"/>
          <w:lang w:val="en-GB"/>
        </w:rPr>
        <w:t>Applied mathematics and nonlinear sciences</w:t>
      </w:r>
      <w:r w:rsidRPr="5394FC23" w:rsidR="221749B0">
        <w:rPr>
          <w:rFonts w:ascii="Arial" w:hAnsi="Arial" w:eastAsia="Arial" w:cs="Arial"/>
          <w:noProof w:val="0"/>
          <w:sz w:val="22"/>
          <w:szCs w:val="22"/>
          <w:lang w:val="en-GB"/>
        </w:rPr>
        <w:t xml:space="preserve">, 8(2), pp. 2755–2764. Available at: </w:t>
      </w:r>
      <w:hyperlink r:id="Rc53cf7aec8b04121">
        <w:r w:rsidRPr="5394FC23" w:rsidR="221749B0">
          <w:rPr>
            <w:rStyle w:val="Hyperlink"/>
            <w:rFonts w:ascii="Arial" w:hAnsi="Arial" w:eastAsia="Arial" w:cs="Arial"/>
            <w:noProof w:val="0"/>
            <w:sz w:val="22"/>
            <w:szCs w:val="22"/>
            <w:lang w:val="en-GB"/>
          </w:rPr>
          <w:t>https://doi.org/10.2478/amns.2023.1.00455</w:t>
        </w:r>
      </w:hyperlink>
      <w:r w:rsidRPr="5394FC23" w:rsidR="221749B0">
        <w:rPr>
          <w:rFonts w:ascii="Arial" w:hAnsi="Arial" w:eastAsia="Arial" w:cs="Arial"/>
          <w:noProof w:val="0"/>
          <w:sz w:val="22"/>
          <w:szCs w:val="22"/>
          <w:lang w:val="en-GB"/>
        </w:rPr>
        <w:t>.</w:t>
      </w:r>
    </w:p>
    <w:p w:rsidR="5394FC23" w:rsidP="5394FC23" w:rsidRDefault="5394FC23" w14:paraId="1D748F90" w14:textId="32F8EB86">
      <w:pPr>
        <w:spacing w:before="0" w:beforeAutospacing="off" w:after="0" w:afterAutospacing="off" w:line="360" w:lineRule="auto"/>
        <w:rPr>
          <w:rFonts w:ascii="Arial" w:hAnsi="Arial" w:eastAsia="Arial" w:cs="Arial"/>
          <w:noProof w:val="0"/>
          <w:sz w:val="22"/>
          <w:szCs w:val="22"/>
          <w:lang w:val="en-GB"/>
        </w:rPr>
      </w:pPr>
    </w:p>
    <w:p w:rsidR="785937CD" w:rsidP="5394FC23" w:rsidRDefault="785937CD" w14:paraId="7C521803" w14:textId="1ACA3934">
      <w:pPr>
        <w:pStyle w:val="Normal"/>
        <w:spacing w:line="360" w:lineRule="auto"/>
        <w:rPr>
          <w:rFonts w:ascii="Arial" w:hAnsi="Arial" w:eastAsia="Arial" w:cs="Arial"/>
          <w:b w:val="0"/>
          <w:bCs w:val="0"/>
          <w:i w:val="0"/>
          <w:iCs w:val="0"/>
          <w:caps w:val="0"/>
          <w:smallCaps w:val="0"/>
          <w:color w:val="0F2741"/>
          <w:sz w:val="22"/>
          <w:szCs w:val="22"/>
        </w:rPr>
      </w:pPr>
      <w:r w:rsidRPr="5394FC23" w:rsidR="785937CD">
        <w:rPr>
          <w:rFonts w:ascii="Arial" w:hAnsi="Arial" w:eastAsia="Arial" w:cs="Arial"/>
          <w:b w:val="0"/>
          <w:bCs w:val="0"/>
          <w:i w:val="0"/>
          <w:iCs w:val="0"/>
          <w:caps w:val="0"/>
          <w:smallCaps w:val="0"/>
          <w:noProof w:val="0"/>
          <w:color w:val="000000" w:themeColor="text1" w:themeTint="FF" w:themeShade="FF"/>
          <w:sz w:val="22"/>
          <w:szCs w:val="22"/>
          <w:lang w:val="en-GB"/>
        </w:rPr>
        <w:t>Witherd</w:t>
      </w:r>
      <w:r w:rsidRPr="5394FC23" w:rsidR="28A63D47">
        <w:rPr>
          <w:rFonts w:ascii="Arial" w:hAnsi="Arial" w:eastAsia="Arial" w:cs="Arial"/>
          <w:b w:val="0"/>
          <w:bCs w:val="0"/>
          <w:i w:val="0"/>
          <w:iCs w:val="0"/>
          <w:caps w:val="0"/>
          <w:smallCaps w:val="0"/>
          <w:noProof w:val="0"/>
          <w:color w:val="000000" w:themeColor="text1" w:themeTint="FF" w:themeShade="FF"/>
          <w:sz w:val="22"/>
          <w:szCs w:val="22"/>
          <w:lang w:val="en-GB"/>
        </w:rPr>
        <w:t>e</w:t>
      </w:r>
      <w:r w:rsidRPr="5394FC23" w:rsidR="785937CD">
        <w:rPr>
          <w:rFonts w:ascii="Arial" w:hAnsi="Arial" w:eastAsia="Arial" w:cs="Arial"/>
          <w:b w:val="0"/>
          <w:bCs w:val="0"/>
          <w:i w:val="0"/>
          <w:iCs w:val="0"/>
          <w:caps w:val="0"/>
          <w:smallCaps w:val="0"/>
          <w:noProof w:val="0"/>
          <w:color w:val="000000" w:themeColor="text1" w:themeTint="FF" w:themeShade="FF"/>
          <w:sz w:val="22"/>
          <w:szCs w:val="22"/>
          <w:lang w:val="en-GB"/>
        </w:rPr>
        <w:t>n</w:t>
      </w:r>
      <w:r w:rsidRPr="5394FC23" w:rsidR="785937CD">
        <w:rPr>
          <w:rFonts w:ascii="Arial" w:hAnsi="Arial" w:eastAsia="Arial" w:cs="Arial"/>
          <w:b w:val="0"/>
          <w:bCs w:val="0"/>
          <w:i w:val="0"/>
          <w:iCs w:val="0"/>
          <w:caps w:val="0"/>
          <w:smallCaps w:val="0"/>
          <w:noProof w:val="0"/>
          <w:color w:val="000000" w:themeColor="text1" w:themeTint="FF" w:themeShade="FF"/>
          <w:sz w:val="22"/>
          <w:szCs w:val="22"/>
          <w:lang w:val="en-GB"/>
        </w:rPr>
        <w:t>, G. and Wilson, J (2024)</w:t>
      </w:r>
      <w:r w:rsidRPr="5394FC23" w:rsidR="40E64E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94FC23" w:rsidR="40E64E3C">
        <w:rPr>
          <w:rFonts w:ascii="Arial" w:hAnsi="Arial" w:eastAsia="Arial" w:cs="Arial"/>
          <w:b w:val="0"/>
          <w:bCs w:val="0"/>
          <w:i w:val="1"/>
          <w:iCs w:val="1"/>
          <w:caps w:val="0"/>
          <w:smallCaps w:val="0"/>
          <w:noProof w:val="0"/>
          <w:color w:val="000000" w:themeColor="text1" w:themeTint="FF" w:themeShade="FF"/>
          <w:sz w:val="22"/>
          <w:szCs w:val="22"/>
          <w:lang w:val="en-GB"/>
        </w:rPr>
        <w:t>L</w:t>
      </w:r>
      <w:r w:rsidRPr="5394FC23" w:rsidR="3655A956">
        <w:rPr>
          <w:rFonts w:ascii="Arial" w:hAnsi="Arial" w:eastAsia="Arial" w:cs="Arial"/>
          <w:b w:val="0"/>
          <w:bCs w:val="0"/>
          <w:i w:val="1"/>
          <w:iCs w:val="1"/>
          <w:caps w:val="0"/>
          <w:smallCaps w:val="0"/>
          <w:noProof w:val="0"/>
          <w:color w:val="000000" w:themeColor="text1" w:themeTint="FF" w:themeShade="FF"/>
          <w:sz w:val="22"/>
          <w:szCs w:val="22"/>
          <w:lang w:val="en-GB"/>
        </w:rPr>
        <w:t>loyds Banking Group to close 190 branches in 2024 and 102 in 2025</w:t>
      </w:r>
      <w:r w:rsidRPr="5394FC23" w:rsidR="47EBF88E">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5394FC23" w:rsidR="47EBF88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d05e6fd0c1904721">
        <w:r w:rsidRPr="5394FC23" w:rsidR="66585E42">
          <w:rPr>
            <w:rStyle w:val="Hyperlink"/>
            <w:rFonts w:ascii="Arial" w:hAnsi="Arial" w:eastAsia="Arial" w:cs="Arial"/>
            <w:b w:val="0"/>
            <w:bCs w:val="0"/>
            <w:i w:val="0"/>
            <w:iCs w:val="0"/>
            <w:caps w:val="0"/>
            <w:smallCaps w:val="0"/>
            <w:sz w:val="22"/>
            <w:szCs w:val="22"/>
          </w:rPr>
          <w:t>https://www.which.co.uk/news/article/lloyds-halifax-bank-of-scotland-bank-branch-closures-aim9B9r5MCSq</w:t>
        </w:r>
      </w:hyperlink>
      <w:r w:rsidRPr="5394FC23" w:rsidR="274424D6">
        <w:rPr>
          <w:rFonts w:ascii="Arial" w:hAnsi="Arial" w:eastAsia="Arial" w:cs="Arial"/>
          <w:b w:val="0"/>
          <w:bCs w:val="0"/>
          <w:i w:val="0"/>
          <w:iCs w:val="0"/>
          <w:caps w:val="0"/>
          <w:smallCaps w:val="0"/>
          <w:color w:val="0F2741"/>
          <w:sz w:val="22"/>
          <w:szCs w:val="22"/>
        </w:rPr>
        <w:t xml:space="preserve"> </w:t>
      </w:r>
      <w:r w:rsidRPr="5394FC23" w:rsidR="0BD46D6A">
        <w:rPr>
          <w:rFonts w:ascii="Arial" w:hAnsi="Arial" w:eastAsia="Arial" w:cs="Arial"/>
          <w:b w:val="0"/>
          <w:bCs w:val="0"/>
          <w:i w:val="0"/>
          <w:iCs w:val="0"/>
          <w:caps w:val="0"/>
          <w:smallCaps w:val="0"/>
          <w:color w:val="0F2741"/>
          <w:sz w:val="22"/>
          <w:szCs w:val="22"/>
        </w:rPr>
        <w:t xml:space="preserve"> </w:t>
      </w:r>
      <w:r w:rsidRPr="5394FC23" w:rsidR="4F625C40">
        <w:rPr>
          <w:rFonts w:ascii="Arial" w:hAnsi="Arial" w:eastAsia="Arial" w:cs="Arial"/>
          <w:b w:val="0"/>
          <w:bCs w:val="0"/>
          <w:i w:val="0"/>
          <w:iCs w:val="0"/>
          <w:caps w:val="0"/>
          <w:smallCaps w:val="0"/>
          <w:color w:val="0F2741"/>
          <w:sz w:val="22"/>
          <w:szCs w:val="22"/>
        </w:rPr>
        <w:t>(Date Accessed: 29.09.24)</w:t>
      </w:r>
    </w:p>
    <w:p w:rsidR="783DC1DF" w:rsidP="5394FC23" w:rsidRDefault="783DC1DF" w14:paraId="7158B22D" w14:textId="79D151AD">
      <w:pPr>
        <w:spacing w:before="0" w:beforeAutospacing="off" w:after="0" w:afterAutospacing="off" w:line="360" w:lineRule="auto"/>
        <w:rPr>
          <w:rFonts w:ascii="Arial" w:hAnsi="Arial" w:eastAsia="Arial" w:cs="Arial"/>
          <w:noProof w:val="0"/>
          <w:sz w:val="22"/>
          <w:szCs w:val="22"/>
          <w:lang w:val="en-GB"/>
        </w:rPr>
      </w:pPr>
      <w:r w:rsidRPr="5394FC23" w:rsidR="783DC1DF">
        <w:rPr>
          <w:rFonts w:ascii="Arial" w:hAnsi="Arial" w:eastAsia="Arial" w:cs="Arial"/>
          <w:noProof w:val="0"/>
          <w:sz w:val="22"/>
          <w:szCs w:val="22"/>
          <w:lang w:val="en-GB"/>
        </w:rPr>
        <w:t xml:space="preserve">Whittle, A. </w:t>
      </w:r>
      <w:r w:rsidRPr="5394FC23" w:rsidR="783DC1DF">
        <w:rPr>
          <w:rFonts w:ascii="Arial" w:hAnsi="Arial" w:eastAsia="Arial" w:cs="Arial"/>
          <w:i w:val="1"/>
          <w:iCs w:val="1"/>
          <w:noProof w:val="0"/>
          <w:sz w:val="22"/>
          <w:szCs w:val="22"/>
          <w:lang w:val="en-GB"/>
        </w:rPr>
        <w:t>et al.</w:t>
      </w:r>
      <w:r w:rsidRPr="5394FC23" w:rsidR="783DC1DF">
        <w:rPr>
          <w:rFonts w:ascii="Arial" w:hAnsi="Arial" w:eastAsia="Arial" w:cs="Arial"/>
          <w:noProof w:val="0"/>
          <w:sz w:val="22"/>
          <w:szCs w:val="22"/>
          <w:lang w:val="en-GB"/>
        </w:rPr>
        <w:t xml:space="preserve"> (2006) ‘The paradoxical repertoires of management consultancy’, </w:t>
      </w:r>
      <w:r w:rsidRPr="5394FC23" w:rsidR="783DC1DF">
        <w:rPr>
          <w:rFonts w:ascii="Arial" w:hAnsi="Arial" w:eastAsia="Arial" w:cs="Arial"/>
          <w:i w:val="1"/>
          <w:iCs w:val="1"/>
          <w:noProof w:val="0"/>
          <w:sz w:val="22"/>
          <w:szCs w:val="22"/>
          <w:lang w:val="en-GB"/>
        </w:rPr>
        <w:t>Journal of organizational change management</w:t>
      </w:r>
      <w:r w:rsidRPr="5394FC23" w:rsidR="783DC1DF">
        <w:rPr>
          <w:rFonts w:ascii="Arial" w:hAnsi="Arial" w:eastAsia="Arial" w:cs="Arial"/>
          <w:noProof w:val="0"/>
          <w:sz w:val="22"/>
          <w:szCs w:val="22"/>
          <w:lang w:val="en-GB"/>
        </w:rPr>
        <w:t xml:space="preserve">, 19(4), pp. 424–436. Available at: </w:t>
      </w:r>
      <w:hyperlink r:id="R5e053b9a1eab4151">
        <w:r w:rsidRPr="5394FC23" w:rsidR="783DC1DF">
          <w:rPr>
            <w:rStyle w:val="Hyperlink"/>
            <w:rFonts w:ascii="Arial" w:hAnsi="Arial" w:eastAsia="Arial" w:cs="Arial"/>
            <w:noProof w:val="0"/>
            <w:sz w:val="22"/>
            <w:szCs w:val="22"/>
            <w:lang w:val="en-GB"/>
          </w:rPr>
          <w:t>https://doi.org/10.1108/09534810610676635</w:t>
        </w:r>
      </w:hyperlink>
      <w:r w:rsidRPr="5394FC23" w:rsidR="783DC1DF">
        <w:rPr>
          <w:rFonts w:ascii="Arial" w:hAnsi="Arial" w:eastAsia="Arial" w:cs="Arial"/>
          <w:noProof w:val="0"/>
          <w:sz w:val="22"/>
          <w:szCs w:val="22"/>
          <w:lang w:val="en-GB"/>
        </w:rPr>
        <w:t>.</w:t>
      </w:r>
    </w:p>
    <w:p w:rsidR="5394FC23" w:rsidP="5394FC23" w:rsidRDefault="5394FC23" w14:paraId="1B9604BA" w14:textId="2363E391">
      <w:pPr>
        <w:pStyle w:val="Normal"/>
        <w:spacing w:line="360" w:lineRule="auto"/>
        <w:rPr>
          <w:rFonts w:ascii="Arial" w:hAnsi="Arial" w:eastAsia="Arial" w:cs="Arial"/>
          <w:b w:val="0"/>
          <w:bCs w:val="0"/>
          <w:i w:val="0"/>
          <w:iCs w:val="0"/>
          <w:caps w:val="0"/>
          <w:smallCaps w:val="0"/>
          <w:color w:val="0F2741"/>
          <w:sz w:val="22"/>
          <w:szCs w:val="22"/>
        </w:rPr>
      </w:pPr>
    </w:p>
    <w:p w:rsidR="6D66F1D9" w:rsidP="5394FC23" w:rsidRDefault="6D66F1D9" w14:paraId="159078A4" w14:textId="1A59F2AB">
      <w:pPr>
        <w:spacing w:before="0" w:beforeAutospacing="off" w:after="0" w:afterAutospacing="off" w:line="360" w:lineRule="auto"/>
        <w:rPr>
          <w:rFonts w:ascii="Arial" w:hAnsi="Arial" w:eastAsia="Arial" w:cs="Arial"/>
          <w:noProof w:val="0"/>
          <w:sz w:val="22"/>
          <w:szCs w:val="22"/>
          <w:lang w:val="en-GB"/>
        </w:rPr>
      </w:pPr>
      <w:r w:rsidRPr="5394FC23" w:rsidR="6D66F1D9">
        <w:rPr>
          <w:rFonts w:ascii="Arial" w:hAnsi="Arial" w:eastAsia="Arial" w:cs="Arial"/>
          <w:noProof w:val="0"/>
          <w:sz w:val="22"/>
          <w:szCs w:val="22"/>
          <w:lang w:val="en-GB"/>
        </w:rPr>
        <w:t xml:space="preserve">Yoshida, G. (2019) ‘COMPETITION WHERE BANKS AND FINTECH COMPANIES ARE STRONGER TOGETHER’, </w:t>
      </w:r>
      <w:r w:rsidRPr="5394FC23" w:rsidR="6D66F1D9">
        <w:rPr>
          <w:rFonts w:ascii="Arial" w:hAnsi="Arial" w:eastAsia="Arial" w:cs="Arial"/>
          <w:i w:val="1"/>
          <w:iCs w:val="1"/>
          <w:noProof w:val="0"/>
          <w:sz w:val="22"/>
          <w:szCs w:val="22"/>
          <w:lang w:val="en-GB"/>
        </w:rPr>
        <w:t>The RMA Journal</w:t>
      </w:r>
      <w:r w:rsidRPr="5394FC23" w:rsidR="6D66F1D9">
        <w:rPr>
          <w:rFonts w:ascii="Arial" w:hAnsi="Arial" w:eastAsia="Arial" w:cs="Arial"/>
          <w:noProof w:val="0"/>
          <w:sz w:val="22"/>
          <w:szCs w:val="22"/>
          <w:lang w:val="en-GB"/>
        </w:rPr>
        <w:t>, 101(7), pp. 48–53.</w:t>
      </w:r>
    </w:p>
    <w:p w:rsidR="5394FC23" w:rsidP="5394FC23" w:rsidRDefault="5394FC23" w14:paraId="66C5DA7D" w14:textId="30B27108">
      <w:pPr>
        <w:pStyle w:val="Normal"/>
        <w:spacing w:line="360" w:lineRule="auto"/>
        <w:rPr>
          <w:rFonts w:ascii="Arial" w:hAnsi="Arial" w:eastAsia="Arial" w:cs="Arial"/>
          <w:b w:val="0"/>
          <w:bCs w:val="0"/>
          <w:i w:val="0"/>
          <w:iCs w:val="0"/>
          <w:caps w:val="0"/>
          <w:smallCaps w:val="0"/>
          <w:color w:val="0F2741"/>
          <w:sz w:val="22"/>
          <w:szCs w:val="22"/>
        </w:rPr>
      </w:pPr>
    </w:p>
    <w:p w:rsidR="5394FC23" w:rsidP="5394FC23" w:rsidRDefault="5394FC23" w14:paraId="195A85C1" w14:textId="358F86EF">
      <w:pPr>
        <w:pStyle w:val="Normal"/>
        <w:rPr>
          <w:rFonts w:ascii="Arial" w:hAnsi="Arial" w:eastAsia="Arial" w:cs="Arial"/>
          <w:b w:val="0"/>
          <w:bCs w:val="0"/>
          <w:i w:val="0"/>
          <w:iCs w:val="0"/>
          <w:caps w:val="0"/>
          <w:smallCaps w:val="0"/>
          <w:color w:val="0F2741"/>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uqXTpHWrEkXCkU" int2:id="QBNe4rd0">
      <int2:state int2:type="AugLoop_Text_Critique" int2:value="Rejected"/>
    </int2:textHash>
    <int2:textHash int2:hashCode="ujSvW9yNTnJagq" int2:id="g0eaFbw9">
      <int2:state int2:type="AugLoop_Text_Critique" int2:value="Rejected"/>
    </int2:textHash>
    <int2:textHash int2:hashCode="G7jDQAlL65Ao3w" int2:id="kPGGuMtx">
      <int2:state int2:type="AugLoop_Text_Critique" int2:value="Rejected"/>
    </int2:textHash>
    <int2:textHash int2:hashCode="RhrB9iNNft3iyH" int2:id="RbHXKh7n">
      <int2:state int2:type="AugLoop_Text_Critique" int2:value="Rejected"/>
    </int2:textHash>
    <int2:textHash int2:hashCode="ewnzblLx/mgkkY" int2:id="bmnw7pwQ">
      <int2:state int2:type="AugLoop_Text_Critique" int2:value="Rejected"/>
    </int2:textHash>
    <int2:textHash int2:hashCode="S/GeKcF8gQ5lWC" int2:id="8wmqvKsF">
      <int2:state int2:type="AugLoop_Text_Critique" int2:value="Rejected"/>
    </int2:textHash>
    <int2:textHash int2:hashCode="dyApZRO/c0eDPU" int2:id="uCdgqBk4">
      <int2:state int2:type="AugLoop_Text_Critique" int2:value="Rejected"/>
    </int2:textHash>
    <int2:textHash int2:hashCode="DtqVd6dQBYy2QH" int2:id="pK123gNR">
      <int2:state int2:type="AugLoop_Text_Critique" int2:value="Rejected"/>
    </int2:textHash>
    <int2:textHash int2:hashCode="02sV+/DDGkdlPl" int2:id="1LYfktk9">
      <int2:state int2:type="AugLoop_Text_Critique" int2:value="Rejected"/>
    </int2:textHash>
    <int2:textHash int2:hashCode="MMqTrVu62kihoI" int2:id="ZSq2T4uy">
      <int2:state int2:type="AugLoop_Text_Critique" int2:value="Rejected"/>
    </int2:textHash>
    <int2:textHash int2:hashCode="wRpnI24lJfLrTO" int2:id="UaTkRJM0">
      <int2:state int2:type="AugLoop_Text_Critique" int2:value="Rejected"/>
    </int2:textHash>
    <int2:textHash int2:hashCode="XoztHLIjgaHgx0" int2:id="DUXOfa55">
      <int2:state int2:type="AugLoop_Text_Critique" int2:value="Rejected"/>
    </int2:textHash>
    <int2:textHash int2:hashCode="kByidkXaRxGvMx" int2:id="S273VEa4">
      <int2:state int2:type="AugLoop_Text_Critique" int2:value="Rejected"/>
    </int2:textHash>
    <int2:bookmark int2:bookmarkName="_Int_zljxyYZ0" int2:invalidationBookmarkName="" int2:hashCode="stOUX2LmyIISPa" int2:id="FfmlMGZx">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31fd83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5425E7"/>
    <w:rsid w:val="003E4218"/>
    <w:rsid w:val="003FFF24"/>
    <w:rsid w:val="00552FFF"/>
    <w:rsid w:val="005F0CE8"/>
    <w:rsid w:val="006AB711"/>
    <w:rsid w:val="007CBB53"/>
    <w:rsid w:val="007F3E2B"/>
    <w:rsid w:val="00947EF3"/>
    <w:rsid w:val="009483E9"/>
    <w:rsid w:val="00D7EA72"/>
    <w:rsid w:val="00D95953"/>
    <w:rsid w:val="00DCB0D3"/>
    <w:rsid w:val="00FB7A2A"/>
    <w:rsid w:val="012328FF"/>
    <w:rsid w:val="012A1906"/>
    <w:rsid w:val="01422D44"/>
    <w:rsid w:val="014836B3"/>
    <w:rsid w:val="0166EF25"/>
    <w:rsid w:val="016C3277"/>
    <w:rsid w:val="018E14BB"/>
    <w:rsid w:val="019B4AFE"/>
    <w:rsid w:val="019FB31D"/>
    <w:rsid w:val="01A52951"/>
    <w:rsid w:val="01EAD50C"/>
    <w:rsid w:val="0202ACD9"/>
    <w:rsid w:val="021D9D20"/>
    <w:rsid w:val="024DF2F1"/>
    <w:rsid w:val="02581806"/>
    <w:rsid w:val="02648B7F"/>
    <w:rsid w:val="02859798"/>
    <w:rsid w:val="028F1D04"/>
    <w:rsid w:val="029F3430"/>
    <w:rsid w:val="02B2A77D"/>
    <w:rsid w:val="02FB5D3A"/>
    <w:rsid w:val="0319E216"/>
    <w:rsid w:val="036FBA4A"/>
    <w:rsid w:val="0387FD44"/>
    <w:rsid w:val="0389C394"/>
    <w:rsid w:val="03BE07CF"/>
    <w:rsid w:val="0408A26F"/>
    <w:rsid w:val="0409F78C"/>
    <w:rsid w:val="0417B59A"/>
    <w:rsid w:val="045D81E9"/>
    <w:rsid w:val="046767BA"/>
    <w:rsid w:val="048E58DA"/>
    <w:rsid w:val="04EAB7E4"/>
    <w:rsid w:val="05081A57"/>
    <w:rsid w:val="054BB65E"/>
    <w:rsid w:val="055638F3"/>
    <w:rsid w:val="058B7D80"/>
    <w:rsid w:val="05A3AEAA"/>
    <w:rsid w:val="05A4BDE5"/>
    <w:rsid w:val="05BC8420"/>
    <w:rsid w:val="060346D3"/>
    <w:rsid w:val="060D6221"/>
    <w:rsid w:val="0646A92D"/>
    <w:rsid w:val="064A41BF"/>
    <w:rsid w:val="0696E5E7"/>
    <w:rsid w:val="06BDD4C9"/>
    <w:rsid w:val="06BE1201"/>
    <w:rsid w:val="06CEC3F0"/>
    <w:rsid w:val="06FCA4BB"/>
    <w:rsid w:val="07022FF4"/>
    <w:rsid w:val="071A8A3D"/>
    <w:rsid w:val="07700228"/>
    <w:rsid w:val="0781DB72"/>
    <w:rsid w:val="07825096"/>
    <w:rsid w:val="07855258"/>
    <w:rsid w:val="07A35562"/>
    <w:rsid w:val="07AAE332"/>
    <w:rsid w:val="07AD4826"/>
    <w:rsid w:val="07C38CBF"/>
    <w:rsid w:val="07EC84E0"/>
    <w:rsid w:val="081BBA84"/>
    <w:rsid w:val="081BBA84"/>
    <w:rsid w:val="082CEC09"/>
    <w:rsid w:val="085F5FDD"/>
    <w:rsid w:val="08A3B05F"/>
    <w:rsid w:val="08A6FBC5"/>
    <w:rsid w:val="08AB1A46"/>
    <w:rsid w:val="08BA1C4F"/>
    <w:rsid w:val="08D89B7E"/>
    <w:rsid w:val="0909CDFC"/>
    <w:rsid w:val="094CEEF4"/>
    <w:rsid w:val="0955CC6A"/>
    <w:rsid w:val="095D0729"/>
    <w:rsid w:val="09701E0B"/>
    <w:rsid w:val="0972276D"/>
    <w:rsid w:val="0974442A"/>
    <w:rsid w:val="099DA6B4"/>
    <w:rsid w:val="09B4DE6D"/>
    <w:rsid w:val="09B83C52"/>
    <w:rsid w:val="09BEFA1E"/>
    <w:rsid w:val="09E994F0"/>
    <w:rsid w:val="09F467E5"/>
    <w:rsid w:val="0A013175"/>
    <w:rsid w:val="0A0F484B"/>
    <w:rsid w:val="0A3BB0FA"/>
    <w:rsid w:val="0AB25E9E"/>
    <w:rsid w:val="0ABCF34B"/>
    <w:rsid w:val="0ACC1484"/>
    <w:rsid w:val="0B217C56"/>
    <w:rsid w:val="0B558984"/>
    <w:rsid w:val="0B59A366"/>
    <w:rsid w:val="0BCEA1F0"/>
    <w:rsid w:val="0BD46D6A"/>
    <w:rsid w:val="0C052FCD"/>
    <w:rsid w:val="0C17B78F"/>
    <w:rsid w:val="0C27443A"/>
    <w:rsid w:val="0C27F472"/>
    <w:rsid w:val="0C2BB174"/>
    <w:rsid w:val="0C48970C"/>
    <w:rsid w:val="0C4C32FB"/>
    <w:rsid w:val="0C80BFD3"/>
    <w:rsid w:val="0CA20999"/>
    <w:rsid w:val="0CAA5768"/>
    <w:rsid w:val="0CADADC0"/>
    <w:rsid w:val="0CB4A17C"/>
    <w:rsid w:val="0CBFA563"/>
    <w:rsid w:val="0CE20F02"/>
    <w:rsid w:val="0CF88171"/>
    <w:rsid w:val="0D101B60"/>
    <w:rsid w:val="0D271C22"/>
    <w:rsid w:val="0D463093"/>
    <w:rsid w:val="0D69A2B8"/>
    <w:rsid w:val="0D69F0EF"/>
    <w:rsid w:val="0DAD129D"/>
    <w:rsid w:val="0DC3FA9B"/>
    <w:rsid w:val="0DC4BD94"/>
    <w:rsid w:val="0DFC99D1"/>
    <w:rsid w:val="0E09DC03"/>
    <w:rsid w:val="0E2AB28F"/>
    <w:rsid w:val="0E463495"/>
    <w:rsid w:val="0E7733AB"/>
    <w:rsid w:val="0E7BBBD2"/>
    <w:rsid w:val="0E9DECFC"/>
    <w:rsid w:val="0ED8B48B"/>
    <w:rsid w:val="0F1BA5B7"/>
    <w:rsid w:val="0F5C3B92"/>
    <w:rsid w:val="0F90A7E5"/>
    <w:rsid w:val="0FBFE70E"/>
    <w:rsid w:val="0FE1CD19"/>
    <w:rsid w:val="0FE221AE"/>
    <w:rsid w:val="0FFDF1F0"/>
    <w:rsid w:val="1019A036"/>
    <w:rsid w:val="1024B746"/>
    <w:rsid w:val="10319078"/>
    <w:rsid w:val="10478E2B"/>
    <w:rsid w:val="1047BC4C"/>
    <w:rsid w:val="1048D634"/>
    <w:rsid w:val="10582B7D"/>
    <w:rsid w:val="105A7A94"/>
    <w:rsid w:val="106D0B80"/>
    <w:rsid w:val="106D0B80"/>
    <w:rsid w:val="107A6E75"/>
    <w:rsid w:val="107B1845"/>
    <w:rsid w:val="10BA27E1"/>
    <w:rsid w:val="10F06743"/>
    <w:rsid w:val="110E728C"/>
    <w:rsid w:val="1126BD22"/>
    <w:rsid w:val="11798F52"/>
    <w:rsid w:val="119B975E"/>
    <w:rsid w:val="11CED61D"/>
    <w:rsid w:val="11D175F1"/>
    <w:rsid w:val="12366CFC"/>
    <w:rsid w:val="12385216"/>
    <w:rsid w:val="124125FD"/>
    <w:rsid w:val="1275D823"/>
    <w:rsid w:val="127ED637"/>
    <w:rsid w:val="12D1B3DA"/>
    <w:rsid w:val="12D2E42F"/>
    <w:rsid w:val="12DE4512"/>
    <w:rsid w:val="12F1A3F3"/>
    <w:rsid w:val="12F2501A"/>
    <w:rsid w:val="1329AE6D"/>
    <w:rsid w:val="134693D9"/>
    <w:rsid w:val="134F6D34"/>
    <w:rsid w:val="13518E58"/>
    <w:rsid w:val="138D8C13"/>
    <w:rsid w:val="13C8C6D7"/>
    <w:rsid w:val="13EAD35C"/>
    <w:rsid w:val="1445C9B6"/>
    <w:rsid w:val="1457A168"/>
    <w:rsid w:val="1494D8CD"/>
    <w:rsid w:val="14C09903"/>
    <w:rsid w:val="14C4A4CF"/>
    <w:rsid w:val="14EB2C62"/>
    <w:rsid w:val="14FD73FE"/>
    <w:rsid w:val="151FDFD2"/>
    <w:rsid w:val="1521335F"/>
    <w:rsid w:val="153D7DFB"/>
    <w:rsid w:val="154AD563"/>
    <w:rsid w:val="159831F8"/>
    <w:rsid w:val="15BDC021"/>
    <w:rsid w:val="15E0BA3A"/>
    <w:rsid w:val="15E88864"/>
    <w:rsid w:val="15EB5AF6"/>
    <w:rsid w:val="163ABBA8"/>
    <w:rsid w:val="167C7B43"/>
    <w:rsid w:val="16B75F7C"/>
    <w:rsid w:val="16BC0732"/>
    <w:rsid w:val="16DDA72E"/>
    <w:rsid w:val="17124047"/>
    <w:rsid w:val="174EBF69"/>
    <w:rsid w:val="1757B4CA"/>
    <w:rsid w:val="176658A5"/>
    <w:rsid w:val="17714329"/>
    <w:rsid w:val="1777C52F"/>
    <w:rsid w:val="1798F1E6"/>
    <w:rsid w:val="180A32B7"/>
    <w:rsid w:val="182B69C1"/>
    <w:rsid w:val="1839C989"/>
    <w:rsid w:val="18922085"/>
    <w:rsid w:val="189BE5F8"/>
    <w:rsid w:val="18B06107"/>
    <w:rsid w:val="18B88C4A"/>
    <w:rsid w:val="18C0EECD"/>
    <w:rsid w:val="18CD4A30"/>
    <w:rsid w:val="192F46C8"/>
    <w:rsid w:val="1941DDFF"/>
    <w:rsid w:val="19566B05"/>
    <w:rsid w:val="19570DA6"/>
    <w:rsid w:val="195B4834"/>
    <w:rsid w:val="19683D3F"/>
    <w:rsid w:val="19761836"/>
    <w:rsid w:val="19CCBA2F"/>
    <w:rsid w:val="19D8783D"/>
    <w:rsid w:val="19DF9E99"/>
    <w:rsid w:val="1A57C45A"/>
    <w:rsid w:val="1A815E54"/>
    <w:rsid w:val="1AA81AF9"/>
    <w:rsid w:val="1AF16BC8"/>
    <w:rsid w:val="1AFB3192"/>
    <w:rsid w:val="1B1917EA"/>
    <w:rsid w:val="1B308B41"/>
    <w:rsid w:val="1B41CEAB"/>
    <w:rsid w:val="1B51987E"/>
    <w:rsid w:val="1B74622E"/>
    <w:rsid w:val="1BA0FF5F"/>
    <w:rsid w:val="1BB31325"/>
    <w:rsid w:val="1BB73AF9"/>
    <w:rsid w:val="1BD090EE"/>
    <w:rsid w:val="1BE866E1"/>
    <w:rsid w:val="1BFFCEAC"/>
    <w:rsid w:val="1C1B596C"/>
    <w:rsid w:val="1C80CA68"/>
    <w:rsid w:val="1C8B00D7"/>
    <w:rsid w:val="1C9B7BD6"/>
    <w:rsid w:val="1CC2D802"/>
    <w:rsid w:val="1CF82825"/>
    <w:rsid w:val="1D4E11DA"/>
    <w:rsid w:val="1D5DF3E7"/>
    <w:rsid w:val="1D62B407"/>
    <w:rsid w:val="1D927BEA"/>
    <w:rsid w:val="1DF79534"/>
    <w:rsid w:val="1E1F7611"/>
    <w:rsid w:val="1E264898"/>
    <w:rsid w:val="1E398255"/>
    <w:rsid w:val="1E432345"/>
    <w:rsid w:val="1E5425E7"/>
    <w:rsid w:val="1E689F86"/>
    <w:rsid w:val="1EAB9022"/>
    <w:rsid w:val="1EB70453"/>
    <w:rsid w:val="1EE6471D"/>
    <w:rsid w:val="1EEDC5DB"/>
    <w:rsid w:val="1F0442D4"/>
    <w:rsid w:val="1F1839B8"/>
    <w:rsid w:val="1F6AE4F7"/>
    <w:rsid w:val="1F72F832"/>
    <w:rsid w:val="1F99CB3F"/>
    <w:rsid w:val="1FEEBAE3"/>
    <w:rsid w:val="1FFC869C"/>
    <w:rsid w:val="1FFC869C"/>
    <w:rsid w:val="20056024"/>
    <w:rsid w:val="2019FCC2"/>
    <w:rsid w:val="201CB335"/>
    <w:rsid w:val="2048DFC4"/>
    <w:rsid w:val="20779E6F"/>
    <w:rsid w:val="2080A667"/>
    <w:rsid w:val="20981C0C"/>
    <w:rsid w:val="20E39696"/>
    <w:rsid w:val="20E96DAF"/>
    <w:rsid w:val="2114C71F"/>
    <w:rsid w:val="21632D9E"/>
    <w:rsid w:val="21760AF9"/>
    <w:rsid w:val="21836EAD"/>
    <w:rsid w:val="21875256"/>
    <w:rsid w:val="218E4D06"/>
    <w:rsid w:val="219F9946"/>
    <w:rsid w:val="21A3BF35"/>
    <w:rsid w:val="21AAC027"/>
    <w:rsid w:val="21AFED7A"/>
    <w:rsid w:val="21B08066"/>
    <w:rsid w:val="21CA28FE"/>
    <w:rsid w:val="21CC2354"/>
    <w:rsid w:val="21CE6496"/>
    <w:rsid w:val="221749B0"/>
    <w:rsid w:val="22215E86"/>
    <w:rsid w:val="22935EBC"/>
    <w:rsid w:val="22A0E0E3"/>
    <w:rsid w:val="22B571F2"/>
    <w:rsid w:val="22C8B451"/>
    <w:rsid w:val="22D00982"/>
    <w:rsid w:val="22DB22C6"/>
    <w:rsid w:val="22F23A98"/>
    <w:rsid w:val="22FDDA47"/>
    <w:rsid w:val="2320F806"/>
    <w:rsid w:val="2345451A"/>
    <w:rsid w:val="23530C45"/>
    <w:rsid w:val="237D94C4"/>
    <w:rsid w:val="23914940"/>
    <w:rsid w:val="23CE404F"/>
    <w:rsid w:val="23FCC083"/>
    <w:rsid w:val="23FCE091"/>
    <w:rsid w:val="2434D76F"/>
    <w:rsid w:val="244794CE"/>
    <w:rsid w:val="24888554"/>
    <w:rsid w:val="2493857E"/>
    <w:rsid w:val="2498B187"/>
    <w:rsid w:val="24AD2773"/>
    <w:rsid w:val="24DD75FF"/>
    <w:rsid w:val="24FEA819"/>
    <w:rsid w:val="25387041"/>
    <w:rsid w:val="253BB407"/>
    <w:rsid w:val="256903FB"/>
    <w:rsid w:val="256A71AC"/>
    <w:rsid w:val="257575C5"/>
    <w:rsid w:val="2576E4F6"/>
    <w:rsid w:val="25CB2B08"/>
    <w:rsid w:val="25EBE824"/>
    <w:rsid w:val="260D4A38"/>
    <w:rsid w:val="262526EF"/>
    <w:rsid w:val="2629E382"/>
    <w:rsid w:val="264E0308"/>
    <w:rsid w:val="2666ACB7"/>
    <w:rsid w:val="2678B17B"/>
    <w:rsid w:val="26A49291"/>
    <w:rsid w:val="26C97F6E"/>
    <w:rsid w:val="26C9B374"/>
    <w:rsid w:val="27197424"/>
    <w:rsid w:val="274424D6"/>
    <w:rsid w:val="27615D42"/>
    <w:rsid w:val="2776FFA4"/>
    <w:rsid w:val="2789B4FD"/>
    <w:rsid w:val="27CDF25F"/>
    <w:rsid w:val="27DD548D"/>
    <w:rsid w:val="27FC3BC8"/>
    <w:rsid w:val="27FF2CA8"/>
    <w:rsid w:val="284840B3"/>
    <w:rsid w:val="286989B8"/>
    <w:rsid w:val="2878B79E"/>
    <w:rsid w:val="28802F2D"/>
    <w:rsid w:val="2880B902"/>
    <w:rsid w:val="289320C5"/>
    <w:rsid w:val="28A63D47"/>
    <w:rsid w:val="28AEC7AF"/>
    <w:rsid w:val="28C6B8A5"/>
    <w:rsid w:val="28D1CFD0"/>
    <w:rsid w:val="28DBCA9B"/>
    <w:rsid w:val="29332647"/>
    <w:rsid w:val="2950D5A8"/>
    <w:rsid w:val="2959CC76"/>
    <w:rsid w:val="295D3B8C"/>
    <w:rsid w:val="29805FCC"/>
    <w:rsid w:val="2996BDBE"/>
    <w:rsid w:val="29A853A0"/>
    <w:rsid w:val="29BEFF1E"/>
    <w:rsid w:val="29C8EB94"/>
    <w:rsid w:val="29DCDD28"/>
    <w:rsid w:val="2A056447"/>
    <w:rsid w:val="2A717B1A"/>
    <w:rsid w:val="2A736AF2"/>
    <w:rsid w:val="2A9E3378"/>
    <w:rsid w:val="2AB9DD21"/>
    <w:rsid w:val="2AC2FC3F"/>
    <w:rsid w:val="2AC7ED5F"/>
    <w:rsid w:val="2AE14FD3"/>
    <w:rsid w:val="2AE25293"/>
    <w:rsid w:val="2B1B77E9"/>
    <w:rsid w:val="2B2A9633"/>
    <w:rsid w:val="2B5EB6D3"/>
    <w:rsid w:val="2B918AB3"/>
    <w:rsid w:val="2BAAEAC6"/>
    <w:rsid w:val="2BBF3020"/>
    <w:rsid w:val="2BCCE3EA"/>
    <w:rsid w:val="2BCDAD54"/>
    <w:rsid w:val="2BE0C4FF"/>
    <w:rsid w:val="2BF5295E"/>
    <w:rsid w:val="2C455EA2"/>
    <w:rsid w:val="2C6C7E18"/>
    <w:rsid w:val="2C74BAD6"/>
    <w:rsid w:val="2C86ADEA"/>
    <w:rsid w:val="2CC11C86"/>
    <w:rsid w:val="2CDEEB90"/>
    <w:rsid w:val="2CF23D5A"/>
    <w:rsid w:val="2CF65AE7"/>
    <w:rsid w:val="2D141D01"/>
    <w:rsid w:val="2D496458"/>
    <w:rsid w:val="2D4E56D6"/>
    <w:rsid w:val="2D60F155"/>
    <w:rsid w:val="2DA3C09F"/>
    <w:rsid w:val="2DB73E20"/>
    <w:rsid w:val="2DEDFF51"/>
    <w:rsid w:val="2E288856"/>
    <w:rsid w:val="2E49CA8E"/>
    <w:rsid w:val="2E564D2A"/>
    <w:rsid w:val="2E59AFBF"/>
    <w:rsid w:val="2E61A4EE"/>
    <w:rsid w:val="2E70B306"/>
    <w:rsid w:val="2EA8B8DD"/>
    <w:rsid w:val="2EFCB47B"/>
    <w:rsid w:val="2F244BE5"/>
    <w:rsid w:val="2F3145C2"/>
    <w:rsid w:val="2F3E06FD"/>
    <w:rsid w:val="2F8B36AC"/>
    <w:rsid w:val="2FD93F3A"/>
    <w:rsid w:val="300A98D9"/>
    <w:rsid w:val="306E6B54"/>
    <w:rsid w:val="307225A5"/>
    <w:rsid w:val="30F3C8C5"/>
    <w:rsid w:val="3109EC83"/>
    <w:rsid w:val="31111650"/>
    <w:rsid w:val="311A74BA"/>
    <w:rsid w:val="312A49B8"/>
    <w:rsid w:val="316534AA"/>
    <w:rsid w:val="31666664"/>
    <w:rsid w:val="31714294"/>
    <w:rsid w:val="3176D0A7"/>
    <w:rsid w:val="31798C16"/>
    <w:rsid w:val="317F30C4"/>
    <w:rsid w:val="31950D7A"/>
    <w:rsid w:val="319565F9"/>
    <w:rsid w:val="31DD7079"/>
    <w:rsid w:val="31EA5A16"/>
    <w:rsid w:val="31EFDFC6"/>
    <w:rsid w:val="3207FF77"/>
    <w:rsid w:val="322872B5"/>
    <w:rsid w:val="3258E6A9"/>
    <w:rsid w:val="325E6D56"/>
    <w:rsid w:val="326823C4"/>
    <w:rsid w:val="326B5A5B"/>
    <w:rsid w:val="327EFD64"/>
    <w:rsid w:val="329D3E5A"/>
    <w:rsid w:val="32AFAD19"/>
    <w:rsid w:val="32B8C7A6"/>
    <w:rsid w:val="3308F08C"/>
    <w:rsid w:val="3320D448"/>
    <w:rsid w:val="3327D6E9"/>
    <w:rsid w:val="33BA593C"/>
    <w:rsid w:val="33CACFBD"/>
    <w:rsid w:val="341C47DF"/>
    <w:rsid w:val="34397AC5"/>
    <w:rsid w:val="345B6766"/>
    <w:rsid w:val="34689485"/>
    <w:rsid w:val="346D79D8"/>
    <w:rsid w:val="3486C3B9"/>
    <w:rsid w:val="348E0C7F"/>
    <w:rsid w:val="349928D7"/>
    <w:rsid w:val="34C966FE"/>
    <w:rsid w:val="34F3202E"/>
    <w:rsid w:val="3500D1D6"/>
    <w:rsid w:val="3503AD0A"/>
    <w:rsid w:val="350B8E74"/>
    <w:rsid w:val="350E32BE"/>
    <w:rsid w:val="3587380D"/>
    <w:rsid w:val="359DEC3A"/>
    <w:rsid w:val="35B9A720"/>
    <w:rsid w:val="35D924EC"/>
    <w:rsid w:val="35E9F193"/>
    <w:rsid w:val="36075B6E"/>
    <w:rsid w:val="36198D1C"/>
    <w:rsid w:val="36386F3C"/>
    <w:rsid w:val="364BFFBE"/>
    <w:rsid w:val="364EC892"/>
    <w:rsid w:val="3655A956"/>
    <w:rsid w:val="3690ED05"/>
    <w:rsid w:val="36B37A99"/>
    <w:rsid w:val="36D3C47D"/>
    <w:rsid w:val="36D813EA"/>
    <w:rsid w:val="374460DB"/>
    <w:rsid w:val="374A960C"/>
    <w:rsid w:val="3754733D"/>
    <w:rsid w:val="37702A66"/>
    <w:rsid w:val="37730FA7"/>
    <w:rsid w:val="37848052"/>
    <w:rsid w:val="3786BF3E"/>
    <w:rsid w:val="37A01DB2"/>
    <w:rsid w:val="37B78BA5"/>
    <w:rsid w:val="37C9A435"/>
    <w:rsid w:val="37F87BA2"/>
    <w:rsid w:val="38335716"/>
    <w:rsid w:val="3840A6B7"/>
    <w:rsid w:val="38739481"/>
    <w:rsid w:val="38B10661"/>
    <w:rsid w:val="38C1CBEE"/>
    <w:rsid w:val="391E46DF"/>
    <w:rsid w:val="39396574"/>
    <w:rsid w:val="394711E6"/>
    <w:rsid w:val="395B62DE"/>
    <w:rsid w:val="39A16A32"/>
    <w:rsid w:val="39DC46E4"/>
    <w:rsid w:val="39E3843F"/>
    <w:rsid w:val="3A11775F"/>
    <w:rsid w:val="3A513F8C"/>
    <w:rsid w:val="3A71FF2D"/>
    <w:rsid w:val="3A7C8007"/>
    <w:rsid w:val="3A996822"/>
    <w:rsid w:val="3AAA30C5"/>
    <w:rsid w:val="3AAA50EF"/>
    <w:rsid w:val="3AC840BB"/>
    <w:rsid w:val="3AD371D7"/>
    <w:rsid w:val="3ADA1BEE"/>
    <w:rsid w:val="3AE1C9CD"/>
    <w:rsid w:val="3AF20C0A"/>
    <w:rsid w:val="3B13C469"/>
    <w:rsid w:val="3B7389EB"/>
    <w:rsid w:val="3B96A65B"/>
    <w:rsid w:val="3BD07480"/>
    <w:rsid w:val="3BD3771F"/>
    <w:rsid w:val="3CA0F5D9"/>
    <w:rsid w:val="3CA9C9EB"/>
    <w:rsid w:val="3CAAE9A8"/>
    <w:rsid w:val="3CC0BACD"/>
    <w:rsid w:val="3D157A70"/>
    <w:rsid w:val="3D27BE0D"/>
    <w:rsid w:val="3D79EFE5"/>
    <w:rsid w:val="3D7ECC05"/>
    <w:rsid w:val="3DD32175"/>
    <w:rsid w:val="3DF64F21"/>
    <w:rsid w:val="3E2B5B52"/>
    <w:rsid w:val="3E8FFD11"/>
    <w:rsid w:val="3E93FC05"/>
    <w:rsid w:val="3EBA8E2A"/>
    <w:rsid w:val="3ED5449D"/>
    <w:rsid w:val="3EF548FA"/>
    <w:rsid w:val="3EFBD287"/>
    <w:rsid w:val="3F153E4E"/>
    <w:rsid w:val="3F1E2888"/>
    <w:rsid w:val="3F21FBC6"/>
    <w:rsid w:val="3F508700"/>
    <w:rsid w:val="3F80FAD7"/>
    <w:rsid w:val="3F84D024"/>
    <w:rsid w:val="3FA09D49"/>
    <w:rsid w:val="3FB0A6D4"/>
    <w:rsid w:val="3FB4D816"/>
    <w:rsid w:val="3FCFBB29"/>
    <w:rsid w:val="3FD0261B"/>
    <w:rsid w:val="401111FE"/>
    <w:rsid w:val="403ABC29"/>
    <w:rsid w:val="40433412"/>
    <w:rsid w:val="40469B73"/>
    <w:rsid w:val="4047A12A"/>
    <w:rsid w:val="40AA2442"/>
    <w:rsid w:val="40AA6225"/>
    <w:rsid w:val="40CD5CBA"/>
    <w:rsid w:val="40E64E3C"/>
    <w:rsid w:val="410F8E89"/>
    <w:rsid w:val="4114E8C0"/>
    <w:rsid w:val="412B230B"/>
    <w:rsid w:val="413ACED4"/>
    <w:rsid w:val="41641A13"/>
    <w:rsid w:val="416B9D7D"/>
    <w:rsid w:val="41724105"/>
    <w:rsid w:val="4179CE61"/>
    <w:rsid w:val="418C4B5E"/>
    <w:rsid w:val="41AFE8B1"/>
    <w:rsid w:val="41C8249E"/>
    <w:rsid w:val="41F0B1C0"/>
    <w:rsid w:val="41F58BFC"/>
    <w:rsid w:val="420E8620"/>
    <w:rsid w:val="4212F0E8"/>
    <w:rsid w:val="421885E9"/>
    <w:rsid w:val="421CF793"/>
    <w:rsid w:val="422545ED"/>
    <w:rsid w:val="426A3532"/>
    <w:rsid w:val="42748FBC"/>
    <w:rsid w:val="42793434"/>
    <w:rsid w:val="428046D7"/>
    <w:rsid w:val="4288FC1E"/>
    <w:rsid w:val="428B70DF"/>
    <w:rsid w:val="42A17266"/>
    <w:rsid w:val="42A365AC"/>
    <w:rsid w:val="42F96741"/>
    <w:rsid w:val="42FCD75A"/>
    <w:rsid w:val="42FD5257"/>
    <w:rsid w:val="43001140"/>
    <w:rsid w:val="4330760B"/>
    <w:rsid w:val="4337AE1B"/>
    <w:rsid w:val="4345F32C"/>
    <w:rsid w:val="434C98CD"/>
    <w:rsid w:val="43C457F5"/>
    <w:rsid w:val="441290B5"/>
    <w:rsid w:val="441554AF"/>
    <w:rsid w:val="441606C8"/>
    <w:rsid w:val="44233D0E"/>
    <w:rsid w:val="44241FF3"/>
    <w:rsid w:val="4426EDF8"/>
    <w:rsid w:val="44407D92"/>
    <w:rsid w:val="44536A04"/>
    <w:rsid w:val="44598797"/>
    <w:rsid w:val="44620A78"/>
    <w:rsid w:val="447FE810"/>
    <w:rsid w:val="449C2830"/>
    <w:rsid w:val="44AC2F07"/>
    <w:rsid w:val="44CA5687"/>
    <w:rsid w:val="44E55658"/>
    <w:rsid w:val="4525CE44"/>
    <w:rsid w:val="452FDB5D"/>
    <w:rsid w:val="4543DA3D"/>
    <w:rsid w:val="4563D4A3"/>
    <w:rsid w:val="45808442"/>
    <w:rsid w:val="459A3679"/>
    <w:rsid w:val="459B4B4B"/>
    <w:rsid w:val="45AE39B5"/>
    <w:rsid w:val="45D7C991"/>
    <w:rsid w:val="45E854A5"/>
    <w:rsid w:val="461C49FC"/>
    <w:rsid w:val="462FD725"/>
    <w:rsid w:val="467327F9"/>
    <w:rsid w:val="46807794"/>
    <w:rsid w:val="469EF3A0"/>
    <w:rsid w:val="46A8AF01"/>
    <w:rsid w:val="46B7C024"/>
    <w:rsid w:val="47078704"/>
    <w:rsid w:val="4713C3A5"/>
    <w:rsid w:val="4746E9E6"/>
    <w:rsid w:val="476EEE80"/>
    <w:rsid w:val="47D06031"/>
    <w:rsid w:val="47EBF88E"/>
    <w:rsid w:val="47F71C13"/>
    <w:rsid w:val="48098987"/>
    <w:rsid w:val="48117A1D"/>
    <w:rsid w:val="48143B45"/>
    <w:rsid w:val="484853BB"/>
    <w:rsid w:val="4885EED3"/>
    <w:rsid w:val="48AED7A8"/>
    <w:rsid w:val="48CB3114"/>
    <w:rsid w:val="48DD35B3"/>
    <w:rsid w:val="48E5E390"/>
    <w:rsid w:val="492EC052"/>
    <w:rsid w:val="492FA44A"/>
    <w:rsid w:val="49424818"/>
    <w:rsid w:val="4962840B"/>
    <w:rsid w:val="49C02DE8"/>
    <w:rsid w:val="49C994C0"/>
    <w:rsid w:val="49F7DEA1"/>
    <w:rsid w:val="4A00AE2A"/>
    <w:rsid w:val="4A0F3134"/>
    <w:rsid w:val="4A60B8F7"/>
    <w:rsid w:val="4A69A79C"/>
    <w:rsid w:val="4A7AB414"/>
    <w:rsid w:val="4ADE72C3"/>
    <w:rsid w:val="4AF0BAFD"/>
    <w:rsid w:val="4B5B6A4B"/>
    <w:rsid w:val="4B9F40CA"/>
    <w:rsid w:val="4BC69E37"/>
    <w:rsid w:val="4BCE7EC5"/>
    <w:rsid w:val="4BD0FA82"/>
    <w:rsid w:val="4C2F4F9B"/>
    <w:rsid w:val="4C3893B3"/>
    <w:rsid w:val="4C401DB0"/>
    <w:rsid w:val="4CBAF62B"/>
    <w:rsid w:val="4CBEF57E"/>
    <w:rsid w:val="4D137A2E"/>
    <w:rsid w:val="4D287AFE"/>
    <w:rsid w:val="4D505BAB"/>
    <w:rsid w:val="4D76C7E5"/>
    <w:rsid w:val="4D7CD988"/>
    <w:rsid w:val="4DB42321"/>
    <w:rsid w:val="4DC5FED7"/>
    <w:rsid w:val="4DD61A92"/>
    <w:rsid w:val="4DE095F3"/>
    <w:rsid w:val="4DEBB951"/>
    <w:rsid w:val="4DF29872"/>
    <w:rsid w:val="4DF489F9"/>
    <w:rsid w:val="4DF6BCBC"/>
    <w:rsid w:val="4E0BFAC7"/>
    <w:rsid w:val="4E1086E7"/>
    <w:rsid w:val="4E2498D0"/>
    <w:rsid w:val="4E2EDC02"/>
    <w:rsid w:val="4E33D67D"/>
    <w:rsid w:val="4E38E4CC"/>
    <w:rsid w:val="4E800EC1"/>
    <w:rsid w:val="4E8DFE3A"/>
    <w:rsid w:val="4E91B3B0"/>
    <w:rsid w:val="4EA53D4A"/>
    <w:rsid w:val="4EA9ABC8"/>
    <w:rsid w:val="4EB7E55A"/>
    <w:rsid w:val="4ECE5C0C"/>
    <w:rsid w:val="4EE9A6B4"/>
    <w:rsid w:val="4EFBE5C0"/>
    <w:rsid w:val="4F2C682B"/>
    <w:rsid w:val="4F38C46F"/>
    <w:rsid w:val="4F3E8D5F"/>
    <w:rsid w:val="4F45654E"/>
    <w:rsid w:val="4F625C40"/>
    <w:rsid w:val="4F9C0DE8"/>
    <w:rsid w:val="4FA02378"/>
    <w:rsid w:val="4FC4478D"/>
    <w:rsid w:val="50678CAA"/>
    <w:rsid w:val="506CF54E"/>
    <w:rsid w:val="50947BEE"/>
    <w:rsid w:val="50C01F78"/>
    <w:rsid w:val="50C2D163"/>
    <w:rsid w:val="50E7E99F"/>
    <w:rsid w:val="5149E26E"/>
    <w:rsid w:val="5149E739"/>
    <w:rsid w:val="516F4C3C"/>
    <w:rsid w:val="5183582D"/>
    <w:rsid w:val="5195B71B"/>
    <w:rsid w:val="519BF277"/>
    <w:rsid w:val="51A6FCEF"/>
    <w:rsid w:val="51AF7AC4"/>
    <w:rsid w:val="51B5C709"/>
    <w:rsid w:val="51BDF0E5"/>
    <w:rsid w:val="51C80195"/>
    <w:rsid w:val="51DA0F34"/>
    <w:rsid w:val="5217C98C"/>
    <w:rsid w:val="52599D87"/>
    <w:rsid w:val="52642D20"/>
    <w:rsid w:val="52ACA16D"/>
    <w:rsid w:val="52CEA7F1"/>
    <w:rsid w:val="52ED915F"/>
    <w:rsid w:val="531ADD36"/>
    <w:rsid w:val="53276B08"/>
    <w:rsid w:val="53303A74"/>
    <w:rsid w:val="5343DE90"/>
    <w:rsid w:val="535F6E97"/>
    <w:rsid w:val="537752A2"/>
    <w:rsid w:val="5394FC23"/>
    <w:rsid w:val="53A4D09D"/>
    <w:rsid w:val="53DE2012"/>
    <w:rsid w:val="53E7BCAB"/>
    <w:rsid w:val="53ED59D1"/>
    <w:rsid w:val="53EEACA3"/>
    <w:rsid w:val="53F18777"/>
    <w:rsid w:val="53F77347"/>
    <w:rsid w:val="541C5A1D"/>
    <w:rsid w:val="5430F330"/>
    <w:rsid w:val="54706FAE"/>
    <w:rsid w:val="549E276D"/>
    <w:rsid w:val="54AE91D3"/>
    <w:rsid w:val="54BD7986"/>
    <w:rsid w:val="54D67FAA"/>
    <w:rsid w:val="5504F9E1"/>
    <w:rsid w:val="55A1220F"/>
    <w:rsid w:val="55C1D343"/>
    <w:rsid w:val="56029666"/>
    <w:rsid w:val="5617DE89"/>
    <w:rsid w:val="56190F93"/>
    <w:rsid w:val="56388A12"/>
    <w:rsid w:val="566396C7"/>
    <w:rsid w:val="5693C85C"/>
    <w:rsid w:val="56FFCE7C"/>
    <w:rsid w:val="570F1BE0"/>
    <w:rsid w:val="5720E164"/>
    <w:rsid w:val="572BAEDC"/>
    <w:rsid w:val="574ACF42"/>
    <w:rsid w:val="578D530F"/>
    <w:rsid w:val="57D25E56"/>
    <w:rsid w:val="580AF941"/>
    <w:rsid w:val="5848C04C"/>
    <w:rsid w:val="584F93CC"/>
    <w:rsid w:val="5885C435"/>
    <w:rsid w:val="589C10DE"/>
    <w:rsid w:val="58A09F25"/>
    <w:rsid w:val="58D63933"/>
    <w:rsid w:val="58F699A5"/>
    <w:rsid w:val="590685A7"/>
    <w:rsid w:val="592FD5F9"/>
    <w:rsid w:val="593C3F13"/>
    <w:rsid w:val="59603D2C"/>
    <w:rsid w:val="5972F8E1"/>
    <w:rsid w:val="5983846B"/>
    <w:rsid w:val="598387F5"/>
    <w:rsid w:val="59C2A13C"/>
    <w:rsid w:val="59C5452B"/>
    <w:rsid w:val="59D660DD"/>
    <w:rsid w:val="59D74225"/>
    <w:rsid w:val="59E4A64E"/>
    <w:rsid w:val="5A07D132"/>
    <w:rsid w:val="5A2C6DFC"/>
    <w:rsid w:val="5A343786"/>
    <w:rsid w:val="5A638AE4"/>
    <w:rsid w:val="5AB115A1"/>
    <w:rsid w:val="5AD3856A"/>
    <w:rsid w:val="5AE45936"/>
    <w:rsid w:val="5B1F5D10"/>
    <w:rsid w:val="5B2EE165"/>
    <w:rsid w:val="5B7F3C9C"/>
    <w:rsid w:val="5B849BAF"/>
    <w:rsid w:val="5BAACDB1"/>
    <w:rsid w:val="5BB798B5"/>
    <w:rsid w:val="5C137B69"/>
    <w:rsid w:val="5C1A802A"/>
    <w:rsid w:val="5C1FB7BD"/>
    <w:rsid w:val="5C415D83"/>
    <w:rsid w:val="5CFA871B"/>
    <w:rsid w:val="5D125E1C"/>
    <w:rsid w:val="5D14B2E6"/>
    <w:rsid w:val="5D20B9DD"/>
    <w:rsid w:val="5D6DBF46"/>
    <w:rsid w:val="5D7E045D"/>
    <w:rsid w:val="5D885C9B"/>
    <w:rsid w:val="5D9ECCD3"/>
    <w:rsid w:val="5DAC87DE"/>
    <w:rsid w:val="5DB7BD5A"/>
    <w:rsid w:val="5E01C10B"/>
    <w:rsid w:val="5EA90881"/>
    <w:rsid w:val="5EDED5F8"/>
    <w:rsid w:val="5EE624FD"/>
    <w:rsid w:val="5F09BF9A"/>
    <w:rsid w:val="5F8A735C"/>
    <w:rsid w:val="5F9F045B"/>
    <w:rsid w:val="5FE24BE6"/>
    <w:rsid w:val="601D4E7C"/>
    <w:rsid w:val="60213F41"/>
    <w:rsid w:val="603BFD57"/>
    <w:rsid w:val="603FB411"/>
    <w:rsid w:val="60539C6B"/>
    <w:rsid w:val="60604A25"/>
    <w:rsid w:val="608980D3"/>
    <w:rsid w:val="60A5C65A"/>
    <w:rsid w:val="60BE8AF5"/>
    <w:rsid w:val="60CC102D"/>
    <w:rsid w:val="60EF953D"/>
    <w:rsid w:val="60F5E145"/>
    <w:rsid w:val="60F636D4"/>
    <w:rsid w:val="61062E69"/>
    <w:rsid w:val="61168260"/>
    <w:rsid w:val="614872F3"/>
    <w:rsid w:val="6150817F"/>
    <w:rsid w:val="615466FA"/>
    <w:rsid w:val="615E6EB1"/>
    <w:rsid w:val="61696955"/>
    <w:rsid w:val="619671B3"/>
    <w:rsid w:val="61D2A6A8"/>
    <w:rsid w:val="622555DB"/>
    <w:rsid w:val="62381DE3"/>
    <w:rsid w:val="62556C93"/>
    <w:rsid w:val="625CFBDD"/>
    <w:rsid w:val="62621876"/>
    <w:rsid w:val="6278FC9B"/>
    <w:rsid w:val="628C0308"/>
    <w:rsid w:val="62935E60"/>
    <w:rsid w:val="629C0978"/>
    <w:rsid w:val="62A17C02"/>
    <w:rsid w:val="6328E445"/>
    <w:rsid w:val="635E7355"/>
    <w:rsid w:val="639257B4"/>
    <w:rsid w:val="639BD1EC"/>
    <w:rsid w:val="63D6BD37"/>
    <w:rsid w:val="63E1A8A7"/>
    <w:rsid w:val="63FEBEEE"/>
    <w:rsid w:val="642CEF0D"/>
    <w:rsid w:val="6431EDCE"/>
    <w:rsid w:val="64341A7B"/>
    <w:rsid w:val="6447DBD5"/>
    <w:rsid w:val="64AB63A6"/>
    <w:rsid w:val="64C4188C"/>
    <w:rsid w:val="64FAF00E"/>
    <w:rsid w:val="65472319"/>
    <w:rsid w:val="655F26FC"/>
    <w:rsid w:val="65E4F987"/>
    <w:rsid w:val="65E70FCA"/>
    <w:rsid w:val="65F37BDD"/>
    <w:rsid w:val="65F3E9FD"/>
    <w:rsid w:val="66008625"/>
    <w:rsid w:val="660E9BD0"/>
    <w:rsid w:val="66419682"/>
    <w:rsid w:val="6645633A"/>
    <w:rsid w:val="66585E42"/>
    <w:rsid w:val="6663403C"/>
    <w:rsid w:val="66A24329"/>
    <w:rsid w:val="66CAF568"/>
    <w:rsid w:val="66CBCAFC"/>
    <w:rsid w:val="66EB9B97"/>
    <w:rsid w:val="66ED923B"/>
    <w:rsid w:val="66F859BE"/>
    <w:rsid w:val="66FD476F"/>
    <w:rsid w:val="671B2090"/>
    <w:rsid w:val="67447A94"/>
    <w:rsid w:val="674D6F63"/>
    <w:rsid w:val="67570214"/>
    <w:rsid w:val="67C5165A"/>
    <w:rsid w:val="67C5165A"/>
    <w:rsid w:val="67E84368"/>
    <w:rsid w:val="67F0DCE9"/>
    <w:rsid w:val="67F28A08"/>
    <w:rsid w:val="67F63CE1"/>
    <w:rsid w:val="681A4755"/>
    <w:rsid w:val="688AEF5C"/>
    <w:rsid w:val="6924FE0A"/>
    <w:rsid w:val="69381B87"/>
    <w:rsid w:val="6958CB03"/>
    <w:rsid w:val="699E8F3B"/>
    <w:rsid w:val="69C6C01B"/>
    <w:rsid w:val="69D73FE7"/>
    <w:rsid w:val="69DE83B0"/>
    <w:rsid w:val="6A01E1AC"/>
    <w:rsid w:val="6A18B844"/>
    <w:rsid w:val="6A287DC5"/>
    <w:rsid w:val="6A5DF08B"/>
    <w:rsid w:val="6AB8078E"/>
    <w:rsid w:val="6AC645AE"/>
    <w:rsid w:val="6AE64173"/>
    <w:rsid w:val="6AECE5C7"/>
    <w:rsid w:val="6B0B6DD7"/>
    <w:rsid w:val="6B12C669"/>
    <w:rsid w:val="6B13FA81"/>
    <w:rsid w:val="6B23C616"/>
    <w:rsid w:val="6B25F020"/>
    <w:rsid w:val="6B7C42BC"/>
    <w:rsid w:val="6C25C1E9"/>
    <w:rsid w:val="6C31F966"/>
    <w:rsid w:val="6C36EF90"/>
    <w:rsid w:val="6C439668"/>
    <w:rsid w:val="6C692AAD"/>
    <w:rsid w:val="6C877BEA"/>
    <w:rsid w:val="6CCD859D"/>
    <w:rsid w:val="6CE720CF"/>
    <w:rsid w:val="6CF9C85D"/>
    <w:rsid w:val="6D142754"/>
    <w:rsid w:val="6D66F1D9"/>
    <w:rsid w:val="6D914A33"/>
    <w:rsid w:val="6D995D1F"/>
    <w:rsid w:val="6DC5165A"/>
    <w:rsid w:val="6DE815E6"/>
    <w:rsid w:val="6E038EE4"/>
    <w:rsid w:val="6E0FBBBB"/>
    <w:rsid w:val="6E2B8DE0"/>
    <w:rsid w:val="6E3BCD98"/>
    <w:rsid w:val="6E3BCD98"/>
    <w:rsid w:val="6E58F477"/>
    <w:rsid w:val="6ECB7C5B"/>
    <w:rsid w:val="6F39F7F7"/>
    <w:rsid w:val="6F3E34FE"/>
    <w:rsid w:val="6F45AD27"/>
    <w:rsid w:val="6F548611"/>
    <w:rsid w:val="6F6BE056"/>
    <w:rsid w:val="6F70C040"/>
    <w:rsid w:val="6F7D3C8F"/>
    <w:rsid w:val="6F7EC6B5"/>
    <w:rsid w:val="6F7F3397"/>
    <w:rsid w:val="6FBDA1E4"/>
    <w:rsid w:val="6FC5149A"/>
    <w:rsid w:val="70298887"/>
    <w:rsid w:val="7055065C"/>
    <w:rsid w:val="7060341C"/>
    <w:rsid w:val="706A4A66"/>
    <w:rsid w:val="706AFD7C"/>
    <w:rsid w:val="70A8C48A"/>
    <w:rsid w:val="70AEF55C"/>
    <w:rsid w:val="70C44F0F"/>
    <w:rsid w:val="70FC9581"/>
    <w:rsid w:val="7118FB86"/>
    <w:rsid w:val="7148002C"/>
    <w:rsid w:val="714A453B"/>
    <w:rsid w:val="714B4B6B"/>
    <w:rsid w:val="714C0173"/>
    <w:rsid w:val="7191ABD6"/>
    <w:rsid w:val="7194EADA"/>
    <w:rsid w:val="71D5DF18"/>
    <w:rsid w:val="71E82F63"/>
    <w:rsid w:val="720C345F"/>
    <w:rsid w:val="722733A5"/>
    <w:rsid w:val="727B0CFF"/>
    <w:rsid w:val="728A5998"/>
    <w:rsid w:val="72FF5134"/>
    <w:rsid w:val="732A8250"/>
    <w:rsid w:val="733ACDB5"/>
    <w:rsid w:val="733FFDCB"/>
    <w:rsid w:val="7348310F"/>
    <w:rsid w:val="734CFD11"/>
    <w:rsid w:val="735E310D"/>
    <w:rsid w:val="736408C8"/>
    <w:rsid w:val="73932353"/>
    <w:rsid w:val="739FD807"/>
    <w:rsid w:val="73A2E306"/>
    <w:rsid w:val="74126571"/>
    <w:rsid w:val="7441E371"/>
    <w:rsid w:val="74F428E4"/>
    <w:rsid w:val="75522E85"/>
    <w:rsid w:val="755E57EB"/>
    <w:rsid w:val="75733D2F"/>
    <w:rsid w:val="757FAE3A"/>
    <w:rsid w:val="75AB02DA"/>
    <w:rsid w:val="75B047B5"/>
    <w:rsid w:val="75BCFDD1"/>
    <w:rsid w:val="7604D2FE"/>
    <w:rsid w:val="76306F5E"/>
    <w:rsid w:val="764A1409"/>
    <w:rsid w:val="764CA447"/>
    <w:rsid w:val="7655C192"/>
    <w:rsid w:val="7659D2B1"/>
    <w:rsid w:val="767BD4DD"/>
    <w:rsid w:val="76881310"/>
    <w:rsid w:val="76A2BAEC"/>
    <w:rsid w:val="76DF9FA2"/>
    <w:rsid w:val="76E1FF97"/>
    <w:rsid w:val="770BF9D7"/>
    <w:rsid w:val="77367429"/>
    <w:rsid w:val="77372D0C"/>
    <w:rsid w:val="77415120"/>
    <w:rsid w:val="77A50768"/>
    <w:rsid w:val="77AF6C6F"/>
    <w:rsid w:val="77DD03B6"/>
    <w:rsid w:val="77E4EEEC"/>
    <w:rsid w:val="77F65FF3"/>
    <w:rsid w:val="780FAF76"/>
    <w:rsid w:val="783DC1DF"/>
    <w:rsid w:val="7846F7E9"/>
    <w:rsid w:val="785937CD"/>
    <w:rsid w:val="7866DAE1"/>
    <w:rsid w:val="787607C2"/>
    <w:rsid w:val="78D3FC1C"/>
    <w:rsid w:val="78F29375"/>
    <w:rsid w:val="78F462D1"/>
    <w:rsid w:val="7922519A"/>
    <w:rsid w:val="792B1379"/>
    <w:rsid w:val="792E2F61"/>
    <w:rsid w:val="7942DA5D"/>
    <w:rsid w:val="799CC1DE"/>
    <w:rsid w:val="79E1ED45"/>
    <w:rsid w:val="79F48364"/>
    <w:rsid w:val="7A33FF49"/>
    <w:rsid w:val="7A3DA953"/>
    <w:rsid w:val="7A41D7F8"/>
    <w:rsid w:val="7A43358D"/>
    <w:rsid w:val="7A56AB9F"/>
    <w:rsid w:val="7A5DFC5E"/>
    <w:rsid w:val="7A5F4A35"/>
    <w:rsid w:val="7A8B7554"/>
    <w:rsid w:val="7A8B75D9"/>
    <w:rsid w:val="7AF307A7"/>
    <w:rsid w:val="7B229B74"/>
    <w:rsid w:val="7B27284F"/>
    <w:rsid w:val="7B3D1FB4"/>
    <w:rsid w:val="7B7D4926"/>
    <w:rsid w:val="7B8F4E1F"/>
    <w:rsid w:val="7BAE355E"/>
    <w:rsid w:val="7BAE355E"/>
    <w:rsid w:val="7BC9CE90"/>
    <w:rsid w:val="7BD2CB81"/>
    <w:rsid w:val="7C1E410B"/>
    <w:rsid w:val="7C326C49"/>
    <w:rsid w:val="7C3D9364"/>
    <w:rsid w:val="7C483CAB"/>
    <w:rsid w:val="7C550B4A"/>
    <w:rsid w:val="7C7BC386"/>
    <w:rsid w:val="7C926A89"/>
    <w:rsid w:val="7CCF724B"/>
    <w:rsid w:val="7CD2BC26"/>
    <w:rsid w:val="7D3B1B52"/>
    <w:rsid w:val="7D519354"/>
    <w:rsid w:val="7D68CFD4"/>
    <w:rsid w:val="7D7D2F6E"/>
    <w:rsid w:val="7D88030C"/>
    <w:rsid w:val="7E164CA1"/>
    <w:rsid w:val="7E94D3D7"/>
    <w:rsid w:val="7E9D5709"/>
    <w:rsid w:val="7EA976B8"/>
    <w:rsid w:val="7EC449A4"/>
    <w:rsid w:val="7F53D012"/>
    <w:rsid w:val="7F5836B9"/>
    <w:rsid w:val="7F5A01E1"/>
    <w:rsid w:val="7F5DB179"/>
    <w:rsid w:val="7F5E2970"/>
    <w:rsid w:val="7F5F93AA"/>
    <w:rsid w:val="7F6E8AC9"/>
    <w:rsid w:val="7F8393BF"/>
    <w:rsid w:val="7FE644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6D32E"/>
  <w15:chartTrackingRefBased/>
  <w15:docId w15:val="{A38BD775-C77D-47B0-951F-DF1E74CF2E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39BD1E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39BD1E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39BD1E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39BD1E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39BD1E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39BD1E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39BD1E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39BD1E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39BD1E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39BD1E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39BD1E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39BD1E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39BD1E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39BD1E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639BD1EC"/>
    <w:pPr>
      <w:spacing/>
      <w:ind w:left="720"/>
      <w:contextualSpacing/>
    </w:pPr>
  </w:style>
  <w:style w:type="paragraph" w:styleId="TOC1">
    <w:uiPriority w:val="39"/>
    <w:name w:val="toc 1"/>
    <w:basedOn w:val="Normal"/>
    <w:next w:val="Normal"/>
    <w:unhideWhenUsed/>
    <w:rsid w:val="639BD1EC"/>
    <w:pPr>
      <w:spacing w:after="100"/>
    </w:pPr>
  </w:style>
  <w:style w:type="paragraph" w:styleId="TOC2">
    <w:uiPriority w:val="39"/>
    <w:name w:val="toc 2"/>
    <w:basedOn w:val="Normal"/>
    <w:next w:val="Normal"/>
    <w:unhideWhenUsed/>
    <w:rsid w:val="639BD1EC"/>
    <w:pPr>
      <w:spacing w:after="100"/>
      <w:ind w:left="220"/>
    </w:pPr>
  </w:style>
  <w:style w:type="paragraph" w:styleId="TOC3">
    <w:uiPriority w:val="39"/>
    <w:name w:val="toc 3"/>
    <w:basedOn w:val="Normal"/>
    <w:next w:val="Normal"/>
    <w:unhideWhenUsed/>
    <w:rsid w:val="639BD1EC"/>
    <w:pPr>
      <w:spacing w:after="100"/>
      <w:ind w:left="440"/>
    </w:pPr>
  </w:style>
  <w:style w:type="paragraph" w:styleId="TOC4">
    <w:uiPriority w:val="39"/>
    <w:name w:val="toc 4"/>
    <w:basedOn w:val="Normal"/>
    <w:next w:val="Normal"/>
    <w:unhideWhenUsed/>
    <w:rsid w:val="639BD1EC"/>
    <w:pPr>
      <w:spacing w:after="100"/>
      <w:ind w:left="660"/>
    </w:pPr>
  </w:style>
  <w:style w:type="paragraph" w:styleId="TOC5">
    <w:uiPriority w:val="39"/>
    <w:name w:val="toc 5"/>
    <w:basedOn w:val="Normal"/>
    <w:next w:val="Normal"/>
    <w:unhideWhenUsed/>
    <w:rsid w:val="639BD1EC"/>
    <w:pPr>
      <w:spacing w:after="100"/>
      <w:ind w:left="880"/>
    </w:pPr>
  </w:style>
  <w:style w:type="paragraph" w:styleId="TOC6">
    <w:uiPriority w:val="39"/>
    <w:name w:val="toc 6"/>
    <w:basedOn w:val="Normal"/>
    <w:next w:val="Normal"/>
    <w:unhideWhenUsed/>
    <w:rsid w:val="639BD1EC"/>
    <w:pPr>
      <w:spacing w:after="100"/>
      <w:ind w:left="1100"/>
    </w:pPr>
  </w:style>
  <w:style w:type="paragraph" w:styleId="TOC7">
    <w:uiPriority w:val="39"/>
    <w:name w:val="toc 7"/>
    <w:basedOn w:val="Normal"/>
    <w:next w:val="Normal"/>
    <w:unhideWhenUsed/>
    <w:rsid w:val="639BD1EC"/>
    <w:pPr>
      <w:spacing w:after="100"/>
      <w:ind w:left="1320"/>
    </w:pPr>
  </w:style>
  <w:style w:type="paragraph" w:styleId="TOC8">
    <w:uiPriority w:val="39"/>
    <w:name w:val="toc 8"/>
    <w:basedOn w:val="Normal"/>
    <w:next w:val="Normal"/>
    <w:unhideWhenUsed/>
    <w:rsid w:val="639BD1EC"/>
    <w:pPr>
      <w:spacing w:after="100"/>
      <w:ind w:left="1540"/>
    </w:pPr>
  </w:style>
  <w:style w:type="paragraph" w:styleId="TOC9">
    <w:uiPriority w:val="39"/>
    <w:name w:val="toc 9"/>
    <w:basedOn w:val="Normal"/>
    <w:next w:val="Normal"/>
    <w:unhideWhenUsed/>
    <w:rsid w:val="639BD1EC"/>
    <w:pPr>
      <w:spacing w:after="100"/>
      <w:ind w:left="1760"/>
    </w:pPr>
  </w:style>
  <w:style w:type="paragraph" w:styleId="EndnoteText">
    <w:uiPriority w:val="99"/>
    <w:name w:val="endnote text"/>
    <w:basedOn w:val="Normal"/>
    <w:semiHidden/>
    <w:unhideWhenUsed/>
    <w:link w:val="EndnoteTextChar"/>
    <w:rsid w:val="639BD1EC"/>
    <w:rPr>
      <w:sz w:val="20"/>
      <w:szCs w:val="20"/>
    </w:rPr>
    <w:pPr>
      <w:spacing w:after="0" w:line="240" w:lineRule="auto"/>
    </w:pPr>
  </w:style>
  <w:style w:type="paragraph" w:styleId="Footer">
    <w:uiPriority w:val="99"/>
    <w:name w:val="footer"/>
    <w:basedOn w:val="Normal"/>
    <w:unhideWhenUsed/>
    <w:link w:val="FooterChar"/>
    <w:rsid w:val="639BD1EC"/>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39BD1EC"/>
    <w:rPr>
      <w:sz w:val="20"/>
      <w:szCs w:val="20"/>
    </w:rPr>
    <w:pPr>
      <w:spacing w:after="0" w:line="240" w:lineRule="auto"/>
    </w:pPr>
  </w:style>
  <w:style w:type="paragraph" w:styleId="Header">
    <w:uiPriority w:val="99"/>
    <w:name w:val="header"/>
    <w:basedOn w:val="Normal"/>
    <w:unhideWhenUsed/>
    <w:link w:val="HeaderChar"/>
    <w:rsid w:val="639BD1EC"/>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9b27d2439884ad2" /><Relationship Type="http://schemas.openxmlformats.org/officeDocument/2006/relationships/image" Target="/media/image.png" Id="R16b35d02f1334012" /><Relationship Type="http://schemas.openxmlformats.org/officeDocument/2006/relationships/image" Target="/media/image2.png" Id="R3089c5676aab4acc" /><Relationship Type="http://schemas.openxmlformats.org/officeDocument/2006/relationships/image" Target="/media/image3.png" Id="Rccd098e455ac4460" /><Relationship Type="http://schemas.openxmlformats.org/officeDocument/2006/relationships/image" Target="/media/image4.png" Id="R5fefbfe992aa4b29" /><Relationship Type="http://schemas.openxmlformats.org/officeDocument/2006/relationships/hyperlink" Target="https://doi.org/10.1111/ijmr.12363" TargetMode="External" Id="Rd567877f6c444c6c" /><Relationship Type="http://schemas.openxmlformats.org/officeDocument/2006/relationships/hyperlink" Target="https://doi.org/10.1177/09721509221104244" TargetMode="External" Id="Re07e7d61046c4040" /><Relationship Type="http://schemas.openxmlformats.org/officeDocument/2006/relationships/hyperlink" Target="https://doi.org/10.1080/14697017.2017.1299370" TargetMode="External" Id="R014c302e36904f3f" /><Relationship Type="http://schemas.openxmlformats.org/officeDocument/2006/relationships/hyperlink" Target="https://doi.org/10.1111/j.1467-6486.2004.00463.x" TargetMode="External" Id="Rfb6b2868be23410c" /><Relationship Type="http://schemas.openxmlformats.org/officeDocument/2006/relationships/hyperlink" Target="https://doi.org/10.1016/j.cpa.2018.07.001" TargetMode="External" Id="Radfea6c2cdf6474e" /><Relationship Type="http://schemas.openxmlformats.org/officeDocument/2006/relationships/hyperlink" Target="https://doi.org/10.17358/ijbe.9.1.49" TargetMode="External" Id="R88c99e95c9be4c14" /><Relationship Type="http://schemas.openxmlformats.org/officeDocument/2006/relationships/hyperlink" Target="https://doi.org/10.1080/09538259.2021.1908778" TargetMode="External" Id="R4a676e6ac4e444d1" /><Relationship Type="http://schemas.openxmlformats.org/officeDocument/2006/relationships/hyperlink" Target="https://doi.org/10.36834/cmej.76680" TargetMode="External" Id="R490d2b8d4c094ce9" /><Relationship Type="http://schemas.openxmlformats.org/officeDocument/2006/relationships/hyperlink" Target="https://doi.org/10.1017/S1474746423000453" TargetMode="External" Id="R7f583c5ebf7745e5" /><Relationship Type="http://schemas.openxmlformats.org/officeDocument/2006/relationships/hyperlink" Target="https://www.gov.uk/government/news/government-shareholding-in-lloyds-banking-group" TargetMode="External" Id="Re653628a9f324550" /><Relationship Type="http://schemas.openxmlformats.org/officeDocument/2006/relationships/hyperlink" Target="https://www.insider.co.uk/news/how-lloyds-went-basketcase-2008-10439315" TargetMode="External" Id="R034f7513c22c4ec7" /><Relationship Type="http://schemas.openxmlformats.org/officeDocument/2006/relationships/hyperlink" Target="https://doi.org/10.1007/s11612-019-00461-5" TargetMode="External" Id="Rb20a9a6da5c04245" /><Relationship Type="http://schemas.openxmlformats.org/officeDocument/2006/relationships/hyperlink" Target="https://doi.org/10.1108/ICT-12-2021-0086" TargetMode="External" Id="R3433d882355a405b" /><Relationship Type="http://schemas.openxmlformats.org/officeDocument/2006/relationships/hyperlink" Target="https://www.lloydsbank.com/help-guidance/everyday-banking/banking-near-you/branch-closures.html" TargetMode="External" Id="R508ef508ae994847" /><Relationship Type="http://schemas.openxmlformats.org/officeDocument/2006/relationships/hyperlink" Target="https://www.lloydsbankinggroup.com/assets/pdfs/investors/investor-news/archive/2009/2009jan19_lbg_acquisition_update.pdf" TargetMode="External" Id="R45521e8b01434e54" /><Relationship Type="http://schemas.openxmlformats.org/officeDocument/2006/relationships/hyperlink" Target="https://doi.org/10.1016/j.techfore.2020.119962" TargetMode="External" Id="Rd5199caf3b324d1a" /><Relationship Type="http://schemas.openxmlformats.org/officeDocument/2006/relationships/hyperlink" Target="https://doi.org/10.32479/irmm.16095" TargetMode="External" Id="R982688a83787412c" /><Relationship Type="http://schemas.openxmlformats.org/officeDocument/2006/relationships/hyperlink" Target="https://doi.org/10.1007/s10551-015-2741-y" TargetMode="External" Id="Re604533680d24d4d" /><Relationship Type="http://schemas.openxmlformats.org/officeDocument/2006/relationships/hyperlink" Target="https://doi.org/10.5465/amr.1997.9711022105" TargetMode="External" Id="R67c375a3859f470a" /><Relationship Type="http://schemas.openxmlformats.org/officeDocument/2006/relationships/hyperlink" Target="https://doi.org/10.20470/jsi.v10i1.362" TargetMode="External" Id="R699a00429b484707" /><Relationship Type="http://schemas.openxmlformats.org/officeDocument/2006/relationships/hyperlink" Target="https://doi.org/10.21511/pmf.10(1).2021.05" TargetMode="External" Id="R64f327c1eee143ab" /><Relationship Type="http://schemas.openxmlformats.org/officeDocument/2006/relationships/hyperlink" Target="https://doi.org/10.1007/s10551-022-05306-8" TargetMode="External" Id="R04c63b0cafac4f66" /><Relationship Type="http://schemas.openxmlformats.org/officeDocument/2006/relationships/hyperlink" Target="https://doi.org/10.3390/jrfm14100496" TargetMode="External" Id="R917e48fed0e14e1c" /><Relationship Type="http://schemas.openxmlformats.org/officeDocument/2006/relationships/hyperlink" Target="https://www.softwaretestingnews.co.uk/18837-2-lloyds-core-banking-platform/" TargetMode="External" Id="Rcc6408c9d55c470d" /><Relationship Type="http://schemas.openxmlformats.org/officeDocument/2006/relationships/hyperlink" Target="https://www.statista.com/statistics/474455/uk-lloyds-banking-group-number-of-shares-in-issue/" TargetMode="External" Id="R74c9f0da52fc4697" /><Relationship Type="http://schemas.openxmlformats.org/officeDocument/2006/relationships/hyperlink" Target="https://doi.org/10.1080/08824096.2011.541364" TargetMode="External" Id="Rbeb2ba050c2a4a22" /><Relationship Type="http://schemas.openxmlformats.org/officeDocument/2006/relationships/hyperlink" Target="https://doi.org/10.1088/1742-6596/1807/1/012004" TargetMode="External" Id="R5c9ce9d2d85243c5" /><Relationship Type="http://schemas.openxmlformats.org/officeDocument/2006/relationships/hyperlink" Target="https://doi.org/10.2478/amns.2023.1.00455" TargetMode="External" Id="Rc53cf7aec8b04121" /><Relationship Type="http://schemas.openxmlformats.org/officeDocument/2006/relationships/hyperlink" Target="https://www.which.co.uk/news/article/lloyds-halifax-bank-of-scotland-bank-branch-closures-aim9B9r5MCSq" TargetMode="External" Id="Rd05e6fd0c1904721" /><Relationship Type="http://schemas.openxmlformats.org/officeDocument/2006/relationships/hyperlink" Target="https://doi.org/10.1108/09534810610676635" TargetMode="External" Id="R5e053b9a1eab4151" /><Relationship Type="http://schemas.openxmlformats.org/officeDocument/2006/relationships/numbering" Target="numbering.xml" Id="R5ad993614fce44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2024-09-24T06:59:10.2707305Z</dcterms:created>
  <dcterms:modified xsi:type="dcterms:W3CDTF">2024-11-14T14:59:06.1656717Z</dcterms:modified>
  <dc:creator>Rebecca Travers (2128316)</dc:creator>
  <lastModifiedBy>Rebecca Travers (2128316)</lastModifiedBy>
</coreProperties>
</file>