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2EBF0" w14:textId="77777777" w:rsidR="00973CE9" w:rsidRDefault="00973CE9"/>
    <w:p w14:paraId="6904D465" w14:textId="77777777" w:rsidR="00CB4195" w:rsidRDefault="00CB4195"/>
    <w:p w14:paraId="51719FFE" w14:textId="6010DA19" w:rsidR="00CB4195" w:rsidRPr="00CB4195" w:rsidRDefault="00CB4195">
      <w:pPr>
        <w:rPr>
          <w:rFonts w:ascii="Times New Roman" w:hAnsi="Times New Roman" w:cs="Times New Roman"/>
          <w:b/>
          <w:bCs/>
          <w:sz w:val="24"/>
          <w:szCs w:val="24"/>
        </w:rPr>
      </w:pPr>
      <w:r w:rsidRPr="00CB4195">
        <w:rPr>
          <w:rFonts w:ascii="Times New Roman" w:hAnsi="Times New Roman" w:cs="Times New Roman"/>
          <w:b/>
          <w:bCs/>
          <w:sz w:val="24"/>
          <w:szCs w:val="24"/>
        </w:rPr>
        <w:t>Employment Relationship Management</w:t>
      </w:r>
    </w:p>
    <w:p w14:paraId="041B1E39" w14:textId="77777777" w:rsidR="00CB4195" w:rsidRDefault="00CB4195"/>
    <w:p w14:paraId="3AF6DF29" w14:textId="77777777" w:rsidR="00CB4195" w:rsidRDefault="00CB4195"/>
    <w:p w14:paraId="54ED6A74" w14:textId="2BDBE9E8" w:rsidR="00CB4195" w:rsidRPr="005A6BCE" w:rsidRDefault="00CB4195">
      <w:pPr>
        <w:rPr>
          <w:rFonts w:ascii="Times New Roman" w:hAnsi="Times New Roman" w:cs="Times New Roman"/>
          <w:sz w:val="24"/>
          <w:szCs w:val="24"/>
        </w:rPr>
      </w:pPr>
      <w:r w:rsidRPr="005A6BCE">
        <w:rPr>
          <w:rFonts w:ascii="Times New Roman" w:hAnsi="Times New Roman" w:cs="Times New Roman"/>
          <w:sz w:val="24"/>
          <w:szCs w:val="24"/>
        </w:rPr>
        <w:t>(AC 1.1)</w:t>
      </w:r>
    </w:p>
    <w:p w14:paraId="00D6507D" w14:textId="77777777" w:rsidR="00F403B3" w:rsidRPr="00F403B3" w:rsidRDefault="00F403B3" w:rsidP="00F403B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03B3">
        <w:rPr>
          <w:rFonts w:ascii="Times New Roman" w:eastAsia="Times New Roman" w:hAnsi="Times New Roman" w:cs="Times New Roman"/>
          <w:kern w:val="0"/>
          <w:sz w:val="24"/>
          <w:szCs w:val="24"/>
          <w:lang w:eastAsia="en-GB"/>
          <w14:ligatures w14:val="none"/>
        </w:rPr>
        <w:t>After the recent merger, the organisation now has leadership and people practice teams with strong private sector experience. While private sector workplaces often focus on efficiency and innovation, public sector employee relations also emphasise collaboration, employee voice, and formal involvement. Understanding the difference between employee involvement and participation will help build trust, stability, and engagement during this time of change.</w:t>
      </w:r>
    </w:p>
    <w:p w14:paraId="38DA8B53" w14:textId="77777777" w:rsidR="00F403B3" w:rsidRPr="00F403B3" w:rsidRDefault="00F403B3" w:rsidP="00F403B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03B3">
        <w:rPr>
          <w:rFonts w:ascii="Times New Roman" w:eastAsia="Times New Roman" w:hAnsi="Times New Roman" w:cs="Times New Roman"/>
          <w:kern w:val="0"/>
          <w:sz w:val="24"/>
          <w:szCs w:val="24"/>
          <w:lang w:eastAsia="en-GB"/>
          <w14:ligatures w14:val="none"/>
        </w:rPr>
        <w:t>Employee involvement is a management initiative that seeks input from employees without giving them decision-making power. It allows employees to contribute ideas, feedback, and suggestions. In this context, involvement could include team briefings where employees raise concerns or share ideas, and staff surveys to assess morale and engagement. These methods help employees feel heard and valued, which is essential for motivation and stability after organisational change. Involvement remains consultative rather than participatory, meaning employees do not directly influence decisions (Armstrong and Taylor, 2023). According to ACAS (2023), such methods foster a more transparent and open culture, particularly valuable during periods of transition.</w:t>
      </w:r>
    </w:p>
    <w:p w14:paraId="331FC6AC" w14:textId="77777777" w:rsidR="00F403B3" w:rsidRPr="00F403B3" w:rsidRDefault="00F403B3" w:rsidP="00F403B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03B3">
        <w:rPr>
          <w:rFonts w:ascii="Times New Roman" w:eastAsia="Times New Roman" w:hAnsi="Times New Roman" w:cs="Times New Roman"/>
          <w:kern w:val="0"/>
          <w:sz w:val="24"/>
          <w:szCs w:val="24"/>
          <w:lang w:eastAsia="en-GB"/>
          <w14:ligatures w14:val="none"/>
        </w:rPr>
        <w:t>Employee participation goes beyond consultation by giving employees a role in decisions that affect them. This may take the form of union representation, employee forums, or joint consultative committees, where representatives work with management to address workplace issues. Participation is more structured and often legally recognised, enabling employees to take a more active role in employment relations. With some employees likely to be union members, maintaining effective participation mechanisms post-merger is vital for engagement and stability. Daniels (2022) also notes that well-managed participation reduces conflict by providing formal channels for concerns and influence.</w:t>
      </w:r>
    </w:p>
    <w:p w14:paraId="6515796B" w14:textId="77777777" w:rsidR="00F403B3" w:rsidRPr="00F403B3" w:rsidRDefault="00F403B3" w:rsidP="00F403B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03B3">
        <w:rPr>
          <w:rFonts w:ascii="Times New Roman" w:eastAsia="Times New Roman" w:hAnsi="Times New Roman" w:cs="Times New Roman"/>
          <w:kern w:val="0"/>
          <w:sz w:val="24"/>
          <w:szCs w:val="24"/>
          <w:lang w:eastAsia="en-GB"/>
          <w14:ligatures w14:val="none"/>
        </w:rPr>
        <w:t>Both approaches support employment relationships but in different ways. Involvement helps employees feel acknowledged, while participation gives them ownership. After a merger, failing to support either may lead to conflict and dissatisfaction. CIPD (2022) research shows that strong employee voice improves productivity and retention, while a lack of it can reduce morale and performance. As Armstrong and Taylor (2023) highlight, aligning leadership style with a participatory culture significantly affects outcomes during transformation.</w:t>
      </w:r>
    </w:p>
    <w:p w14:paraId="03DFDBE9" w14:textId="77777777" w:rsidR="00F403B3" w:rsidRPr="00F403B3" w:rsidRDefault="00F403B3" w:rsidP="00F403B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03B3">
        <w:rPr>
          <w:rFonts w:ascii="Times New Roman" w:eastAsia="Times New Roman" w:hAnsi="Times New Roman" w:cs="Times New Roman"/>
          <w:kern w:val="0"/>
          <w:sz w:val="24"/>
          <w:szCs w:val="24"/>
          <w:lang w:eastAsia="en-GB"/>
          <w14:ligatures w14:val="none"/>
        </w:rPr>
        <w:t>For the new leadership and people practice teams, encouraging informal idea-sharing and maintaining formal structures like union engagement will be key to managing employee relations effectively and ensuring a smooth transition</w:t>
      </w:r>
    </w:p>
    <w:p w14:paraId="2F32FA4C" w14:textId="77777777" w:rsidR="009F043B" w:rsidRPr="005A6BCE" w:rsidRDefault="009F043B">
      <w:pPr>
        <w:rPr>
          <w:rFonts w:ascii="Times New Roman" w:hAnsi="Times New Roman" w:cs="Times New Roman"/>
          <w:sz w:val="24"/>
          <w:szCs w:val="24"/>
        </w:rPr>
      </w:pPr>
    </w:p>
    <w:p w14:paraId="4B290565" w14:textId="33625070" w:rsidR="00CB4195" w:rsidRPr="005A6BCE" w:rsidRDefault="00622F65" w:rsidP="00CB4195">
      <w:pPr>
        <w:rPr>
          <w:rFonts w:ascii="Times New Roman" w:hAnsi="Times New Roman" w:cs="Times New Roman"/>
          <w:sz w:val="24"/>
          <w:szCs w:val="24"/>
        </w:rPr>
      </w:pPr>
      <w:r w:rsidRPr="005A6BCE">
        <w:rPr>
          <w:rFonts w:ascii="Times New Roman" w:hAnsi="Times New Roman" w:cs="Times New Roman"/>
          <w:sz w:val="24"/>
          <w:szCs w:val="24"/>
        </w:rPr>
        <w:t>(AC 1.2)</w:t>
      </w:r>
    </w:p>
    <w:p w14:paraId="7247A4D3"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lastRenderedPageBreak/>
        <w:t>Employee representation provides employees with a voice to raise concerns, discuss employment terms, and help make decisions. It can be done in two ways, which are union and non-union representation.</w:t>
      </w:r>
    </w:p>
    <w:p w14:paraId="418B27FE"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Trade union representation involves employees joining an independent organisation that negotiates with employers on their behalf. They can help to negotiate terms and conditions of employment, including wages, working hours, and benefits (Daniels, 2022). This form is legally recognised and protected under the Trade Union and Labour Relations (Consolidation) Act 1992 (TULRCA), which allows unions the right to negotiate collectively, support members in disputes, and engage in industrial action when necessary (Armstrong and Taylor, 2023). Unions also provide legal assistance and advice to employees such as in cases of unfair dismissal or workplace disputes. According to ACAS (2023), trade unions play a crucial role in dispute resolution and ensuring employer accountability. On some occasions, union representation can lead to clashes between employers and employees, particularly in cases where industrial action, such as strikes, disrupts business operations. While unions support job security and employee rights, some employers may view them as a challenge to managerial authority.</w:t>
      </w:r>
    </w:p>
    <w:p w14:paraId="128A0023" w14:textId="7B1EC16B"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Non-union representation does not involve formal trade unions but still allows employees to engage in workplace decision-making. This could be staff forums, works councils, employee representatives, and consultations such as regular meetings between employees and management (CIPD, 2024). Non-union models are sometimes preferred by employers who favour a more flexible working environment, as they tend to encourage direct communication and reduce conflict (Rees and French, 2021). Unlike unions, these structures do not have the same legal backing, and their influence often depends on the willingness of the employer to engage with them. Daniels (2022) notes that while non-union representation may be more adaptable, it can sometimes lack the robustness required to challenge unfavourable employment decisions.</w:t>
      </w:r>
    </w:p>
    <w:p w14:paraId="0A74B843"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The effectiveness of both union and non-union representation depends on the organisation and the level of commitment from both employers and employees. In industries where working conditions and wages are highly regulated, such as the public sector and manufacturing, union representation often plays a crucial role in securing fair employment conditions (Daniels, 2022). In workplaces that emphasise collaborative decision-making and employee engagement, non-union forms of representation may be more effective in promoting workplace harmony (Armstrong and Taylor, 2023). Additionally, as noted in CIPD (2024) guidance, combining formal and informal representation can help balance employee voice with organisational flexibility.</w:t>
      </w:r>
    </w:p>
    <w:p w14:paraId="35DFD393" w14:textId="77777777" w:rsidR="005A6D61" w:rsidRPr="005A6BCE" w:rsidRDefault="005A6D61" w:rsidP="00A15733">
      <w:pPr>
        <w:rPr>
          <w:rFonts w:ascii="Times New Roman" w:hAnsi="Times New Roman" w:cs="Times New Roman"/>
          <w:sz w:val="24"/>
          <w:szCs w:val="24"/>
        </w:rPr>
      </w:pPr>
    </w:p>
    <w:p w14:paraId="19B1C678" w14:textId="459D00F7" w:rsidR="005A6D61" w:rsidRPr="005A6BCE" w:rsidRDefault="005A6D61" w:rsidP="00A15733">
      <w:pPr>
        <w:rPr>
          <w:rFonts w:ascii="Times New Roman" w:hAnsi="Times New Roman" w:cs="Times New Roman"/>
          <w:sz w:val="24"/>
          <w:szCs w:val="24"/>
        </w:rPr>
      </w:pPr>
      <w:r w:rsidRPr="005A6BCE">
        <w:rPr>
          <w:rFonts w:ascii="Times New Roman" w:hAnsi="Times New Roman" w:cs="Times New Roman"/>
          <w:sz w:val="24"/>
          <w:szCs w:val="24"/>
        </w:rPr>
        <w:t>(AC 1.3)</w:t>
      </w:r>
    </w:p>
    <w:p w14:paraId="6C26BAAD"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Following the recent merger, creating a culture where employees feel heard will be extremely important to building trust and improving organisational performance. Employee voice is the ways employees communicate their opinions, concerns, and suggestions at work. According to the CIPD (2024), effective employee voice is linked to higher levels of commitment, innovation, and wellbeing, all of which have a direct impact on organisational success.</w:t>
      </w:r>
    </w:p>
    <w:p w14:paraId="24D47EFA"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lastRenderedPageBreak/>
        <w:t>Organisations that encourage employee voice often benefit from better decision-making, improved morale, and stronger employee engagement. Research by the Involvement and Participation Association (2023) shows that businesses with strong voice practices tend to experience lower turnover, fewer grievances, and higher levels of productivity. This is particularly important in a post-merger environment, where changes can otherwise lead to uncertainty and disengagement. Armstrong and Taylor (2023) emphasise that embedding voice into organisational processes fosters openness, which is especially valuable when navigating structural changes.</w:t>
      </w:r>
    </w:p>
    <w:p w14:paraId="071807AD"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Employee voice also supports performance through its impact on psychological safety. Employees who feel their views are valued are more likely to take initiative, share new ideas, and identify potential problems early. Engage for Success (2023) reports that companies with high levels of employee engagement outperform those with low engagement by up to 21% in productivity and 22% in profitability, highlighting a clear link between voice and organisational outcomes. ACAS (2023) also notes that a culture of open dialogue reduces conflict and supports early resolution of issues before they escalate into formal disputes.</w:t>
      </w:r>
    </w:p>
    <w:p w14:paraId="3FEB3CEF" w14:textId="23CDCA7B"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It is not enough to simply offer channels for voice. The leadership team must also show that employee feedback leads to visible action. CIPD research (2024) tells us that where employee voice is ignored or handled poorly, it can actually damage trust and reduce engagement levels. On the flipside, when employees see that their input leads to change, they are more motivated to contribute to organisational goals. Daniels (2022) supports this, stating that genuine voice practices build mutual respect and long-term commitment between employers and staff.</w:t>
      </w:r>
    </w:p>
    <w:p w14:paraId="3E8D626F"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In this organisation, enabling employee voice through team briefings, staff forums, suggestion schemes, and regular surveys could help maintain stability and performance during the transition period. Combining direct voice mechanisms with collective voice, such as union consultation, will give all employees a sense of involvement and influence. As the CIPD (2024) highlights, creating a positive environment where employee voice is encouraged and acted upon can lead to better working lives and stronger organisational performance.</w:t>
      </w:r>
    </w:p>
    <w:p w14:paraId="7DED1FF3" w14:textId="77777777" w:rsidR="009F043B" w:rsidRPr="005A6BCE" w:rsidRDefault="009F043B" w:rsidP="00A15733">
      <w:pPr>
        <w:rPr>
          <w:rFonts w:ascii="Times New Roman" w:hAnsi="Times New Roman" w:cs="Times New Roman"/>
          <w:sz w:val="24"/>
          <w:szCs w:val="24"/>
        </w:rPr>
      </w:pPr>
    </w:p>
    <w:p w14:paraId="50B9D5CB" w14:textId="77777777" w:rsidR="005A6D61" w:rsidRPr="005A6BCE" w:rsidRDefault="005A6D61" w:rsidP="005A6D6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(AC 1.4)</w:t>
      </w:r>
    </w:p>
    <w:p w14:paraId="7F7940F0" w14:textId="1B258781"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It is important for the leadership team to focus not only on operational efficiencies but also on the quality of working lives for employees. The CIPD (2024) defines better working lives as creating workplaces where individuals are supported to thrive, develop their skills, and maintain a healthy balance between work and life outside of work. </w:t>
      </w:r>
    </w:p>
    <w:p w14:paraId="69BD34FD" w14:textId="4F6D979A"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Designing better working lives involves more than simply introducing new policies. It requires a workplace culture that respects individual needs and supports long-term engagement. The CIPD Good Work Index (2024) identifies factors such as control over work, meaningful tasks, supportive management, and access to learning opportunities as central to improving job quality. In practice, this could include offering flexible working arrangements, ensuring workloads are manageable</w:t>
      </w:r>
      <w:r w:rsidR="00F403B3" w:rsidRPr="005A6BCE">
        <w:rPr>
          <w:rFonts w:ascii="Times New Roman" w:eastAsia="Times New Roman" w:hAnsi="Times New Roman" w:cs="Times New Roman"/>
          <w:kern w:val="0"/>
          <w:sz w:val="24"/>
          <w:szCs w:val="24"/>
          <w:lang w:eastAsia="en-GB"/>
          <w14:ligatures w14:val="none"/>
        </w:rPr>
        <w:t xml:space="preserve"> and</w:t>
      </w:r>
      <w:r w:rsidRPr="005A6BCE">
        <w:rPr>
          <w:rFonts w:ascii="Times New Roman" w:eastAsia="Times New Roman" w:hAnsi="Times New Roman" w:cs="Times New Roman"/>
          <w:kern w:val="0"/>
          <w:sz w:val="24"/>
          <w:szCs w:val="24"/>
          <w:lang w:eastAsia="en-GB"/>
          <w14:ligatures w14:val="none"/>
        </w:rPr>
        <w:t xml:space="preserve"> promoting wellbeing initiatives. ACAS (2023) also advises that embedding wellbeing enhances performance and helps to reduce absenteeism and stress-related conflict.</w:t>
      </w:r>
    </w:p>
    <w:p w14:paraId="1AA6CD37" w14:textId="3D6D9BDA"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lastRenderedPageBreak/>
        <w:t xml:space="preserve">From my own experience of moving from managing people in the private sector to managing staff in the public sector, I have seen how the focus differs. In the private </w:t>
      </w:r>
      <w:r w:rsidR="00F403B3" w:rsidRPr="005A6BCE">
        <w:rPr>
          <w:rFonts w:ascii="Times New Roman" w:eastAsia="Times New Roman" w:hAnsi="Times New Roman" w:cs="Times New Roman"/>
          <w:kern w:val="0"/>
          <w:sz w:val="24"/>
          <w:szCs w:val="24"/>
          <w:lang w:eastAsia="en-GB"/>
          <w14:ligatures w14:val="none"/>
        </w:rPr>
        <w:t>sector, especially in my role as Sales Director,</w:t>
      </w:r>
      <w:r w:rsidRPr="005A6BCE">
        <w:rPr>
          <w:rFonts w:ascii="Times New Roman" w:eastAsia="Times New Roman" w:hAnsi="Times New Roman" w:cs="Times New Roman"/>
          <w:kern w:val="0"/>
          <w:sz w:val="24"/>
          <w:szCs w:val="24"/>
          <w:lang w:eastAsia="en-GB"/>
          <w14:ligatures w14:val="none"/>
        </w:rPr>
        <w:t xml:space="preserve"> there </w:t>
      </w:r>
      <w:r w:rsidR="00F403B3" w:rsidRPr="005A6BCE">
        <w:rPr>
          <w:rFonts w:ascii="Times New Roman" w:eastAsia="Times New Roman" w:hAnsi="Times New Roman" w:cs="Times New Roman"/>
          <w:kern w:val="0"/>
          <w:sz w:val="24"/>
          <w:szCs w:val="24"/>
          <w:lang w:eastAsia="en-GB"/>
          <w14:ligatures w14:val="none"/>
        </w:rPr>
        <w:t>was</w:t>
      </w:r>
      <w:r w:rsidRPr="005A6BCE">
        <w:rPr>
          <w:rFonts w:ascii="Times New Roman" w:eastAsia="Times New Roman" w:hAnsi="Times New Roman" w:cs="Times New Roman"/>
          <w:kern w:val="0"/>
          <w:sz w:val="24"/>
          <w:szCs w:val="24"/>
          <w:lang w:eastAsia="en-GB"/>
          <w14:ligatures w14:val="none"/>
        </w:rPr>
        <w:t xml:space="preserve"> a s</w:t>
      </w:r>
      <w:r w:rsidR="00F403B3" w:rsidRPr="005A6BCE">
        <w:rPr>
          <w:rFonts w:ascii="Times New Roman" w:eastAsia="Times New Roman" w:hAnsi="Times New Roman" w:cs="Times New Roman"/>
          <w:kern w:val="0"/>
          <w:sz w:val="24"/>
          <w:szCs w:val="24"/>
          <w:lang w:eastAsia="en-GB"/>
          <w14:ligatures w14:val="none"/>
        </w:rPr>
        <w:t>tronger</w:t>
      </w:r>
      <w:r w:rsidRPr="005A6BCE">
        <w:rPr>
          <w:rFonts w:ascii="Times New Roman" w:eastAsia="Times New Roman" w:hAnsi="Times New Roman" w:cs="Times New Roman"/>
          <w:kern w:val="0"/>
          <w:sz w:val="24"/>
          <w:szCs w:val="24"/>
          <w:lang w:eastAsia="en-GB"/>
          <w14:ligatures w14:val="none"/>
        </w:rPr>
        <w:t xml:space="preserve"> emphasis on performance and commercial outcomes, whereas in the public sector, employee wellbeing, fairness, and inclusivity are brought to the forefront. Public sector environments can be slower to adapt, but they place a stronger emphasis on creating sustainable, supportive workplaces. This experience highlights the importance of balancing efficiency with the public sector’s values of service, fairness, and employee engagement. Daniels (2022) reinforces this distinction by noting that public sector roles are more heavily influenced by ethical and community-based outcomes, which impacts how working lives are shaped.</w:t>
      </w:r>
    </w:p>
    <w:p w14:paraId="0C1B81C3"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Research by Armstrong and Taylor (2023) reinforces that organisations that prioritise better working lives tend to experience higher engagement, better retention, and improved overall performance. Similarly, Engage for Success (2023) found that organisations that invest in the employee experience are more innovative and productive. Moreover, creating better working lives fosters psychological safety and long-term commitment, both of which are key drivers of organisational resilience (CIPD, 2024).</w:t>
      </w:r>
    </w:p>
    <w:p w14:paraId="723E243C" w14:textId="6309E8EC" w:rsidR="004764A4" w:rsidRPr="005A6BCE" w:rsidRDefault="004764A4" w:rsidP="004764A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5E90006" w14:textId="7E95D36F" w:rsidR="005A6D61" w:rsidRPr="005A6BCE" w:rsidRDefault="009F043B" w:rsidP="00A15733">
      <w:pPr>
        <w:rPr>
          <w:rFonts w:ascii="Times New Roman" w:hAnsi="Times New Roman" w:cs="Times New Roman"/>
          <w:sz w:val="24"/>
          <w:szCs w:val="24"/>
        </w:rPr>
      </w:pPr>
      <w:r w:rsidRPr="005A6BCE">
        <w:rPr>
          <w:rFonts w:ascii="Times New Roman" w:hAnsi="Times New Roman" w:cs="Times New Roman"/>
          <w:sz w:val="24"/>
          <w:szCs w:val="24"/>
        </w:rPr>
        <w:t>(</w:t>
      </w:r>
      <w:r w:rsidR="00F35D5C" w:rsidRPr="005A6BCE">
        <w:rPr>
          <w:rFonts w:ascii="Times New Roman" w:hAnsi="Times New Roman" w:cs="Times New Roman"/>
          <w:sz w:val="24"/>
          <w:szCs w:val="24"/>
        </w:rPr>
        <w:t>AC 2.1)</w:t>
      </w:r>
    </w:p>
    <w:p w14:paraId="45562148" w14:textId="3A783A0C"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Organisational conflict refers to disagreements or differences in opinions at work. According to Armstrong and Taylor (2023), conflict often arises from misunderstandings, competing interests, or changes in working conditions. If managed constructively, </w:t>
      </w:r>
      <w:r w:rsidR="00F403B3" w:rsidRPr="005A6BCE">
        <w:rPr>
          <w:rFonts w:ascii="Times New Roman" w:eastAsia="Times New Roman" w:hAnsi="Times New Roman" w:cs="Times New Roman"/>
          <w:kern w:val="0"/>
          <w:sz w:val="24"/>
          <w:szCs w:val="24"/>
          <w:lang w:eastAsia="en-GB"/>
          <w14:ligatures w14:val="none"/>
        </w:rPr>
        <w:t xml:space="preserve">conflict </w:t>
      </w:r>
      <w:r w:rsidRPr="005A6BCE">
        <w:rPr>
          <w:rFonts w:ascii="Times New Roman" w:eastAsia="Times New Roman" w:hAnsi="Times New Roman" w:cs="Times New Roman"/>
          <w:kern w:val="0"/>
          <w:sz w:val="24"/>
          <w:szCs w:val="24"/>
          <w:lang w:eastAsia="en-GB"/>
          <w14:ligatures w14:val="none"/>
        </w:rPr>
        <w:t>can lead to innovation, and stronger relationships. It is important for leadership to address conflict early through open communication, mediation, and consultation, as recommended by the CIPD (2024). Daniels (2022) reinforces that early intervention can prevent the escalation of minor tensions into serious disputes that impact morale and productivity.</w:t>
      </w:r>
    </w:p>
    <w:p w14:paraId="1447A651" w14:textId="0FF9AA94"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Conflict must not be confused with misbehaviour. This involves deliberate actions by employees that go against organisational rules or expectations. Daniels (2022) describes misbehaviour as conduct such as persistent absenteeism, insubordination, sabotage, or breaches of workplace policies. Unlike conflict, misbehaviour is a challenge to authority or a breakdown of professional standards. It requires formal management responses, often through disciplinary procedures. ACAS (2024) highlights that distinguishing between these two categories is vital, as they demand very different approaches</w:t>
      </w:r>
      <w:r w:rsidR="00F403B3" w:rsidRPr="005A6BCE">
        <w:rPr>
          <w:rFonts w:ascii="Times New Roman" w:eastAsia="Times New Roman" w:hAnsi="Times New Roman" w:cs="Times New Roman"/>
          <w:kern w:val="0"/>
          <w:sz w:val="24"/>
          <w:szCs w:val="24"/>
          <w:lang w:eastAsia="en-GB"/>
          <w14:ligatures w14:val="none"/>
        </w:rPr>
        <w:t>.</w:t>
      </w:r>
    </w:p>
    <w:p w14:paraId="1BC43F21" w14:textId="57E6F0BD"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From my own experience, managing people in the private sector tended to focus heavily on performance targets, with clear disciplinary routes for misbehaviour. In the public sector, however, I have noticed that there is a stronger emphasis on understanding the root causes of behaviour and supporting employees before formal processes are triggered. This reflects a broader public sector commitment to fairness, employee welfare, and preserving long-term relationships. It also mirrors the CIPD’s (2024) emphasis on creating compassionate, supportive people practices that promote trust and engagement.</w:t>
      </w:r>
    </w:p>
    <w:p w14:paraId="52B69653" w14:textId="51AE5A8D"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Recognising the distinction between conflict and misbehaviour is essential. Treating a conflict as misbehaviour can escalate tensions unnecessarily and damage trust. Similarly, failing to deal with genuine misbehaviour appropriately can undermine management authority and demotivate other employees. According to ACAS (2024), early intervention, </w:t>
      </w:r>
      <w:r w:rsidRPr="005A6BCE">
        <w:rPr>
          <w:rFonts w:ascii="Times New Roman" w:eastAsia="Times New Roman" w:hAnsi="Times New Roman" w:cs="Times New Roman"/>
          <w:kern w:val="0"/>
          <w:sz w:val="24"/>
          <w:szCs w:val="24"/>
          <w:lang w:eastAsia="en-GB"/>
          <w14:ligatures w14:val="none"/>
        </w:rPr>
        <w:lastRenderedPageBreak/>
        <w:t>clear communication, and fair processes are critical in resolving workplace conflict and maintaining discipline. Armstrong and Taylor (2023) further stress the importance of equipping managers with the skills to assess intent and context when addressing employee conduct.</w:t>
      </w:r>
    </w:p>
    <w:p w14:paraId="41B1D6FA" w14:textId="77777777" w:rsidR="009F043B" w:rsidRPr="005A6BCE" w:rsidRDefault="009F043B" w:rsidP="009F04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For the leadership team following the merger, building capability in recognising and managing both conflict and misbehaviour will be essential to creating a stable, high-performing workplace. Conflict should be seen as an opportunity for dialogue and improvement, while misbehaviour should be addressed firmly but fairly to uphold standards and values.</w:t>
      </w:r>
    </w:p>
    <w:p w14:paraId="2A358F4B" w14:textId="77777777" w:rsidR="009F043B" w:rsidRPr="005A6BCE" w:rsidRDefault="009F043B" w:rsidP="00A15733">
      <w:pPr>
        <w:rPr>
          <w:rFonts w:ascii="Times New Roman" w:hAnsi="Times New Roman" w:cs="Times New Roman"/>
          <w:sz w:val="24"/>
          <w:szCs w:val="24"/>
        </w:rPr>
      </w:pPr>
    </w:p>
    <w:p w14:paraId="59DFE235" w14:textId="1ADB406E" w:rsidR="00F35D5C" w:rsidRPr="005A6BCE" w:rsidRDefault="00F35D5C" w:rsidP="00A15733">
      <w:pPr>
        <w:rPr>
          <w:rFonts w:ascii="Times New Roman" w:hAnsi="Times New Roman" w:cs="Times New Roman"/>
          <w:sz w:val="24"/>
          <w:szCs w:val="24"/>
        </w:rPr>
      </w:pPr>
      <w:r w:rsidRPr="005A6BCE">
        <w:rPr>
          <w:rFonts w:ascii="Times New Roman" w:hAnsi="Times New Roman" w:cs="Times New Roman"/>
          <w:sz w:val="24"/>
          <w:szCs w:val="24"/>
        </w:rPr>
        <w:t>(AC 2.2)</w:t>
      </w:r>
    </w:p>
    <w:p w14:paraId="209E2A28" w14:textId="2CCC09FC"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Understanding emerging trends in conflict and industrial sanctions is essential for leadership teams, particularly during periods of organisational change. </w:t>
      </w:r>
    </w:p>
    <w:p w14:paraId="6EC3FA00" w14:textId="0E53C86F"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One major trend is the rise in collective action and industrial sanctions. According to CIPD (2024), the UK has seen a noticeable increase in strike action</w:t>
      </w:r>
      <w:r w:rsidR="00F403B3" w:rsidRPr="005A6BCE">
        <w:rPr>
          <w:rFonts w:ascii="Times New Roman" w:eastAsia="Times New Roman" w:hAnsi="Times New Roman" w:cs="Times New Roman"/>
          <w:kern w:val="0"/>
          <w:sz w:val="24"/>
          <w:szCs w:val="24"/>
          <w:lang w:eastAsia="en-GB"/>
          <w14:ligatures w14:val="none"/>
        </w:rPr>
        <w:t xml:space="preserve">. </w:t>
      </w:r>
      <w:r w:rsidRPr="005A6BCE">
        <w:rPr>
          <w:rFonts w:ascii="Times New Roman" w:eastAsia="Times New Roman" w:hAnsi="Times New Roman" w:cs="Times New Roman"/>
          <w:kern w:val="0"/>
          <w:sz w:val="24"/>
          <w:szCs w:val="24"/>
          <w:lang w:eastAsia="en-GB"/>
          <w14:ligatures w14:val="none"/>
        </w:rPr>
        <w:t>The Resolution Foundation (2023) reports that the number of working days lost to strike action reached its highest level in over a decade in 2023. Pay disputes, cost of living pressures, and concerns over working conditions have fuelled this. This is an important consideration for public sector employers, where unionised workforces are more common. Armstrong and Taylor (2023) highlight that such action often reflects deeper concerns about fairness and equity, which leadership must address to maintain trust.</w:t>
      </w:r>
    </w:p>
    <w:p w14:paraId="6F5AB80D" w14:textId="5F37175E"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Another emerging trend </w:t>
      </w:r>
      <w:r w:rsidR="005A6BCE" w:rsidRPr="005A6BCE">
        <w:rPr>
          <w:rFonts w:ascii="Times New Roman" w:eastAsia="Times New Roman" w:hAnsi="Times New Roman" w:cs="Times New Roman"/>
          <w:kern w:val="0"/>
          <w:sz w:val="24"/>
          <w:szCs w:val="24"/>
          <w:lang w:eastAsia="en-GB"/>
          <w14:ligatures w14:val="none"/>
        </w:rPr>
        <w:t xml:space="preserve">is </w:t>
      </w:r>
      <w:r w:rsidRPr="005A6BCE">
        <w:rPr>
          <w:rFonts w:ascii="Times New Roman" w:eastAsia="Times New Roman" w:hAnsi="Times New Roman" w:cs="Times New Roman"/>
          <w:kern w:val="0"/>
          <w:sz w:val="24"/>
          <w:szCs w:val="24"/>
          <w:lang w:eastAsia="en-GB"/>
          <w14:ligatures w14:val="none"/>
        </w:rPr>
        <w:t xml:space="preserve">conflict through social media and public campaigning. Employees </w:t>
      </w:r>
      <w:r w:rsidR="005A6BCE" w:rsidRPr="005A6BCE">
        <w:rPr>
          <w:rFonts w:ascii="Times New Roman" w:eastAsia="Times New Roman" w:hAnsi="Times New Roman" w:cs="Times New Roman"/>
          <w:kern w:val="0"/>
          <w:sz w:val="24"/>
          <w:szCs w:val="24"/>
          <w:lang w:eastAsia="en-GB"/>
          <w14:ligatures w14:val="none"/>
        </w:rPr>
        <w:t>can now</w:t>
      </w:r>
      <w:r w:rsidRPr="005A6BCE">
        <w:rPr>
          <w:rFonts w:ascii="Times New Roman" w:eastAsia="Times New Roman" w:hAnsi="Times New Roman" w:cs="Times New Roman"/>
          <w:kern w:val="0"/>
          <w:sz w:val="24"/>
          <w:szCs w:val="24"/>
          <w:lang w:eastAsia="en-GB"/>
          <w14:ligatures w14:val="none"/>
        </w:rPr>
        <w:t xml:space="preserve"> voice dissatisfaction publicly, creating reputational risks. Platforms such as LinkedIn, and Facebook have been used to highlight disputes, making it harder for employers to manage conflicts quietly behind closed doors (People Management, 2023). This places a greater emphasis on the need for early intervention. Daniels (2022) notes that reputational damage from unresolved conflict can have long</w:t>
      </w:r>
      <w:r w:rsidR="00F403B3" w:rsidRPr="005A6BCE">
        <w:rPr>
          <w:rFonts w:ascii="Times New Roman" w:eastAsia="Times New Roman" w:hAnsi="Times New Roman" w:cs="Times New Roman"/>
          <w:kern w:val="0"/>
          <w:sz w:val="24"/>
          <w:szCs w:val="24"/>
          <w:lang w:eastAsia="en-GB"/>
          <w14:ligatures w14:val="none"/>
        </w:rPr>
        <w:t xml:space="preserve"> </w:t>
      </w:r>
      <w:r w:rsidRPr="005A6BCE">
        <w:rPr>
          <w:rFonts w:ascii="Times New Roman" w:eastAsia="Times New Roman" w:hAnsi="Times New Roman" w:cs="Times New Roman"/>
          <w:kern w:val="0"/>
          <w:sz w:val="24"/>
          <w:szCs w:val="24"/>
          <w:lang w:eastAsia="en-GB"/>
          <w14:ligatures w14:val="none"/>
        </w:rPr>
        <w:t>lasting effects on employee relations</w:t>
      </w:r>
      <w:r w:rsidR="00F403B3" w:rsidRPr="005A6BCE">
        <w:rPr>
          <w:rFonts w:ascii="Times New Roman" w:eastAsia="Times New Roman" w:hAnsi="Times New Roman" w:cs="Times New Roman"/>
          <w:kern w:val="0"/>
          <w:sz w:val="24"/>
          <w:szCs w:val="24"/>
          <w:lang w:eastAsia="en-GB"/>
          <w14:ligatures w14:val="none"/>
        </w:rPr>
        <w:t>.</w:t>
      </w:r>
    </w:p>
    <w:p w14:paraId="0653B3DA" w14:textId="47C1E79E"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There has also been a shift towards individual grievances where employees disengage rather than actively challenge management (CIPD, 2024). Unlike open conflict, this can be harder to detect but damaging to morale and performance. From my own experience managing teams in both private and public sectors, I have seen that in the public sector particularly, quiet conflict can result in reduced productivity and hidden dissatisfaction if not identified early. These behaviours often </w:t>
      </w:r>
      <w:r w:rsidR="005A6BCE" w:rsidRPr="005A6BCE">
        <w:rPr>
          <w:rFonts w:ascii="Times New Roman" w:eastAsia="Times New Roman" w:hAnsi="Times New Roman" w:cs="Times New Roman"/>
          <w:kern w:val="0"/>
          <w:sz w:val="24"/>
          <w:szCs w:val="24"/>
          <w:lang w:eastAsia="en-GB"/>
          <w14:ligatures w14:val="none"/>
        </w:rPr>
        <w:t>come</w:t>
      </w:r>
      <w:r w:rsidRPr="005A6BCE">
        <w:rPr>
          <w:rFonts w:ascii="Times New Roman" w:eastAsia="Times New Roman" w:hAnsi="Times New Roman" w:cs="Times New Roman"/>
          <w:kern w:val="0"/>
          <w:sz w:val="24"/>
          <w:szCs w:val="24"/>
          <w:lang w:eastAsia="en-GB"/>
          <w14:ligatures w14:val="none"/>
        </w:rPr>
        <w:t xml:space="preserve"> from a lack of perceived fairness or psychological safety, which Daniels (2022) argues is a growing concern in modern workplaces.</w:t>
      </w:r>
    </w:p>
    <w:p w14:paraId="058E5382" w14:textId="4277ABA5" w:rsidR="00815B9F" w:rsidRPr="005A6BCE" w:rsidRDefault="005A6BCE"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hAnsi="Times New Roman" w:cs="Times New Roman"/>
          <w:sz w:val="24"/>
          <w:szCs w:val="24"/>
        </w:rPr>
        <w:t xml:space="preserve">Industrial action is changing. Strikes are still common, but </w:t>
      </w:r>
      <w:r w:rsidRPr="005A6BCE">
        <w:rPr>
          <w:rFonts w:ascii="Times New Roman" w:hAnsi="Times New Roman" w:cs="Times New Roman"/>
          <w:sz w:val="24"/>
          <w:szCs w:val="24"/>
        </w:rPr>
        <w:t xml:space="preserve">workers are now </w:t>
      </w:r>
      <w:r w:rsidRPr="005A6BCE">
        <w:rPr>
          <w:rFonts w:ascii="Times New Roman" w:hAnsi="Times New Roman" w:cs="Times New Roman"/>
          <w:sz w:val="24"/>
          <w:szCs w:val="24"/>
        </w:rPr>
        <w:t>using other methods like working strictly to rules, refusing overtime, or slowing down work</w:t>
      </w:r>
      <w:r w:rsidRPr="005A6BCE">
        <w:rPr>
          <w:rFonts w:ascii="Times New Roman" w:hAnsi="Times New Roman" w:cs="Times New Roman"/>
          <w:sz w:val="24"/>
          <w:szCs w:val="24"/>
        </w:rPr>
        <w:t xml:space="preserve"> </w:t>
      </w:r>
      <w:r w:rsidRPr="005A6BCE">
        <w:rPr>
          <w:rFonts w:ascii="Times New Roman" w:hAnsi="Times New Roman" w:cs="Times New Roman"/>
          <w:sz w:val="24"/>
          <w:szCs w:val="24"/>
        </w:rPr>
        <w:t>.</w:t>
      </w:r>
      <w:r w:rsidR="00815B9F" w:rsidRPr="005A6BCE">
        <w:rPr>
          <w:rFonts w:ascii="Times New Roman" w:eastAsia="Times New Roman" w:hAnsi="Times New Roman" w:cs="Times New Roman"/>
          <w:kern w:val="0"/>
          <w:sz w:val="24"/>
          <w:szCs w:val="24"/>
          <w:lang w:eastAsia="en-GB"/>
          <w14:ligatures w14:val="none"/>
        </w:rPr>
        <w:t>These can be less disruptive on the surface but cause operational challenges over time (ACAS, 2024). Leadership teams must be aware of these trends, engage openly with employees, and foster a culture where issues can be raised and addressed constructively. As Armstrong and Taylor (2023) suggest, anticipating workforce concerns and strengthening communication channels is key to navigating a more complex and visible conflict landscape.</w:t>
      </w:r>
    </w:p>
    <w:p w14:paraId="573F098B" w14:textId="77777777" w:rsidR="00815B9F" w:rsidRPr="005A6BCE" w:rsidRDefault="00815B9F" w:rsidP="00A15733">
      <w:pPr>
        <w:rPr>
          <w:rFonts w:ascii="Times New Roman" w:hAnsi="Times New Roman" w:cs="Times New Roman"/>
          <w:sz w:val="24"/>
          <w:szCs w:val="24"/>
        </w:rPr>
      </w:pPr>
    </w:p>
    <w:p w14:paraId="10124331" w14:textId="2D7FDF9F" w:rsidR="00F35D5C" w:rsidRPr="005A6BCE" w:rsidRDefault="00F35D5C" w:rsidP="00F35D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(AC 2.3)</w:t>
      </w:r>
    </w:p>
    <w:p w14:paraId="47D45BF4"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When internal attempts to resolve workplace disputes are unsuccessful, third-party interventions such as conciliation, mediation, and arbitration can offer structured ways to resolve conflict fairly and lawfully. It is important for the leadership team to understand the differences between these methods so that the right approach can be selected for different situations.</w:t>
      </w:r>
    </w:p>
    <w:p w14:paraId="38D873C9" w14:textId="19F46033"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Conciliation is a voluntary process where an independent third party, like ACAS, helps both sides in a dispute to reach a mutually acceptable agreement. According to ACAS (2024), conciliation is often used before an employment tribunal claim is made. </w:t>
      </w:r>
      <w:r w:rsidR="005A6BCE" w:rsidRPr="005A6BCE">
        <w:rPr>
          <w:rFonts w:ascii="Times New Roman" w:eastAsia="Times New Roman" w:hAnsi="Times New Roman" w:cs="Times New Roman"/>
          <w:kern w:val="0"/>
          <w:sz w:val="24"/>
          <w:szCs w:val="24"/>
          <w:lang w:eastAsia="en-GB"/>
          <w14:ligatures w14:val="none"/>
        </w:rPr>
        <w:t>A conciliator doesn’t make a decision</w:t>
      </w:r>
      <w:r w:rsidR="005A6BCE" w:rsidRPr="005A6BCE">
        <w:rPr>
          <w:rFonts w:ascii="Times New Roman" w:eastAsia="Times New Roman" w:hAnsi="Times New Roman" w:cs="Times New Roman"/>
          <w:kern w:val="0"/>
          <w:sz w:val="24"/>
          <w:szCs w:val="24"/>
          <w:lang w:eastAsia="en-GB"/>
          <w14:ligatures w14:val="none"/>
        </w:rPr>
        <w:t>,</w:t>
      </w:r>
      <w:r w:rsidR="005A6BCE" w:rsidRPr="005A6BCE">
        <w:rPr>
          <w:rFonts w:ascii="Times New Roman" w:eastAsia="Times New Roman" w:hAnsi="Times New Roman" w:cs="Times New Roman"/>
          <w:kern w:val="0"/>
          <w:sz w:val="24"/>
          <w:szCs w:val="24"/>
          <w:lang w:eastAsia="en-GB"/>
          <w14:ligatures w14:val="none"/>
        </w:rPr>
        <w:t xml:space="preserve"> but helps both sides look at options and agree on a solution. </w:t>
      </w:r>
      <w:r w:rsidR="005A6BCE" w:rsidRPr="005A6BCE">
        <w:rPr>
          <w:rFonts w:ascii="Times New Roman" w:eastAsia="Times New Roman" w:hAnsi="Times New Roman" w:cs="Times New Roman"/>
          <w:kern w:val="0"/>
          <w:sz w:val="24"/>
          <w:szCs w:val="24"/>
          <w:lang w:eastAsia="en-GB"/>
          <w14:ligatures w14:val="none"/>
        </w:rPr>
        <w:t>Early</w:t>
      </w:r>
      <w:r w:rsidR="005A6BCE" w:rsidRPr="005A6BCE">
        <w:rPr>
          <w:rFonts w:ascii="Times New Roman" w:eastAsia="Times New Roman" w:hAnsi="Times New Roman" w:cs="Times New Roman"/>
          <w:kern w:val="0"/>
          <w:sz w:val="24"/>
          <w:szCs w:val="24"/>
          <w:lang w:eastAsia="en-GB"/>
          <w14:ligatures w14:val="none"/>
        </w:rPr>
        <w:t xml:space="preserve"> conciliation is now required before going to a tribunal, showing how important it has become (Daniels, 2022). Armstrong and Taylor (2023) explain that it can save time, cut legal costs, and help keep the working relationship if possible.</w:t>
      </w:r>
    </w:p>
    <w:p w14:paraId="62DEBF2F" w14:textId="23132F4F"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Mediation is a more informal and flexible process focused on repairing relationships. As described by the CIPD (2024), mediation is typically used within organisations to address interpersonal conflicts, such as communication breakdowns or team disputes. A neutral mediator facilitates a structured conversation to help the individuals involved understand each other’s perspectives and agree on a way forward. In my own experience managing public sector teams, mediation has been particularly effective in restoring working relationships after tensions have built up, without the need for formal disciplinary action. Daniels (2022) supports this view, arguing that early mediation can improve team dynamics and avoid formal grievance procedures.</w:t>
      </w:r>
    </w:p>
    <w:p w14:paraId="16594DC3" w14:textId="7EFD94CD"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Arbitration</w:t>
      </w:r>
      <w:r w:rsidR="005A6BCE" w:rsidRPr="005A6BCE">
        <w:rPr>
          <w:rFonts w:ascii="Times New Roman" w:eastAsia="Times New Roman" w:hAnsi="Times New Roman" w:cs="Times New Roman"/>
          <w:kern w:val="0"/>
          <w:sz w:val="24"/>
          <w:szCs w:val="24"/>
          <w:lang w:eastAsia="en-GB"/>
          <w14:ligatures w14:val="none"/>
        </w:rPr>
        <w:t xml:space="preserve"> </w:t>
      </w:r>
      <w:r w:rsidRPr="005A6BCE">
        <w:rPr>
          <w:rFonts w:ascii="Times New Roman" w:eastAsia="Times New Roman" w:hAnsi="Times New Roman" w:cs="Times New Roman"/>
          <w:kern w:val="0"/>
          <w:sz w:val="24"/>
          <w:szCs w:val="24"/>
          <w:lang w:eastAsia="en-GB"/>
          <w14:ligatures w14:val="none"/>
        </w:rPr>
        <w:t xml:space="preserve">is a more formal process where an independent arbitrator hears both sides of a dispute and then makes a binding decision. Arbitration is usually </w:t>
      </w:r>
      <w:r w:rsidR="005A6BCE" w:rsidRPr="005A6BCE">
        <w:rPr>
          <w:rFonts w:ascii="Times New Roman" w:eastAsia="Times New Roman" w:hAnsi="Times New Roman" w:cs="Times New Roman"/>
          <w:kern w:val="0"/>
          <w:sz w:val="24"/>
          <w:szCs w:val="24"/>
          <w:lang w:eastAsia="en-GB"/>
          <w14:ligatures w14:val="none"/>
        </w:rPr>
        <w:t xml:space="preserve">used </w:t>
      </w:r>
      <w:r w:rsidRPr="005A6BCE">
        <w:rPr>
          <w:rFonts w:ascii="Times New Roman" w:eastAsia="Times New Roman" w:hAnsi="Times New Roman" w:cs="Times New Roman"/>
          <w:kern w:val="0"/>
          <w:sz w:val="24"/>
          <w:szCs w:val="24"/>
          <w:lang w:eastAsia="en-GB"/>
          <w14:ligatures w14:val="none"/>
        </w:rPr>
        <w:t>for more serious disputes where conciliation or mediation have failed, or where a legally enforceable outcome is required. ACAS (2024) provides arbitration services for both individual and collective disputes. Unlike mediation or conciliation, arbitration removes control from the parties, as they must accept the arbitrator's decision. This process may be necessary in high-stakes or deadlocked situations, though it can reduce opportunities for collaborative resolution (Armstrong and Taylor, 2023).</w:t>
      </w:r>
    </w:p>
    <w:p w14:paraId="7B08E397" w14:textId="61428943"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Each method has its place, and the choice depends on the nature of the dispute, the relationship between the parties, and the desired outcome. For the leadership team, being aware of these differences will help manage employee disputes more effectively and avoid costly or damaging escalation. Implementing the right intervention at the right time can preserve workplace harmony and demonstrate a commitment to fair and transparent conflict resolution (CIPD, 2024).</w:t>
      </w:r>
    </w:p>
    <w:p w14:paraId="285F05C6" w14:textId="77777777" w:rsidR="00815B9F" w:rsidRPr="005A6BCE" w:rsidRDefault="00815B9F" w:rsidP="00F35D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7D81C06" w14:textId="319C23D3" w:rsidR="00F35D5C" w:rsidRPr="005A6BCE" w:rsidRDefault="00B65DDF" w:rsidP="00F35D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(AC 3.1)</w:t>
      </w:r>
    </w:p>
    <w:p w14:paraId="2B257307" w14:textId="77777777"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Understanding the legal principles around unfair dismissal is essential to protect both the organisation and its employees. The Employment Rights Act 1996 (ERA 1996) outlines the </w:t>
      </w:r>
      <w:r w:rsidRPr="005A6BCE">
        <w:rPr>
          <w:rFonts w:ascii="Times New Roman" w:eastAsia="Times New Roman" w:hAnsi="Times New Roman" w:cs="Times New Roman"/>
          <w:kern w:val="0"/>
          <w:sz w:val="24"/>
          <w:szCs w:val="24"/>
          <w:lang w:eastAsia="en-GB"/>
          <w14:ligatures w14:val="none"/>
        </w:rPr>
        <w:lastRenderedPageBreak/>
        <w:t>requirements for lawful dismissal. Ignoring these principles can lead to tribunal claims, reputational damage, and reduced trust in the workplace.</w:t>
      </w:r>
    </w:p>
    <w:p w14:paraId="4EA687CC" w14:textId="2861546E"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Under section 94 of the ERA 1996, employees with two or more years continuous service</w:t>
      </w:r>
      <w:r w:rsidRPr="005A6BCE">
        <w:rPr>
          <w:rFonts w:ascii="Times New Roman" w:eastAsia="Times New Roman" w:hAnsi="Times New Roman" w:cs="Times New Roman"/>
          <w:kern w:val="0"/>
          <w:sz w:val="24"/>
          <w:szCs w:val="24"/>
          <w:lang w:eastAsia="en-GB"/>
          <w14:ligatures w14:val="none"/>
        </w:rPr>
        <w:t xml:space="preserve"> (apart from where day 1 rights apply) </w:t>
      </w:r>
      <w:r w:rsidRPr="005A6BCE">
        <w:rPr>
          <w:rFonts w:ascii="Times New Roman" w:eastAsia="Times New Roman" w:hAnsi="Times New Roman" w:cs="Times New Roman"/>
          <w:kern w:val="0"/>
          <w:sz w:val="24"/>
          <w:szCs w:val="24"/>
          <w:lang w:eastAsia="en-GB"/>
          <w14:ligatures w14:val="none"/>
        </w:rPr>
        <w:t>have the right not to be unfairly dismissed. To ensure fairness, employers must show the dismissal was for a fair reason, that a fair procedure was followed, and that the decision fell within a “range of reasonable responses” (ERA, 1996; BHS v Burchell, 1980). Daniels (2022) notes that tribunals assess both the justification and the procedure used.</w:t>
      </w:r>
    </w:p>
    <w:p w14:paraId="561EE724" w14:textId="77777777"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Section 98 of the ERA 1996 sets out five potentially fair reasons for dismissal, including capability and conduct. Capability relates to poor performance, lack of skills, or ill-health. Misconduct covers rule breaches or unacceptable behaviour.</w:t>
      </w:r>
    </w:p>
    <w:p w14:paraId="404F6099" w14:textId="08C6D755"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When addressing capability, employers must follow a fair process</w:t>
      </w:r>
      <w:r w:rsidRPr="005A6BCE">
        <w:rPr>
          <w:rFonts w:ascii="Times New Roman" w:eastAsia="Times New Roman" w:hAnsi="Times New Roman" w:cs="Times New Roman"/>
          <w:kern w:val="0"/>
          <w:sz w:val="24"/>
          <w:szCs w:val="24"/>
          <w:lang w:eastAsia="en-GB"/>
          <w14:ligatures w14:val="none"/>
        </w:rPr>
        <w:t>,</w:t>
      </w:r>
      <w:r w:rsidRPr="005A6BCE">
        <w:rPr>
          <w:rFonts w:ascii="Times New Roman" w:eastAsia="Times New Roman" w:hAnsi="Times New Roman" w:cs="Times New Roman"/>
          <w:kern w:val="0"/>
          <w:sz w:val="24"/>
          <w:szCs w:val="24"/>
          <w:lang w:eastAsia="en-GB"/>
          <w14:ligatures w14:val="none"/>
        </w:rPr>
        <w:t xml:space="preserve"> set clear expectations, provide support and training, and offer reasonable time to improve, typically through a performance improvement plan (PIP) (ACAS, 2023). Armstrong and Taylor (2023) highlight the need for empathy, especially in unionised settings. If ill-health is involved, employers should consider reasonable adjustments under the Equality Act 2010 and seek medical advice before deciding (CIPD, 2024).</w:t>
      </w:r>
    </w:p>
    <w:p w14:paraId="40399F54" w14:textId="77777777"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For misconduct, a fair disciplinary process must include a proper investigation and follow the guidance in BHS v Burchell (1980). The employer must have a genuine belief in the misconduct, based on reasonable grounds and investigation. The ACAS Code of Practice (2023) outlines minimum standards, including notifying the employee of allegations, allowing representation, and offering a right of appeal. Daniels (2022) warns that failing to follow these steps could render a dismissal procedurally unfair, even if the reason is valid.</w:t>
      </w:r>
    </w:p>
    <w:p w14:paraId="5393107A" w14:textId="053A4810" w:rsidR="005A6BCE"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In my experience, capability dismissals in the public sector need sensitive handling, where fairness and wellbeing are prioritised. Misconduct, on the other hand, requires prompt but fair responses</w:t>
      </w:r>
      <w:r w:rsidRPr="005A6BCE">
        <w:rPr>
          <w:rFonts w:ascii="Times New Roman" w:eastAsia="Times New Roman" w:hAnsi="Times New Roman" w:cs="Times New Roman"/>
          <w:kern w:val="0"/>
          <w:sz w:val="24"/>
          <w:szCs w:val="24"/>
          <w:lang w:eastAsia="en-GB"/>
          <w14:ligatures w14:val="none"/>
        </w:rPr>
        <w:t>.</w:t>
      </w:r>
    </w:p>
    <w:p w14:paraId="7C29B336" w14:textId="396A75E4" w:rsidR="00815B9F" w:rsidRPr="005A6BCE" w:rsidRDefault="005A6BCE" w:rsidP="005A6BC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Applying the ERA 1996, ACAS guidance, and case law ensures dismissals are lawful, fair, and respectful. Training line managers on these principles can reduce risk and promote a fairer workplace culture (CIPD, 2024).</w:t>
      </w:r>
    </w:p>
    <w:p w14:paraId="304A4952" w14:textId="5599FB74" w:rsidR="00B65DDF" w:rsidRPr="005A6BCE" w:rsidRDefault="00B65DDF" w:rsidP="00B65DD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(AC 3.2)</w:t>
      </w:r>
    </w:p>
    <w:p w14:paraId="005C9C30" w14:textId="3FF4FD9A"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It is important for the leadership team to understand the most common causes of grievances in order to take proactive steps to reduce them, particularly during a period of organisational change.</w:t>
      </w:r>
    </w:p>
    <w:p w14:paraId="7BE09BED" w14:textId="5214384E"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One key cause of grievances is bullying and harassment. According to the CIPD (2024), bullying remains one of the leading drivers of formal grievances in UK workplaces. Bullying can take many forms</w:t>
      </w:r>
      <w:r w:rsidR="005A6BCE" w:rsidRPr="005A6BCE">
        <w:rPr>
          <w:rFonts w:ascii="Times New Roman" w:eastAsia="Times New Roman" w:hAnsi="Times New Roman" w:cs="Times New Roman"/>
          <w:kern w:val="0"/>
          <w:sz w:val="24"/>
          <w:szCs w:val="24"/>
          <w:lang w:eastAsia="en-GB"/>
          <w14:ligatures w14:val="none"/>
        </w:rPr>
        <w:t xml:space="preserve"> </w:t>
      </w:r>
      <w:r w:rsidRPr="005A6BCE">
        <w:rPr>
          <w:rFonts w:ascii="Times New Roman" w:eastAsia="Times New Roman" w:hAnsi="Times New Roman" w:cs="Times New Roman"/>
          <w:kern w:val="0"/>
          <w:sz w:val="24"/>
          <w:szCs w:val="24"/>
          <w:lang w:eastAsia="en-GB"/>
          <w14:ligatures w14:val="none"/>
        </w:rPr>
        <w:t xml:space="preserve">and it can occur between colleagues, managers, or even clients. In public sector environments, where employees often work closely with vulnerable service users or in high-pressure teams, the risk of bullying grievances can increase if robust policies and training are not in place. From my experience, I have observed that public sector employees are more likely to escalate concerns formally, reflecting the sector's strong culture </w:t>
      </w:r>
      <w:r w:rsidRPr="005A6BCE">
        <w:rPr>
          <w:rFonts w:ascii="Times New Roman" w:eastAsia="Times New Roman" w:hAnsi="Times New Roman" w:cs="Times New Roman"/>
          <w:kern w:val="0"/>
          <w:sz w:val="24"/>
          <w:szCs w:val="24"/>
          <w:lang w:eastAsia="en-GB"/>
          <w14:ligatures w14:val="none"/>
        </w:rPr>
        <w:lastRenderedPageBreak/>
        <w:t>of fairness and dignity at work. Daniels (2022) highlights that anti-bullying frameworks must be backed by consistent enforcement and management accountability to be effective.</w:t>
      </w:r>
    </w:p>
    <w:p w14:paraId="72CABFAB" w14:textId="711F3A49"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 second major cause is workload</w:t>
      </w:r>
      <w:r w:rsidR="005A6BCE" w:rsidRPr="005A6BCE">
        <w:rPr>
          <w:rFonts w:ascii="Times New Roman" w:eastAsia="Times New Roman" w:hAnsi="Times New Roman" w:cs="Times New Roman"/>
          <w:kern w:val="0"/>
          <w:sz w:val="24"/>
          <w:szCs w:val="24"/>
          <w:lang w:eastAsia="en-GB"/>
          <w14:ligatures w14:val="none"/>
        </w:rPr>
        <w:t xml:space="preserve">. </w:t>
      </w:r>
      <w:r w:rsidRPr="005A6BCE">
        <w:rPr>
          <w:rFonts w:ascii="Times New Roman" w:eastAsia="Times New Roman" w:hAnsi="Times New Roman" w:cs="Times New Roman"/>
          <w:kern w:val="0"/>
          <w:sz w:val="24"/>
          <w:szCs w:val="24"/>
          <w:lang w:eastAsia="en-GB"/>
          <w14:ligatures w14:val="none"/>
        </w:rPr>
        <w:t>In both private and public sector roles I have managed, excessive workload has been a source of employee dissatisfaction. ACAS (2024) identifies unreasonable demands, lack of resources, and poor workload planning as common grievance triggers. Following a merger, employees may face new duties, all of which can cause stress and resentment if not carefully managed. Armstrong and Taylor (2023) stress that excessive work demands, particularly if perceived as unfair, can lead to burnout and formal complaints. Clear communication, realistic workload assessments, and regular check-ins with staff are essential in addressing these issues early.</w:t>
      </w:r>
    </w:p>
    <w:p w14:paraId="6727F2FD" w14:textId="433E354E"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The third significant cause is poor communication and lack of consultation. When employees feel excluded from decision-making, or when changes are poorly communicated, frustration and mistrust can quickly escalate into formal grievances. As Armstrong and Taylor (2023) emphasise, transparent and two-way communication is fundamental to good employee relations. I have found that public sector employees often expect higher levels of consultation, especially around changes that affect job roles, work locations, or terms and conditions. Daniels (2022) supports this, noting that perceived exclusion from decision-making processes often leads to a breakdown in trust and increased formal conflict.</w:t>
      </w:r>
    </w:p>
    <w:p w14:paraId="02A1B519"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Bullying, workload issues, and poor communication are three of the most common and damaging causes of grievances. By identifying these risks early, implementing preventative measures, and encouraging open dialogue, the leadership team can minimise grievance claims, foster a more engaged workforce, and support a smoother post-merger transition. Promoting psychological safety and clear grievance procedures, as advised by the CIPD (2024), will further help create a fair and supportive workplace culture.</w:t>
      </w:r>
    </w:p>
    <w:p w14:paraId="746821F5" w14:textId="77777777" w:rsidR="00815B9F" w:rsidRPr="005A6BCE" w:rsidRDefault="00815B9F" w:rsidP="00B65DD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DAA6403" w14:textId="39898EF7" w:rsidR="00B65DDF" w:rsidRPr="005A6BCE" w:rsidRDefault="00B65DDF" w:rsidP="00B65DD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(AC 3.3)</w:t>
      </w:r>
    </w:p>
    <w:p w14:paraId="187F448F"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Handling employee grievances effectively is critical to maintaining trust, morale, and organisational performance, particularly following a major change such as a merger. Poor grievance handling can damage employee relationships, increase turnover, harm the organisation’s reputation, and lead to costly tribunal claims.</w:t>
      </w:r>
    </w:p>
    <w:p w14:paraId="6575DEB7"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An effective grievance process ensures that employees feel listened to and treated fairly. According to ACAS (2023), organisations that respond promptly and fairly to grievances are more likely to maintain positive employment relationships, reduce conflict, and avoid escalation into formal disputes. From my experience managing teams across both the private and public sectors, I have seen how early and fair intervention in grievances can prevent minor concerns from growing into wider organisational issues. In the public sector particularly, there is a strong expectation among employees that concerns will be taken seriously, addressed fairly, and resolved transparently. Daniels (2022, Ch.10) notes that the perception of procedural fairness is as important as the outcome itself in maintaining trust in the system.</w:t>
      </w:r>
    </w:p>
    <w:p w14:paraId="75EDF83B"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 xml:space="preserve">The CIPD (2024) highlights that good grievance management supports employee engagement and wellbeing. When employees feel confident that they can raise concerns without fear of </w:t>
      </w:r>
      <w:r w:rsidRPr="005A6BCE">
        <w:rPr>
          <w:rFonts w:ascii="Times New Roman" w:eastAsia="Times New Roman" w:hAnsi="Times New Roman" w:cs="Times New Roman"/>
          <w:kern w:val="0"/>
          <w:sz w:val="24"/>
          <w:szCs w:val="24"/>
          <w:lang w:eastAsia="en-GB"/>
          <w14:ligatures w14:val="none"/>
        </w:rPr>
        <w:lastRenderedPageBreak/>
        <w:t>retaliation, they are more likely to remain committed to their work and the organisation. In contrast, mishandling grievances can lead to disengagement, increased absenteeism, and a breakdown of trust. Employees who do not feel heard may also be more likely to seek external resolution through employment tribunals, which can be costly and damaging to organisational reputation. Armstrong and Taylor (2023) warn that unresolved grievances can become embedded in organisational culture and contribute to a toxic working environment if not managed properly.</w:t>
      </w:r>
    </w:p>
    <w:p w14:paraId="4558E2E6"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Handling grievances effectively also demonstrates compliance with legal obligations under the Employment Rights Act 1996 and the ACAS Code of Practice on Disciplinary and Grievance Procedures (ACAS, 2023). These standards require that employees have the opportunity to raise concerns, have them investigated fairly, and be informed of outcomes. Following a fair process is not only a legal requirement but also a key part of promoting a culture of fairness and respect. Daniels (2022) highlights that failure to follow procedure can lead to findings of constructive dismissal even if the original issue seemed minor.</w:t>
      </w:r>
    </w:p>
    <w:p w14:paraId="7E0567F2"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Good grievance handling involves several key practices: early intervention, clear and accessible procedures, impartial investigations, and transparent communication. Managers should be trained to recognise and respond to grievances appropriately, ensuring that outcomes are consistent and reasonable. In my own practice, I have found that encouraging informal resolution where appropriate — through open conversations and mediation — often resolves concerns more quickly and preserves working relationships.</w:t>
      </w:r>
    </w:p>
    <w:p w14:paraId="30719950" w14:textId="77777777" w:rsidR="00815B9F" w:rsidRPr="005A6BCE" w:rsidRDefault="00815B9F" w:rsidP="00815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A6BCE">
        <w:rPr>
          <w:rFonts w:ascii="Times New Roman" w:eastAsia="Times New Roman" w:hAnsi="Times New Roman" w:cs="Times New Roman"/>
          <w:kern w:val="0"/>
          <w:sz w:val="24"/>
          <w:szCs w:val="24"/>
          <w:lang w:eastAsia="en-GB"/>
          <w14:ligatures w14:val="none"/>
        </w:rPr>
        <w:t>Effective grievance handling is a vital part of good people management. It protects the organisation legally, supports employee wellbeing, and strengthens the psychological contract between employees and leadership. For the new leadership team, embedding a strong grievance management culture will be essential to building trust and engagement across the newly merged workforce. CIPD (2024) recommends embedding grievance principles into leadership development programmes to ensure that consistent and empathetic responses are maintained across all levels of management.</w:t>
      </w:r>
    </w:p>
    <w:p w14:paraId="753BD13C" w14:textId="77777777" w:rsidR="005A6D61" w:rsidRPr="005A6BCE" w:rsidRDefault="005A6D61" w:rsidP="00A15733">
      <w:pPr>
        <w:rPr>
          <w:rFonts w:ascii="Times New Roman" w:hAnsi="Times New Roman" w:cs="Times New Roman"/>
          <w:sz w:val="24"/>
          <w:szCs w:val="24"/>
        </w:rPr>
      </w:pPr>
    </w:p>
    <w:p w14:paraId="20B86C80" w14:textId="77777777" w:rsidR="00976F42" w:rsidRPr="00B65DDF" w:rsidRDefault="00976F42" w:rsidP="00CB4195">
      <w:pPr>
        <w:rPr>
          <w:rFonts w:ascii="Times New Roman" w:hAnsi="Times New Roman" w:cs="Times New Roman"/>
          <w:sz w:val="24"/>
          <w:szCs w:val="24"/>
        </w:rPr>
      </w:pPr>
    </w:p>
    <w:p w14:paraId="7FC0BE3E" w14:textId="77777777" w:rsidR="00CB4195" w:rsidRPr="00976F42" w:rsidRDefault="00CB4195" w:rsidP="00CB4195">
      <w:pPr>
        <w:rPr>
          <w:rFonts w:ascii="Times New Roman" w:hAnsi="Times New Roman" w:cs="Times New Roman"/>
          <w:b/>
          <w:bCs/>
          <w:sz w:val="24"/>
          <w:szCs w:val="24"/>
          <w:u w:val="single"/>
        </w:rPr>
      </w:pPr>
      <w:r w:rsidRPr="00976F42">
        <w:rPr>
          <w:rFonts w:ascii="Times New Roman" w:hAnsi="Times New Roman" w:cs="Times New Roman"/>
          <w:b/>
          <w:bCs/>
          <w:sz w:val="24"/>
          <w:szCs w:val="24"/>
          <w:u w:val="single"/>
        </w:rPr>
        <w:t>References</w:t>
      </w:r>
    </w:p>
    <w:p w14:paraId="204F4676" w14:textId="77777777" w:rsidR="00CB4195" w:rsidRPr="00CB4195" w:rsidRDefault="00CB4195" w:rsidP="00CB4195">
      <w:pPr>
        <w:rPr>
          <w:rFonts w:ascii="Times New Roman" w:hAnsi="Times New Roman" w:cs="Times New Roman"/>
          <w:sz w:val="24"/>
          <w:szCs w:val="24"/>
        </w:rPr>
      </w:pPr>
    </w:p>
    <w:p w14:paraId="485A46D5" w14:textId="431E0815"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ACAS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Discipline and grievances at work: the ACAS guide</w:t>
      </w:r>
      <w:r w:rsidRPr="00C93D4E">
        <w:rPr>
          <w:rFonts w:ascii="Times New Roman" w:eastAsia="Times New Roman" w:hAnsi="Times New Roman" w:cs="Times New Roman"/>
          <w:kern w:val="0"/>
          <w:sz w:val="24"/>
          <w:szCs w:val="24"/>
          <w:lang w:eastAsia="en-GB"/>
          <w14:ligatures w14:val="none"/>
        </w:rPr>
        <w:t xml:space="preserve">. Available at: </w:t>
      </w:r>
      <w:hyperlink r:id="rId4" w:tgtFrame="_new" w:history="1">
        <w:r w:rsidRPr="00C93D4E">
          <w:rPr>
            <w:rFonts w:ascii="Times New Roman" w:eastAsia="Times New Roman" w:hAnsi="Times New Roman" w:cs="Times New Roman"/>
            <w:color w:val="0000FF"/>
            <w:kern w:val="0"/>
            <w:sz w:val="24"/>
            <w:szCs w:val="24"/>
            <w:u w:val="single"/>
            <w:lang w:eastAsia="en-GB"/>
            <w14:ligatures w14:val="none"/>
          </w:rPr>
          <w:t>https://www.acas.org.uk/acas-code-of-practice-on-disciplinary-and-grievance-procedures</w:t>
        </w:r>
      </w:hyperlink>
      <w:r w:rsidRPr="00C93D4E">
        <w:rPr>
          <w:rFonts w:ascii="Times New Roman" w:eastAsia="Times New Roman" w:hAnsi="Times New Roman" w:cs="Times New Roman"/>
          <w:kern w:val="0"/>
          <w:sz w:val="24"/>
          <w:szCs w:val="24"/>
          <w:lang w:eastAsia="en-GB"/>
          <w14:ligatures w14:val="none"/>
        </w:rPr>
        <w:t xml:space="preserve"> </w:t>
      </w:r>
    </w:p>
    <w:p w14:paraId="4A5C43C7" w14:textId="2686D54B"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ACAS (2024a)</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Conciliation, mediation and arbitration explained</w:t>
      </w:r>
      <w:r w:rsidRPr="00C93D4E">
        <w:rPr>
          <w:rFonts w:ascii="Times New Roman" w:eastAsia="Times New Roman" w:hAnsi="Times New Roman" w:cs="Times New Roman"/>
          <w:kern w:val="0"/>
          <w:sz w:val="24"/>
          <w:szCs w:val="24"/>
          <w:lang w:eastAsia="en-GB"/>
          <w14:ligatures w14:val="none"/>
        </w:rPr>
        <w:t xml:space="preserve">. Available at: https://www.acas.org.uk/conciliation-mediation-arbitration </w:t>
      </w:r>
    </w:p>
    <w:p w14:paraId="50A1006F" w14:textId="3995957B"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ACAS (2024b)</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Handling grievances at work</w:t>
      </w:r>
      <w:r w:rsidRPr="00C93D4E">
        <w:rPr>
          <w:rFonts w:ascii="Times New Roman" w:eastAsia="Times New Roman" w:hAnsi="Times New Roman" w:cs="Times New Roman"/>
          <w:kern w:val="0"/>
          <w:sz w:val="24"/>
          <w:szCs w:val="24"/>
          <w:lang w:eastAsia="en-GB"/>
          <w14:ligatures w14:val="none"/>
        </w:rPr>
        <w:t xml:space="preserve">. Available at: </w:t>
      </w:r>
      <w:hyperlink r:id="rId5" w:tgtFrame="_new" w:history="1">
        <w:r w:rsidRPr="00C93D4E">
          <w:rPr>
            <w:rFonts w:ascii="Times New Roman" w:eastAsia="Times New Roman" w:hAnsi="Times New Roman" w:cs="Times New Roman"/>
            <w:color w:val="0000FF"/>
            <w:kern w:val="0"/>
            <w:sz w:val="24"/>
            <w:szCs w:val="24"/>
            <w:u w:val="single"/>
            <w:lang w:eastAsia="en-GB"/>
            <w14:ligatures w14:val="none"/>
          </w:rPr>
          <w:t>https://www.acas.org.uk/handling-grievances</w:t>
        </w:r>
      </w:hyperlink>
      <w:r w:rsidRPr="00C93D4E">
        <w:rPr>
          <w:rFonts w:ascii="Times New Roman" w:eastAsia="Times New Roman" w:hAnsi="Times New Roman" w:cs="Times New Roman"/>
          <w:kern w:val="0"/>
          <w:sz w:val="24"/>
          <w:szCs w:val="24"/>
          <w:lang w:eastAsia="en-GB"/>
          <w14:ligatures w14:val="none"/>
        </w:rPr>
        <w:t xml:space="preserve"> </w:t>
      </w:r>
    </w:p>
    <w:p w14:paraId="4B9A85AE" w14:textId="6742B226"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ACAS (2024c)</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Managing conflict at work</w:t>
      </w:r>
      <w:r w:rsidRPr="00C93D4E">
        <w:rPr>
          <w:rFonts w:ascii="Times New Roman" w:eastAsia="Times New Roman" w:hAnsi="Times New Roman" w:cs="Times New Roman"/>
          <w:kern w:val="0"/>
          <w:sz w:val="24"/>
          <w:szCs w:val="24"/>
          <w:lang w:eastAsia="en-GB"/>
          <w14:ligatures w14:val="none"/>
        </w:rPr>
        <w:t xml:space="preserve">. Available at: https://www.acas.org.uk/managing-conflict </w:t>
      </w:r>
    </w:p>
    <w:p w14:paraId="02073882" w14:textId="77777777"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lastRenderedPageBreak/>
        <w:t>Armstrong, M. and Taylor, S.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Armstrong’s Handbook of Human Resource Management Practice</w:t>
      </w:r>
      <w:r w:rsidRPr="00C93D4E">
        <w:rPr>
          <w:rFonts w:ascii="Times New Roman" w:eastAsia="Times New Roman" w:hAnsi="Times New Roman" w:cs="Times New Roman"/>
          <w:kern w:val="0"/>
          <w:sz w:val="24"/>
          <w:szCs w:val="24"/>
          <w:lang w:eastAsia="en-GB"/>
          <w14:ligatures w14:val="none"/>
        </w:rPr>
        <w:t xml:space="preserve">. 16th </w:t>
      </w:r>
      <w:proofErr w:type="spellStart"/>
      <w:r w:rsidRPr="00C93D4E">
        <w:rPr>
          <w:rFonts w:ascii="Times New Roman" w:eastAsia="Times New Roman" w:hAnsi="Times New Roman" w:cs="Times New Roman"/>
          <w:kern w:val="0"/>
          <w:sz w:val="24"/>
          <w:szCs w:val="24"/>
          <w:lang w:eastAsia="en-GB"/>
          <w14:ligatures w14:val="none"/>
        </w:rPr>
        <w:t>edn</w:t>
      </w:r>
      <w:proofErr w:type="spellEnd"/>
      <w:r w:rsidRPr="00C93D4E">
        <w:rPr>
          <w:rFonts w:ascii="Times New Roman" w:eastAsia="Times New Roman" w:hAnsi="Times New Roman" w:cs="Times New Roman"/>
          <w:kern w:val="0"/>
          <w:sz w:val="24"/>
          <w:szCs w:val="24"/>
          <w:lang w:eastAsia="en-GB"/>
          <w14:ligatures w14:val="none"/>
        </w:rPr>
        <w:t>. London: Kogan Page.</w:t>
      </w:r>
    </w:p>
    <w:p w14:paraId="6A0F93F6" w14:textId="7D7DA620"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 xml:space="preserve">BHS v Burchell </w:t>
      </w:r>
      <w:r w:rsidR="006E3524">
        <w:rPr>
          <w:rFonts w:ascii="Times New Roman" w:eastAsia="Times New Roman" w:hAnsi="Times New Roman" w:cs="Times New Roman"/>
          <w:b/>
          <w:bCs/>
          <w:kern w:val="0"/>
          <w:sz w:val="24"/>
          <w:szCs w:val="24"/>
          <w:lang w:eastAsia="en-GB"/>
          <w14:ligatures w14:val="none"/>
        </w:rPr>
        <w:t>(</w:t>
      </w:r>
      <w:r w:rsidRPr="00C93D4E">
        <w:rPr>
          <w:rFonts w:ascii="Times New Roman" w:eastAsia="Times New Roman" w:hAnsi="Times New Roman" w:cs="Times New Roman"/>
          <w:b/>
          <w:bCs/>
          <w:kern w:val="0"/>
          <w:sz w:val="24"/>
          <w:szCs w:val="24"/>
          <w:lang w:eastAsia="en-GB"/>
          <w14:ligatures w14:val="none"/>
        </w:rPr>
        <w:t>1980</w:t>
      </w:r>
      <w:r w:rsidR="006E3524">
        <w:rPr>
          <w:rFonts w:ascii="Times New Roman" w:eastAsia="Times New Roman" w:hAnsi="Times New Roman" w:cs="Times New Roman"/>
          <w:b/>
          <w:bCs/>
          <w:kern w:val="0"/>
          <w:sz w:val="24"/>
          <w:szCs w:val="24"/>
          <w:lang w:eastAsia="en-GB"/>
          <w14:ligatures w14:val="none"/>
        </w:rPr>
        <w:t>)</w:t>
      </w:r>
      <w:r w:rsidRPr="00C93D4E">
        <w:rPr>
          <w:rFonts w:ascii="Times New Roman" w:eastAsia="Times New Roman" w:hAnsi="Times New Roman" w:cs="Times New Roman"/>
          <w:kern w:val="0"/>
          <w:sz w:val="24"/>
          <w:szCs w:val="24"/>
          <w:lang w:eastAsia="en-GB"/>
          <w14:ligatures w14:val="none"/>
        </w:rPr>
        <w:t xml:space="preserve"> ICR 303 (EAT).</w:t>
      </w:r>
    </w:p>
    <w:p w14:paraId="72AC422C" w14:textId="374E8A8B"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(2022)</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Employee voice and engagement</w:t>
      </w:r>
      <w:r w:rsidRPr="00C93D4E">
        <w:rPr>
          <w:rFonts w:ascii="Times New Roman" w:eastAsia="Times New Roman" w:hAnsi="Times New Roman" w:cs="Times New Roman"/>
          <w:kern w:val="0"/>
          <w:sz w:val="24"/>
          <w:szCs w:val="24"/>
          <w:lang w:eastAsia="en-GB"/>
          <w14:ligatures w14:val="none"/>
        </w:rPr>
        <w:t xml:space="preserve">. Available at: </w:t>
      </w:r>
      <w:hyperlink r:id="rId6" w:tgtFrame="_new" w:history="1">
        <w:r w:rsidRPr="00C93D4E">
          <w:rPr>
            <w:rFonts w:ascii="Times New Roman" w:eastAsia="Times New Roman" w:hAnsi="Times New Roman" w:cs="Times New Roman"/>
            <w:color w:val="0000FF"/>
            <w:kern w:val="0"/>
            <w:sz w:val="24"/>
            <w:szCs w:val="24"/>
            <w:u w:val="single"/>
            <w:lang w:eastAsia="en-GB"/>
            <w14:ligatures w14:val="none"/>
          </w:rPr>
          <w:t>https://www.cipd.co.uk/knowledge/fundamentals/relations/communication/voice-factsheet</w:t>
        </w:r>
      </w:hyperlink>
      <w:r w:rsidRPr="00C93D4E">
        <w:rPr>
          <w:rFonts w:ascii="Times New Roman" w:eastAsia="Times New Roman" w:hAnsi="Times New Roman" w:cs="Times New Roman"/>
          <w:kern w:val="0"/>
          <w:sz w:val="24"/>
          <w:szCs w:val="24"/>
          <w:lang w:eastAsia="en-GB"/>
          <w14:ligatures w14:val="none"/>
        </w:rPr>
        <w:t xml:space="preserve"> </w:t>
      </w:r>
    </w:p>
    <w:p w14:paraId="557381DA" w14:textId="485CC728"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Conflict management and mediation</w:t>
      </w:r>
      <w:r w:rsidRPr="00C93D4E">
        <w:rPr>
          <w:rFonts w:ascii="Times New Roman" w:eastAsia="Times New Roman" w:hAnsi="Times New Roman" w:cs="Times New Roman"/>
          <w:kern w:val="0"/>
          <w:sz w:val="24"/>
          <w:szCs w:val="24"/>
          <w:lang w:eastAsia="en-GB"/>
          <w14:ligatures w14:val="none"/>
        </w:rPr>
        <w:t xml:space="preserve">. Available at: </w:t>
      </w:r>
      <w:hyperlink r:id="rId7" w:tgtFrame="_new" w:history="1">
        <w:r w:rsidRPr="00C93D4E">
          <w:rPr>
            <w:rFonts w:ascii="Times New Roman" w:eastAsia="Times New Roman" w:hAnsi="Times New Roman" w:cs="Times New Roman"/>
            <w:color w:val="0000FF"/>
            <w:kern w:val="0"/>
            <w:sz w:val="24"/>
            <w:szCs w:val="24"/>
            <w:u w:val="single"/>
            <w:lang w:eastAsia="en-GB"/>
            <w14:ligatures w14:val="none"/>
          </w:rPr>
          <w:t>https://www.cipd.org/uk/knowledge/guides/conflict-management-mediation</w:t>
        </w:r>
      </w:hyperlink>
      <w:r w:rsidRPr="00C93D4E">
        <w:rPr>
          <w:rFonts w:ascii="Times New Roman" w:eastAsia="Times New Roman" w:hAnsi="Times New Roman" w:cs="Times New Roman"/>
          <w:kern w:val="0"/>
          <w:sz w:val="24"/>
          <w:szCs w:val="24"/>
          <w:lang w:eastAsia="en-GB"/>
          <w14:ligatures w14:val="none"/>
        </w:rPr>
        <w:t xml:space="preserve"> </w:t>
      </w:r>
    </w:p>
    <w:p w14:paraId="4B496960" w14:textId="2A5131E8"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Employee voice and representation</w:t>
      </w:r>
      <w:r w:rsidRPr="00C93D4E">
        <w:rPr>
          <w:rFonts w:ascii="Times New Roman" w:eastAsia="Times New Roman" w:hAnsi="Times New Roman" w:cs="Times New Roman"/>
          <w:kern w:val="0"/>
          <w:sz w:val="24"/>
          <w:szCs w:val="24"/>
          <w:lang w:eastAsia="en-GB"/>
          <w14:ligatures w14:val="none"/>
        </w:rPr>
        <w:t xml:space="preserve">. Available at: https://www.cipd.org/uk/knowledge/fundamentals/relations/communication/voice-factsheet </w:t>
      </w:r>
    </w:p>
    <w:p w14:paraId="5A5C7844" w14:textId="5B109DD7"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Good Work Index 2024</w:t>
      </w:r>
      <w:r w:rsidRPr="00C93D4E">
        <w:rPr>
          <w:rFonts w:ascii="Times New Roman" w:eastAsia="Times New Roman" w:hAnsi="Times New Roman" w:cs="Times New Roman"/>
          <w:kern w:val="0"/>
          <w:sz w:val="24"/>
          <w:szCs w:val="24"/>
          <w:lang w:eastAsia="en-GB"/>
          <w14:ligatures w14:val="none"/>
        </w:rPr>
        <w:t xml:space="preserve">. Available at: </w:t>
      </w:r>
      <w:hyperlink r:id="rId8" w:tgtFrame="_new" w:history="1">
        <w:r w:rsidRPr="00C93D4E">
          <w:rPr>
            <w:rFonts w:ascii="Times New Roman" w:eastAsia="Times New Roman" w:hAnsi="Times New Roman" w:cs="Times New Roman"/>
            <w:color w:val="0000FF"/>
            <w:kern w:val="0"/>
            <w:sz w:val="24"/>
            <w:szCs w:val="24"/>
            <w:u w:val="single"/>
            <w:lang w:eastAsia="en-GB"/>
            <w14:ligatures w14:val="none"/>
          </w:rPr>
          <w:t>https://www.cipd.org/uk/knowledge/reports/good-work-index</w:t>
        </w:r>
      </w:hyperlink>
      <w:r w:rsidRPr="00C93D4E">
        <w:rPr>
          <w:rFonts w:ascii="Times New Roman" w:eastAsia="Times New Roman" w:hAnsi="Times New Roman" w:cs="Times New Roman"/>
          <w:kern w:val="0"/>
          <w:sz w:val="24"/>
          <w:szCs w:val="24"/>
          <w:lang w:eastAsia="en-GB"/>
          <w14:ligatures w14:val="none"/>
        </w:rPr>
        <w:t xml:space="preserve"> </w:t>
      </w:r>
    </w:p>
    <w:p w14:paraId="287EB43A" w14:textId="14914A7E"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Managing conflict in the modern workplace</w:t>
      </w:r>
      <w:r w:rsidRPr="00C93D4E">
        <w:rPr>
          <w:rFonts w:ascii="Times New Roman" w:eastAsia="Times New Roman" w:hAnsi="Times New Roman" w:cs="Times New Roman"/>
          <w:kern w:val="0"/>
          <w:sz w:val="24"/>
          <w:szCs w:val="24"/>
          <w:lang w:eastAsia="en-GB"/>
          <w14:ligatures w14:val="none"/>
        </w:rPr>
        <w:t xml:space="preserve">. Available at: </w:t>
      </w:r>
      <w:hyperlink r:id="rId9" w:tgtFrame="_new" w:history="1">
        <w:r w:rsidRPr="00C93D4E">
          <w:rPr>
            <w:rFonts w:ascii="Times New Roman" w:eastAsia="Times New Roman" w:hAnsi="Times New Roman" w:cs="Times New Roman"/>
            <w:color w:val="0000FF"/>
            <w:kern w:val="0"/>
            <w:sz w:val="24"/>
            <w:szCs w:val="24"/>
            <w:u w:val="single"/>
            <w:lang w:eastAsia="en-GB"/>
            <w14:ligatures w14:val="none"/>
          </w:rPr>
          <w:t>https://www.cipd.org/uk/knowledge/guides/workplace-conflict</w:t>
        </w:r>
      </w:hyperlink>
      <w:r w:rsidRPr="00C93D4E">
        <w:rPr>
          <w:rFonts w:ascii="Times New Roman" w:eastAsia="Times New Roman" w:hAnsi="Times New Roman" w:cs="Times New Roman"/>
          <w:kern w:val="0"/>
          <w:sz w:val="24"/>
          <w:szCs w:val="24"/>
          <w:lang w:eastAsia="en-GB"/>
          <w14:ligatures w14:val="none"/>
        </w:rPr>
        <w:t xml:space="preserve"> </w:t>
      </w:r>
    </w:p>
    <w:p w14:paraId="1FD4E1A6" w14:textId="44574FF3"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CIPD (2024)</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Managing performance and disciplinary issues</w:t>
      </w:r>
      <w:r w:rsidRPr="00C93D4E">
        <w:rPr>
          <w:rFonts w:ascii="Times New Roman" w:eastAsia="Times New Roman" w:hAnsi="Times New Roman" w:cs="Times New Roman"/>
          <w:kern w:val="0"/>
          <w:sz w:val="24"/>
          <w:szCs w:val="24"/>
          <w:lang w:eastAsia="en-GB"/>
          <w14:ligatures w14:val="none"/>
        </w:rPr>
        <w:t xml:space="preserve">. Available at: </w:t>
      </w:r>
      <w:hyperlink r:id="rId10" w:tgtFrame="_new" w:history="1">
        <w:r w:rsidRPr="00C93D4E">
          <w:rPr>
            <w:rFonts w:ascii="Times New Roman" w:eastAsia="Times New Roman" w:hAnsi="Times New Roman" w:cs="Times New Roman"/>
            <w:color w:val="0000FF"/>
            <w:kern w:val="0"/>
            <w:sz w:val="24"/>
            <w:szCs w:val="24"/>
            <w:u w:val="single"/>
            <w:lang w:eastAsia="en-GB"/>
            <w14:ligatures w14:val="none"/>
          </w:rPr>
          <w:t>https://www.cipd.org/uk/knowledge/guides/managing-disciplinary-performance-issues</w:t>
        </w:r>
      </w:hyperlink>
      <w:r w:rsidRPr="00C93D4E">
        <w:rPr>
          <w:rFonts w:ascii="Times New Roman" w:eastAsia="Times New Roman" w:hAnsi="Times New Roman" w:cs="Times New Roman"/>
          <w:kern w:val="0"/>
          <w:sz w:val="24"/>
          <w:szCs w:val="24"/>
          <w:lang w:eastAsia="en-GB"/>
          <w14:ligatures w14:val="none"/>
        </w:rPr>
        <w:t xml:space="preserve"> </w:t>
      </w:r>
    </w:p>
    <w:p w14:paraId="44E16935" w14:textId="77777777"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Daniels, K. (2022)</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Introduction to Employment Law: Fundamentals for HR and Business Students</w:t>
      </w:r>
      <w:r w:rsidRPr="00C93D4E">
        <w:rPr>
          <w:rFonts w:ascii="Times New Roman" w:eastAsia="Times New Roman" w:hAnsi="Times New Roman" w:cs="Times New Roman"/>
          <w:kern w:val="0"/>
          <w:sz w:val="24"/>
          <w:szCs w:val="24"/>
          <w:lang w:eastAsia="en-GB"/>
          <w14:ligatures w14:val="none"/>
        </w:rPr>
        <w:t xml:space="preserve">. 6th </w:t>
      </w:r>
      <w:proofErr w:type="spellStart"/>
      <w:r w:rsidRPr="00C93D4E">
        <w:rPr>
          <w:rFonts w:ascii="Times New Roman" w:eastAsia="Times New Roman" w:hAnsi="Times New Roman" w:cs="Times New Roman"/>
          <w:kern w:val="0"/>
          <w:sz w:val="24"/>
          <w:szCs w:val="24"/>
          <w:lang w:eastAsia="en-GB"/>
          <w14:ligatures w14:val="none"/>
        </w:rPr>
        <w:t>edn</w:t>
      </w:r>
      <w:proofErr w:type="spellEnd"/>
      <w:r w:rsidRPr="00C93D4E">
        <w:rPr>
          <w:rFonts w:ascii="Times New Roman" w:eastAsia="Times New Roman" w:hAnsi="Times New Roman" w:cs="Times New Roman"/>
          <w:kern w:val="0"/>
          <w:sz w:val="24"/>
          <w:szCs w:val="24"/>
          <w:lang w:eastAsia="en-GB"/>
          <w14:ligatures w14:val="none"/>
        </w:rPr>
        <w:t>. London: CIPD.</w:t>
      </w:r>
    </w:p>
    <w:p w14:paraId="168DF02C" w14:textId="5ACF6CFE"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Employment Rights Act 1996</w:t>
      </w:r>
      <w:r w:rsidRPr="00C93D4E">
        <w:rPr>
          <w:rFonts w:ascii="Times New Roman" w:eastAsia="Times New Roman" w:hAnsi="Times New Roman" w:cs="Times New Roman"/>
          <w:kern w:val="0"/>
          <w:sz w:val="24"/>
          <w:szCs w:val="24"/>
          <w:lang w:eastAsia="en-GB"/>
          <w14:ligatures w14:val="none"/>
        </w:rPr>
        <w:t xml:space="preserve">. Available at: </w:t>
      </w:r>
      <w:hyperlink r:id="rId11" w:tgtFrame="_new" w:history="1">
        <w:r w:rsidRPr="00C93D4E">
          <w:rPr>
            <w:rFonts w:ascii="Times New Roman" w:eastAsia="Times New Roman" w:hAnsi="Times New Roman" w:cs="Times New Roman"/>
            <w:color w:val="0000FF"/>
            <w:kern w:val="0"/>
            <w:sz w:val="24"/>
            <w:szCs w:val="24"/>
            <w:u w:val="single"/>
            <w:lang w:eastAsia="en-GB"/>
            <w14:ligatures w14:val="none"/>
          </w:rPr>
          <w:t>https://www.legislation.gov.uk/ukpga/1996/18/contents</w:t>
        </w:r>
      </w:hyperlink>
      <w:r w:rsidRPr="00C93D4E">
        <w:rPr>
          <w:rFonts w:ascii="Times New Roman" w:eastAsia="Times New Roman" w:hAnsi="Times New Roman" w:cs="Times New Roman"/>
          <w:kern w:val="0"/>
          <w:sz w:val="24"/>
          <w:szCs w:val="24"/>
          <w:lang w:eastAsia="en-GB"/>
          <w14:ligatures w14:val="none"/>
        </w:rPr>
        <w:t xml:space="preserve"> </w:t>
      </w:r>
    </w:p>
    <w:p w14:paraId="5E437A42" w14:textId="0FDE0CF5"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Engage for Success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The evidence: The benefits of employee engagement</w:t>
      </w:r>
      <w:r w:rsidRPr="00C93D4E">
        <w:rPr>
          <w:rFonts w:ascii="Times New Roman" w:eastAsia="Times New Roman" w:hAnsi="Times New Roman" w:cs="Times New Roman"/>
          <w:kern w:val="0"/>
          <w:sz w:val="24"/>
          <w:szCs w:val="24"/>
          <w:lang w:eastAsia="en-GB"/>
          <w14:ligatures w14:val="none"/>
        </w:rPr>
        <w:t xml:space="preserve">. Available at: </w:t>
      </w:r>
      <w:hyperlink r:id="rId12" w:tgtFrame="_new" w:history="1">
        <w:r w:rsidRPr="00C93D4E">
          <w:rPr>
            <w:rFonts w:ascii="Times New Roman" w:eastAsia="Times New Roman" w:hAnsi="Times New Roman" w:cs="Times New Roman"/>
            <w:color w:val="0000FF"/>
            <w:kern w:val="0"/>
            <w:sz w:val="24"/>
            <w:szCs w:val="24"/>
            <w:u w:val="single"/>
            <w:lang w:eastAsia="en-GB"/>
            <w14:ligatures w14:val="none"/>
          </w:rPr>
          <w:t>https://engageforsuccess.org</w:t>
        </w:r>
      </w:hyperlink>
      <w:r w:rsidRPr="00C93D4E">
        <w:rPr>
          <w:rFonts w:ascii="Times New Roman" w:eastAsia="Times New Roman" w:hAnsi="Times New Roman" w:cs="Times New Roman"/>
          <w:kern w:val="0"/>
          <w:sz w:val="24"/>
          <w:szCs w:val="24"/>
          <w:lang w:eastAsia="en-GB"/>
          <w14:ligatures w14:val="none"/>
        </w:rPr>
        <w:t xml:space="preserve"> </w:t>
      </w:r>
    </w:p>
    <w:p w14:paraId="5DB6319B" w14:textId="2DB3E3CF"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Involvement and Participation Association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The business case for employee voice</w:t>
      </w:r>
      <w:r w:rsidRPr="00C93D4E">
        <w:rPr>
          <w:rFonts w:ascii="Times New Roman" w:eastAsia="Times New Roman" w:hAnsi="Times New Roman" w:cs="Times New Roman"/>
          <w:kern w:val="0"/>
          <w:sz w:val="24"/>
          <w:szCs w:val="24"/>
          <w:lang w:eastAsia="en-GB"/>
          <w14:ligatures w14:val="none"/>
        </w:rPr>
        <w:t xml:space="preserve">. Available at: </w:t>
      </w:r>
      <w:hyperlink r:id="rId13" w:tgtFrame="_new" w:history="1">
        <w:r w:rsidRPr="00C93D4E">
          <w:rPr>
            <w:rFonts w:ascii="Times New Roman" w:eastAsia="Times New Roman" w:hAnsi="Times New Roman" w:cs="Times New Roman"/>
            <w:color w:val="0000FF"/>
            <w:kern w:val="0"/>
            <w:sz w:val="24"/>
            <w:szCs w:val="24"/>
            <w:u w:val="single"/>
            <w:lang w:eastAsia="en-GB"/>
            <w14:ligatures w14:val="none"/>
          </w:rPr>
          <w:t>https://www.ipa-involve.com</w:t>
        </w:r>
      </w:hyperlink>
      <w:r w:rsidRPr="00C93D4E">
        <w:rPr>
          <w:rFonts w:ascii="Times New Roman" w:eastAsia="Times New Roman" w:hAnsi="Times New Roman" w:cs="Times New Roman"/>
          <w:kern w:val="0"/>
          <w:sz w:val="24"/>
          <w:szCs w:val="24"/>
          <w:lang w:eastAsia="en-GB"/>
          <w14:ligatures w14:val="none"/>
        </w:rPr>
        <w:t xml:space="preserve"> </w:t>
      </w:r>
    </w:p>
    <w:p w14:paraId="3199FC46" w14:textId="08E446B7"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People Management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Why conflict at work is changing</w:t>
      </w:r>
      <w:r w:rsidRPr="00C93D4E">
        <w:rPr>
          <w:rFonts w:ascii="Times New Roman" w:eastAsia="Times New Roman" w:hAnsi="Times New Roman" w:cs="Times New Roman"/>
          <w:kern w:val="0"/>
          <w:sz w:val="24"/>
          <w:szCs w:val="24"/>
          <w:lang w:eastAsia="en-GB"/>
          <w14:ligatures w14:val="none"/>
        </w:rPr>
        <w:t xml:space="preserve">. Available at: </w:t>
      </w:r>
      <w:hyperlink r:id="rId14" w:tgtFrame="_new" w:history="1">
        <w:r w:rsidRPr="00C93D4E">
          <w:rPr>
            <w:rFonts w:ascii="Times New Roman" w:eastAsia="Times New Roman" w:hAnsi="Times New Roman" w:cs="Times New Roman"/>
            <w:color w:val="0000FF"/>
            <w:kern w:val="0"/>
            <w:sz w:val="24"/>
            <w:szCs w:val="24"/>
            <w:u w:val="single"/>
            <w:lang w:eastAsia="en-GB"/>
            <w14:ligatures w14:val="none"/>
          </w:rPr>
          <w:t>https://www.peoplemanagement.co.uk</w:t>
        </w:r>
      </w:hyperlink>
      <w:r w:rsidRPr="00C93D4E">
        <w:rPr>
          <w:rFonts w:ascii="Times New Roman" w:eastAsia="Times New Roman" w:hAnsi="Times New Roman" w:cs="Times New Roman"/>
          <w:kern w:val="0"/>
          <w:sz w:val="24"/>
          <w:szCs w:val="24"/>
          <w:lang w:eastAsia="en-GB"/>
          <w14:ligatures w14:val="none"/>
        </w:rPr>
        <w:t xml:space="preserve"> </w:t>
      </w:r>
    </w:p>
    <w:p w14:paraId="7B6FD1A8" w14:textId="77777777"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Rees, C. and French, R. (2021)</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Leading, Managing, and Developing People</w:t>
      </w:r>
      <w:r w:rsidRPr="00C93D4E">
        <w:rPr>
          <w:rFonts w:ascii="Times New Roman" w:eastAsia="Times New Roman" w:hAnsi="Times New Roman" w:cs="Times New Roman"/>
          <w:kern w:val="0"/>
          <w:sz w:val="24"/>
          <w:szCs w:val="24"/>
          <w:lang w:eastAsia="en-GB"/>
          <w14:ligatures w14:val="none"/>
        </w:rPr>
        <w:t xml:space="preserve">. 6th </w:t>
      </w:r>
      <w:proofErr w:type="spellStart"/>
      <w:r w:rsidRPr="00C93D4E">
        <w:rPr>
          <w:rFonts w:ascii="Times New Roman" w:eastAsia="Times New Roman" w:hAnsi="Times New Roman" w:cs="Times New Roman"/>
          <w:kern w:val="0"/>
          <w:sz w:val="24"/>
          <w:szCs w:val="24"/>
          <w:lang w:eastAsia="en-GB"/>
          <w14:ligatures w14:val="none"/>
        </w:rPr>
        <w:t>edn</w:t>
      </w:r>
      <w:proofErr w:type="spellEnd"/>
      <w:r w:rsidRPr="00C93D4E">
        <w:rPr>
          <w:rFonts w:ascii="Times New Roman" w:eastAsia="Times New Roman" w:hAnsi="Times New Roman" w:cs="Times New Roman"/>
          <w:kern w:val="0"/>
          <w:sz w:val="24"/>
          <w:szCs w:val="24"/>
          <w:lang w:eastAsia="en-GB"/>
          <w14:ligatures w14:val="none"/>
        </w:rPr>
        <w:t>. London: CIPD.</w:t>
      </w:r>
    </w:p>
    <w:p w14:paraId="0BCB1E22" w14:textId="2CC30519" w:rsidR="00C93D4E" w:rsidRPr="00C93D4E" w:rsidRDefault="00C93D4E" w:rsidP="00C93D4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3D4E">
        <w:rPr>
          <w:rFonts w:ascii="Times New Roman" w:eastAsia="Times New Roman" w:hAnsi="Times New Roman" w:cs="Times New Roman"/>
          <w:b/>
          <w:bCs/>
          <w:kern w:val="0"/>
          <w:sz w:val="24"/>
          <w:szCs w:val="24"/>
          <w:lang w:eastAsia="en-GB"/>
          <w14:ligatures w14:val="none"/>
        </w:rPr>
        <w:t>Resolution Foundation (2023)</w:t>
      </w:r>
      <w:r w:rsidRPr="00C93D4E">
        <w:rPr>
          <w:rFonts w:ascii="Times New Roman" w:eastAsia="Times New Roman" w:hAnsi="Times New Roman" w:cs="Times New Roman"/>
          <w:kern w:val="0"/>
          <w:sz w:val="24"/>
          <w:szCs w:val="24"/>
          <w:lang w:eastAsia="en-GB"/>
          <w14:ligatures w14:val="none"/>
        </w:rPr>
        <w:t xml:space="preserve"> </w:t>
      </w:r>
      <w:r w:rsidRPr="00C93D4E">
        <w:rPr>
          <w:rFonts w:ascii="Times New Roman" w:eastAsia="Times New Roman" w:hAnsi="Times New Roman" w:cs="Times New Roman"/>
          <w:i/>
          <w:iCs/>
          <w:kern w:val="0"/>
          <w:sz w:val="24"/>
          <w:szCs w:val="24"/>
          <w:lang w:eastAsia="en-GB"/>
          <w14:ligatures w14:val="none"/>
        </w:rPr>
        <w:t>Labour Market Outlook: Industrial Action Trends</w:t>
      </w:r>
      <w:r w:rsidRPr="00C93D4E">
        <w:rPr>
          <w:rFonts w:ascii="Times New Roman" w:eastAsia="Times New Roman" w:hAnsi="Times New Roman" w:cs="Times New Roman"/>
          <w:kern w:val="0"/>
          <w:sz w:val="24"/>
          <w:szCs w:val="24"/>
          <w:lang w:eastAsia="en-GB"/>
          <w14:ligatures w14:val="none"/>
        </w:rPr>
        <w:t xml:space="preserve">. Available at: </w:t>
      </w:r>
      <w:hyperlink r:id="rId15" w:tgtFrame="_new" w:history="1">
        <w:r w:rsidRPr="00C93D4E">
          <w:rPr>
            <w:rFonts w:ascii="Times New Roman" w:eastAsia="Times New Roman" w:hAnsi="Times New Roman" w:cs="Times New Roman"/>
            <w:color w:val="0000FF"/>
            <w:kern w:val="0"/>
            <w:sz w:val="24"/>
            <w:szCs w:val="24"/>
            <w:u w:val="single"/>
            <w:lang w:eastAsia="en-GB"/>
            <w14:ligatures w14:val="none"/>
          </w:rPr>
          <w:t>https://www.resolutionfoundation.org</w:t>
        </w:r>
      </w:hyperlink>
      <w:r w:rsidRPr="00C93D4E">
        <w:rPr>
          <w:rFonts w:ascii="Times New Roman" w:eastAsia="Times New Roman" w:hAnsi="Times New Roman" w:cs="Times New Roman"/>
          <w:kern w:val="0"/>
          <w:sz w:val="24"/>
          <w:szCs w:val="24"/>
          <w:lang w:eastAsia="en-GB"/>
          <w14:ligatures w14:val="none"/>
        </w:rPr>
        <w:t xml:space="preserve"> </w:t>
      </w:r>
    </w:p>
    <w:p w14:paraId="56221690" w14:textId="77777777" w:rsidR="005A6D61" w:rsidRPr="005A6D61" w:rsidRDefault="005A6D61" w:rsidP="005A6D6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F855AD1" w14:textId="77777777" w:rsidR="005A6D61" w:rsidRPr="00CB4195" w:rsidRDefault="005A6D61" w:rsidP="00A15733">
      <w:pPr>
        <w:rPr>
          <w:rFonts w:ascii="Times New Roman" w:hAnsi="Times New Roman" w:cs="Times New Roman"/>
          <w:sz w:val="24"/>
          <w:szCs w:val="24"/>
        </w:rPr>
      </w:pPr>
    </w:p>
    <w:sectPr w:rsidR="005A6D61" w:rsidRPr="00CB4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195"/>
    <w:rsid w:val="001C707A"/>
    <w:rsid w:val="00242CA6"/>
    <w:rsid w:val="00322BF0"/>
    <w:rsid w:val="00326F35"/>
    <w:rsid w:val="003844E7"/>
    <w:rsid w:val="003B48CB"/>
    <w:rsid w:val="004764A4"/>
    <w:rsid w:val="00482E10"/>
    <w:rsid w:val="004F462F"/>
    <w:rsid w:val="00546251"/>
    <w:rsid w:val="005A6BCE"/>
    <w:rsid w:val="005A6D61"/>
    <w:rsid w:val="00622F65"/>
    <w:rsid w:val="006860FE"/>
    <w:rsid w:val="006E3524"/>
    <w:rsid w:val="00782DAB"/>
    <w:rsid w:val="00815B9F"/>
    <w:rsid w:val="00837776"/>
    <w:rsid w:val="00853EA6"/>
    <w:rsid w:val="00973CE9"/>
    <w:rsid w:val="00976F42"/>
    <w:rsid w:val="009F043B"/>
    <w:rsid w:val="00A15733"/>
    <w:rsid w:val="00A52C11"/>
    <w:rsid w:val="00AB3440"/>
    <w:rsid w:val="00AF40C2"/>
    <w:rsid w:val="00B55DAB"/>
    <w:rsid w:val="00B65DDF"/>
    <w:rsid w:val="00BE441F"/>
    <w:rsid w:val="00C46C0D"/>
    <w:rsid w:val="00C7362F"/>
    <w:rsid w:val="00C93D4E"/>
    <w:rsid w:val="00CA42AD"/>
    <w:rsid w:val="00CB4195"/>
    <w:rsid w:val="00CD6681"/>
    <w:rsid w:val="00D31644"/>
    <w:rsid w:val="00D650B8"/>
    <w:rsid w:val="00E61A64"/>
    <w:rsid w:val="00E61B83"/>
    <w:rsid w:val="00EF4136"/>
    <w:rsid w:val="00F307ED"/>
    <w:rsid w:val="00F35D5C"/>
    <w:rsid w:val="00F403B3"/>
    <w:rsid w:val="00FB338E"/>
    <w:rsid w:val="00FC1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C1187"/>
  <w15:chartTrackingRefBased/>
  <w15:docId w15:val="{4AFC8B70-3F1C-42DE-9ADA-89BEB80F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19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B419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B419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B419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B419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B41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1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1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1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19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B419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B419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B419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B419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B41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1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1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195"/>
    <w:rPr>
      <w:rFonts w:eastAsiaTheme="majorEastAsia" w:cstheme="majorBidi"/>
      <w:color w:val="272727" w:themeColor="text1" w:themeTint="D8"/>
    </w:rPr>
  </w:style>
  <w:style w:type="paragraph" w:styleId="Title">
    <w:name w:val="Title"/>
    <w:basedOn w:val="Normal"/>
    <w:next w:val="Normal"/>
    <w:link w:val="TitleChar"/>
    <w:uiPriority w:val="10"/>
    <w:qFormat/>
    <w:rsid w:val="00CB41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1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1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1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195"/>
    <w:pPr>
      <w:spacing w:before="160"/>
      <w:jc w:val="center"/>
    </w:pPr>
    <w:rPr>
      <w:i/>
      <w:iCs/>
      <w:color w:val="404040" w:themeColor="text1" w:themeTint="BF"/>
    </w:rPr>
  </w:style>
  <w:style w:type="character" w:customStyle="1" w:styleId="QuoteChar">
    <w:name w:val="Quote Char"/>
    <w:basedOn w:val="DefaultParagraphFont"/>
    <w:link w:val="Quote"/>
    <w:uiPriority w:val="29"/>
    <w:rsid w:val="00CB4195"/>
    <w:rPr>
      <w:i/>
      <w:iCs/>
      <w:color w:val="404040" w:themeColor="text1" w:themeTint="BF"/>
    </w:rPr>
  </w:style>
  <w:style w:type="paragraph" w:styleId="ListParagraph">
    <w:name w:val="List Paragraph"/>
    <w:basedOn w:val="Normal"/>
    <w:uiPriority w:val="34"/>
    <w:qFormat/>
    <w:rsid w:val="00CB4195"/>
    <w:pPr>
      <w:ind w:left="720"/>
      <w:contextualSpacing/>
    </w:pPr>
  </w:style>
  <w:style w:type="character" w:styleId="IntenseEmphasis">
    <w:name w:val="Intense Emphasis"/>
    <w:basedOn w:val="DefaultParagraphFont"/>
    <w:uiPriority w:val="21"/>
    <w:qFormat/>
    <w:rsid w:val="00CB4195"/>
    <w:rPr>
      <w:i/>
      <w:iCs/>
      <w:color w:val="2E74B5" w:themeColor="accent1" w:themeShade="BF"/>
    </w:rPr>
  </w:style>
  <w:style w:type="paragraph" w:styleId="IntenseQuote">
    <w:name w:val="Intense Quote"/>
    <w:basedOn w:val="Normal"/>
    <w:next w:val="Normal"/>
    <w:link w:val="IntenseQuoteChar"/>
    <w:uiPriority w:val="30"/>
    <w:qFormat/>
    <w:rsid w:val="00CB419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B4195"/>
    <w:rPr>
      <w:i/>
      <w:iCs/>
      <w:color w:val="2E74B5" w:themeColor="accent1" w:themeShade="BF"/>
    </w:rPr>
  </w:style>
  <w:style w:type="character" w:styleId="IntenseReference">
    <w:name w:val="Intense Reference"/>
    <w:basedOn w:val="DefaultParagraphFont"/>
    <w:uiPriority w:val="32"/>
    <w:qFormat/>
    <w:rsid w:val="00CB419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620932">
      <w:bodyDiv w:val="1"/>
      <w:marLeft w:val="0"/>
      <w:marRight w:val="0"/>
      <w:marTop w:val="0"/>
      <w:marBottom w:val="0"/>
      <w:divBdr>
        <w:top w:val="none" w:sz="0" w:space="0" w:color="auto"/>
        <w:left w:val="none" w:sz="0" w:space="0" w:color="auto"/>
        <w:bottom w:val="none" w:sz="0" w:space="0" w:color="auto"/>
        <w:right w:val="none" w:sz="0" w:space="0" w:color="auto"/>
      </w:divBdr>
    </w:div>
    <w:div w:id="381636095">
      <w:bodyDiv w:val="1"/>
      <w:marLeft w:val="0"/>
      <w:marRight w:val="0"/>
      <w:marTop w:val="0"/>
      <w:marBottom w:val="0"/>
      <w:divBdr>
        <w:top w:val="none" w:sz="0" w:space="0" w:color="auto"/>
        <w:left w:val="none" w:sz="0" w:space="0" w:color="auto"/>
        <w:bottom w:val="none" w:sz="0" w:space="0" w:color="auto"/>
        <w:right w:val="none" w:sz="0" w:space="0" w:color="auto"/>
      </w:divBdr>
    </w:div>
    <w:div w:id="415254104">
      <w:bodyDiv w:val="1"/>
      <w:marLeft w:val="0"/>
      <w:marRight w:val="0"/>
      <w:marTop w:val="0"/>
      <w:marBottom w:val="0"/>
      <w:divBdr>
        <w:top w:val="none" w:sz="0" w:space="0" w:color="auto"/>
        <w:left w:val="none" w:sz="0" w:space="0" w:color="auto"/>
        <w:bottom w:val="none" w:sz="0" w:space="0" w:color="auto"/>
        <w:right w:val="none" w:sz="0" w:space="0" w:color="auto"/>
      </w:divBdr>
    </w:div>
    <w:div w:id="570890067">
      <w:bodyDiv w:val="1"/>
      <w:marLeft w:val="0"/>
      <w:marRight w:val="0"/>
      <w:marTop w:val="0"/>
      <w:marBottom w:val="0"/>
      <w:divBdr>
        <w:top w:val="none" w:sz="0" w:space="0" w:color="auto"/>
        <w:left w:val="none" w:sz="0" w:space="0" w:color="auto"/>
        <w:bottom w:val="none" w:sz="0" w:space="0" w:color="auto"/>
        <w:right w:val="none" w:sz="0" w:space="0" w:color="auto"/>
      </w:divBdr>
    </w:div>
    <w:div w:id="592786710">
      <w:bodyDiv w:val="1"/>
      <w:marLeft w:val="0"/>
      <w:marRight w:val="0"/>
      <w:marTop w:val="0"/>
      <w:marBottom w:val="0"/>
      <w:divBdr>
        <w:top w:val="none" w:sz="0" w:space="0" w:color="auto"/>
        <w:left w:val="none" w:sz="0" w:space="0" w:color="auto"/>
        <w:bottom w:val="none" w:sz="0" w:space="0" w:color="auto"/>
        <w:right w:val="none" w:sz="0" w:space="0" w:color="auto"/>
      </w:divBdr>
    </w:div>
    <w:div w:id="598367971">
      <w:bodyDiv w:val="1"/>
      <w:marLeft w:val="0"/>
      <w:marRight w:val="0"/>
      <w:marTop w:val="0"/>
      <w:marBottom w:val="0"/>
      <w:divBdr>
        <w:top w:val="none" w:sz="0" w:space="0" w:color="auto"/>
        <w:left w:val="none" w:sz="0" w:space="0" w:color="auto"/>
        <w:bottom w:val="none" w:sz="0" w:space="0" w:color="auto"/>
        <w:right w:val="none" w:sz="0" w:space="0" w:color="auto"/>
      </w:divBdr>
    </w:div>
    <w:div w:id="636691231">
      <w:bodyDiv w:val="1"/>
      <w:marLeft w:val="0"/>
      <w:marRight w:val="0"/>
      <w:marTop w:val="0"/>
      <w:marBottom w:val="0"/>
      <w:divBdr>
        <w:top w:val="none" w:sz="0" w:space="0" w:color="auto"/>
        <w:left w:val="none" w:sz="0" w:space="0" w:color="auto"/>
        <w:bottom w:val="none" w:sz="0" w:space="0" w:color="auto"/>
        <w:right w:val="none" w:sz="0" w:space="0" w:color="auto"/>
      </w:divBdr>
    </w:div>
    <w:div w:id="652561502">
      <w:bodyDiv w:val="1"/>
      <w:marLeft w:val="0"/>
      <w:marRight w:val="0"/>
      <w:marTop w:val="0"/>
      <w:marBottom w:val="0"/>
      <w:divBdr>
        <w:top w:val="none" w:sz="0" w:space="0" w:color="auto"/>
        <w:left w:val="none" w:sz="0" w:space="0" w:color="auto"/>
        <w:bottom w:val="none" w:sz="0" w:space="0" w:color="auto"/>
        <w:right w:val="none" w:sz="0" w:space="0" w:color="auto"/>
      </w:divBdr>
    </w:div>
    <w:div w:id="728382091">
      <w:bodyDiv w:val="1"/>
      <w:marLeft w:val="0"/>
      <w:marRight w:val="0"/>
      <w:marTop w:val="0"/>
      <w:marBottom w:val="0"/>
      <w:divBdr>
        <w:top w:val="none" w:sz="0" w:space="0" w:color="auto"/>
        <w:left w:val="none" w:sz="0" w:space="0" w:color="auto"/>
        <w:bottom w:val="none" w:sz="0" w:space="0" w:color="auto"/>
        <w:right w:val="none" w:sz="0" w:space="0" w:color="auto"/>
      </w:divBdr>
    </w:div>
    <w:div w:id="857424012">
      <w:bodyDiv w:val="1"/>
      <w:marLeft w:val="0"/>
      <w:marRight w:val="0"/>
      <w:marTop w:val="0"/>
      <w:marBottom w:val="0"/>
      <w:divBdr>
        <w:top w:val="none" w:sz="0" w:space="0" w:color="auto"/>
        <w:left w:val="none" w:sz="0" w:space="0" w:color="auto"/>
        <w:bottom w:val="none" w:sz="0" w:space="0" w:color="auto"/>
        <w:right w:val="none" w:sz="0" w:space="0" w:color="auto"/>
      </w:divBdr>
    </w:div>
    <w:div w:id="860704269">
      <w:bodyDiv w:val="1"/>
      <w:marLeft w:val="0"/>
      <w:marRight w:val="0"/>
      <w:marTop w:val="0"/>
      <w:marBottom w:val="0"/>
      <w:divBdr>
        <w:top w:val="none" w:sz="0" w:space="0" w:color="auto"/>
        <w:left w:val="none" w:sz="0" w:space="0" w:color="auto"/>
        <w:bottom w:val="none" w:sz="0" w:space="0" w:color="auto"/>
        <w:right w:val="none" w:sz="0" w:space="0" w:color="auto"/>
      </w:divBdr>
    </w:div>
    <w:div w:id="879054740">
      <w:bodyDiv w:val="1"/>
      <w:marLeft w:val="0"/>
      <w:marRight w:val="0"/>
      <w:marTop w:val="0"/>
      <w:marBottom w:val="0"/>
      <w:divBdr>
        <w:top w:val="none" w:sz="0" w:space="0" w:color="auto"/>
        <w:left w:val="none" w:sz="0" w:space="0" w:color="auto"/>
        <w:bottom w:val="none" w:sz="0" w:space="0" w:color="auto"/>
        <w:right w:val="none" w:sz="0" w:space="0" w:color="auto"/>
      </w:divBdr>
    </w:div>
    <w:div w:id="898710846">
      <w:bodyDiv w:val="1"/>
      <w:marLeft w:val="0"/>
      <w:marRight w:val="0"/>
      <w:marTop w:val="0"/>
      <w:marBottom w:val="0"/>
      <w:divBdr>
        <w:top w:val="none" w:sz="0" w:space="0" w:color="auto"/>
        <w:left w:val="none" w:sz="0" w:space="0" w:color="auto"/>
        <w:bottom w:val="none" w:sz="0" w:space="0" w:color="auto"/>
        <w:right w:val="none" w:sz="0" w:space="0" w:color="auto"/>
      </w:divBdr>
    </w:div>
    <w:div w:id="929704285">
      <w:bodyDiv w:val="1"/>
      <w:marLeft w:val="0"/>
      <w:marRight w:val="0"/>
      <w:marTop w:val="0"/>
      <w:marBottom w:val="0"/>
      <w:divBdr>
        <w:top w:val="none" w:sz="0" w:space="0" w:color="auto"/>
        <w:left w:val="none" w:sz="0" w:space="0" w:color="auto"/>
        <w:bottom w:val="none" w:sz="0" w:space="0" w:color="auto"/>
        <w:right w:val="none" w:sz="0" w:space="0" w:color="auto"/>
      </w:divBdr>
    </w:div>
    <w:div w:id="957876882">
      <w:bodyDiv w:val="1"/>
      <w:marLeft w:val="0"/>
      <w:marRight w:val="0"/>
      <w:marTop w:val="0"/>
      <w:marBottom w:val="0"/>
      <w:divBdr>
        <w:top w:val="none" w:sz="0" w:space="0" w:color="auto"/>
        <w:left w:val="none" w:sz="0" w:space="0" w:color="auto"/>
        <w:bottom w:val="none" w:sz="0" w:space="0" w:color="auto"/>
        <w:right w:val="none" w:sz="0" w:space="0" w:color="auto"/>
      </w:divBdr>
    </w:div>
    <w:div w:id="1005715888">
      <w:bodyDiv w:val="1"/>
      <w:marLeft w:val="0"/>
      <w:marRight w:val="0"/>
      <w:marTop w:val="0"/>
      <w:marBottom w:val="0"/>
      <w:divBdr>
        <w:top w:val="none" w:sz="0" w:space="0" w:color="auto"/>
        <w:left w:val="none" w:sz="0" w:space="0" w:color="auto"/>
        <w:bottom w:val="none" w:sz="0" w:space="0" w:color="auto"/>
        <w:right w:val="none" w:sz="0" w:space="0" w:color="auto"/>
      </w:divBdr>
    </w:div>
    <w:div w:id="1052774927">
      <w:bodyDiv w:val="1"/>
      <w:marLeft w:val="0"/>
      <w:marRight w:val="0"/>
      <w:marTop w:val="0"/>
      <w:marBottom w:val="0"/>
      <w:divBdr>
        <w:top w:val="none" w:sz="0" w:space="0" w:color="auto"/>
        <w:left w:val="none" w:sz="0" w:space="0" w:color="auto"/>
        <w:bottom w:val="none" w:sz="0" w:space="0" w:color="auto"/>
        <w:right w:val="none" w:sz="0" w:space="0" w:color="auto"/>
      </w:divBdr>
    </w:div>
    <w:div w:id="1258248086">
      <w:bodyDiv w:val="1"/>
      <w:marLeft w:val="0"/>
      <w:marRight w:val="0"/>
      <w:marTop w:val="0"/>
      <w:marBottom w:val="0"/>
      <w:divBdr>
        <w:top w:val="none" w:sz="0" w:space="0" w:color="auto"/>
        <w:left w:val="none" w:sz="0" w:space="0" w:color="auto"/>
        <w:bottom w:val="none" w:sz="0" w:space="0" w:color="auto"/>
        <w:right w:val="none" w:sz="0" w:space="0" w:color="auto"/>
      </w:divBdr>
    </w:div>
    <w:div w:id="1390836749">
      <w:bodyDiv w:val="1"/>
      <w:marLeft w:val="0"/>
      <w:marRight w:val="0"/>
      <w:marTop w:val="0"/>
      <w:marBottom w:val="0"/>
      <w:divBdr>
        <w:top w:val="none" w:sz="0" w:space="0" w:color="auto"/>
        <w:left w:val="none" w:sz="0" w:space="0" w:color="auto"/>
        <w:bottom w:val="none" w:sz="0" w:space="0" w:color="auto"/>
        <w:right w:val="none" w:sz="0" w:space="0" w:color="auto"/>
      </w:divBdr>
    </w:div>
    <w:div w:id="1422679798">
      <w:bodyDiv w:val="1"/>
      <w:marLeft w:val="0"/>
      <w:marRight w:val="0"/>
      <w:marTop w:val="0"/>
      <w:marBottom w:val="0"/>
      <w:divBdr>
        <w:top w:val="none" w:sz="0" w:space="0" w:color="auto"/>
        <w:left w:val="none" w:sz="0" w:space="0" w:color="auto"/>
        <w:bottom w:val="none" w:sz="0" w:space="0" w:color="auto"/>
        <w:right w:val="none" w:sz="0" w:space="0" w:color="auto"/>
      </w:divBdr>
    </w:div>
    <w:div w:id="1428231381">
      <w:bodyDiv w:val="1"/>
      <w:marLeft w:val="0"/>
      <w:marRight w:val="0"/>
      <w:marTop w:val="0"/>
      <w:marBottom w:val="0"/>
      <w:divBdr>
        <w:top w:val="none" w:sz="0" w:space="0" w:color="auto"/>
        <w:left w:val="none" w:sz="0" w:space="0" w:color="auto"/>
        <w:bottom w:val="none" w:sz="0" w:space="0" w:color="auto"/>
        <w:right w:val="none" w:sz="0" w:space="0" w:color="auto"/>
      </w:divBdr>
    </w:div>
    <w:div w:id="1443259019">
      <w:bodyDiv w:val="1"/>
      <w:marLeft w:val="0"/>
      <w:marRight w:val="0"/>
      <w:marTop w:val="0"/>
      <w:marBottom w:val="0"/>
      <w:divBdr>
        <w:top w:val="none" w:sz="0" w:space="0" w:color="auto"/>
        <w:left w:val="none" w:sz="0" w:space="0" w:color="auto"/>
        <w:bottom w:val="none" w:sz="0" w:space="0" w:color="auto"/>
        <w:right w:val="none" w:sz="0" w:space="0" w:color="auto"/>
      </w:divBdr>
    </w:div>
    <w:div w:id="1447969780">
      <w:bodyDiv w:val="1"/>
      <w:marLeft w:val="0"/>
      <w:marRight w:val="0"/>
      <w:marTop w:val="0"/>
      <w:marBottom w:val="0"/>
      <w:divBdr>
        <w:top w:val="none" w:sz="0" w:space="0" w:color="auto"/>
        <w:left w:val="none" w:sz="0" w:space="0" w:color="auto"/>
        <w:bottom w:val="none" w:sz="0" w:space="0" w:color="auto"/>
        <w:right w:val="none" w:sz="0" w:space="0" w:color="auto"/>
      </w:divBdr>
    </w:div>
    <w:div w:id="1470779665">
      <w:bodyDiv w:val="1"/>
      <w:marLeft w:val="0"/>
      <w:marRight w:val="0"/>
      <w:marTop w:val="0"/>
      <w:marBottom w:val="0"/>
      <w:divBdr>
        <w:top w:val="none" w:sz="0" w:space="0" w:color="auto"/>
        <w:left w:val="none" w:sz="0" w:space="0" w:color="auto"/>
        <w:bottom w:val="none" w:sz="0" w:space="0" w:color="auto"/>
        <w:right w:val="none" w:sz="0" w:space="0" w:color="auto"/>
      </w:divBdr>
    </w:div>
    <w:div w:id="1555582764">
      <w:bodyDiv w:val="1"/>
      <w:marLeft w:val="0"/>
      <w:marRight w:val="0"/>
      <w:marTop w:val="0"/>
      <w:marBottom w:val="0"/>
      <w:divBdr>
        <w:top w:val="none" w:sz="0" w:space="0" w:color="auto"/>
        <w:left w:val="none" w:sz="0" w:space="0" w:color="auto"/>
        <w:bottom w:val="none" w:sz="0" w:space="0" w:color="auto"/>
        <w:right w:val="none" w:sz="0" w:space="0" w:color="auto"/>
      </w:divBdr>
    </w:div>
    <w:div w:id="1676228995">
      <w:bodyDiv w:val="1"/>
      <w:marLeft w:val="0"/>
      <w:marRight w:val="0"/>
      <w:marTop w:val="0"/>
      <w:marBottom w:val="0"/>
      <w:divBdr>
        <w:top w:val="none" w:sz="0" w:space="0" w:color="auto"/>
        <w:left w:val="none" w:sz="0" w:space="0" w:color="auto"/>
        <w:bottom w:val="none" w:sz="0" w:space="0" w:color="auto"/>
        <w:right w:val="none" w:sz="0" w:space="0" w:color="auto"/>
      </w:divBdr>
    </w:div>
    <w:div w:id="1841196277">
      <w:bodyDiv w:val="1"/>
      <w:marLeft w:val="0"/>
      <w:marRight w:val="0"/>
      <w:marTop w:val="0"/>
      <w:marBottom w:val="0"/>
      <w:divBdr>
        <w:top w:val="none" w:sz="0" w:space="0" w:color="auto"/>
        <w:left w:val="none" w:sz="0" w:space="0" w:color="auto"/>
        <w:bottom w:val="none" w:sz="0" w:space="0" w:color="auto"/>
        <w:right w:val="none" w:sz="0" w:space="0" w:color="auto"/>
      </w:divBdr>
    </w:div>
    <w:div w:id="1855338443">
      <w:bodyDiv w:val="1"/>
      <w:marLeft w:val="0"/>
      <w:marRight w:val="0"/>
      <w:marTop w:val="0"/>
      <w:marBottom w:val="0"/>
      <w:divBdr>
        <w:top w:val="none" w:sz="0" w:space="0" w:color="auto"/>
        <w:left w:val="none" w:sz="0" w:space="0" w:color="auto"/>
        <w:bottom w:val="none" w:sz="0" w:space="0" w:color="auto"/>
        <w:right w:val="none" w:sz="0" w:space="0" w:color="auto"/>
      </w:divBdr>
    </w:div>
    <w:div w:id="1866208524">
      <w:bodyDiv w:val="1"/>
      <w:marLeft w:val="0"/>
      <w:marRight w:val="0"/>
      <w:marTop w:val="0"/>
      <w:marBottom w:val="0"/>
      <w:divBdr>
        <w:top w:val="none" w:sz="0" w:space="0" w:color="auto"/>
        <w:left w:val="none" w:sz="0" w:space="0" w:color="auto"/>
        <w:bottom w:val="none" w:sz="0" w:space="0" w:color="auto"/>
        <w:right w:val="none" w:sz="0" w:space="0" w:color="auto"/>
      </w:divBdr>
    </w:div>
    <w:div w:id="2074112287">
      <w:bodyDiv w:val="1"/>
      <w:marLeft w:val="0"/>
      <w:marRight w:val="0"/>
      <w:marTop w:val="0"/>
      <w:marBottom w:val="0"/>
      <w:divBdr>
        <w:top w:val="none" w:sz="0" w:space="0" w:color="auto"/>
        <w:left w:val="none" w:sz="0" w:space="0" w:color="auto"/>
        <w:bottom w:val="none" w:sz="0" w:space="0" w:color="auto"/>
        <w:right w:val="none" w:sz="0" w:space="0" w:color="auto"/>
      </w:divBdr>
    </w:div>
    <w:div w:id="212075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good-work-index" TargetMode="External"/><Relationship Id="rId13" Type="http://schemas.openxmlformats.org/officeDocument/2006/relationships/hyperlink" Target="https://www.ipa-involve.com" TargetMode="External"/><Relationship Id="rId3" Type="http://schemas.openxmlformats.org/officeDocument/2006/relationships/webSettings" Target="webSettings.xml"/><Relationship Id="rId7" Type="http://schemas.openxmlformats.org/officeDocument/2006/relationships/hyperlink" Target="https://www.cipd.org/uk/knowledge/guides/conflict-management-mediation" TargetMode="External"/><Relationship Id="rId12" Type="http://schemas.openxmlformats.org/officeDocument/2006/relationships/hyperlink" Target="https://engageforsuccess.or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ipd.co.uk/knowledge/fundamentals/relations/communication/voice-factsheet" TargetMode="External"/><Relationship Id="rId11" Type="http://schemas.openxmlformats.org/officeDocument/2006/relationships/hyperlink" Target="https://www.legislation.gov.uk/ukpga/1996/18/contents" TargetMode="External"/><Relationship Id="rId5" Type="http://schemas.openxmlformats.org/officeDocument/2006/relationships/hyperlink" Target="https://www.acas.org.uk/handling-grievances" TargetMode="External"/><Relationship Id="rId15" Type="http://schemas.openxmlformats.org/officeDocument/2006/relationships/hyperlink" Target="https://www.resolutionfoundation.org" TargetMode="External"/><Relationship Id="rId10" Type="http://schemas.openxmlformats.org/officeDocument/2006/relationships/hyperlink" Target="https://www.cipd.org/uk/knowledge/guides/managing-disciplinary-performance-issues" TargetMode="External"/><Relationship Id="rId4" Type="http://schemas.openxmlformats.org/officeDocument/2006/relationships/hyperlink" Target="https://www.acas.org.uk/acas-code-of-practice-on-disciplinary-and-grievance-procedures" TargetMode="External"/><Relationship Id="rId9" Type="http://schemas.openxmlformats.org/officeDocument/2006/relationships/hyperlink" Target="https://www.cipd.org/uk/knowledge/guides/workplace-conflict" TargetMode="External"/><Relationship Id="rId14" Type="http://schemas.openxmlformats.org/officeDocument/2006/relationships/hyperlink" Target="https://www.peoplemanagemen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7291</TotalTime>
  <Pages>10</Pages>
  <Words>4660</Words>
  <Characters>26564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Warrender, Jacqueline</dc:creator>
  <cp:keywords/>
  <dc:description/>
  <cp:lastModifiedBy>Warrender, Jacqueline</cp:lastModifiedBy>
  <cp:revision>11</cp:revision>
  <dcterms:created xsi:type="dcterms:W3CDTF">2025-03-18T11:39:00Z</dcterms:created>
  <dcterms:modified xsi:type="dcterms:W3CDTF">2025-05-09T11:23:00Z</dcterms:modified>
</cp:coreProperties>
</file>