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02244F" w14:textId="77777777" w:rsidR="00AA7114" w:rsidRDefault="00AA7114" w:rsidP="006B1A70">
      <w:pPr>
        <w:jc w:val="center"/>
        <w:rPr>
          <w:b/>
          <w:bCs/>
          <w:sz w:val="36"/>
          <w:szCs w:val="36"/>
        </w:rPr>
      </w:pPr>
    </w:p>
    <w:p w14:paraId="4700E065" w14:textId="5CE0CC15" w:rsidR="006B1A70" w:rsidRPr="00AA7114" w:rsidRDefault="006B1A70" w:rsidP="006B1A70">
      <w:pPr>
        <w:jc w:val="center"/>
        <w:rPr>
          <w:b/>
          <w:bCs/>
          <w:sz w:val="36"/>
          <w:szCs w:val="36"/>
        </w:rPr>
      </w:pPr>
      <w:r w:rsidRPr="00AA7114">
        <w:rPr>
          <w:b/>
          <w:bCs/>
          <w:noProof/>
          <w:sz w:val="36"/>
          <w:szCs w:val="36"/>
        </w:rPr>
        <w:drawing>
          <wp:inline distT="0" distB="0" distL="0" distR="0" wp14:anchorId="3A4C7894" wp14:editId="52FBC0F5">
            <wp:extent cx="3273554" cy="1158240"/>
            <wp:effectExtent l="0" t="0" r="3175" b="381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283434" cy="1161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A3AE7" w14:textId="6837CD01" w:rsidR="00AA7114" w:rsidRDefault="00AA7114" w:rsidP="006B1A70">
      <w:pPr>
        <w:jc w:val="center"/>
        <w:rPr>
          <w:b/>
          <w:bCs/>
          <w:sz w:val="36"/>
          <w:szCs w:val="36"/>
        </w:rPr>
      </w:pPr>
    </w:p>
    <w:p w14:paraId="3FC08531" w14:textId="77777777" w:rsidR="00AA7114" w:rsidRPr="00AA7114" w:rsidRDefault="00AA7114" w:rsidP="006B1A70">
      <w:pPr>
        <w:jc w:val="center"/>
        <w:rPr>
          <w:b/>
          <w:bCs/>
          <w:sz w:val="36"/>
          <w:szCs w:val="36"/>
        </w:rPr>
      </w:pPr>
    </w:p>
    <w:p w14:paraId="1BBA912F" w14:textId="28A4FF3F" w:rsidR="00AA7114" w:rsidRPr="00AA7114" w:rsidRDefault="00AA7114" w:rsidP="006B1A70">
      <w:pPr>
        <w:jc w:val="center"/>
        <w:rPr>
          <w:b/>
          <w:bCs/>
          <w:sz w:val="36"/>
          <w:szCs w:val="36"/>
        </w:rPr>
      </w:pPr>
      <w:r w:rsidRPr="00AA7114">
        <w:rPr>
          <w:b/>
          <w:bCs/>
          <w:sz w:val="36"/>
          <w:szCs w:val="36"/>
        </w:rPr>
        <w:t>Assessment 1</w:t>
      </w:r>
    </w:p>
    <w:p w14:paraId="1EA4615D" w14:textId="57C27CDF" w:rsidR="006B1A70" w:rsidRDefault="006B1A70" w:rsidP="006B1A70">
      <w:pPr>
        <w:jc w:val="center"/>
        <w:rPr>
          <w:b/>
          <w:bCs/>
          <w:sz w:val="36"/>
          <w:szCs w:val="36"/>
        </w:rPr>
      </w:pPr>
    </w:p>
    <w:p w14:paraId="5B3D4935" w14:textId="77777777" w:rsidR="00AA7114" w:rsidRPr="00AA7114" w:rsidRDefault="00AA7114" w:rsidP="006B1A70">
      <w:pPr>
        <w:jc w:val="center"/>
        <w:rPr>
          <w:b/>
          <w:bCs/>
          <w:sz w:val="36"/>
          <w:szCs w:val="36"/>
        </w:rPr>
      </w:pPr>
    </w:p>
    <w:p w14:paraId="6192F098" w14:textId="6AB5440F" w:rsidR="006B1A70" w:rsidRPr="00AA7114" w:rsidRDefault="006B1A70" w:rsidP="006B1A70">
      <w:pPr>
        <w:jc w:val="center"/>
        <w:rPr>
          <w:b/>
          <w:bCs/>
          <w:sz w:val="36"/>
          <w:szCs w:val="36"/>
        </w:rPr>
      </w:pPr>
      <w:r w:rsidRPr="00AA7114">
        <w:rPr>
          <w:b/>
          <w:bCs/>
          <w:sz w:val="36"/>
          <w:szCs w:val="36"/>
        </w:rPr>
        <w:t>Name: Rumi Begum</w:t>
      </w:r>
    </w:p>
    <w:p w14:paraId="05067DA4" w14:textId="2EFD7DDE" w:rsidR="006B1A70" w:rsidRDefault="006B1A70" w:rsidP="006B1A70">
      <w:pPr>
        <w:jc w:val="center"/>
        <w:rPr>
          <w:b/>
          <w:bCs/>
          <w:sz w:val="36"/>
          <w:szCs w:val="36"/>
        </w:rPr>
      </w:pPr>
      <w:r w:rsidRPr="00AA7114">
        <w:rPr>
          <w:b/>
          <w:bCs/>
          <w:sz w:val="36"/>
          <w:szCs w:val="36"/>
        </w:rPr>
        <w:t>ID: 2216573</w:t>
      </w:r>
    </w:p>
    <w:p w14:paraId="4DD274FB" w14:textId="77777777" w:rsidR="00894D71" w:rsidRDefault="00894D71" w:rsidP="006B1A70">
      <w:pPr>
        <w:jc w:val="center"/>
        <w:rPr>
          <w:b/>
          <w:bCs/>
          <w:sz w:val="36"/>
          <w:szCs w:val="36"/>
        </w:rPr>
      </w:pPr>
    </w:p>
    <w:p w14:paraId="6241C930" w14:textId="10D02B2E" w:rsidR="00AA7114" w:rsidRDefault="00AA7114" w:rsidP="006B1A70">
      <w:pPr>
        <w:jc w:val="center"/>
        <w:rPr>
          <w:b/>
          <w:bCs/>
          <w:sz w:val="36"/>
          <w:szCs w:val="36"/>
        </w:rPr>
      </w:pPr>
    </w:p>
    <w:p w14:paraId="1D15370A" w14:textId="4F7842E5" w:rsidR="00AA7114" w:rsidRPr="00AA7114" w:rsidRDefault="00AA7114" w:rsidP="006B1A70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Submission: October 2026</w:t>
      </w:r>
    </w:p>
    <w:p w14:paraId="5ADE9C6C" w14:textId="77777777" w:rsidR="00DD6B93" w:rsidRDefault="00DD6B93">
      <w:pPr>
        <w:rPr>
          <w:noProof/>
        </w:rPr>
      </w:pPr>
      <w:r>
        <w:rPr>
          <w:noProof/>
        </w:rPr>
        <w:br w:type="page"/>
      </w:r>
    </w:p>
    <w:p w14:paraId="54349914" w14:textId="77777777" w:rsidR="00DD6B93" w:rsidRPr="00DD6B93" w:rsidRDefault="00DD6B93" w:rsidP="00DD6B93">
      <w:pPr>
        <w:spacing w:line="360" w:lineRule="auto"/>
        <w:jc w:val="both"/>
        <w:rPr>
          <w:b/>
          <w:bCs/>
          <w:noProof/>
          <w:sz w:val="32"/>
          <w:szCs w:val="32"/>
        </w:rPr>
      </w:pPr>
      <w:r w:rsidRPr="00DD6B93">
        <w:rPr>
          <w:b/>
          <w:bCs/>
          <w:noProof/>
          <w:sz w:val="32"/>
          <w:szCs w:val="32"/>
        </w:rPr>
        <w:lastRenderedPageBreak/>
        <w:t>AI Acknowledgement</w:t>
      </w:r>
    </w:p>
    <w:p w14:paraId="13DA9D87" w14:textId="00E18796" w:rsidR="00211749" w:rsidRDefault="00DD6B93" w:rsidP="00DD6B93">
      <w:pPr>
        <w:spacing w:line="360" w:lineRule="auto"/>
        <w:jc w:val="both"/>
        <w:rPr>
          <w:noProof/>
        </w:rPr>
      </w:pPr>
      <w:r w:rsidRPr="00DD6B93">
        <w:rPr>
          <w:noProof/>
          <w:sz w:val="24"/>
          <w:szCs w:val="24"/>
        </w:rPr>
        <w:t>The map, VPC, and persona were created using their respective software, including MindMeister, MeetRiver, and Canva. To develop these resources, I sought guidance from Gemini on how to use their software effectively. I also inquired about including in-text citations for academic sources within images to improve their quality. Aside from that, I designed all the maps independently, without any third-party involvement or the use of AI.</w:t>
      </w:r>
      <w:r w:rsidR="00211749">
        <w:rPr>
          <w:noProof/>
        </w:rPr>
        <w:br w:type="page"/>
      </w:r>
    </w:p>
    <w:p w14:paraId="032376B5" w14:textId="217940C8" w:rsidR="00B90FC5" w:rsidRPr="00211749" w:rsidRDefault="00211749" w:rsidP="00211749">
      <w:pPr>
        <w:pStyle w:val="Heading1"/>
      </w:pPr>
      <w:r w:rsidRPr="00211749">
        <w:lastRenderedPageBreak/>
        <w:t>Mind Map</w:t>
      </w:r>
    </w:p>
    <w:p w14:paraId="2404F4FA" w14:textId="3B732DCB" w:rsidR="00700A20" w:rsidRDefault="00700A20" w:rsidP="00700A20">
      <w:pPr>
        <w:jc w:val="center"/>
      </w:pPr>
      <w:r w:rsidRPr="00700A20">
        <w:drawing>
          <wp:inline distT="0" distB="0" distL="0" distR="0" wp14:anchorId="4CB0A195" wp14:editId="0335C7EC">
            <wp:extent cx="5832475" cy="3565525"/>
            <wp:effectExtent l="0" t="0" r="0" b="0"/>
            <wp:docPr id="1" name="Picture 1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iagram of a diagram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832475" cy="356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89AD1" w14:textId="55675793" w:rsidR="00211749" w:rsidRPr="00211749" w:rsidRDefault="00700A20" w:rsidP="00700A20">
      <w:pPr>
        <w:jc w:val="center"/>
        <w:rPr>
          <w:rFonts w:ascii="Times New Roman" w:hAnsi="Times New Roman" w:cs="Times New Roman"/>
        </w:rPr>
      </w:pPr>
      <w:hyperlink r:id="rId7" w:history="1">
        <w:r w:rsidRPr="007110DD">
          <w:rPr>
            <w:rStyle w:val="Hyperlink"/>
            <w:rFonts w:ascii="Times New Roman" w:hAnsi="Times New Roman" w:cs="Times New Roman"/>
          </w:rPr>
          <w:t>https://mm.tt/map/4103308170?t=RL6fC7qYYo</w:t>
        </w:r>
      </w:hyperlink>
    </w:p>
    <w:p w14:paraId="69C4C97B" w14:textId="77777777" w:rsidR="00211749" w:rsidRPr="00211749" w:rsidRDefault="00211749" w:rsidP="00211749">
      <w:pPr>
        <w:spacing w:line="360" w:lineRule="auto"/>
        <w:rPr>
          <w:rFonts w:ascii="Times New Roman" w:hAnsi="Times New Roman" w:cs="Times New Roman"/>
        </w:rPr>
      </w:pPr>
    </w:p>
    <w:p w14:paraId="51186B13" w14:textId="77777777" w:rsidR="00700A20" w:rsidRDefault="00700A20">
      <w:pPr>
        <w:rPr>
          <w:rFonts w:ascii="Times New Roman" w:eastAsia="Times New Roman" w:hAnsi="Times New Roman" w:cs="Times New Roman"/>
          <w:b/>
          <w:bCs/>
          <w:kern w:val="36"/>
          <w:sz w:val="32"/>
          <w:szCs w:val="48"/>
        </w:rPr>
      </w:pPr>
      <w:r>
        <w:br w:type="page"/>
      </w:r>
    </w:p>
    <w:p w14:paraId="4F5B89EB" w14:textId="41436221" w:rsidR="00211749" w:rsidRPr="00211749" w:rsidRDefault="00211749" w:rsidP="00211749">
      <w:pPr>
        <w:pStyle w:val="Heading1"/>
      </w:pPr>
      <w:r w:rsidRPr="00211749">
        <w:lastRenderedPageBreak/>
        <w:t>Value Proposition Canvas</w:t>
      </w:r>
    </w:p>
    <w:p w14:paraId="4D0970F8" w14:textId="49975AFC" w:rsidR="00700A20" w:rsidRDefault="00700A20" w:rsidP="00700A20">
      <w:pPr>
        <w:jc w:val="center"/>
      </w:pPr>
      <w:r w:rsidRPr="00700A20">
        <w:drawing>
          <wp:inline distT="0" distB="0" distL="0" distR="0" wp14:anchorId="7CAE187D" wp14:editId="4646FC53">
            <wp:extent cx="5832475" cy="3131820"/>
            <wp:effectExtent l="0" t="0" r="0" b="0"/>
            <wp:docPr id="2" name="Picture 2" descr="A screen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32475" cy="3131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8A3F33" w14:textId="21274A74" w:rsidR="00700A20" w:rsidRDefault="00700A20" w:rsidP="00700A20">
      <w:pPr>
        <w:jc w:val="center"/>
      </w:pPr>
      <w:r w:rsidRPr="00700A20">
        <w:drawing>
          <wp:inline distT="0" distB="0" distL="0" distR="0" wp14:anchorId="32E6F644" wp14:editId="374A7423">
            <wp:extent cx="5832475" cy="3124200"/>
            <wp:effectExtent l="0" t="0" r="0" b="0"/>
            <wp:docPr id="3" name="Picture 3" descr="A screenshot of a ser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servic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832475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7D586" w14:textId="2A95DCC5" w:rsidR="00700A20" w:rsidRDefault="00700A20" w:rsidP="00700A20">
      <w:pPr>
        <w:jc w:val="center"/>
      </w:pPr>
      <w:r w:rsidRPr="00700A20">
        <w:lastRenderedPageBreak/>
        <w:drawing>
          <wp:inline distT="0" distB="0" distL="0" distR="0" wp14:anchorId="3E92ED17" wp14:editId="57887FA6">
            <wp:extent cx="5832475" cy="3268980"/>
            <wp:effectExtent l="0" t="0" r="0" b="762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32475" cy="3268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8654F" w14:textId="74BE8375" w:rsidR="00211749" w:rsidRPr="00211749" w:rsidRDefault="00700A20" w:rsidP="00700A20">
      <w:pPr>
        <w:jc w:val="center"/>
        <w:rPr>
          <w:rFonts w:ascii="Times New Roman" w:hAnsi="Times New Roman" w:cs="Times New Roman"/>
        </w:rPr>
      </w:pPr>
      <w:hyperlink r:id="rId11" w:history="1">
        <w:r w:rsidRPr="007110DD">
          <w:rPr>
            <w:rStyle w:val="Hyperlink"/>
            <w:rFonts w:ascii="Times New Roman" w:hAnsi="Times New Roman" w:cs="Times New Roman"/>
            <w:shd w:val="clear" w:color="auto" w:fill="FFFFFF"/>
          </w:rPr>
          <w:t>https://meetriver.com/entity/6ad3b8f2927d465567229569</w:t>
        </w:r>
      </w:hyperlink>
    </w:p>
    <w:p w14:paraId="367DE965" w14:textId="77777777" w:rsidR="00211749" w:rsidRPr="00211749" w:rsidRDefault="00211749" w:rsidP="00211749">
      <w:pPr>
        <w:rPr>
          <w:rFonts w:ascii="Times New Roman" w:hAnsi="Times New Roman" w:cs="Times New Roman"/>
        </w:rPr>
      </w:pPr>
    </w:p>
    <w:p w14:paraId="79FE6E78" w14:textId="77777777" w:rsidR="00700A20" w:rsidRDefault="00700A20">
      <w:pPr>
        <w:rPr>
          <w:rFonts w:ascii="Times New Roman" w:eastAsia="Times New Roman" w:hAnsi="Times New Roman" w:cs="Times New Roman"/>
          <w:b/>
          <w:bCs/>
          <w:kern w:val="36"/>
          <w:sz w:val="32"/>
          <w:szCs w:val="48"/>
        </w:rPr>
      </w:pPr>
      <w:r>
        <w:br w:type="page"/>
      </w:r>
    </w:p>
    <w:p w14:paraId="519A935F" w14:textId="524346C2" w:rsidR="00211749" w:rsidRPr="00211749" w:rsidRDefault="00211749" w:rsidP="00211749">
      <w:pPr>
        <w:pStyle w:val="Heading1"/>
      </w:pPr>
      <w:r w:rsidRPr="00211749">
        <w:lastRenderedPageBreak/>
        <w:t>Persona</w:t>
      </w:r>
    </w:p>
    <w:p w14:paraId="3EA38823" w14:textId="706573EC" w:rsidR="00700A20" w:rsidRDefault="00700A20" w:rsidP="00700A20">
      <w:pPr>
        <w:shd w:val="clear" w:color="auto" w:fill="FFFFFF"/>
        <w:jc w:val="center"/>
      </w:pPr>
      <w:r w:rsidRPr="00700A20">
        <w:drawing>
          <wp:inline distT="0" distB="0" distL="0" distR="0" wp14:anchorId="7F1D0D08" wp14:editId="28BF9FCB">
            <wp:extent cx="5832475" cy="3406140"/>
            <wp:effectExtent l="0" t="0" r="0" b="381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832475" cy="3406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134D63" w14:textId="64E50A64" w:rsidR="00211749" w:rsidRPr="00211749" w:rsidRDefault="00700A20" w:rsidP="00700A20">
      <w:pPr>
        <w:shd w:val="clear" w:color="auto" w:fill="FFFFFF"/>
        <w:jc w:val="center"/>
        <w:rPr>
          <w:rFonts w:ascii="Times New Roman" w:hAnsi="Times New Roman" w:cs="Times New Roman"/>
          <w:color w:val="222222"/>
        </w:rPr>
      </w:pPr>
      <w:hyperlink r:id="rId13" w:history="1">
        <w:r w:rsidRPr="007110DD">
          <w:rPr>
            <w:rStyle w:val="Hyperlink"/>
            <w:rFonts w:ascii="Times New Roman" w:hAnsi="Times New Roman" w:cs="Times New Roman"/>
          </w:rPr>
          <w:t>https://canva.link/5ve2dt6fsha3dsw</w:t>
        </w:r>
      </w:hyperlink>
    </w:p>
    <w:p w14:paraId="77ED5405" w14:textId="717C79DA" w:rsidR="00CE5B4E" w:rsidRDefault="00CE5B4E" w:rsidP="00700A20">
      <w:pPr>
        <w:pStyle w:val="Heading1"/>
        <w:jc w:val="center"/>
      </w:pPr>
      <w:r>
        <w:br w:type="page"/>
      </w:r>
    </w:p>
    <w:p w14:paraId="1C5D1E06" w14:textId="77777777" w:rsidR="00CE5B4E" w:rsidRPr="00CE5B4E" w:rsidRDefault="00CE5B4E" w:rsidP="00CE5B4E">
      <w:pPr>
        <w:spacing w:after="0" w:line="360" w:lineRule="auto"/>
        <w:outlineLvl w:val="0"/>
        <w:rPr>
          <w:rFonts w:ascii="Times New Roman" w:eastAsia="Times New Roman" w:hAnsi="Times New Roman" w:cs="Times New Roman"/>
          <w:color w:val="0E101A"/>
          <w:kern w:val="36"/>
          <w:sz w:val="48"/>
          <w:szCs w:val="48"/>
        </w:rPr>
      </w:pPr>
      <w:r w:rsidRPr="00CE5B4E">
        <w:rPr>
          <w:rFonts w:ascii="Times New Roman" w:eastAsia="Times New Roman" w:hAnsi="Times New Roman" w:cs="Times New Roman"/>
          <w:color w:val="0E101A"/>
          <w:kern w:val="36"/>
          <w:sz w:val="48"/>
          <w:szCs w:val="48"/>
        </w:rPr>
        <w:lastRenderedPageBreak/>
        <w:t>References</w:t>
      </w:r>
    </w:p>
    <w:p w14:paraId="5F271E9F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Amarsy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N. (2015) ‘Roadmap to test your value proposition’,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Strategyzer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17 February. Available at: </w:t>
      </w:r>
      <w:hyperlink r:id="rId14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https://www.strategyzer.com/library/roadmap-to-test-your-value-proposition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625A689B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Bardhi, F. and Eckhardt, G.M. (2012) ‘Access-based consumption: The case of car sharing’,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Journal of Consumer Research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39(4), pp. 881–898. </w:t>
      </w:r>
      <w:hyperlink r:id="rId15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https://doi.org/10.1086/666376</w:t>
        </w:r>
      </w:hyperlink>
    </w:p>
    <w:p w14:paraId="65B503C3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Bitner, M.J., Ostrom, A.L. and Morgan, F.N. (2008) ‘Service blueprinting: a practical technique for service innovation’,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California Management Review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50(3), pp. 66–94. </w:t>
      </w:r>
      <w:hyperlink r:id="rId16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https://doi.org/10.2307/41166446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.</w:t>
      </w:r>
    </w:p>
    <w:p w14:paraId="6C5E43C0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Chapman, C.N., Love, E., Milham, R.P.,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ElRif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P. and Alford, J.L. (2008) ‘Quantitative evaluation of personas as information’,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Proceedings of the Human Factors and Ergonomics Society Annual Meeting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52(16), pp. 1107–1111. </w:t>
      </w:r>
      <w:hyperlink r:id="rId17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https://doi.org/10.1177/154193120805201602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.</w:t>
      </w:r>
    </w:p>
    <w:p w14:paraId="775A1CE0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Cherry, C.E. and Pidgeon, N.F. (2018) ‘Why is ownership an issue? Exploring factors that determine public acceptance of product-service systems’,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Sustainability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10(7), article 2289. </w:t>
      </w:r>
      <w:hyperlink r:id="rId18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https://doi.org/10.3390/su10072289</w:t>
        </w:r>
      </w:hyperlink>
    </w:p>
    <w:p w14:paraId="37EDCFD1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Christensen, C.M., Hall, T., Dillon, K. and Duncan, D.S. (2016) ‘Know your customers’ “jobs to be done”’,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Harvard Business Review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94(9), pp. 54–62. Available at: </w:t>
      </w:r>
      <w:hyperlink r:id="rId19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https://store.hbr.org/product/know-your-customers-jobs-to-be-done/R1609D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730BC5EE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Competition and Markets Authority (2026)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Providing clear and accurate information about prices: summary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. 7 January. Available at: </w:t>
      </w:r>
      <w:hyperlink r:id="rId20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https://www.gov.uk/government/publications/price-transparency-cma209/providing-clear-and-accurate-information-about-prices-summary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25B53166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Gullstrand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Edbring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E., Lehner, M. and Mont, O. (2016) ‘Exploring consumer attitudes to alternative models of consumption: Motivations and barriers’,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Journal of Cleaner Production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123, pp. 5–15. </w:t>
      </w:r>
      <w:hyperlink r:id="rId21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https://doi.org/10.1016/j.jclepro.2015.10.107</w:t>
        </w:r>
      </w:hyperlink>
    </w:p>
    <w:p w14:paraId="1059FC13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Hazée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S., Delcourt, C. and Van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Vaerenbergh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Y. (2017) ‘Burdens of access: Understanding customer barriers and barrier-attenuating practices in access-based services’,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Journal of Service Research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20(4), pp. 441–456. </w:t>
      </w:r>
      <w:hyperlink r:id="rId22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https://doi.org/10.1177/1094670517712877</w:t>
        </w:r>
      </w:hyperlink>
    </w:p>
    <w:p w14:paraId="6408E9F1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Hazée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S., Van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Vaerenbergh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Y., Delcourt, C. and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Warlop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L. (2019) ‘Sharing goods? Yuck, no! An investigation of consumers’ contamination concerns about access-based services’,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Journal of Service Research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22(3), pp. 256–271. </w:t>
      </w:r>
      <w:hyperlink r:id="rId23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https://doi.org/10.1177/1094670519838622</w:t>
        </w:r>
      </w:hyperlink>
    </w:p>
    <w:p w14:paraId="6FDF19E1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lastRenderedPageBreak/>
        <w:t xml:space="preserve">Lamberton, C.P. and Rose, R.L. (2012) ‘When is ours better than mine? A framework for understanding and altering participation in commercial sharing systems’,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Journal of Marketing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76(4), pp. 109–125. </w:t>
      </w:r>
      <w:hyperlink r:id="rId24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https://doi.org/10.1509/jm.10.0368</w:t>
        </w:r>
      </w:hyperlink>
    </w:p>
    <w:p w14:paraId="666A3E56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Laubheimer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P. (2020) ‘3 persona types: lightweight, qualitative, and statistical’, Nielsen Norman Group, 21 June. Available at: </w:t>
      </w:r>
      <w:hyperlink r:id="rId25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https://www.nngroup.com/articles/persona-types/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14E6591D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Library of Things (2024) ‘How we calculate our impact (2024 update)’, 2 February. Available at: </w:t>
      </w:r>
      <w:hyperlink r:id="rId26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https://www.libraryofthings.co.uk/blog/how-we-calculate-our-impact-2024-update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63F56847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Library of Things (2025)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2025 London Impact Report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. Available at: </w:t>
      </w:r>
      <w:hyperlink r:id="rId27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https://start.libraryofthings.co.uk/2025-london-impact-report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58AE5537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Library of Things (2025)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2025 London Impact Report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. Available at: </w:t>
      </w:r>
      <w:hyperlink r:id="rId28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https://start.libraryofthings.co.uk/2025-london-impact-report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33080EA0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Martin, M., Heiska, M. and Björklund, A. (2021) ‘Environmental assessment of a product-service system for renting electric-powered tools’,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Journal of Cleaner Production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281, article 125245. </w:t>
      </w:r>
      <w:hyperlink r:id="rId29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https://doi.org/10.1016/j.jclepro.2020.125245</w:t>
        </w:r>
      </w:hyperlink>
    </w:p>
    <w:p w14:paraId="628251F0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Ministry of Housing, Communities and Local Government (2025)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English Housing Survey 2024 to 2025: Headline findings on demographics and household resilience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. 4 December. Amended 9 July 2026. Available at: </w:t>
      </w:r>
      <w:hyperlink r:id="rId30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https://www.gov.uk/government/statistics/chapters-for-english-housing-survey-2024-to-2025-headline-findings-on-demographics-and-household-resilience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3B07C086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Ministry of Housing, Communities and Local Government (2025)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English Housing Survey 2024 to 2025: Headline findings on demographics and household resilience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. 4 December. Amended 9 July 2026. Available at: </w:t>
      </w:r>
      <w:hyperlink r:id="rId31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https://www.gov.uk/government/statistics/chapters-for-english-housing-survey-2024-to-2025-headline-findings-on-demographics-and-household-resilience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33719532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Möhlmann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M. (2015) ‘Collaborative consumption: Determinants of satisfaction and the likelihood of using a sharing economy option again’,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 xml:space="preserve">Journal of Consumer </w:t>
      </w:r>
      <w:proofErr w:type="spellStart"/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Behaviour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14(3), pp. 193–207. </w:t>
      </w:r>
      <w:hyperlink r:id="rId32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https://doi.org/10.1002/cb.1512</w:t>
        </w:r>
      </w:hyperlink>
    </w:p>
    <w:p w14:paraId="5D31F541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Office for National Statistics (2025)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 xml:space="preserve">Private rental affordability, England, </w:t>
      </w:r>
      <w:proofErr w:type="gramStart"/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Wales</w:t>
      </w:r>
      <w:proofErr w:type="gramEnd"/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 xml:space="preserve"> and Northern Ireland: 2024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. 18 August. Available at: </w:t>
      </w:r>
      <w:hyperlink r:id="rId33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https://www.ons.gov.uk/peoplepopulationandcommunity/housing/bulletins/privaterentalaffordabilityengland/2024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4625DBC2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Office for Product Safety and Standards (2024)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General Product Safety Regulations 2005: Great Britain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. Updated 13 December. Available at: </w:t>
      </w:r>
      <w:hyperlink r:id="rId34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https://www.gov.uk/government/publications/general-product-safety-regulations-2005/general-product-safety-regulations-2005-great-britain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356C6F07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Osterwalder, A., Pigneur, Y., Bernarda, G. and Smith, A. (2014)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Value Proposition Design: How to Create Products and Services Customers Want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. Hoboken, NJ: John Wiley &amp; Sons.</w:t>
      </w:r>
    </w:p>
    <w:p w14:paraId="1BEC394F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Osterwalder, A., Pigneur, Y., Bernarda, G. and Smith, A. (2014)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Value Proposition Design: How to Create Products and Services Customers Want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. Hoboken, NJ: John Wiley &amp; Sons.</w:t>
      </w:r>
    </w:p>
    <w:p w14:paraId="505F5667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Pruitt, J. and Grudin, J. (2003) ‘Personas: practice and theory’,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Proceedings of the 2003 Conference on Designing for User Experiences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pp. 1–15. </w:t>
      </w:r>
      <w:hyperlink r:id="rId35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https://doi.org/10.1145/997078.997089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.</w:t>
      </w:r>
    </w:p>
    <w:p w14:paraId="74828AED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Schaefers, T., Lawson, S.J. and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Kukar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-Kinney, M. (2016) ‘How the burdens of ownership promote consumer usage of access-based services’,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Marketing Letters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27(3), pp. 569–577. </w:t>
      </w:r>
      <w:hyperlink r:id="rId36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https://doi.org/10.1007/s11002-015-9366-x</w:t>
        </w:r>
      </w:hyperlink>
    </w:p>
    <w:p w14:paraId="4B69A9B2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Speedy Hire (n.d.)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Speedy at B&amp;Q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. Available at: </w:t>
      </w:r>
      <w:hyperlink r:id="rId37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https://www.speedyservices.com/Speedy-BandQ</w:t>
        </w:r>
      </w:hyperlink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 (Accessed: 10 October 2026).</w:t>
      </w:r>
    </w:p>
    <w:p w14:paraId="25488378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Tukker, A. (2004) ‘Eight types of product-service system: eight ways to sustainability? Experiences from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SusProNet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Business Strategy and the Environment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13(4), pp. 246–260. </w:t>
      </w:r>
      <w:hyperlink r:id="rId38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https://doi.org/10.1002/bse.414</w:t>
        </w:r>
      </w:hyperlink>
    </w:p>
    <w:p w14:paraId="69E85068" w14:textId="77777777" w:rsidR="00CE5B4E" w:rsidRPr="00CE5B4E" w:rsidRDefault="00CE5B4E" w:rsidP="00211749">
      <w:pPr>
        <w:spacing w:after="0" w:line="360" w:lineRule="auto"/>
        <w:jc w:val="both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Tunn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V.S.C., Van den Hende, E.A.,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Bocken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N.M.P. and </w:t>
      </w:r>
      <w:proofErr w:type="spellStart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>Schoormans</w:t>
      </w:r>
      <w:proofErr w:type="spellEnd"/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J.P.L. (2021) ‘Consumer adoption of access-based product-service systems: The influence of duration of use and type of product’, </w:t>
      </w:r>
      <w:r w:rsidRPr="00CE5B4E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</w:rPr>
        <w:t>Business Strategy and the Environment</w:t>
      </w:r>
      <w:r w:rsidRPr="00CE5B4E"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, 30(6), pp. 2796–2813. </w:t>
      </w:r>
      <w:hyperlink r:id="rId39" w:tgtFrame="_blank" w:history="1">
        <w:r w:rsidRPr="00CE5B4E">
          <w:rPr>
            <w:rFonts w:ascii="Times New Roman" w:eastAsia="Times New Roman" w:hAnsi="Times New Roman" w:cs="Times New Roman"/>
            <w:color w:val="4A6EE0"/>
            <w:sz w:val="24"/>
            <w:szCs w:val="24"/>
            <w:u w:val="single"/>
          </w:rPr>
          <w:t>https://doi.org/10.1002/bse.2894</w:t>
        </w:r>
      </w:hyperlink>
    </w:p>
    <w:p w14:paraId="29EBC7D5" w14:textId="77777777" w:rsidR="00CE5B4E" w:rsidRPr="00CE5B4E" w:rsidRDefault="00CE5B4E" w:rsidP="00CE5B4E"/>
    <w:sectPr w:rsidR="00CE5B4E" w:rsidRPr="00CE5B4E" w:rsidSect="00211749">
      <w:pgSz w:w="11906" w:h="16838"/>
      <w:pgMar w:top="1195" w:right="1339" w:bottom="1138" w:left="1382" w:header="403" w:footer="461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A70"/>
    <w:rsid w:val="00010C60"/>
    <w:rsid w:val="00211749"/>
    <w:rsid w:val="00223019"/>
    <w:rsid w:val="0040310F"/>
    <w:rsid w:val="00493B81"/>
    <w:rsid w:val="005A536B"/>
    <w:rsid w:val="00636011"/>
    <w:rsid w:val="006B1A70"/>
    <w:rsid w:val="00700A20"/>
    <w:rsid w:val="008933B5"/>
    <w:rsid w:val="00894D71"/>
    <w:rsid w:val="008C012A"/>
    <w:rsid w:val="00966CA2"/>
    <w:rsid w:val="00987BB7"/>
    <w:rsid w:val="00AA7114"/>
    <w:rsid w:val="00B90FC5"/>
    <w:rsid w:val="00C479BF"/>
    <w:rsid w:val="00CE5B4E"/>
    <w:rsid w:val="00DD6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C80359"/>
  <w15:chartTrackingRefBased/>
  <w15:docId w15:val="{4E9CE7FE-8C1E-4510-BD74-0359515B4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11749"/>
    <w:pPr>
      <w:spacing w:before="100" w:beforeAutospacing="1" w:after="100" w:afterAutospacing="1" w:line="240" w:lineRule="auto"/>
      <w:jc w:val="both"/>
      <w:outlineLvl w:val="0"/>
    </w:pPr>
    <w:rPr>
      <w:rFonts w:ascii="Times New Roman" w:eastAsia="Times New Roman" w:hAnsi="Times New Roman" w:cs="Times New Roman"/>
      <w:b/>
      <w:bCs/>
      <w:kern w:val="36"/>
      <w:sz w:val="32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6B1A7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211749"/>
    <w:rPr>
      <w:rFonts w:ascii="Times New Roman" w:eastAsia="Times New Roman" w:hAnsi="Times New Roman" w:cs="Times New Roman"/>
      <w:b/>
      <w:bCs/>
      <w:kern w:val="36"/>
      <w:sz w:val="32"/>
      <w:szCs w:val="48"/>
    </w:rPr>
  </w:style>
  <w:style w:type="paragraph" w:styleId="NormalWeb">
    <w:name w:val="Normal (Web)"/>
    <w:basedOn w:val="Normal"/>
    <w:uiPriority w:val="99"/>
    <w:semiHidden/>
    <w:unhideWhenUsed/>
    <w:rsid w:val="00CE5B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E5B4E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CE5B4E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C479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30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6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9862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787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19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anva.link/5ve2dt6fsha3dsw" TargetMode="External"/><Relationship Id="rId18" Type="http://schemas.openxmlformats.org/officeDocument/2006/relationships/hyperlink" Target="https://doi.org/10.3390/su10072289" TargetMode="External"/><Relationship Id="rId26" Type="http://schemas.openxmlformats.org/officeDocument/2006/relationships/hyperlink" Target="https://www.libraryofthings.co.uk/blog/how-we-calculate-our-impact-2024-update" TargetMode="External"/><Relationship Id="rId39" Type="http://schemas.openxmlformats.org/officeDocument/2006/relationships/hyperlink" Target="https://doi.org/10.1002/bse.2894" TargetMode="External"/><Relationship Id="rId21" Type="http://schemas.openxmlformats.org/officeDocument/2006/relationships/hyperlink" Target="https://doi.org/10.1016/j.jclepro.2015.10.107" TargetMode="External"/><Relationship Id="rId34" Type="http://schemas.openxmlformats.org/officeDocument/2006/relationships/hyperlink" Target="https://www.gov.uk/government/publications/general-product-safety-regulations-2005/general-product-safety-regulations-2005-great-britain" TargetMode="External"/><Relationship Id="rId7" Type="http://schemas.openxmlformats.org/officeDocument/2006/relationships/hyperlink" Target="https://mm.tt/map/4103308170?t=RL6fC7qYYo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2307/41166446" TargetMode="External"/><Relationship Id="rId20" Type="http://schemas.openxmlformats.org/officeDocument/2006/relationships/hyperlink" Target="https://www.gov.uk/government/publications/price-transparency-cma209/providing-clear-and-accurate-information-about-prices-summary" TargetMode="External"/><Relationship Id="rId29" Type="http://schemas.openxmlformats.org/officeDocument/2006/relationships/hyperlink" Target="https://doi.org/10.1016/j.jclepro.2020.125245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meetriver.com/entity/6ad3b8f2927d465567229569" TargetMode="External"/><Relationship Id="rId24" Type="http://schemas.openxmlformats.org/officeDocument/2006/relationships/hyperlink" Target="https://doi.org/10.1509/jm.10.0368" TargetMode="External"/><Relationship Id="rId32" Type="http://schemas.openxmlformats.org/officeDocument/2006/relationships/hyperlink" Target="https://doi.org/10.1002/cb.1512" TargetMode="External"/><Relationship Id="rId37" Type="http://schemas.openxmlformats.org/officeDocument/2006/relationships/hyperlink" Target="https://www.speedyservices.com/Speedy-BandQ" TargetMode="External"/><Relationship Id="rId40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doi.org/10.1086/666376" TargetMode="External"/><Relationship Id="rId23" Type="http://schemas.openxmlformats.org/officeDocument/2006/relationships/hyperlink" Target="https://doi.org/10.1177/1094670519838622" TargetMode="External"/><Relationship Id="rId28" Type="http://schemas.openxmlformats.org/officeDocument/2006/relationships/hyperlink" Target="https://start.libraryofthings.co.uk/2025-london-impact-report" TargetMode="External"/><Relationship Id="rId36" Type="http://schemas.openxmlformats.org/officeDocument/2006/relationships/hyperlink" Target="https://doi.org/10.1007/s11002-015-9366-x" TargetMode="External"/><Relationship Id="rId10" Type="http://schemas.openxmlformats.org/officeDocument/2006/relationships/image" Target="media/image5.png"/><Relationship Id="rId19" Type="http://schemas.openxmlformats.org/officeDocument/2006/relationships/hyperlink" Target="https://store.hbr.org/product/know-your-customers-jobs-to-be-done/R1609D" TargetMode="External"/><Relationship Id="rId31" Type="http://schemas.openxmlformats.org/officeDocument/2006/relationships/hyperlink" Target="https://www.gov.uk/government/statistics/chapters-for-english-housing-survey-2024-to-2025-headline-findings-on-demographics-and-household-resilienc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www.strategyzer.com/library/roadmap-to-test-your-value-proposition" TargetMode="External"/><Relationship Id="rId22" Type="http://schemas.openxmlformats.org/officeDocument/2006/relationships/hyperlink" Target="https://doi.org/10.1177/1094670517712877" TargetMode="External"/><Relationship Id="rId27" Type="http://schemas.openxmlformats.org/officeDocument/2006/relationships/hyperlink" Target="https://start.libraryofthings.co.uk/2025-london-impact-report" TargetMode="External"/><Relationship Id="rId30" Type="http://schemas.openxmlformats.org/officeDocument/2006/relationships/hyperlink" Target="https://www.gov.uk/government/statistics/chapters-for-english-housing-survey-2024-to-2025-headline-findings-on-demographics-and-household-resilience" TargetMode="External"/><Relationship Id="rId35" Type="http://schemas.openxmlformats.org/officeDocument/2006/relationships/hyperlink" Target="https://doi.org/10.1145/997078.997089" TargetMode="External"/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hyperlink" Target="https://doi.org/10.1177/154193120805201602" TargetMode="External"/><Relationship Id="rId25" Type="http://schemas.openxmlformats.org/officeDocument/2006/relationships/hyperlink" Target="https://www.nngroup.com/articles/persona-types/" TargetMode="External"/><Relationship Id="rId33" Type="http://schemas.openxmlformats.org/officeDocument/2006/relationships/hyperlink" Target="https://www.ons.gov.uk/peoplepopulationandcommunity/housing/bulletins/privaterentalaffordabilityengland/2024" TargetMode="External"/><Relationship Id="rId38" Type="http://schemas.openxmlformats.org/officeDocument/2006/relationships/hyperlink" Target="https://doi.org/10.1002/bse.4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91DB3A3-46B4-4EC5-B521-04694536D6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377</TotalTime>
  <Pages>9</Pages>
  <Words>1463</Words>
  <Characters>8343</Characters>
  <DocSecurity>0</DocSecurity>
  <Lines>69</Lines>
  <Paragraphs>19</Paragraphs>
  <ScaleCrop>false</ScaleCrop>
  <Company/>
  <LinksUpToDate>false</LinksUpToDate>
  <CharactersWithSpaces>9787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Rumi Begum</dc:creator>
  <cp:keywords/>
  <dc:description/>
  <cp:revision>36</cp:revision>
  <dcterms:created xsi:type="dcterms:W3CDTF">2026-10-05T00:00:00Z</dcterms:created>
  <dcterms:modified xsi:type="dcterms:W3CDTF">2026-10-18T16:58:00Z</dcterms:modified>
</cp:coreProperties>
</file>