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245190313"/>
        <w:docPartObj>
          <w:docPartGallery w:val="Cover Pages"/>
          <w:docPartUnique/>
        </w:docPartObj>
      </w:sdtPr>
      <w:sdtEndPr>
        <w:rPr>
          <w:color w:val="auto"/>
        </w:rPr>
      </w:sdtEndPr>
      <w:sdtContent>
        <w:p w14:paraId="259CA9F9" w14:textId="316E8A06" w:rsidR="00BF3AE9" w:rsidRDefault="00BF3AE9">
          <w:pPr>
            <w:pStyle w:val="NoSpacing"/>
            <w:spacing w:before="1540" w:after="240"/>
            <w:jc w:val="center"/>
            <w:rPr>
              <w:color w:val="4472C4" w:themeColor="accent1"/>
            </w:rPr>
          </w:pPr>
          <w:r>
            <w:rPr>
              <w:noProof/>
              <w:color w:val="4472C4" w:themeColor="accent1"/>
            </w:rPr>
            <w:drawing>
              <wp:inline distT="0" distB="0" distL="0" distR="0" wp14:anchorId="66441A38" wp14:editId="5DAED20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3FF823D7CCA400EB3381FA14D4E86F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6317287" w14:textId="195A2535" w:rsidR="00BF3AE9" w:rsidRDefault="00BF3AE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Diminished responsability</w:t>
              </w:r>
            </w:p>
          </w:sdtContent>
        </w:sdt>
        <w:sdt>
          <w:sdtPr>
            <w:rPr>
              <w:color w:val="4472C4" w:themeColor="accent1"/>
              <w:sz w:val="28"/>
              <w:szCs w:val="28"/>
            </w:rPr>
            <w:alias w:val="Subtitle"/>
            <w:tag w:val=""/>
            <w:id w:val="328029620"/>
            <w:placeholder>
              <w:docPart w:val="6635D3A0E13D41FB90DA02B4FEFDD156"/>
            </w:placeholder>
            <w:dataBinding w:prefixMappings="xmlns:ns0='http://purl.org/dc/elements/1.1/' xmlns:ns1='http://schemas.openxmlformats.org/package/2006/metadata/core-properties' " w:xpath="/ns1:coreProperties[1]/ns0:subject[1]" w:storeItemID="{6C3C8BC8-F283-45AE-878A-BAB7291924A1}"/>
            <w:text/>
          </w:sdtPr>
          <w:sdtEndPr/>
          <w:sdtContent>
            <w:p w14:paraId="320359F2" w14:textId="50957A4F" w:rsidR="00BF3AE9" w:rsidRDefault="00BF3AE9">
              <w:pPr>
                <w:pStyle w:val="NoSpacing"/>
                <w:jc w:val="center"/>
                <w:rPr>
                  <w:color w:val="4472C4" w:themeColor="accent1"/>
                  <w:sz w:val="28"/>
                  <w:szCs w:val="28"/>
                </w:rPr>
              </w:pPr>
              <w:r>
                <w:rPr>
                  <w:color w:val="4472C4" w:themeColor="accent1"/>
                  <w:sz w:val="28"/>
                  <w:szCs w:val="28"/>
                </w:rPr>
                <w:t>BMLW4005</w:t>
              </w:r>
            </w:p>
          </w:sdtContent>
        </w:sdt>
        <w:p w14:paraId="459E5588" w14:textId="77777777" w:rsidR="00BF3AE9" w:rsidRDefault="00BF3AE9">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16BD124B" wp14:editId="6E738B5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10T00:00:00Z">
                                    <w:dateFormat w:val="MMMM d, yyyy"/>
                                    <w:lid w:val="en-US"/>
                                    <w:storeMappedDataAs w:val="dateTime"/>
                                    <w:calendar w:val="gregorian"/>
                                  </w:date>
                                </w:sdtPr>
                                <w:sdtEndPr/>
                                <w:sdtContent>
                                  <w:p w14:paraId="67A7D457" w14:textId="36CDB902" w:rsidR="00BF3AE9" w:rsidRDefault="00BF3AE9">
                                    <w:pPr>
                                      <w:pStyle w:val="NoSpacing"/>
                                      <w:spacing w:after="40"/>
                                      <w:jc w:val="center"/>
                                      <w:rPr>
                                        <w:caps/>
                                        <w:color w:val="4472C4" w:themeColor="accent1"/>
                                        <w:sz w:val="28"/>
                                        <w:szCs w:val="28"/>
                                      </w:rPr>
                                    </w:pPr>
                                    <w:r>
                                      <w:rPr>
                                        <w:caps/>
                                        <w:color w:val="4472C4" w:themeColor="accent1"/>
                                        <w:sz w:val="28"/>
                                        <w:szCs w:val="28"/>
                                      </w:rPr>
                                      <w:t>March 10, 2023</w:t>
                                    </w:r>
                                  </w:p>
                                </w:sdtContent>
                              </w:sdt>
                              <w:p w14:paraId="2C89F0BD" w14:textId="473F044A" w:rsidR="00BF3AE9" w:rsidRDefault="002E28F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F3AE9">
                                      <w:rPr>
                                        <w:caps/>
                                        <w:color w:val="4472C4" w:themeColor="accent1"/>
                                      </w:rPr>
                                      <w:t>hannah willett</w:t>
                                    </w:r>
                                  </w:sdtContent>
                                </w:sdt>
                              </w:p>
                              <w:p w14:paraId="42E5420D" w14:textId="525AEC4B" w:rsidR="00BF3AE9" w:rsidRDefault="002E28F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F3AE9">
                                      <w:rPr>
                                        <w:color w:val="4472C4" w:themeColor="accent1"/>
                                      </w:rPr>
                                      <w:t>2204812</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6BD124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10T00:00:00Z">
                              <w:dateFormat w:val="MMMM d, yyyy"/>
                              <w:lid w:val="en-US"/>
                              <w:storeMappedDataAs w:val="dateTime"/>
                              <w:calendar w:val="gregorian"/>
                            </w:date>
                          </w:sdtPr>
                          <w:sdtEndPr/>
                          <w:sdtContent>
                            <w:p w14:paraId="67A7D457" w14:textId="36CDB902" w:rsidR="00BF3AE9" w:rsidRDefault="00BF3AE9">
                              <w:pPr>
                                <w:pStyle w:val="NoSpacing"/>
                                <w:spacing w:after="40"/>
                                <w:jc w:val="center"/>
                                <w:rPr>
                                  <w:caps/>
                                  <w:color w:val="4472C4" w:themeColor="accent1"/>
                                  <w:sz w:val="28"/>
                                  <w:szCs w:val="28"/>
                                </w:rPr>
                              </w:pPr>
                              <w:r>
                                <w:rPr>
                                  <w:caps/>
                                  <w:color w:val="4472C4" w:themeColor="accent1"/>
                                  <w:sz w:val="28"/>
                                  <w:szCs w:val="28"/>
                                </w:rPr>
                                <w:t>March 10, 2023</w:t>
                              </w:r>
                            </w:p>
                          </w:sdtContent>
                        </w:sdt>
                        <w:p w14:paraId="2C89F0BD" w14:textId="473F044A" w:rsidR="00BF3AE9" w:rsidRDefault="002E28F2">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F3AE9">
                                <w:rPr>
                                  <w:caps/>
                                  <w:color w:val="4472C4" w:themeColor="accent1"/>
                                </w:rPr>
                                <w:t>hannah willett</w:t>
                              </w:r>
                            </w:sdtContent>
                          </w:sdt>
                        </w:p>
                        <w:p w14:paraId="42E5420D" w14:textId="525AEC4B" w:rsidR="00BF3AE9" w:rsidRDefault="002E28F2">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F3AE9">
                                <w:rPr>
                                  <w:color w:val="4472C4" w:themeColor="accent1"/>
                                </w:rPr>
                                <w:t>2204812</w:t>
                              </w:r>
                            </w:sdtContent>
                          </w:sdt>
                        </w:p>
                      </w:txbxContent>
                    </v:textbox>
                    <w10:wrap anchorx="margin" anchory="page"/>
                  </v:shape>
                </w:pict>
              </mc:Fallback>
            </mc:AlternateContent>
          </w:r>
          <w:r>
            <w:rPr>
              <w:noProof/>
              <w:color w:val="4472C4" w:themeColor="accent1"/>
            </w:rPr>
            <w:drawing>
              <wp:inline distT="0" distB="0" distL="0" distR="0" wp14:anchorId="61B6002B" wp14:editId="1E3150D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E2251D6" w14:textId="3D41C346" w:rsidR="00BF3AE9" w:rsidRDefault="00BF3AE9">
          <w:r>
            <w:br w:type="page"/>
          </w:r>
        </w:p>
      </w:sdtContent>
    </w:sdt>
    <w:p w14:paraId="75467E94" w14:textId="4855B140" w:rsidR="00BF3AE9" w:rsidRDefault="00BF3AE9" w:rsidP="00BF3AE9">
      <w:pPr>
        <w:spacing w:line="480" w:lineRule="auto"/>
        <w:jc w:val="center"/>
        <w:rPr>
          <w:rFonts w:ascii="Arial" w:hAnsi="Arial" w:cs="Arial"/>
          <w:b/>
          <w:bCs/>
          <w:sz w:val="24"/>
          <w:szCs w:val="24"/>
        </w:rPr>
      </w:pPr>
      <w:r w:rsidRPr="003308CF">
        <w:rPr>
          <w:rFonts w:ascii="Arial" w:hAnsi="Arial" w:cs="Arial"/>
          <w:b/>
          <w:bCs/>
          <w:sz w:val="24"/>
          <w:szCs w:val="24"/>
        </w:rPr>
        <w:lastRenderedPageBreak/>
        <w:t xml:space="preserve">What changes did the Coroners and Justice Act </w:t>
      </w:r>
      <w:r>
        <w:rPr>
          <w:rFonts w:ascii="Arial" w:hAnsi="Arial" w:cs="Arial"/>
          <w:b/>
          <w:bCs/>
          <w:sz w:val="24"/>
          <w:szCs w:val="24"/>
        </w:rPr>
        <w:t>(</w:t>
      </w:r>
      <w:r w:rsidRPr="003308CF">
        <w:rPr>
          <w:rFonts w:ascii="Arial" w:hAnsi="Arial" w:cs="Arial"/>
          <w:b/>
          <w:bCs/>
          <w:sz w:val="24"/>
          <w:szCs w:val="24"/>
        </w:rPr>
        <w:t>200</w:t>
      </w:r>
      <w:r>
        <w:rPr>
          <w:rFonts w:ascii="Arial" w:hAnsi="Arial" w:cs="Arial"/>
          <w:b/>
          <w:bCs/>
          <w:sz w:val="24"/>
          <w:szCs w:val="24"/>
        </w:rPr>
        <w:t>9)</w:t>
      </w:r>
      <w:r w:rsidRPr="003308CF">
        <w:rPr>
          <w:rFonts w:ascii="Arial" w:hAnsi="Arial" w:cs="Arial"/>
          <w:b/>
          <w:bCs/>
          <w:sz w:val="24"/>
          <w:szCs w:val="24"/>
        </w:rPr>
        <w:t xml:space="preserve"> make to the defence of diminished responsibility? Did these amendments change the law in this area for the better?</w:t>
      </w:r>
    </w:p>
    <w:p w14:paraId="6F46C3C1" w14:textId="12AB9F99" w:rsidR="00954D62" w:rsidRDefault="00954D62" w:rsidP="00954D62">
      <w:pPr>
        <w:spacing w:line="480" w:lineRule="auto"/>
        <w:rPr>
          <w:rFonts w:ascii="Arial" w:hAnsi="Arial" w:cs="Arial"/>
          <w:sz w:val="24"/>
          <w:szCs w:val="24"/>
        </w:rPr>
      </w:pPr>
      <w:r w:rsidRPr="00954D62">
        <w:rPr>
          <w:rFonts w:ascii="Arial" w:hAnsi="Arial" w:cs="Arial"/>
          <w:sz w:val="24"/>
          <w:szCs w:val="24"/>
        </w:rPr>
        <w:t xml:space="preserve">The </w:t>
      </w:r>
      <w:r w:rsidR="002A0AB3">
        <w:rPr>
          <w:rFonts w:ascii="Arial" w:hAnsi="Arial" w:cs="Arial"/>
          <w:sz w:val="24"/>
          <w:szCs w:val="24"/>
        </w:rPr>
        <w:t>C</w:t>
      </w:r>
      <w:r w:rsidRPr="00954D62">
        <w:rPr>
          <w:rFonts w:ascii="Arial" w:hAnsi="Arial" w:cs="Arial"/>
          <w:sz w:val="24"/>
          <w:szCs w:val="24"/>
        </w:rPr>
        <w:t xml:space="preserve">oroners and </w:t>
      </w:r>
      <w:r w:rsidR="002A0AB3">
        <w:rPr>
          <w:rFonts w:ascii="Arial" w:hAnsi="Arial" w:cs="Arial"/>
          <w:sz w:val="24"/>
          <w:szCs w:val="24"/>
        </w:rPr>
        <w:t>J</w:t>
      </w:r>
      <w:r w:rsidRPr="00954D62">
        <w:rPr>
          <w:rFonts w:ascii="Arial" w:hAnsi="Arial" w:cs="Arial"/>
          <w:sz w:val="24"/>
          <w:szCs w:val="24"/>
        </w:rPr>
        <w:t xml:space="preserve">ustice </w:t>
      </w:r>
      <w:r w:rsidR="002A0AB3">
        <w:rPr>
          <w:rFonts w:ascii="Arial" w:hAnsi="Arial" w:cs="Arial"/>
          <w:sz w:val="24"/>
          <w:szCs w:val="24"/>
        </w:rPr>
        <w:t>A</w:t>
      </w:r>
      <w:r w:rsidRPr="00954D62">
        <w:rPr>
          <w:rFonts w:ascii="Arial" w:hAnsi="Arial" w:cs="Arial"/>
          <w:sz w:val="24"/>
          <w:szCs w:val="24"/>
        </w:rPr>
        <w:t>ct (2009)</w:t>
      </w:r>
      <w:r w:rsidR="00425F1E">
        <w:rPr>
          <w:rFonts w:ascii="Arial" w:hAnsi="Arial" w:cs="Arial"/>
          <w:sz w:val="24"/>
          <w:szCs w:val="24"/>
        </w:rPr>
        <w:t xml:space="preserve"> (CorJA2009)</w:t>
      </w:r>
      <w:r w:rsidRPr="00954D62">
        <w:rPr>
          <w:rFonts w:ascii="Arial" w:hAnsi="Arial" w:cs="Arial"/>
          <w:sz w:val="24"/>
          <w:szCs w:val="24"/>
        </w:rPr>
        <w:t xml:space="preserve"> was created by the UK </w:t>
      </w:r>
      <w:r w:rsidR="002A0AB3" w:rsidRPr="00954D62">
        <w:rPr>
          <w:rFonts w:ascii="Arial" w:hAnsi="Arial" w:cs="Arial"/>
          <w:sz w:val="24"/>
          <w:szCs w:val="24"/>
        </w:rPr>
        <w:t>parliament</w:t>
      </w:r>
      <w:r w:rsidRPr="00954D62">
        <w:rPr>
          <w:rFonts w:ascii="Arial" w:hAnsi="Arial" w:cs="Arial"/>
          <w:sz w:val="24"/>
          <w:szCs w:val="24"/>
        </w:rPr>
        <w:t xml:space="preserve"> in 2009. It is an act </w:t>
      </w:r>
      <w:r w:rsidR="00284C98">
        <w:rPr>
          <w:rFonts w:ascii="Arial" w:hAnsi="Arial" w:cs="Arial"/>
          <w:sz w:val="24"/>
          <w:szCs w:val="24"/>
        </w:rPr>
        <w:t>“</w:t>
      </w:r>
      <w:r w:rsidRPr="00954D62">
        <w:rPr>
          <w:rFonts w:ascii="Arial" w:hAnsi="Arial" w:cs="Arial"/>
          <w:sz w:val="24"/>
          <w:szCs w:val="24"/>
        </w:rPr>
        <w:t xml:space="preserve">to amend the law relating to coroners, to investigation of deaths and to certification and registration of deaths" and to modify criminal </w:t>
      </w:r>
      <w:r w:rsidR="002A0AB3" w:rsidRPr="00954D62">
        <w:rPr>
          <w:rFonts w:ascii="Arial" w:hAnsi="Arial" w:cs="Arial"/>
          <w:sz w:val="24"/>
          <w:szCs w:val="24"/>
        </w:rPr>
        <w:t>law</w:t>
      </w:r>
      <w:r w:rsidR="00D17978">
        <w:rPr>
          <w:rFonts w:ascii="Arial" w:hAnsi="Arial" w:cs="Arial"/>
          <w:sz w:val="24"/>
          <w:szCs w:val="24"/>
        </w:rPr>
        <w:t xml:space="preserve"> </w:t>
      </w:r>
      <w:sdt>
        <w:sdtPr>
          <w:rPr>
            <w:rFonts w:ascii="Arial" w:hAnsi="Arial" w:cs="Arial"/>
            <w:sz w:val="24"/>
            <w:szCs w:val="24"/>
          </w:rPr>
          <w:id w:val="-1657137898"/>
          <w:citation/>
        </w:sdtPr>
        <w:sdtEndPr/>
        <w:sdtContent>
          <w:r w:rsidR="00D17978">
            <w:rPr>
              <w:rFonts w:ascii="Arial" w:hAnsi="Arial" w:cs="Arial"/>
              <w:sz w:val="24"/>
              <w:szCs w:val="24"/>
            </w:rPr>
            <w:fldChar w:fldCharType="begin"/>
          </w:r>
          <w:r w:rsidR="00D17978">
            <w:rPr>
              <w:rFonts w:ascii="Arial" w:hAnsi="Arial" w:cs="Arial"/>
              <w:sz w:val="24"/>
              <w:szCs w:val="24"/>
            </w:rPr>
            <w:instrText xml:space="preserve"> CITATION Leg09 \l 2057 </w:instrText>
          </w:r>
          <w:r w:rsidR="00D17978">
            <w:rPr>
              <w:rFonts w:ascii="Arial" w:hAnsi="Arial" w:cs="Arial"/>
              <w:sz w:val="24"/>
              <w:szCs w:val="24"/>
            </w:rPr>
            <w:fldChar w:fldCharType="separate"/>
          </w:r>
          <w:r w:rsidR="005C2A83" w:rsidRPr="005C2A83">
            <w:rPr>
              <w:rFonts w:ascii="Arial" w:hAnsi="Arial" w:cs="Arial"/>
              <w:noProof/>
              <w:sz w:val="24"/>
              <w:szCs w:val="24"/>
            </w:rPr>
            <w:t>(Legislation.gov.uk, 2009)</w:t>
          </w:r>
          <w:r w:rsidR="00D17978">
            <w:rPr>
              <w:rFonts w:ascii="Arial" w:hAnsi="Arial" w:cs="Arial"/>
              <w:sz w:val="24"/>
              <w:szCs w:val="24"/>
            </w:rPr>
            <w:fldChar w:fldCharType="end"/>
          </w:r>
        </w:sdtContent>
      </w:sdt>
      <w:r w:rsidR="00D17978">
        <w:rPr>
          <w:rFonts w:ascii="Arial" w:hAnsi="Arial" w:cs="Arial"/>
          <w:sz w:val="24"/>
          <w:szCs w:val="24"/>
        </w:rPr>
        <w:t>.</w:t>
      </w:r>
    </w:p>
    <w:p w14:paraId="6C0499D4" w14:textId="6E8B9827" w:rsidR="00D17978" w:rsidRDefault="008E73F4" w:rsidP="00954D62">
      <w:pPr>
        <w:spacing w:line="480" w:lineRule="auto"/>
        <w:rPr>
          <w:rFonts w:ascii="Arial" w:hAnsi="Arial" w:cs="Arial"/>
          <w:sz w:val="24"/>
          <w:szCs w:val="24"/>
        </w:rPr>
      </w:pPr>
      <w:r>
        <w:rPr>
          <w:rFonts w:ascii="Arial" w:hAnsi="Arial" w:cs="Arial"/>
          <w:sz w:val="24"/>
          <w:szCs w:val="24"/>
        </w:rPr>
        <w:t>“</w:t>
      </w:r>
      <w:r w:rsidR="00D17978" w:rsidRPr="00D17978">
        <w:rPr>
          <w:rFonts w:ascii="Arial" w:hAnsi="Arial" w:cs="Arial"/>
          <w:sz w:val="24"/>
          <w:szCs w:val="24"/>
        </w:rPr>
        <w:t>Diminished responsibility</w:t>
      </w:r>
      <w:r>
        <w:rPr>
          <w:rFonts w:ascii="Arial" w:hAnsi="Arial" w:cs="Arial"/>
          <w:sz w:val="24"/>
          <w:szCs w:val="24"/>
        </w:rPr>
        <w:t>”</w:t>
      </w:r>
      <w:r w:rsidR="00D17978" w:rsidRPr="00D17978">
        <w:rPr>
          <w:rFonts w:ascii="Arial" w:hAnsi="Arial" w:cs="Arial"/>
          <w:sz w:val="24"/>
          <w:szCs w:val="24"/>
        </w:rPr>
        <w:t xml:space="preserve"> is a partial defence, that is only available as a defence </w:t>
      </w:r>
      <w:r>
        <w:rPr>
          <w:rFonts w:ascii="Arial" w:hAnsi="Arial" w:cs="Arial"/>
          <w:sz w:val="24"/>
          <w:szCs w:val="24"/>
        </w:rPr>
        <w:t>to</w:t>
      </w:r>
      <w:r w:rsidR="00D17978" w:rsidRPr="00D17978">
        <w:rPr>
          <w:rFonts w:ascii="Arial" w:hAnsi="Arial" w:cs="Arial"/>
          <w:sz w:val="24"/>
          <w:szCs w:val="24"/>
        </w:rPr>
        <w:t xml:space="preserve"> murder, as described in the Homicide Act 1957 - which was later modified by the Coroners and Justice Act 2009</w:t>
      </w:r>
      <w:sdt>
        <w:sdtPr>
          <w:rPr>
            <w:rFonts w:ascii="Arial" w:hAnsi="Arial" w:cs="Arial"/>
            <w:sz w:val="24"/>
            <w:szCs w:val="24"/>
          </w:rPr>
          <w:id w:val="810523328"/>
          <w:citation/>
        </w:sdtPr>
        <w:sdtEndPr/>
        <w:sdtContent>
          <w:r w:rsidR="0043107E">
            <w:rPr>
              <w:rFonts w:ascii="Arial" w:hAnsi="Arial" w:cs="Arial"/>
              <w:sz w:val="24"/>
              <w:szCs w:val="24"/>
            </w:rPr>
            <w:fldChar w:fldCharType="begin"/>
          </w:r>
          <w:r w:rsidR="0043107E">
            <w:rPr>
              <w:rFonts w:ascii="Arial" w:hAnsi="Arial" w:cs="Arial"/>
              <w:sz w:val="24"/>
              <w:szCs w:val="24"/>
            </w:rPr>
            <w:instrText xml:space="preserve"> CITATION Hal18 \l 2057 </w:instrText>
          </w:r>
          <w:r w:rsidR="0043107E">
            <w:rPr>
              <w:rFonts w:ascii="Arial" w:hAnsi="Arial" w:cs="Arial"/>
              <w:sz w:val="24"/>
              <w:szCs w:val="24"/>
            </w:rPr>
            <w:fldChar w:fldCharType="separate"/>
          </w:r>
          <w:r w:rsidR="005C2A83">
            <w:rPr>
              <w:rFonts w:ascii="Arial" w:hAnsi="Arial" w:cs="Arial"/>
              <w:noProof/>
              <w:sz w:val="24"/>
              <w:szCs w:val="24"/>
            </w:rPr>
            <w:t xml:space="preserve"> </w:t>
          </w:r>
          <w:r w:rsidR="005C2A83" w:rsidRPr="005C2A83">
            <w:rPr>
              <w:rFonts w:ascii="Arial" w:hAnsi="Arial" w:cs="Arial"/>
              <w:noProof/>
              <w:sz w:val="24"/>
              <w:szCs w:val="24"/>
            </w:rPr>
            <w:t>(Hallett, 2018)</w:t>
          </w:r>
          <w:r w:rsidR="0043107E">
            <w:rPr>
              <w:rFonts w:ascii="Arial" w:hAnsi="Arial" w:cs="Arial"/>
              <w:sz w:val="24"/>
              <w:szCs w:val="24"/>
            </w:rPr>
            <w:fldChar w:fldCharType="end"/>
          </w:r>
        </w:sdtContent>
      </w:sdt>
      <w:r w:rsidR="00D17978" w:rsidRPr="00D17978">
        <w:rPr>
          <w:rFonts w:ascii="Arial" w:hAnsi="Arial" w:cs="Arial"/>
          <w:sz w:val="24"/>
          <w:szCs w:val="24"/>
        </w:rPr>
        <w:t>. According to</w:t>
      </w:r>
      <w:r w:rsidR="0043107E">
        <w:rPr>
          <w:rFonts w:ascii="Arial" w:hAnsi="Arial" w:cs="Arial"/>
          <w:sz w:val="24"/>
          <w:szCs w:val="24"/>
        </w:rPr>
        <w:t xml:space="preserve"> Hallett</w:t>
      </w:r>
      <w:r>
        <w:rPr>
          <w:rFonts w:ascii="Arial" w:hAnsi="Arial" w:cs="Arial"/>
          <w:sz w:val="24"/>
          <w:szCs w:val="24"/>
        </w:rPr>
        <w:t>,</w:t>
      </w:r>
      <w:r w:rsidR="00D17978" w:rsidRPr="00D17978">
        <w:rPr>
          <w:rFonts w:ascii="Arial" w:hAnsi="Arial" w:cs="Arial"/>
          <w:sz w:val="24"/>
          <w:szCs w:val="24"/>
        </w:rPr>
        <w:t xml:space="preserve"> when diminished </w:t>
      </w:r>
      <w:r w:rsidR="00DE6D3A" w:rsidRPr="00D17978">
        <w:rPr>
          <w:rFonts w:ascii="Arial" w:hAnsi="Arial" w:cs="Arial"/>
          <w:sz w:val="24"/>
          <w:szCs w:val="24"/>
        </w:rPr>
        <w:t>responsibility</w:t>
      </w:r>
      <w:r w:rsidR="00D17978" w:rsidRPr="00D17978">
        <w:rPr>
          <w:rFonts w:ascii="Arial" w:hAnsi="Arial" w:cs="Arial"/>
          <w:sz w:val="24"/>
          <w:szCs w:val="24"/>
        </w:rPr>
        <w:t xml:space="preserve"> is presented in a case then the Court will consider </w:t>
      </w:r>
      <w:r>
        <w:rPr>
          <w:rFonts w:ascii="Arial" w:hAnsi="Arial" w:cs="Arial"/>
          <w:sz w:val="24"/>
          <w:szCs w:val="24"/>
        </w:rPr>
        <w:t>D’s</w:t>
      </w:r>
      <w:r w:rsidR="00D17978" w:rsidRPr="00D17978">
        <w:rPr>
          <w:rFonts w:ascii="Arial" w:hAnsi="Arial" w:cs="Arial"/>
          <w:sz w:val="24"/>
          <w:szCs w:val="24"/>
        </w:rPr>
        <w:t xml:space="preserve"> ability to form a rational judgment and to use </w:t>
      </w:r>
      <w:r w:rsidR="00DE6D3A" w:rsidRPr="00D17978">
        <w:rPr>
          <w:rFonts w:ascii="Arial" w:hAnsi="Arial" w:cs="Arial"/>
          <w:sz w:val="24"/>
          <w:szCs w:val="24"/>
        </w:rPr>
        <w:t>self-control</w:t>
      </w:r>
      <w:r w:rsidR="00D17978" w:rsidRPr="00D17978">
        <w:rPr>
          <w:rFonts w:ascii="Arial" w:hAnsi="Arial" w:cs="Arial"/>
          <w:sz w:val="24"/>
          <w:szCs w:val="24"/>
        </w:rPr>
        <w:t xml:space="preserve">.  However, it is difficult to clearly determine whether a person is capable of rational judgment because there are so many different social, </w:t>
      </w:r>
      <w:r w:rsidR="008F6AA3" w:rsidRPr="00D17978">
        <w:rPr>
          <w:rFonts w:ascii="Arial" w:hAnsi="Arial" w:cs="Arial"/>
          <w:sz w:val="24"/>
          <w:szCs w:val="24"/>
        </w:rPr>
        <w:t>psychiatric,</w:t>
      </w:r>
      <w:r w:rsidR="00D17978" w:rsidRPr="00D17978">
        <w:rPr>
          <w:rFonts w:ascii="Arial" w:hAnsi="Arial" w:cs="Arial"/>
          <w:sz w:val="24"/>
          <w:szCs w:val="24"/>
        </w:rPr>
        <w:t xml:space="preserve"> and legal perspectives on rationality.</w:t>
      </w:r>
    </w:p>
    <w:p w14:paraId="29D8CD25" w14:textId="031E31B6" w:rsidR="00425F1E" w:rsidRDefault="00425F1E" w:rsidP="00954D62">
      <w:pPr>
        <w:spacing w:line="480" w:lineRule="auto"/>
        <w:rPr>
          <w:rFonts w:ascii="Arial" w:hAnsi="Arial" w:cs="Arial"/>
          <w:sz w:val="24"/>
          <w:szCs w:val="24"/>
        </w:rPr>
      </w:pPr>
      <w:r>
        <w:rPr>
          <w:rFonts w:ascii="Arial" w:hAnsi="Arial" w:cs="Arial"/>
          <w:sz w:val="24"/>
          <w:szCs w:val="24"/>
        </w:rPr>
        <w:t xml:space="preserve">In the decade that followed the </w:t>
      </w:r>
      <w:r w:rsidR="000226FD">
        <w:rPr>
          <w:rFonts w:ascii="Arial" w:hAnsi="Arial" w:cs="Arial"/>
          <w:sz w:val="24"/>
          <w:szCs w:val="24"/>
        </w:rPr>
        <w:t>Act coming into force, defendants (and lawyers) misused the Act to try and avoid the harshest sentence and so a change was needed, to ensure that only those who deserved protection claimed it.</w:t>
      </w:r>
    </w:p>
    <w:p w14:paraId="0044A300" w14:textId="0E67FB41" w:rsidR="0064782E" w:rsidRPr="0064782E" w:rsidRDefault="0064782E" w:rsidP="0064782E">
      <w:pPr>
        <w:spacing w:line="480" w:lineRule="auto"/>
        <w:rPr>
          <w:rFonts w:ascii="Arial" w:hAnsi="Arial" w:cs="Arial"/>
          <w:sz w:val="24"/>
          <w:szCs w:val="24"/>
        </w:rPr>
      </w:pPr>
      <w:r w:rsidRPr="0064782E">
        <w:rPr>
          <w:rFonts w:ascii="Arial" w:hAnsi="Arial" w:cs="Arial"/>
          <w:sz w:val="24"/>
          <w:szCs w:val="24"/>
        </w:rPr>
        <w:t xml:space="preserve">In the case of </w:t>
      </w:r>
      <w:r>
        <w:rPr>
          <w:rFonts w:ascii="Arial" w:hAnsi="Arial" w:cs="Arial"/>
          <w:sz w:val="24"/>
          <w:szCs w:val="24"/>
        </w:rPr>
        <w:t>‘</w:t>
      </w:r>
      <w:r w:rsidRPr="0064782E">
        <w:rPr>
          <w:rFonts w:ascii="Arial" w:hAnsi="Arial" w:cs="Arial"/>
          <w:i/>
          <w:iCs/>
          <w:sz w:val="24"/>
          <w:szCs w:val="24"/>
        </w:rPr>
        <w:t>R v Campbell’</w:t>
      </w:r>
      <w:r w:rsidRPr="0064782E">
        <w:rPr>
          <w:rFonts w:ascii="Arial" w:hAnsi="Arial" w:cs="Arial"/>
          <w:sz w:val="24"/>
          <w:szCs w:val="24"/>
        </w:rPr>
        <w:t xml:space="preserve"> </w:t>
      </w:r>
      <w:r>
        <w:rPr>
          <w:rFonts w:ascii="Arial" w:hAnsi="Arial" w:cs="Arial"/>
          <w:sz w:val="24"/>
          <w:szCs w:val="24"/>
        </w:rPr>
        <w:t>(</w:t>
      </w:r>
      <w:r w:rsidRPr="0064782E">
        <w:rPr>
          <w:rFonts w:ascii="Arial" w:hAnsi="Arial" w:cs="Arial"/>
          <w:sz w:val="24"/>
          <w:szCs w:val="24"/>
        </w:rPr>
        <w:t>1996</w:t>
      </w:r>
      <w:r>
        <w:rPr>
          <w:rFonts w:ascii="Arial" w:hAnsi="Arial" w:cs="Arial"/>
          <w:sz w:val="24"/>
          <w:szCs w:val="24"/>
        </w:rPr>
        <w:t>)</w:t>
      </w:r>
      <w:r w:rsidRPr="0064782E">
        <w:rPr>
          <w:rFonts w:ascii="Arial" w:hAnsi="Arial" w:cs="Arial"/>
          <w:sz w:val="24"/>
          <w:szCs w:val="24"/>
        </w:rPr>
        <w:t xml:space="preserve"> the defendant picked up a female hitch hiker trying to make her way from Oxford to London. After they drove for a little while he stopped the car and </w:t>
      </w:r>
      <w:r w:rsidR="008E73F4">
        <w:rPr>
          <w:rFonts w:ascii="Arial" w:hAnsi="Arial" w:cs="Arial"/>
          <w:sz w:val="24"/>
          <w:szCs w:val="24"/>
        </w:rPr>
        <w:t xml:space="preserve">made </w:t>
      </w:r>
      <w:r w:rsidRPr="0064782E">
        <w:rPr>
          <w:rFonts w:ascii="Arial" w:hAnsi="Arial" w:cs="Arial"/>
          <w:sz w:val="24"/>
          <w:szCs w:val="24"/>
        </w:rPr>
        <w:t>sexual advances to her, the victim then st</w:t>
      </w:r>
      <w:r w:rsidR="008F00C4">
        <w:rPr>
          <w:rFonts w:ascii="Arial" w:hAnsi="Arial" w:cs="Arial"/>
          <w:sz w:val="24"/>
          <w:szCs w:val="24"/>
        </w:rPr>
        <w:t>r</w:t>
      </w:r>
      <w:r w:rsidRPr="0064782E">
        <w:rPr>
          <w:rFonts w:ascii="Arial" w:hAnsi="Arial" w:cs="Arial"/>
          <w:sz w:val="24"/>
          <w:szCs w:val="24"/>
        </w:rPr>
        <w:t xml:space="preserve">uck </w:t>
      </w:r>
      <w:r w:rsidR="008F00C4" w:rsidRPr="0064782E">
        <w:rPr>
          <w:rFonts w:ascii="Arial" w:hAnsi="Arial" w:cs="Arial"/>
          <w:sz w:val="24"/>
          <w:szCs w:val="24"/>
        </w:rPr>
        <w:t>him in</w:t>
      </w:r>
      <w:r w:rsidRPr="0064782E">
        <w:rPr>
          <w:rFonts w:ascii="Arial" w:hAnsi="Arial" w:cs="Arial"/>
          <w:sz w:val="24"/>
          <w:szCs w:val="24"/>
        </w:rPr>
        <w:t xml:space="preserve"> the eye which then caused the defendant to strike a blow to the </w:t>
      </w:r>
      <w:r w:rsidR="008F00C4" w:rsidRPr="0064782E">
        <w:rPr>
          <w:rFonts w:ascii="Arial" w:hAnsi="Arial" w:cs="Arial"/>
          <w:sz w:val="24"/>
          <w:szCs w:val="24"/>
        </w:rPr>
        <w:t>victim’s</w:t>
      </w:r>
      <w:r w:rsidRPr="0064782E">
        <w:rPr>
          <w:rFonts w:ascii="Arial" w:hAnsi="Arial" w:cs="Arial"/>
          <w:sz w:val="24"/>
          <w:szCs w:val="24"/>
        </w:rPr>
        <w:t xml:space="preserve"> neck and then she began gurgling blood. After the victim received the blow to the neck she passed out. The defendant did not want to let her out</w:t>
      </w:r>
      <w:r w:rsidR="008E73F4">
        <w:rPr>
          <w:rFonts w:ascii="Arial" w:hAnsi="Arial" w:cs="Arial"/>
          <w:sz w:val="24"/>
          <w:szCs w:val="24"/>
        </w:rPr>
        <w:t xml:space="preserve"> of</w:t>
      </w:r>
      <w:r w:rsidRPr="0064782E">
        <w:rPr>
          <w:rFonts w:ascii="Arial" w:hAnsi="Arial" w:cs="Arial"/>
          <w:sz w:val="24"/>
          <w:szCs w:val="24"/>
        </w:rPr>
        <w:t xml:space="preserve"> the car and leave her as he had told her </w:t>
      </w:r>
      <w:r w:rsidR="008E73F4">
        <w:rPr>
          <w:rFonts w:ascii="Arial" w:hAnsi="Arial" w:cs="Arial"/>
          <w:sz w:val="24"/>
          <w:szCs w:val="24"/>
        </w:rPr>
        <w:t>h</w:t>
      </w:r>
      <w:r w:rsidRPr="0064782E">
        <w:rPr>
          <w:rFonts w:ascii="Arial" w:hAnsi="Arial" w:cs="Arial"/>
          <w:sz w:val="24"/>
          <w:szCs w:val="24"/>
        </w:rPr>
        <w:t xml:space="preserve">is name and feared she would report him to police. The defendant told the </w:t>
      </w:r>
      <w:r w:rsidRPr="0064782E">
        <w:rPr>
          <w:rFonts w:ascii="Arial" w:hAnsi="Arial" w:cs="Arial"/>
          <w:sz w:val="24"/>
          <w:szCs w:val="24"/>
        </w:rPr>
        <w:lastRenderedPageBreak/>
        <w:t>police that after driving some more the victim woke and</w:t>
      </w:r>
      <w:r w:rsidR="008F00C4">
        <w:rPr>
          <w:rFonts w:ascii="Arial" w:hAnsi="Arial" w:cs="Arial"/>
          <w:sz w:val="24"/>
          <w:szCs w:val="24"/>
        </w:rPr>
        <w:t xml:space="preserve"> the defendant</w:t>
      </w:r>
      <w:r w:rsidRPr="0064782E">
        <w:rPr>
          <w:rFonts w:ascii="Arial" w:hAnsi="Arial" w:cs="Arial"/>
          <w:sz w:val="24"/>
          <w:szCs w:val="24"/>
        </w:rPr>
        <w:t xml:space="preserve"> attempted to strangle her. The crown suggested that after the defendant st</w:t>
      </w:r>
      <w:r w:rsidR="008F00C4">
        <w:rPr>
          <w:rFonts w:ascii="Arial" w:hAnsi="Arial" w:cs="Arial"/>
          <w:sz w:val="24"/>
          <w:szCs w:val="24"/>
        </w:rPr>
        <w:t>r</w:t>
      </w:r>
      <w:r w:rsidRPr="0064782E">
        <w:rPr>
          <w:rFonts w:ascii="Arial" w:hAnsi="Arial" w:cs="Arial"/>
          <w:sz w:val="24"/>
          <w:szCs w:val="24"/>
        </w:rPr>
        <w:t xml:space="preserve">uck the victim in the throat proceed to resort to desperate measures in an attempt to conceal his crime. The </w:t>
      </w:r>
      <w:r w:rsidR="008E73F4">
        <w:rPr>
          <w:rFonts w:ascii="Arial" w:hAnsi="Arial" w:cs="Arial"/>
          <w:sz w:val="24"/>
          <w:szCs w:val="24"/>
        </w:rPr>
        <w:t>C</w:t>
      </w:r>
      <w:r w:rsidRPr="0064782E">
        <w:rPr>
          <w:rFonts w:ascii="Arial" w:hAnsi="Arial" w:cs="Arial"/>
          <w:sz w:val="24"/>
          <w:szCs w:val="24"/>
        </w:rPr>
        <w:t>rown said that the "steps which</w:t>
      </w:r>
      <w:r w:rsidR="008E73F4">
        <w:rPr>
          <w:rFonts w:ascii="Arial" w:hAnsi="Arial" w:cs="Arial"/>
          <w:sz w:val="24"/>
          <w:szCs w:val="24"/>
        </w:rPr>
        <w:t>, he took</w:t>
      </w:r>
      <w:r w:rsidRPr="0064782E">
        <w:rPr>
          <w:rFonts w:ascii="Arial" w:hAnsi="Arial" w:cs="Arial"/>
          <w:sz w:val="24"/>
          <w:szCs w:val="24"/>
        </w:rPr>
        <w:t xml:space="preserve"> (however criminal) were entirely rational". </w:t>
      </w:r>
    </w:p>
    <w:p w14:paraId="638D842D" w14:textId="507AA2A7" w:rsidR="0064782E" w:rsidRDefault="0064782E" w:rsidP="0064782E">
      <w:pPr>
        <w:spacing w:line="480" w:lineRule="auto"/>
        <w:rPr>
          <w:rFonts w:ascii="Arial" w:hAnsi="Arial" w:cs="Arial"/>
          <w:sz w:val="24"/>
          <w:szCs w:val="24"/>
        </w:rPr>
      </w:pPr>
      <w:r>
        <w:rPr>
          <w:rFonts w:ascii="Arial" w:hAnsi="Arial" w:cs="Arial"/>
          <w:sz w:val="24"/>
          <w:szCs w:val="24"/>
        </w:rPr>
        <w:t>T</w:t>
      </w:r>
      <w:r w:rsidRPr="0064782E">
        <w:rPr>
          <w:rFonts w:ascii="Arial" w:hAnsi="Arial" w:cs="Arial"/>
          <w:sz w:val="24"/>
          <w:szCs w:val="24"/>
        </w:rPr>
        <w:t xml:space="preserve">he defendant pleaded not guilty to the victims murder but instead pleaded guilty to her manslaughter. The only defence in this trial was provocation. The </w:t>
      </w:r>
      <w:r w:rsidR="008F00C4" w:rsidRPr="0064782E">
        <w:rPr>
          <w:rFonts w:ascii="Arial" w:hAnsi="Arial" w:cs="Arial"/>
          <w:sz w:val="24"/>
          <w:szCs w:val="24"/>
        </w:rPr>
        <w:t>defendants’</w:t>
      </w:r>
      <w:r w:rsidRPr="0064782E">
        <w:rPr>
          <w:rFonts w:ascii="Arial" w:hAnsi="Arial" w:cs="Arial"/>
          <w:sz w:val="24"/>
          <w:szCs w:val="24"/>
        </w:rPr>
        <w:t xml:space="preserve"> advisers had been trying to draw attention to the fact that the defendant had suffered from a mental condition</w:t>
      </w:r>
      <w:r w:rsidR="008E73F4">
        <w:rPr>
          <w:rFonts w:ascii="Arial" w:hAnsi="Arial" w:cs="Arial"/>
          <w:sz w:val="24"/>
          <w:szCs w:val="24"/>
        </w:rPr>
        <w:t xml:space="preserve"> (an abnormality of mind)</w:t>
      </w:r>
      <w:r w:rsidRPr="0064782E">
        <w:rPr>
          <w:rFonts w:ascii="Arial" w:hAnsi="Arial" w:cs="Arial"/>
          <w:sz w:val="24"/>
          <w:szCs w:val="24"/>
        </w:rPr>
        <w:t xml:space="preserve"> which fell under section 2(1) of the 1957 Act. During the first trial and at the time of the first appeal there was clear evidence that the defendant suffered from an abnormality of mind in the form of epilepsy. A psychiatrist called to the stand by the defence had been unable to suggest that this abnormality of mind had had substantial effect on the defendants mental responsibility during the killing.</w:t>
      </w:r>
      <w:r>
        <w:rPr>
          <w:rFonts w:ascii="Arial" w:hAnsi="Arial" w:cs="Arial"/>
          <w:sz w:val="24"/>
          <w:szCs w:val="24"/>
        </w:rPr>
        <w:t xml:space="preserve"> The defendant was later charged with her murder. </w:t>
      </w:r>
    </w:p>
    <w:p w14:paraId="4DD23D0B" w14:textId="0A412B09" w:rsidR="008F6AA3" w:rsidRDefault="008F6AA3" w:rsidP="00954D62">
      <w:pPr>
        <w:spacing w:line="480" w:lineRule="auto"/>
        <w:rPr>
          <w:rFonts w:ascii="Arial" w:hAnsi="Arial" w:cs="Arial"/>
          <w:sz w:val="24"/>
          <w:szCs w:val="24"/>
        </w:rPr>
      </w:pPr>
      <w:r w:rsidRPr="008F6AA3">
        <w:rPr>
          <w:rFonts w:ascii="Arial" w:hAnsi="Arial" w:cs="Arial"/>
          <w:sz w:val="24"/>
          <w:szCs w:val="24"/>
        </w:rPr>
        <w:t xml:space="preserve">When </w:t>
      </w:r>
      <w:r w:rsidR="008E73F4">
        <w:rPr>
          <w:rFonts w:ascii="Arial" w:hAnsi="Arial" w:cs="Arial"/>
          <w:sz w:val="24"/>
          <w:szCs w:val="24"/>
        </w:rPr>
        <w:t>some</w:t>
      </w:r>
      <w:r w:rsidRPr="008F6AA3">
        <w:rPr>
          <w:rFonts w:ascii="Arial" w:hAnsi="Arial" w:cs="Arial"/>
          <w:sz w:val="24"/>
          <w:szCs w:val="24"/>
        </w:rPr>
        <w:t xml:space="preserve">one </w:t>
      </w:r>
      <w:r w:rsidR="008E73F4">
        <w:rPr>
          <w:rFonts w:ascii="Arial" w:hAnsi="Arial" w:cs="Arial"/>
          <w:sz w:val="24"/>
          <w:szCs w:val="24"/>
        </w:rPr>
        <w:t xml:space="preserve">kills or helps another to kill someone else, </w:t>
      </w:r>
      <w:r w:rsidRPr="008F6AA3">
        <w:rPr>
          <w:rFonts w:ascii="Arial" w:hAnsi="Arial" w:cs="Arial"/>
          <w:sz w:val="24"/>
          <w:szCs w:val="24"/>
        </w:rPr>
        <w:t xml:space="preserve">they are not to be convicted of murder if they the defendant (D) were suffering from an abnormality of mind which ultimately </w:t>
      </w:r>
      <w:r w:rsidR="008E73F4">
        <w:rPr>
          <w:rFonts w:ascii="Arial" w:hAnsi="Arial" w:cs="Arial"/>
          <w:sz w:val="24"/>
          <w:szCs w:val="24"/>
        </w:rPr>
        <w:t>a</w:t>
      </w:r>
      <w:r w:rsidRPr="008F6AA3">
        <w:rPr>
          <w:rFonts w:ascii="Arial" w:hAnsi="Arial" w:cs="Arial"/>
          <w:sz w:val="24"/>
          <w:szCs w:val="24"/>
        </w:rPr>
        <w:t>ffected D's ability to do one or more things</w:t>
      </w:r>
      <w:r w:rsidR="00425F1E">
        <w:rPr>
          <w:rFonts w:ascii="Arial" w:hAnsi="Arial" w:cs="Arial"/>
          <w:sz w:val="24"/>
          <w:szCs w:val="24"/>
        </w:rPr>
        <w:t xml:space="preserve"> such as form a rational judgment or wield </w:t>
      </w:r>
      <w:r w:rsidR="002E28F2">
        <w:rPr>
          <w:rFonts w:ascii="Arial" w:hAnsi="Arial" w:cs="Arial"/>
          <w:sz w:val="24"/>
          <w:szCs w:val="24"/>
        </w:rPr>
        <w:t>self-control</w:t>
      </w:r>
      <w:r w:rsidRPr="008F6AA3">
        <w:rPr>
          <w:rFonts w:ascii="Arial" w:hAnsi="Arial" w:cs="Arial"/>
          <w:sz w:val="24"/>
          <w:szCs w:val="24"/>
        </w:rPr>
        <w:t xml:space="preserve">. When D is suffering from an abnormality of mind this allows for an explanation into why D </w:t>
      </w:r>
      <w:r w:rsidR="008E73F4">
        <w:rPr>
          <w:rFonts w:ascii="Arial" w:hAnsi="Arial" w:cs="Arial"/>
          <w:sz w:val="24"/>
          <w:szCs w:val="24"/>
        </w:rPr>
        <w:t xml:space="preserve">acted the way he or she did </w:t>
      </w:r>
      <w:sdt>
        <w:sdtPr>
          <w:rPr>
            <w:rFonts w:ascii="Arial" w:hAnsi="Arial" w:cs="Arial"/>
            <w:sz w:val="24"/>
            <w:szCs w:val="24"/>
          </w:rPr>
          <w:id w:val="-163238537"/>
          <w:citation/>
        </w:sdtPr>
        <w:sdtEndPr/>
        <w:sdtContent>
          <w:r>
            <w:rPr>
              <w:rFonts w:ascii="Arial" w:hAnsi="Arial" w:cs="Arial"/>
              <w:sz w:val="24"/>
              <w:szCs w:val="24"/>
            </w:rPr>
            <w:fldChar w:fldCharType="begin"/>
          </w:r>
          <w:r>
            <w:rPr>
              <w:rFonts w:ascii="Arial" w:hAnsi="Arial" w:cs="Arial"/>
              <w:sz w:val="24"/>
              <w:szCs w:val="24"/>
            </w:rPr>
            <w:instrText xml:space="preserve"> CITATION Leg57 \l 2057 </w:instrText>
          </w:r>
          <w:r>
            <w:rPr>
              <w:rFonts w:ascii="Arial" w:hAnsi="Arial" w:cs="Arial"/>
              <w:sz w:val="24"/>
              <w:szCs w:val="24"/>
            </w:rPr>
            <w:fldChar w:fldCharType="separate"/>
          </w:r>
          <w:r w:rsidR="005C2A83" w:rsidRPr="005C2A83">
            <w:rPr>
              <w:rFonts w:ascii="Arial" w:hAnsi="Arial" w:cs="Arial"/>
              <w:noProof/>
              <w:sz w:val="24"/>
              <w:szCs w:val="24"/>
            </w:rPr>
            <w:t>(Legislation.gov.uk, 1957)</w:t>
          </w:r>
          <w:r>
            <w:rPr>
              <w:rFonts w:ascii="Arial" w:hAnsi="Arial" w:cs="Arial"/>
              <w:sz w:val="24"/>
              <w:szCs w:val="24"/>
            </w:rPr>
            <w:fldChar w:fldCharType="end"/>
          </w:r>
        </w:sdtContent>
      </w:sdt>
      <w:r w:rsidRPr="008F6AA3">
        <w:rPr>
          <w:rFonts w:ascii="Arial" w:hAnsi="Arial" w:cs="Arial"/>
          <w:sz w:val="24"/>
          <w:szCs w:val="24"/>
        </w:rPr>
        <w:t>.</w:t>
      </w:r>
    </w:p>
    <w:p w14:paraId="016CBBF9" w14:textId="299CD44A" w:rsidR="008F3B96" w:rsidRDefault="005729DC" w:rsidP="008F3B96">
      <w:pPr>
        <w:spacing w:line="480" w:lineRule="auto"/>
        <w:rPr>
          <w:rFonts w:ascii="Arial" w:hAnsi="Arial" w:cs="Arial"/>
          <w:sz w:val="24"/>
          <w:szCs w:val="24"/>
        </w:rPr>
      </w:pPr>
      <w:r>
        <w:rPr>
          <w:rFonts w:ascii="Arial" w:hAnsi="Arial" w:cs="Arial"/>
          <w:sz w:val="24"/>
          <w:szCs w:val="24"/>
        </w:rPr>
        <w:t xml:space="preserve">According to Ashmans Solicitors (2022) </w:t>
      </w:r>
      <w:r w:rsidR="008E73F4">
        <w:rPr>
          <w:rFonts w:ascii="Arial" w:hAnsi="Arial" w:cs="Arial"/>
          <w:sz w:val="24"/>
          <w:szCs w:val="24"/>
        </w:rPr>
        <w:t>“</w:t>
      </w:r>
      <w:r w:rsidRPr="008F3B96">
        <w:rPr>
          <w:rFonts w:ascii="Arial" w:hAnsi="Arial" w:cs="Arial"/>
          <w:sz w:val="24"/>
          <w:szCs w:val="24"/>
        </w:rPr>
        <w:t>abnormality</w:t>
      </w:r>
      <w:r w:rsidR="008F3B96" w:rsidRPr="008F3B96">
        <w:rPr>
          <w:rFonts w:ascii="Arial" w:hAnsi="Arial" w:cs="Arial"/>
          <w:sz w:val="24"/>
          <w:szCs w:val="24"/>
        </w:rPr>
        <w:t xml:space="preserve"> of mind</w:t>
      </w:r>
      <w:r w:rsidR="008E73F4">
        <w:rPr>
          <w:rFonts w:ascii="Arial" w:hAnsi="Arial" w:cs="Arial"/>
          <w:sz w:val="24"/>
          <w:szCs w:val="24"/>
        </w:rPr>
        <w:t>”</w:t>
      </w:r>
      <w:r w:rsidR="008F3B96" w:rsidRPr="008F3B96">
        <w:rPr>
          <w:rFonts w:ascii="Arial" w:hAnsi="Arial" w:cs="Arial"/>
          <w:sz w:val="24"/>
          <w:szCs w:val="24"/>
        </w:rPr>
        <w:t xml:space="preserve"> is the term used to describe D when they were "not in control of their actions" when they killed or were </w:t>
      </w:r>
      <w:r w:rsidR="008E73F4">
        <w:rPr>
          <w:rFonts w:ascii="Arial" w:hAnsi="Arial" w:cs="Arial"/>
          <w:sz w:val="24"/>
          <w:szCs w:val="24"/>
        </w:rPr>
        <w:t xml:space="preserve">involved in </w:t>
      </w:r>
      <w:r w:rsidR="008F3B96" w:rsidRPr="008F3B96">
        <w:rPr>
          <w:rFonts w:ascii="Arial" w:hAnsi="Arial" w:cs="Arial"/>
          <w:sz w:val="24"/>
          <w:szCs w:val="24"/>
        </w:rPr>
        <w:t>a killing. If enough evidence is presented to prove th</w:t>
      </w:r>
      <w:r w:rsidR="008E73F4">
        <w:rPr>
          <w:rFonts w:ascii="Arial" w:hAnsi="Arial" w:cs="Arial"/>
          <w:sz w:val="24"/>
          <w:szCs w:val="24"/>
        </w:rPr>
        <w:t>at</w:t>
      </w:r>
      <w:r w:rsidR="008F3B96" w:rsidRPr="008F3B96">
        <w:rPr>
          <w:rFonts w:ascii="Arial" w:hAnsi="Arial" w:cs="Arial"/>
          <w:sz w:val="24"/>
          <w:szCs w:val="24"/>
        </w:rPr>
        <w:t xml:space="preserve"> D was suffering </w:t>
      </w:r>
      <w:r w:rsidR="008F3B96" w:rsidRPr="008F3B96">
        <w:rPr>
          <w:rFonts w:ascii="Arial" w:hAnsi="Arial" w:cs="Arial"/>
          <w:sz w:val="24"/>
          <w:szCs w:val="24"/>
        </w:rPr>
        <w:lastRenderedPageBreak/>
        <w:t xml:space="preserve">from and abnormality of mind when the killing took place and the </w:t>
      </w:r>
      <w:r w:rsidR="008E73F4">
        <w:rPr>
          <w:rFonts w:ascii="Arial" w:hAnsi="Arial" w:cs="Arial"/>
          <w:sz w:val="24"/>
          <w:szCs w:val="24"/>
        </w:rPr>
        <w:t>J</w:t>
      </w:r>
      <w:r w:rsidR="008F3B96" w:rsidRPr="008F3B96">
        <w:rPr>
          <w:rFonts w:ascii="Arial" w:hAnsi="Arial" w:cs="Arial"/>
          <w:sz w:val="24"/>
          <w:szCs w:val="24"/>
        </w:rPr>
        <w:t>ury accepts the defence then the charged will be reduced from murder to voluntary manslaughter.</w:t>
      </w:r>
    </w:p>
    <w:p w14:paraId="72061A87" w14:textId="64A55B1C" w:rsidR="008F3B96" w:rsidRPr="008F3B96" w:rsidRDefault="008F3B96" w:rsidP="008F3B96">
      <w:pPr>
        <w:spacing w:line="480" w:lineRule="auto"/>
        <w:rPr>
          <w:rFonts w:ascii="Arial" w:hAnsi="Arial" w:cs="Arial"/>
          <w:sz w:val="24"/>
          <w:szCs w:val="24"/>
        </w:rPr>
      </w:pPr>
      <w:r w:rsidRPr="008F3B96">
        <w:rPr>
          <w:rFonts w:ascii="Arial" w:hAnsi="Arial" w:cs="Arial"/>
          <w:sz w:val="24"/>
          <w:szCs w:val="24"/>
        </w:rPr>
        <w:t>In order to prove that D was suffering from an abnormality of mind</w:t>
      </w:r>
      <w:r w:rsidR="00425F1E">
        <w:rPr>
          <w:rFonts w:ascii="Arial" w:hAnsi="Arial" w:cs="Arial"/>
          <w:sz w:val="24"/>
          <w:szCs w:val="24"/>
        </w:rPr>
        <w:t xml:space="preserve"> at the time of the killing</w:t>
      </w:r>
      <w:r w:rsidRPr="008F3B96">
        <w:rPr>
          <w:rFonts w:ascii="Arial" w:hAnsi="Arial" w:cs="Arial"/>
          <w:sz w:val="24"/>
          <w:szCs w:val="24"/>
        </w:rPr>
        <w:t xml:space="preserve"> then medical evidence will need to be presented to the jury and they will then decide whether they accept the evidence presented or if they will dismiss it. </w:t>
      </w:r>
    </w:p>
    <w:p w14:paraId="52548227" w14:textId="4F015FDA" w:rsidR="008F3B96" w:rsidRDefault="008F3B96" w:rsidP="008F3B96">
      <w:pPr>
        <w:spacing w:line="480" w:lineRule="auto"/>
        <w:rPr>
          <w:rFonts w:ascii="Arial" w:hAnsi="Arial" w:cs="Arial"/>
          <w:sz w:val="24"/>
          <w:szCs w:val="24"/>
        </w:rPr>
      </w:pPr>
      <w:r w:rsidRPr="008F3B96">
        <w:rPr>
          <w:rFonts w:ascii="Arial" w:hAnsi="Arial" w:cs="Arial"/>
          <w:sz w:val="24"/>
          <w:szCs w:val="24"/>
        </w:rPr>
        <w:t xml:space="preserve">People who suffer from recognised medical conditions such as schizophrenia, battered women’s syndrome, paranoia etc will be classed as </w:t>
      </w:r>
      <w:r w:rsidR="008E73F4">
        <w:rPr>
          <w:rFonts w:ascii="Arial" w:hAnsi="Arial" w:cs="Arial"/>
          <w:sz w:val="24"/>
          <w:szCs w:val="24"/>
        </w:rPr>
        <w:t xml:space="preserve">having </w:t>
      </w:r>
      <w:r w:rsidRPr="008F3B96">
        <w:rPr>
          <w:rFonts w:ascii="Arial" w:hAnsi="Arial" w:cs="Arial"/>
          <w:sz w:val="24"/>
          <w:szCs w:val="24"/>
        </w:rPr>
        <w:t>a recognised medical condition</w:t>
      </w:r>
      <w:r w:rsidR="00526E28">
        <w:rPr>
          <w:rFonts w:ascii="Arial" w:hAnsi="Arial" w:cs="Arial"/>
          <w:sz w:val="24"/>
          <w:szCs w:val="24"/>
        </w:rPr>
        <w:t xml:space="preserve"> </w:t>
      </w:r>
      <w:sdt>
        <w:sdtPr>
          <w:rPr>
            <w:rFonts w:ascii="Arial" w:hAnsi="Arial" w:cs="Arial"/>
            <w:sz w:val="24"/>
            <w:szCs w:val="24"/>
          </w:rPr>
          <w:id w:val="1310827304"/>
          <w:citation/>
        </w:sdtPr>
        <w:sdtEndPr/>
        <w:sdtContent>
          <w:r w:rsidR="00526E28">
            <w:rPr>
              <w:rFonts w:ascii="Arial" w:hAnsi="Arial" w:cs="Arial"/>
              <w:sz w:val="24"/>
              <w:szCs w:val="24"/>
            </w:rPr>
            <w:fldChar w:fldCharType="begin"/>
          </w:r>
          <w:r w:rsidR="00526E28">
            <w:rPr>
              <w:rFonts w:ascii="Arial" w:hAnsi="Arial" w:cs="Arial"/>
              <w:sz w:val="24"/>
              <w:szCs w:val="24"/>
            </w:rPr>
            <w:instrText xml:space="preserve"> CITATION Ash22 \l 2057 </w:instrText>
          </w:r>
          <w:r w:rsidR="00526E28">
            <w:rPr>
              <w:rFonts w:ascii="Arial" w:hAnsi="Arial" w:cs="Arial"/>
              <w:sz w:val="24"/>
              <w:szCs w:val="24"/>
            </w:rPr>
            <w:fldChar w:fldCharType="separate"/>
          </w:r>
          <w:r w:rsidR="005C2A83" w:rsidRPr="005C2A83">
            <w:rPr>
              <w:rFonts w:ascii="Arial" w:hAnsi="Arial" w:cs="Arial"/>
              <w:noProof/>
              <w:sz w:val="24"/>
              <w:szCs w:val="24"/>
            </w:rPr>
            <w:t>(Ashmans Scolicitors, 2022)</w:t>
          </w:r>
          <w:r w:rsidR="00526E28">
            <w:rPr>
              <w:rFonts w:ascii="Arial" w:hAnsi="Arial" w:cs="Arial"/>
              <w:sz w:val="24"/>
              <w:szCs w:val="24"/>
            </w:rPr>
            <w:fldChar w:fldCharType="end"/>
          </w:r>
        </w:sdtContent>
      </w:sdt>
      <w:r w:rsidR="00526E28">
        <w:rPr>
          <w:rFonts w:ascii="Arial" w:hAnsi="Arial" w:cs="Arial"/>
          <w:sz w:val="24"/>
          <w:szCs w:val="24"/>
        </w:rPr>
        <w:t>.</w:t>
      </w:r>
    </w:p>
    <w:p w14:paraId="020BCC9A" w14:textId="5CB2BF14" w:rsidR="008F3B96" w:rsidRDefault="008F3B96" w:rsidP="008F3B96">
      <w:pPr>
        <w:spacing w:line="480" w:lineRule="auto"/>
        <w:rPr>
          <w:rFonts w:ascii="Arial" w:hAnsi="Arial" w:cs="Arial"/>
          <w:sz w:val="24"/>
          <w:szCs w:val="24"/>
        </w:rPr>
      </w:pPr>
      <w:r w:rsidRPr="008F3B96">
        <w:rPr>
          <w:rFonts w:ascii="Arial" w:hAnsi="Arial" w:cs="Arial"/>
          <w:sz w:val="24"/>
          <w:szCs w:val="24"/>
        </w:rPr>
        <w:t xml:space="preserve">Alcohol dependency will fall under this category as well as it is a disease. However, people </w:t>
      </w:r>
      <w:r w:rsidR="002E28F2" w:rsidRPr="008F3B96">
        <w:rPr>
          <w:rFonts w:ascii="Arial" w:hAnsi="Arial" w:cs="Arial"/>
          <w:sz w:val="24"/>
          <w:szCs w:val="24"/>
        </w:rPr>
        <w:t>partaking</w:t>
      </w:r>
      <w:r w:rsidR="008E73F4">
        <w:rPr>
          <w:rFonts w:ascii="Arial" w:hAnsi="Arial" w:cs="Arial"/>
          <w:sz w:val="24"/>
          <w:szCs w:val="24"/>
        </w:rPr>
        <w:t xml:space="preserve"> in casual</w:t>
      </w:r>
      <w:r w:rsidRPr="008F3B96">
        <w:rPr>
          <w:rFonts w:ascii="Arial" w:hAnsi="Arial" w:cs="Arial"/>
          <w:sz w:val="24"/>
          <w:szCs w:val="24"/>
        </w:rPr>
        <w:t xml:space="preserve"> binge drinking and</w:t>
      </w:r>
      <w:r w:rsidR="008E73F4">
        <w:rPr>
          <w:rFonts w:ascii="Arial" w:hAnsi="Arial" w:cs="Arial"/>
          <w:sz w:val="24"/>
          <w:szCs w:val="24"/>
        </w:rPr>
        <w:t>/</w:t>
      </w:r>
      <w:r w:rsidRPr="008F3B96">
        <w:rPr>
          <w:rFonts w:ascii="Arial" w:hAnsi="Arial" w:cs="Arial"/>
          <w:sz w:val="24"/>
          <w:szCs w:val="24"/>
        </w:rPr>
        <w:t xml:space="preserve"> or drug use will not be able to argue diminished responsibility</w:t>
      </w:r>
      <w:r w:rsidR="008E73F4">
        <w:rPr>
          <w:rFonts w:ascii="Arial" w:hAnsi="Arial" w:cs="Arial"/>
          <w:sz w:val="24"/>
          <w:szCs w:val="24"/>
        </w:rPr>
        <w:t xml:space="preserve"> as any incapacity they suffer whilst “under the influence” is a temporary state and not a permanent medical condition </w:t>
      </w:r>
      <w:r>
        <w:rPr>
          <w:rFonts w:ascii="Arial" w:hAnsi="Arial" w:cs="Arial"/>
          <w:sz w:val="24"/>
          <w:szCs w:val="24"/>
        </w:rPr>
        <w:t xml:space="preserve"> </w:t>
      </w:r>
      <w:sdt>
        <w:sdtPr>
          <w:rPr>
            <w:rFonts w:ascii="Arial" w:hAnsi="Arial" w:cs="Arial"/>
            <w:sz w:val="24"/>
            <w:szCs w:val="24"/>
          </w:rPr>
          <w:id w:val="1298339773"/>
          <w:citation/>
        </w:sdtPr>
        <w:sdtEndPr/>
        <w:sdtContent>
          <w:r>
            <w:rPr>
              <w:rFonts w:ascii="Arial" w:hAnsi="Arial" w:cs="Arial"/>
              <w:sz w:val="24"/>
              <w:szCs w:val="24"/>
            </w:rPr>
            <w:fldChar w:fldCharType="begin"/>
          </w:r>
          <w:r>
            <w:rPr>
              <w:rFonts w:ascii="Arial" w:hAnsi="Arial" w:cs="Arial"/>
              <w:sz w:val="24"/>
              <w:szCs w:val="24"/>
            </w:rPr>
            <w:instrText xml:space="preserve"> CITATION Ash22 \l 2057 </w:instrText>
          </w:r>
          <w:r>
            <w:rPr>
              <w:rFonts w:ascii="Arial" w:hAnsi="Arial" w:cs="Arial"/>
              <w:sz w:val="24"/>
              <w:szCs w:val="24"/>
            </w:rPr>
            <w:fldChar w:fldCharType="separate"/>
          </w:r>
          <w:r w:rsidR="005C2A83" w:rsidRPr="005C2A83">
            <w:rPr>
              <w:rFonts w:ascii="Arial" w:hAnsi="Arial" w:cs="Arial"/>
              <w:noProof/>
              <w:sz w:val="24"/>
              <w:szCs w:val="24"/>
            </w:rPr>
            <w:t>(Ashmans Scolicitors, 2022)</w:t>
          </w:r>
          <w:r>
            <w:rPr>
              <w:rFonts w:ascii="Arial" w:hAnsi="Arial" w:cs="Arial"/>
              <w:sz w:val="24"/>
              <w:szCs w:val="24"/>
            </w:rPr>
            <w:fldChar w:fldCharType="end"/>
          </w:r>
        </w:sdtContent>
      </w:sdt>
      <w:r w:rsidRPr="008F3B96">
        <w:rPr>
          <w:rFonts w:ascii="Arial" w:hAnsi="Arial" w:cs="Arial"/>
          <w:sz w:val="24"/>
          <w:szCs w:val="24"/>
        </w:rPr>
        <w:t>.</w:t>
      </w:r>
    </w:p>
    <w:p w14:paraId="78CE05C1" w14:textId="490546AF" w:rsidR="0089314D" w:rsidRPr="002E1260" w:rsidRDefault="002E1260" w:rsidP="002E1260">
      <w:pPr>
        <w:spacing w:line="480" w:lineRule="auto"/>
        <w:rPr>
          <w:rFonts w:ascii="Arial" w:hAnsi="Arial" w:cs="Arial"/>
          <w:sz w:val="24"/>
          <w:szCs w:val="24"/>
        </w:rPr>
      </w:pPr>
      <w:r w:rsidRPr="002E1260">
        <w:rPr>
          <w:rFonts w:ascii="Arial" w:hAnsi="Arial" w:cs="Arial"/>
          <w:sz w:val="24"/>
          <w:szCs w:val="24"/>
        </w:rPr>
        <w:t>Section</w:t>
      </w:r>
      <w:r w:rsidR="008F00C4">
        <w:rPr>
          <w:rFonts w:ascii="Arial" w:hAnsi="Arial" w:cs="Arial"/>
          <w:sz w:val="24"/>
          <w:szCs w:val="24"/>
        </w:rPr>
        <w:t>s</w:t>
      </w:r>
      <w:r w:rsidRPr="002E1260">
        <w:rPr>
          <w:rFonts w:ascii="Arial" w:hAnsi="Arial" w:cs="Arial"/>
          <w:sz w:val="24"/>
          <w:szCs w:val="24"/>
        </w:rPr>
        <w:t xml:space="preserve"> 52,54 and 57 of the CorJA 2009 made changes to the law of homicide. The </w:t>
      </w:r>
      <w:r w:rsidR="00425F1E">
        <w:rPr>
          <w:rFonts w:ascii="Arial" w:hAnsi="Arial" w:cs="Arial"/>
          <w:sz w:val="24"/>
          <w:szCs w:val="24"/>
        </w:rPr>
        <w:t>amendments</w:t>
      </w:r>
      <w:r w:rsidRPr="002E1260">
        <w:rPr>
          <w:rFonts w:ascii="Arial" w:hAnsi="Arial" w:cs="Arial"/>
          <w:sz w:val="24"/>
          <w:szCs w:val="24"/>
        </w:rPr>
        <w:t xml:space="preserve"> made </w:t>
      </w:r>
      <w:r w:rsidR="008F00C4">
        <w:rPr>
          <w:rFonts w:ascii="Arial" w:hAnsi="Arial" w:cs="Arial"/>
          <w:sz w:val="24"/>
          <w:szCs w:val="24"/>
        </w:rPr>
        <w:t>under</w:t>
      </w:r>
      <w:r w:rsidRPr="002E1260">
        <w:rPr>
          <w:rFonts w:ascii="Arial" w:hAnsi="Arial" w:cs="Arial"/>
          <w:sz w:val="24"/>
          <w:szCs w:val="24"/>
        </w:rPr>
        <w:t xml:space="preserve"> section 52 changed the meaning of </w:t>
      </w:r>
      <w:r w:rsidR="00425F1E">
        <w:rPr>
          <w:rFonts w:ascii="Arial" w:hAnsi="Arial" w:cs="Arial"/>
          <w:sz w:val="24"/>
          <w:szCs w:val="24"/>
        </w:rPr>
        <w:t>“</w:t>
      </w:r>
      <w:r w:rsidRPr="002E1260">
        <w:rPr>
          <w:rFonts w:ascii="Arial" w:hAnsi="Arial" w:cs="Arial"/>
          <w:sz w:val="24"/>
          <w:szCs w:val="24"/>
        </w:rPr>
        <w:t>the partial defence</w:t>
      </w:r>
      <w:r w:rsidR="00425F1E">
        <w:rPr>
          <w:rFonts w:ascii="Arial" w:hAnsi="Arial" w:cs="Arial"/>
          <w:sz w:val="24"/>
          <w:szCs w:val="24"/>
        </w:rPr>
        <w:t>”</w:t>
      </w:r>
      <w:r w:rsidRPr="002E1260">
        <w:rPr>
          <w:rFonts w:ascii="Arial" w:hAnsi="Arial" w:cs="Arial"/>
          <w:sz w:val="24"/>
          <w:szCs w:val="24"/>
        </w:rPr>
        <w:t xml:space="preserve"> to murder of diminished </w:t>
      </w:r>
      <w:r w:rsidR="0064782E" w:rsidRPr="002E1260">
        <w:rPr>
          <w:rFonts w:ascii="Arial" w:hAnsi="Arial" w:cs="Arial"/>
          <w:sz w:val="24"/>
          <w:szCs w:val="24"/>
        </w:rPr>
        <w:t>responsibility.</w:t>
      </w:r>
    </w:p>
    <w:p w14:paraId="180A2BDD" w14:textId="33526E7F" w:rsidR="000E0ED4" w:rsidRDefault="002E1260" w:rsidP="002E1260">
      <w:pPr>
        <w:spacing w:line="480" w:lineRule="auto"/>
        <w:rPr>
          <w:rFonts w:ascii="Arial" w:hAnsi="Arial" w:cs="Arial"/>
          <w:sz w:val="24"/>
          <w:szCs w:val="24"/>
        </w:rPr>
      </w:pPr>
      <w:r>
        <w:rPr>
          <w:rFonts w:ascii="Arial" w:hAnsi="Arial" w:cs="Arial"/>
          <w:sz w:val="24"/>
          <w:szCs w:val="24"/>
        </w:rPr>
        <w:t>The Ministry of Justice (2010) wrote that s</w:t>
      </w:r>
      <w:r w:rsidRPr="002E1260">
        <w:rPr>
          <w:rFonts w:ascii="Arial" w:hAnsi="Arial" w:cs="Arial"/>
          <w:sz w:val="24"/>
          <w:szCs w:val="24"/>
        </w:rPr>
        <w:t xml:space="preserve">ection 52 of the CorJA 2009 deals with the law on </w:t>
      </w:r>
      <w:r w:rsidR="008F00C4">
        <w:rPr>
          <w:rFonts w:ascii="Arial" w:hAnsi="Arial" w:cs="Arial"/>
          <w:sz w:val="24"/>
          <w:szCs w:val="24"/>
        </w:rPr>
        <w:t>“</w:t>
      </w:r>
      <w:r w:rsidRPr="002E1260">
        <w:rPr>
          <w:rFonts w:ascii="Arial" w:hAnsi="Arial" w:cs="Arial"/>
          <w:sz w:val="24"/>
          <w:szCs w:val="24"/>
        </w:rPr>
        <w:t>partial defence to murder of diminished responsibility</w:t>
      </w:r>
      <w:r w:rsidR="008F00C4">
        <w:rPr>
          <w:rFonts w:ascii="Arial" w:hAnsi="Arial" w:cs="Arial"/>
          <w:sz w:val="24"/>
          <w:szCs w:val="24"/>
        </w:rPr>
        <w:t>”</w:t>
      </w:r>
      <w:r w:rsidRPr="002E1260">
        <w:rPr>
          <w:rFonts w:ascii="Arial" w:hAnsi="Arial" w:cs="Arial"/>
          <w:sz w:val="24"/>
          <w:szCs w:val="24"/>
        </w:rPr>
        <w:t xml:space="preserve"> that applies in England and Wales. The existing definition for partial defence was changed by replacing section 2(1) of the homicide act </w:t>
      </w:r>
      <w:r w:rsidR="00425F1E">
        <w:rPr>
          <w:rFonts w:ascii="Arial" w:hAnsi="Arial" w:cs="Arial"/>
          <w:sz w:val="24"/>
          <w:szCs w:val="24"/>
        </w:rPr>
        <w:t xml:space="preserve">with </w:t>
      </w:r>
      <w:r w:rsidRPr="002E1260">
        <w:rPr>
          <w:rFonts w:ascii="Arial" w:hAnsi="Arial" w:cs="Arial"/>
          <w:sz w:val="24"/>
          <w:szCs w:val="24"/>
        </w:rPr>
        <w:t>D who kills or is party to a killing and suffers from an abnormality of mind -which affects D's ability to do one or more things- will not be convicted of murder but instead the lesser charge of manslaughter</w:t>
      </w:r>
      <w:sdt>
        <w:sdtPr>
          <w:rPr>
            <w:rFonts w:ascii="Arial" w:hAnsi="Arial" w:cs="Arial"/>
            <w:sz w:val="24"/>
            <w:szCs w:val="24"/>
          </w:rPr>
          <w:id w:val="1619723613"/>
          <w:citation/>
        </w:sdtPr>
        <w:sdtEndPr/>
        <w:sdtContent>
          <w:r>
            <w:rPr>
              <w:rFonts w:ascii="Arial" w:hAnsi="Arial" w:cs="Arial"/>
              <w:sz w:val="24"/>
              <w:szCs w:val="24"/>
            </w:rPr>
            <w:fldChar w:fldCharType="begin"/>
          </w:r>
          <w:r>
            <w:rPr>
              <w:rFonts w:ascii="Arial" w:hAnsi="Arial" w:cs="Arial"/>
              <w:sz w:val="24"/>
              <w:szCs w:val="24"/>
            </w:rPr>
            <w:instrText xml:space="preserve"> CITATION Leg57 \l 2057 </w:instrText>
          </w:r>
          <w:r>
            <w:rPr>
              <w:rFonts w:ascii="Arial" w:hAnsi="Arial" w:cs="Arial"/>
              <w:sz w:val="24"/>
              <w:szCs w:val="24"/>
            </w:rPr>
            <w:fldChar w:fldCharType="separate"/>
          </w:r>
          <w:r w:rsidR="005C2A83">
            <w:rPr>
              <w:rFonts w:ascii="Arial" w:hAnsi="Arial" w:cs="Arial"/>
              <w:noProof/>
              <w:sz w:val="24"/>
              <w:szCs w:val="24"/>
            </w:rPr>
            <w:t xml:space="preserve"> </w:t>
          </w:r>
          <w:r w:rsidR="005C2A83" w:rsidRPr="005C2A83">
            <w:rPr>
              <w:rFonts w:ascii="Arial" w:hAnsi="Arial" w:cs="Arial"/>
              <w:noProof/>
              <w:sz w:val="24"/>
              <w:szCs w:val="24"/>
            </w:rPr>
            <w:t>(Legislation.gov.uk, 1957)</w:t>
          </w:r>
          <w:r>
            <w:rPr>
              <w:rFonts w:ascii="Arial" w:hAnsi="Arial" w:cs="Arial"/>
              <w:sz w:val="24"/>
              <w:szCs w:val="24"/>
            </w:rPr>
            <w:fldChar w:fldCharType="end"/>
          </w:r>
        </w:sdtContent>
      </w:sdt>
      <w:r w:rsidRPr="002E1260">
        <w:rPr>
          <w:rFonts w:ascii="Arial" w:hAnsi="Arial" w:cs="Arial"/>
          <w:sz w:val="24"/>
          <w:szCs w:val="24"/>
        </w:rPr>
        <w:t xml:space="preserve">).  The </w:t>
      </w:r>
      <w:r w:rsidR="005C2A83" w:rsidRPr="002E1260">
        <w:rPr>
          <w:rFonts w:ascii="Arial" w:hAnsi="Arial" w:cs="Arial"/>
          <w:sz w:val="24"/>
          <w:szCs w:val="24"/>
        </w:rPr>
        <w:t>defendants’</w:t>
      </w:r>
      <w:r w:rsidRPr="002E1260">
        <w:rPr>
          <w:rFonts w:ascii="Arial" w:hAnsi="Arial" w:cs="Arial"/>
          <w:sz w:val="24"/>
          <w:szCs w:val="24"/>
        </w:rPr>
        <w:t xml:space="preserve"> abilities that could have been impaired include </w:t>
      </w:r>
      <w:r w:rsidR="00425F1E">
        <w:rPr>
          <w:rFonts w:ascii="Arial" w:hAnsi="Arial" w:cs="Arial"/>
          <w:sz w:val="24"/>
          <w:szCs w:val="24"/>
        </w:rPr>
        <w:t>“</w:t>
      </w:r>
      <w:r w:rsidRPr="002E1260">
        <w:rPr>
          <w:rFonts w:ascii="Arial" w:hAnsi="Arial" w:cs="Arial"/>
          <w:sz w:val="24"/>
          <w:szCs w:val="24"/>
        </w:rPr>
        <w:t>their ability to understand the nature of the conduct he or she ha</w:t>
      </w:r>
      <w:r w:rsidR="00425F1E">
        <w:rPr>
          <w:rFonts w:ascii="Arial" w:hAnsi="Arial" w:cs="Arial"/>
          <w:sz w:val="24"/>
          <w:szCs w:val="24"/>
        </w:rPr>
        <w:t>s</w:t>
      </w:r>
      <w:r w:rsidRPr="002E1260">
        <w:rPr>
          <w:rFonts w:ascii="Arial" w:hAnsi="Arial" w:cs="Arial"/>
          <w:sz w:val="24"/>
          <w:szCs w:val="24"/>
        </w:rPr>
        <w:t xml:space="preserve"> just </w:t>
      </w:r>
      <w:r w:rsidRPr="002E1260">
        <w:rPr>
          <w:rFonts w:ascii="Arial" w:hAnsi="Arial" w:cs="Arial"/>
          <w:sz w:val="24"/>
          <w:szCs w:val="24"/>
        </w:rPr>
        <w:lastRenderedPageBreak/>
        <w:t xml:space="preserve">carried out, </w:t>
      </w:r>
      <w:r w:rsidR="008F00C4">
        <w:rPr>
          <w:rFonts w:ascii="Arial" w:hAnsi="Arial" w:cs="Arial"/>
          <w:sz w:val="24"/>
          <w:szCs w:val="24"/>
        </w:rPr>
        <w:t xml:space="preserve">their </w:t>
      </w:r>
      <w:r w:rsidRPr="002E1260">
        <w:rPr>
          <w:rFonts w:ascii="Arial" w:hAnsi="Arial" w:cs="Arial"/>
          <w:sz w:val="24"/>
          <w:szCs w:val="24"/>
        </w:rPr>
        <w:t>ability to form a rational judgement and</w:t>
      </w:r>
      <w:r w:rsidR="008F00C4">
        <w:rPr>
          <w:rFonts w:ascii="Arial" w:hAnsi="Arial" w:cs="Arial"/>
          <w:sz w:val="24"/>
          <w:szCs w:val="24"/>
        </w:rPr>
        <w:t>/or</w:t>
      </w:r>
      <w:r w:rsidRPr="002E1260">
        <w:rPr>
          <w:rFonts w:ascii="Arial" w:hAnsi="Arial" w:cs="Arial"/>
          <w:sz w:val="24"/>
          <w:szCs w:val="24"/>
        </w:rPr>
        <w:t xml:space="preserve"> their ability to wield self-control</w:t>
      </w:r>
      <w:r w:rsidR="00425F1E">
        <w:rPr>
          <w:rFonts w:ascii="Arial" w:hAnsi="Arial" w:cs="Arial"/>
          <w:sz w:val="24"/>
          <w:szCs w:val="24"/>
        </w:rPr>
        <w:t>”</w:t>
      </w:r>
      <w:r w:rsidR="0080274D">
        <w:rPr>
          <w:rFonts w:ascii="Arial" w:hAnsi="Arial" w:cs="Arial"/>
          <w:sz w:val="24"/>
          <w:szCs w:val="24"/>
        </w:rPr>
        <w:t xml:space="preserve"> </w:t>
      </w:r>
      <w:sdt>
        <w:sdtPr>
          <w:rPr>
            <w:rFonts w:ascii="Arial" w:hAnsi="Arial" w:cs="Arial"/>
            <w:sz w:val="24"/>
            <w:szCs w:val="24"/>
          </w:rPr>
          <w:id w:val="-1306386782"/>
          <w:citation/>
        </w:sdtPr>
        <w:sdtEndPr/>
        <w:sdtContent>
          <w:r w:rsidR="0080274D">
            <w:rPr>
              <w:rFonts w:ascii="Arial" w:hAnsi="Arial" w:cs="Arial"/>
              <w:sz w:val="24"/>
              <w:szCs w:val="24"/>
            </w:rPr>
            <w:fldChar w:fldCharType="begin"/>
          </w:r>
          <w:r w:rsidR="0080274D">
            <w:rPr>
              <w:rFonts w:ascii="Arial" w:hAnsi="Arial" w:cs="Arial"/>
              <w:sz w:val="24"/>
              <w:szCs w:val="24"/>
            </w:rPr>
            <w:instrText xml:space="preserve"> CITATION Min10 \l 2057 </w:instrText>
          </w:r>
          <w:r w:rsidR="0080274D">
            <w:rPr>
              <w:rFonts w:ascii="Arial" w:hAnsi="Arial" w:cs="Arial"/>
              <w:sz w:val="24"/>
              <w:szCs w:val="24"/>
            </w:rPr>
            <w:fldChar w:fldCharType="separate"/>
          </w:r>
          <w:r w:rsidR="005C2A83" w:rsidRPr="005C2A83">
            <w:rPr>
              <w:rFonts w:ascii="Arial" w:hAnsi="Arial" w:cs="Arial"/>
              <w:noProof/>
              <w:sz w:val="24"/>
              <w:szCs w:val="24"/>
            </w:rPr>
            <w:t>(Ministry of Justice, 2010)</w:t>
          </w:r>
          <w:r w:rsidR="0080274D">
            <w:rPr>
              <w:rFonts w:ascii="Arial" w:hAnsi="Arial" w:cs="Arial"/>
              <w:sz w:val="24"/>
              <w:szCs w:val="24"/>
            </w:rPr>
            <w:fldChar w:fldCharType="end"/>
          </w:r>
        </w:sdtContent>
      </w:sdt>
      <w:r w:rsidR="0080274D">
        <w:rPr>
          <w:rFonts w:ascii="Arial" w:hAnsi="Arial" w:cs="Arial"/>
          <w:sz w:val="24"/>
          <w:szCs w:val="24"/>
        </w:rPr>
        <w:t>.</w:t>
      </w:r>
      <w:r w:rsidRPr="002E1260">
        <w:rPr>
          <w:rFonts w:ascii="Arial" w:hAnsi="Arial" w:cs="Arial"/>
          <w:sz w:val="24"/>
          <w:szCs w:val="24"/>
        </w:rPr>
        <w:t xml:space="preserve">  </w:t>
      </w:r>
    </w:p>
    <w:p w14:paraId="665CD2C2" w14:textId="06261AD0" w:rsidR="00954D62" w:rsidRDefault="000226FD" w:rsidP="006F1036">
      <w:pPr>
        <w:spacing w:line="480" w:lineRule="auto"/>
        <w:rPr>
          <w:rFonts w:ascii="Arial" w:hAnsi="Arial" w:cs="Arial"/>
          <w:sz w:val="24"/>
          <w:szCs w:val="24"/>
        </w:rPr>
      </w:pPr>
      <w:r>
        <w:rPr>
          <w:rFonts w:ascii="Arial" w:hAnsi="Arial" w:cs="Arial"/>
          <w:sz w:val="24"/>
          <w:szCs w:val="24"/>
        </w:rPr>
        <w:t xml:space="preserve">Whilst the CorJA 2009 has provided advantages over the Homicide Act 1957 in helping defendants who actually suffer from abnormality of mind, there are still some disadvantages with the revised legislation as it’s not just the defendants that are </w:t>
      </w:r>
      <w:proofErr w:type="spellStart"/>
      <w:r>
        <w:rPr>
          <w:rFonts w:ascii="Arial" w:hAnsi="Arial" w:cs="Arial"/>
          <w:sz w:val="24"/>
          <w:szCs w:val="24"/>
        </w:rPr>
        <w:t>aty</w:t>
      </w:r>
      <w:proofErr w:type="spellEnd"/>
      <w:r>
        <w:rPr>
          <w:rFonts w:ascii="Arial" w:hAnsi="Arial" w:cs="Arial"/>
          <w:sz w:val="24"/>
          <w:szCs w:val="24"/>
        </w:rPr>
        <w:t xml:space="preserve"> a disadvantage but also potential future victims</w:t>
      </w:r>
      <w:r w:rsidR="006C46AA">
        <w:rPr>
          <w:rFonts w:ascii="Arial" w:hAnsi="Arial" w:cs="Arial"/>
          <w:sz w:val="24"/>
          <w:szCs w:val="24"/>
        </w:rPr>
        <w:t xml:space="preserve"> of the </w:t>
      </w:r>
      <w:r w:rsidR="005D69D2">
        <w:rPr>
          <w:rFonts w:ascii="Arial" w:hAnsi="Arial" w:cs="Arial"/>
          <w:sz w:val="24"/>
          <w:szCs w:val="24"/>
        </w:rPr>
        <w:t>defendant.</w:t>
      </w:r>
      <w:r w:rsidR="006C46AA">
        <w:rPr>
          <w:rFonts w:ascii="Arial" w:hAnsi="Arial" w:cs="Arial"/>
          <w:sz w:val="24"/>
          <w:szCs w:val="24"/>
        </w:rPr>
        <w:t xml:space="preserve"> </w:t>
      </w:r>
    </w:p>
    <w:p w14:paraId="4C51F35C" w14:textId="1AB83869" w:rsidR="005C2A83" w:rsidRDefault="006207FC" w:rsidP="006F1036">
      <w:pPr>
        <w:spacing w:line="480" w:lineRule="auto"/>
        <w:rPr>
          <w:rFonts w:ascii="Arial" w:hAnsi="Arial" w:cs="Arial"/>
          <w:sz w:val="24"/>
          <w:szCs w:val="24"/>
        </w:rPr>
      </w:pPr>
      <w:r w:rsidRPr="006207FC">
        <w:rPr>
          <w:rFonts w:ascii="Arial" w:hAnsi="Arial" w:cs="Arial"/>
          <w:sz w:val="24"/>
          <w:szCs w:val="24"/>
        </w:rPr>
        <w:t xml:space="preserve">In July 2021 an autistic man named </w:t>
      </w:r>
      <w:r w:rsidRPr="006207FC">
        <w:rPr>
          <w:rFonts w:ascii="Arial" w:hAnsi="Arial" w:cs="Arial"/>
          <w:sz w:val="24"/>
          <w:szCs w:val="24"/>
        </w:rPr>
        <w:t>Matthew</w:t>
      </w:r>
      <w:r w:rsidRPr="006207FC">
        <w:rPr>
          <w:rFonts w:ascii="Arial" w:hAnsi="Arial" w:cs="Arial"/>
          <w:sz w:val="24"/>
          <w:szCs w:val="24"/>
        </w:rPr>
        <w:t xml:space="preserve"> Selby was jailed for 5 years after an argument with his sister while on holiday resulted in him </w:t>
      </w:r>
      <w:r w:rsidRPr="006207FC">
        <w:rPr>
          <w:rFonts w:ascii="Arial" w:hAnsi="Arial" w:cs="Arial"/>
          <w:sz w:val="24"/>
          <w:szCs w:val="24"/>
        </w:rPr>
        <w:t>strangling</w:t>
      </w:r>
      <w:r w:rsidRPr="006207FC">
        <w:rPr>
          <w:rFonts w:ascii="Arial" w:hAnsi="Arial" w:cs="Arial"/>
          <w:sz w:val="24"/>
          <w:szCs w:val="24"/>
        </w:rPr>
        <w:t xml:space="preserve"> her. In December of that year Selby pleaded guilty to manslaughter by diminished responsibility and was handed a prolonged sentence of 10 years - "five-year custodial term and five years on extended licence"</w:t>
      </w:r>
      <w:sdt>
        <w:sdtPr>
          <w:rPr>
            <w:rFonts w:ascii="Arial" w:hAnsi="Arial" w:cs="Arial"/>
            <w:sz w:val="24"/>
            <w:szCs w:val="24"/>
          </w:rPr>
          <w:id w:val="-1237936569"/>
          <w:citation/>
        </w:sdtPr>
        <w:sdtContent>
          <w:r w:rsidR="005C2A83">
            <w:rPr>
              <w:rFonts w:ascii="Arial" w:hAnsi="Arial" w:cs="Arial"/>
              <w:sz w:val="24"/>
              <w:szCs w:val="24"/>
            </w:rPr>
            <w:fldChar w:fldCharType="begin"/>
          </w:r>
          <w:r w:rsidR="005C2A83">
            <w:rPr>
              <w:rFonts w:ascii="Arial" w:hAnsi="Arial" w:cs="Arial"/>
              <w:sz w:val="24"/>
              <w:szCs w:val="24"/>
            </w:rPr>
            <w:instrText xml:space="preserve"> CITATION Gla23 \l 2057 </w:instrText>
          </w:r>
          <w:r w:rsidR="005C2A83">
            <w:rPr>
              <w:rFonts w:ascii="Arial" w:hAnsi="Arial" w:cs="Arial"/>
              <w:sz w:val="24"/>
              <w:szCs w:val="24"/>
            </w:rPr>
            <w:fldChar w:fldCharType="separate"/>
          </w:r>
          <w:r w:rsidR="005C2A83">
            <w:rPr>
              <w:rFonts w:ascii="Arial" w:hAnsi="Arial" w:cs="Arial"/>
              <w:noProof/>
              <w:sz w:val="24"/>
              <w:szCs w:val="24"/>
            </w:rPr>
            <w:t xml:space="preserve"> </w:t>
          </w:r>
          <w:r w:rsidR="005C2A83" w:rsidRPr="005C2A83">
            <w:rPr>
              <w:rFonts w:ascii="Arial" w:hAnsi="Arial" w:cs="Arial"/>
              <w:noProof/>
              <w:sz w:val="24"/>
              <w:szCs w:val="24"/>
            </w:rPr>
            <w:t>(Glass, 2023)</w:t>
          </w:r>
          <w:r w:rsidR="005C2A83">
            <w:rPr>
              <w:rFonts w:ascii="Arial" w:hAnsi="Arial" w:cs="Arial"/>
              <w:sz w:val="24"/>
              <w:szCs w:val="24"/>
            </w:rPr>
            <w:fldChar w:fldCharType="end"/>
          </w:r>
        </w:sdtContent>
      </w:sdt>
      <w:r w:rsidRPr="006207FC">
        <w:rPr>
          <w:rFonts w:ascii="Arial" w:hAnsi="Arial" w:cs="Arial"/>
          <w:sz w:val="24"/>
          <w:szCs w:val="24"/>
        </w:rPr>
        <w:t>.</w:t>
      </w:r>
    </w:p>
    <w:p w14:paraId="7EDF41E6" w14:textId="17D0254F" w:rsidR="006207FC" w:rsidRDefault="006207FC" w:rsidP="006F1036">
      <w:pPr>
        <w:spacing w:line="480" w:lineRule="auto"/>
        <w:rPr>
          <w:rFonts w:ascii="Arial" w:hAnsi="Arial" w:cs="Arial"/>
          <w:sz w:val="24"/>
          <w:szCs w:val="24"/>
        </w:rPr>
      </w:pPr>
      <w:r w:rsidRPr="006207FC">
        <w:rPr>
          <w:rFonts w:ascii="Arial" w:hAnsi="Arial" w:cs="Arial"/>
          <w:sz w:val="24"/>
          <w:szCs w:val="24"/>
        </w:rPr>
        <w:t xml:space="preserve">The </w:t>
      </w:r>
      <w:r w:rsidRPr="006207FC">
        <w:rPr>
          <w:rFonts w:ascii="Arial" w:hAnsi="Arial" w:cs="Arial"/>
          <w:sz w:val="24"/>
          <w:szCs w:val="24"/>
        </w:rPr>
        <w:t>Attorney</w:t>
      </w:r>
      <w:r w:rsidRPr="006207FC">
        <w:rPr>
          <w:rFonts w:ascii="Arial" w:hAnsi="Arial" w:cs="Arial"/>
          <w:sz w:val="24"/>
          <w:szCs w:val="24"/>
        </w:rPr>
        <w:t xml:space="preserve"> general </w:t>
      </w:r>
      <w:r w:rsidRPr="006207FC">
        <w:rPr>
          <w:rFonts w:ascii="Arial" w:hAnsi="Arial" w:cs="Arial"/>
          <w:sz w:val="24"/>
          <w:szCs w:val="24"/>
        </w:rPr>
        <w:t>argued</w:t>
      </w:r>
      <w:r w:rsidRPr="006207FC">
        <w:rPr>
          <w:rFonts w:ascii="Arial" w:hAnsi="Arial" w:cs="Arial"/>
          <w:sz w:val="24"/>
          <w:szCs w:val="24"/>
        </w:rPr>
        <w:t xml:space="preserve"> that Selby should have been given a life sentence to "protect the public". The court were told that Selby has </w:t>
      </w:r>
      <w:r w:rsidRPr="006207FC">
        <w:rPr>
          <w:rFonts w:ascii="Arial" w:hAnsi="Arial" w:cs="Arial"/>
          <w:sz w:val="24"/>
          <w:szCs w:val="24"/>
        </w:rPr>
        <w:t>autism</w:t>
      </w:r>
      <w:r w:rsidRPr="006207FC">
        <w:rPr>
          <w:rFonts w:ascii="Arial" w:hAnsi="Arial" w:cs="Arial"/>
          <w:sz w:val="24"/>
          <w:szCs w:val="24"/>
        </w:rPr>
        <w:t xml:space="preserve"> spectrum disorder (Which is a developmental </w:t>
      </w:r>
      <w:r w:rsidRPr="006207FC">
        <w:rPr>
          <w:rFonts w:ascii="Arial" w:hAnsi="Arial" w:cs="Arial"/>
          <w:sz w:val="24"/>
          <w:szCs w:val="24"/>
        </w:rPr>
        <w:t>disability</w:t>
      </w:r>
      <w:r w:rsidRPr="006207FC">
        <w:rPr>
          <w:rFonts w:ascii="Arial" w:hAnsi="Arial" w:cs="Arial"/>
          <w:sz w:val="24"/>
          <w:szCs w:val="24"/>
        </w:rPr>
        <w:t xml:space="preserve"> that can cause people with the disorder to "have problems with social communication and interaction, and restricted or repetitive </w:t>
      </w:r>
      <w:r w:rsidRPr="006207FC">
        <w:rPr>
          <w:rFonts w:ascii="Arial" w:hAnsi="Arial" w:cs="Arial"/>
          <w:sz w:val="24"/>
          <w:szCs w:val="24"/>
        </w:rPr>
        <w:t>behaviours</w:t>
      </w:r>
      <w:r w:rsidRPr="006207FC">
        <w:rPr>
          <w:rFonts w:ascii="Arial" w:hAnsi="Arial" w:cs="Arial"/>
          <w:sz w:val="24"/>
          <w:szCs w:val="24"/>
        </w:rPr>
        <w:t xml:space="preserve"> or interests</w:t>
      </w:r>
      <w:sdt>
        <w:sdtPr>
          <w:rPr>
            <w:rFonts w:ascii="Arial" w:hAnsi="Arial" w:cs="Arial"/>
            <w:sz w:val="24"/>
            <w:szCs w:val="24"/>
          </w:rPr>
          <w:id w:val="58056507"/>
          <w:citation/>
        </w:sdtPr>
        <w:sdtContent>
          <w:r w:rsidR="005C2A83">
            <w:rPr>
              <w:rFonts w:ascii="Arial" w:hAnsi="Arial" w:cs="Arial"/>
              <w:sz w:val="24"/>
              <w:szCs w:val="24"/>
            </w:rPr>
            <w:fldChar w:fldCharType="begin"/>
          </w:r>
          <w:r w:rsidR="005C2A83">
            <w:rPr>
              <w:rFonts w:ascii="Arial" w:hAnsi="Arial" w:cs="Arial"/>
              <w:sz w:val="24"/>
              <w:szCs w:val="24"/>
            </w:rPr>
            <w:instrText xml:space="preserve">CITATION cen22 \l 2057 </w:instrText>
          </w:r>
          <w:r w:rsidR="005C2A83">
            <w:rPr>
              <w:rFonts w:ascii="Arial" w:hAnsi="Arial" w:cs="Arial"/>
              <w:sz w:val="24"/>
              <w:szCs w:val="24"/>
            </w:rPr>
            <w:fldChar w:fldCharType="separate"/>
          </w:r>
          <w:r w:rsidR="005C2A83">
            <w:rPr>
              <w:rFonts w:ascii="Arial" w:hAnsi="Arial" w:cs="Arial"/>
              <w:noProof/>
              <w:sz w:val="24"/>
              <w:szCs w:val="24"/>
            </w:rPr>
            <w:t xml:space="preserve"> </w:t>
          </w:r>
          <w:r w:rsidR="005C2A83" w:rsidRPr="005C2A83">
            <w:rPr>
              <w:rFonts w:ascii="Arial" w:hAnsi="Arial" w:cs="Arial"/>
              <w:noProof/>
              <w:sz w:val="24"/>
              <w:szCs w:val="24"/>
            </w:rPr>
            <w:t>(Center for Disease Control and Prevention, 2022)</w:t>
          </w:r>
          <w:r w:rsidR="005C2A83">
            <w:rPr>
              <w:rFonts w:ascii="Arial" w:hAnsi="Arial" w:cs="Arial"/>
              <w:sz w:val="24"/>
              <w:szCs w:val="24"/>
            </w:rPr>
            <w:fldChar w:fldCharType="end"/>
          </w:r>
        </w:sdtContent>
      </w:sdt>
      <w:r w:rsidRPr="006207FC">
        <w:rPr>
          <w:rFonts w:ascii="Arial" w:hAnsi="Arial" w:cs="Arial"/>
          <w:sz w:val="24"/>
          <w:szCs w:val="24"/>
        </w:rPr>
        <w:t xml:space="preserve">) "With </w:t>
      </w:r>
      <w:r w:rsidRPr="006207FC">
        <w:rPr>
          <w:rFonts w:ascii="Arial" w:hAnsi="Arial" w:cs="Arial"/>
          <w:sz w:val="24"/>
          <w:szCs w:val="24"/>
        </w:rPr>
        <w:t>intermittent explosive</w:t>
      </w:r>
      <w:r w:rsidRPr="006207FC">
        <w:rPr>
          <w:rFonts w:ascii="Arial" w:hAnsi="Arial" w:cs="Arial"/>
          <w:sz w:val="24"/>
          <w:szCs w:val="24"/>
        </w:rPr>
        <w:t xml:space="preserve"> disorder, which causes aggressive outbursts"</w:t>
      </w:r>
      <w:sdt>
        <w:sdtPr>
          <w:rPr>
            <w:rFonts w:ascii="Arial" w:hAnsi="Arial" w:cs="Arial"/>
            <w:sz w:val="24"/>
            <w:szCs w:val="24"/>
          </w:rPr>
          <w:id w:val="-1246722277"/>
          <w:citation/>
        </w:sdtPr>
        <w:sdtContent>
          <w:r w:rsidR="005C2A83">
            <w:rPr>
              <w:rFonts w:ascii="Arial" w:hAnsi="Arial" w:cs="Arial"/>
              <w:sz w:val="24"/>
              <w:szCs w:val="24"/>
            </w:rPr>
            <w:fldChar w:fldCharType="begin"/>
          </w:r>
          <w:r w:rsidR="005C2A83">
            <w:rPr>
              <w:rFonts w:ascii="Arial" w:hAnsi="Arial" w:cs="Arial"/>
              <w:sz w:val="24"/>
              <w:szCs w:val="24"/>
            </w:rPr>
            <w:instrText xml:space="preserve"> CITATION Gla23 \l 2057 </w:instrText>
          </w:r>
          <w:r w:rsidR="005C2A83">
            <w:rPr>
              <w:rFonts w:ascii="Arial" w:hAnsi="Arial" w:cs="Arial"/>
              <w:sz w:val="24"/>
              <w:szCs w:val="24"/>
            </w:rPr>
            <w:fldChar w:fldCharType="separate"/>
          </w:r>
          <w:r w:rsidR="005C2A83">
            <w:rPr>
              <w:rFonts w:ascii="Arial" w:hAnsi="Arial" w:cs="Arial"/>
              <w:noProof/>
              <w:sz w:val="24"/>
              <w:szCs w:val="24"/>
            </w:rPr>
            <w:t xml:space="preserve"> </w:t>
          </w:r>
          <w:r w:rsidR="005C2A83" w:rsidRPr="005C2A83">
            <w:rPr>
              <w:rFonts w:ascii="Arial" w:hAnsi="Arial" w:cs="Arial"/>
              <w:noProof/>
              <w:sz w:val="24"/>
              <w:szCs w:val="24"/>
            </w:rPr>
            <w:t>(Glass, 2023)</w:t>
          </w:r>
          <w:r w:rsidR="005C2A83">
            <w:rPr>
              <w:rFonts w:ascii="Arial" w:hAnsi="Arial" w:cs="Arial"/>
              <w:sz w:val="24"/>
              <w:szCs w:val="24"/>
            </w:rPr>
            <w:fldChar w:fldCharType="end"/>
          </w:r>
        </w:sdtContent>
      </w:sdt>
      <w:r w:rsidRPr="006207FC">
        <w:rPr>
          <w:rFonts w:ascii="Arial" w:hAnsi="Arial" w:cs="Arial"/>
          <w:sz w:val="24"/>
          <w:szCs w:val="24"/>
        </w:rPr>
        <w:t>.</w:t>
      </w:r>
    </w:p>
    <w:p w14:paraId="64A004AC" w14:textId="2CDA00EA" w:rsidR="006F1036" w:rsidRDefault="006F1036" w:rsidP="006F1036">
      <w:pPr>
        <w:spacing w:line="480" w:lineRule="auto"/>
        <w:rPr>
          <w:rFonts w:ascii="Arial" w:hAnsi="Arial" w:cs="Arial"/>
          <w:b/>
          <w:bCs/>
          <w:sz w:val="24"/>
          <w:szCs w:val="24"/>
        </w:rPr>
      </w:pPr>
      <w:r w:rsidRPr="005C2A83">
        <w:rPr>
          <w:rFonts w:ascii="Arial" w:hAnsi="Arial" w:cs="Arial"/>
          <w:sz w:val="24"/>
          <w:szCs w:val="24"/>
        </w:rPr>
        <w:t xml:space="preserve">I believe that the changes to the CorJA 2009 </w:t>
      </w:r>
      <w:r w:rsidR="005C2A83">
        <w:rPr>
          <w:rFonts w:ascii="Arial" w:hAnsi="Arial" w:cs="Arial"/>
          <w:sz w:val="24"/>
          <w:szCs w:val="24"/>
        </w:rPr>
        <w:t xml:space="preserve">did not have any change to the law. While with some cases the changes to this Act did make a difference but in the case of Selby killing his sister even though he has autism he received a 5-year sentences which was changed to a life sentence a few months later as the Attorney general argued this sentence needed to be given in order to “protect the public”. </w:t>
      </w:r>
    </w:p>
    <w:p w14:paraId="498B0D77" w14:textId="77777777" w:rsidR="00954D62" w:rsidRDefault="00954D62" w:rsidP="00BF3AE9">
      <w:pPr>
        <w:spacing w:line="480" w:lineRule="auto"/>
        <w:jc w:val="center"/>
        <w:rPr>
          <w:rFonts w:ascii="Arial" w:hAnsi="Arial" w:cs="Arial"/>
          <w:b/>
          <w:bCs/>
          <w:sz w:val="24"/>
          <w:szCs w:val="24"/>
        </w:rPr>
      </w:pPr>
    </w:p>
    <w:p w14:paraId="1B65BE31" w14:textId="77777777" w:rsidR="00954D62" w:rsidRDefault="00954D62" w:rsidP="00BF3AE9">
      <w:pPr>
        <w:spacing w:line="480" w:lineRule="auto"/>
        <w:jc w:val="center"/>
        <w:rPr>
          <w:rFonts w:ascii="Arial" w:hAnsi="Arial" w:cs="Arial"/>
          <w:b/>
          <w:bCs/>
          <w:sz w:val="24"/>
          <w:szCs w:val="24"/>
        </w:rPr>
      </w:pPr>
    </w:p>
    <w:p w14:paraId="4CB6A7A3" w14:textId="77777777" w:rsidR="00954D62" w:rsidRDefault="00954D62" w:rsidP="00BF3AE9">
      <w:pPr>
        <w:spacing w:line="480" w:lineRule="auto"/>
        <w:jc w:val="center"/>
        <w:rPr>
          <w:rFonts w:ascii="Arial" w:hAnsi="Arial" w:cs="Arial"/>
          <w:b/>
          <w:bCs/>
          <w:sz w:val="24"/>
          <w:szCs w:val="24"/>
        </w:rPr>
      </w:pPr>
    </w:p>
    <w:p w14:paraId="2F7B81E1" w14:textId="77777777" w:rsidR="00954D62" w:rsidRDefault="00954D62" w:rsidP="00BF3AE9">
      <w:pPr>
        <w:spacing w:line="480" w:lineRule="auto"/>
        <w:jc w:val="center"/>
        <w:rPr>
          <w:rFonts w:ascii="Arial" w:hAnsi="Arial" w:cs="Arial"/>
          <w:b/>
          <w:bCs/>
          <w:sz w:val="24"/>
          <w:szCs w:val="24"/>
        </w:rPr>
      </w:pPr>
    </w:p>
    <w:p w14:paraId="15C9A37B" w14:textId="77777777" w:rsidR="00954D62" w:rsidRDefault="00954D62" w:rsidP="00BF3AE9">
      <w:pPr>
        <w:spacing w:line="480" w:lineRule="auto"/>
        <w:jc w:val="center"/>
        <w:rPr>
          <w:rFonts w:ascii="Arial" w:hAnsi="Arial" w:cs="Arial"/>
          <w:b/>
          <w:bCs/>
          <w:sz w:val="24"/>
          <w:szCs w:val="24"/>
        </w:rPr>
      </w:pPr>
    </w:p>
    <w:p w14:paraId="2B697C4F" w14:textId="77777777" w:rsidR="00954D62" w:rsidRDefault="00954D62" w:rsidP="00BF3AE9">
      <w:pPr>
        <w:spacing w:line="480" w:lineRule="auto"/>
        <w:jc w:val="center"/>
        <w:rPr>
          <w:rFonts w:ascii="Arial" w:hAnsi="Arial" w:cs="Arial"/>
          <w:b/>
          <w:bCs/>
          <w:sz w:val="24"/>
          <w:szCs w:val="24"/>
        </w:rPr>
      </w:pPr>
    </w:p>
    <w:p w14:paraId="13A3F955" w14:textId="77777777" w:rsidR="00954D62" w:rsidRDefault="00954D62" w:rsidP="00BF3AE9">
      <w:pPr>
        <w:spacing w:line="480" w:lineRule="auto"/>
        <w:jc w:val="center"/>
        <w:rPr>
          <w:rFonts w:ascii="Arial" w:hAnsi="Arial" w:cs="Arial"/>
          <w:b/>
          <w:bCs/>
          <w:sz w:val="24"/>
          <w:szCs w:val="24"/>
        </w:rPr>
      </w:pPr>
    </w:p>
    <w:p w14:paraId="7A6672EB" w14:textId="77777777" w:rsidR="00954D62" w:rsidRDefault="00954D62" w:rsidP="00BF3AE9">
      <w:pPr>
        <w:spacing w:line="480" w:lineRule="auto"/>
        <w:jc w:val="center"/>
        <w:rPr>
          <w:rFonts w:ascii="Arial" w:hAnsi="Arial" w:cs="Arial"/>
          <w:b/>
          <w:bCs/>
          <w:sz w:val="24"/>
          <w:szCs w:val="24"/>
        </w:rPr>
      </w:pPr>
    </w:p>
    <w:p w14:paraId="6E19D9C5" w14:textId="77777777" w:rsidR="00954D62" w:rsidRDefault="00954D62" w:rsidP="00BF3AE9">
      <w:pPr>
        <w:spacing w:line="480" w:lineRule="auto"/>
        <w:jc w:val="center"/>
        <w:rPr>
          <w:rFonts w:ascii="Arial" w:hAnsi="Arial" w:cs="Arial"/>
          <w:b/>
          <w:bCs/>
          <w:sz w:val="24"/>
          <w:szCs w:val="24"/>
        </w:rPr>
      </w:pPr>
    </w:p>
    <w:p w14:paraId="3320DFD6" w14:textId="77777777" w:rsidR="00954D62" w:rsidRDefault="00954D62" w:rsidP="00BF3AE9">
      <w:pPr>
        <w:spacing w:line="480" w:lineRule="auto"/>
        <w:jc w:val="center"/>
        <w:rPr>
          <w:rFonts w:ascii="Arial" w:hAnsi="Arial" w:cs="Arial"/>
          <w:b/>
          <w:bCs/>
          <w:sz w:val="24"/>
          <w:szCs w:val="24"/>
        </w:rPr>
      </w:pPr>
    </w:p>
    <w:p w14:paraId="6D5BB7BC" w14:textId="77777777" w:rsidR="00954D62" w:rsidRDefault="00954D62" w:rsidP="00BF3AE9">
      <w:pPr>
        <w:spacing w:line="480" w:lineRule="auto"/>
        <w:jc w:val="center"/>
        <w:rPr>
          <w:rFonts w:ascii="Arial" w:hAnsi="Arial" w:cs="Arial"/>
          <w:b/>
          <w:bCs/>
          <w:sz w:val="24"/>
          <w:szCs w:val="24"/>
        </w:rPr>
      </w:pPr>
    </w:p>
    <w:p w14:paraId="2D14A0CA" w14:textId="77777777" w:rsidR="00954D62" w:rsidRDefault="00954D62" w:rsidP="00BF3AE9">
      <w:pPr>
        <w:spacing w:line="480" w:lineRule="auto"/>
        <w:jc w:val="center"/>
        <w:rPr>
          <w:rFonts w:ascii="Arial" w:hAnsi="Arial" w:cs="Arial"/>
          <w:b/>
          <w:bCs/>
          <w:sz w:val="24"/>
          <w:szCs w:val="24"/>
        </w:rPr>
      </w:pPr>
    </w:p>
    <w:p w14:paraId="5DA016EA" w14:textId="77777777" w:rsidR="00954D62" w:rsidRDefault="00954D62" w:rsidP="00BF3AE9">
      <w:pPr>
        <w:spacing w:line="480" w:lineRule="auto"/>
        <w:jc w:val="center"/>
        <w:rPr>
          <w:rFonts w:ascii="Arial" w:hAnsi="Arial" w:cs="Arial"/>
          <w:b/>
          <w:bCs/>
          <w:sz w:val="24"/>
          <w:szCs w:val="24"/>
        </w:rPr>
      </w:pPr>
    </w:p>
    <w:p w14:paraId="3859FAD0" w14:textId="77777777" w:rsidR="00954D62" w:rsidRDefault="00954D62" w:rsidP="00BF3AE9">
      <w:pPr>
        <w:spacing w:line="480" w:lineRule="auto"/>
        <w:jc w:val="center"/>
        <w:rPr>
          <w:rFonts w:ascii="Arial" w:hAnsi="Arial" w:cs="Arial"/>
          <w:b/>
          <w:bCs/>
          <w:sz w:val="24"/>
          <w:szCs w:val="24"/>
        </w:rPr>
      </w:pPr>
    </w:p>
    <w:p w14:paraId="3143C7CE" w14:textId="77777777" w:rsidR="00954D62" w:rsidRDefault="00954D62" w:rsidP="00BF3AE9">
      <w:pPr>
        <w:spacing w:line="480" w:lineRule="auto"/>
        <w:jc w:val="center"/>
        <w:rPr>
          <w:rFonts w:ascii="Arial" w:hAnsi="Arial" w:cs="Arial"/>
          <w:b/>
          <w:bCs/>
          <w:sz w:val="24"/>
          <w:szCs w:val="24"/>
        </w:rPr>
      </w:pPr>
    </w:p>
    <w:p w14:paraId="24700414" w14:textId="77777777" w:rsidR="00954D62" w:rsidRDefault="00954D62" w:rsidP="00BF3AE9">
      <w:pPr>
        <w:spacing w:line="480" w:lineRule="auto"/>
        <w:jc w:val="center"/>
        <w:rPr>
          <w:rFonts w:ascii="Arial" w:hAnsi="Arial" w:cs="Arial"/>
          <w:b/>
          <w:bCs/>
          <w:sz w:val="24"/>
          <w:szCs w:val="24"/>
        </w:rPr>
      </w:pPr>
    </w:p>
    <w:p w14:paraId="0267A30B" w14:textId="0A0BD2E6" w:rsidR="00D813AF" w:rsidRDefault="00D813AF" w:rsidP="00D813AF">
      <w:pPr>
        <w:rPr>
          <w:rFonts w:ascii="Arial" w:hAnsi="Arial" w:cs="Arial"/>
          <w:b/>
          <w:bCs/>
          <w:sz w:val="24"/>
          <w:szCs w:val="24"/>
        </w:rPr>
      </w:pPr>
    </w:p>
    <w:p w14:paraId="02A66B72" w14:textId="45749622" w:rsidR="006735CF" w:rsidRDefault="006735CF" w:rsidP="00D813AF">
      <w:pPr>
        <w:rPr>
          <w:rFonts w:ascii="Arial" w:hAnsi="Arial" w:cs="Arial"/>
          <w:b/>
          <w:bCs/>
          <w:sz w:val="24"/>
          <w:szCs w:val="24"/>
        </w:rPr>
      </w:pPr>
    </w:p>
    <w:p w14:paraId="24B06628" w14:textId="77777777" w:rsidR="006735CF" w:rsidRDefault="006735CF" w:rsidP="00D813AF">
      <w:pPr>
        <w:rPr>
          <w:lang w:val="en-US"/>
        </w:rPr>
      </w:pPr>
    </w:p>
    <w:p w14:paraId="13724CF2" w14:textId="77777777" w:rsidR="00D813AF" w:rsidRDefault="00D813AF" w:rsidP="00D813AF">
      <w:pPr>
        <w:rPr>
          <w:lang w:val="en-US"/>
        </w:rPr>
      </w:pPr>
    </w:p>
    <w:sdt>
      <w:sdtPr>
        <w:rPr>
          <w:rFonts w:asciiTheme="minorHAnsi" w:eastAsiaTheme="minorHAnsi" w:hAnsiTheme="minorHAnsi" w:cstheme="minorBidi"/>
          <w:color w:val="auto"/>
          <w:kern w:val="2"/>
          <w:sz w:val="22"/>
          <w:szCs w:val="22"/>
          <w:lang w:val="en-GB"/>
          <w14:ligatures w14:val="standardContextual"/>
        </w:rPr>
        <w:id w:val="-1959782411"/>
        <w:docPartObj>
          <w:docPartGallery w:val="Bibliographies"/>
          <w:docPartUnique/>
        </w:docPartObj>
      </w:sdtPr>
      <w:sdtEndPr/>
      <w:sdtContent>
        <w:p w14:paraId="41855A59" w14:textId="2706A946" w:rsidR="00D813AF" w:rsidRPr="00D813AF" w:rsidRDefault="00D813AF">
          <w:pPr>
            <w:pStyle w:val="Heading1"/>
            <w:rPr>
              <w:rFonts w:ascii="Arial" w:hAnsi="Arial" w:cs="Arial"/>
              <w:sz w:val="28"/>
              <w:szCs w:val="28"/>
            </w:rPr>
          </w:pPr>
          <w:r w:rsidRPr="00D813AF">
            <w:rPr>
              <w:rFonts w:ascii="Arial" w:hAnsi="Arial" w:cs="Arial"/>
              <w:sz w:val="28"/>
              <w:szCs w:val="28"/>
            </w:rPr>
            <w:t>Bibliography</w:t>
          </w:r>
        </w:p>
        <w:sdt>
          <w:sdtPr>
            <w:rPr>
              <w:rFonts w:ascii="Arial" w:hAnsi="Arial" w:cs="Arial"/>
              <w:sz w:val="24"/>
              <w:szCs w:val="24"/>
            </w:rPr>
            <w:id w:val="111145805"/>
            <w:bibliography/>
          </w:sdtPr>
          <w:sdtEndPr>
            <w:rPr>
              <w:rFonts w:asciiTheme="minorHAnsi" w:hAnsiTheme="minorHAnsi" w:cstheme="minorBidi"/>
              <w:sz w:val="22"/>
              <w:szCs w:val="22"/>
            </w:rPr>
          </w:sdtEndPr>
          <w:sdtContent>
            <w:p w14:paraId="13A94F6E" w14:textId="77777777" w:rsidR="005C2A83" w:rsidRDefault="00D813AF" w:rsidP="005C2A83">
              <w:pPr>
                <w:pStyle w:val="Bibliography"/>
                <w:rPr>
                  <w:noProof/>
                  <w:sz w:val="24"/>
                  <w:szCs w:val="24"/>
                  <w:lang w:val="en-US"/>
                </w:rPr>
              </w:pPr>
              <w:r w:rsidRPr="00D813AF">
                <w:rPr>
                  <w:rFonts w:ascii="Arial" w:hAnsi="Arial" w:cs="Arial"/>
                  <w:sz w:val="24"/>
                  <w:szCs w:val="24"/>
                </w:rPr>
                <w:fldChar w:fldCharType="begin"/>
              </w:r>
              <w:r w:rsidRPr="00D813AF">
                <w:rPr>
                  <w:rFonts w:ascii="Arial" w:hAnsi="Arial" w:cs="Arial"/>
                  <w:sz w:val="24"/>
                  <w:szCs w:val="24"/>
                </w:rPr>
                <w:instrText xml:space="preserve"> BIBLIOGRAPHY </w:instrText>
              </w:r>
              <w:r w:rsidRPr="00D813AF">
                <w:rPr>
                  <w:rFonts w:ascii="Arial" w:hAnsi="Arial" w:cs="Arial"/>
                  <w:sz w:val="24"/>
                  <w:szCs w:val="24"/>
                </w:rPr>
                <w:fldChar w:fldCharType="separate"/>
              </w:r>
              <w:r w:rsidR="005C2A83">
                <w:rPr>
                  <w:noProof/>
                  <w:lang w:val="en-US"/>
                </w:rPr>
                <w:t xml:space="preserve">Ashmans Scolicitors, 2022. </w:t>
              </w:r>
              <w:r w:rsidR="005C2A83">
                <w:rPr>
                  <w:i/>
                  <w:iCs/>
                  <w:noProof/>
                  <w:lang w:val="en-US"/>
                </w:rPr>
                <w:t xml:space="preserve">Murder Trials: What is Diminished Responsibility?. </w:t>
              </w:r>
              <w:r w:rsidR="005C2A83">
                <w:rPr>
                  <w:noProof/>
                  <w:lang w:val="en-US"/>
                </w:rPr>
                <w:t xml:space="preserve">[Online] </w:t>
              </w:r>
              <w:r w:rsidR="005C2A83">
                <w:rPr>
                  <w:noProof/>
                  <w:lang w:val="en-US"/>
                </w:rPr>
                <w:br/>
                <w:t xml:space="preserve">Available at: </w:t>
              </w:r>
              <w:r w:rsidR="005C2A83">
                <w:rPr>
                  <w:noProof/>
                  <w:u w:val="single"/>
                  <w:lang w:val="en-US"/>
                </w:rPr>
                <w:t>https://www.ashmanssolicitors.com/articles/murder-trials-what-is-diminished-responsibility/#:~:text=Diminished%20responsibility%20is%20a%20partial,to%20that%20of%20voluntary%20manslaughter.</w:t>
              </w:r>
              <w:r w:rsidR="005C2A83">
                <w:rPr>
                  <w:noProof/>
                  <w:lang w:val="en-US"/>
                </w:rPr>
                <w:br/>
                <w:t>[Accessed 8 March 2023].</w:t>
              </w:r>
            </w:p>
            <w:p w14:paraId="6158D9E5" w14:textId="77777777" w:rsidR="005C2A83" w:rsidRDefault="005C2A83" w:rsidP="005C2A83">
              <w:pPr>
                <w:pStyle w:val="Bibliography"/>
                <w:rPr>
                  <w:noProof/>
                  <w:lang w:val="en-US"/>
                </w:rPr>
              </w:pPr>
              <w:r>
                <w:rPr>
                  <w:noProof/>
                  <w:lang w:val="en-US"/>
                </w:rPr>
                <w:lastRenderedPageBreak/>
                <w:t xml:space="preserve">Center for Disease Control and Prevention, 2022. </w:t>
              </w:r>
              <w:r>
                <w:rPr>
                  <w:i/>
                  <w:iCs/>
                  <w:noProof/>
                  <w:lang w:val="en-US"/>
                </w:rPr>
                <w:t xml:space="preserve">Signs and Symptoms of Autism Spectrum Disorder. </w:t>
              </w:r>
              <w:r>
                <w:rPr>
                  <w:noProof/>
                  <w:lang w:val="en-US"/>
                </w:rPr>
                <w:t xml:space="preserve">[Online] </w:t>
              </w:r>
              <w:r>
                <w:rPr>
                  <w:noProof/>
                  <w:lang w:val="en-US"/>
                </w:rPr>
                <w:br/>
                <w:t xml:space="preserve">Available at: </w:t>
              </w:r>
              <w:r>
                <w:rPr>
                  <w:noProof/>
                  <w:u w:val="single"/>
                  <w:lang w:val="en-US"/>
                </w:rPr>
                <w:t>https://www.cdc.gov/ncbddd/autism/signs.html#:~:text=Autism%20spectrum%20disorder%20(ASD)%20is,%2C%20moving%2C%20or%20paying%20attention.</w:t>
              </w:r>
              <w:r>
                <w:rPr>
                  <w:noProof/>
                  <w:lang w:val="en-US"/>
                </w:rPr>
                <w:br/>
                <w:t>[Accessed 8 March 2023].</w:t>
              </w:r>
            </w:p>
            <w:p w14:paraId="28AC031B" w14:textId="77777777" w:rsidR="005C2A83" w:rsidRDefault="005C2A83" w:rsidP="005C2A83">
              <w:pPr>
                <w:pStyle w:val="Bibliography"/>
                <w:rPr>
                  <w:noProof/>
                  <w:lang w:val="en-US"/>
                </w:rPr>
              </w:pPr>
              <w:r>
                <w:rPr>
                  <w:noProof/>
                  <w:lang w:val="en-US"/>
                </w:rPr>
                <w:t xml:space="preserve">Glass, J., 2023. </w:t>
              </w:r>
              <w:r>
                <w:rPr>
                  <w:i/>
                  <w:iCs/>
                  <w:noProof/>
                  <w:lang w:val="en-US"/>
                </w:rPr>
                <w:t xml:space="preserve">Man jailed for five years for killing his sister will now serve a life sentence. </w:t>
              </w:r>
              <w:r>
                <w:rPr>
                  <w:noProof/>
                  <w:lang w:val="en-US"/>
                </w:rPr>
                <w:t xml:space="preserve">[Online] </w:t>
              </w:r>
              <w:r>
                <w:rPr>
                  <w:noProof/>
                  <w:lang w:val="en-US"/>
                </w:rPr>
                <w:br/>
                <w:t xml:space="preserve">Available at: </w:t>
              </w:r>
              <w:r>
                <w:rPr>
                  <w:noProof/>
                  <w:u w:val="single"/>
                  <w:lang w:val="en-US"/>
                </w:rPr>
                <w:t>https://www.walesonline.co.uk/news/matthew-selby-sister-court-appeal-26421657?int_source=nba</w:t>
              </w:r>
              <w:r>
                <w:rPr>
                  <w:noProof/>
                  <w:lang w:val="en-US"/>
                </w:rPr>
                <w:br/>
                <w:t>[Accessed 8 March 2023].</w:t>
              </w:r>
            </w:p>
            <w:p w14:paraId="69FFDF46" w14:textId="77777777" w:rsidR="005C2A83" w:rsidRDefault="005C2A83" w:rsidP="005C2A83">
              <w:pPr>
                <w:pStyle w:val="Bibliography"/>
                <w:rPr>
                  <w:noProof/>
                  <w:lang w:val="en-US"/>
                </w:rPr>
              </w:pPr>
              <w:r>
                <w:rPr>
                  <w:noProof/>
                  <w:lang w:val="en-US"/>
                </w:rPr>
                <w:t xml:space="preserve">Hallett, N., 2018. Psychiatric evidence in Diminished Responsibility. </w:t>
              </w:r>
              <w:r>
                <w:rPr>
                  <w:i/>
                  <w:iCs/>
                  <w:noProof/>
                  <w:lang w:val="en-US"/>
                </w:rPr>
                <w:t xml:space="preserve">Journal of criminal law , </w:t>
              </w:r>
              <w:r>
                <w:rPr>
                  <w:noProof/>
                  <w:lang w:val="en-US"/>
                </w:rPr>
                <w:t>82(6), pp. 442-456.</w:t>
              </w:r>
            </w:p>
            <w:p w14:paraId="182570AD" w14:textId="77777777" w:rsidR="005C2A83" w:rsidRDefault="005C2A83" w:rsidP="005C2A83">
              <w:pPr>
                <w:pStyle w:val="Bibliography"/>
                <w:rPr>
                  <w:noProof/>
                  <w:lang w:val="en-US"/>
                </w:rPr>
              </w:pPr>
              <w:r>
                <w:rPr>
                  <w:noProof/>
                  <w:lang w:val="en-US"/>
                </w:rPr>
                <w:t xml:space="preserve">Legislation.gov.uk, 1957. </w:t>
              </w:r>
              <w:r>
                <w:rPr>
                  <w:i/>
                  <w:iCs/>
                  <w:noProof/>
                  <w:lang w:val="en-US"/>
                </w:rPr>
                <w:t xml:space="preserve">Homicide Act 1957. </w:t>
              </w:r>
              <w:r>
                <w:rPr>
                  <w:noProof/>
                  <w:lang w:val="en-US"/>
                </w:rPr>
                <w:t xml:space="preserve">[Online] </w:t>
              </w:r>
              <w:r>
                <w:rPr>
                  <w:noProof/>
                  <w:lang w:val="en-US"/>
                </w:rPr>
                <w:br/>
                <w:t xml:space="preserve">Available at: </w:t>
              </w:r>
              <w:r>
                <w:rPr>
                  <w:noProof/>
                  <w:u w:val="single"/>
                  <w:lang w:val="en-US"/>
                </w:rPr>
                <w:t>https://www.legislation.gov.uk/ukpga/Eliz2/5-6/11/section/2</w:t>
              </w:r>
              <w:r>
                <w:rPr>
                  <w:noProof/>
                  <w:lang w:val="en-US"/>
                </w:rPr>
                <w:br/>
                <w:t>[Accessed 8 March 2023].</w:t>
              </w:r>
            </w:p>
            <w:p w14:paraId="6F605411" w14:textId="77777777" w:rsidR="005C2A83" w:rsidRDefault="005C2A83" w:rsidP="005C2A83">
              <w:pPr>
                <w:pStyle w:val="Bibliography"/>
                <w:rPr>
                  <w:noProof/>
                  <w:lang w:val="en-US"/>
                </w:rPr>
              </w:pPr>
              <w:r>
                <w:rPr>
                  <w:noProof/>
                  <w:lang w:val="en-US"/>
                </w:rPr>
                <w:t xml:space="preserve">Legislation.gov.uk, 2009. </w:t>
              </w:r>
              <w:r>
                <w:rPr>
                  <w:i/>
                  <w:iCs/>
                  <w:noProof/>
                  <w:lang w:val="en-US"/>
                </w:rPr>
                <w:t xml:space="preserve">Coroners and Justice Act 2009. </w:t>
              </w:r>
              <w:r>
                <w:rPr>
                  <w:noProof/>
                  <w:lang w:val="en-US"/>
                </w:rPr>
                <w:t xml:space="preserve">[Online] </w:t>
              </w:r>
              <w:r>
                <w:rPr>
                  <w:noProof/>
                  <w:lang w:val="en-US"/>
                </w:rPr>
                <w:br/>
                <w:t xml:space="preserve">Available at: </w:t>
              </w:r>
              <w:r>
                <w:rPr>
                  <w:noProof/>
                  <w:u w:val="single"/>
                  <w:lang w:val="en-US"/>
                </w:rPr>
                <w:t>https://www.legislation.gov.uk/ukpga/2009/25/contents</w:t>
              </w:r>
              <w:r>
                <w:rPr>
                  <w:noProof/>
                  <w:lang w:val="en-US"/>
                </w:rPr>
                <w:br/>
                <w:t>[Accessed 08 March 2023].</w:t>
              </w:r>
            </w:p>
            <w:p w14:paraId="5D860B5B" w14:textId="77777777" w:rsidR="005C2A83" w:rsidRDefault="005C2A83" w:rsidP="005C2A83">
              <w:pPr>
                <w:pStyle w:val="Bibliography"/>
                <w:rPr>
                  <w:noProof/>
                  <w:lang w:val="en-US"/>
                </w:rPr>
              </w:pPr>
              <w:r>
                <w:rPr>
                  <w:noProof/>
                  <w:lang w:val="en-US"/>
                </w:rPr>
                <w:t xml:space="preserve">Ministry of Justice, 2010. </w:t>
              </w:r>
              <w:r>
                <w:rPr>
                  <w:i/>
                  <w:iCs/>
                  <w:noProof/>
                  <w:lang w:val="en-US"/>
                </w:rPr>
                <w:t xml:space="preserve">Partial defences to murder: loss of control and diminished responsibility; and infanticide: Implementation of Sections 52, and 54 to 57 of the Coroners and Justice Act 2009. </w:t>
              </w:r>
              <w:r>
                <w:rPr>
                  <w:noProof/>
                  <w:lang w:val="en-US"/>
                </w:rPr>
                <w:t xml:space="preserve">[Online] </w:t>
              </w:r>
              <w:r>
                <w:rPr>
                  <w:noProof/>
                  <w:lang w:val="en-US"/>
                </w:rPr>
                <w:br/>
                <w:t xml:space="preserve">Available at: </w:t>
              </w:r>
              <w:r>
                <w:rPr>
                  <w:noProof/>
                  <w:u w:val="single"/>
                  <w:lang w:val="en-US"/>
                </w:rPr>
                <w:t>https://www.justice.gov.uk/downloads/legislation/bills-acts/circulars/moj/2010/circular-12-2010-coroners-justice-act-homicide-provisions.pdf</w:t>
              </w:r>
              <w:r>
                <w:rPr>
                  <w:noProof/>
                  <w:lang w:val="en-US"/>
                </w:rPr>
                <w:br/>
                <w:t>[Accessed 8 March 2023].</w:t>
              </w:r>
            </w:p>
            <w:p w14:paraId="7A6E9392" w14:textId="77777777" w:rsidR="005C2A83" w:rsidRDefault="005C2A83" w:rsidP="005C2A83">
              <w:pPr>
                <w:pStyle w:val="Bibliography"/>
                <w:rPr>
                  <w:noProof/>
                  <w:lang w:val="en-US"/>
                </w:rPr>
              </w:pPr>
              <w:r>
                <w:rPr>
                  <w:i/>
                  <w:iCs/>
                  <w:noProof/>
                  <w:lang w:val="en-US"/>
                </w:rPr>
                <w:t xml:space="preserve">R v Campbell </w:t>
              </w:r>
              <w:r>
                <w:rPr>
                  <w:noProof/>
                  <w:lang w:val="en-US"/>
                </w:rPr>
                <w:t xml:space="preserve">(1996) THE LORD CHIEF JUSTICE OF ENGLAND. </w:t>
              </w:r>
            </w:p>
            <w:p w14:paraId="33E7EE03" w14:textId="09734ABB" w:rsidR="00D813AF" w:rsidRDefault="00D813AF" w:rsidP="005C2A83">
              <w:r w:rsidRPr="00D813AF">
                <w:rPr>
                  <w:rFonts w:ascii="Arial" w:hAnsi="Arial" w:cs="Arial"/>
                  <w:b/>
                  <w:bCs/>
                  <w:noProof/>
                  <w:sz w:val="24"/>
                  <w:szCs w:val="24"/>
                </w:rPr>
                <w:fldChar w:fldCharType="end"/>
              </w:r>
            </w:p>
          </w:sdtContent>
        </w:sdt>
      </w:sdtContent>
    </w:sdt>
    <w:p w14:paraId="1D437FAA" w14:textId="77777777" w:rsidR="00D813AF" w:rsidRPr="00D813AF" w:rsidRDefault="00D813AF" w:rsidP="00D813AF">
      <w:pPr>
        <w:rPr>
          <w:lang w:val="en-US"/>
        </w:rPr>
      </w:pPr>
    </w:p>
    <w:p w14:paraId="632A9E00" w14:textId="77777777" w:rsidR="00BF3AE9" w:rsidRPr="003308CF" w:rsidRDefault="00BF3AE9" w:rsidP="00BF3AE9">
      <w:pPr>
        <w:spacing w:line="480" w:lineRule="auto"/>
        <w:rPr>
          <w:rFonts w:ascii="Arial" w:hAnsi="Arial" w:cs="Arial"/>
          <w:b/>
          <w:bCs/>
          <w:sz w:val="24"/>
          <w:szCs w:val="24"/>
        </w:rPr>
      </w:pPr>
    </w:p>
    <w:p w14:paraId="0A53A71C" w14:textId="77777777" w:rsidR="00BF3AE9" w:rsidRDefault="00BF3AE9"/>
    <w:sectPr w:rsidR="00BF3AE9" w:rsidSect="00BF3AE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AE9"/>
    <w:rsid w:val="000226FD"/>
    <w:rsid w:val="000E0ED4"/>
    <w:rsid w:val="00153405"/>
    <w:rsid w:val="001571EC"/>
    <w:rsid w:val="00164C11"/>
    <w:rsid w:val="00284C98"/>
    <w:rsid w:val="002A0AB3"/>
    <w:rsid w:val="002E1260"/>
    <w:rsid w:val="002E28F2"/>
    <w:rsid w:val="00425F1E"/>
    <w:rsid w:val="0043107E"/>
    <w:rsid w:val="0050210E"/>
    <w:rsid w:val="00526E28"/>
    <w:rsid w:val="005729DC"/>
    <w:rsid w:val="005C2A83"/>
    <w:rsid w:val="005D69D2"/>
    <w:rsid w:val="006207FC"/>
    <w:rsid w:val="0064782E"/>
    <w:rsid w:val="006735CF"/>
    <w:rsid w:val="006C46AA"/>
    <w:rsid w:val="006F1036"/>
    <w:rsid w:val="007D3452"/>
    <w:rsid w:val="0080274D"/>
    <w:rsid w:val="0089314D"/>
    <w:rsid w:val="008E73F4"/>
    <w:rsid w:val="008F00C4"/>
    <w:rsid w:val="008F3B96"/>
    <w:rsid w:val="008F6AA3"/>
    <w:rsid w:val="00954D62"/>
    <w:rsid w:val="009C0A87"/>
    <w:rsid w:val="00A52D59"/>
    <w:rsid w:val="00BF3AE9"/>
    <w:rsid w:val="00D17978"/>
    <w:rsid w:val="00D56552"/>
    <w:rsid w:val="00D813AF"/>
    <w:rsid w:val="00DE6D3A"/>
    <w:rsid w:val="00F23A43"/>
    <w:rsid w:val="00FB4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170AF"/>
  <w15:docId w15:val="{35B04483-3A20-4C57-AEF2-57CCF3290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405"/>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3AE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F3AE9"/>
    <w:rPr>
      <w:rFonts w:eastAsiaTheme="minorEastAsia"/>
      <w:kern w:val="0"/>
      <w:lang w:val="en-US"/>
      <w14:ligatures w14:val="none"/>
    </w:rPr>
  </w:style>
  <w:style w:type="character" w:customStyle="1" w:styleId="Heading1Char">
    <w:name w:val="Heading 1 Char"/>
    <w:basedOn w:val="DefaultParagraphFont"/>
    <w:link w:val="Heading1"/>
    <w:uiPriority w:val="9"/>
    <w:rsid w:val="00153405"/>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813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3409">
      <w:bodyDiv w:val="1"/>
      <w:marLeft w:val="0"/>
      <w:marRight w:val="0"/>
      <w:marTop w:val="0"/>
      <w:marBottom w:val="0"/>
      <w:divBdr>
        <w:top w:val="none" w:sz="0" w:space="0" w:color="auto"/>
        <w:left w:val="none" w:sz="0" w:space="0" w:color="auto"/>
        <w:bottom w:val="none" w:sz="0" w:space="0" w:color="auto"/>
        <w:right w:val="none" w:sz="0" w:space="0" w:color="auto"/>
      </w:divBdr>
    </w:div>
    <w:div w:id="83041959">
      <w:bodyDiv w:val="1"/>
      <w:marLeft w:val="0"/>
      <w:marRight w:val="0"/>
      <w:marTop w:val="0"/>
      <w:marBottom w:val="0"/>
      <w:divBdr>
        <w:top w:val="none" w:sz="0" w:space="0" w:color="auto"/>
        <w:left w:val="none" w:sz="0" w:space="0" w:color="auto"/>
        <w:bottom w:val="none" w:sz="0" w:space="0" w:color="auto"/>
        <w:right w:val="none" w:sz="0" w:space="0" w:color="auto"/>
      </w:divBdr>
    </w:div>
    <w:div w:id="101073462">
      <w:bodyDiv w:val="1"/>
      <w:marLeft w:val="0"/>
      <w:marRight w:val="0"/>
      <w:marTop w:val="0"/>
      <w:marBottom w:val="0"/>
      <w:divBdr>
        <w:top w:val="none" w:sz="0" w:space="0" w:color="auto"/>
        <w:left w:val="none" w:sz="0" w:space="0" w:color="auto"/>
        <w:bottom w:val="none" w:sz="0" w:space="0" w:color="auto"/>
        <w:right w:val="none" w:sz="0" w:space="0" w:color="auto"/>
      </w:divBdr>
    </w:div>
    <w:div w:id="200022715">
      <w:bodyDiv w:val="1"/>
      <w:marLeft w:val="0"/>
      <w:marRight w:val="0"/>
      <w:marTop w:val="0"/>
      <w:marBottom w:val="0"/>
      <w:divBdr>
        <w:top w:val="none" w:sz="0" w:space="0" w:color="auto"/>
        <w:left w:val="none" w:sz="0" w:space="0" w:color="auto"/>
        <w:bottom w:val="none" w:sz="0" w:space="0" w:color="auto"/>
        <w:right w:val="none" w:sz="0" w:space="0" w:color="auto"/>
      </w:divBdr>
    </w:div>
    <w:div w:id="257060864">
      <w:bodyDiv w:val="1"/>
      <w:marLeft w:val="0"/>
      <w:marRight w:val="0"/>
      <w:marTop w:val="0"/>
      <w:marBottom w:val="0"/>
      <w:divBdr>
        <w:top w:val="none" w:sz="0" w:space="0" w:color="auto"/>
        <w:left w:val="none" w:sz="0" w:space="0" w:color="auto"/>
        <w:bottom w:val="none" w:sz="0" w:space="0" w:color="auto"/>
        <w:right w:val="none" w:sz="0" w:space="0" w:color="auto"/>
      </w:divBdr>
    </w:div>
    <w:div w:id="276445804">
      <w:bodyDiv w:val="1"/>
      <w:marLeft w:val="0"/>
      <w:marRight w:val="0"/>
      <w:marTop w:val="0"/>
      <w:marBottom w:val="0"/>
      <w:divBdr>
        <w:top w:val="none" w:sz="0" w:space="0" w:color="auto"/>
        <w:left w:val="none" w:sz="0" w:space="0" w:color="auto"/>
        <w:bottom w:val="none" w:sz="0" w:space="0" w:color="auto"/>
        <w:right w:val="none" w:sz="0" w:space="0" w:color="auto"/>
      </w:divBdr>
    </w:div>
    <w:div w:id="296029976">
      <w:bodyDiv w:val="1"/>
      <w:marLeft w:val="0"/>
      <w:marRight w:val="0"/>
      <w:marTop w:val="0"/>
      <w:marBottom w:val="0"/>
      <w:divBdr>
        <w:top w:val="none" w:sz="0" w:space="0" w:color="auto"/>
        <w:left w:val="none" w:sz="0" w:space="0" w:color="auto"/>
        <w:bottom w:val="none" w:sz="0" w:space="0" w:color="auto"/>
        <w:right w:val="none" w:sz="0" w:space="0" w:color="auto"/>
      </w:divBdr>
    </w:div>
    <w:div w:id="301154244">
      <w:bodyDiv w:val="1"/>
      <w:marLeft w:val="0"/>
      <w:marRight w:val="0"/>
      <w:marTop w:val="0"/>
      <w:marBottom w:val="0"/>
      <w:divBdr>
        <w:top w:val="none" w:sz="0" w:space="0" w:color="auto"/>
        <w:left w:val="none" w:sz="0" w:space="0" w:color="auto"/>
        <w:bottom w:val="none" w:sz="0" w:space="0" w:color="auto"/>
        <w:right w:val="none" w:sz="0" w:space="0" w:color="auto"/>
      </w:divBdr>
    </w:div>
    <w:div w:id="307980449">
      <w:bodyDiv w:val="1"/>
      <w:marLeft w:val="0"/>
      <w:marRight w:val="0"/>
      <w:marTop w:val="0"/>
      <w:marBottom w:val="0"/>
      <w:divBdr>
        <w:top w:val="none" w:sz="0" w:space="0" w:color="auto"/>
        <w:left w:val="none" w:sz="0" w:space="0" w:color="auto"/>
        <w:bottom w:val="none" w:sz="0" w:space="0" w:color="auto"/>
        <w:right w:val="none" w:sz="0" w:space="0" w:color="auto"/>
      </w:divBdr>
    </w:div>
    <w:div w:id="380595625">
      <w:bodyDiv w:val="1"/>
      <w:marLeft w:val="0"/>
      <w:marRight w:val="0"/>
      <w:marTop w:val="0"/>
      <w:marBottom w:val="0"/>
      <w:divBdr>
        <w:top w:val="none" w:sz="0" w:space="0" w:color="auto"/>
        <w:left w:val="none" w:sz="0" w:space="0" w:color="auto"/>
        <w:bottom w:val="none" w:sz="0" w:space="0" w:color="auto"/>
        <w:right w:val="none" w:sz="0" w:space="0" w:color="auto"/>
      </w:divBdr>
    </w:div>
    <w:div w:id="498156417">
      <w:bodyDiv w:val="1"/>
      <w:marLeft w:val="0"/>
      <w:marRight w:val="0"/>
      <w:marTop w:val="0"/>
      <w:marBottom w:val="0"/>
      <w:divBdr>
        <w:top w:val="none" w:sz="0" w:space="0" w:color="auto"/>
        <w:left w:val="none" w:sz="0" w:space="0" w:color="auto"/>
        <w:bottom w:val="none" w:sz="0" w:space="0" w:color="auto"/>
        <w:right w:val="none" w:sz="0" w:space="0" w:color="auto"/>
      </w:divBdr>
    </w:div>
    <w:div w:id="516386024">
      <w:bodyDiv w:val="1"/>
      <w:marLeft w:val="0"/>
      <w:marRight w:val="0"/>
      <w:marTop w:val="0"/>
      <w:marBottom w:val="0"/>
      <w:divBdr>
        <w:top w:val="none" w:sz="0" w:space="0" w:color="auto"/>
        <w:left w:val="none" w:sz="0" w:space="0" w:color="auto"/>
        <w:bottom w:val="none" w:sz="0" w:space="0" w:color="auto"/>
        <w:right w:val="none" w:sz="0" w:space="0" w:color="auto"/>
      </w:divBdr>
    </w:div>
    <w:div w:id="573393475">
      <w:bodyDiv w:val="1"/>
      <w:marLeft w:val="0"/>
      <w:marRight w:val="0"/>
      <w:marTop w:val="0"/>
      <w:marBottom w:val="0"/>
      <w:divBdr>
        <w:top w:val="none" w:sz="0" w:space="0" w:color="auto"/>
        <w:left w:val="none" w:sz="0" w:space="0" w:color="auto"/>
        <w:bottom w:val="none" w:sz="0" w:space="0" w:color="auto"/>
        <w:right w:val="none" w:sz="0" w:space="0" w:color="auto"/>
      </w:divBdr>
    </w:div>
    <w:div w:id="585917046">
      <w:bodyDiv w:val="1"/>
      <w:marLeft w:val="0"/>
      <w:marRight w:val="0"/>
      <w:marTop w:val="0"/>
      <w:marBottom w:val="0"/>
      <w:divBdr>
        <w:top w:val="none" w:sz="0" w:space="0" w:color="auto"/>
        <w:left w:val="none" w:sz="0" w:space="0" w:color="auto"/>
        <w:bottom w:val="none" w:sz="0" w:space="0" w:color="auto"/>
        <w:right w:val="none" w:sz="0" w:space="0" w:color="auto"/>
      </w:divBdr>
    </w:div>
    <w:div w:id="589244230">
      <w:bodyDiv w:val="1"/>
      <w:marLeft w:val="0"/>
      <w:marRight w:val="0"/>
      <w:marTop w:val="0"/>
      <w:marBottom w:val="0"/>
      <w:divBdr>
        <w:top w:val="none" w:sz="0" w:space="0" w:color="auto"/>
        <w:left w:val="none" w:sz="0" w:space="0" w:color="auto"/>
        <w:bottom w:val="none" w:sz="0" w:space="0" w:color="auto"/>
        <w:right w:val="none" w:sz="0" w:space="0" w:color="auto"/>
      </w:divBdr>
    </w:div>
    <w:div w:id="613709585">
      <w:bodyDiv w:val="1"/>
      <w:marLeft w:val="0"/>
      <w:marRight w:val="0"/>
      <w:marTop w:val="0"/>
      <w:marBottom w:val="0"/>
      <w:divBdr>
        <w:top w:val="none" w:sz="0" w:space="0" w:color="auto"/>
        <w:left w:val="none" w:sz="0" w:space="0" w:color="auto"/>
        <w:bottom w:val="none" w:sz="0" w:space="0" w:color="auto"/>
        <w:right w:val="none" w:sz="0" w:space="0" w:color="auto"/>
      </w:divBdr>
    </w:div>
    <w:div w:id="642738794">
      <w:bodyDiv w:val="1"/>
      <w:marLeft w:val="0"/>
      <w:marRight w:val="0"/>
      <w:marTop w:val="0"/>
      <w:marBottom w:val="0"/>
      <w:divBdr>
        <w:top w:val="none" w:sz="0" w:space="0" w:color="auto"/>
        <w:left w:val="none" w:sz="0" w:space="0" w:color="auto"/>
        <w:bottom w:val="none" w:sz="0" w:space="0" w:color="auto"/>
        <w:right w:val="none" w:sz="0" w:space="0" w:color="auto"/>
      </w:divBdr>
    </w:div>
    <w:div w:id="677073482">
      <w:bodyDiv w:val="1"/>
      <w:marLeft w:val="0"/>
      <w:marRight w:val="0"/>
      <w:marTop w:val="0"/>
      <w:marBottom w:val="0"/>
      <w:divBdr>
        <w:top w:val="none" w:sz="0" w:space="0" w:color="auto"/>
        <w:left w:val="none" w:sz="0" w:space="0" w:color="auto"/>
        <w:bottom w:val="none" w:sz="0" w:space="0" w:color="auto"/>
        <w:right w:val="none" w:sz="0" w:space="0" w:color="auto"/>
      </w:divBdr>
    </w:div>
    <w:div w:id="688794099">
      <w:bodyDiv w:val="1"/>
      <w:marLeft w:val="0"/>
      <w:marRight w:val="0"/>
      <w:marTop w:val="0"/>
      <w:marBottom w:val="0"/>
      <w:divBdr>
        <w:top w:val="none" w:sz="0" w:space="0" w:color="auto"/>
        <w:left w:val="none" w:sz="0" w:space="0" w:color="auto"/>
        <w:bottom w:val="none" w:sz="0" w:space="0" w:color="auto"/>
        <w:right w:val="none" w:sz="0" w:space="0" w:color="auto"/>
      </w:divBdr>
    </w:div>
    <w:div w:id="708914555">
      <w:bodyDiv w:val="1"/>
      <w:marLeft w:val="0"/>
      <w:marRight w:val="0"/>
      <w:marTop w:val="0"/>
      <w:marBottom w:val="0"/>
      <w:divBdr>
        <w:top w:val="none" w:sz="0" w:space="0" w:color="auto"/>
        <w:left w:val="none" w:sz="0" w:space="0" w:color="auto"/>
        <w:bottom w:val="none" w:sz="0" w:space="0" w:color="auto"/>
        <w:right w:val="none" w:sz="0" w:space="0" w:color="auto"/>
      </w:divBdr>
    </w:div>
    <w:div w:id="769660451">
      <w:bodyDiv w:val="1"/>
      <w:marLeft w:val="0"/>
      <w:marRight w:val="0"/>
      <w:marTop w:val="0"/>
      <w:marBottom w:val="0"/>
      <w:divBdr>
        <w:top w:val="none" w:sz="0" w:space="0" w:color="auto"/>
        <w:left w:val="none" w:sz="0" w:space="0" w:color="auto"/>
        <w:bottom w:val="none" w:sz="0" w:space="0" w:color="auto"/>
        <w:right w:val="none" w:sz="0" w:space="0" w:color="auto"/>
      </w:divBdr>
    </w:div>
    <w:div w:id="863448194">
      <w:bodyDiv w:val="1"/>
      <w:marLeft w:val="0"/>
      <w:marRight w:val="0"/>
      <w:marTop w:val="0"/>
      <w:marBottom w:val="0"/>
      <w:divBdr>
        <w:top w:val="none" w:sz="0" w:space="0" w:color="auto"/>
        <w:left w:val="none" w:sz="0" w:space="0" w:color="auto"/>
        <w:bottom w:val="none" w:sz="0" w:space="0" w:color="auto"/>
        <w:right w:val="none" w:sz="0" w:space="0" w:color="auto"/>
      </w:divBdr>
    </w:div>
    <w:div w:id="912398225">
      <w:bodyDiv w:val="1"/>
      <w:marLeft w:val="0"/>
      <w:marRight w:val="0"/>
      <w:marTop w:val="0"/>
      <w:marBottom w:val="0"/>
      <w:divBdr>
        <w:top w:val="none" w:sz="0" w:space="0" w:color="auto"/>
        <w:left w:val="none" w:sz="0" w:space="0" w:color="auto"/>
        <w:bottom w:val="none" w:sz="0" w:space="0" w:color="auto"/>
        <w:right w:val="none" w:sz="0" w:space="0" w:color="auto"/>
      </w:divBdr>
    </w:div>
    <w:div w:id="926621864">
      <w:bodyDiv w:val="1"/>
      <w:marLeft w:val="0"/>
      <w:marRight w:val="0"/>
      <w:marTop w:val="0"/>
      <w:marBottom w:val="0"/>
      <w:divBdr>
        <w:top w:val="none" w:sz="0" w:space="0" w:color="auto"/>
        <w:left w:val="none" w:sz="0" w:space="0" w:color="auto"/>
        <w:bottom w:val="none" w:sz="0" w:space="0" w:color="auto"/>
        <w:right w:val="none" w:sz="0" w:space="0" w:color="auto"/>
      </w:divBdr>
    </w:div>
    <w:div w:id="947659977">
      <w:bodyDiv w:val="1"/>
      <w:marLeft w:val="0"/>
      <w:marRight w:val="0"/>
      <w:marTop w:val="0"/>
      <w:marBottom w:val="0"/>
      <w:divBdr>
        <w:top w:val="none" w:sz="0" w:space="0" w:color="auto"/>
        <w:left w:val="none" w:sz="0" w:space="0" w:color="auto"/>
        <w:bottom w:val="none" w:sz="0" w:space="0" w:color="auto"/>
        <w:right w:val="none" w:sz="0" w:space="0" w:color="auto"/>
      </w:divBdr>
    </w:div>
    <w:div w:id="976371157">
      <w:bodyDiv w:val="1"/>
      <w:marLeft w:val="0"/>
      <w:marRight w:val="0"/>
      <w:marTop w:val="0"/>
      <w:marBottom w:val="0"/>
      <w:divBdr>
        <w:top w:val="none" w:sz="0" w:space="0" w:color="auto"/>
        <w:left w:val="none" w:sz="0" w:space="0" w:color="auto"/>
        <w:bottom w:val="none" w:sz="0" w:space="0" w:color="auto"/>
        <w:right w:val="none" w:sz="0" w:space="0" w:color="auto"/>
      </w:divBdr>
    </w:div>
    <w:div w:id="1040668958">
      <w:bodyDiv w:val="1"/>
      <w:marLeft w:val="0"/>
      <w:marRight w:val="0"/>
      <w:marTop w:val="0"/>
      <w:marBottom w:val="0"/>
      <w:divBdr>
        <w:top w:val="none" w:sz="0" w:space="0" w:color="auto"/>
        <w:left w:val="none" w:sz="0" w:space="0" w:color="auto"/>
        <w:bottom w:val="none" w:sz="0" w:space="0" w:color="auto"/>
        <w:right w:val="none" w:sz="0" w:space="0" w:color="auto"/>
      </w:divBdr>
    </w:div>
    <w:div w:id="1097561467">
      <w:bodyDiv w:val="1"/>
      <w:marLeft w:val="0"/>
      <w:marRight w:val="0"/>
      <w:marTop w:val="0"/>
      <w:marBottom w:val="0"/>
      <w:divBdr>
        <w:top w:val="none" w:sz="0" w:space="0" w:color="auto"/>
        <w:left w:val="none" w:sz="0" w:space="0" w:color="auto"/>
        <w:bottom w:val="none" w:sz="0" w:space="0" w:color="auto"/>
        <w:right w:val="none" w:sz="0" w:space="0" w:color="auto"/>
      </w:divBdr>
    </w:div>
    <w:div w:id="1150514574">
      <w:bodyDiv w:val="1"/>
      <w:marLeft w:val="0"/>
      <w:marRight w:val="0"/>
      <w:marTop w:val="0"/>
      <w:marBottom w:val="0"/>
      <w:divBdr>
        <w:top w:val="none" w:sz="0" w:space="0" w:color="auto"/>
        <w:left w:val="none" w:sz="0" w:space="0" w:color="auto"/>
        <w:bottom w:val="none" w:sz="0" w:space="0" w:color="auto"/>
        <w:right w:val="none" w:sz="0" w:space="0" w:color="auto"/>
      </w:divBdr>
    </w:div>
    <w:div w:id="1223103874">
      <w:bodyDiv w:val="1"/>
      <w:marLeft w:val="0"/>
      <w:marRight w:val="0"/>
      <w:marTop w:val="0"/>
      <w:marBottom w:val="0"/>
      <w:divBdr>
        <w:top w:val="none" w:sz="0" w:space="0" w:color="auto"/>
        <w:left w:val="none" w:sz="0" w:space="0" w:color="auto"/>
        <w:bottom w:val="none" w:sz="0" w:space="0" w:color="auto"/>
        <w:right w:val="none" w:sz="0" w:space="0" w:color="auto"/>
      </w:divBdr>
    </w:div>
    <w:div w:id="1234269730">
      <w:bodyDiv w:val="1"/>
      <w:marLeft w:val="0"/>
      <w:marRight w:val="0"/>
      <w:marTop w:val="0"/>
      <w:marBottom w:val="0"/>
      <w:divBdr>
        <w:top w:val="none" w:sz="0" w:space="0" w:color="auto"/>
        <w:left w:val="none" w:sz="0" w:space="0" w:color="auto"/>
        <w:bottom w:val="none" w:sz="0" w:space="0" w:color="auto"/>
        <w:right w:val="none" w:sz="0" w:space="0" w:color="auto"/>
      </w:divBdr>
    </w:div>
    <w:div w:id="1250847313">
      <w:bodyDiv w:val="1"/>
      <w:marLeft w:val="0"/>
      <w:marRight w:val="0"/>
      <w:marTop w:val="0"/>
      <w:marBottom w:val="0"/>
      <w:divBdr>
        <w:top w:val="none" w:sz="0" w:space="0" w:color="auto"/>
        <w:left w:val="none" w:sz="0" w:space="0" w:color="auto"/>
        <w:bottom w:val="none" w:sz="0" w:space="0" w:color="auto"/>
        <w:right w:val="none" w:sz="0" w:space="0" w:color="auto"/>
      </w:divBdr>
    </w:div>
    <w:div w:id="1293905135">
      <w:bodyDiv w:val="1"/>
      <w:marLeft w:val="0"/>
      <w:marRight w:val="0"/>
      <w:marTop w:val="0"/>
      <w:marBottom w:val="0"/>
      <w:divBdr>
        <w:top w:val="none" w:sz="0" w:space="0" w:color="auto"/>
        <w:left w:val="none" w:sz="0" w:space="0" w:color="auto"/>
        <w:bottom w:val="none" w:sz="0" w:space="0" w:color="auto"/>
        <w:right w:val="none" w:sz="0" w:space="0" w:color="auto"/>
      </w:divBdr>
    </w:div>
    <w:div w:id="1296713830">
      <w:bodyDiv w:val="1"/>
      <w:marLeft w:val="0"/>
      <w:marRight w:val="0"/>
      <w:marTop w:val="0"/>
      <w:marBottom w:val="0"/>
      <w:divBdr>
        <w:top w:val="none" w:sz="0" w:space="0" w:color="auto"/>
        <w:left w:val="none" w:sz="0" w:space="0" w:color="auto"/>
        <w:bottom w:val="none" w:sz="0" w:space="0" w:color="auto"/>
        <w:right w:val="none" w:sz="0" w:space="0" w:color="auto"/>
      </w:divBdr>
    </w:div>
    <w:div w:id="1298611137">
      <w:bodyDiv w:val="1"/>
      <w:marLeft w:val="0"/>
      <w:marRight w:val="0"/>
      <w:marTop w:val="0"/>
      <w:marBottom w:val="0"/>
      <w:divBdr>
        <w:top w:val="none" w:sz="0" w:space="0" w:color="auto"/>
        <w:left w:val="none" w:sz="0" w:space="0" w:color="auto"/>
        <w:bottom w:val="none" w:sz="0" w:space="0" w:color="auto"/>
        <w:right w:val="none" w:sz="0" w:space="0" w:color="auto"/>
      </w:divBdr>
    </w:div>
    <w:div w:id="1340502560">
      <w:bodyDiv w:val="1"/>
      <w:marLeft w:val="0"/>
      <w:marRight w:val="0"/>
      <w:marTop w:val="0"/>
      <w:marBottom w:val="0"/>
      <w:divBdr>
        <w:top w:val="none" w:sz="0" w:space="0" w:color="auto"/>
        <w:left w:val="none" w:sz="0" w:space="0" w:color="auto"/>
        <w:bottom w:val="none" w:sz="0" w:space="0" w:color="auto"/>
        <w:right w:val="none" w:sz="0" w:space="0" w:color="auto"/>
      </w:divBdr>
    </w:div>
    <w:div w:id="1384982615">
      <w:bodyDiv w:val="1"/>
      <w:marLeft w:val="0"/>
      <w:marRight w:val="0"/>
      <w:marTop w:val="0"/>
      <w:marBottom w:val="0"/>
      <w:divBdr>
        <w:top w:val="none" w:sz="0" w:space="0" w:color="auto"/>
        <w:left w:val="none" w:sz="0" w:space="0" w:color="auto"/>
        <w:bottom w:val="none" w:sz="0" w:space="0" w:color="auto"/>
        <w:right w:val="none" w:sz="0" w:space="0" w:color="auto"/>
      </w:divBdr>
    </w:div>
    <w:div w:id="1510370508">
      <w:bodyDiv w:val="1"/>
      <w:marLeft w:val="0"/>
      <w:marRight w:val="0"/>
      <w:marTop w:val="0"/>
      <w:marBottom w:val="0"/>
      <w:divBdr>
        <w:top w:val="none" w:sz="0" w:space="0" w:color="auto"/>
        <w:left w:val="none" w:sz="0" w:space="0" w:color="auto"/>
        <w:bottom w:val="none" w:sz="0" w:space="0" w:color="auto"/>
        <w:right w:val="none" w:sz="0" w:space="0" w:color="auto"/>
      </w:divBdr>
    </w:div>
    <w:div w:id="1671525161">
      <w:bodyDiv w:val="1"/>
      <w:marLeft w:val="0"/>
      <w:marRight w:val="0"/>
      <w:marTop w:val="0"/>
      <w:marBottom w:val="0"/>
      <w:divBdr>
        <w:top w:val="none" w:sz="0" w:space="0" w:color="auto"/>
        <w:left w:val="none" w:sz="0" w:space="0" w:color="auto"/>
        <w:bottom w:val="none" w:sz="0" w:space="0" w:color="auto"/>
        <w:right w:val="none" w:sz="0" w:space="0" w:color="auto"/>
      </w:divBdr>
    </w:div>
    <w:div w:id="1715278343">
      <w:bodyDiv w:val="1"/>
      <w:marLeft w:val="0"/>
      <w:marRight w:val="0"/>
      <w:marTop w:val="0"/>
      <w:marBottom w:val="0"/>
      <w:divBdr>
        <w:top w:val="none" w:sz="0" w:space="0" w:color="auto"/>
        <w:left w:val="none" w:sz="0" w:space="0" w:color="auto"/>
        <w:bottom w:val="none" w:sz="0" w:space="0" w:color="auto"/>
        <w:right w:val="none" w:sz="0" w:space="0" w:color="auto"/>
      </w:divBdr>
    </w:div>
    <w:div w:id="1731345593">
      <w:bodyDiv w:val="1"/>
      <w:marLeft w:val="0"/>
      <w:marRight w:val="0"/>
      <w:marTop w:val="0"/>
      <w:marBottom w:val="0"/>
      <w:divBdr>
        <w:top w:val="none" w:sz="0" w:space="0" w:color="auto"/>
        <w:left w:val="none" w:sz="0" w:space="0" w:color="auto"/>
        <w:bottom w:val="none" w:sz="0" w:space="0" w:color="auto"/>
        <w:right w:val="none" w:sz="0" w:space="0" w:color="auto"/>
      </w:divBdr>
    </w:div>
    <w:div w:id="1758675388">
      <w:bodyDiv w:val="1"/>
      <w:marLeft w:val="0"/>
      <w:marRight w:val="0"/>
      <w:marTop w:val="0"/>
      <w:marBottom w:val="0"/>
      <w:divBdr>
        <w:top w:val="none" w:sz="0" w:space="0" w:color="auto"/>
        <w:left w:val="none" w:sz="0" w:space="0" w:color="auto"/>
        <w:bottom w:val="none" w:sz="0" w:space="0" w:color="auto"/>
        <w:right w:val="none" w:sz="0" w:space="0" w:color="auto"/>
      </w:divBdr>
    </w:div>
    <w:div w:id="1829830763">
      <w:bodyDiv w:val="1"/>
      <w:marLeft w:val="0"/>
      <w:marRight w:val="0"/>
      <w:marTop w:val="0"/>
      <w:marBottom w:val="0"/>
      <w:divBdr>
        <w:top w:val="none" w:sz="0" w:space="0" w:color="auto"/>
        <w:left w:val="none" w:sz="0" w:space="0" w:color="auto"/>
        <w:bottom w:val="none" w:sz="0" w:space="0" w:color="auto"/>
        <w:right w:val="none" w:sz="0" w:space="0" w:color="auto"/>
      </w:divBdr>
    </w:div>
    <w:div w:id="1851094388">
      <w:bodyDiv w:val="1"/>
      <w:marLeft w:val="0"/>
      <w:marRight w:val="0"/>
      <w:marTop w:val="0"/>
      <w:marBottom w:val="0"/>
      <w:divBdr>
        <w:top w:val="none" w:sz="0" w:space="0" w:color="auto"/>
        <w:left w:val="none" w:sz="0" w:space="0" w:color="auto"/>
        <w:bottom w:val="none" w:sz="0" w:space="0" w:color="auto"/>
        <w:right w:val="none" w:sz="0" w:space="0" w:color="auto"/>
      </w:divBdr>
    </w:div>
    <w:div w:id="1859999167">
      <w:bodyDiv w:val="1"/>
      <w:marLeft w:val="0"/>
      <w:marRight w:val="0"/>
      <w:marTop w:val="0"/>
      <w:marBottom w:val="0"/>
      <w:divBdr>
        <w:top w:val="none" w:sz="0" w:space="0" w:color="auto"/>
        <w:left w:val="none" w:sz="0" w:space="0" w:color="auto"/>
        <w:bottom w:val="none" w:sz="0" w:space="0" w:color="auto"/>
        <w:right w:val="none" w:sz="0" w:space="0" w:color="auto"/>
      </w:divBdr>
    </w:div>
    <w:div w:id="1905145692">
      <w:bodyDiv w:val="1"/>
      <w:marLeft w:val="0"/>
      <w:marRight w:val="0"/>
      <w:marTop w:val="0"/>
      <w:marBottom w:val="0"/>
      <w:divBdr>
        <w:top w:val="none" w:sz="0" w:space="0" w:color="auto"/>
        <w:left w:val="none" w:sz="0" w:space="0" w:color="auto"/>
        <w:bottom w:val="none" w:sz="0" w:space="0" w:color="auto"/>
        <w:right w:val="none" w:sz="0" w:space="0" w:color="auto"/>
      </w:divBdr>
    </w:div>
    <w:div w:id="1915162817">
      <w:bodyDiv w:val="1"/>
      <w:marLeft w:val="0"/>
      <w:marRight w:val="0"/>
      <w:marTop w:val="0"/>
      <w:marBottom w:val="0"/>
      <w:divBdr>
        <w:top w:val="none" w:sz="0" w:space="0" w:color="auto"/>
        <w:left w:val="none" w:sz="0" w:space="0" w:color="auto"/>
        <w:bottom w:val="none" w:sz="0" w:space="0" w:color="auto"/>
        <w:right w:val="none" w:sz="0" w:space="0" w:color="auto"/>
      </w:divBdr>
    </w:div>
    <w:div w:id="1916894038">
      <w:bodyDiv w:val="1"/>
      <w:marLeft w:val="0"/>
      <w:marRight w:val="0"/>
      <w:marTop w:val="0"/>
      <w:marBottom w:val="0"/>
      <w:divBdr>
        <w:top w:val="none" w:sz="0" w:space="0" w:color="auto"/>
        <w:left w:val="none" w:sz="0" w:space="0" w:color="auto"/>
        <w:bottom w:val="none" w:sz="0" w:space="0" w:color="auto"/>
        <w:right w:val="none" w:sz="0" w:space="0" w:color="auto"/>
      </w:divBdr>
    </w:div>
    <w:div w:id="1920477471">
      <w:bodyDiv w:val="1"/>
      <w:marLeft w:val="0"/>
      <w:marRight w:val="0"/>
      <w:marTop w:val="0"/>
      <w:marBottom w:val="0"/>
      <w:divBdr>
        <w:top w:val="none" w:sz="0" w:space="0" w:color="auto"/>
        <w:left w:val="none" w:sz="0" w:space="0" w:color="auto"/>
        <w:bottom w:val="none" w:sz="0" w:space="0" w:color="auto"/>
        <w:right w:val="none" w:sz="0" w:space="0" w:color="auto"/>
      </w:divBdr>
    </w:div>
    <w:div w:id="1947420555">
      <w:bodyDiv w:val="1"/>
      <w:marLeft w:val="0"/>
      <w:marRight w:val="0"/>
      <w:marTop w:val="0"/>
      <w:marBottom w:val="0"/>
      <w:divBdr>
        <w:top w:val="none" w:sz="0" w:space="0" w:color="auto"/>
        <w:left w:val="none" w:sz="0" w:space="0" w:color="auto"/>
        <w:bottom w:val="none" w:sz="0" w:space="0" w:color="auto"/>
        <w:right w:val="none" w:sz="0" w:space="0" w:color="auto"/>
      </w:divBdr>
    </w:div>
    <w:div w:id="1965884094">
      <w:bodyDiv w:val="1"/>
      <w:marLeft w:val="0"/>
      <w:marRight w:val="0"/>
      <w:marTop w:val="0"/>
      <w:marBottom w:val="0"/>
      <w:divBdr>
        <w:top w:val="none" w:sz="0" w:space="0" w:color="auto"/>
        <w:left w:val="none" w:sz="0" w:space="0" w:color="auto"/>
        <w:bottom w:val="none" w:sz="0" w:space="0" w:color="auto"/>
        <w:right w:val="none" w:sz="0" w:space="0" w:color="auto"/>
      </w:divBdr>
    </w:div>
    <w:div w:id="2006469033">
      <w:bodyDiv w:val="1"/>
      <w:marLeft w:val="0"/>
      <w:marRight w:val="0"/>
      <w:marTop w:val="0"/>
      <w:marBottom w:val="0"/>
      <w:divBdr>
        <w:top w:val="none" w:sz="0" w:space="0" w:color="auto"/>
        <w:left w:val="none" w:sz="0" w:space="0" w:color="auto"/>
        <w:bottom w:val="none" w:sz="0" w:space="0" w:color="auto"/>
        <w:right w:val="none" w:sz="0" w:space="0" w:color="auto"/>
      </w:divBdr>
    </w:div>
    <w:div w:id="20317601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3FF823D7CCA400EB3381FA14D4E86FF"/>
        <w:category>
          <w:name w:val="General"/>
          <w:gallery w:val="placeholder"/>
        </w:category>
        <w:types>
          <w:type w:val="bbPlcHdr"/>
        </w:types>
        <w:behaviors>
          <w:behavior w:val="content"/>
        </w:behaviors>
        <w:guid w:val="{13B5E10B-7FF6-44FE-B722-3AB6DA995346}"/>
      </w:docPartPr>
      <w:docPartBody>
        <w:p w:rsidR="001747AC" w:rsidRDefault="001747AC" w:rsidP="001747AC">
          <w:pPr>
            <w:pStyle w:val="13FF823D7CCA400EB3381FA14D4E86FF"/>
          </w:pPr>
          <w:r>
            <w:rPr>
              <w:rFonts w:asciiTheme="majorHAnsi" w:eastAsiaTheme="majorEastAsia" w:hAnsiTheme="majorHAnsi" w:cstheme="majorBidi"/>
              <w:caps/>
              <w:color w:val="4472C4" w:themeColor="accent1"/>
              <w:sz w:val="80"/>
              <w:szCs w:val="80"/>
            </w:rPr>
            <w:t>[Document title]</w:t>
          </w:r>
        </w:p>
      </w:docPartBody>
    </w:docPart>
    <w:docPart>
      <w:docPartPr>
        <w:name w:val="6635D3A0E13D41FB90DA02B4FEFDD156"/>
        <w:category>
          <w:name w:val="General"/>
          <w:gallery w:val="placeholder"/>
        </w:category>
        <w:types>
          <w:type w:val="bbPlcHdr"/>
        </w:types>
        <w:behaviors>
          <w:behavior w:val="content"/>
        </w:behaviors>
        <w:guid w:val="{C7FEE10D-E23D-4FEF-924D-7F2A5AA99A05}"/>
      </w:docPartPr>
      <w:docPartBody>
        <w:p w:rsidR="001747AC" w:rsidRDefault="001747AC" w:rsidP="001747AC">
          <w:pPr>
            <w:pStyle w:val="6635D3A0E13D41FB90DA02B4FEFDD15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7AC"/>
    <w:rsid w:val="001747AC"/>
    <w:rsid w:val="00580067"/>
    <w:rsid w:val="00F90A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FF823D7CCA400EB3381FA14D4E86FF">
    <w:name w:val="13FF823D7CCA400EB3381FA14D4E86FF"/>
    <w:rsid w:val="001747AC"/>
  </w:style>
  <w:style w:type="paragraph" w:customStyle="1" w:styleId="6635D3A0E13D41FB90DA02B4FEFDD156">
    <w:name w:val="6635D3A0E13D41FB90DA02B4FEFDD156"/>
    <w:rsid w:val="001747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2023-03-10T00:00:00</PublishDate>
  <Abstract/>
  <CompanyAddress>2204812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Leg09</b:Tag>
    <b:SourceType>InternetSite</b:SourceType>
    <b:Guid>{6C4F074D-F578-41C8-BC9B-9345D54EAD49}</b:Guid>
    <b:Author>
      <b:Author>
        <b:NameList>
          <b:Person>
            <b:Last>Legislation.gov.uk</b:Last>
          </b:Person>
        </b:NameList>
      </b:Author>
    </b:Author>
    <b:Title>Coroners and Justice Act 2009</b:Title>
    <b:Year>2009</b:Year>
    <b:YearAccessed>2023</b:YearAccessed>
    <b:MonthAccessed>March</b:MonthAccessed>
    <b:DayAccessed>08</b:DayAccessed>
    <b:URL>https://www.legislation.gov.uk/ukpga/2009/25/contents</b:URL>
    <b:RefOrder>1</b:RefOrder>
  </b:Source>
  <b:Source>
    <b:Tag>Hal18</b:Tag>
    <b:SourceType>JournalArticle</b:SourceType>
    <b:Guid>{9C4659B9-3F23-4433-B31B-D829AA667ECF}</b:Guid>
    <b:Author>
      <b:Author>
        <b:NameList>
          <b:Person>
            <b:Last>Hallett</b:Last>
            <b:First>Nicholas</b:First>
          </b:Person>
        </b:NameList>
      </b:Author>
    </b:Author>
    <b:Title>Psychiatric evidence in Diminished Responsibility</b:Title>
    <b:JournalName>Journal of criminal law </b:JournalName>
    <b:Year>2018</b:Year>
    <b:Pages>442-456</b:Pages>
    <b:Volume>82</b:Volume>
    <b:Issue>6</b:Issue>
    <b:RefOrder>2</b:RefOrder>
  </b:Source>
  <b:Source>
    <b:Tag>Leg57</b:Tag>
    <b:SourceType>InternetSite</b:SourceType>
    <b:Guid>{8F4452DB-B011-46EE-9FFC-54EB0455BA20}</b:Guid>
    <b:Author>
      <b:Author>
        <b:NameList>
          <b:Person>
            <b:Last>Legislation.gov.uk</b:Last>
          </b:Person>
        </b:NameList>
      </b:Author>
    </b:Author>
    <b:Title>Homicide Act 1957</b:Title>
    <b:Year>1957</b:Year>
    <b:YearAccessed>2023</b:YearAccessed>
    <b:MonthAccessed>March</b:MonthAccessed>
    <b:DayAccessed>8</b:DayAccessed>
    <b:URL>https://www.legislation.gov.uk/ukpga/Eliz2/5-6/11/section/2</b:URL>
    <b:RefOrder>3</b:RefOrder>
  </b:Source>
  <b:Source>
    <b:Tag>Ash22</b:Tag>
    <b:SourceType>InternetSite</b:SourceType>
    <b:Guid>{E4113CAE-A9F8-4543-B7BE-CF82AF41668D}</b:Guid>
    <b:Author>
      <b:Author>
        <b:Corporate>Ashmans Scolicitors</b:Corporate>
      </b:Author>
    </b:Author>
    <b:Title>Murder Trials: What is Diminished Responsibility?</b:Title>
    <b:Year>2022</b:Year>
    <b:YearAccessed>2023</b:YearAccessed>
    <b:MonthAccessed>March</b:MonthAccessed>
    <b:DayAccessed>8</b:DayAccessed>
    <b:URL>https://www.ashmanssolicitors.com/articles/murder-trials-what-is-diminished-responsibility/#:~:text=Diminished%20responsibility%20is%20a%20partial,to%20that%20of%20voluntary%20manslaughter.</b:URL>
    <b:RefOrder>4</b:RefOrder>
  </b:Source>
  <b:Source>
    <b:Tag>Min10</b:Tag>
    <b:SourceType>InternetSite</b:SourceType>
    <b:Guid>{D60317FB-345F-422A-95CC-CB2DD9671ADB}</b:Guid>
    <b:Author>
      <b:Author>
        <b:Corporate>Ministry of Justice</b:Corporate>
      </b:Author>
    </b:Author>
    <b:Title>Partial defences to murder: loss of control and diminished responsibility; and infanticide: Implementation of Sections 52, and 54 to 57 of the Coroners and Justice Act 2009</b:Title>
    <b:Year>2010</b:Year>
    <b:YearAccessed>2023</b:YearAccessed>
    <b:MonthAccessed>March</b:MonthAccessed>
    <b:DayAccessed>8</b:DayAccessed>
    <b:URL>https://www.justice.gov.uk/downloads/legislation/bills-acts/circulars/moj/2010/circular-12-2010-coroners-justice-act-homicide-provisions.pdf</b:URL>
    <b:RefOrder>5</b:RefOrder>
  </b:Source>
  <b:Source>
    <b:Tag>Bai96</b:Tag>
    <b:SourceType>Case</b:SourceType>
    <b:Guid>{5571B3C7-1C69-4914-81FF-CE5DECC9D8FC}</b:Guid>
    <b:Title>R v Campbell</b:Title>
    <b:Year>1996</b:Year>
    <b:YearAccessed>2023</b:YearAccessed>
    <b:MonthAccessed>March</b:MonthAccessed>
    <b:DayAccessed>8</b:DayAccessed>
    <b:URL>https://www.bailii.org/ew/cases/EWCA/Crim/1996/1206.html</b:URL>
    <b:Reporter>THE LORD CHIEF JUSTICE OF ENGLAND</b:Reporter>
    <b:Author>
      <b:Author>
        <b:Corporate>Baill II</b:Corporate>
      </b:Author>
    </b:Author>
    <b:CaseNumber>95</b:CaseNumber>
    <b:Court>Crown Court</b:Court>
    <b:RefOrder>8</b:RefOrder>
  </b:Source>
  <b:Source>
    <b:Tag>Gla23</b:Tag>
    <b:SourceType>InternetSite</b:SourceType>
    <b:Guid>{1E5EB229-FC32-4FAD-A9AF-8E79020B0350}</b:Guid>
    <b:Author>
      <b:Author>
        <b:NameList>
          <b:Person>
            <b:Last>Glass</b:Last>
            <b:First>Jess</b:First>
          </b:Person>
        </b:NameList>
      </b:Author>
    </b:Author>
    <b:Title>Man jailed for five years for killing his sister will now serve a life sentence </b:Title>
    <b:Year>2023</b:Year>
    <b:YearAccessed>2023</b:YearAccessed>
    <b:MonthAccessed>March</b:MonthAccessed>
    <b:DayAccessed>8</b:DayAccessed>
    <b:URL>https://www.walesonline.co.uk/news/matthew-selby-sister-court-appeal-26421657?int_source=nba</b:URL>
    <b:RefOrder>6</b:RefOrder>
  </b:Source>
  <b:Source>
    <b:Tag>cen22</b:Tag>
    <b:SourceType>InternetSite</b:SourceType>
    <b:Guid>{01AE6C64-B86A-4208-87D6-95D197C7BF30}</b:Guid>
    <b:Author>
      <b:Author>
        <b:Corporate>Center for Disease Control and Prevention</b:Corporate>
      </b:Author>
    </b:Author>
    <b:Title>Signs and Symptoms of Autism Spectrum Disorder</b:Title>
    <b:Year>2022</b:Year>
    <b:YearAccessed>2023</b:YearAccessed>
    <b:MonthAccessed>March</b:MonthAccessed>
    <b:DayAccessed>8</b:DayAccessed>
    <b:URL>https://www.cdc.gov/ncbddd/autism/signs.html#:~:text=Autism%20spectrum%20disorder%20(ASD)%20is,%2C%20moving%2C%20or%20paying%20attention.</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5ECF8E2-0542-4E61-825E-5C4E2C7F6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1439</Words>
  <Characters>7834</Characters>
  <Application>Microsoft Office Word</Application>
  <DocSecurity>0</DocSecurity>
  <Lines>170</Lines>
  <Paragraphs>35</Paragraphs>
  <ScaleCrop>false</ScaleCrop>
  <HeadingPairs>
    <vt:vector size="2" baseType="variant">
      <vt:variant>
        <vt:lpstr>Title</vt:lpstr>
      </vt:variant>
      <vt:variant>
        <vt:i4>1</vt:i4>
      </vt:variant>
    </vt:vector>
  </HeadingPairs>
  <TitlesOfParts>
    <vt:vector size="1" baseType="lpstr">
      <vt:lpstr>Diminished responsability</vt:lpstr>
    </vt:vector>
  </TitlesOfParts>
  <Company>hannah willett</Company>
  <LinksUpToDate>false</LinksUpToDate>
  <CharactersWithSpaces>9238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Diminished responsability</dc:title>
  <dc:subject>BMLW4005</dc:subject>
  <dc:creator>hannah willett</dc:creator>
  <cp:keywords/>
  <dc:description/>
  <cp:lastModifiedBy>hannah willett</cp:lastModifiedBy>
  <cp:revision>2</cp:revision>
  <dcterms:created xsi:type="dcterms:W3CDTF">2023-03-08T23:23:00Z</dcterms:created>
  <dcterms:modified xsi:type="dcterms:W3CDTF">2023-03-08T23:23:00Z</dcterms:modified>
</cp:coreProperties>
</file>