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B3A7D" w14:textId="77777777" w:rsidR="00681724" w:rsidRDefault="00681724" w:rsidP="00681724"/>
    <w:p w14:paraId="315F70B8" w14:textId="77777777" w:rsidR="006658D3" w:rsidRDefault="006658D3" w:rsidP="00B63878">
      <w:pPr>
        <w:jc w:val="both"/>
      </w:pPr>
    </w:p>
    <w:p w14:paraId="6C563392" w14:textId="6E8E9D5D" w:rsidR="006658D3" w:rsidRPr="00257A1A" w:rsidRDefault="006658D3" w:rsidP="00B63878">
      <w:pPr>
        <w:jc w:val="both"/>
        <w:rPr>
          <w:rFonts w:ascii="Arial" w:hAnsi="Arial" w:cs="Arial"/>
          <w:b/>
          <w:bCs/>
        </w:rPr>
      </w:pPr>
      <w:r w:rsidRPr="00257A1A">
        <w:rPr>
          <w:rFonts w:ascii="Arial" w:hAnsi="Arial" w:cs="Arial"/>
          <w:b/>
          <w:bCs/>
        </w:rPr>
        <w:t xml:space="preserve">Student </w:t>
      </w:r>
      <w:r w:rsidR="00B63878" w:rsidRPr="00257A1A">
        <w:rPr>
          <w:rFonts w:ascii="Arial" w:hAnsi="Arial" w:cs="Arial"/>
          <w:b/>
          <w:bCs/>
        </w:rPr>
        <w:t>N</w:t>
      </w:r>
      <w:r w:rsidRPr="00257A1A">
        <w:rPr>
          <w:rFonts w:ascii="Arial" w:hAnsi="Arial" w:cs="Arial"/>
          <w:b/>
          <w:bCs/>
        </w:rPr>
        <w:t xml:space="preserve">ame: </w:t>
      </w:r>
      <w:r w:rsidR="00B63878" w:rsidRPr="00257A1A">
        <w:rPr>
          <w:rFonts w:ascii="Arial" w:hAnsi="Arial" w:cs="Arial"/>
          <w:b/>
          <w:bCs/>
        </w:rPr>
        <w:t>Mariana Cristina Tudor</w:t>
      </w:r>
    </w:p>
    <w:p w14:paraId="33A09BA1" w14:textId="4F394C11" w:rsidR="00B63878" w:rsidRDefault="00B63878" w:rsidP="00B63878">
      <w:pPr>
        <w:jc w:val="both"/>
        <w:rPr>
          <w:rFonts w:ascii="Arial" w:hAnsi="Arial" w:cs="Arial"/>
          <w:b/>
          <w:bCs/>
        </w:rPr>
      </w:pPr>
      <w:r w:rsidRPr="00257A1A">
        <w:rPr>
          <w:rFonts w:ascii="Arial" w:hAnsi="Arial" w:cs="Arial"/>
          <w:b/>
          <w:bCs/>
        </w:rPr>
        <w:t>Student Number: 2242927</w:t>
      </w:r>
    </w:p>
    <w:p w14:paraId="314E47ED" w14:textId="5986BB88" w:rsidR="00257A1A" w:rsidRPr="00257A1A" w:rsidRDefault="00257A1A" w:rsidP="00B63878">
      <w:pPr>
        <w:jc w:val="both"/>
        <w:rPr>
          <w:rFonts w:ascii="Arial" w:hAnsi="Arial" w:cs="Arial"/>
          <w:b/>
          <w:bCs/>
        </w:rPr>
      </w:pPr>
      <w:r>
        <w:rPr>
          <w:rFonts w:ascii="Arial" w:hAnsi="Arial" w:cs="Arial"/>
          <w:b/>
          <w:bCs/>
        </w:rPr>
        <w:t>Component 2: Report</w:t>
      </w:r>
    </w:p>
    <w:p w14:paraId="58C26545" w14:textId="34C25729" w:rsidR="00B63878" w:rsidRPr="00B63878" w:rsidRDefault="00B63878" w:rsidP="00B63878">
      <w:pPr>
        <w:jc w:val="both"/>
        <w:rPr>
          <w:rFonts w:ascii="Arial" w:hAnsi="Arial" w:cs="Arial"/>
          <w:b/>
          <w:bCs/>
        </w:rPr>
      </w:pPr>
      <w:r w:rsidRPr="00B63878">
        <w:rPr>
          <w:rFonts w:ascii="Arial" w:hAnsi="Arial" w:cs="Arial"/>
          <w:b/>
          <w:bCs/>
        </w:rPr>
        <w:t>Module: Health, Wellbeing and Sustainable Development</w:t>
      </w:r>
    </w:p>
    <w:p w14:paraId="0F3BF983" w14:textId="06B06CF6" w:rsidR="00B63878" w:rsidRPr="00B63878" w:rsidRDefault="00B63878" w:rsidP="00B63878">
      <w:pPr>
        <w:jc w:val="both"/>
        <w:rPr>
          <w:rFonts w:ascii="Arial" w:hAnsi="Arial" w:cs="Arial"/>
          <w:b/>
          <w:bCs/>
        </w:rPr>
      </w:pPr>
      <w:r w:rsidRPr="00B63878">
        <w:rPr>
          <w:rFonts w:ascii="Arial" w:hAnsi="Arial" w:cs="Arial"/>
          <w:b/>
          <w:bCs/>
        </w:rPr>
        <w:t>Module Code: BMHP6030</w:t>
      </w:r>
    </w:p>
    <w:p w14:paraId="265C672E" w14:textId="0501A390" w:rsidR="00B63878" w:rsidRPr="00B63878" w:rsidRDefault="00B63878" w:rsidP="00B63878">
      <w:pPr>
        <w:jc w:val="both"/>
        <w:rPr>
          <w:rFonts w:ascii="Arial" w:hAnsi="Arial" w:cs="Arial"/>
          <w:b/>
          <w:bCs/>
        </w:rPr>
      </w:pPr>
      <w:r w:rsidRPr="00B63878">
        <w:rPr>
          <w:rFonts w:ascii="Arial" w:hAnsi="Arial" w:cs="Arial"/>
          <w:b/>
          <w:bCs/>
        </w:rPr>
        <w:t>Lecturer Name: Zakiyyah Ahmed</w:t>
      </w:r>
    </w:p>
    <w:p w14:paraId="5F63DEFC" w14:textId="77777777" w:rsidR="006658D3" w:rsidRPr="00B63878" w:rsidRDefault="006658D3" w:rsidP="00B63878">
      <w:pPr>
        <w:jc w:val="both"/>
      </w:pPr>
    </w:p>
    <w:p w14:paraId="41C2E2A5" w14:textId="77777777" w:rsidR="006658D3" w:rsidRPr="00B63878" w:rsidRDefault="006658D3" w:rsidP="00B63878">
      <w:pPr>
        <w:jc w:val="both"/>
      </w:pPr>
    </w:p>
    <w:p w14:paraId="2E552E40" w14:textId="77777777" w:rsidR="006658D3" w:rsidRPr="00B63878" w:rsidRDefault="006658D3" w:rsidP="00B63878">
      <w:pPr>
        <w:jc w:val="both"/>
      </w:pPr>
    </w:p>
    <w:p w14:paraId="59D7D16D" w14:textId="77777777" w:rsidR="006658D3" w:rsidRPr="00B63878" w:rsidRDefault="006658D3" w:rsidP="00B63878">
      <w:pPr>
        <w:jc w:val="both"/>
      </w:pPr>
    </w:p>
    <w:p w14:paraId="1BADA11E" w14:textId="77777777" w:rsidR="006658D3" w:rsidRPr="00B63878" w:rsidRDefault="006658D3" w:rsidP="00B63878">
      <w:pPr>
        <w:jc w:val="both"/>
      </w:pPr>
    </w:p>
    <w:p w14:paraId="08418430" w14:textId="77777777" w:rsidR="006658D3" w:rsidRPr="00B63878" w:rsidRDefault="006658D3" w:rsidP="00B63878">
      <w:pPr>
        <w:jc w:val="both"/>
      </w:pPr>
    </w:p>
    <w:p w14:paraId="3C45CDBF" w14:textId="77777777" w:rsidR="006658D3" w:rsidRPr="00B63878" w:rsidRDefault="006658D3" w:rsidP="00B63878">
      <w:pPr>
        <w:jc w:val="both"/>
      </w:pPr>
    </w:p>
    <w:p w14:paraId="70AD9C72" w14:textId="77777777" w:rsidR="006658D3" w:rsidRPr="00B63878" w:rsidRDefault="006658D3" w:rsidP="00B63878">
      <w:pPr>
        <w:jc w:val="both"/>
      </w:pPr>
    </w:p>
    <w:p w14:paraId="7186C05B" w14:textId="77777777" w:rsidR="006658D3" w:rsidRPr="00B63878" w:rsidRDefault="006658D3" w:rsidP="00B63878">
      <w:pPr>
        <w:jc w:val="both"/>
      </w:pPr>
    </w:p>
    <w:p w14:paraId="423024F4" w14:textId="77777777" w:rsidR="006658D3" w:rsidRPr="00B63878" w:rsidRDefault="006658D3" w:rsidP="00B63878">
      <w:pPr>
        <w:jc w:val="both"/>
      </w:pPr>
    </w:p>
    <w:p w14:paraId="2E82B9A0" w14:textId="77777777" w:rsidR="006658D3" w:rsidRPr="00B63878" w:rsidRDefault="006658D3" w:rsidP="00B63878">
      <w:pPr>
        <w:jc w:val="both"/>
      </w:pPr>
    </w:p>
    <w:p w14:paraId="7D141DC9" w14:textId="77777777" w:rsidR="006658D3" w:rsidRPr="00B63878" w:rsidRDefault="006658D3" w:rsidP="00B63878">
      <w:pPr>
        <w:jc w:val="both"/>
      </w:pPr>
    </w:p>
    <w:p w14:paraId="13566FF8" w14:textId="77777777" w:rsidR="006658D3" w:rsidRPr="00B63878" w:rsidRDefault="006658D3" w:rsidP="00B63878">
      <w:pPr>
        <w:jc w:val="both"/>
      </w:pPr>
    </w:p>
    <w:p w14:paraId="346DB0BC" w14:textId="77777777" w:rsidR="006658D3" w:rsidRPr="00B63878" w:rsidRDefault="006658D3" w:rsidP="00B63878">
      <w:pPr>
        <w:jc w:val="both"/>
      </w:pPr>
    </w:p>
    <w:p w14:paraId="0542AA83" w14:textId="77777777" w:rsidR="006658D3" w:rsidRPr="00B63878" w:rsidRDefault="006658D3" w:rsidP="00B63878">
      <w:pPr>
        <w:jc w:val="both"/>
      </w:pPr>
    </w:p>
    <w:p w14:paraId="6FECC85D" w14:textId="77777777" w:rsidR="006658D3" w:rsidRPr="00B63878" w:rsidRDefault="006658D3" w:rsidP="00B63878">
      <w:pPr>
        <w:jc w:val="both"/>
      </w:pPr>
    </w:p>
    <w:p w14:paraId="5B545EAC" w14:textId="77777777" w:rsidR="006658D3" w:rsidRPr="00B63878" w:rsidRDefault="006658D3" w:rsidP="00B63878">
      <w:pPr>
        <w:jc w:val="both"/>
      </w:pPr>
    </w:p>
    <w:p w14:paraId="594AD8DC" w14:textId="77777777" w:rsidR="006658D3" w:rsidRPr="00B63878" w:rsidRDefault="006658D3" w:rsidP="00B63878">
      <w:pPr>
        <w:jc w:val="both"/>
      </w:pPr>
    </w:p>
    <w:p w14:paraId="4EFC1965" w14:textId="77777777" w:rsidR="006658D3" w:rsidRPr="00B63878" w:rsidRDefault="006658D3" w:rsidP="00B63878">
      <w:pPr>
        <w:jc w:val="both"/>
      </w:pPr>
    </w:p>
    <w:p w14:paraId="68A79714" w14:textId="77777777" w:rsidR="006658D3" w:rsidRPr="00B63878" w:rsidRDefault="006658D3" w:rsidP="00B63878">
      <w:pPr>
        <w:jc w:val="both"/>
      </w:pPr>
    </w:p>
    <w:p w14:paraId="5E7A2388" w14:textId="77777777" w:rsidR="006658D3" w:rsidRPr="00B63878" w:rsidRDefault="006658D3" w:rsidP="00B63878">
      <w:pPr>
        <w:jc w:val="both"/>
      </w:pPr>
    </w:p>
    <w:p w14:paraId="5EB7F7A3" w14:textId="77777777" w:rsidR="006658D3" w:rsidRPr="00B63878" w:rsidRDefault="006658D3" w:rsidP="00B63878">
      <w:pPr>
        <w:jc w:val="both"/>
      </w:pPr>
    </w:p>
    <w:p w14:paraId="7C062131" w14:textId="77777777" w:rsidR="006658D3" w:rsidRPr="00B63878" w:rsidRDefault="006658D3" w:rsidP="00B63878">
      <w:pPr>
        <w:jc w:val="both"/>
      </w:pPr>
    </w:p>
    <w:p w14:paraId="79805DA2" w14:textId="77777777" w:rsidR="006658D3" w:rsidRPr="00B63878" w:rsidRDefault="006658D3" w:rsidP="00B63878">
      <w:pPr>
        <w:jc w:val="both"/>
      </w:pPr>
    </w:p>
    <w:p w14:paraId="0A120364" w14:textId="77777777" w:rsidR="006658D3" w:rsidRPr="00B63878" w:rsidRDefault="006658D3" w:rsidP="00B63878">
      <w:pPr>
        <w:jc w:val="both"/>
      </w:pPr>
    </w:p>
    <w:p w14:paraId="016A4031" w14:textId="77777777" w:rsidR="006658D3" w:rsidRPr="00B63878" w:rsidRDefault="006658D3" w:rsidP="00B63878">
      <w:pPr>
        <w:jc w:val="both"/>
      </w:pPr>
    </w:p>
    <w:p w14:paraId="619FFEB0" w14:textId="77777777" w:rsidR="006658D3" w:rsidRPr="00B63878" w:rsidRDefault="006658D3" w:rsidP="00B63878">
      <w:pPr>
        <w:jc w:val="both"/>
      </w:pPr>
    </w:p>
    <w:p w14:paraId="431F8468" w14:textId="77777777" w:rsidR="00681724" w:rsidRPr="00B63878" w:rsidRDefault="00681724" w:rsidP="00B63878">
      <w:pPr>
        <w:spacing w:line="360" w:lineRule="auto"/>
        <w:jc w:val="both"/>
        <w:rPr>
          <w:rFonts w:ascii="Arial" w:hAnsi="Arial" w:cs="Arial"/>
          <w:b/>
          <w:bCs/>
        </w:rPr>
      </w:pPr>
    </w:p>
    <w:p w14:paraId="274F675E" w14:textId="13DA1BD0" w:rsidR="00681724" w:rsidRDefault="00257A1A" w:rsidP="00B63878">
      <w:pPr>
        <w:spacing w:line="360" w:lineRule="auto"/>
        <w:jc w:val="both"/>
        <w:rPr>
          <w:rFonts w:ascii="Arial" w:hAnsi="Arial" w:cs="Arial"/>
          <w:b/>
          <w:bCs/>
        </w:rPr>
      </w:pPr>
      <w:r w:rsidRPr="00257A1A">
        <w:rPr>
          <w:rFonts w:ascii="Arial" w:hAnsi="Arial" w:cs="Arial"/>
          <w:b/>
          <w:bCs/>
        </w:rPr>
        <w:t>An Analysis of Health and Wellbeing Policies in Relation to SDG 3 and SDG 10 at Multiple Levels</w:t>
      </w:r>
    </w:p>
    <w:p w14:paraId="41F500E9" w14:textId="77777777" w:rsidR="00257A1A" w:rsidRPr="00B63878" w:rsidRDefault="00257A1A" w:rsidP="00B63878">
      <w:pPr>
        <w:spacing w:line="360" w:lineRule="auto"/>
        <w:jc w:val="both"/>
        <w:rPr>
          <w:rFonts w:ascii="Arial" w:hAnsi="Arial" w:cs="Arial"/>
          <w:b/>
          <w:bCs/>
        </w:rPr>
      </w:pPr>
    </w:p>
    <w:p w14:paraId="455D55AC" w14:textId="55F14695" w:rsidR="00681724" w:rsidRPr="00B63878" w:rsidRDefault="00681724" w:rsidP="00B63878">
      <w:pPr>
        <w:spacing w:line="360" w:lineRule="auto"/>
        <w:jc w:val="both"/>
        <w:rPr>
          <w:rFonts w:ascii="Arial" w:hAnsi="Arial" w:cs="Arial"/>
          <w:b/>
          <w:bCs/>
        </w:rPr>
      </w:pPr>
      <w:r w:rsidRPr="00B63878">
        <w:rPr>
          <w:rFonts w:ascii="Arial" w:hAnsi="Arial" w:cs="Arial"/>
          <w:b/>
          <w:bCs/>
        </w:rPr>
        <w:t>Introduction</w:t>
      </w:r>
    </w:p>
    <w:p w14:paraId="0879E017" w14:textId="77777777" w:rsidR="00681724" w:rsidRPr="00681724" w:rsidRDefault="00681724" w:rsidP="00B63878">
      <w:pPr>
        <w:spacing w:line="360" w:lineRule="auto"/>
        <w:jc w:val="both"/>
        <w:rPr>
          <w:rFonts w:ascii="Arial" w:hAnsi="Arial" w:cs="Arial"/>
        </w:rPr>
      </w:pPr>
    </w:p>
    <w:p w14:paraId="7E938BAE" w14:textId="2AC27667" w:rsidR="00681724" w:rsidRPr="00681724" w:rsidRDefault="00681724" w:rsidP="00B63878">
      <w:pPr>
        <w:spacing w:line="360" w:lineRule="auto"/>
        <w:jc w:val="both"/>
        <w:rPr>
          <w:rFonts w:ascii="Arial" w:hAnsi="Arial" w:cs="Arial"/>
        </w:rPr>
      </w:pPr>
      <w:r w:rsidRPr="00681724">
        <w:rPr>
          <w:rFonts w:ascii="Arial" w:hAnsi="Arial" w:cs="Arial"/>
        </w:rPr>
        <w:t xml:space="preserve">Health, wellbeing and sustainability are </w:t>
      </w:r>
      <w:r w:rsidR="00257A1A">
        <w:rPr>
          <w:rFonts w:ascii="Arial" w:hAnsi="Arial" w:cs="Arial"/>
        </w:rPr>
        <w:t>joined</w:t>
      </w:r>
      <w:r w:rsidRPr="00681724">
        <w:rPr>
          <w:rFonts w:ascii="Arial" w:hAnsi="Arial" w:cs="Arial"/>
        </w:rPr>
        <w:t xml:space="preserve"> priorities within global policy agendas (UN, 2026; WHO, 2021; WHO, 2025). The United Nations Sustainable Development Goals (SDGs) </w:t>
      </w:r>
      <w:r w:rsidR="00257A1A">
        <w:rPr>
          <w:rFonts w:ascii="Arial" w:hAnsi="Arial" w:cs="Arial"/>
        </w:rPr>
        <w:t>offer</w:t>
      </w:r>
      <w:r w:rsidRPr="00681724">
        <w:rPr>
          <w:rFonts w:ascii="Arial" w:hAnsi="Arial" w:cs="Arial"/>
        </w:rPr>
        <w:t xml:space="preserve"> a </w:t>
      </w:r>
      <w:r w:rsidR="00257A1A">
        <w:rPr>
          <w:rFonts w:ascii="Arial" w:hAnsi="Arial" w:cs="Arial"/>
        </w:rPr>
        <w:t>structure</w:t>
      </w:r>
      <w:r w:rsidRPr="00681724">
        <w:rPr>
          <w:rFonts w:ascii="Arial" w:hAnsi="Arial" w:cs="Arial"/>
        </w:rPr>
        <w:t xml:space="preserve"> to </w:t>
      </w:r>
      <w:r w:rsidR="00257A1A">
        <w:rPr>
          <w:rFonts w:ascii="Arial" w:hAnsi="Arial" w:cs="Arial"/>
        </w:rPr>
        <w:t>tackle</w:t>
      </w:r>
      <w:r w:rsidRPr="00681724">
        <w:rPr>
          <w:rFonts w:ascii="Arial" w:hAnsi="Arial" w:cs="Arial"/>
        </w:rPr>
        <w:t xml:space="preserve"> </w:t>
      </w:r>
      <w:r w:rsidR="00257A1A">
        <w:rPr>
          <w:rFonts w:ascii="Arial" w:hAnsi="Arial" w:cs="Arial"/>
        </w:rPr>
        <w:t>global</w:t>
      </w:r>
      <w:r w:rsidRPr="00681724">
        <w:rPr>
          <w:rFonts w:ascii="Arial" w:hAnsi="Arial" w:cs="Arial"/>
        </w:rPr>
        <w:t xml:space="preserve"> challenges, with SDG 3 (Good Health and Wellbeing) focusing on health outcomes, while SDG 11 (Sustainable Cities and Communities) influences health through urban design, housing, transport and environmental conditions (UN, 2026).</w:t>
      </w:r>
    </w:p>
    <w:p w14:paraId="4A1BF84E" w14:textId="41C8579E" w:rsidR="00681724" w:rsidRPr="00681724" w:rsidRDefault="00257A1A" w:rsidP="00B63878">
      <w:pPr>
        <w:spacing w:line="360" w:lineRule="auto"/>
        <w:jc w:val="both"/>
        <w:rPr>
          <w:rFonts w:ascii="Arial" w:hAnsi="Arial" w:cs="Arial"/>
        </w:rPr>
      </w:pPr>
      <w:r w:rsidRPr="00257A1A">
        <w:rPr>
          <w:rFonts w:ascii="Arial" w:hAnsi="Arial" w:cs="Arial"/>
        </w:rPr>
        <w:t>The impact of SDG 3 and SDG 11 on health and wellbeing is critically explored across global, national and local contexts in this report</w:t>
      </w:r>
      <w:r w:rsidR="00681724" w:rsidRPr="00681724">
        <w:rPr>
          <w:rFonts w:ascii="Arial" w:hAnsi="Arial" w:cs="Arial"/>
        </w:rPr>
        <w:t>. It evaluates key policies, including WHO strategies, the HPV vaccination programme and local public health initiatives. The analysis applies the Social Determinants of Health</w:t>
      </w:r>
      <w:r w:rsidR="006658D3">
        <w:rPr>
          <w:rFonts w:ascii="Arial" w:hAnsi="Arial" w:cs="Arial"/>
        </w:rPr>
        <w:t xml:space="preserve"> (SDH)</w:t>
      </w:r>
      <w:r w:rsidR="00681724" w:rsidRPr="00681724">
        <w:rPr>
          <w:rFonts w:ascii="Arial" w:hAnsi="Arial" w:cs="Arial"/>
        </w:rPr>
        <w:t xml:space="preserve"> framework (Dahlgren &amp; Whitehead, 2021) and the </w:t>
      </w:r>
      <w:r w:rsidR="006658D3">
        <w:rPr>
          <w:rFonts w:ascii="Arial" w:hAnsi="Arial" w:cs="Arial"/>
        </w:rPr>
        <w:t>Health Belief Model (HBM)</w:t>
      </w:r>
      <w:r w:rsidR="00681724" w:rsidRPr="00681724">
        <w:rPr>
          <w:rFonts w:ascii="Arial" w:hAnsi="Arial" w:cs="Arial"/>
        </w:rPr>
        <w:t xml:space="preserve"> (Rosenstock, </w:t>
      </w:r>
      <w:proofErr w:type="spellStart"/>
      <w:r w:rsidR="00681724" w:rsidRPr="00681724">
        <w:rPr>
          <w:rFonts w:ascii="Arial" w:hAnsi="Arial" w:cs="Arial"/>
        </w:rPr>
        <w:t>Strecher</w:t>
      </w:r>
      <w:proofErr w:type="spellEnd"/>
      <w:r w:rsidR="00681724" w:rsidRPr="00681724">
        <w:rPr>
          <w:rFonts w:ascii="Arial" w:hAnsi="Arial" w:cs="Arial"/>
        </w:rPr>
        <w:t xml:space="preserve"> &amp; Becker, 1988) to assess policy effectiveness.</w:t>
      </w:r>
    </w:p>
    <w:p w14:paraId="76DA9AC2" w14:textId="77777777" w:rsidR="00681724" w:rsidRPr="00B63878" w:rsidRDefault="00681724" w:rsidP="00B63878">
      <w:pPr>
        <w:spacing w:line="360" w:lineRule="auto"/>
        <w:jc w:val="both"/>
        <w:rPr>
          <w:rFonts w:ascii="Arial" w:hAnsi="Arial" w:cs="Arial"/>
          <w:b/>
          <w:bCs/>
        </w:rPr>
      </w:pPr>
    </w:p>
    <w:p w14:paraId="7DCBCA56" w14:textId="2337EE13" w:rsidR="00681724" w:rsidRPr="00B63878" w:rsidRDefault="00681724" w:rsidP="00B63878">
      <w:pPr>
        <w:spacing w:line="360" w:lineRule="auto"/>
        <w:jc w:val="both"/>
        <w:rPr>
          <w:rFonts w:ascii="Arial" w:hAnsi="Arial" w:cs="Arial"/>
          <w:b/>
          <w:bCs/>
        </w:rPr>
      </w:pPr>
      <w:r w:rsidRPr="00B63878">
        <w:rPr>
          <w:rFonts w:ascii="Arial" w:hAnsi="Arial" w:cs="Arial"/>
          <w:b/>
          <w:bCs/>
        </w:rPr>
        <w:t>Section 1: SDG 3 – Good Health and Wellbeing at Global and UK Context</w:t>
      </w:r>
    </w:p>
    <w:p w14:paraId="1FFAD120" w14:textId="77777777" w:rsidR="00681724" w:rsidRPr="00681724" w:rsidRDefault="00681724" w:rsidP="00B63878">
      <w:pPr>
        <w:spacing w:line="360" w:lineRule="auto"/>
        <w:jc w:val="both"/>
        <w:rPr>
          <w:rFonts w:ascii="Arial" w:hAnsi="Arial" w:cs="Arial"/>
        </w:rPr>
      </w:pPr>
    </w:p>
    <w:p w14:paraId="37ABF6FF" w14:textId="2662C4A1" w:rsidR="00681724" w:rsidRPr="00681724" w:rsidRDefault="003E303C" w:rsidP="00B63878">
      <w:pPr>
        <w:spacing w:line="360" w:lineRule="auto"/>
        <w:jc w:val="both"/>
        <w:rPr>
          <w:rFonts w:ascii="Arial" w:hAnsi="Arial" w:cs="Arial"/>
        </w:rPr>
      </w:pPr>
      <w:r w:rsidRPr="003E303C">
        <w:rPr>
          <w:rFonts w:ascii="Arial" w:hAnsi="Arial" w:cs="Arial"/>
        </w:rPr>
        <w:t xml:space="preserve">SDG 3 seeks to promote health and wellbeing for individuals at every stage of life </w:t>
      </w:r>
      <w:r w:rsidR="00681724" w:rsidRPr="00681724">
        <w:rPr>
          <w:rFonts w:ascii="Arial" w:hAnsi="Arial" w:cs="Arial"/>
        </w:rPr>
        <w:t xml:space="preserve">(UN, 2026). Its </w:t>
      </w:r>
      <w:r w:rsidR="00257A1A">
        <w:rPr>
          <w:rFonts w:ascii="Arial" w:hAnsi="Arial" w:cs="Arial"/>
        </w:rPr>
        <w:t>aims</w:t>
      </w:r>
      <w:r w:rsidR="00681724" w:rsidRPr="00681724">
        <w:rPr>
          <w:rFonts w:ascii="Arial" w:hAnsi="Arial" w:cs="Arial"/>
        </w:rPr>
        <w:t xml:space="preserve"> include </w:t>
      </w:r>
      <w:r w:rsidR="00257A1A">
        <w:rPr>
          <w:rFonts w:ascii="Arial" w:hAnsi="Arial" w:cs="Arial"/>
        </w:rPr>
        <w:t>promoting</w:t>
      </w:r>
      <w:r w:rsidR="00257A1A" w:rsidRPr="00257A1A">
        <w:rPr>
          <w:rFonts w:ascii="Arial" w:hAnsi="Arial" w:cs="Arial"/>
        </w:rPr>
        <w:t xml:space="preserve"> mental health, </w:t>
      </w:r>
      <w:r w:rsidR="00681724" w:rsidRPr="00681724">
        <w:rPr>
          <w:rFonts w:ascii="Arial" w:hAnsi="Arial" w:cs="Arial"/>
        </w:rPr>
        <w:t>reducing premature mortality, and addressing non-communicable diseases (NCDs), with the broader aim of reducing health inequalities and improving quality of life (UN, 2026). However, achieving SDG 3 extends beyond healthcare provision. From SDH</w:t>
      </w:r>
      <w:r w:rsidR="006658D3">
        <w:rPr>
          <w:rFonts w:ascii="Arial" w:hAnsi="Arial" w:cs="Arial"/>
        </w:rPr>
        <w:t xml:space="preserve"> </w:t>
      </w:r>
      <w:r w:rsidR="006658D3" w:rsidRPr="00681724">
        <w:rPr>
          <w:rFonts w:ascii="Arial" w:hAnsi="Arial" w:cs="Arial"/>
        </w:rPr>
        <w:t>(Dahlgren &amp; Whitehead, 2021)</w:t>
      </w:r>
      <w:r w:rsidR="00681724" w:rsidRPr="00681724">
        <w:rPr>
          <w:rFonts w:ascii="Arial" w:hAnsi="Arial" w:cs="Arial"/>
        </w:rPr>
        <w:t xml:space="preserve"> perspective, health outcomes are shaped by wider social, economic and environmental factors, requiring policies that address both behavioural risks and structural inequalities (Marmot et al., 2020). This report therefore applies the SDH framework</w:t>
      </w:r>
      <w:r w:rsidR="006658D3">
        <w:rPr>
          <w:rFonts w:ascii="Arial" w:hAnsi="Arial" w:cs="Arial"/>
        </w:rPr>
        <w:t xml:space="preserve"> </w:t>
      </w:r>
      <w:r w:rsidR="006658D3" w:rsidRPr="00681724">
        <w:rPr>
          <w:rFonts w:ascii="Arial" w:hAnsi="Arial" w:cs="Arial"/>
        </w:rPr>
        <w:t>(Dahlgren &amp; Whitehead, 2021)</w:t>
      </w:r>
      <w:r w:rsidR="006658D3">
        <w:rPr>
          <w:rFonts w:ascii="Arial" w:hAnsi="Arial" w:cs="Arial"/>
        </w:rPr>
        <w:t xml:space="preserve"> </w:t>
      </w:r>
      <w:r w:rsidR="00681724" w:rsidRPr="00681724">
        <w:rPr>
          <w:rFonts w:ascii="Arial" w:hAnsi="Arial" w:cs="Arial"/>
        </w:rPr>
        <w:t xml:space="preserve">to analyse how structural conditions </w:t>
      </w:r>
      <w:r w:rsidR="00681724" w:rsidRPr="00681724">
        <w:rPr>
          <w:rFonts w:ascii="Arial" w:hAnsi="Arial" w:cs="Arial"/>
        </w:rPr>
        <w:lastRenderedPageBreak/>
        <w:t xml:space="preserve">influence health outcomes, alongside the </w:t>
      </w:r>
      <w:r w:rsidR="006658D3">
        <w:rPr>
          <w:rFonts w:ascii="Arial" w:hAnsi="Arial" w:cs="Arial"/>
        </w:rPr>
        <w:t xml:space="preserve">HBM </w:t>
      </w:r>
      <w:r w:rsidR="006658D3" w:rsidRPr="00681724">
        <w:rPr>
          <w:rFonts w:ascii="Arial" w:hAnsi="Arial" w:cs="Arial"/>
        </w:rPr>
        <w:t xml:space="preserve">(Rosenstock, </w:t>
      </w:r>
      <w:proofErr w:type="spellStart"/>
      <w:r w:rsidR="006658D3" w:rsidRPr="00681724">
        <w:rPr>
          <w:rFonts w:ascii="Arial" w:hAnsi="Arial" w:cs="Arial"/>
        </w:rPr>
        <w:t>Strecher</w:t>
      </w:r>
      <w:proofErr w:type="spellEnd"/>
      <w:r w:rsidR="006658D3" w:rsidRPr="00681724">
        <w:rPr>
          <w:rFonts w:ascii="Arial" w:hAnsi="Arial" w:cs="Arial"/>
        </w:rPr>
        <w:t xml:space="preserve"> &amp; Becker, 1988)</w:t>
      </w:r>
      <w:r w:rsidR="00681724" w:rsidRPr="00681724">
        <w:rPr>
          <w:rFonts w:ascii="Arial" w:hAnsi="Arial" w:cs="Arial"/>
        </w:rPr>
        <w:t xml:space="preserve"> to explain individual engagement with preventative interventions.</w:t>
      </w:r>
    </w:p>
    <w:p w14:paraId="040D850D" w14:textId="73B70D10" w:rsidR="00681724" w:rsidRPr="00681724" w:rsidRDefault="003E303C" w:rsidP="00B63878">
      <w:pPr>
        <w:spacing w:line="360" w:lineRule="auto"/>
        <w:jc w:val="both"/>
        <w:rPr>
          <w:rFonts w:ascii="Arial" w:hAnsi="Arial" w:cs="Arial"/>
        </w:rPr>
      </w:pPr>
      <w:r w:rsidRPr="003E303C">
        <w:rPr>
          <w:rFonts w:ascii="Arial" w:hAnsi="Arial" w:cs="Arial"/>
        </w:rPr>
        <w:t>Globally, an estimated 1.25 billion adults use tobacco, with prevalence decreasing from roughly 33% in 2000 to 20% by 2022 (WHO, 2024). Nevertheless, tobacco consumption continues to be a primary driver of avoidable morbidity and mortality, contributing to a wide range of non-communicable diseases, including cardiovascular, respiratory and oncological conditions (WHO, 2025a).</w:t>
      </w:r>
      <w:r>
        <w:rPr>
          <w:rFonts w:ascii="Arial" w:hAnsi="Arial" w:cs="Arial"/>
        </w:rPr>
        <w:t xml:space="preserve"> </w:t>
      </w:r>
      <w:r w:rsidR="00681724" w:rsidRPr="00681724">
        <w:rPr>
          <w:rFonts w:ascii="Arial" w:hAnsi="Arial" w:cs="Arial"/>
        </w:rPr>
        <w:t>WHO’s MPOWER strategy, a package of evidence-based tobacco control measures, has contributed to measurable reductions, with countries such as Brazil achieving a 35% decline since 2010 (WHO, 2024; WHO, 2025a; WHO, 2025b). This demonstrates that coordinated global action can reduce major NCD risk factors and support SDG 3 targets (WHO, 2024).</w:t>
      </w:r>
    </w:p>
    <w:p w14:paraId="3C12CD94" w14:textId="068BBB9A" w:rsidR="00681724" w:rsidRPr="00681724" w:rsidRDefault="00681724" w:rsidP="00B63878">
      <w:pPr>
        <w:spacing w:line="360" w:lineRule="auto"/>
        <w:jc w:val="both"/>
        <w:rPr>
          <w:rFonts w:ascii="Arial" w:hAnsi="Arial" w:cs="Arial"/>
        </w:rPr>
      </w:pPr>
      <w:r w:rsidRPr="00681724">
        <w:rPr>
          <w:rFonts w:ascii="Arial" w:hAnsi="Arial" w:cs="Arial"/>
        </w:rPr>
        <w:t xml:space="preserve">However, progress is uneven. </w:t>
      </w:r>
      <w:r w:rsidR="003E303C" w:rsidRPr="003E303C">
        <w:rPr>
          <w:rFonts w:ascii="Arial" w:hAnsi="Arial" w:cs="Arial"/>
        </w:rPr>
        <w:t>MPOWER measures currently protect about 6.1 billion people globally</w:t>
      </w:r>
      <w:r w:rsidR="003E303C">
        <w:rPr>
          <w:rFonts w:ascii="Arial" w:hAnsi="Arial" w:cs="Arial"/>
        </w:rPr>
        <w:t xml:space="preserve"> by at least one measure</w:t>
      </w:r>
      <w:r w:rsidR="003E303C" w:rsidRPr="003E303C">
        <w:rPr>
          <w:rFonts w:ascii="Arial" w:hAnsi="Arial" w:cs="Arial"/>
        </w:rPr>
        <w:t>; however, 40 countries have not yet adopted these interventions to best-practice levels (WHO, 2025b)</w:t>
      </w:r>
      <w:r w:rsidR="003E303C">
        <w:rPr>
          <w:rFonts w:ascii="Arial" w:hAnsi="Arial" w:cs="Arial"/>
        </w:rPr>
        <w:t xml:space="preserve">. </w:t>
      </w:r>
      <w:r w:rsidRPr="00681724">
        <w:rPr>
          <w:rFonts w:ascii="Arial" w:hAnsi="Arial" w:cs="Arial"/>
        </w:rPr>
        <w:t>This suggests effectiveness is contingent upon national capacity and political commitment. From an SDH</w:t>
      </w:r>
      <w:r w:rsidR="006658D3">
        <w:rPr>
          <w:rFonts w:ascii="Arial" w:hAnsi="Arial" w:cs="Arial"/>
        </w:rPr>
        <w:t xml:space="preserve"> </w:t>
      </w:r>
      <w:r w:rsidR="006658D3" w:rsidRPr="00681724">
        <w:rPr>
          <w:rFonts w:ascii="Arial" w:hAnsi="Arial" w:cs="Arial"/>
        </w:rPr>
        <w:t>(Dahlgren &amp; Whitehead, 2021)</w:t>
      </w:r>
      <w:r w:rsidRPr="00681724">
        <w:rPr>
          <w:rFonts w:ascii="Arial" w:hAnsi="Arial" w:cs="Arial"/>
        </w:rPr>
        <w:t xml:space="preserve"> perspective, tobacco use is shaped by income, education and policy environments rather than individual behaviour alone. Watson et al. (2023) and Lyle &amp; Hendrie (2024) further highlight that broader socioeconomic factors significantly influence smoking rates, indicating that behavioural regulation alone is insufficient. Consequently, global tobacco strategies may reduce prevalence overall but fail to address underlying inequalities, allowing tobacco-related morbidity and mortality to remain disproportionately concentrated among disadvantaged populations and limiting the long-term achievement of SDG 3 (WHO, 2025a).</w:t>
      </w:r>
    </w:p>
    <w:p w14:paraId="386580E8" w14:textId="77777777" w:rsidR="00681724" w:rsidRPr="00681724" w:rsidRDefault="00681724" w:rsidP="00B63878">
      <w:pPr>
        <w:spacing w:line="360" w:lineRule="auto"/>
        <w:jc w:val="both"/>
        <w:rPr>
          <w:rFonts w:ascii="Arial" w:hAnsi="Arial" w:cs="Arial"/>
        </w:rPr>
      </w:pPr>
    </w:p>
    <w:p w14:paraId="41379D23" w14:textId="33B50766" w:rsidR="00681724" w:rsidRPr="00681724" w:rsidRDefault="00681724" w:rsidP="00B63878">
      <w:pPr>
        <w:spacing w:line="360" w:lineRule="auto"/>
        <w:jc w:val="both"/>
        <w:rPr>
          <w:rFonts w:ascii="Arial" w:hAnsi="Arial" w:cs="Arial"/>
        </w:rPr>
      </w:pPr>
      <w:r w:rsidRPr="00681724">
        <w:rPr>
          <w:rFonts w:ascii="Arial" w:hAnsi="Arial" w:cs="Arial"/>
        </w:rPr>
        <w:t>At the national level, the HPV vaccination programme reflects SDG 3’s emphasis on prevention. It aims to reduce cervical cancer and other HPV-related diseases (NHS, 2026), which remain a significant cause of preventable morbidity and mortality (National Cancer Institute, 2025; Choi et al., 2023). Evidence from England shows strong clinical effectiveness, with vaccination associated with a 75% reduction in cervical cancer and a 31% reduction in cervical dysplasia (Ward et al., 2025). This demonstrates that national preventative interventions can deliver substantial improvements in population health.</w:t>
      </w:r>
    </w:p>
    <w:p w14:paraId="0D941771" w14:textId="53E8299B" w:rsidR="00681724" w:rsidRPr="00681724" w:rsidRDefault="00681724" w:rsidP="00B63878">
      <w:pPr>
        <w:spacing w:line="360" w:lineRule="auto"/>
        <w:jc w:val="both"/>
        <w:rPr>
          <w:rFonts w:ascii="Arial" w:hAnsi="Arial" w:cs="Arial"/>
        </w:rPr>
      </w:pPr>
      <w:r w:rsidRPr="00681724">
        <w:rPr>
          <w:rFonts w:ascii="Arial" w:hAnsi="Arial" w:cs="Arial"/>
        </w:rPr>
        <w:t xml:space="preserve">Nevertheless, population-level impact is constrained by inequalities in uptake. </w:t>
      </w:r>
      <w:proofErr w:type="spellStart"/>
      <w:r w:rsidRPr="00681724">
        <w:rPr>
          <w:rFonts w:ascii="Arial" w:hAnsi="Arial" w:cs="Arial"/>
        </w:rPr>
        <w:t>Karakusevic</w:t>
      </w:r>
      <w:proofErr w:type="spellEnd"/>
      <w:r w:rsidRPr="00681724">
        <w:rPr>
          <w:rFonts w:ascii="Arial" w:hAnsi="Arial" w:cs="Arial"/>
        </w:rPr>
        <w:t xml:space="preserve"> and Foss (2024) report declining vaccination rates post-COVID, influenced by hesitancy, mistrust and perceived risks. This can be explained through the </w:t>
      </w:r>
      <w:r w:rsidR="006658D3">
        <w:rPr>
          <w:rFonts w:ascii="Arial" w:hAnsi="Arial" w:cs="Arial"/>
        </w:rPr>
        <w:t xml:space="preserve">HBM </w:t>
      </w:r>
      <w:r w:rsidR="006658D3" w:rsidRPr="00681724">
        <w:rPr>
          <w:rFonts w:ascii="Arial" w:hAnsi="Arial" w:cs="Arial"/>
        </w:rPr>
        <w:t xml:space="preserve">(Rosenstock, </w:t>
      </w:r>
      <w:proofErr w:type="spellStart"/>
      <w:r w:rsidR="006658D3" w:rsidRPr="00681724">
        <w:rPr>
          <w:rFonts w:ascii="Arial" w:hAnsi="Arial" w:cs="Arial"/>
        </w:rPr>
        <w:t>Strecher</w:t>
      </w:r>
      <w:proofErr w:type="spellEnd"/>
      <w:r w:rsidR="006658D3" w:rsidRPr="00681724">
        <w:rPr>
          <w:rFonts w:ascii="Arial" w:hAnsi="Arial" w:cs="Arial"/>
        </w:rPr>
        <w:t xml:space="preserve"> &amp; Becker, 1988)</w:t>
      </w:r>
      <w:r w:rsidRPr="00681724">
        <w:rPr>
          <w:rFonts w:ascii="Arial" w:hAnsi="Arial" w:cs="Arial"/>
        </w:rPr>
        <w:t xml:space="preserve">, whereby perceived barriers such as fear of side effects, low perceived susceptibility, and lack of trust reduce engagement with vaccination despite its proven </w:t>
      </w:r>
      <w:r w:rsidRPr="00681724">
        <w:rPr>
          <w:rFonts w:ascii="Arial" w:hAnsi="Arial" w:cs="Arial"/>
        </w:rPr>
        <w:lastRenderedPageBreak/>
        <w:t>effectiveness. Bedford et al. (2021) and Choi et al., 2023 further identify lower uptake among deprived and minority ethnic groups, while Fisher et al. (2021) show that more flexible consent procedures can improve access. However, disparities persist, and uptake among boys remains below target due to misconceptions and limited awareness (</w:t>
      </w:r>
      <w:proofErr w:type="spellStart"/>
      <w:r w:rsidRPr="00681724">
        <w:rPr>
          <w:rFonts w:ascii="Arial" w:hAnsi="Arial" w:cs="Arial"/>
        </w:rPr>
        <w:t>Gaffiero</w:t>
      </w:r>
      <w:proofErr w:type="spellEnd"/>
      <w:r w:rsidRPr="00681724">
        <w:rPr>
          <w:rFonts w:ascii="Arial" w:hAnsi="Arial" w:cs="Arial"/>
        </w:rPr>
        <w:t xml:space="preserve"> et al., 2025). From an SDH</w:t>
      </w:r>
      <w:r w:rsidR="006658D3">
        <w:rPr>
          <w:rFonts w:ascii="Arial" w:hAnsi="Arial" w:cs="Arial"/>
        </w:rPr>
        <w:t xml:space="preserve"> </w:t>
      </w:r>
      <w:r w:rsidR="006658D3" w:rsidRPr="00681724">
        <w:rPr>
          <w:rFonts w:ascii="Arial" w:hAnsi="Arial" w:cs="Arial"/>
        </w:rPr>
        <w:t xml:space="preserve">(Dahlgren &amp; Whitehead, 2021) </w:t>
      </w:r>
      <w:r w:rsidRPr="00681724">
        <w:rPr>
          <w:rFonts w:ascii="Arial" w:hAnsi="Arial" w:cs="Arial"/>
        </w:rPr>
        <w:t>perspective, this indicates that although the programme is clinically effective, its benefits are unevenly distributed, resulting in disadvantaged populations being disproportionately exposed to preventable HPV-related diseases, experiencing delayed diagnosis and reduced access to early intervention, ultimately leading to higher morbidity and avoidable mortality.</w:t>
      </w:r>
    </w:p>
    <w:p w14:paraId="055407B8" w14:textId="77777777" w:rsidR="00681724" w:rsidRPr="00681724" w:rsidRDefault="00681724" w:rsidP="00B63878">
      <w:pPr>
        <w:spacing w:line="360" w:lineRule="auto"/>
        <w:jc w:val="both"/>
        <w:rPr>
          <w:rFonts w:ascii="Arial" w:hAnsi="Arial" w:cs="Arial"/>
        </w:rPr>
      </w:pPr>
    </w:p>
    <w:p w14:paraId="67148800" w14:textId="1981BEB6" w:rsidR="00681724" w:rsidRPr="00681724" w:rsidRDefault="00681724" w:rsidP="00B63878">
      <w:pPr>
        <w:spacing w:line="360" w:lineRule="auto"/>
        <w:jc w:val="both"/>
        <w:rPr>
          <w:rFonts w:ascii="Arial" w:hAnsi="Arial" w:cs="Arial"/>
        </w:rPr>
      </w:pPr>
      <w:r w:rsidRPr="00681724">
        <w:rPr>
          <w:rFonts w:ascii="Arial" w:hAnsi="Arial" w:cs="Arial"/>
        </w:rPr>
        <w:t xml:space="preserve">Physical inactivity is a major public health concern, associated with poorer mental wellbeing and identified as the fourth leading risk factor for global mortality (NHS England Digital, 2022; Harris, 2018). At the local level, Greater Manchester’s GM Moving strategy demonstrates a whole-system approach to improving health through physical activity (Grater Manchester Moving, 2026a). </w:t>
      </w:r>
    </w:p>
    <w:p w14:paraId="52227015" w14:textId="77777777" w:rsidR="00681724" w:rsidRPr="00681724" w:rsidRDefault="00681724" w:rsidP="00B63878">
      <w:pPr>
        <w:spacing w:line="360" w:lineRule="auto"/>
        <w:jc w:val="both"/>
        <w:rPr>
          <w:rFonts w:ascii="Arial" w:hAnsi="Arial" w:cs="Arial"/>
        </w:rPr>
      </w:pPr>
      <w:r w:rsidRPr="00681724">
        <w:rPr>
          <w:rFonts w:ascii="Arial" w:hAnsi="Arial" w:cs="Arial"/>
        </w:rPr>
        <w:t xml:space="preserve">It aligns with SDG 3 by promoting wellbeing and preventing NCDs (Local Government Association, 2026; Greater Manchester Moving, 2026a). Evidence shows inactivity among individuals with long-term conditions has decreased from 46.1% to 39.9%, alongside a narrowing inequality gap (Local Government Association, 2026). Additionally, investment in community physical activity generates approximately £4.38 in social value per £1 spent (Local Government Association, 2026), indicating wider societal benefits. </w:t>
      </w:r>
    </w:p>
    <w:p w14:paraId="1D2D8F70" w14:textId="74047EDD" w:rsidR="00681724" w:rsidRPr="00681724" w:rsidRDefault="00681724" w:rsidP="00B63878">
      <w:pPr>
        <w:spacing w:line="360" w:lineRule="auto"/>
        <w:jc w:val="both"/>
        <w:rPr>
          <w:rFonts w:ascii="Arial" w:hAnsi="Arial" w:cs="Arial"/>
        </w:rPr>
      </w:pPr>
      <w:r w:rsidRPr="00681724">
        <w:rPr>
          <w:rFonts w:ascii="Arial" w:hAnsi="Arial" w:cs="Arial"/>
        </w:rPr>
        <w:t>However, limitations remain. From an SDH</w:t>
      </w:r>
      <w:r w:rsidR="006658D3">
        <w:rPr>
          <w:rFonts w:ascii="Arial" w:hAnsi="Arial" w:cs="Arial"/>
        </w:rPr>
        <w:t xml:space="preserve"> </w:t>
      </w:r>
      <w:r w:rsidR="006658D3" w:rsidRPr="00681724">
        <w:rPr>
          <w:rFonts w:ascii="Arial" w:hAnsi="Arial" w:cs="Arial"/>
        </w:rPr>
        <w:t>(Dahlgren &amp; Whitehead, 2021)</w:t>
      </w:r>
      <w:r w:rsidRPr="00681724">
        <w:rPr>
          <w:rFonts w:ascii="Arial" w:hAnsi="Arial" w:cs="Arial"/>
        </w:rPr>
        <w:t xml:space="preserve"> perspective, physical activity is shaped by factors such as transport, accessibility and social environment (Greater Manchester Moving, 2026b; Local Government Association, 2026; Malkowski et al., 2025). Despite improvements, inequalities persist, suggesting that structural barriers such as deprivation and disability continue to limit participation (Local Government Association, 2026; Wills et al., 2025). Furthermore, the complexity of whole-system approaches makes it difficult to attribute outcomes to specific interventions, limiting robust evaluation (Wills et al., 2025). As a result, while GM Moving contributes to SDG 3, its effectiveness remains dependent on sustained investment and continued efforts to address structural inequalities.</w:t>
      </w:r>
    </w:p>
    <w:p w14:paraId="141032D6" w14:textId="0E32A9C7" w:rsidR="00681724" w:rsidRPr="00681724" w:rsidRDefault="00681724" w:rsidP="00B63878">
      <w:pPr>
        <w:spacing w:line="360" w:lineRule="auto"/>
        <w:jc w:val="both"/>
        <w:rPr>
          <w:rFonts w:ascii="Arial" w:hAnsi="Arial" w:cs="Arial"/>
        </w:rPr>
      </w:pPr>
      <w:r w:rsidRPr="00681724">
        <w:rPr>
          <w:rFonts w:ascii="Arial" w:hAnsi="Arial" w:cs="Arial"/>
        </w:rPr>
        <w:t xml:space="preserve">Overall, these examples demonstrate that while SDG 3 initiatives have achieved measurable improvements, their impact remains uneven and constrained by underlying social determinants. To enhance effectiveness, policies must move beyond behaviour-focused approaches and address structural factors such as poverty, education and access to services, which drive health inequalities (Marmot et al., 2020; WHO, 2021). National and local initiatives </w:t>
      </w:r>
      <w:r w:rsidRPr="00681724">
        <w:rPr>
          <w:rFonts w:ascii="Arial" w:hAnsi="Arial" w:cs="Arial"/>
        </w:rPr>
        <w:lastRenderedPageBreak/>
        <w:t xml:space="preserve">should adopt more inclusive and flexible delivery models to reduce disparities in uptake (Fisher et al., 2021; </w:t>
      </w:r>
      <w:proofErr w:type="spellStart"/>
      <w:r w:rsidRPr="00681724">
        <w:rPr>
          <w:rFonts w:ascii="Arial" w:hAnsi="Arial" w:cs="Arial"/>
        </w:rPr>
        <w:t>Karakusevic</w:t>
      </w:r>
      <w:proofErr w:type="spellEnd"/>
      <w:r w:rsidRPr="00681724">
        <w:rPr>
          <w:rFonts w:ascii="Arial" w:hAnsi="Arial" w:cs="Arial"/>
        </w:rPr>
        <w:t xml:space="preserve"> and Foss, 2024), alongside stronger evaluation frameworks to assess both overall and distributional outcomes (Wills et al., 2025). Without such changes, progress towards SDG 3 will remain uneven, disproportionately benefiting more advantaged populations.</w:t>
      </w:r>
    </w:p>
    <w:p w14:paraId="4C7AE853" w14:textId="77777777" w:rsidR="00681724" w:rsidRPr="00681724" w:rsidRDefault="00681724" w:rsidP="00B63878">
      <w:pPr>
        <w:spacing w:line="360" w:lineRule="auto"/>
        <w:jc w:val="both"/>
        <w:rPr>
          <w:rFonts w:ascii="Arial" w:hAnsi="Arial" w:cs="Arial"/>
        </w:rPr>
      </w:pPr>
      <w:r w:rsidRPr="00681724">
        <w:rPr>
          <w:rFonts w:ascii="Arial" w:hAnsi="Arial" w:cs="Arial"/>
        </w:rPr>
        <w:t>If effectively implemented, these measures could reduce health inequalities, improve wellbeing and lower the burden of non-communicable diseases, supporting progress towards SDG 3.</w:t>
      </w:r>
    </w:p>
    <w:p w14:paraId="1670A9E8" w14:textId="77777777" w:rsidR="00681724" w:rsidRPr="00681724" w:rsidRDefault="00681724" w:rsidP="00B63878">
      <w:pPr>
        <w:spacing w:line="360" w:lineRule="auto"/>
        <w:jc w:val="both"/>
        <w:rPr>
          <w:rFonts w:ascii="Arial" w:hAnsi="Arial" w:cs="Arial"/>
        </w:rPr>
      </w:pPr>
    </w:p>
    <w:p w14:paraId="7B32D509" w14:textId="77777777" w:rsidR="00681724" w:rsidRPr="00B63878" w:rsidRDefault="00681724" w:rsidP="00B63878">
      <w:pPr>
        <w:spacing w:line="360" w:lineRule="auto"/>
        <w:jc w:val="both"/>
        <w:rPr>
          <w:rFonts w:ascii="Arial" w:hAnsi="Arial" w:cs="Arial"/>
          <w:b/>
          <w:bCs/>
        </w:rPr>
      </w:pPr>
    </w:p>
    <w:p w14:paraId="6823BD78" w14:textId="0616ECEA" w:rsidR="00681724" w:rsidRPr="00B63878" w:rsidRDefault="00681724" w:rsidP="00B63878">
      <w:pPr>
        <w:spacing w:line="360" w:lineRule="auto"/>
        <w:jc w:val="both"/>
        <w:rPr>
          <w:rFonts w:ascii="Arial" w:hAnsi="Arial" w:cs="Arial"/>
          <w:b/>
          <w:bCs/>
        </w:rPr>
      </w:pPr>
      <w:r w:rsidRPr="00B63878">
        <w:rPr>
          <w:rFonts w:ascii="Arial" w:hAnsi="Arial" w:cs="Arial"/>
          <w:b/>
          <w:bCs/>
        </w:rPr>
        <w:t>Section 2: SDG 11 – Sustainable Cities and Communities in Global and UK Context</w:t>
      </w:r>
    </w:p>
    <w:p w14:paraId="3E288088" w14:textId="77777777" w:rsidR="00681724" w:rsidRPr="00681724" w:rsidRDefault="00681724" w:rsidP="00B63878">
      <w:pPr>
        <w:spacing w:line="360" w:lineRule="auto"/>
        <w:jc w:val="both"/>
        <w:rPr>
          <w:rFonts w:ascii="Arial" w:hAnsi="Arial" w:cs="Arial"/>
        </w:rPr>
      </w:pPr>
    </w:p>
    <w:p w14:paraId="32D7B660" w14:textId="4FE45AFD" w:rsidR="00681724" w:rsidRPr="00681724" w:rsidRDefault="002F58C7" w:rsidP="00B63878">
      <w:pPr>
        <w:spacing w:line="360" w:lineRule="auto"/>
        <w:jc w:val="both"/>
        <w:rPr>
          <w:rFonts w:ascii="Arial" w:hAnsi="Arial" w:cs="Arial"/>
        </w:rPr>
      </w:pPr>
      <w:r w:rsidRPr="002F58C7">
        <w:rPr>
          <w:rFonts w:ascii="Arial" w:hAnsi="Arial" w:cs="Arial"/>
        </w:rPr>
        <w:t>SDG 11 aims to improve the quality of urban living by promoting inclusive, safe and sustainable cities and communities</w:t>
      </w:r>
      <w:r w:rsidR="00681724" w:rsidRPr="00681724">
        <w:rPr>
          <w:rFonts w:ascii="Arial" w:hAnsi="Arial" w:cs="Arial"/>
        </w:rPr>
        <w:t xml:space="preserve"> (UN, 2026). It </w:t>
      </w:r>
      <w:r>
        <w:rPr>
          <w:rFonts w:ascii="Arial" w:hAnsi="Arial" w:cs="Arial"/>
        </w:rPr>
        <w:t>empathises</w:t>
      </w:r>
      <w:r w:rsidR="00681724" w:rsidRPr="00681724">
        <w:rPr>
          <w:rFonts w:ascii="Arial" w:hAnsi="Arial" w:cs="Arial"/>
        </w:rPr>
        <w:t xml:space="preserve"> on key areas including access to safe housing, sustainable transport systems, reduced environmental impact, and improved urban planning (UN, 2026). Although not explicitly health-focused, SDG 11 has significant implications for population health. Urban environments shape exposure to health risk factors such as air pollution, physical inactivity and social exclusion, all of which contribute to health inequalities, poorer population health outcomes, non-communicable diseases and premature mortality (Cacciatore et al., 2025; WHO, 2026). </w:t>
      </w:r>
    </w:p>
    <w:p w14:paraId="187C59F8" w14:textId="77777777" w:rsidR="00681724" w:rsidRPr="00681724" w:rsidRDefault="00681724" w:rsidP="00B63878">
      <w:pPr>
        <w:spacing w:line="360" w:lineRule="auto"/>
        <w:jc w:val="both"/>
        <w:rPr>
          <w:rFonts w:ascii="Arial" w:hAnsi="Arial" w:cs="Arial"/>
        </w:rPr>
      </w:pPr>
    </w:p>
    <w:p w14:paraId="31724A96" w14:textId="77777777" w:rsidR="00681724" w:rsidRPr="00681724" w:rsidRDefault="00681724" w:rsidP="00B63878">
      <w:pPr>
        <w:spacing w:line="360" w:lineRule="auto"/>
        <w:jc w:val="both"/>
        <w:rPr>
          <w:rFonts w:ascii="Arial" w:hAnsi="Arial" w:cs="Arial"/>
        </w:rPr>
      </w:pPr>
      <w:r w:rsidRPr="00681724">
        <w:rPr>
          <w:rFonts w:ascii="Arial" w:hAnsi="Arial" w:cs="Arial"/>
        </w:rPr>
        <w:t>At the global level, the World Health Organization’s Urban Green Spaces and Health framework represents a key SDG 11 initiative with direct implications for SDG 3 (Egorov et al., 2016). The framework promotes the integration of green infrastructure into urban planning to enhance environmental quality and population wellbeing (Egorov et al., 2016). Evidence indicates that access to green space is associated with increased physical activity, improved mental health, and reduced risk of non-communicable diseases (Banwell, Michel &amp; Senn, 2024; Hunter et al., 2023). In addition, green infrastructure can reduce exposure to air pollution and urban heat, both of which contribute significantly to global morbidity and mortality (Banwell, Michel &amp; Senn, 2024; Nazish, Abbas &amp; Sattar, 2024). These findings demonstrate how sustainable urban environments can support disease prevention and wellbeing.</w:t>
      </w:r>
    </w:p>
    <w:p w14:paraId="3E747548" w14:textId="41492F52" w:rsidR="00681724" w:rsidRPr="00681724" w:rsidRDefault="00681724" w:rsidP="00B63878">
      <w:pPr>
        <w:spacing w:line="360" w:lineRule="auto"/>
        <w:jc w:val="both"/>
        <w:rPr>
          <w:rFonts w:ascii="Arial" w:hAnsi="Arial" w:cs="Arial"/>
        </w:rPr>
      </w:pPr>
      <w:r w:rsidRPr="00681724">
        <w:rPr>
          <w:rFonts w:ascii="Arial" w:hAnsi="Arial" w:cs="Arial"/>
        </w:rPr>
        <w:t>However, its effectiveness is uneven. From an SDH</w:t>
      </w:r>
      <w:r w:rsidR="006658D3">
        <w:rPr>
          <w:rFonts w:ascii="Arial" w:hAnsi="Arial" w:cs="Arial"/>
        </w:rPr>
        <w:t xml:space="preserve"> </w:t>
      </w:r>
      <w:r w:rsidR="006658D3" w:rsidRPr="00681724">
        <w:rPr>
          <w:rFonts w:ascii="Arial" w:hAnsi="Arial" w:cs="Arial"/>
        </w:rPr>
        <w:t>(Dahlgren &amp; Whitehead, 2021)</w:t>
      </w:r>
      <w:r w:rsidRPr="00681724">
        <w:rPr>
          <w:rFonts w:ascii="Arial" w:hAnsi="Arial" w:cs="Arial"/>
        </w:rPr>
        <w:t xml:space="preserve"> perspective, access to high-quality green space is socially patterned, with disadvantaged </w:t>
      </w:r>
      <w:r w:rsidRPr="00681724">
        <w:rPr>
          <w:rFonts w:ascii="Arial" w:hAnsi="Arial" w:cs="Arial"/>
        </w:rPr>
        <w:lastRenderedPageBreak/>
        <w:t xml:space="preserve">populations less likely to benefit (Bao, Bai &amp; Geng, 2023; Hunter et al., 2019). This reinforces health inequalities, as those most at risk remain least able to access protective environments. Furthermore, the </w:t>
      </w:r>
      <w:r w:rsidR="006658D3">
        <w:rPr>
          <w:rFonts w:ascii="Arial" w:hAnsi="Arial" w:cs="Arial"/>
        </w:rPr>
        <w:t xml:space="preserve">HBM </w:t>
      </w:r>
      <w:r w:rsidR="006658D3" w:rsidRPr="00681724">
        <w:rPr>
          <w:rFonts w:ascii="Arial" w:hAnsi="Arial" w:cs="Arial"/>
        </w:rPr>
        <w:t xml:space="preserve">(Rosenstock, </w:t>
      </w:r>
      <w:proofErr w:type="spellStart"/>
      <w:r w:rsidR="006658D3" w:rsidRPr="00681724">
        <w:rPr>
          <w:rFonts w:ascii="Arial" w:hAnsi="Arial" w:cs="Arial"/>
        </w:rPr>
        <w:t>Strecher</w:t>
      </w:r>
      <w:proofErr w:type="spellEnd"/>
      <w:r w:rsidR="006658D3" w:rsidRPr="00681724">
        <w:rPr>
          <w:rFonts w:ascii="Arial" w:hAnsi="Arial" w:cs="Arial"/>
        </w:rPr>
        <w:t xml:space="preserve"> &amp; Becker, 1988)</w:t>
      </w:r>
      <w:r w:rsidRPr="00681724">
        <w:rPr>
          <w:rFonts w:ascii="Arial" w:hAnsi="Arial" w:cs="Arial"/>
        </w:rPr>
        <w:t xml:space="preserve"> suggests that availability alone may not lead to behaviour change, as perceived barriers such as safety concerns and mental health illnesses may limit engagement (Hunter et al., 2019). Consequently, while the framework supports SDG 3 outcomes, its impact is constrained by both structural inequalities and behavioural factors.</w:t>
      </w:r>
    </w:p>
    <w:p w14:paraId="433C62C6" w14:textId="2D65B739" w:rsidR="00681724" w:rsidRPr="00681724" w:rsidRDefault="00681724" w:rsidP="00B63878">
      <w:pPr>
        <w:spacing w:line="360" w:lineRule="auto"/>
        <w:jc w:val="both"/>
        <w:rPr>
          <w:rFonts w:ascii="Arial" w:hAnsi="Arial" w:cs="Arial"/>
        </w:rPr>
      </w:pPr>
      <w:r w:rsidRPr="00681724">
        <w:rPr>
          <w:rFonts w:ascii="Arial" w:hAnsi="Arial" w:cs="Arial"/>
        </w:rPr>
        <w:t>At the national level, the UK Government’s Gear Change: A Bold Vision for Cycling and Walking (UK Government, 2020) reflects SDG 11 through its focus on sustainable urban mobility and active travel infrastructure (UN, 2026). The strategy aims to make walking and cycling the “natural first choice” for short journeys, reducing reliance on motorised transport and improving environmental sustainability (UK Government, 2020). It contributes to SDG 3, as increased physical activity is associated with reduced risk of obesity</w:t>
      </w:r>
      <w:r w:rsidR="002F58C7">
        <w:rPr>
          <w:rFonts w:ascii="Arial" w:hAnsi="Arial" w:cs="Arial"/>
        </w:rPr>
        <w:t xml:space="preserve">, cardiovascular disease </w:t>
      </w:r>
      <w:r w:rsidRPr="00681724">
        <w:rPr>
          <w:rFonts w:ascii="Arial" w:hAnsi="Arial" w:cs="Arial"/>
        </w:rPr>
        <w:t>and poor mental health (Banwell, Michel and Senn, 2024; Hunter et al., 2023).</w:t>
      </w:r>
    </w:p>
    <w:p w14:paraId="482E8271" w14:textId="64C967CF" w:rsidR="00681724" w:rsidRPr="00681724" w:rsidRDefault="00681724" w:rsidP="00B63878">
      <w:pPr>
        <w:spacing w:line="360" w:lineRule="auto"/>
        <w:jc w:val="both"/>
        <w:rPr>
          <w:rFonts w:ascii="Arial" w:hAnsi="Arial" w:cs="Arial"/>
        </w:rPr>
      </w:pPr>
      <w:r w:rsidRPr="00681724">
        <w:rPr>
          <w:rFonts w:ascii="Arial" w:hAnsi="Arial" w:cs="Arial"/>
        </w:rPr>
        <w:t>From a SDH</w:t>
      </w:r>
      <w:r w:rsidR="006658D3">
        <w:rPr>
          <w:rFonts w:ascii="Arial" w:hAnsi="Arial" w:cs="Arial"/>
        </w:rPr>
        <w:t xml:space="preserve"> </w:t>
      </w:r>
      <w:r w:rsidR="006658D3" w:rsidRPr="00681724">
        <w:rPr>
          <w:rFonts w:ascii="Arial" w:hAnsi="Arial" w:cs="Arial"/>
        </w:rPr>
        <w:t>(Dahlgren &amp; Whitehead, 2021)</w:t>
      </w:r>
      <w:r w:rsidRPr="00681724">
        <w:rPr>
          <w:rFonts w:ascii="Arial" w:hAnsi="Arial" w:cs="Arial"/>
        </w:rPr>
        <w:t xml:space="preserve"> perspective, Gear Change seeks to improve environmental conditions through enhanced infrastructure, accessibility and urban design (UK Government, 2020). Evidence highlights benefits including increased active travel, reduced traffic, improved air quality and enhanced road safety (UK Government, 2021). However, its effectiveness is uneven, as infrastructure-led approaches alone may not sustain behaviour change or address wider social inequalities (Marmot et al., 2020; Malkowski et al., 2025).</w:t>
      </w:r>
    </w:p>
    <w:p w14:paraId="627C277F" w14:textId="3BBA6F22" w:rsidR="00681724" w:rsidRPr="00681724" w:rsidRDefault="00681724" w:rsidP="00B63878">
      <w:pPr>
        <w:spacing w:line="360" w:lineRule="auto"/>
        <w:jc w:val="both"/>
        <w:rPr>
          <w:rFonts w:ascii="Arial" w:hAnsi="Arial" w:cs="Arial"/>
        </w:rPr>
      </w:pPr>
      <w:r w:rsidRPr="00681724">
        <w:rPr>
          <w:rFonts w:ascii="Arial" w:hAnsi="Arial" w:cs="Arial"/>
        </w:rPr>
        <w:t>Lawlor et al. (2021) found that active travel engagement is shaped by individual and socioeconomic factors such as self-efficacy, health status and housing, indicating the need for targeted rather than universal interventions. This is reinforced by Gear Change, which identifies safety concerns as a key barrier and emphasises complementary measures beyond infrastructure (UK Government, 2021).</w:t>
      </w:r>
    </w:p>
    <w:p w14:paraId="497AC193" w14:textId="7889A768" w:rsidR="00681724" w:rsidRPr="00681724" w:rsidRDefault="00681724" w:rsidP="00B63878">
      <w:pPr>
        <w:spacing w:line="360" w:lineRule="auto"/>
        <w:jc w:val="both"/>
        <w:rPr>
          <w:rFonts w:ascii="Arial" w:hAnsi="Arial" w:cs="Arial"/>
        </w:rPr>
      </w:pPr>
      <w:r w:rsidRPr="00681724">
        <w:rPr>
          <w:rFonts w:ascii="Arial" w:hAnsi="Arial" w:cs="Arial"/>
        </w:rPr>
        <w:t xml:space="preserve">National guidance further highlights persistent environmental barriers, showing that unsafe street design—such as high traffic speeds, poor crossings and inadequate cycle infrastructure—discourages participation (UK Government, 2025). Consistent with the </w:t>
      </w:r>
      <w:r w:rsidR="006658D3">
        <w:rPr>
          <w:rFonts w:ascii="Arial" w:hAnsi="Arial" w:cs="Arial"/>
        </w:rPr>
        <w:t xml:space="preserve">HBM </w:t>
      </w:r>
      <w:r w:rsidR="006658D3" w:rsidRPr="00681724">
        <w:rPr>
          <w:rFonts w:ascii="Arial" w:hAnsi="Arial" w:cs="Arial"/>
        </w:rPr>
        <w:t xml:space="preserve">(Rosenstock, </w:t>
      </w:r>
      <w:proofErr w:type="spellStart"/>
      <w:r w:rsidR="006658D3" w:rsidRPr="00681724">
        <w:rPr>
          <w:rFonts w:ascii="Arial" w:hAnsi="Arial" w:cs="Arial"/>
        </w:rPr>
        <w:t>Strecher</w:t>
      </w:r>
      <w:proofErr w:type="spellEnd"/>
      <w:r w:rsidR="006658D3" w:rsidRPr="00681724">
        <w:rPr>
          <w:rFonts w:ascii="Arial" w:hAnsi="Arial" w:cs="Arial"/>
        </w:rPr>
        <w:t xml:space="preserve"> &amp; Becker, 1988)</w:t>
      </w:r>
      <w:r w:rsidR="006658D3">
        <w:rPr>
          <w:rFonts w:ascii="Arial" w:hAnsi="Arial" w:cs="Arial"/>
        </w:rPr>
        <w:t xml:space="preserve">, </w:t>
      </w:r>
      <w:r w:rsidRPr="00681724">
        <w:rPr>
          <w:rFonts w:ascii="Arial" w:hAnsi="Arial" w:cs="Arial"/>
        </w:rPr>
        <w:t xml:space="preserve">perceived barriers including fear of traffic, low confidence and time constraints reduce engagement despite available infrastructure (Rosenstock, </w:t>
      </w:r>
      <w:proofErr w:type="spellStart"/>
      <w:r w:rsidRPr="00681724">
        <w:rPr>
          <w:rFonts w:ascii="Arial" w:hAnsi="Arial" w:cs="Arial"/>
        </w:rPr>
        <w:t>Strecher</w:t>
      </w:r>
      <w:proofErr w:type="spellEnd"/>
      <w:r w:rsidRPr="00681724">
        <w:rPr>
          <w:rFonts w:ascii="Arial" w:hAnsi="Arial" w:cs="Arial"/>
        </w:rPr>
        <w:t xml:space="preserve"> and Becker, 1988; UK Government, 2025).</w:t>
      </w:r>
    </w:p>
    <w:p w14:paraId="0560FDA5" w14:textId="77777777" w:rsidR="00681724" w:rsidRPr="00681724" w:rsidRDefault="00681724" w:rsidP="00B63878">
      <w:pPr>
        <w:spacing w:line="360" w:lineRule="auto"/>
        <w:jc w:val="both"/>
        <w:rPr>
          <w:rFonts w:ascii="Arial" w:hAnsi="Arial" w:cs="Arial"/>
        </w:rPr>
      </w:pPr>
      <w:r w:rsidRPr="00681724">
        <w:rPr>
          <w:rFonts w:ascii="Arial" w:hAnsi="Arial" w:cs="Arial"/>
        </w:rPr>
        <w:t>Structural inequalities further shape participation, with disadvantaged groups facing greater barriers to active travel (Malkowski et al., 2025). Consequently, participation remains uneven across gender, age and deprivation despite clear health benefits (Walk Wheel Cycle Trust, 2025; Ahmed and Babakir-Mina, 2021).</w:t>
      </w:r>
    </w:p>
    <w:p w14:paraId="74EF633A" w14:textId="77777777" w:rsidR="00681724" w:rsidRPr="00681724" w:rsidRDefault="00681724" w:rsidP="00B63878">
      <w:pPr>
        <w:spacing w:line="360" w:lineRule="auto"/>
        <w:jc w:val="both"/>
        <w:rPr>
          <w:rFonts w:ascii="Arial" w:hAnsi="Arial" w:cs="Arial"/>
        </w:rPr>
      </w:pPr>
    </w:p>
    <w:p w14:paraId="126A2144" w14:textId="1DA06C35" w:rsidR="00681724" w:rsidRPr="00681724" w:rsidRDefault="00681724" w:rsidP="00B63878">
      <w:pPr>
        <w:spacing w:line="360" w:lineRule="auto"/>
        <w:jc w:val="both"/>
        <w:rPr>
          <w:rFonts w:ascii="Arial" w:hAnsi="Arial" w:cs="Arial"/>
        </w:rPr>
      </w:pPr>
      <w:r w:rsidRPr="00681724">
        <w:rPr>
          <w:rFonts w:ascii="Arial" w:hAnsi="Arial" w:cs="Arial"/>
        </w:rPr>
        <w:t xml:space="preserve">At the local level, the Zero Emission Buses Regional Area (ZEBRA) project in Plymouth and South-East Cornwall demonstrates how SDG 11 (UN, 2026) can be implemented through place-based policy. The project introduces 50 zero-emission buses to reduce carbon emissions, improve air quality and enhance transport accessibility (Local Government Association, 2025). By targeting a major source of urban pollution, it supports environmental sustainability and contributes to SDG 3, as improved air quality is linked to reduced respiratory and cardiovascular disease (UN, 2026; UK Government, 2018). From an SDH </w:t>
      </w:r>
      <w:r w:rsidR="006658D3" w:rsidRPr="00681724">
        <w:rPr>
          <w:rFonts w:ascii="Arial" w:hAnsi="Arial" w:cs="Arial"/>
        </w:rPr>
        <w:t xml:space="preserve">(Dahlgren &amp; Whitehead, 2021) </w:t>
      </w:r>
      <w:r w:rsidRPr="00681724">
        <w:rPr>
          <w:rFonts w:ascii="Arial" w:hAnsi="Arial" w:cs="Arial"/>
        </w:rPr>
        <w:t>perspective, it improves environmental conditions and accessibility, particularly for populations without private vehicles (Local Government Association, 2025).</w:t>
      </w:r>
    </w:p>
    <w:p w14:paraId="4A152F0B" w14:textId="5AEE32CC" w:rsidR="00681724" w:rsidRPr="00681724" w:rsidRDefault="00681724" w:rsidP="00B63878">
      <w:pPr>
        <w:spacing w:line="360" w:lineRule="auto"/>
        <w:jc w:val="both"/>
        <w:rPr>
          <w:rFonts w:ascii="Arial" w:hAnsi="Arial" w:cs="Arial"/>
        </w:rPr>
      </w:pPr>
      <w:r w:rsidRPr="00681724">
        <w:rPr>
          <w:rFonts w:ascii="Arial" w:hAnsi="Arial" w:cs="Arial"/>
        </w:rPr>
        <w:t>The initiative highlights the role of public transport in reducing inequalities, as many households in Plymouth lack access to a car and depend on affordable transport for employment, healthcare and services (Local Government Association, 2025). Improved bus provision can therefore support social inclusion and wider determinants of health.</w:t>
      </w:r>
    </w:p>
    <w:p w14:paraId="747D9A79" w14:textId="7F1FA707" w:rsidR="00681724" w:rsidRPr="00681724" w:rsidRDefault="00681724" w:rsidP="00B63878">
      <w:pPr>
        <w:spacing w:line="360" w:lineRule="auto"/>
        <w:jc w:val="both"/>
        <w:rPr>
          <w:rFonts w:ascii="Arial" w:hAnsi="Arial" w:cs="Arial"/>
        </w:rPr>
      </w:pPr>
      <w:r w:rsidRPr="00681724">
        <w:rPr>
          <w:rFonts w:ascii="Arial" w:hAnsi="Arial" w:cs="Arial"/>
        </w:rPr>
        <w:t>However, the project represents a partial approach to SDG 11. It prioritises transport decarbonisation but does not address other key components of sustainable urban environments, such as green space, active travel infrastructure or wider urban design (UN, 2026; Local Government Association, 2025), nor the integration of renewable energy and smart technologies (</w:t>
      </w:r>
      <w:proofErr w:type="spellStart"/>
      <w:r w:rsidRPr="00681724">
        <w:rPr>
          <w:rFonts w:ascii="Arial" w:hAnsi="Arial" w:cs="Arial"/>
        </w:rPr>
        <w:t>Fatorachian</w:t>
      </w:r>
      <w:proofErr w:type="spellEnd"/>
      <w:r w:rsidRPr="00681724">
        <w:rPr>
          <w:rFonts w:ascii="Arial" w:hAnsi="Arial" w:cs="Arial"/>
        </w:rPr>
        <w:t xml:space="preserve"> and Kazemi, 2025).</w:t>
      </w:r>
    </w:p>
    <w:p w14:paraId="119C0DF2" w14:textId="02535A43" w:rsidR="00681724" w:rsidRPr="00681724" w:rsidRDefault="00681724" w:rsidP="00B63878">
      <w:pPr>
        <w:spacing w:line="360" w:lineRule="auto"/>
        <w:jc w:val="both"/>
        <w:rPr>
          <w:rFonts w:ascii="Arial" w:hAnsi="Arial" w:cs="Arial"/>
        </w:rPr>
      </w:pPr>
      <w:r w:rsidRPr="00681724">
        <w:rPr>
          <w:rFonts w:ascii="Arial" w:hAnsi="Arial" w:cs="Arial"/>
        </w:rPr>
        <w:t>From an SDH</w:t>
      </w:r>
      <w:r w:rsidR="006658D3">
        <w:rPr>
          <w:rFonts w:ascii="Arial" w:hAnsi="Arial" w:cs="Arial"/>
        </w:rPr>
        <w:t xml:space="preserve"> </w:t>
      </w:r>
      <w:r w:rsidR="006658D3" w:rsidRPr="00681724">
        <w:rPr>
          <w:rFonts w:ascii="Arial" w:hAnsi="Arial" w:cs="Arial"/>
        </w:rPr>
        <w:t>(Dahlgren &amp; Whitehead, 2021)</w:t>
      </w:r>
      <w:r w:rsidRPr="00681724">
        <w:rPr>
          <w:rFonts w:ascii="Arial" w:hAnsi="Arial" w:cs="Arial"/>
        </w:rPr>
        <w:t xml:space="preserve"> perspective, this indicates that the intervention only partially addresses environmental conditions, as urban health is shaped by multiple interacting factors including housing, green space and neighbourhood design (Marmot et al., 2020; UN, 2026). Consequently, its contribution to SDG 11 and its linkage to SDG 3 remain limited.</w:t>
      </w:r>
    </w:p>
    <w:p w14:paraId="2ACFA54D" w14:textId="77777777" w:rsidR="00681724" w:rsidRPr="00681724" w:rsidRDefault="00681724" w:rsidP="00B63878">
      <w:pPr>
        <w:spacing w:line="360" w:lineRule="auto"/>
        <w:jc w:val="both"/>
        <w:rPr>
          <w:rFonts w:ascii="Arial" w:hAnsi="Arial" w:cs="Arial"/>
        </w:rPr>
      </w:pPr>
    </w:p>
    <w:p w14:paraId="7B055123" w14:textId="77777777" w:rsidR="00681724" w:rsidRPr="00681724" w:rsidRDefault="00681724" w:rsidP="00B63878">
      <w:pPr>
        <w:spacing w:line="360" w:lineRule="auto"/>
        <w:jc w:val="both"/>
        <w:rPr>
          <w:rFonts w:ascii="Arial" w:hAnsi="Arial" w:cs="Arial"/>
        </w:rPr>
      </w:pPr>
      <w:r w:rsidRPr="00681724">
        <w:rPr>
          <w:rFonts w:ascii="Arial" w:hAnsi="Arial" w:cs="Arial"/>
        </w:rPr>
        <w:t xml:space="preserve">Overall, SDG 11 initiatives demonstrate the potential to enhance health and wellbeing; however, their impact remains uneven and mediated by structural and behavioural determinants. To improve effectiveness, policies should prioritise reducing inequalities through equitable access to green space, sustainable transport and inclusive urban environments (UN, 2026; Marmot et al., 2020). Interventions must integrate behavioural components alongside environmental change, recognising the limitations of infrastructure-led approaches (Rosenstock, </w:t>
      </w:r>
      <w:proofErr w:type="spellStart"/>
      <w:r w:rsidRPr="00681724">
        <w:rPr>
          <w:rFonts w:ascii="Arial" w:hAnsi="Arial" w:cs="Arial"/>
        </w:rPr>
        <w:t>Strecher</w:t>
      </w:r>
      <w:proofErr w:type="spellEnd"/>
      <w:r w:rsidRPr="00681724">
        <w:rPr>
          <w:rFonts w:ascii="Arial" w:hAnsi="Arial" w:cs="Arial"/>
        </w:rPr>
        <w:t xml:space="preserve"> and Becker, 1988; UK Government, 2025). Furthermore, robust evaluation frameworks are required to assess both effectiveness and distributional outcomes (WHO, 2026).</w:t>
      </w:r>
    </w:p>
    <w:p w14:paraId="1606A793" w14:textId="77777777" w:rsidR="00681724" w:rsidRPr="00B63878" w:rsidRDefault="00681724" w:rsidP="00B63878">
      <w:pPr>
        <w:spacing w:line="360" w:lineRule="auto"/>
        <w:jc w:val="both"/>
        <w:rPr>
          <w:rFonts w:ascii="Arial" w:hAnsi="Arial" w:cs="Arial"/>
          <w:b/>
          <w:bCs/>
        </w:rPr>
      </w:pPr>
    </w:p>
    <w:p w14:paraId="604B6D52" w14:textId="7C4B9F9A" w:rsidR="00681724" w:rsidRPr="00B63878" w:rsidRDefault="00681724" w:rsidP="00B63878">
      <w:pPr>
        <w:spacing w:line="360" w:lineRule="auto"/>
        <w:jc w:val="both"/>
        <w:rPr>
          <w:rFonts w:ascii="Arial" w:hAnsi="Arial" w:cs="Arial"/>
          <w:b/>
          <w:bCs/>
        </w:rPr>
      </w:pPr>
      <w:r w:rsidRPr="00B63878">
        <w:rPr>
          <w:rFonts w:ascii="Arial" w:hAnsi="Arial" w:cs="Arial"/>
          <w:b/>
          <w:bCs/>
        </w:rPr>
        <w:t>Conclusion</w:t>
      </w:r>
    </w:p>
    <w:p w14:paraId="4BFC403B" w14:textId="52B74163" w:rsidR="00681724" w:rsidRPr="00681724" w:rsidRDefault="002F58C7" w:rsidP="00B63878">
      <w:pPr>
        <w:spacing w:line="360" w:lineRule="auto"/>
        <w:jc w:val="both"/>
        <w:rPr>
          <w:rFonts w:ascii="Arial" w:hAnsi="Arial" w:cs="Arial"/>
        </w:rPr>
      </w:pPr>
      <w:r w:rsidRPr="002F58C7">
        <w:rPr>
          <w:rFonts w:ascii="Arial" w:hAnsi="Arial" w:cs="Arial"/>
        </w:rPr>
        <w:t>This report has examined the influence of SDG 3 and SDG 11 on health and wellbeing across multiple levels, including global, national and local contexts</w:t>
      </w:r>
      <w:r w:rsidR="00681724" w:rsidRPr="00681724">
        <w:rPr>
          <w:rFonts w:ascii="Arial" w:hAnsi="Arial" w:cs="Arial"/>
        </w:rPr>
        <w:t>. While targeted interventions such as tobacco control and vaccination programmes demonstrate clear progress in improving population health, their effectiveness is limited by persistent structural inequalities and uneven uptake. Similarly, SDG 11 initiatives highlight the importance of urban environments in shaping health outcomes, particularly through transport, air quality and urban planning. However, many interventions remain partial, failing to address the full range of determinants required for inclusive and sustainable cities.</w:t>
      </w:r>
    </w:p>
    <w:p w14:paraId="4CDDAF80" w14:textId="5E2AE716" w:rsidR="00681724" w:rsidRPr="00681724" w:rsidRDefault="00681724" w:rsidP="00B63878">
      <w:pPr>
        <w:spacing w:line="360" w:lineRule="auto"/>
        <w:jc w:val="both"/>
        <w:rPr>
          <w:rFonts w:ascii="Arial" w:hAnsi="Arial" w:cs="Arial"/>
        </w:rPr>
      </w:pPr>
      <w:r w:rsidRPr="00681724">
        <w:rPr>
          <w:rFonts w:ascii="Arial" w:hAnsi="Arial" w:cs="Arial"/>
        </w:rPr>
        <w:t>Across both goals, outcomes are shaped by the interaction between structural conditions and individual behaviours. Consequently, approaches that focus solely on infrastructure or behaviour change are insufficient.</w:t>
      </w:r>
    </w:p>
    <w:p w14:paraId="6FA29F3C" w14:textId="77777777" w:rsidR="00681724" w:rsidRDefault="00681724" w:rsidP="00B63878">
      <w:pPr>
        <w:spacing w:line="360" w:lineRule="auto"/>
        <w:jc w:val="both"/>
        <w:rPr>
          <w:rFonts w:ascii="Arial" w:hAnsi="Arial" w:cs="Arial"/>
        </w:rPr>
      </w:pPr>
      <w:r w:rsidRPr="00681724">
        <w:rPr>
          <w:rFonts w:ascii="Arial" w:hAnsi="Arial" w:cs="Arial"/>
        </w:rPr>
        <w:t>Overall, achieving equitable and sustained improvements requires integrated strategies that address structural inequalities, incorporate behavioural insights and ensure consistent implementation. Without this, progress towards both SDG 3 and SDG 11 will remain uneven and constrained.</w:t>
      </w:r>
    </w:p>
    <w:p w14:paraId="4D899FE6" w14:textId="77777777" w:rsidR="00B63878" w:rsidRPr="00681724" w:rsidRDefault="00B63878" w:rsidP="00B63878">
      <w:pPr>
        <w:spacing w:line="360" w:lineRule="auto"/>
        <w:jc w:val="both"/>
        <w:rPr>
          <w:rFonts w:ascii="Arial" w:hAnsi="Arial" w:cs="Arial"/>
        </w:rPr>
      </w:pPr>
    </w:p>
    <w:p w14:paraId="643DB6D9" w14:textId="6C4B1022" w:rsidR="007643AA" w:rsidRPr="00BC295E" w:rsidRDefault="00B63878" w:rsidP="005E1445">
      <w:pPr>
        <w:spacing w:line="360" w:lineRule="auto"/>
        <w:jc w:val="both"/>
        <w:rPr>
          <w:rFonts w:ascii="Arial" w:hAnsi="Arial" w:cs="Arial"/>
          <w:b/>
          <w:bCs/>
        </w:rPr>
      </w:pPr>
      <w:r w:rsidRPr="00B63878">
        <w:rPr>
          <w:rFonts w:ascii="Arial" w:hAnsi="Arial" w:cs="Arial"/>
          <w:b/>
          <w:bCs/>
        </w:rPr>
        <w:t>References</w:t>
      </w:r>
    </w:p>
    <w:p w14:paraId="2E9C8CDB" w14:textId="77777777" w:rsidR="007643AA" w:rsidRPr="007643AA" w:rsidRDefault="007643AA" w:rsidP="005E1445">
      <w:pPr>
        <w:spacing w:line="360" w:lineRule="auto"/>
        <w:jc w:val="both"/>
        <w:rPr>
          <w:rFonts w:ascii="Arial" w:hAnsi="Arial" w:cs="Arial"/>
        </w:rPr>
      </w:pPr>
    </w:p>
    <w:p w14:paraId="749A1F08" w14:textId="77777777" w:rsidR="00CA0AC4" w:rsidRPr="007643AA" w:rsidRDefault="00CA0AC4" w:rsidP="005E1445">
      <w:pPr>
        <w:spacing w:line="360" w:lineRule="auto"/>
        <w:jc w:val="both"/>
        <w:rPr>
          <w:rFonts w:ascii="Arial" w:hAnsi="Arial" w:cs="Arial"/>
        </w:rPr>
      </w:pPr>
      <w:r w:rsidRPr="007643AA">
        <w:rPr>
          <w:rFonts w:ascii="Arial" w:hAnsi="Arial" w:cs="Arial"/>
        </w:rPr>
        <w:t>Ahmed, H.M. and Babakir</w:t>
      </w:r>
      <w:r w:rsidRPr="007643AA">
        <w:rPr>
          <w:rFonts w:ascii="Cambria Math" w:hAnsi="Cambria Math" w:cs="Cambria Math"/>
        </w:rPr>
        <w:t>‑</w:t>
      </w:r>
      <w:r w:rsidRPr="007643AA">
        <w:rPr>
          <w:rFonts w:ascii="Arial" w:hAnsi="Arial" w:cs="Arial"/>
        </w:rPr>
        <w:t>Mina, M. (2021) ‘Population</w:t>
      </w:r>
      <w:r w:rsidRPr="007643AA">
        <w:rPr>
          <w:rFonts w:ascii="Cambria Math" w:hAnsi="Cambria Math" w:cs="Cambria Math"/>
        </w:rPr>
        <w:t>‑</w:t>
      </w:r>
      <w:r w:rsidRPr="007643AA">
        <w:rPr>
          <w:rFonts w:ascii="Arial" w:hAnsi="Arial" w:cs="Arial"/>
        </w:rPr>
        <w:t xml:space="preserve">level interventions based on walking and cycling as a means to increase physical activity’, </w:t>
      </w:r>
      <w:r w:rsidRPr="00BC295E">
        <w:rPr>
          <w:rFonts w:ascii="Arial" w:hAnsi="Arial" w:cs="Arial"/>
          <w:i/>
          <w:iCs/>
        </w:rPr>
        <w:t>Reviews</w:t>
      </w:r>
      <w:r w:rsidRPr="007643AA">
        <w:rPr>
          <w:rFonts w:ascii="Arial" w:hAnsi="Arial" w:cs="Arial"/>
        </w:rPr>
        <w:t xml:space="preserve">, 5(1), pp. 55–63. Available at: https://doi.org/10.5334/paah.87 </w:t>
      </w:r>
    </w:p>
    <w:p w14:paraId="57A5652C"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Banwell, N., Michel, S. and Senn, N. (2024) ‘Greenspaces and health: scoping review of studies in Europe’, </w:t>
      </w:r>
      <w:r w:rsidRPr="00BC295E">
        <w:rPr>
          <w:rFonts w:ascii="Arial" w:hAnsi="Arial" w:cs="Arial"/>
          <w:i/>
          <w:iCs/>
        </w:rPr>
        <w:t>Public Health Reviews</w:t>
      </w:r>
      <w:r w:rsidRPr="007643AA">
        <w:rPr>
          <w:rFonts w:ascii="Arial" w:hAnsi="Arial" w:cs="Arial"/>
        </w:rPr>
        <w:t xml:space="preserve">, 45. Available at: https://doi.org/10.3389/phrs.2024.1606863 </w:t>
      </w:r>
    </w:p>
    <w:p w14:paraId="7F273F25"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Bao, Z., Bai, Y. and Geng, T. (2023) ‘Examining spatial inequalities in public green space accessibility: a focus on disadvantaged groups in England’, </w:t>
      </w:r>
      <w:r w:rsidRPr="00BC295E">
        <w:rPr>
          <w:rFonts w:ascii="Arial" w:hAnsi="Arial" w:cs="Arial"/>
          <w:i/>
          <w:iCs/>
        </w:rPr>
        <w:t>Sustainability</w:t>
      </w:r>
      <w:r w:rsidRPr="007643AA">
        <w:rPr>
          <w:rFonts w:ascii="Arial" w:hAnsi="Arial" w:cs="Arial"/>
        </w:rPr>
        <w:t>, 15(18). Available at: https://doi.org/10.3390/su151813507</w:t>
      </w:r>
    </w:p>
    <w:p w14:paraId="1FAE5971"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Bedford, H., Firman, N., Waller, J., Marlow, L., Forster, A. and </w:t>
      </w:r>
      <w:proofErr w:type="spellStart"/>
      <w:r w:rsidRPr="007643AA">
        <w:rPr>
          <w:rFonts w:ascii="Arial" w:hAnsi="Arial" w:cs="Arial"/>
        </w:rPr>
        <w:t>Dezateux</w:t>
      </w:r>
      <w:proofErr w:type="spellEnd"/>
      <w:r w:rsidRPr="007643AA">
        <w:rPr>
          <w:rFonts w:ascii="Arial" w:hAnsi="Arial" w:cs="Arial"/>
        </w:rPr>
        <w:t xml:space="preserve">, C. (2021) ‘Which young women are not being vaccinated against HPV? Cross-sectional analysis of a UK </w:t>
      </w:r>
      <w:r w:rsidRPr="007643AA">
        <w:rPr>
          <w:rFonts w:ascii="Arial" w:hAnsi="Arial" w:cs="Arial"/>
        </w:rPr>
        <w:lastRenderedPageBreak/>
        <w:t xml:space="preserve">national cohort study’, </w:t>
      </w:r>
      <w:r w:rsidRPr="00BC295E">
        <w:rPr>
          <w:rFonts w:ascii="Arial" w:hAnsi="Arial" w:cs="Arial"/>
          <w:i/>
          <w:iCs/>
        </w:rPr>
        <w:t>Vaccine</w:t>
      </w:r>
      <w:r w:rsidRPr="007643AA">
        <w:rPr>
          <w:rFonts w:ascii="Arial" w:hAnsi="Arial" w:cs="Arial"/>
        </w:rPr>
        <w:t xml:space="preserve">, 39(40), pp. 5934–5939. Available at: https://doi.org/10.1016/j.vaccine.2021.07.094 </w:t>
      </w:r>
    </w:p>
    <w:p w14:paraId="7EAA0635"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Cacciatore, S., Mao, S., Villalba Nuñez, M., Massaro, C., Spadafora, L., Bernardi, M., Perone, F., </w:t>
      </w:r>
      <w:proofErr w:type="spellStart"/>
      <w:r w:rsidRPr="007643AA">
        <w:rPr>
          <w:rFonts w:ascii="Arial" w:hAnsi="Arial" w:cs="Arial"/>
        </w:rPr>
        <w:t>Sabouret</w:t>
      </w:r>
      <w:proofErr w:type="spellEnd"/>
      <w:r w:rsidRPr="007643AA">
        <w:rPr>
          <w:rFonts w:ascii="Arial" w:hAnsi="Arial" w:cs="Arial"/>
        </w:rPr>
        <w:t>, P., Biondi-</w:t>
      </w:r>
      <w:proofErr w:type="spellStart"/>
      <w:r w:rsidRPr="007643AA">
        <w:rPr>
          <w:rFonts w:ascii="Arial" w:hAnsi="Arial" w:cs="Arial"/>
        </w:rPr>
        <w:t>Zoccai</w:t>
      </w:r>
      <w:proofErr w:type="spellEnd"/>
      <w:r w:rsidRPr="007643AA">
        <w:rPr>
          <w:rFonts w:ascii="Arial" w:hAnsi="Arial" w:cs="Arial"/>
        </w:rPr>
        <w:t xml:space="preserve">, G., Banach, M., Calvani, R., </w:t>
      </w:r>
      <w:proofErr w:type="spellStart"/>
      <w:r w:rsidRPr="007643AA">
        <w:rPr>
          <w:rFonts w:ascii="Arial" w:hAnsi="Arial" w:cs="Arial"/>
        </w:rPr>
        <w:t>Tosato</w:t>
      </w:r>
      <w:proofErr w:type="spellEnd"/>
      <w:r w:rsidRPr="007643AA">
        <w:rPr>
          <w:rFonts w:ascii="Arial" w:hAnsi="Arial" w:cs="Arial"/>
        </w:rPr>
        <w:t xml:space="preserve">, M., Marzetti, E. and Landi, F. (2025) ‘Urban health inequities and healthy longevity: traditional and emerging risk factors across the cities and policy implications’, </w:t>
      </w:r>
      <w:r w:rsidRPr="00BC295E">
        <w:rPr>
          <w:rFonts w:ascii="Arial" w:hAnsi="Arial" w:cs="Arial"/>
          <w:i/>
          <w:iCs/>
        </w:rPr>
        <w:t>Aging Clinical and Experimental Research</w:t>
      </w:r>
      <w:r w:rsidRPr="007643AA">
        <w:rPr>
          <w:rFonts w:ascii="Arial" w:hAnsi="Arial" w:cs="Arial"/>
        </w:rPr>
        <w:t>, 37(143). Available at: https://doi.org/10.1007/s40520-025-03052-1</w:t>
      </w:r>
    </w:p>
    <w:p w14:paraId="5BBD2E5E" w14:textId="1A41E06A" w:rsidR="00CA0AC4" w:rsidRPr="007643AA" w:rsidRDefault="00CA0AC4" w:rsidP="005E1445">
      <w:pPr>
        <w:spacing w:line="360" w:lineRule="auto"/>
        <w:jc w:val="both"/>
        <w:rPr>
          <w:rFonts w:ascii="Arial" w:hAnsi="Arial" w:cs="Arial"/>
        </w:rPr>
      </w:pPr>
      <w:r w:rsidRPr="007643AA">
        <w:rPr>
          <w:rFonts w:ascii="Arial" w:hAnsi="Arial" w:cs="Arial"/>
        </w:rPr>
        <w:t xml:space="preserve">Choi, S., Ismail, A. and Pappas-Gogos, G., Boussios, S. (2023) ‘HPV and cervical cancer: a review of epidemiology and screening uptake in the UK’, </w:t>
      </w:r>
      <w:r w:rsidRPr="00BC295E">
        <w:rPr>
          <w:rFonts w:ascii="Arial" w:hAnsi="Arial" w:cs="Arial"/>
          <w:i/>
          <w:iCs/>
        </w:rPr>
        <w:t>Pathogens</w:t>
      </w:r>
      <w:r w:rsidRPr="007643AA">
        <w:rPr>
          <w:rFonts w:ascii="Arial" w:hAnsi="Arial" w:cs="Arial"/>
        </w:rPr>
        <w:t>, 12(2). Available at: https://doi.org/10.3390/pathogens12020298</w:t>
      </w:r>
    </w:p>
    <w:p w14:paraId="03A8A398" w14:textId="77777777" w:rsidR="00CA0AC4" w:rsidRPr="007643AA" w:rsidRDefault="00CA0AC4" w:rsidP="005E1445">
      <w:pPr>
        <w:spacing w:line="360" w:lineRule="auto"/>
        <w:jc w:val="both"/>
        <w:rPr>
          <w:rFonts w:ascii="Arial" w:hAnsi="Arial" w:cs="Arial"/>
        </w:rPr>
      </w:pPr>
      <w:r w:rsidRPr="007643AA">
        <w:rPr>
          <w:rFonts w:ascii="Arial" w:hAnsi="Arial" w:cs="Arial"/>
        </w:rPr>
        <w:t>Dahlgren, G. and Whitehead, M. (2021) ‘The Dahlgren-Whitehead model of health determinants: 30 years on and still chasing rainbows’</w:t>
      </w:r>
      <w:r w:rsidRPr="00BC295E">
        <w:rPr>
          <w:rFonts w:ascii="Arial" w:hAnsi="Arial" w:cs="Arial"/>
          <w:i/>
          <w:iCs/>
        </w:rPr>
        <w:t>, Public Health</w:t>
      </w:r>
      <w:r w:rsidRPr="007643AA">
        <w:rPr>
          <w:rFonts w:ascii="Arial" w:hAnsi="Arial" w:cs="Arial"/>
        </w:rPr>
        <w:t>, 199, pp. 20–24. Available at: https://doi.org/10.1016/j.puhe.2021.08.009</w:t>
      </w:r>
    </w:p>
    <w:p w14:paraId="7798B0B8" w14:textId="040CCF0E" w:rsidR="00CA0AC4" w:rsidRPr="007643AA" w:rsidRDefault="00CA0AC4" w:rsidP="005E1445">
      <w:pPr>
        <w:spacing w:line="360" w:lineRule="auto"/>
        <w:jc w:val="both"/>
        <w:rPr>
          <w:rFonts w:ascii="Arial" w:hAnsi="Arial" w:cs="Arial"/>
        </w:rPr>
      </w:pPr>
      <w:r w:rsidRPr="00CA0AC4">
        <w:rPr>
          <w:rFonts w:ascii="Arial" w:hAnsi="Arial" w:cs="Arial"/>
        </w:rPr>
        <w:t xml:space="preserve">Egorov, A., </w:t>
      </w:r>
      <w:proofErr w:type="spellStart"/>
      <w:r w:rsidRPr="00CA0AC4">
        <w:rPr>
          <w:rFonts w:ascii="Arial" w:hAnsi="Arial" w:cs="Arial"/>
        </w:rPr>
        <w:t>Mudu</w:t>
      </w:r>
      <w:proofErr w:type="spellEnd"/>
      <w:r w:rsidRPr="00CA0AC4">
        <w:rPr>
          <w:rFonts w:ascii="Arial" w:hAnsi="Arial" w:cs="Arial"/>
        </w:rPr>
        <w:t xml:space="preserve">, P., </w:t>
      </w:r>
      <w:proofErr w:type="spellStart"/>
      <w:r w:rsidRPr="00CA0AC4">
        <w:rPr>
          <w:rFonts w:ascii="Arial" w:hAnsi="Arial" w:cs="Arial"/>
        </w:rPr>
        <w:t>Braubach</w:t>
      </w:r>
      <w:proofErr w:type="spellEnd"/>
      <w:r w:rsidRPr="00CA0AC4">
        <w:rPr>
          <w:rFonts w:ascii="Arial" w:hAnsi="Arial" w:cs="Arial"/>
        </w:rPr>
        <w:t xml:space="preserve">, M., Martuzzi., M </w:t>
      </w:r>
      <w:r w:rsidRPr="007643AA">
        <w:rPr>
          <w:rFonts w:ascii="Arial" w:hAnsi="Arial" w:cs="Arial"/>
        </w:rPr>
        <w:t xml:space="preserve">(2016) </w:t>
      </w:r>
      <w:r w:rsidR="00BC295E">
        <w:rPr>
          <w:rFonts w:ascii="Arial" w:hAnsi="Arial" w:cs="Arial"/>
        </w:rPr>
        <w:t>‘</w:t>
      </w:r>
      <w:r w:rsidRPr="007643AA">
        <w:rPr>
          <w:rFonts w:ascii="Arial" w:hAnsi="Arial" w:cs="Arial"/>
        </w:rPr>
        <w:t>Urban green spaces and health: a review of evidence</w:t>
      </w:r>
      <w:r w:rsidR="00BC295E">
        <w:rPr>
          <w:rFonts w:ascii="Arial" w:hAnsi="Arial" w:cs="Arial"/>
        </w:rPr>
        <w:t>’</w:t>
      </w:r>
      <w:r w:rsidRPr="007643AA">
        <w:rPr>
          <w:rFonts w:ascii="Arial" w:hAnsi="Arial" w:cs="Arial"/>
        </w:rPr>
        <w:t>. Copenhagen: World Health Organization Regional Office for Europe. Available at: https://iris.who.int/handle/10665/345751 (Accessed: 22 March 2026).</w:t>
      </w:r>
    </w:p>
    <w:p w14:paraId="37C06D05" w14:textId="77777777" w:rsidR="00CA0AC4" w:rsidRPr="007643AA" w:rsidRDefault="00CA0AC4" w:rsidP="00B63878">
      <w:pPr>
        <w:spacing w:line="360" w:lineRule="auto"/>
        <w:jc w:val="both"/>
        <w:rPr>
          <w:rFonts w:ascii="Arial" w:hAnsi="Arial" w:cs="Arial"/>
        </w:rPr>
      </w:pPr>
      <w:proofErr w:type="spellStart"/>
      <w:r w:rsidRPr="007643AA">
        <w:rPr>
          <w:rFonts w:ascii="Arial" w:hAnsi="Arial" w:cs="Arial"/>
        </w:rPr>
        <w:t>Fatorachian</w:t>
      </w:r>
      <w:proofErr w:type="spellEnd"/>
      <w:r w:rsidRPr="007643AA">
        <w:rPr>
          <w:rFonts w:ascii="Arial" w:hAnsi="Arial" w:cs="Arial"/>
        </w:rPr>
        <w:t xml:space="preserve">, H. and Kazemi, H. (2025) ‘Sustainable optimization strategies for on-demand transportation systems: Enhancing efficiency and reducing energy use’, </w:t>
      </w:r>
      <w:r w:rsidRPr="00BC295E">
        <w:rPr>
          <w:rFonts w:ascii="Arial" w:hAnsi="Arial" w:cs="Arial"/>
          <w:i/>
          <w:iCs/>
        </w:rPr>
        <w:t>Sustainable Environment: An International Journal of Environmental Health and Sustainability</w:t>
      </w:r>
      <w:r w:rsidRPr="007643AA">
        <w:rPr>
          <w:rFonts w:ascii="Arial" w:hAnsi="Arial" w:cs="Arial"/>
        </w:rPr>
        <w:t>, 11(1). Available at: https://doi.org/10.1080/27658511.2025.2464388</w:t>
      </w:r>
    </w:p>
    <w:p w14:paraId="6C231B20" w14:textId="77777777" w:rsidR="00CA0AC4" w:rsidRPr="007643AA" w:rsidRDefault="00CA0AC4" w:rsidP="005E1445">
      <w:pPr>
        <w:spacing w:line="360" w:lineRule="auto"/>
        <w:jc w:val="both"/>
        <w:rPr>
          <w:rFonts w:ascii="Arial" w:hAnsi="Arial" w:cs="Arial"/>
        </w:rPr>
      </w:pPr>
      <w:r w:rsidRPr="007643AA">
        <w:rPr>
          <w:rFonts w:ascii="Arial" w:hAnsi="Arial" w:cs="Arial"/>
        </w:rPr>
        <w:t>Fisher, H., Evans, K., Reynolds, R., Yates, J., Roderick, M., Ferrie, J., Macleod, J., Hickman, M. and Audrey, S. (2021) ‘Secondary analyses to test the impact on inequalities and uptake of the schools-based human papillomavirus (HPV) vaccination programme by stage of implementation of a new consent policy in the south-west of England’</w:t>
      </w:r>
      <w:r w:rsidRPr="00BC295E">
        <w:rPr>
          <w:rFonts w:ascii="Arial" w:hAnsi="Arial" w:cs="Arial"/>
          <w:i/>
          <w:iCs/>
        </w:rPr>
        <w:t>, BMJ Open</w:t>
      </w:r>
      <w:r w:rsidRPr="007643AA">
        <w:rPr>
          <w:rFonts w:ascii="Arial" w:hAnsi="Arial" w:cs="Arial"/>
        </w:rPr>
        <w:t>, 11(7), e044980. Available at: https://doi.org/10.1136/bmjopen-2020-044980</w:t>
      </w:r>
    </w:p>
    <w:p w14:paraId="19D49150" w14:textId="0A3A5674" w:rsidR="00CA0AC4" w:rsidRDefault="00CA0AC4" w:rsidP="005E1445">
      <w:pPr>
        <w:spacing w:line="360" w:lineRule="auto"/>
        <w:jc w:val="both"/>
        <w:rPr>
          <w:rFonts w:ascii="Arial" w:hAnsi="Arial" w:cs="Arial"/>
        </w:rPr>
      </w:pPr>
      <w:proofErr w:type="spellStart"/>
      <w:r w:rsidRPr="007643AA">
        <w:rPr>
          <w:rFonts w:ascii="Arial" w:hAnsi="Arial" w:cs="Arial"/>
        </w:rPr>
        <w:t>Gaffiero</w:t>
      </w:r>
      <w:proofErr w:type="spellEnd"/>
      <w:r w:rsidRPr="007643AA">
        <w:rPr>
          <w:rFonts w:ascii="Arial" w:hAnsi="Arial" w:cs="Arial"/>
        </w:rPr>
        <w:t xml:space="preserve">, D., </w:t>
      </w:r>
      <w:proofErr w:type="spellStart"/>
      <w:r w:rsidRPr="007643AA">
        <w:rPr>
          <w:rFonts w:ascii="Arial" w:hAnsi="Arial" w:cs="Arial"/>
        </w:rPr>
        <w:t>Dytham</w:t>
      </w:r>
      <w:proofErr w:type="spellEnd"/>
      <w:r w:rsidRPr="007643AA">
        <w:rPr>
          <w:rFonts w:ascii="Arial" w:hAnsi="Arial" w:cs="Arial"/>
        </w:rPr>
        <w:t xml:space="preserve">, A., Cotton, R., Hussein, R., </w:t>
      </w:r>
      <w:proofErr w:type="spellStart"/>
      <w:r w:rsidRPr="007643AA">
        <w:rPr>
          <w:rFonts w:ascii="Arial" w:hAnsi="Arial" w:cs="Arial"/>
        </w:rPr>
        <w:t>Christodoulaki</w:t>
      </w:r>
      <w:proofErr w:type="spellEnd"/>
      <w:r w:rsidRPr="007643AA">
        <w:rPr>
          <w:rFonts w:ascii="Arial" w:hAnsi="Arial" w:cs="Arial"/>
        </w:rPr>
        <w:t xml:space="preserve">, M.E. and Davey, S.A. (2025) ‘Towards gender-inclusive HPV vaccination in England: addressing misconceptions and missed opportunities for boys’, </w:t>
      </w:r>
      <w:r w:rsidRPr="00BC295E">
        <w:rPr>
          <w:rFonts w:ascii="Arial" w:hAnsi="Arial" w:cs="Arial"/>
          <w:i/>
          <w:iCs/>
        </w:rPr>
        <w:t>Future</w:t>
      </w:r>
      <w:r w:rsidRPr="007643AA">
        <w:rPr>
          <w:rFonts w:ascii="Arial" w:hAnsi="Arial" w:cs="Arial"/>
        </w:rPr>
        <w:t>, 3(4</w:t>
      </w:r>
      <w:r w:rsidR="00BC295E">
        <w:rPr>
          <w:rFonts w:ascii="Arial" w:hAnsi="Arial" w:cs="Arial"/>
        </w:rPr>
        <w:t>)</w:t>
      </w:r>
      <w:r w:rsidRPr="007643AA">
        <w:rPr>
          <w:rFonts w:ascii="Arial" w:hAnsi="Arial" w:cs="Arial"/>
        </w:rPr>
        <w:t xml:space="preserve">. Available at: </w:t>
      </w:r>
      <w:hyperlink r:id="rId6" w:history="1">
        <w:r w:rsidRPr="00EC6569">
          <w:rPr>
            <w:rStyle w:val="Hyperlink"/>
            <w:rFonts w:ascii="Arial" w:hAnsi="Arial" w:cs="Arial"/>
          </w:rPr>
          <w:t>https://doi.org/10.3390/future3040023</w:t>
        </w:r>
      </w:hyperlink>
    </w:p>
    <w:p w14:paraId="0AD7791E"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Greater Manchester Moving (2026a) </w:t>
      </w:r>
      <w:r w:rsidRPr="00BC295E">
        <w:rPr>
          <w:rFonts w:ascii="Arial" w:hAnsi="Arial" w:cs="Arial"/>
          <w:i/>
          <w:iCs/>
        </w:rPr>
        <w:t>Greater Manchester Moving</w:t>
      </w:r>
      <w:r w:rsidRPr="007643AA">
        <w:rPr>
          <w:rFonts w:ascii="Arial" w:hAnsi="Arial" w:cs="Arial"/>
        </w:rPr>
        <w:t>. Available at: https://www.gmmoving.co.uk (Accessed: 22 March 2026).</w:t>
      </w:r>
    </w:p>
    <w:p w14:paraId="074E1937"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Greater Manchester Moving (2026b) </w:t>
      </w:r>
      <w:r w:rsidRPr="00BC295E">
        <w:rPr>
          <w:rFonts w:ascii="Arial" w:hAnsi="Arial" w:cs="Arial"/>
          <w:i/>
          <w:iCs/>
        </w:rPr>
        <w:t>Impact &amp; Evidence</w:t>
      </w:r>
      <w:r w:rsidRPr="007643AA">
        <w:rPr>
          <w:rFonts w:ascii="Arial" w:hAnsi="Arial" w:cs="Arial"/>
        </w:rPr>
        <w:t xml:space="preserve">. Available at: https://www.gmmoving.co.uk/data-and-learning/ (Accessed: 22 March 2026). </w:t>
      </w:r>
    </w:p>
    <w:p w14:paraId="5A2A17FD" w14:textId="77777777" w:rsidR="00CA0AC4" w:rsidRPr="007643AA" w:rsidRDefault="00CA0AC4" w:rsidP="005E1445">
      <w:pPr>
        <w:spacing w:line="360" w:lineRule="auto"/>
        <w:jc w:val="both"/>
        <w:rPr>
          <w:rFonts w:ascii="Arial" w:hAnsi="Arial" w:cs="Arial"/>
        </w:rPr>
      </w:pPr>
      <w:r w:rsidRPr="007643AA">
        <w:rPr>
          <w:rFonts w:ascii="Arial" w:hAnsi="Arial" w:cs="Arial"/>
        </w:rPr>
        <w:lastRenderedPageBreak/>
        <w:t>Harris, M.A. (2018) ‘The relationship between physical inactivity and mental wellbeing: Findings from a gamification</w:t>
      </w:r>
      <w:r w:rsidRPr="007643AA">
        <w:rPr>
          <w:rFonts w:ascii="Cambria Math" w:hAnsi="Cambria Math" w:cs="Cambria Math"/>
        </w:rPr>
        <w:t>‑</w:t>
      </w:r>
      <w:r w:rsidRPr="007643AA">
        <w:rPr>
          <w:rFonts w:ascii="Arial" w:hAnsi="Arial" w:cs="Arial"/>
        </w:rPr>
        <w:t>based community</w:t>
      </w:r>
      <w:r w:rsidRPr="007643AA">
        <w:rPr>
          <w:rFonts w:ascii="Cambria Math" w:hAnsi="Cambria Math" w:cs="Cambria Math"/>
        </w:rPr>
        <w:t>‑</w:t>
      </w:r>
      <w:r w:rsidRPr="007643AA">
        <w:rPr>
          <w:rFonts w:ascii="Arial" w:hAnsi="Arial" w:cs="Arial"/>
        </w:rPr>
        <w:t xml:space="preserve">wide physical activity intervention’, </w:t>
      </w:r>
      <w:r w:rsidRPr="00BC295E">
        <w:rPr>
          <w:rFonts w:ascii="Arial" w:hAnsi="Arial" w:cs="Arial"/>
          <w:i/>
          <w:iCs/>
        </w:rPr>
        <w:t>Health Psychology Open</w:t>
      </w:r>
      <w:r w:rsidRPr="007643AA">
        <w:rPr>
          <w:rFonts w:ascii="Arial" w:hAnsi="Arial" w:cs="Arial"/>
        </w:rPr>
        <w:t xml:space="preserve">, 5(1). Available at: https://doi.org/10.1177/2055102917753853 </w:t>
      </w:r>
    </w:p>
    <w:p w14:paraId="1BE729EB"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Hunter, R.F., Cleland, C., Cleary, A., </w:t>
      </w:r>
      <w:proofErr w:type="spellStart"/>
      <w:r w:rsidRPr="007643AA">
        <w:rPr>
          <w:rFonts w:ascii="Arial" w:hAnsi="Arial" w:cs="Arial"/>
        </w:rPr>
        <w:t>Droomers</w:t>
      </w:r>
      <w:proofErr w:type="spellEnd"/>
      <w:r w:rsidRPr="007643AA">
        <w:rPr>
          <w:rFonts w:ascii="Arial" w:hAnsi="Arial" w:cs="Arial"/>
        </w:rPr>
        <w:t xml:space="preserve">, M., Wheeler, B.W., Sinnett, D., </w:t>
      </w:r>
      <w:proofErr w:type="spellStart"/>
      <w:r w:rsidRPr="007643AA">
        <w:rPr>
          <w:rFonts w:ascii="Arial" w:hAnsi="Arial" w:cs="Arial"/>
        </w:rPr>
        <w:t>Nieuwenhuijsen</w:t>
      </w:r>
      <w:proofErr w:type="spellEnd"/>
      <w:r w:rsidRPr="007643AA">
        <w:rPr>
          <w:rFonts w:ascii="Arial" w:hAnsi="Arial" w:cs="Arial"/>
        </w:rPr>
        <w:t xml:space="preserve">, M.J. and </w:t>
      </w:r>
      <w:proofErr w:type="spellStart"/>
      <w:r w:rsidRPr="007643AA">
        <w:rPr>
          <w:rFonts w:ascii="Arial" w:hAnsi="Arial" w:cs="Arial"/>
        </w:rPr>
        <w:t>Braubach</w:t>
      </w:r>
      <w:proofErr w:type="spellEnd"/>
      <w:r w:rsidRPr="007643AA">
        <w:rPr>
          <w:rFonts w:ascii="Arial" w:hAnsi="Arial" w:cs="Arial"/>
        </w:rPr>
        <w:t xml:space="preserve">, M. (2019) ‘Environmental, health, wellbeing, social and equity effects of urban green space interventions: a meta-narrative evidence synthesis’, </w:t>
      </w:r>
      <w:r w:rsidRPr="00BC295E">
        <w:rPr>
          <w:rFonts w:ascii="Arial" w:hAnsi="Arial" w:cs="Arial"/>
          <w:i/>
          <w:iCs/>
        </w:rPr>
        <w:t>Environment International</w:t>
      </w:r>
      <w:r w:rsidRPr="007643AA">
        <w:rPr>
          <w:rFonts w:ascii="Arial" w:hAnsi="Arial" w:cs="Arial"/>
        </w:rPr>
        <w:t>, 130. Available at: https://doi.org/10.1016/j.envint.2019.104923</w:t>
      </w:r>
    </w:p>
    <w:p w14:paraId="0E3FCA28"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Hunter, R.F., </w:t>
      </w:r>
      <w:proofErr w:type="spellStart"/>
      <w:r w:rsidRPr="007643AA">
        <w:rPr>
          <w:rFonts w:ascii="Arial" w:hAnsi="Arial" w:cs="Arial"/>
        </w:rPr>
        <w:t>Nieuwenhuijsen</w:t>
      </w:r>
      <w:proofErr w:type="spellEnd"/>
      <w:r w:rsidRPr="007643AA">
        <w:rPr>
          <w:rFonts w:ascii="Arial" w:hAnsi="Arial" w:cs="Arial"/>
        </w:rPr>
        <w:t xml:space="preserve">, M., Fabian, C., Murphy, N., O’Hara, K., Rappe, E., Sallis, J.F., Lambert, E.V., Sarmiento Duenas, O.L., Sugiyama, T. and </w:t>
      </w:r>
      <w:proofErr w:type="spellStart"/>
      <w:r w:rsidRPr="007643AA">
        <w:rPr>
          <w:rFonts w:ascii="Arial" w:hAnsi="Arial" w:cs="Arial"/>
        </w:rPr>
        <w:t>Kahlmeier</w:t>
      </w:r>
      <w:proofErr w:type="spellEnd"/>
      <w:r w:rsidRPr="007643AA">
        <w:rPr>
          <w:rFonts w:ascii="Arial" w:hAnsi="Arial" w:cs="Arial"/>
        </w:rPr>
        <w:t xml:space="preserve">, S. (2023) ‘Advancing urban green and blue space contributions to public health’, </w:t>
      </w:r>
      <w:r w:rsidRPr="00BC295E">
        <w:rPr>
          <w:rFonts w:ascii="Arial" w:hAnsi="Arial" w:cs="Arial"/>
          <w:i/>
          <w:iCs/>
        </w:rPr>
        <w:t>The Lancet Public Health</w:t>
      </w:r>
      <w:r w:rsidRPr="007643AA">
        <w:rPr>
          <w:rFonts w:ascii="Arial" w:hAnsi="Arial" w:cs="Arial"/>
        </w:rPr>
        <w:t>. Available at: https://doi.org/10.1016/S2468-2667(23)00156-1</w:t>
      </w:r>
    </w:p>
    <w:p w14:paraId="403B1355" w14:textId="6905BEE5" w:rsidR="00CA0AC4" w:rsidRPr="007643AA" w:rsidRDefault="00CA0AC4" w:rsidP="005E1445">
      <w:pPr>
        <w:spacing w:line="360" w:lineRule="auto"/>
        <w:jc w:val="both"/>
        <w:rPr>
          <w:rFonts w:ascii="Arial" w:hAnsi="Arial" w:cs="Arial"/>
        </w:rPr>
      </w:pPr>
      <w:proofErr w:type="spellStart"/>
      <w:r w:rsidRPr="007643AA">
        <w:rPr>
          <w:rFonts w:ascii="Arial" w:hAnsi="Arial" w:cs="Arial"/>
        </w:rPr>
        <w:t>Karakusevic</w:t>
      </w:r>
      <w:proofErr w:type="spellEnd"/>
      <w:r w:rsidRPr="007643AA">
        <w:rPr>
          <w:rFonts w:ascii="Arial" w:hAnsi="Arial" w:cs="Arial"/>
        </w:rPr>
        <w:t xml:space="preserve">, A. and Foss, A.M. (2024) ‘Acceptability of human papillomavirus vaccination in the United Kingdom: a systematic review of the literature on uptake of, and barriers and facilitators to HPV vaccination’, </w:t>
      </w:r>
      <w:r w:rsidRPr="00BC295E">
        <w:rPr>
          <w:rFonts w:ascii="Arial" w:hAnsi="Arial" w:cs="Arial"/>
          <w:i/>
          <w:iCs/>
        </w:rPr>
        <w:t>Therapeutic Advances in Vaccines and Immunotherapy</w:t>
      </w:r>
      <w:r w:rsidRPr="007643AA">
        <w:rPr>
          <w:rFonts w:ascii="Arial" w:hAnsi="Arial" w:cs="Arial"/>
        </w:rPr>
        <w:t>, 12. Available at: https://doi.org/10.1177/25151355241308313</w:t>
      </w:r>
    </w:p>
    <w:p w14:paraId="35618390" w14:textId="6CFAC734" w:rsidR="00CA0AC4" w:rsidRPr="007643AA" w:rsidRDefault="00CA0AC4" w:rsidP="005E1445">
      <w:pPr>
        <w:spacing w:line="360" w:lineRule="auto"/>
        <w:jc w:val="both"/>
        <w:rPr>
          <w:rFonts w:ascii="Arial" w:hAnsi="Arial" w:cs="Arial"/>
        </w:rPr>
      </w:pPr>
      <w:r w:rsidRPr="007643AA">
        <w:rPr>
          <w:rFonts w:ascii="Arial" w:hAnsi="Arial" w:cs="Arial"/>
        </w:rPr>
        <w:t xml:space="preserve">Lawlor, E.R., Hunter, R.F., Adlakha, D., Kee, F. and Tully, M.A. (2021) ‘Individual characteristics associated with active travel in </w:t>
      </w:r>
      <w:proofErr w:type="gramStart"/>
      <w:r w:rsidRPr="007643AA">
        <w:rPr>
          <w:rFonts w:ascii="Arial" w:hAnsi="Arial" w:cs="Arial"/>
        </w:rPr>
        <w:t>low and high income</w:t>
      </w:r>
      <w:proofErr w:type="gramEnd"/>
      <w:r w:rsidRPr="007643AA">
        <w:rPr>
          <w:rFonts w:ascii="Arial" w:hAnsi="Arial" w:cs="Arial"/>
        </w:rPr>
        <w:t xml:space="preserve"> groups in the UK’, </w:t>
      </w:r>
      <w:r w:rsidRPr="00BC295E">
        <w:rPr>
          <w:rFonts w:ascii="Arial" w:hAnsi="Arial" w:cs="Arial"/>
          <w:i/>
          <w:iCs/>
        </w:rPr>
        <w:t>International Journal of Environmental Research and Public Health</w:t>
      </w:r>
      <w:r w:rsidRPr="007643AA">
        <w:rPr>
          <w:rFonts w:ascii="Arial" w:hAnsi="Arial" w:cs="Arial"/>
        </w:rPr>
        <w:t>, 18(19). Available at: https://doi.org/10.3390/ijerph181910360</w:t>
      </w:r>
    </w:p>
    <w:p w14:paraId="7901036D"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Local Government Association (2025) </w:t>
      </w:r>
      <w:r w:rsidRPr="00BC295E">
        <w:rPr>
          <w:rFonts w:ascii="Arial" w:hAnsi="Arial" w:cs="Arial"/>
          <w:i/>
          <w:iCs/>
        </w:rPr>
        <w:t>Zero Emission Buses Regional Area (ZEBRA) project: Plymouth and South</w:t>
      </w:r>
      <w:r w:rsidRPr="00BC295E">
        <w:rPr>
          <w:rFonts w:ascii="Cambria Math" w:hAnsi="Cambria Math" w:cs="Cambria Math"/>
          <w:i/>
          <w:iCs/>
        </w:rPr>
        <w:t>‑</w:t>
      </w:r>
      <w:r w:rsidRPr="00BC295E">
        <w:rPr>
          <w:rFonts w:ascii="Arial" w:hAnsi="Arial" w:cs="Arial"/>
          <w:i/>
          <w:iCs/>
        </w:rPr>
        <w:t>East Cornwall</w:t>
      </w:r>
      <w:r w:rsidRPr="007643AA">
        <w:rPr>
          <w:rFonts w:ascii="Arial" w:hAnsi="Arial" w:cs="Arial"/>
        </w:rPr>
        <w:t xml:space="preserve">. Available at: https://www.local.gov.uk/case-studies/zero-emission-buses-regional-area-zebra-project-plymouth-and-south-east-cornwall (Accessed: 22 March 2026).  </w:t>
      </w:r>
    </w:p>
    <w:p w14:paraId="36ED5DD1"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Local Government Association (2026a) </w:t>
      </w:r>
      <w:r w:rsidRPr="00BC295E">
        <w:rPr>
          <w:rFonts w:ascii="Arial" w:hAnsi="Arial" w:cs="Arial"/>
          <w:i/>
          <w:iCs/>
        </w:rPr>
        <w:t>Greater Manchester’s whole</w:t>
      </w:r>
      <w:r w:rsidRPr="00BC295E">
        <w:rPr>
          <w:rFonts w:ascii="Cambria Math" w:hAnsi="Cambria Math" w:cs="Cambria Math"/>
          <w:i/>
          <w:iCs/>
        </w:rPr>
        <w:t>‑</w:t>
      </w:r>
      <w:r w:rsidRPr="00BC295E">
        <w:rPr>
          <w:rFonts w:ascii="Arial" w:hAnsi="Arial" w:cs="Arial"/>
          <w:i/>
          <w:iCs/>
        </w:rPr>
        <w:t>system approach to increase physical activity and tackling inequalities</w:t>
      </w:r>
      <w:r w:rsidRPr="007643AA">
        <w:rPr>
          <w:rFonts w:ascii="Arial" w:hAnsi="Arial" w:cs="Arial"/>
        </w:rPr>
        <w:t>. Available at: https://www.local.gov.uk/case-studies/greater-manchesters-whole-system-approach-increase-physical-activity-and-tackling</w:t>
      </w:r>
    </w:p>
    <w:p w14:paraId="4B34E016" w14:textId="548CB224" w:rsidR="00CA0AC4" w:rsidRPr="007643AA" w:rsidRDefault="00CA0AC4" w:rsidP="005E1445">
      <w:pPr>
        <w:spacing w:line="360" w:lineRule="auto"/>
        <w:jc w:val="both"/>
        <w:rPr>
          <w:rFonts w:ascii="Arial" w:hAnsi="Arial" w:cs="Arial"/>
        </w:rPr>
      </w:pPr>
      <w:r w:rsidRPr="007643AA">
        <w:rPr>
          <w:rFonts w:ascii="Arial" w:hAnsi="Arial" w:cs="Arial"/>
        </w:rPr>
        <w:t>Lyle, G. and Hendrie, D. (2024) ‘Global smoking</w:t>
      </w:r>
      <w:r w:rsidRPr="007643AA">
        <w:rPr>
          <w:rFonts w:ascii="Cambria Math" w:hAnsi="Cambria Math" w:cs="Cambria Math"/>
        </w:rPr>
        <w:t>‑</w:t>
      </w:r>
      <w:r w:rsidRPr="007643AA">
        <w:rPr>
          <w:rFonts w:ascii="Arial" w:hAnsi="Arial" w:cs="Arial"/>
        </w:rPr>
        <w:t xml:space="preserve">related deaths averted due to MPOWER policies implemented at the highest level between 2007 and 2020’, </w:t>
      </w:r>
      <w:r w:rsidRPr="00BC295E">
        <w:rPr>
          <w:rFonts w:ascii="Arial" w:hAnsi="Arial" w:cs="Arial"/>
          <w:i/>
          <w:iCs/>
        </w:rPr>
        <w:t>Global Health</w:t>
      </w:r>
      <w:r w:rsidRPr="007643AA">
        <w:rPr>
          <w:rFonts w:ascii="Arial" w:hAnsi="Arial" w:cs="Arial"/>
        </w:rPr>
        <w:t xml:space="preserve">, 20(40). Available at: https://doi.org/10.1186/s12992-023-01012-w </w:t>
      </w:r>
    </w:p>
    <w:p w14:paraId="46857892" w14:textId="4FCAFDD2" w:rsidR="00CA0AC4" w:rsidRPr="007643AA" w:rsidRDefault="00CA0AC4" w:rsidP="005E1445">
      <w:pPr>
        <w:spacing w:line="360" w:lineRule="auto"/>
        <w:jc w:val="both"/>
        <w:rPr>
          <w:rFonts w:ascii="Arial" w:hAnsi="Arial" w:cs="Arial"/>
        </w:rPr>
      </w:pPr>
      <w:r w:rsidRPr="007643AA">
        <w:rPr>
          <w:rFonts w:ascii="Arial" w:hAnsi="Arial" w:cs="Arial"/>
        </w:rPr>
        <w:t xml:space="preserve">Malkowski, O.S., Harvey, J., Townsend, N.P., Kelson, M.J., Foster, C.E.M. and Western, M.J. (2025) ‘Enablers and barriers to physical activity among older adults of low socio-economic status: a systematic review of qualitative literature’, </w:t>
      </w:r>
      <w:r w:rsidRPr="00BC295E">
        <w:rPr>
          <w:rFonts w:ascii="Arial" w:hAnsi="Arial" w:cs="Arial"/>
          <w:i/>
          <w:iCs/>
        </w:rPr>
        <w:t xml:space="preserve">International Journal of </w:t>
      </w:r>
      <w:proofErr w:type="spellStart"/>
      <w:r w:rsidRPr="00BC295E">
        <w:rPr>
          <w:rFonts w:ascii="Arial" w:hAnsi="Arial" w:cs="Arial"/>
          <w:i/>
          <w:iCs/>
        </w:rPr>
        <w:t>Behavioral</w:t>
      </w:r>
      <w:proofErr w:type="spellEnd"/>
      <w:r w:rsidRPr="00BC295E">
        <w:rPr>
          <w:rFonts w:ascii="Arial" w:hAnsi="Arial" w:cs="Arial"/>
          <w:i/>
          <w:iCs/>
        </w:rPr>
        <w:t xml:space="preserve"> </w:t>
      </w:r>
      <w:r w:rsidRPr="00BC295E">
        <w:rPr>
          <w:rFonts w:ascii="Arial" w:hAnsi="Arial" w:cs="Arial"/>
          <w:i/>
          <w:iCs/>
        </w:rPr>
        <w:lastRenderedPageBreak/>
        <w:t>Nutrition and Physical Activity</w:t>
      </w:r>
      <w:r w:rsidRPr="007643AA">
        <w:rPr>
          <w:rFonts w:ascii="Arial" w:hAnsi="Arial" w:cs="Arial"/>
        </w:rPr>
        <w:t xml:space="preserve">, 22(82). Available at: https://doi.org/10.1186/s12966-025-01753-4 </w:t>
      </w:r>
    </w:p>
    <w:p w14:paraId="096F44F2" w14:textId="120356D2" w:rsidR="00CA0AC4" w:rsidRPr="007643AA" w:rsidRDefault="00CA0AC4" w:rsidP="005E1445">
      <w:pPr>
        <w:spacing w:line="360" w:lineRule="auto"/>
        <w:jc w:val="both"/>
        <w:rPr>
          <w:rFonts w:ascii="Arial" w:hAnsi="Arial" w:cs="Arial"/>
        </w:rPr>
      </w:pPr>
      <w:r w:rsidRPr="007643AA">
        <w:rPr>
          <w:rFonts w:ascii="Arial" w:hAnsi="Arial" w:cs="Arial"/>
        </w:rPr>
        <w:t xml:space="preserve">Marmot, M., Allen, J., Boyce, T., Goldblatt, P. and Morrison, J. (2020) </w:t>
      </w:r>
      <w:r w:rsidR="00BC295E">
        <w:rPr>
          <w:rFonts w:ascii="Arial" w:hAnsi="Arial" w:cs="Arial"/>
        </w:rPr>
        <w:t>‘</w:t>
      </w:r>
      <w:r w:rsidRPr="007643AA">
        <w:rPr>
          <w:rFonts w:ascii="Arial" w:hAnsi="Arial" w:cs="Arial"/>
        </w:rPr>
        <w:t>Health equity in England: The Marmot Review 10 years on. London: Institute of Health Equity</w:t>
      </w:r>
      <w:r w:rsidR="00BC295E">
        <w:rPr>
          <w:rFonts w:ascii="Arial" w:hAnsi="Arial" w:cs="Arial"/>
        </w:rPr>
        <w:t>’</w:t>
      </w:r>
      <w:r w:rsidRPr="007643AA">
        <w:rPr>
          <w:rFonts w:ascii="Arial" w:hAnsi="Arial" w:cs="Arial"/>
        </w:rPr>
        <w:t xml:space="preserve">, </w:t>
      </w:r>
      <w:r w:rsidRPr="00BC295E">
        <w:rPr>
          <w:rFonts w:ascii="Arial" w:hAnsi="Arial" w:cs="Arial"/>
          <w:i/>
          <w:iCs/>
        </w:rPr>
        <w:t>UCL</w:t>
      </w:r>
      <w:r w:rsidRPr="007643AA">
        <w:rPr>
          <w:rFonts w:ascii="Arial" w:hAnsi="Arial" w:cs="Arial"/>
        </w:rPr>
        <w:t xml:space="preserve">. Available at: https://www.instituteofhealthequity.org/resources-reports/marmot-review-10-years-on (Accessed: 22 March 2026). </w:t>
      </w:r>
    </w:p>
    <w:p w14:paraId="0CB4AB78"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National Cancer Institute (2025) </w:t>
      </w:r>
      <w:r w:rsidRPr="00BC295E">
        <w:rPr>
          <w:rFonts w:ascii="Arial" w:hAnsi="Arial" w:cs="Arial"/>
          <w:i/>
          <w:iCs/>
        </w:rPr>
        <w:t>HPV and cancer</w:t>
      </w:r>
      <w:r w:rsidRPr="007643AA">
        <w:rPr>
          <w:rFonts w:ascii="Arial" w:hAnsi="Arial" w:cs="Arial"/>
        </w:rPr>
        <w:t xml:space="preserve">. Available at: https://www.cancer.gov/about-cancer/causes-prevention/risk/infectious-agents/hpv-and-cancer (Accessed: 22 March 2026). </w:t>
      </w:r>
    </w:p>
    <w:p w14:paraId="0A22CCE0" w14:textId="47CFD310" w:rsidR="00CA0AC4" w:rsidRPr="007643AA" w:rsidRDefault="00CA0AC4" w:rsidP="005E1445">
      <w:pPr>
        <w:spacing w:line="360" w:lineRule="auto"/>
        <w:jc w:val="both"/>
        <w:rPr>
          <w:rFonts w:ascii="Arial" w:hAnsi="Arial" w:cs="Arial"/>
        </w:rPr>
      </w:pPr>
      <w:r w:rsidRPr="007643AA">
        <w:rPr>
          <w:rFonts w:ascii="Arial" w:hAnsi="Arial" w:cs="Arial"/>
        </w:rPr>
        <w:t xml:space="preserve">Nazish, A., Abbas, K. and Sattar, E. (2024) ‘Health impact of urban green spaces: a systematic review of heat-related morbidity and mortality’, </w:t>
      </w:r>
      <w:r w:rsidRPr="00CA0AC4">
        <w:rPr>
          <w:rFonts w:ascii="Arial" w:hAnsi="Arial" w:cs="Arial"/>
          <w:i/>
          <w:iCs/>
        </w:rPr>
        <w:t>BMJ Open</w:t>
      </w:r>
      <w:r w:rsidRPr="007643AA">
        <w:rPr>
          <w:rFonts w:ascii="Arial" w:hAnsi="Arial" w:cs="Arial"/>
        </w:rPr>
        <w:t xml:space="preserve">, 14(9). Available at: https://doi.org/10.1136/bmjopen-2023-081632 </w:t>
      </w:r>
    </w:p>
    <w:p w14:paraId="741A5C47"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NHS (2026) </w:t>
      </w:r>
      <w:r w:rsidRPr="00CA0AC4">
        <w:rPr>
          <w:rFonts w:ascii="Arial" w:hAnsi="Arial" w:cs="Arial"/>
          <w:i/>
          <w:iCs/>
        </w:rPr>
        <w:t>HPV vaccine</w:t>
      </w:r>
      <w:r w:rsidRPr="007643AA">
        <w:rPr>
          <w:rFonts w:ascii="Arial" w:hAnsi="Arial" w:cs="Arial"/>
        </w:rPr>
        <w:t>. Available at: https://www.nhs.uk/vaccinations/hpv</w:t>
      </w:r>
      <w:r w:rsidRPr="007643AA">
        <w:rPr>
          <w:rFonts w:ascii="Cambria Math" w:hAnsi="Cambria Math" w:cs="Cambria Math"/>
        </w:rPr>
        <w:t>‑</w:t>
      </w:r>
      <w:r w:rsidRPr="007643AA">
        <w:rPr>
          <w:rFonts w:ascii="Arial" w:hAnsi="Arial" w:cs="Arial"/>
        </w:rPr>
        <w:t xml:space="preserve">vaccine/ (Accessed: 22 March 2026). </w:t>
      </w:r>
    </w:p>
    <w:p w14:paraId="325304C2"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NHS Digital (2022) </w:t>
      </w:r>
      <w:r w:rsidRPr="00CA0AC4">
        <w:rPr>
          <w:rFonts w:ascii="Arial" w:hAnsi="Arial" w:cs="Arial"/>
          <w:i/>
          <w:iCs/>
        </w:rPr>
        <w:t>Health Survey England Additional Analyses, Ethnicity and Health, 2011</w:t>
      </w:r>
      <w:r w:rsidRPr="00CA0AC4">
        <w:rPr>
          <w:rFonts w:ascii="Cambria Math" w:hAnsi="Cambria Math" w:cs="Cambria Math"/>
          <w:i/>
          <w:iCs/>
        </w:rPr>
        <w:t>‑</w:t>
      </w:r>
      <w:r w:rsidRPr="00CA0AC4">
        <w:rPr>
          <w:rFonts w:ascii="Arial" w:hAnsi="Arial" w:cs="Arial"/>
          <w:i/>
          <w:iCs/>
        </w:rPr>
        <w:t>2019 Experimental statistics</w:t>
      </w:r>
      <w:r w:rsidRPr="007643AA">
        <w:rPr>
          <w:rFonts w:ascii="Arial" w:hAnsi="Arial" w:cs="Arial"/>
        </w:rPr>
        <w:t xml:space="preserve">. Official statistics in development. Published 30 June 2022. Available at: </w:t>
      </w:r>
      <w:proofErr w:type="gramStart"/>
      <w:r w:rsidRPr="007643AA">
        <w:rPr>
          <w:rFonts w:ascii="Arial" w:hAnsi="Arial" w:cs="Arial"/>
        </w:rPr>
        <w:t>https://digital.nhs.uk/data-and-information/publications/statistical/health-survey-england-additional-analyses/ethnicity-and-health-2011-2019-experimental-statistics/physical-activity-copy  (</w:t>
      </w:r>
      <w:proofErr w:type="gramEnd"/>
      <w:r w:rsidRPr="007643AA">
        <w:rPr>
          <w:rFonts w:ascii="Arial" w:hAnsi="Arial" w:cs="Arial"/>
        </w:rPr>
        <w:t>Accessed: 22 March 2026).</w:t>
      </w:r>
    </w:p>
    <w:p w14:paraId="35EA4EC9"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Rosenstock, I.M., </w:t>
      </w:r>
      <w:proofErr w:type="spellStart"/>
      <w:r w:rsidRPr="007643AA">
        <w:rPr>
          <w:rFonts w:ascii="Arial" w:hAnsi="Arial" w:cs="Arial"/>
        </w:rPr>
        <w:t>Strecher</w:t>
      </w:r>
      <w:proofErr w:type="spellEnd"/>
      <w:r w:rsidRPr="007643AA">
        <w:rPr>
          <w:rFonts w:ascii="Arial" w:hAnsi="Arial" w:cs="Arial"/>
        </w:rPr>
        <w:t xml:space="preserve">, V.J. and Becker, M.H. (1988) ‘Social learning theory and the Health Belief Model’, </w:t>
      </w:r>
      <w:r w:rsidRPr="00CA0AC4">
        <w:rPr>
          <w:rFonts w:ascii="Arial" w:hAnsi="Arial" w:cs="Arial"/>
          <w:i/>
          <w:iCs/>
        </w:rPr>
        <w:t>Health Education Quarterly</w:t>
      </w:r>
      <w:r w:rsidRPr="007643AA">
        <w:rPr>
          <w:rFonts w:ascii="Arial" w:hAnsi="Arial" w:cs="Arial"/>
        </w:rPr>
        <w:t xml:space="preserve">, 15(2), pp. 175–183. Available at: https://www.jstor.org/stable/45049256 </w:t>
      </w:r>
    </w:p>
    <w:p w14:paraId="78DD335B"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UK Government (2018) </w:t>
      </w:r>
      <w:r w:rsidRPr="00CA0AC4">
        <w:rPr>
          <w:rFonts w:ascii="Arial" w:hAnsi="Arial" w:cs="Arial"/>
          <w:i/>
          <w:iCs/>
        </w:rPr>
        <w:t>Health matters: air pollution</w:t>
      </w:r>
      <w:r w:rsidRPr="007643AA">
        <w:rPr>
          <w:rFonts w:ascii="Arial" w:hAnsi="Arial" w:cs="Arial"/>
        </w:rPr>
        <w:t xml:space="preserve">. Available at: https://www.gov.uk/government/publications/health-matters-air-pollution/health-matters-air-pollution </w:t>
      </w:r>
    </w:p>
    <w:p w14:paraId="59082F0E" w14:textId="77777777" w:rsidR="00CA0AC4" w:rsidRPr="007643AA" w:rsidRDefault="00CA0AC4" w:rsidP="005E1445">
      <w:pPr>
        <w:spacing w:line="360" w:lineRule="auto"/>
        <w:jc w:val="both"/>
        <w:rPr>
          <w:rFonts w:ascii="Arial" w:hAnsi="Arial" w:cs="Arial"/>
        </w:rPr>
      </w:pPr>
      <w:r>
        <w:rPr>
          <w:rFonts w:ascii="Arial" w:hAnsi="Arial" w:cs="Arial"/>
        </w:rPr>
        <w:t>UK Government</w:t>
      </w:r>
      <w:r w:rsidRPr="007643AA">
        <w:rPr>
          <w:rFonts w:ascii="Arial" w:hAnsi="Arial" w:cs="Arial"/>
        </w:rPr>
        <w:t xml:space="preserve"> (2020) </w:t>
      </w:r>
      <w:r w:rsidRPr="00CA0AC4">
        <w:rPr>
          <w:rFonts w:ascii="Arial" w:hAnsi="Arial" w:cs="Arial"/>
          <w:i/>
          <w:iCs/>
        </w:rPr>
        <w:t>Gear change: a bold vision for cycling and walking</w:t>
      </w:r>
      <w:r w:rsidRPr="007643AA">
        <w:rPr>
          <w:rFonts w:ascii="Arial" w:hAnsi="Arial" w:cs="Arial"/>
        </w:rPr>
        <w:t>. Available at: https://www.gov.uk/government/publications/cycling-and-walking-plan-for-england (Accessed: 22 March 2026).</w:t>
      </w:r>
    </w:p>
    <w:p w14:paraId="2A0215D0" w14:textId="77777777" w:rsidR="00CA0AC4" w:rsidRPr="007643AA" w:rsidRDefault="00CA0AC4" w:rsidP="005E1445">
      <w:pPr>
        <w:spacing w:line="360" w:lineRule="auto"/>
        <w:jc w:val="both"/>
        <w:rPr>
          <w:rFonts w:ascii="Arial" w:hAnsi="Arial" w:cs="Arial"/>
        </w:rPr>
      </w:pPr>
      <w:r>
        <w:rPr>
          <w:rFonts w:ascii="Arial" w:hAnsi="Arial" w:cs="Arial"/>
        </w:rPr>
        <w:t>UK Government</w:t>
      </w:r>
      <w:r w:rsidRPr="007643AA">
        <w:rPr>
          <w:rFonts w:ascii="Arial" w:hAnsi="Arial" w:cs="Arial"/>
        </w:rPr>
        <w:t xml:space="preserve"> (2021) </w:t>
      </w:r>
      <w:r w:rsidRPr="00CA0AC4">
        <w:rPr>
          <w:rFonts w:ascii="Arial" w:hAnsi="Arial" w:cs="Arial"/>
          <w:i/>
          <w:iCs/>
        </w:rPr>
        <w:t>Gear Change: one</w:t>
      </w:r>
      <w:r w:rsidRPr="00CA0AC4">
        <w:rPr>
          <w:rFonts w:ascii="Cambria Math" w:hAnsi="Cambria Math" w:cs="Cambria Math"/>
          <w:i/>
          <w:iCs/>
        </w:rPr>
        <w:t>‑</w:t>
      </w:r>
      <w:r w:rsidRPr="00CA0AC4">
        <w:rPr>
          <w:rFonts w:ascii="Arial" w:hAnsi="Arial" w:cs="Arial"/>
          <w:i/>
          <w:iCs/>
        </w:rPr>
        <w:t>year</w:t>
      </w:r>
      <w:r w:rsidRPr="00CA0AC4">
        <w:rPr>
          <w:rFonts w:ascii="Cambria Math" w:hAnsi="Cambria Math" w:cs="Cambria Math"/>
          <w:i/>
          <w:iCs/>
        </w:rPr>
        <w:t>‑</w:t>
      </w:r>
      <w:r w:rsidRPr="00CA0AC4">
        <w:rPr>
          <w:rFonts w:ascii="Arial" w:hAnsi="Arial" w:cs="Arial"/>
          <w:i/>
          <w:iCs/>
        </w:rPr>
        <w:t>on review</w:t>
      </w:r>
      <w:r w:rsidRPr="007643AA">
        <w:rPr>
          <w:rFonts w:ascii="Arial" w:hAnsi="Arial" w:cs="Arial"/>
        </w:rPr>
        <w:t>. Available at: https://www.gov.uk/government/publications/gear-change-one-year-on-review (Accessed: 22 March 2026).</w:t>
      </w:r>
    </w:p>
    <w:p w14:paraId="2D0B8B5B" w14:textId="77777777" w:rsidR="00CA0AC4" w:rsidRPr="007643AA" w:rsidRDefault="00CA0AC4" w:rsidP="005E1445">
      <w:pPr>
        <w:spacing w:line="360" w:lineRule="auto"/>
        <w:jc w:val="both"/>
        <w:rPr>
          <w:rFonts w:ascii="Arial" w:hAnsi="Arial" w:cs="Arial"/>
        </w:rPr>
      </w:pPr>
      <w:r w:rsidRPr="007643AA">
        <w:rPr>
          <w:rFonts w:ascii="Arial" w:hAnsi="Arial" w:cs="Arial"/>
        </w:rPr>
        <w:lastRenderedPageBreak/>
        <w:t xml:space="preserve">UK Government (2025) </w:t>
      </w:r>
      <w:r w:rsidRPr="00CA0AC4">
        <w:rPr>
          <w:rFonts w:ascii="Arial" w:hAnsi="Arial" w:cs="Arial"/>
          <w:i/>
          <w:iCs/>
        </w:rPr>
        <w:t>Critical safety issues for walking, wheeling and cycling</w:t>
      </w:r>
      <w:r w:rsidRPr="007643AA">
        <w:rPr>
          <w:rFonts w:ascii="Arial" w:hAnsi="Arial" w:cs="Arial"/>
        </w:rPr>
        <w:t>. Available at: https://www.gov.uk/government/publications/critical-safety-issues-for-walking-wheeling-and-cycling/critical-safety-issues-for-walking-wheeling-and-cycling (Accessed: 22 March 2026).</w:t>
      </w:r>
    </w:p>
    <w:p w14:paraId="2EEDDDC7"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United Nations (2026) </w:t>
      </w:r>
      <w:r w:rsidRPr="00CA0AC4">
        <w:rPr>
          <w:rFonts w:ascii="Arial" w:hAnsi="Arial" w:cs="Arial"/>
          <w:i/>
          <w:iCs/>
        </w:rPr>
        <w:t>The 17 Goals</w:t>
      </w:r>
      <w:r w:rsidRPr="007643AA">
        <w:rPr>
          <w:rFonts w:ascii="Arial" w:hAnsi="Arial" w:cs="Arial"/>
        </w:rPr>
        <w:t>. Available at: https://sdgs.un.org/goals (Accessed: 22 March 2026).</w:t>
      </w:r>
    </w:p>
    <w:p w14:paraId="25AFDA6A" w14:textId="3185A059" w:rsidR="00CA0AC4" w:rsidRPr="007643AA" w:rsidRDefault="00CA0AC4" w:rsidP="005E1445">
      <w:pPr>
        <w:spacing w:line="360" w:lineRule="auto"/>
        <w:jc w:val="both"/>
        <w:rPr>
          <w:rFonts w:ascii="Arial" w:hAnsi="Arial" w:cs="Arial"/>
        </w:rPr>
      </w:pPr>
      <w:r w:rsidRPr="007643AA">
        <w:rPr>
          <w:rFonts w:ascii="Arial" w:hAnsi="Arial" w:cs="Arial"/>
        </w:rPr>
        <w:t xml:space="preserve">Ward, I.L., Bermingham, C.R., Soldan, K. and </w:t>
      </w:r>
      <w:proofErr w:type="spellStart"/>
      <w:r w:rsidRPr="007643AA">
        <w:rPr>
          <w:rFonts w:ascii="Arial" w:hAnsi="Arial" w:cs="Arial"/>
        </w:rPr>
        <w:t>Nafilyan</w:t>
      </w:r>
      <w:proofErr w:type="spellEnd"/>
      <w:r w:rsidRPr="007643AA">
        <w:rPr>
          <w:rFonts w:ascii="Arial" w:hAnsi="Arial" w:cs="Arial"/>
        </w:rPr>
        <w:t xml:space="preserve">, V. (2025) ‘Evaluating the effectiveness of the human papillomavirus vaccination programme in England, using a regression discontinuity design’, </w:t>
      </w:r>
      <w:r w:rsidRPr="00CA0AC4">
        <w:rPr>
          <w:rFonts w:ascii="Arial" w:hAnsi="Arial" w:cs="Arial"/>
          <w:i/>
          <w:iCs/>
        </w:rPr>
        <w:t>International Journal of Epidemiology</w:t>
      </w:r>
      <w:r w:rsidRPr="007643AA">
        <w:rPr>
          <w:rFonts w:ascii="Arial" w:hAnsi="Arial" w:cs="Arial"/>
        </w:rPr>
        <w:t>, 54(5</w:t>
      </w:r>
      <w:r>
        <w:rPr>
          <w:rFonts w:ascii="Arial" w:hAnsi="Arial" w:cs="Arial"/>
        </w:rPr>
        <w:t>)</w:t>
      </w:r>
      <w:r w:rsidRPr="007643AA">
        <w:rPr>
          <w:rFonts w:ascii="Arial" w:hAnsi="Arial" w:cs="Arial"/>
        </w:rPr>
        <w:t>. Available at: https://doi.org/10.1093/ije/dyaf156 (Accessed: 22 March 2026).</w:t>
      </w:r>
    </w:p>
    <w:p w14:paraId="665AE5A7"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Watson, L.K., Weldon, I., Lin, G.O., Nanyangwe-Moyo, T., Hoffman, S.J. and Poirier, M.J.P. (2023) ‘Beyond MPOWER: a systematic review of population-level factors that affect European tobacco smoking rates’, </w:t>
      </w:r>
      <w:r w:rsidRPr="00CA0AC4">
        <w:rPr>
          <w:rFonts w:ascii="Arial" w:hAnsi="Arial" w:cs="Arial"/>
          <w:i/>
          <w:iCs/>
        </w:rPr>
        <w:t>European Journal of Public Health</w:t>
      </w:r>
      <w:r w:rsidRPr="007643AA">
        <w:rPr>
          <w:rFonts w:ascii="Arial" w:hAnsi="Arial" w:cs="Arial"/>
        </w:rPr>
        <w:t xml:space="preserve">, 33(5), pp. 851–856. Available at: https://doi.org/10.1093/eurpub/ckad112 </w:t>
      </w:r>
    </w:p>
    <w:p w14:paraId="48292D01" w14:textId="6F094BD5" w:rsidR="00CA0AC4" w:rsidRPr="007643AA" w:rsidRDefault="00CA0AC4" w:rsidP="005E1445">
      <w:pPr>
        <w:spacing w:line="360" w:lineRule="auto"/>
        <w:jc w:val="both"/>
        <w:rPr>
          <w:rFonts w:ascii="Arial" w:hAnsi="Arial" w:cs="Arial"/>
        </w:rPr>
      </w:pPr>
      <w:r w:rsidRPr="007643AA">
        <w:rPr>
          <w:rFonts w:ascii="Arial" w:hAnsi="Arial" w:cs="Arial"/>
        </w:rPr>
        <w:t xml:space="preserve">Wills, J., Mileva, K.N., Sykes, S., Graham, C., Flood, C., Jenkins, C.L., </w:t>
      </w:r>
      <w:proofErr w:type="spellStart"/>
      <w:r w:rsidRPr="007643AA">
        <w:rPr>
          <w:rFonts w:ascii="Arial" w:hAnsi="Arial" w:cs="Arial"/>
        </w:rPr>
        <w:t>Owugha</w:t>
      </w:r>
      <w:proofErr w:type="spellEnd"/>
      <w:r w:rsidRPr="007643AA">
        <w:rPr>
          <w:rFonts w:ascii="Arial" w:hAnsi="Arial" w:cs="Arial"/>
        </w:rPr>
        <w:t>, J. and Taylor</w:t>
      </w:r>
      <w:r w:rsidRPr="007643AA">
        <w:rPr>
          <w:rFonts w:ascii="Cambria Math" w:hAnsi="Cambria Math" w:cs="Cambria Math"/>
        </w:rPr>
        <w:t>‑</w:t>
      </w:r>
      <w:r w:rsidRPr="007643AA">
        <w:rPr>
          <w:rFonts w:ascii="Arial" w:hAnsi="Arial" w:cs="Arial"/>
        </w:rPr>
        <w:t>Kaveney, T. (2025) ‘An evaluation of a community</w:t>
      </w:r>
      <w:r w:rsidRPr="007643AA">
        <w:rPr>
          <w:rFonts w:ascii="Cambria Math" w:hAnsi="Cambria Math" w:cs="Cambria Math"/>
        </w:rPr>
        <w:t>‑</w:t>
      </w:r>
      <w:r w:rsidRPr="007643AA">
        <w:rPr>
          <w:rFonts w:ascii="Arial" w:hAnsi="Arial" w:cs="Arial"/>
        </w:rPr>
        <w:t xml:space="preserve">based intervention in England aiming to reduce inequalities in exercise participation’, </w:t>
      </w:r>
      <w:r w:rsidRPr="00CA0AC4">
        <w:rPr>
          <w:rFonts w:ascii="Arial" w:hAnsi="Arial" w:cs="Arial"/>
          <w:i/>
          <w:iCs/>
        </w:rPr>
        <w:t>Frontiers in Sports and Active Living</w:t>
      </w:r>
      <w:r w:rsidRPr="007643AA">
        <w:rPr>
          <w:rFonts w:ascii="Arial" w:hAnsi="Arial" w:cs="Arial"/>
        </w:rPr>
        <w:t xml:space="preserve">, 7. Available at: https://doi.org/10.3389/fspor.2025.1505249 </w:t>
      </w:r>
    </w:p>
    <w:p w14:paraId="6EB06A6F"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World Health Organization (2021) </w:t>
      </w:r>
      <w:r w:rsidRPr="00CA0AC4">
        <w:rPr>
          <w:rFonts w:ascii="Arial" w:hAnsi="Arial" w:cs="Arial"/>
          <w:i/>
          <w:iCs/>
        </w:rPr>
        <w:t>Health and well-being and the 2030 Agenda for Sustainable Development in the WHO European Region: an analysis of policy development and implementation</w:t>
      </w:r>
      <w:r w:rsidRPr="007643AA">
        <w:rPr>
          <w:rFonts w:ascii="Arial" w:hAnsi="Arial" w:cs="Arial"/>
        </w:rPr>
        <w:t>. Available at: https://www.who.int/europe/publications/i/item/WHO-EURO-2021-1878-41629-56873 (Accessed: 22 March 2026).</w:t>
      </w:r>
    </w:p>
    <w:p w14:paraId="00F013D2"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World Health Organization (2024) </w:t>
      </w:r>
      <w:r w:rsidRPr="00CA0AC4">
        <w:rPr>
          <w:rFonts w:ascii="Arial" w:hAnsi="Arial" w:cs="Arial"/>
          <w:i/>
          <w:iCs/>
        </w:rPr>
        <w:t>WHO global report on trends in prevalence of tobacco use 2000–2030</w:t>
      </w:r>
      <w:r w:rsidRPr="007643AA">
        <w:rPr>
          <w:rFonts w:ascii="Arial" w:hAnsi="Arial" w:cs="Arial"/>
        </w:rPr>
        <w:t>. Available at: WHO global report on trends in prevalence of tobacco use 2000–2030 (Accessed: 22 March 2026).</w:t>
      </w:r>
    </w:p>
    <w:p w14:paraId="15351D8F" w14:textId="77777777" w:rsidR="00CA0AC4" w:rsidRPr="007643AA" w:rsidRDefault="00CA0AC4" w:rsidP="005E1445">
      <w:pPr>
        <w:spacing w:line="360" w:lineRule="auto"/>
        <w:jc w:val="both"/>
        <w:rPr>
          <w:rFonts w:ascii="Arial" w:hAnsi="Arial" w:cs="Arial"/>
        </w:rPr>
      </w:pPr>
      <w:r w:rsidRPr="007643AA">
        <w:rPr>
          <w:rFonts w:ascii="Arial" w:hAnsi="Arial" w:cs="Arial"/>
        </w:rPr>
        <w:t>World Health Organization (2025</w:t>
      </w:r>
      <w:r w:rsidRPr="00CA0AC4">
        <w:rPr>
          <w:rFonts w:ascii="Arial" w:hAnsi="Arial" w:cs="Arial"/>
          <w:i/>
          <w:iCs/>
        </w:rPr>
        <w:t>) World health statistics 2025: monitoring health for the SDGs, Sustainable Development Goals</w:t>
      </w:r>
      <w:r w:rsidRPr="007643AA">
        <w:rPr>
          <w:rFonts w:ascii="Arial" w:hAnsi="Arial" w:cs="Arial"/>
        </w:rPr>
        <w:t>. Available at: https://www.who.int/publications/i/item/9789240110496 (Accessed: 22 March 2026).</w:t>
      </w:r>
    </w:p>
    <w:p w14:paraId="31BBA841"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World Health Organization (2025a) </w:t>
      </w:r>
      <w:r w:rsidRPr="00CA0AC4">
        <w:rPr>
          <w:rFonts w:ascii="Arial" w:hAnsi="Arial" w:cs="Arial"/>
          <w:i/>
          <w:iCs/>
        </w:rPr>
        <w:t>WHO report on the global tobacco epidemic, 2025: warning about the dangers of tobacco</w:t>
      </w:r>
      <w:r w:rsidRPr="007643AA">
        <w:rPr>
          <w:rFonts w:ascii="Arial" w:hAnsi="Arial" w:cs="Arial"/>
        </w:rPr>
        <w:t xml:space="preserve">. Available at: https://www.who.int/publications/i/item/9789240112063 (Accessed: 22 March 2026). </w:t>
      </w:r>
    </w:p>
    <w:p w14:paraId="07329886" w14:textId="77777777" w:rsidR="00CA0AC4" w:rsidRPr="007643AA" w:rsidRDefault="00CA0AC4" w:rsidP="005E1445">
      <w:pPr>
        <w:spacing w:line="360" w:lineRule="auto"/>
        <w:jc w:val="both"/>
        <w:rPr>
          <w:rFonts w:ascii="Arial" w:hAnsi="Arial" w:cs="Arial"/>
        </w:rPr>
      </w:pPr>
      <w:r w:rsidRPr="007643AA">
        <w:rPr>
          <w:rFonts w:ascii="Arial" w:hAnsi="Arial" w:cs="Arial"/>
        </w:rPr>
        <w:t xml:space="preserve">World Health Organization (2025b) </w:t>
      </w:r>
      <w:r w:rsidRPr="00CA0AC4">
        <w:rPr>
          <w:rFonts w:ascii="Arial" w:hAnsi="Arial" w:cs="Arial"/>
          <w:i/>
          <w:iCs/>
        </w:rPr>
        <w:t>MPOWER</w:t>
      </w:r>
      <w:r w:rsidRPr="007643AA">
        <w:rPr>
          <w:rFonts w:ascii="Arial" w:hAnsi="Arial" w:cs="Arial"/>
        </w:rPr>
        <w:t xml:space="preserve">. Available at: https://www.who.int/initiatives/mpower (Accessed: 22 March 2026). </w:t>
      </w:r>
    </w:p>
    <w:p w14:paraId="3B1212C7" w14:textId="77777777" w:rsidR="00CA0AC4" w:rsidRPr="007643AA" w:rsidRDefault="00CA0AC4" w:rsidP="005E1445">
      <w:pPr>
        <w:spacing w:line="360" w:lineRule="auto"/>
        <w:jc w:val="both"/>
        <w:rPr>
          <w:rFonts w:ascii="Arial" w:hAnsi="Arial" w:cs="Arial"/>
        </w:rPr>
      </w:pPr>
      <w:r w:rsidRPr="007643AA">
        <w:rPr>
          <w:rFonts w:ascii="Arial" w:hAnsi="Arial" w:cs="Arial"/>
        </w:rPr>
        <w:lastRenderedPageBreak/>
        <w:t>World Health Organization (2026</w:t>
      </w:r>
      <w:r w:rsidRPr="00CA0AC4">
        <w:rPr>
          <w:rFonts w:ascii="Arial" w:hAnsi="Arial" w:cs="Arial"/>
          <w:i/>
          <w:iCs/>
        </w:rPr>
        <w:t>) Urban Health Initiative: health impacts</w:t>
      </w:r>
      <w:r w:rsidRPr="007643AA">
        <w:rPr>
          <w:rFonts w:ascii="Arial" w:hAnsi="Arial" w:cs="Arial"/>
        </w:rPr>
        <w:t>. Available at: https://www.who.int/initiatives/urban-health-initiative/health-impacts (Accessed: 22 March 2026).</w:t>
      </w:r>
    </w:p>
    <w:sectPr w:rsidR="00CA0AC4" w:rsidRPr="007643A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934C3" w14:textId="77777777" w:rsidR="005C1053" w:rsidRDefault="005C1053" w:rsidP="00B63878">
      <w:pPr>
        <w:spacing w:after="0" w:line="240" w:lineRule="auto"/>
      </w:pPr>
      <w:r>
        <w:separator/>
      </w:r>
    </w:p>
  </w:endnote>
  <w:endnote w:type="continuationSeparator" w:id="0">
    <w:p w14:paraId="35D63967" w14:textId="77777777" w:rsidR="005C1053" w:rsidRDefault="005C1053" w:rsidP="00B63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0560" w14:textId="77777777" w:rsidR="005C1053" w:rsidRDefault="005C1053" w:rsidP="00B63878">
      <w:pPr>
        <w:spacing w:after="0" w:line="240" w:lineRule="auto"/>
      </w:pPr>
      <w:r>
        <w:separator/>
      </w:r>
    </w:p>
  </w:footnote>
  <w:footnote w:type="continuationSeparator" w:id="0">
    <w:p w14:paraId="4C7496E5" w14:textId="77777777" w:rsidR="005C1053" w:rsidRDefault="005C1053" w:rsidP="00B63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708963"/>
      <w:docPartObj>
        <w:docPartGallery w:val="Page Numbers (Top of Page)"/>
        <w:docPartUnique/>
      </w:docPartObj>
    </w:sdtPr>
    <w:sdtContent>
      <w:p w14:paraId="063D36CA" w14:textId="3BDD83B7" w:rsidR="00B63878" w:rsidRDefault="00B63878">
        <w:pPr>
          <w:pStyle w:val="Header"/>
          <w:jc w:val="center"/>
        </w:pPr>
        <w:r>
          <w:fldChar w:fldCharType="begin"/>
        </w:r>
        <w:r>
          <w:instrText>PAGE   \* MERGEFORMAT</w:instrText>
        </w:r>
        <w:r>
          <w:fldChar w:fldCharType="separate"/>
        </w:r>
        <w:r>
          <w:t>2</w:t>
        </w:r>
        <w:r>
          <w:fldChar w:fldCharType="end"/>
        </w:r>
      </w:p>
    </w:sdtContent>
  </w:sdt>
  <w:p w14:paraId="4569A984" w14:textId="77777777" w:rsidR="00B63878" w:rsidRDefault="00B638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724"/>
    <w:rsid w:val="00257A1A"/>
    <w:rsid w:val="002A549F"/>
    <w:rsid w:val="002F58C7"/>
    <w:rsid w:val="003E303C"/>
    <w:rsid w:val="0054449C"/>
    <w:rsid w:val="005B05DF"/>
    <w:rsid w:val="005C1053"/>
    <w:rsid w:val="005E1445"/>
    <w:rsid w:val="006658D3"/>
    <w:rsid w:val="00681724"/>
    <w:rsid w:val="00702C95"/>
    <w:rsid w:val="007643AA"/>
    <w:rsid w:val="00876516"/>
    <w:rsid w:val="00901C49"/>
    <w:rsid w:val="00903C8F"/>
    <w:rsid w:val="00B63878"/>
    <w:rsid w:val="00BC295E"/>
    <w:rsid w:val="00CA0AC4"/>
    <w:rsid w:val="00D4796D"/>
    <w:rsid w:val="00E410A9"/>
    <w:rsid w:val="00E66CB7"/>
    <w:rsid w:val="00E67299"/>
    <w:rsid w:val="00F15525"/>
    <w:rsid w:val="00F45F7D"/>
    <w:rsid w:val="00FE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D2F8C"/>
  <w15:chartTrackingRefBased/>
  <w15:docId w15:val="{52F57962-4DA3-41BC-840F-6C211346A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7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7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7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7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7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7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7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7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724"/>
    <w:rPr>
      <w:rFonts w:eastAsiaTheme="majorEastAsia" w:cstheme="majorBidi"/>
      <w:color w:val="272727" w:themeColor="text1" w:themeTint="D8"/>
    </w:rPr>
  </w:style>
  <w:style w:type="paragraph" w:styleId="Title">
    <w:name w:val="Title"/>
    <w:basedOn w:val="Normal"/>
    <w:next w:val="Normal"/>
    <w:link w:val="TitleChar"/>
    <w:uiPriority w:val="10"/>
    <w:qFormat/>
    <w:rsid w:val="00681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724"/>
    <w:pPr>
      <w:spacing w:before="160"/>
      <w:jc w:val="center"/>
    </w:pPr>
    <w:rPr>
      <w:i/>
      <w:iCs/>
      <w:color w:val="404040" w:themeColor="text1" w:themeTint="BF"/>
    </w:rPr>
  </w:style>
  <w:style w:type="character" w:customStyle="1" w:styleId="QuoteChar">
    <w:name w:val="Quote Char"/>
    <w:basedOn w:val="DefaultParagraphFont"/>
    <w:link w:val="Quote"/>
    <w:uiPriority w:val="29"/>
    <w:rsid w:val="00681724"/>
    <w:rPr>
      <w:i/>
      <w:iCs/>
      <w:color w:val="404040" w:themeColor="text1" w:themeTint="BF"/>
    </w:rPr>
  </w:style>
  <w:style w:type="paragraph" w:styleId="ListParagraph">
    <w:name w:val="List Paragraph"/>
    <w:basedOn w:val="Normal"/>
    <w:uiPriority w:val="34"/>
    <w:qFormat/>
    <w:rsid w:val="00681724"/>
    <w:pPr>
      <w:ind w:left="720"/>
      <w:contextualSpacing/>
    </w:pPr>
  </w:style>
  <w:style w:type="character" w:styleId="IntenseEmphasis">
    <w:name w:val="Intense Emphasis"/>
    <w:basedOn w:val="DefaultParagraphFont"/>
    <w:uiPriority w:val="21"/>
    <w:qFormat/>
    <w:rsid w:val="00681724"/>
    <w:rPr>
      <w:i/>
      <w:iCs/>
      <w:color w:val="0F4761" w:themeColor="accent1" w:themeShade="BF"/>
    </w:rPr>
  </w:style>
  <w:style w:type="paragraph" w:styleId="IntenseQuote">
    <w:name w:val="Intense Quote"/>
    <w:basedOn w:val="Normal"/>
    <w:next w:val="Normal"/>
    <w:link w:val="IntenseQuoteChar"/>
    <w:uiPriority w:val="30"/>
    <w:qFormat/>
    <w:rsid w:val="00681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724"/>
    <w:rPr>
      <w:i/>
      <w:iCs/>
      <w:color w:val="0F4761" w:themeColor="accent1" w:themeShade="BF"/>
    </w:rPr>
  </w:style>
  <w:style w:type="character" w:styleId="IntenseReference">
    <w:name w:val="Intense Reference"/>
    <w:basedOn w:val="DefaultParagraphFont"/>
    <w:uiPriority w:val="32"/>
    <w:qFormat/>
    <w:rsid w:val="00681724"/>
    <w:rPr>
      <w:b/>
      <w:bCs/>
      <w:smallCaps/>
      <w:color w:val="0F4761" w:themeColor="accent1" w:themeShade="BF"/>
      <w:spacing w:val="5"/>
    </w:rPr>
  </w:style>
  <w:style w:type="paragraph" w:styleId="Header">
    <w:name w:val="header"/>
    <w:basedOn w:val="Normal"/>
    <w:link w:val="HeaderChar"/>
    <w:uiPriority w:val="99"/>
    <w:unhideWhenUsed/>
    <w:rsid w:val="00B63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878"/>
  </w:style>
  <w:style w:type="paragraph" w:styleId="Footer">
    <w:name w:val="footer"/>
    <w:basedOn w:val="Normal"/>
    <w:link w:val="FooterChar"/>
    <w:uiPriority w:val="99"/>
    <w:unhideWhenUsed/>
    <w:rsid w:val="00B63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878"/>
  </w:style>
  <w:style w:type="character" w:styleId="Hyperlink">
    <w:name w:val="Hyperlink"/>
    <w:basedOn w:val="DefaultParagraphFont"/>
    <w:uiPriority w:val="99"/>
    <w:unhideWhenUsed/>
    <w:rsid w:val="007643AA"/>
    <w:rPr>
      <w:color w:val="467886" w:themeColor="hyperlink"/>
      <w:u w:val="single"/>
    </w:rPr>
  </w:style>
  <w:style w:type="character" w:styleId="UnresolvedMention">
    <w:name w:val="Unresolved Mention"/>
    <w:basedOn w:val="DefaultParagraphFont"/>
    <w:uiPriority w:val="99"/>
    <w:semiHidden/>
    <w:unhideWhenUsed/>
    <w:rsid w:val="00764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future304002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4140</Words>
  <Characters>23604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Gaiu (2332587)</dc:creator>
  <cp:keywords/>
  <dc:description/>
  <cp:lastModifiedBy>Alexandru Gaiu (2332587)</cp:lastModifiedBy>
  <cp:revision>2</cp:revision>
  <dcterms:created xsi:type="dcterms:W3CDTF">2026-03-22T13:18:00Z</dcterms:created>
  <dcterms:modified xsi:type="dcterms:W3CDTF">2026-03-22T13:18:00Z</dcterms:modified>
</cp:coreProperties>
</file>