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BE3DF" w14:textId="77777777" w:rsidR="00F81F67" w:rsidRPr="00C07BB7" w:rsidRDefault="00F81F67" w:rsidP="00462CB9">
      <w:pPr>
        <w:jc w:val="center"/>
        <w:rPr>
          <w:rFonts w:cs="Arial"/>
          <w:b/>
          <w:bCs/>
          <w:sz w:val="24"/>
          <w:szCs w:val="24"/>
        </w:rPr>
      </w:pPr>
      <w:r w:rsidRPr="00C07BB7">
        <w:rPr>
          <w:rFonts w:cs="Arial"/>
          <w:noProof/>
        </w:rPr>
        <w:drawing>
          <wp:inline distT="0" distB="0" distL="0" distR="0" wp14:anchorId="551E0A5A" wp14:editId="7DF9F85D">
            <wp:extent cx="4941354" cy="2057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9891" cy="2073446"/>
                    </a:xfrm>
                    <a:prstGeom prst="rect">
                      <a:avLst/>
                    </a:prstGeom>
                    <a:noFill/>
                  </pic:spPr>
                </pic:pic>
              </a:graphicData>
            </a:graphic>
          </wp:inline>
        </w:drawing>
      </w:r>
    </w:p>
    <w:p w14:paraId="47F5FF18" w14:textId="7FED4033" w:rsidR="00062E46" w:rsidRPr="00062E46" w:rsidRDefault="00F81F67" w:rsidP="00062E46">
      <w:pPr>
        <w:jc w:val="center"/>
        <w:rPr>
          <w:rFonts w:cs="Arial"/>
          <w:b/>
          <w:bCs/>
          <w:sz w:val="40"/>
          <w:szCs w:val="40"/>
        </w:rPr>
      </w:pPr>
      <w:r w:rsidRPr="00062E46">
        <w:rPr>
          <w:rFonts w:cs="Arial"/>
          <w:b/>
          <w:bCs/>
          <w:sz w:val="40"/>
          <w:szCs w:val="40"/>
        </w:rPr>
        <w:t>Risk Factors and Management Strategies for Chronic Kidney Disease (CKD) Among the UK Adult Population (18 and Older): A Systematic Review</w:t>
      </w:r>
    </w:p>
    <w:p w14:paraId="3FC61CBE" w14:textId="77777777" w:rsidR="00062E46" w:rsidRDefault="00062E46" w:rsidP="00462CB9">
      <w:pPr>
        <w:jc w:val="center"/>
        <w:rPr>
          <w:rFonts w:cs="Arial"/>
          <w:b/>
          <w:bCs/>
          <w:sz w:val="24"/>
          <w:szCs w:val="24"/>
        </w:rPr>
      </w:pPr>
    </w:p>
    <w:p w14:paraId="533BC57A" w14:textId="77777777" w:rsidR="00062E46" w:rsidRPr="00C07BB7" w:rsidRDefault="00062E46" w:rsidP="00462CB9">
      <w:pPr>
        <w:jc w:val="center"/>
        <w:rPr>
          <w:rFonts w:cs="Arial"/>
          <w:b/>
          <w:bCs/>
          <w:sz w:val="24"/>
          <w:szCs w:val="24"/>
        </w:rPr>
      </w:pPr>
    </w:p>
    <w:p w14:paraId="6DE6A228" w14:textId="2DBC6198" w:rsidR="00F81F67" w:rsidRPr="00C07BB7" w:rsidRDefault="00F81F67" w:rsidP="00421807">
      <w:pPr>
        <w:jc w:val="center"/>
        <w:rPr>
          <w:rFonts w:cs="Arial"/>
          <w:sz w:val="28"/>
          <w:szCs w:val="24"/>
        </w:rPr>
      </w:pPr>
      <w:r w:rsidRPr="00C07BB7">
        <w:rPr>
          <w:rFonts w:cs="Arial"/>
          <w:sz w:val="28"/>
          <w:szCs w:val="24"/>
        </w:rPr>
        <w:t>Student Name:</w:t>
      </w:r>
      <w:r w:rsidR="00462CB9">
        <w:rPr>
          <w:rFonts w:cs="Arial"/>
          <w:sz w:val="28"/>
          <w:szCs w:val="24"/>
        </w:rPr>
        <w:t xml:space="preserve"> </w:t>
      </w:r>
      <w:r w:rsidRPr="00C07BB7">
        <w:rPr>
          <w:rFonts w:cs="Arial"/>
          <w:sz w:val="28"/>
          <w:szCs w:val="24"/>
        </w:rPr>
        <w:t>Md. Sakyf Jawad</w:t>
      </w:r>
    </w:p>
    <w:p w14:paraId="3CC4BE82" w14:textId="5EA0A3A4" w:rsidR="00F81F67" w:rsidRDefault="00F81F67" w:rsidP="00421807">
      <w:pPr>
        <w:jc w:val="center"/>
        <w:rPr>
          <w:rFonts w:cs="Arial"/>
          <w:sz w:val="28"/>
          <w:szCs w:val="24"/>
        </w:rPr>
      </w:pPr>
      <w:r w:rsidRPr="00C07BB7">
        <w:rPr>
          <w:rFonts w:cs="Arial"/>
          <w:sz w:val="28"/>
          <w:szCs w:val="24"/>
        </w:rPr>
        <w:t>Student ID:</w:t>
      </w:r>
      <w:r w:rsidR="00462CB9">
        <w:rPr>
          <w:rFonts w:cs="Arial"/>
          <w:sz w:val="28"/>
          <w:szCs w:val="24"/>
        </w:rPr>
        <w:t xml:space="preserve"> </w:t>
      </w:r>
      <w:r w:rsidRPr="00C07BB7">
        <w:rPr>
          <w:rFonts w:cs="Arial"/>
          <w:sz w:val="28"/>
          <w:szCs w:val="24"/>
        </w:rPr>
        <w:t>2435265</w:t>
      </w:r>
    </w:p>
    <w:p w14:paraId="142AACA9" w14:textId="147D7B3C" w:rsidR="00AC471E" w:rsidRPr="00C07BB7" w:rsidRDefault="00AC471E" w:rsidP="00421807">
      <w:pPr>
        <w:jc w:val="center"/>
        <w:rPr>
          <w:rFonts w:cs="Arial"/>
          <w:sz w:val="28"/>
          <w:szCs w:val="24"/>
        </w:rPr>
      </w:pPr>
      <w:r>
        <w:rPr>
          <w:rFonts w:cs="Arial"/>
          <w:sz w:val="28"/>
          <w:szCs w:val="24"/>
        </w:rPr>
        <w:t xml:space="preserve">Word Count: </w:t>
      </w:r>
      <w:r w:rsidR="00421807">
        <w:rPr>
          <w:rFonts w:cs="Arial"/>
          <w:sz w:val="28"/>
          <w:szCs w:val="24"/>
        </w:rPr>
        <w:t>15,071</w:t>
      </w:r>
    </w:p>
    <w:p w14:paraId="2836C727" w14:textId="53B2C26D" w:rsidR="004506D3" w:rsidRDefault="00F81F67" w:rsidP="00421807">
      <w:pPr>
        <w:jc w:val="center"/>
        <w:rPr>
          <w:rFonts w:cs="Arial"/>
          <w:sz w:val="28"/>
          <w:szCs w:val="24"/>
        </w:rPr>
      </w:pPr>
      <w:r w:rsidRPr="00C07BB7">
        <w:rPr>
          <w:rFonts w:cs="Arial"/>
          <w:sz w:val="28"/>
          <w:szCs w:val="24"/>
        </w:rPr>
        <w:t>Supervisor</w:t>
      </w:r>
      <w:r w:rsidR="00421807">
        <w:rPr>
          <w:rFonts w:cs="Arial"/>
          <w:sz w:val="28"/>
          <w:szCs w:val="24"/>
        </w:rPr>
        <w:t xml:space="preserve"> Name</w:t>
      </w:r>
      <w:r w:rsidRPr="00C07BB7">
        <w:rPr>
          <w:rFonts w:cs="Arial"/>
          <w:sz w:val="28"/>
          <w:szCs w:val="24"/>
        </w:rPr>
        <w:t>:</w:t>
      </w:r>
      <w:r w:rsidR="008018C1">
        <w:rPr>
          <w:rFonts w:cs="Arial"/>
          <w:sz w:val="28"/>
          <w:szCs w:val="24"/>
        </w:rPr>
        <w:t xml:space="preserve"> </w:t>
      </w:r>
      <w:r w:rsidRPr="00C07BB7">
        <w:rPr>
          <w:rFonts w:cs="Arial"/>
          <w:sz w:val="28"/>
          <w:szCs w:val="24"/>
        </w:rPr>
        <w:t>Oluwadamilola Tayo</w:t>
      </w:r>
    </w:p>
    <w:p w14:paraId="37926474" w14:textId="0BD9AAB7" w:rsidR="008018C1" w:rsidRPr="00C07BB7" w:rsidRDefault="008018C1" w:rsidP="00421807">
      <w:pPr>
        <w:jc w:val="center"/>
        <w:rPr>
          <w:rFonts w:cs="Arial"/>
          <w:sz w:val="28"/>
          <w:szCs w:val="24"/>
        </w:rPr>
      </w:pPr>
      <w:r>
        <w:rPr>
          <w:rFonts w:cs="Arial"/>
          <w:sz w:val="28"/>
          <w:szCs w:val="24"/>
        </w:rPr>
        <w:t xml:space="preserve">Submission Date: </w:t>
      </w:r>
      <w:r w:rsidR="00732E98">
        <w:rPr>
          <w:rFonts w:cs="Arial"/>
          <w:sz w:val="28"/>
          <w:szCs w:val="24"/>
        </w:rPr>
        <w:t>23</w:t>
      </w:r>
      <w:r w:rsidR="00A50B65">
        <w:rPr>
          <w:rFonts w:cs="Arial"/>
          <w:sz w:val="28"/>
          <w:szCs w:val="24"/>
          <w:vertAlign w:val="superscript"/>
        </w:rPr>
        <w:t>rd</w:t>
      </w:r>
      <w:r w:rsidR="00732E98">
        <w:rPr>
          <w:rFonts w:cs="Arial"/>
          <w:sz w:val="28"/>
          <w:szCs w:val="24"/>
        </w:rPr>
        <w:t xml:space="preserve"> </w:t>
      </w:r>
      <w:r>
        <w:rPr>
          <w:rFonts w:cs="Arial"/>
          <w:sz w:val="28"/>
          <w:szCs w:val="24"/>
        </w:rPr>
        <w:t>September 2026</w:t>
      </w:r>
    </w:p>
    <w:p w14:paraId="7C3B44E7" w14:textId="77777777" w:rsidR="004506D3" w:rsidRPr="00C07BB7" w:rsidRDefault="004506D3" w:rsidP="00462CB9">
      <w:pPr>
        <w:spacing w:after="200"/>
        <w:jc w:val="left"/>
        <w:rPr>
          <w:rFonts w:cs="Arial"/>
          <w:sz w:val="28"/>
          <w:szCs w:val="24"/>
        </w:rPr>
      </w:pPr>
      <w:r w:rsidRPr="00C07BB7">
        <w:rPr>
          <w:rFonts w:cs="Arial"/>
          <w:sz w:val="28"/>
          <w:szCs w:val="24"/>
        </w:rPr>
        <w:br w:type="page"/>
      </w:r>
    </w:p>
    <w:p w14:paraId="54271CD3" w14:textId="64D9A9A6" w:rsidR="004506D3" w:rsidRPr="00C07BB7" w:rsidRDefault="004506D3" w:rsidP="00462CB9">
      <w:pPr>
        <w:pStyle w:val="Heading1"/>
        <w:rPr>
          <w:rFonts w:cs="Arial"/>
          <w:lang w:val="hr-HR"/>
        </w:rPr>
      </w:pPr>
      <w:bookmarkStart w:id="0" w:name="_Toc241011030"/>
      <w:r w:rsidRPr="00C07BB7">
        <w:rPr>
          <w:rFonts w:cs="Arial"/>
          <w:lang w:val="hr-HR"/>
        </w:rPr>
        <w:lastRenderedPageBreak/>
        <w:t>DECLARATION</w:t>
      </w:r>
      <w:bookmarkEnd w:id="0"/>
    </w:p>
    <w:p w14:paraId="7B899B6C" w14:textId="009FD196" w:rsidR="004506D3" w:rsidRPr="00C07BB7" w:rsidRDefault="004506D3" w:rsidP="00462CB9">
      <w:pPr>
        <w:rPr>
          <w:rFonts w:cs="Arial"/>
          <w:lang w:val="hr-HR"/>
        </w:rPr>
      </w:pPr>
      <w:r w:rsidRPr="00C07BB7">
        <w:rPr>
          <w:rFonts w:cs="Arial"/>
          <w:noProof/>
          <w:lang w:val="en-GB"/>
        </w:rPr>
        <mc:AlternateContent>
          <mc:Choice Requires="wpi">
            <w:drawing>
              <wp:anchor distT="0" distB="0" distL="114300" distR="114300" simplePos="0" relativeHeight="251653120" behindDoc="0" locked="0" layoutInCell="1" allowOverlap="1" wp14:anchorId="5BEA6B51" wp14:editId="69E0F951">
                <wp:simplePos x="0" y="0"/>
                <wp:positionH relativeFrom="column">
                  <wp:posOffset>-2084070</wp:posOffset>
                </wp:positionH>
                <wp:positionV relativeFrom="paragraph">
                  <wp:posOffset>-224790</wp:posOffset>
                </wp:positionV>
                <wp:extent cx="920750" cy="920750"/>
                <wp:effectExtent l="1905" t="3810" r="1270" b="0"/>
                <wp:wrapNone/>
                <wp:docPr id="19" name="Ink 1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10584F3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64.1pt;margin-top:-17.7pt;width:72.5pt;height:7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IxIA5r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C07BB7">
        <w:rPr>
          <w:rFonts w:cs="Arial"/>
          <w:noProof/>
          <w:lang w:val="en-GB"/>
        </w:rPr>
        <mc:AlternateContent>
          <mc:Choice Requires="wpi">
            <w:drawing>
              <wp:anchor distT="0" distB="0" distL="114300" distR="114300" simplePos="0" relativeHeight="251657216" behindDoc="0" locked="0" layoutInCell="1" allowOverlap="1" wp14:anchorId="4B23DD63" wp14:editId="47350CF1">
                <wp:simplePos x="0" y="0"/>
                <wp:positionH relativeFrom="column">
                  <wp:posOffset>-2084070</wp:posOffset>
                </wp:positionH>
                <wp:positionV relativeFrom="paragraph">
                  <wp:posOffset>233045</wp:posOffset>
                </wp:positionV>
                <wp:extent cx="920750" cy="40640"/>
                <wp:effectExtent l="1905" t="4445" r="1270" b="2540"/>
                <wp:wrapNone/>
                <wp:docPr id="18" name="Ink 1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0E95CECB" id="Ink 18" o:spid="_x0000_s1026" type="#_x0000_t75" style="position:absolute;margin-left:-164.1pt;margin-top:18.35pt;width:72.5pt;height: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">
                <o:lock v:ext="edit" rotation="t" verticies="t" shapetype="t"/>
              </v:shape>
            </w:pict>
          </mc:Fallback>
        </mc:AlternateContent>
      </w:r>
      <w:r w:rsidRPr="00C07BB7">
        <w:rPr>
          <w:rFonts w:cs="Arial"/>
          <w:noProof/>
          <w:lang w:val="en-GB"/>
        </w:rPr>
        <mc:AlternateContent>
          <mc:Choice Requires="wpi">
            <w:drawing>
              <wp:anchor distT="0" distB="0" distL="114300" distR="114300" simplePos="0" relativeHeight="251661312" behindDoc="0" locked="0" layoutInCell="1" allowOverlap="1" wp14:anchorId="39F10C70" wp14:editId="6C040CE3">
                <wp:simplePos x="0" y="0"/>
                <wp:positionH relativeFrom="column">
                  <wp:posOffset>-2084070</wp:posOffset>
                </wp:positionH>
                <wp:positionV relativeFrom="paragraph">
                  <wp:posOffset>-214630</wp:posOffset>
                </wp:positionV>
                <wp:extent cx="920750" cy="920750"/>
                <wp:effectExtent l="1905" t="4445" r="1270" b="0"/>
                <wp:wrapNone/>
                <wp:docPr id="17" name="Ink 17"/>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4E8C2483" id="Ink 17"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Cgo/OH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C07BB7">
        <w:rPr>
          <w:rFonts w:cs="Arial"/>
          <w:noProof/>
          <w:lang w:val="en-GB"/>
        </w:rPr>
        <mc:AlternateContent>
          <mc:Choice Requires="wpi">
            <w:drawing>
              <wp:anchor distT="0" distB="0" distL="114300" distR="114300" simplePos="0" relativeHeight="251665408" behindDoc="0" locked="0" layoutInCell="1" allowOverlap="1" wp14:anchorId="6F76E69F" wp14:editId="3F60CD57">
                <wp:simplePos x="0" y="0"/>
                <wp:positionH relativeFrom="column">
                  <wp:posOffset>-2395855</wp:posOffset>
                </wp:positionH>
                <wp:positionV relativeFrom="paragraph">
                  <wp:posOffset>-216535</wp:posOffset>
                </wp:positionV>
                <wp:extent cx="920750" cy="920750"/>
                <wp:effectExtent l="4445" t="2540" r="0" b="635"/>
                <wp:wrapNone/>
                <wp:docPr id="16"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2469B68" id="Ink 16" o:spid="_x0000_s1026" type="#_x0000_t75" style="position:absolute;margin-left:-188.65pt;margin-top:-17.05pt;width:72.5pt;height: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">
                <o:lock v:ext="edit" rotation="t" verticies="t" shapetype="t"/>
              </v:shape>
            </w:pict>
          </mc:Fallback>
        </mc:AlternateContent>
      </w:r>
      <w:r w:rsidRPr="00C07BB7">
        <w:rPr>
          <w:rFonts w:cs="Arial"/>
          <w:lang w:val="hr-HR"/>
        </w:rPr>
        <w:t xml:space="preserve">I, </w:t>
      </w:r>
      <w:r w:rsidR="00BF54FA" w:rsidRPr="00C07BB7">
        <w:rPr>
          <w:rFonts w:cs="Arial"/>
          <w:lang w:val="hr-HR"/>
        </w:rPr>
        <w:t>Md. Sakyf Jawad</w:t>
      </w:r>
      <w:r w:rsidRPr="00C07BB7">
        <w:rPr>
          <w:rFonts w:cs="Arial"/>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411AD1D" w14:textId="77777777" w:rsidR="004506D3" w:rsidRDefault="004506D3" w:rsidP="00462CB9">
      <w:pPr>
        <w:rPr>
          <w:rFonts w:cs="Arial"/>
          <w:lang w:val="hr-HR"/>
        </w:rPr>
      </w:pPr>
    </w:p>
    <w:p w14:paraId="68529843" w14:textId="77777777" w:rsidR="00622D61" w:rsidRDefault="00622D61" w:rsidP="00462CB9">
      <w:pPr>
        <w:rPr>
          <w:rFonts w:cs="Arial"/>
          <w:lang w:val="hr-HR"/>
        </w:rPr>
      </w:pPr>
    </w:p>
    <w:p w14:paraId="27221649" w14:textId="77777777" w:rsidR="00622D61" w:rsidRDefault="00622D61" w:rsidP="00462CB9">
      <w:pPr>
        <w:rPr>
          <w:rFonts w:cs="Arial"/>
          <w:lang w:val="hr-HR"/>
        </w:rPr>
      </w:pPr>
    </w:p>
    <w:p w14:paraId="450A8DA4" w14:textId="77777777" w:rsidR="00622D61" w:rsidRPr="00C07BB7" w:rsidRDefault="00622D61" w:rsidP="00462CB9">
      <w:pPr>
        <w:rPr>
          <w:rFonts w:cs="Arial"/>
          <w:lang w:val="hr-HR"/>
        </w:rPr>
      </w:pPr>
    </w:p>
    <w:p w14:paraId="47E2E9CF" w14:textId="1CB7B679" w:rsidR="004506D3" w:rsidRPr="00C07BB7" w:rsidRDefault="004506D3" w:rsidP="00462CB9">
      <w:pPr>
        <w:rPr>
          <w:rFonts w:cs="Arial"/>
          <w:lang w:val="hr-HR"/>
        </w:rPr>
      </w:pPr>
      <w:r w:rsidRPr="00C07BB7">
        <w:rPr>
          <w:rFonts w:cs="Arial"/>
          <w:lang w:val="hr-HR"/>
        </w:rPr>
        <w:t>Signed:</w:t>
      </w:r>
      <w:r w:rsidR="00AC471E">
        <w:rPr>
          <w:rFonts w:cs="Arial"/>
          <w:lang w:val="hr-HR"/>
        </w:rPr>
        <w:t xml:space="preserve"> Md. </w:t>
      </w:r>
      <w:r w:rsidR="00CA753A" w:rsidRPr="00C07BB7">
        <w:rPr>
          <w:rFonts w:cs="Arial"/>
          <w:lang w:val="hr-HR"/>
        </w:rPr>
        <w:t>Sakyf Jawad</w:t>
      </w:r>
    </w:p>
    <w:p w14:paraId="6730762D" w14:textId="3B9752A6" w:rsidR="004506D3" w:rsidRPr="00C07BB7" w:rsidRDefault="004506D3" w:rsidP="00462CB9">
      <w:pPr>
        <w:rPr>
          <w:rFonts w:cs="Arial"/>
          <w:lang w:val="hr-HR"/>
        </w:rPr>
      </w:pPr>
      <w:r w:rsidRPr="00C07BB7">
        <w:rPr>
          <w:rFonts w:cs="Arial"/>
          <w:lang w:val="hr-HR"/>
        </w:rPr>
        <w:t>Date:</w:t>
      </w:r>
      <w:r w:rsidR="00AC471E">
        <w:rPr>
          <w:rFonts w:cs="Arial"/>
          <w:lang w:val="hr-HR"/>
        </w:rPr>
        <w:t xml:space="preserve"> 23 September 2026</w:t>
      </w:r>
    </w:p>
    <w:p w14:paraId="02218717" w14:textId="77777777" w:rsidR="00F81F67" w:rsidRPr="00C07BB7" w:rsidRDefault="00F81F67" w:rsidP="00462CB9">
      <w:pPr>
        <w:rPr>
          <w:rFonts w:cs="Arial"/>
        </w:rPr>
      </w:pPr>
    </w:p>
    <w:p w14:paraId="5882EA6C" w14:textId="77777777" w:rsidR="00F81F67" w:rsidRPr="00C07BB7" w:rsidRDefault="00F81F67" w:rsidP="00462CB9">
      <w:pPr>
        <w:spacing w:after="200"/>
        <w:jc w:val="left"/>
        <w:rPr>
          <w:rFonts w:cs="Arial"/>
          <w:b/>
          <w:bCs/>
          <w:sz w:val="28"/>
          <w:szCs w:val="24"/>
        </w:rPr>
      </w:pPr>
      <w:r w:rsidRPr="00C07BB7">
        <w:rPr>
          <w:rFonts w:cs="Arial"/>
          <w:b/>
          <w:bCs/>
          <w:sz w:val="28"/>
          <w:szCs w:val="24"/>
        </w:rPr>
        <w:br w:type="page"/>
      </w:r>
    </w:p>
    <w:p w14:paraId="31682779" w14:textId="77777777" w:rsidR="00F81F67" w:rsidRPr="00C07BB7" w:rsidRDefault="00F81F67" w:rsidP="00462CB9">
      <w:pPr>
        <w:pStyle w:val="Heading1"/>
        <w:rPr>
          <w:rFonts w:cs="Arial"/>
        </w:rPr>
      </w:pPr>
      <w:bookmarkStart w:id="1" w:name="_Toc240673003"/>
      <w:bookmarkStart w:id="2" w:name="_Toc241011031"/>
      <w:r w:rsidRPr="00C07BB7">
        <w:rPr>
          <w:rFonts w:cs="Arial"/>
        </w:rPr>
        <w:t>Acknowledgement</w:t>
      </w:r>
      <w:bookmarkEnd w:id="1"/>
      <w:bookmarkEnd w:id="2"/>
    </w:p>
    <w:p w14:paraId="03BF1890" w14:textId="40BB7376" w:rsidR="00F81F67" w:rsidRPr="00C07BB7" w:rsidRDefault="00F81F67" w:rsidP="00462CB9">
      <w:pPr>
        <w:rPr>
          <w:rFonts w:cs="Arial"/>
        </w:rPr>
      </w:pPr>
      <w:r w:rsidRPr="00C07BB7">
        <w:rPr>
          <w:rFonts w:cs="Arial"/>
        </w:rPr>
        <w:t xml:space="preserve">I would like to thank my supervisor, Oluwadamilola Tayo, for the guidance, constructive feedback and encouragement given throughout this dissertation. The assistance provided in developing the research question, systematic review and final writing was very helpful. I would also like to thank the academic staff of the </w:t>
      </w:r>
      <w:r w:rsidR="00152253">
        <w:rPr>
          <w:rFonts w:cs="Arial"/>
        </w:rPr>
        <w:t>Master’s in</w:t>
      </w:r>
      <w:r w:rsidRPr="00C07BB7">
        <w:rPr>
          <w:rFonts w:cs="Arial"/>
        </w:rPr>
        <w:t xml:space="preserve"> Public Health and Social Care in Practice </w:t>
      </w:r>
      <w:proofErr w:type="spellStart"/>
      <w:r w:rsidRPr="00C07BB7">
        <w:rPr>
          <w:rFonts w:cs="Arial"/>
        </w:rPr>
        <w:t>programme</w:t>
      </w:r>
      <w:proofErr w:type="spellEnd"/>
      <w:r w:rsidRPr="00C07BB7">
        <w:rPr>
          <w:rFonts w:cs="Arial"/>
        </w:rPr>
        <w:t xml:space="preserve"> for the knowledge and research skills gained whilst studying. Thank you to my family and friends for their patience, understanding and encouragement during this work. Lastly, I thank the published evidence of the researchers, healthcare professionals and study participants who enabled this systematic review. Throughout this dissertation, their contributions to a better understanding of the risk, prevention and management of chronic kidney disease have formed the basis.</w:t>
      </w:r>
    </w:p>
    <w:p w14:paraId="4943B03E" w14:textId="77777777" w:rsidR="00416C8C" w:rsidRPr="00C07BB7" w:rsidRDefault="00416C8C" w:rsidP="00462CB9">
      <w:pPr>
        <w:rPr>
          <w:rFonts w:cs="Arial"/>
        </w:rPr>
      </w:pPr>
      <w:r w:rsidRPr="00C07BB7">
        <w:rPr>
          <w:rFonts w:cs="Arial"/>
        </w:rPr>
        <w:br w:type="page"/>
      </w:r>
    </w:p>
    <w:p w14:paraId="44CD1962" w14:textId="77777777" w:rsidR="00416C8C" w:rsidRPr="00C07BB7" w:rsidRDefault="00416C8C" w:rsidP="00462CB9">
      <w:pPr>
        <w:pStyle w:val="Heading1"/>
        <w:rPr>
          <w:rFonts w:cs="Arial"/>
        </w:rPr>
      </w:pPr>
      <w:bookmarkStart w:id="3" w:name="_Toc241011032"/>
      <w:r w:rsidRPr="00C07BB7">
        <w:rPr>
          <w:rFonts w:cs="Arial"/>
        </w:rPr>
        <w:t>Abstract</w:t>
      </w:r>
      <w:bookmarkEnd w:id="3"/>
    </w:p>
    <w:p w14:paraId="2E60055B" w14:textId="3B9CCAE1" w:rsidR="00722269" w:rsidRPr="00C07BB7" w:rsidRDefault="00782606" w:rsidP="00462CB9">
      <w:pPr>
        <w:rPr>
          <w:rFonts w:cs="Arial"/>
          <w:bCs/>
        </w:rPr>
      </w:pPr>
      <w:r w:rsidRPr="00D32B4A">
        <w:rPr>
          <w:rFonts w:cs="Arial"/>
          <w:b/>
          <w:bCs/>
        </w:rPr>
        <w:t>Background:</w:t>
      </w:r>
      <w:r w:rsidRPr="00C07BB7">
        <w:rPr>
          <w:rFonts w:cs="Arial"/>
        </w:rPr>
        <w:t xml:space="preserve"> </w:t>
      </w:r>
      <w:r w:rsidR="00722269" w:rsidRPr="00C07BB7">
        <w:rPr>
          <w:rFonts w:cs="Arial"/>
        </w:rPr>
        <w:t>Chronic kidney disease (CKD) is a significant public health concern in the UK as it is</w:t>
      </w:r>
      <w:r w:rsidR="00722269" w:rsidRPr="00C07BB7">
        <w:rPr>
          <w:rFonts w:cs="Arial"/>
          <w:bCs/>
        </w:rPr>
        <w:t xml:space="preserve"> largely underdiagnosed and often asymptomatic, and is linked to cardiovascular disease, poor quality of life, kidney failure and early death. This review included evidence on risk of CKD and management in adults (aged 18 years and over) in the UK.</w:t>
      </w:r>
    </w:p>
    <w:p w14:paraId="34BA358C" w14:textId="77777777" w:rsidR="00722269" w:rsidRPr="00C07BB7" w:rsidRDefault="00722269" w:rsidP="00462CB9">
      <w:pPr>
        <w:rPr>
          <w:rFonts w:cs="Arial"/>
          <w:bCs/>
        </w:rPr>
      </w:pPr>
      <w:r w:rsidRPr="00C07BB7">
        <w:rPr>
          <w:rFonts w:cs="Arial"/>
          <w:bCs/>
        </w:rPr>
        <w:t>To pool evidence on the epidemiology and burden of CKD, review the key risk factors and assess the lifestyle, digital and service-level management approaches in the UK for CKD.</w:t>
      </w:r>
    </w:p>
    <w:p w14:paraId="66A50C41" w14:textId="77777777" w:rsidR="00722269" w:rsidRPr="00C07BB7" w:rsidRDefault="00722269" w:rsidP="00462CB9">
      <w:pPr>
        <w:rPr>
          <w:rFonts w:cs="Arial"/>
          <w:bCs/>
        </w:rPr>
      </w:pPr>
      <w:r w:rsidRPr="00D32B4A">
        <w:rPr>
          <w:rFonts w:cs="Arial"/>
          <w:b/>
        </w:rPr>
        <w:t>Methods:</w:t>
      </w:r>
      <w:r w:rsidRPr="00C07BB7">
        <w:rPr>
          <w:rFonts w:cs="Arial"/>
          <w:bCs/>
        </w:rPr>
        <w:t xml:space="preserve"> A systematic review was undertaken on MEDLINE, CINAHL, Academic Search Complete and Web of Science. Literature from peer-reviewed empirical studies in the UK was identified from published empirical studies between 2020 and 2026 and screened according to prespecified eligibility criteria. The selection process was based on PRISMA; the quality of the studies was evaluated using CASP checklists, and a narrative and thematic synthesis was used to </w:t>
      </w:r>
      <w:proofErr w:type="spellStart"/>
      <w:r w:rsidRPr="00C07BB7">
        <w:rPr>
          <w:rFonts w:cs="Arial"/>
          <w:bCs/>
        </w:rPr>
        <w:t>synthesise</w:t>
      </w:r>
      <w:proofErr w:type="spellEnd"/>
      <w:r w:rsidRPr="00C07BB7">
        <w:rPr>
          <w:rFonts w:cs="Arial"/>
          <w:bCs/>
        </w:rPr>
        <w:t xml:space="preserve"> findings from the 15 studies included.</w:t>
      </w:r>
    </w:p>
    <w:p w14:paraId="64D415FE" w14:textId="11DDD81F" w:rsidR="00722269" w:rsidRPr="00C07BB7" w:rsidRDefault="00722269" w:rsidP="00462CB9">
      <w:pPr>
        <w:rPr>
          <w:rFonts w:cs="Arial"/>
        </w:rPr>
      </w:pPr>
      <w:r w:rsidRPr="00D32B4A">
        <w:rPr>
          <w:rFonts w:cs="Arial"/>
          <w:b/>
        </w:rPr>
        <w:t>Results:</w:t>
      </w:r>
      <w:r w:rsidRPr="00C07BB7">
        <w:rPr>
          <w:rFonts w:cs="Arial"/>
          <w:bCs/>
        </w:rPr>
        <w:t xml:space="preserve"> Seven themes were identified: epidemiology and burden; clinical and metabolic risk; lifestyle, social and emerging risk; diagnosis and risk stratification; pharmacological management; lifestyle, digital and patient-</w:t>
      </w:r>
      <w:proofErr w:type="spellStart"/>
      <w:r w:rsidRPr="00C07BB7">
        <w:rPr>
          <w:rFonts w:cs="Arial"/>
          <w:bCs/>
        </w:rPr>
        <w:t>centred</w:t>
      </w:r>
      <w:proofErr w:type="spellEnd"/>
      <w:r w:rsidRPr="00C07BB7">
        <w:rPr>
          <w:rFonts w:cs="Arial"/>
          <w:bCs/>
        </w:rPr>
        <w:t xml:space="preserve"> management; and integrated care. Diabetes, hypertension, obesity, multimorbidity, diet, physical inactivity, psychosocial factors and environmental exposures were risks. </w:t>
      </w:r>
      <w:r w:rsidR="00613E30" w:rsidRPr="00C07BB7">
        <w:rPr>
          <w:rFonts w:cs="Arial"/>
        </w:rPr>
        <w:t xml:space="preserve">Better risk stratification and referral are recommended by combining both eGFR and albuminuria. The Kidney Failure Risk Equation (KFRE) gives a personalized risk estimate and has been validated in </w:t>
      </w:r>
      <w:r w:rsidR="006315DC">
        <w:rPr>
          <w:rFonts w:cs="Arial"/>
        </w:rPr>
        <w:t xml:space="preserve">the </w:t>
      </w:r>
      <w:r w:rsidR="00613E30" w:rsidRPr="00C07BB7">
        <w:rPr>
          <w:rFonts w:cs="Arial"/>
        </w:rPr>
        <w:t>UK populations, but may need re-calibration for various ethnic and socio-economic groups. Implementation studies are limited, with a need to assess the outcomes of integration of KFRE into primary care workflows and how this influences referral appropriateness and resource use.</w:t>
      </w:r>
      <w:r w:rsidRPr="00C07BB7">
        <w:rPr>
          <w:rFonts w:cs="Arial"/>
          <w:bCs/>
        </w:rPr>
        <w:t xml:space="preserve"> But under-diagnosis, lack of coding, disparities in access, implementation issues and dependence on</w:t>
      </w:r>
      <w:r w:rsidR="006315DC">
        <w:rPr>
          <w:rFonts w:cs="Arial"/>
          <w:bCs/>
        </w:rPr>
        <w:t xml:space="preserve"> the</w:t>
      </w:r>
      <w:r w:rsidRPr="00C07BB7">
        <w:rPr>
          <w:rFonts w:cs="Arial"/>
          <w:bCs/>
        </w:rPr>
        <w:t xml:space="preserve"> UK Biobank evidence reduced certainty.</w:t>
      </w:r>
    </w:p>
    <w:p w14:paraId="6B24DFC0" w14:textId="27232188" w:rsidR="00416C8C" w:rsidRPr="00C07BB7" w:rsidRDefault="00180C76" w:rsidP="00462CB9">
      <w:pPr>
        <w:rPr>
          <w:rFonts w:cs="Arial"/>
        </w:rPr>
      </w:pPr>
      <w:r w:rsidRPr="00D32B4A">
        <w:rPr>
          <w:rFonts w:cs="Arial"/>
          <w:b/>
          <w:bCs/>
        </w:rPr>
        <w:t>Conclusion:</w:t>
      </w:r>
      <w:r w:rsidRPr="00C07BB7">
        <w:rPr>
          <w:rFonts w:cs="Arial"/>
        </w:rPr>
        <w:t xml:space="preserve"> </w:t>
      </w:r>
      <w:r w:rsidR="00722269" w:rsidRPr="00C07BB7">
        <w:rPr>
          <w:rFonts w:cs="Arial"/>
        </w:rPr>
        <w:t>There is a need for earlier identification, risk-based monitoring of those at risk, kidney-</w:t>
      </w:r>
      <w:r w:rsidR="00722269" w:rsidRPr="00C07BB7">
        <w:rPr>
          <w:rFonts w:cs="Arial"/>
          <w:bCs/>
        </w:rPr>
        <w:t>protective treatment, supported self-management and integrated NHS pathways for effective CKD prevention and management, and it is important that these are available in an equitable manner. Furthermore, more representative</w:t>
      </w:r>
      <w:r w:rsidR="00F64A0E">
        <w:rPr>
          <w:rFonts w:cs="Arial"/>
          <w:bCs/>
        </w:rPr>
        <w:t xml:space="preserve"> studies in the UK</w:t>
      </w:r>
      <w:r w:rsidR="00722269" w:rsidRPr="00C07BB7">
        <w:rPr>
          <w:rFonts w:cs="Arial"/>
          <w:bCs/>
        </w:rPr>
        <w:t xml:space="preserve"> and long-term comparative intervention studies are required.</w:t>
      </w:r>
    </w:p>
    <w:p w14:paraId="00A8ADC2" w14:textId="2EFD3807" w:rsidR="00416C8C" w:rsidRPr="00C07BB7" w:rsidRDefault="00416C8C" w:rsidP="00462CB9">
      <w:pPr>
        <w:rPr>
          <w:rFonts w:cs="Arial"/>
        </w:rPr>
      </w:pPr>
      <w:r w:rsidRPr="00D32B4A">
        <w:rPr>
          <w:rFonts w:cs="Arial"/>
          <w:b/>
          <w:sz w:val="21"/>
        </w:rPr>
        <w:t>Keywords:</w:t>
      </w:r>
      <w:r w:rsidRPr="00C07BB7">
        <w:rPr>
          <w:rFonts w:cs="Arial"/>
          <w:bCs/>
          <w:sz w:val="21"/>
        </w:rPr>
        <w:t xml:space="preserve"> </w:t>
      </w:r>
      <w:r w:rsidRPr="00C07BB7">
        <w:rPr>
          <w:rFonts w:cs="Arial"/>
          <w:bCs/>
          <w:i/>
          <w:sz w:val="21"/>
        </w:rPr>
        <w:t xml:space="preserve">chronic kidney </w:t>
      </w:r>
      <w:r w:rsidR="00F64A0E" w:rsidRPr="00C07BB7">
        <w:rPr>
          <w:rFonts w:cs="Arial"/>
          <w:bCs/>
          <w:i/>
          <w:sz w:val="21"/>
        </w:rPr>
        <w:t>disease,</w:t>
      </w:r>
      <w:r w:rsidR="00F64A0E">
        <w:rPr>
          <w:rFonts w:cs="Arial"/>
          <w:bCs/>
          <w:i/>
          <w:sz w:val="21"/>
        </w:rPr>
        <w:t xml:space="preserve"> In the </w:t>
      </w:r>
      <w:r w:rsidRPr="00C07BB7">
        <w:rPr>
          <w:rFonts w:cs="Arial"/>
          <w:bCs/>
          <w:i/>
          <w:sz w:val="21"/>
        </w:rPr>
        <w:t>UK adults, risk factors, management, systematic review, public</w:t>
      </w:r>
      <w:r w:rsidRPr="00C07BB7">
        <w:rPr>
          <w:rFonts w:cs="Arial"/>
          <w:i/>
          <w:sz w:val="21"/>
        </w:rPr>
        <w:t xml:space="preserve"> health</w:t>
      </w:r>
    </w:p>
    <w:p w14:paraId="621E9942" w14:textId="77777777" w:rsidR="00416C8C" w:rsidRPr="00C07BB7" w:rsidRDefault="00416C8C" w:rsidP="00462CB9">
      <w:pPr>
        <w:rPr>
          <w:rFonts w:cs="Arial"/>
        </w:rPr>
      </w:pPr>
      <w:r w:rsidRPr="00C07BB7">
        <w:rPr>
          <w:rFonts w:cs="Arial"/>
        </w:rPr>
        <w:br w:type="page"/>
      </w:r>
    </w:p>
    <w:p w14:paraId="4AEA5224" w14:textId="77777777" w:rsidR="00416C8C" w:rsidRPr="00C07BB7" w:rsidRDefault="00416C8C" w:rsidP="00462CB9">
      <w:pPr>
        <w:pStyle w:val="Heading1"/>
        <w:rPr>
          <w:rFonts w:cs="Arial"/>
        </w:rPr>
      </w:pPr>
      <w:bookmarkStart w:id="4" w:name="_Toc241011033"/>
      <w:r w:rsidRPr="00C07BB7">
        <w:rPr>
          <w:rFonts w:cs="Arial"/>
        </w:rPr>
        <w:t>List of Tables</w:t>
      </w:r>
      <w:bookmarkEnd w:id="4"/>
    </w:p>
    <w:p w14:paraId="1A5E1A3A" w14:textId="1B1EA5DE" w:rsidR="00416C8C" w:rsidRPr="00C07BB7" w:rsidRDefault="00416C8C" w:rsidP="00462CB9">
      <w:pPr>
        <w:rPr>
          <w:rFonts w:cs="Arial"/>
        </w:rPr>
      </w:pPr>
      <w:r w:rsidRPr="00C07BB7">
        <w:rPr>
          <w:rFonts w:cs="Arial"/>
          <w:b/>
        </w:rPr>
        <w:t>Table 3.1</w:t>
      </w:r>
      <w:r w:rsidR="00BF54FA" w:rsidRPr="00C07BB7">
        <w:rPr>
          <w:rFonts w:cs="Arial"/>
          <w:b/>
        </w:rPr>
        <w:t>:</w:t>
      </w:r>
      <w:r w:rsidRPr="00C07BB7">
        <w:rPr>
          <w:rFonts w:cs="Arial"/>
          <w:b/>
        </w:rPr>
        <w:t xml:space="preserve"> </w:t>
      </w:r>
      <w:r w:rsidRPr="00C07BB7">
        <w:rPr>
          <w:rFonts w:cs="Arial"/>
        </w:rPr>
        <w:t>Adapted PICO Framework and Search Terms</w:t>
      </w:r>
    </w:p>
    <w:p w14:paraId="2720F32C" w14:textId="412748AA" w:rsidR="00416C8C" w:rsidRPr="00C07BB7" w:rsidRDefault="00416C8C" w:rsidP="00462CB9">
      <w:pPr>
        <w:rPr>
          <w:rFonts w:cs="Arial"/>
        </w:rPr>
      </w:pPr>
      <w:r w:rsidRPr="00C07BB7">
        <w:rPr>
          <w:rFonts w:cs="Arial"/>
          <w:b/>
        </w:rPr>
        <w:t>Table 3.2</w:t>
      </w:r>
      <w:r w:rsidR="00BF54FA" w:rsidRPr="00C07BB7">
        <w:rPr>
          <w:rFonts w:cs="Arial"/>
          <w:b/>
        </w:rPr>
        <w:t>:</w:t>
      </w:r>
      <w:r w:rsidRPr="00C07BB7">
        <w:rPr>
          <w:rFonts w:cs="Arial"/>
          <w:b/>
        </w:rPr>
        <w:t xml:space="preserve"> </w:t>
      </w:r>
      <w:r w:rsidRPr="00C07BB7">
        <w:rPr>
          <w:rFonts w:cs="Arial"/>
        </w:rPr>
        <w:t>Databases Used for the Formal CKD Search</w:t>
      </w:r>
    </w:p>
    <w:p w14:paraId="361D9921" w14:textId="1B1B6E69" w:rsidR="00416C8C" w:rsidRPr="00C07BB7" w:rsidRDefault="00416C8C" w:rsidP="00462CB9">
      <w:pPr>
        <w:rPr>
          <w:rFonts w:cs="Arial"/>
        </w:rPr>
      </w:pPr>
      <w:r w:rsidRPr="00C07BB7">
        <w:rPr>
          <w:rFonts w:cs="Arial"/>
          <w:b/>
        </w:rPr>
        <w:t>Table 3.</w:t>
      </w:r>
      <w:r w:rsidR="00E26350" w:rsidRPr="00C07BB7">
        <w:rPr>
          <w:rFonts w:cs="Arial"/>
          <w:b/>
        </w:rPr>
        <w:t>3</w:t>
      </w:r>
      <w:r w:rsidR="00BF54FA" w:rsidRPr="00C07BB7">
        <w:rPr>
          <w:rFonts w:cs="Arial"/>
          <w:b/>
        </w:rPr>
        <w:t>:</w:t>
      </w:r>
      <w:r w:rsidRPr="00C07BB7">
        <w:rPr>
          <w:rFonts w:cs="Arial"/>
          <w:b/>
        </w:rPr>
        <w:t xml:space="preserve"> </w:t>
      </w:r>
      <w:r w:rsidRPr="00C07BB7">
        <w:rPr>
          <w:rFonts w:cs="Arial"/>
        </w:rPr>
        <w:t>Inclusion and Exclusion Criteria</w:t>
      </w:r>
    </w:p>
    <w:p w14:paraId="28885F08" w14:textId="06678505" w:rsidR="00416C8C" w:rsidRPr="00C07BB7" w:rsidRDefault="00416C8C" w:rsidP="00462CB9">
      <w:pPr>
        <w:rPr>
          <w:rFonts w:cs="Arial"/>
        </w:rPr>
      </w:pPr>
      <w:r w:rsidRPr="00C07BB7">
        <w:rPr>
          <w:rFonts w:cs="Arial"/>
          <w:b/>
        </w:rPr>
        <w:t>Table 3.</w:t>
      </w:r>
      <w:r w:rsidR="00E26350" w:rsidRPr="00C07BB7">
        <w:rPr>
          <w:rFonts w:cs="Arial"/>
          <w:b/>
        </w:rPr>
        <w:t>4</w:t>
      </w:r>
      <w:r w:rsidR="00BF54FA" w:rsidRPr="00C07BB7">
        <w:rPr>
          <w:rFonts w:cs="Arial"/>
          <w:b/>
        </w:rPr>
        <w:t>:</w:t>
      </w:r>
      <w:r w:rsidRPr="00C07BB7">
        <w:rPr>
          <w:rFonts w:cs="Arial"/>
          <w:b/>
        </w:rPr>
        <w:t xml:space="preserve"> </w:t>
      </w:r>
      <w:r w:rsidRPr="00C07BB7">
        <w:rPr>
          <w:rFonts w:cs="Arial"/>
        </w:rPr>
        <w:t>Data Extraction Framework</w:t>
      </w:r>
    </w:p>
    <w:p w14:paraId="12B279CB" w14:textId="4C66C03F" w:rsidR="00416C8C" w:rsidRPr="00C07BB7" w:rsidRDefault="00416C8C" w:rsidP="00462CB9">
      <w:pPr>
        <w:rPr>
          <w:rFonts w:cs="Arial"/>
        </w:rPr>
      </w:pPr>
      <w:r w:rsidRPr="00C07BB7">
        <w:rPr>
          <w:rFonts w:cs="Arial"/>
          <w:b/>
        </w:rPr>
        <w:t>Table 3.</w:t>
      </w:r>
      <w:r w:rsidR="00E26350" w:rsidRPr="00C07BB7">
        <w:rPr>
          <w:rFonts w:cs="Arial"/>
          <w:b/>
        </w:rPr>
        <w:t>5</w:t>
      </w:r>
      <w:r w:rsidR="00BF54FA" w:rsidRPr="00C07BB7">
        <w:rPr>
          <w:rFonts w:cs="Arial"/>
          <w:b/>
        </w:rPr>
        <w:t>:</w:t>
      </w:r>
      <w:r w:rsidRPr="00C07BB7">
        <w:rPr>
          <w:rFonts w:cs="Arial"/>
          <w:b/>
        </w:rPr>
        <w:t xml:space="preserve"> </w:t>
      </w:r>
      <w:r w:rsidRPr="00C07BB7">
        <w:rPr>
          <w:rFonts w:cs="Arial"/>
        </w:rPr>
        <w:t>Initial Coding and Theme Development Framework</w:t>
      </w:r>
    </w:p>
    <w:p w14:paraId="63F729F3" w14:textId="1CEA09E7" w:rsidR="00416C8C" w:rsidRPr="00C07BB7" w:rsidRDefault="00416C8C" w:rsidP="00462CB9">
      <w:pPr>
        <w:rPr>
          <w:rFonts w:cs="Arial"/>
        </w:rPr>
      </w:pPr>
      <w:r w:rsidRPr="00C07BB7">
        <w:rPr>
          <w:rFonts w:cs="Arial"/>
          <w:b/>
        </w:rPr>
        <w:t>Table 4.1</w:t>
      </w:r>
      <w:r w:rsidR="00BF54FA" w:rsidRPr="00C07BB7">
        <w:rPr>
          <w:rFonts w:cs="Arial"/>
          <w:b/>
        </w:rPr>
        <w:t>:</w:t>
      </w:r>
      <w:r w:rsidRPr="00C07BB7">
        <w:rPr>
          <w:rFonts w:cs="Arial"/>
          <w:b/>
        </w:rPr>
        <w:t xml:space="preserve"> </w:t>
      </w:r>
      <w:r w:rsidRPr="00C07BB7">
        <w:rPr>
          <w:rFonts w:cs="Arial"/>
        </w:rPr>
        <w:t>CASP Informed Quality Appraisal Summary of the 15 Included Studies</w:t>
      </w:r>
    </w:p>
    <w:p w14:paraId="1C113AE0" w14:textId="598AB4AA" w:rsidR="00416C8C" w:rsidRPr="00C07BB7" w:rsidRDefault="00416C8C" w:rsidP="00462CB9">
      <w:pPr>
        <w:rPr>
          <w:rFonts w:cs="Arial"/>
        </w:rPr>
      </w:pPr>
      <w:r w:rsidRPr="00C07BB7">
        <w:rPr>
          <w:rFonts w:cs="Arial"/>
          <w:b/>
        </w:rPr>
        <w:t>Table 4.2</w:t>
      </w:r>
      <w:r w:rsidR="00BF54FA" w:rsidRPr="00C07BB7">
        <w:rPr>
          <w:rFonts w:cs="Arial"/>
          <w:b/>
        </w:rPr>
        <w:t>:</w:t>
      </w:r>
      <w:r w:rsidRPr="00C07BB7">
        <w:rPr>
          <w:rFonts w:cs="Arial"/>
          <w:b/>
        </w:rPr>
        <w:t xml:space="preserve"> </w:t>
      </w:r>
      <w:r w:rsidRPr="00C07BB7">
        <w:rPr>
          <w:rFonts w:cs="Arial"/>
        </w:rPr>
        <w:t>Detailed Characteristics and Data Extraction of the 15 Included Studies</w:t>
      </w:r>
    </w:p>
    <w:p w14:paraId="5C0C76EB" w14:textId="3941BE1E" w:rsidR="00416C8C" w:rsidRPr="00C07BB7" w:rsidRDefault="00416C8C" w:rsidP="00462CB9">
      <w:pPr>
        <w:rPr>
          <w:rFonts w:cs="Arial"/>
        </w:rPr>
      </w:pPr>
      <w:r w:rsidRPr="00C07BB7">
        <w:rPr>
          <w:rFonts w:cs="Arial"/>
          <w:b/>
        </w:rPr>
        <w:t>Table 4.3</w:t>
      </w:r>
      <w:r w:rsidR="00BF54FA" w:rsidRPr="00C07BB7">
        <w:rPr>
          <w:rFonts w:cs="Arial"/>
          <w:b/>
        </w:rPr>
        <w:t>:</w:t>
      </w:r>
      <w:r w:rsidRPr="00C07BB7">
        <w:rPr>
          <w:rFonts w:cs="Arial"/>
          <w:b/>
        </w:rPr>
        <w:t xml:space="preserve"> </w:t>
      </w:r>
      <w:r w:rsidRPr="00C07BB7">
        <w:rPr>
          <w:rFonts w:cs="Arial"/>
        </w:rPr>
        <w:t>Summary of Thematic Findings Against the Research Objectives</w:t>
      </w:r>
    </w:p>
    <w:p w14:paraId="2402B93E" w14:textId="77777777" w:rsidR="00416C8C" w:rsidRPr="00C07BB7" w:rsidRDefault="00416C8C" w:rsidP="00462CB9">
      <w:pPr>
        <w:pStyle w:val="Heading1"/>
        <w:rPr>
          <w:rFonts w:cs="Arial"/>
        </w:rPr>
      </w:pPr>
      <w:bookmarkStart w:id="5" w:name="_Toc241011034"/>
      <w:r w:rsidRPr="00C07BB7">
        <w:rPr>
          <w:rFonts w:cs="Arial"/>
        </w:rPr>
        <w:t>List of Figures</w:t>
      </w:r>
      <w:bookmarkEnd w:id="5"/>
    </w:p>
    <w:p w14:paraId="178954A5" w14:textId="62506161" w:rsidR="00416C8C" w:rsidRPr="00C07BB7" w:rsidRDefault="00416C8C" w:rsidP="00462CB9">
      <w:pPr>
        <w:rPr>
          <w:rFonts w:cs="Arial"/>
        </w:rPr>
      </w:pPr>
      <w:r w:rsidRPr="00C07BB7">
        <w:rPr>
          <w:rFonts w:cs="Arial"/>
          <w:b/>
        </w:rPr>
        <w:t>Figure 2.1</w:t>
      </w:r>
      <w:r w:rsidR="006A29C4" w:rsidRPr="00C07BB7">
        <w:rPr>
          <w:rFonts w:cs="Arial"/>
          <w:b/>
        </w:rPr>
        <w:t>: Theoretical</w:t>
      </w:r>
      <w:r w:rsidRPr="00C07BB7">
        <w:rPr>
          <w:rFonts w:cs="Arial"/>
        </w:rPr>
        <w:t xml:space="preserve"> </w:t>
      </w:r>
      <w:r w:rsidR="00BF54FA" w:rsidRPr="00C07BB7">
        <w:rPr>
          <w:rFonts w:cs="Arial"/>
        </w:rPr>
        <w:t>Framework Health</w:t>
      </w:r>
      <w:r w:rsidRPr="00C07BB7">
        <w:rPr>
          <w:rFonts w:cs="Arial"/>
        </w:rPr>
        <w:t xml:space="preserve"> Belief Model Applied to CKD Risk and Management Among</w:t>
      </w:r>
      <w:r w:rsidR="00F64A0E">
        <w:rPr>
          <w:rFonts w:cs="Arial"/>
        </w:rPr>
        <w:t xml:space="preserve"> the</w:t>
      </w:r>
      <w:r w:rsidRPr="00C07BB7">
        <w:rPr>
          <w:rFonts w:cs="Arial"/>
        </w:rPr>
        <w:t xml:space="preserve"> UK Adults</w:t>
      </w:r>
    </w:p>
    <w:p w14:paraId="0A80FE9C" w14:textId="7AD19A21" w:rsidR="00416C8C" w:rsidRPr="00C07BB7" w:rsidRDefault="00416C8C" w:rsidP="00462CB9">
      <w:pPr>
        <w:rPr>
          <w:rFonts w:cs="Arial"/>
        </w:rPr>
      </w:pPr>
      <w:r w:rsidRPr="00C07BB7">
        <w:rPr>
          <w:rFonts w:cs="Arial"/>
          <w:b/>
        </w:rPr>
        <w:t>Figure 3.1</w:t>
      </w:r>
      <w:r w:rsidR="006A29C4" w:rsidRPr="00C07BB7">
        <w:rPr>
          <w:rFonts w:cs="Arial"/>
          <w:b/>
        </w:rPr>
        <w:t>: Topic</w:t>
      </w:r>
      <w:r w:rsidRPr="00C07BB7">
        <w:rPr>
          <w:rFonts w:cs="Arial"/>
        </w:rPr>
        <w:t xml:space="preserve"> Specific Search Concept Structure</w:t>
      </w:r>
    </w:p>
    <w:p w14:paraId="11B450C9" w14:textId="7DFB7567" w:rsidR="00416C8C" w:rsidRPr="00B433F6" w:rsidRDefault="00416C8C" w:rsidP="00462CB9">
      <w:pPr>
        <w:rPr>
          <w:rFonts w:cs="Arial"/>
          <w:bCs/>
        </w:rPr>
      </w:pPr>
      <w:r w:rsidRPr="00C07BB7">
        <w:rPr>
          <w:rFonts w:cs="Arial"/>
          <w:b/>
        </w:rPr>
        <w:t>Figure 4.1</w:t>
      </w:r>
      <w:r w:rsidR="00B433F6">
        <w:rPr>
          <w:rFonts w:cs="Arial"/>
          <w:b/>
        </w:rPr>
        <w:t>:</w:t>
      </w:r>
      <w:r w:rsidR="00CA753A" w:rsidRPr="00C07BB7">
        <w:rPr>
          <w:rFonts w:cs="Arial"/>
          <w:b/>
        </w:rPr>
        <w:t xml:space="preserve"> </w:t>
      </w:r>
      <w:r w:rsidR="00CA753A" w:rsidRPr="00B433F6">
        <w:rPr>
          <w:rFonts w:cs="Arial"/>
          <w:bCs/>
        </w:rPr>
        <w:t>PRISMA</w:t>
      </w:r>
      <w:r w:rsidRPr="00B433F6">
        <w:rPr>
          <w:rFonts w:cs="Arial"/>
          <w:bCs/>
        </w:rPr>
        <w:t xml:space="preserve"> Aligned Study Selection Pathway</w:t>
      </w:r>
    </w:p>
    <w:p w14:paraId="4D8BE5A4" w14:textId="77777777" w:rsidR="00416C8C" w:rsidRPr="00C07BB7" w:rsidRDefault="00416C8C" w:rsidP="00462CB9">
      <w:pPr>
        <w:rPr>
          <w:rFonts w:cs="Arial"/>
        </w:rPr>
      </w:pPr>
      <w:r w:rsidRPr="00C07BB7">
        <w:rPr>
          <w:rFonts w:cs="Arial"/>
        </w:rPr>
        <w:br w:type="page"/>
      </w:r>
    </w:p>
    <w:p w14:paraId="0AF5AE61" w14:textId="77777777" w:rsidR="00416C8C" w:rsidRPr="00C07BB7" w:rsidRDefault="00416C8C" w:rsidP="00462CB9">
      <w:pPr>
        <w:pStyle w:val="Heading1"/>
        <w:rPr>
          <w:rFonts w:cs="Arial"/>
        </w:rPr>
      </w:pPr>
      <w:bookmarkStart w:id="6" w:name="_Toc241011035"/>
      <w:r w:rsidRPr="00C07BB7">
        <w:rPr>
          <w:rFonts w:cs="Arial"/>
        </w:rPr>
        <w:t>List of Abbreviations</w:t>
      </w:r>
      <w:bookmarkEnd w:id="6"/>
    </w:p>
    <w:tbl>
      <w:tblPr>
        <w:tblStyle w:val="TableGrid"/>
        <w:tblW w:w="8658" w:type="dxa"/>
        <w:tblLayout w:type="fixed"/>
        <w:tblLook w:val="04A0" w:firstRow="1" w:lastRow="0" w:firstColumn="1" w:lastColumn="0" w:noHBand="0" w:noVBand="1"/>
      </w:tblPr>
      <w:tblGrid>
        <w:gridCol w:w="1728"/>
        <w:gridCol w:w="6930"/>
      </w:tblGrid>
      <w:tr w:rsidR="00416C8C" w:rsidRPr="00C07BB7" w14:paraId="456CA6E1" w14:textId="77777777" w:rsidTr="00B433F6">
        <w:tc>
          <w:tcPr>
            <w:tcW w:w="1728" w:type="dxa"/>
          </w:tcPr>
          <w:p w14:paraId="0E2F8500" w14:textId="77777777" w:rsidR="00416C8C" w:rsidRPr="00C07BB7" w:rsidRDefault="00416C8C" w:rsidP="00462CB9">
            <w:pPr>
              <w:spacing w:after="0"/>
              <w:rPr>
                <w:rFonts w:cs="Arial"/>
                <w:b/>
                <w:color w:val="000000" w:themeColor="text1"/>
                <w:szCs w:val="24"/>
              </w:rPr>
            </w:pPr>
            <w:r w:rsidRPr="00C07BB7">
              <w:rPr>
                <w:rFonts w:cs="Arial"/>
                <w:b/>
                <w:color w:val="000000" w:themeColor="text1"/>
                <w:szCs w:val="24"/>
              </w:rPr>
              <w:t>Abbreviation</w:t>
            </w:r>
          </w:p>
        </w:tc>
        <w:tc>
          <w:tcPr>
            <w:tcW w:w="6930" w:type="dxa"/>
          </w:tcPr>
          <w:p w14:paraId="500E0899" w14:textId="77777777" w:rsidR="00416C8C" w:rsidRPr="00C07BB7" w:rsidRDefault="00416C8C" w:rsidP="00462CB9">
            <w:pPr>
              <w:spacing w:after="0"/>
              <w:rPr>
                <w:rFonts w:cs="Arial"/>
                <w:b/>
                <w:color w:val="000000" w:themeColor="text1"/>
                <w:szCs w:val="24"/>
              </w:rPr>
            </w:pPr>
            <w:r w:rsidRPr="00C07BB7">
              <w:rPr>
                <w:rFonts w:cs="Arial"/>
                <w:b/>
                <w:color w:val="000000" w:themeColor="text1"/>
                <w:szCs w:val="24"/>
              </w:rPr>
              <w:t>Meaning</w:t>
            </w:r>
          </w:p>
        </w:tc>
      </w:tr>
      <w:tr w:rsidR="00416C8C" w:rsidRPr="00C07BB7" w14:paraId="486151AB" w14:textId="77777777" w:rsidTr="00B433F6">
        <w:tc>
          <w:tcPr>
            <w:tcW w:w="1728" w:type="dxa"/>
          </w:tcPr>
          <w:p w14:paraId="744AE2A6"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ACR</w:t>
            </w:r>
          </w:p>
        </w:tc>
        <w:tc>
          <w:tcPr>
            <w:tcW w:w="6930" w:type="dxa"/>
          </w:tcPr>
          <w:p w14:paraId="77E5DD22" w14:textId="77777777" w:rsidR="00416C8C" w:rsidRPr="00C07BB7" w:rsidRDefault="00416C8C" w:rsidP="00462CB9">
            <w:pPr>
              <w:spacing w:after="0"/>
              <w:rPr>
                <w:rFonts w:cs="Arial"/>
                <w:color w:val="000000" w:themeColor="text1"/>
              </w:rPr>
            </w:pPr>
            <w:r w:rsidRPr="00C07BB7">
              <w:rPr>
                <w:rFonts w:cs="Arial"/>
                <w:color w:val="000000" w:themeColor="text1"/>
                <w:sz w:val="21"/>
              </w:rPr>
              <w:t>Albumin to creatinine ratio</w:t>
            </w:r>
          </w:p>
        </w:tc>
      </w:tr>
      <w:tr w:rsidR="00416C8C" w:rsidRPr="00C07BB7" w14:paraId="17691248" w14:textId="77777777" w:rsidTr="00B433F6">
        <w:tc>
          <w:tcPr>
            <w:tcW w:w="1728" w:type="dxa"/>
          </w:tcPr>
          <w:p w14:paraId="5886F1C0"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BP</w:t>
            </w:r>
          </w:p>
        </w:tc>
        <w:tc>
          <w:tcPr>
            <w:tcW w:w="6930" w:type="dxa"/>
          </w:tcPr>
          <w:p w14:paraId="4BF52A6A" w14:textId="77777777" w:rsidR="00416C8C" w:rsidRPr="00C07BB7" w:rsidRDefault="00416C8C" w:rsidP="00462CB9">
            <w:pPr>
              <w:spacing w:after="0"/>
              <w:rPr>
                <w:rFonts w:cs="Arial"/>
                <w:color w:val="000000" w:themeColor="text1"/>
              </w:rPr>
            </w:pPr>
            <w:r w:rsidRPr="00C07BB7">
              <w:rPr>
                <w:rFonts w:cs="Arial"/>
                <w:color w:val="000000" w:themeColor="text1"/>
                <w:sz w:val="21"/>
              </w:rPr>
              <w:t>Blood pressure</w:t>
            </w:r>
          </w:p>
        </w:tc>
      </w:tr>
      <w:tr w:rsidR="00416C8C" w:rsidRPr="00C07BB7" w14:paraId="0E961147" w14:textId="77777777" w:rsidTr="00B433F6">
        <w:tc>
          <w:tcPr>
            <w:tcW w:w="1728" w:type="dxa"/>
          </w:tcPr>
          <w:p w14:paraId="34EF0B9B"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CASP</w:t>
            </w:r>
          </w:p>
        </w:tc>
        <w:tc>
          <w:tcPr>
            <w:tcW w:w="6930" w:type="dxa"/>
          </w:tcPr>
          <w:p w14:paraId="519CFCAB" w14:textId="77777777" w:rsidR="00416C8C" w:rsidRPr="00C07BB7" w:rsidRDefault="00416C8C" w:rsidP="00462CB9">
            <w:pPr>
              <w:spacing w:after="0"/>
              <w:rPr>
                <w:rFonts w:cs="Arial"/>
                <w:color w:val="000000" w:themeColor="text1"/>
              </w:rPr>
            </w:pPr>
            <w:r w:rsidRPr="00C07BB7">
              <w:rPr>
                <w:rFonts w:cs="Arial"/>
                <w:color w:val="000000" w:themeColor="text1"/>
                <w:sz w:val="21"/>
              </w:rPr>
              <w:t xml:space="preserve">Critical Appraisal Skills </w:t>
            </w:r>
            <w:proofErr w:type="spellStart"/>
            <w:r w:rsidRPr="00C07BB7">
              <w:rPr>
                <w:rFonts w:cs="Arial"/>
                <w:color w:val="000000" w:themeColor="text1"/>
                <w:sz w:val="21"/>
              </w:rPr>
              <w:t>Programme</w:t>
            </w:r>
            <w:proofErr w:type="spellEnd"/>
          </w:p>
        </w:tc>
      </w:tr>
      <w:tr w:rsidR="00416C8C" w:rsidRPr="00C07BB7" w14:paraId="3788D806" w14:textId="77777777" w:rsidTr="00B433F6">
        <w:tc>
          <w:tcPr>
            <w:tcW w:w="1728" w:type="dxa"/>
          </w:tcPr>
          <w:p w14:paraId="2E218C83"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CCG</w:t>
            </w:r>
          </w:p>
        </w:tc>
        <w:tc>
          <w:tcPr>
            <w:tcW w:w="6930" w:type="dxa"/>
          </w:tcPr>
          <w:p w14:paraId="58184E83" w14:textId="77777777" w:rsidR="00416C8C" w:rsidRPr="00C07BB7" w:rsidRDefault="00416C8C" w:rsidP="00462CB9">
            <w:pPr>
              <w:spacing w:after="0"/>
              <w:rPr>
                <w:rFonts w:cs="Arial"/>
                <w:color w:val="000000" w:themeColor="text1"/>
              </w:rPr>
            </w:pPr>
            <w:r w:rsidRPr="00C07BB7">
              <w:rPr>
                <w:rFonts w:cs="Arial"/>
                <w:color w:val="000000" w:themeColor="text1"/>
                <w:sz w:val="21"/>
              </w:rPr>
              <w:t>Clinical Commissioning Group</w:t>
            </w:r>
          </w:p>
        </w:tc>
      </w:tr>
      <w:tr w:rsidR="00416C8C" w:rsidRPr="00C07BB7" w14:paraId="375CD498" w14:textId="77777777" w:rsidTr="00B433F6">
        <w:tc>
          <w:tcPr>
            <w:tcW w:w="1728" w:type="dxa"/>
          </w:tcPr>
          <w:p w14:paraId="17D42F41"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CINAHL</w:t>
            </w:r>
          </w:p>
        </w:tc>
        <w:tc>
          <w:tcPr>
            <w:tcW w:w="6930" w:type="dxa"/>
          </w:tcPr>
          <w:p w14:paraId="4225989F" w14:textId="77777777" w:rsidR="00416C8C" w:rsidRPr="00C07BB7" w:rsidRDefault="00416C8C" w:rsidP="00462CB9">
            <w:pPr>
              <w:spacing w:after="0"/>
              <w:rPr>
                <w:rFonts w:cs="Arial"/>
                <w:color w:val="000000" w:themeColor="text1"/>
              </w:rPr>
            </w:pPr>
            <w:r w:rsidRPr="00C07BB7">
              <w:rPr>
                <w:rFonts w:cs="Arial"/>
                <w:color w:val="000000" w:themeColor="text1"/>
                <w:sz w:val="21"/>
              </w:rPr>
              <w:t>Cumulative Index to Nursing and Allied Health Literature</w:t>
            </w:r>
          </w:p>
        </w:tc>
      </w:tr>
      <w:tr w:rsidR="00416C8C" w:rsidRPr="00C07BB7" w14:paraId="07A0E9BC" w14:textId="77777777" w:rsidTr="00B433F6">
        <w:tc>
          <w:tcPr>
            <w:tcW w:w="1728" w:type="dxa"/>
          </w:tcPr>
          <w:p w14:paraId="7F5493F8"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CKD</w:t>
            </w:r>
          </w:p>
        </w:tc>
        <w:tc>
          <w:tcPr>
            <w:tcW w:w="6930" w:type="dxa"/>
          </w:tcPr>
          <w:p w14:paraId="6ABD9F9B" w14:textId="77777777" w:rsidR="00416C8C" w:rsidRPr="00C07BB7" w:rsidRDefault="00416C8C" w:rsidP="00462CB9">
            <w:pPr>
              <w:spacing w:after="0"/>
              <w:rPr>
                <w:rFonts w:cs="Arial"/>
                <w:color w:val="000000" w:themeColor="text1"/>
              </w:rPr>
            </w:pPr>
            <w:r w:rsidRPr="00C07BB7">
              <w:rPr>
                <w:rFonts w:cs="Arial"/>
                <w:color w:val="000000" w:themeColor="text1"/>
                <w:sz w:val="21"/>
              </w:rPr>
              <w:t>Chronic kidney disease</w:t>
            </w:r>
          </w:p>
        </w:tc>
      </w:tr>
      <w:tr w:rsidR="00416C8C" w:rsidRPr="00C07BB7" w14:paraId="72A6D1A0" w14:textId="77777777" w:rsidTr="00B433F6">
        <w:tc>
          <w:tcPr>
            <w:tcW w:w="1728" w:type="dxa"/>
          </w:tcPr>
          <w:p w14:paraId="43337E67"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CPRD</w:t>
            </w:r>
          </w:p>
        </w:tc>
        <w:tc>
          <w:tcPr>
            <w:tcW w:w="6930" w:type="dxa"/>
          </w:tcPr>
          <w:p w14:paraId="29851C99" w14:textId="77777777" w:rsidR="00416C8C" w:rsidRPr="00C07BB7" w:rsidRDefault="00416C8C" w:rsidP="00462CB9">
            <w:pPr>
              <w:spacing w:after="0"/>
              <w:rPr>
                <w:rFonts w:cs="Arial"/>
                <w:color w:val="000000" w:themeColor="text1"/>
              </w:rPr>
            </w:pPr>
            <w:r w:rsidRPr="00C07BB7">
              <w:rPr>
                <w:rFonts w:cs="Arial"/>
                <w:color w:val="000000" w:themeColor="text1"/>
                <w:sz w:val="21"/>
              </w:rPr>
              <w:t>Clinical Practice Research Datalink</w:t>
            </w:r>
          </w:p>
        </w:tc>
      </w:tr>
      <w:tr w:rsidR="00416C8C" w:rsidRPr="00C07BB7" w14:paraId="6431F121" w14:textId="77777777" w:rsidTr="00B433F6">
        <w:tc>
          <w:tcPr>
            <w:tcW w:w="1728" w:type="dxa"/>
          </w:tcPr>
          <w:p w14:paraId="04C4E23C"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CVD</w:t>
            </w:r>
          </w:p>
        </w:tc>
        <w:tc>
          <w:tcPr>
            <w:tcW w:w="6930" w:type="dxa"/>
          </w:tcPr>
          <w:p w14:paraId="1027DC0F" w14:textId="77777777" w:rsidR="00416C8C" w:rsidRPr="00C07BB7" w:rsidRDefault="00416C8C" w:rsidP="00462CB9">
            <w:pPr>
              <w:spacing w:after="0"/>
              <w:rPr>
                <w:rFonts w:cs="Arial"/>
                <w:color w:val="000000" w:themeColor="text1"/>
              </w:rPr>
            </w:pPr>
            <w:r w:rsidRPr="00C07BB7">
              <w:rPr>
                <w:rFonts w:cs="Arial"/>
                <w:color w:val="000000" w:themeColor="text1"/>
                <w:sz w:val="21"/>
              </w:rPr>
              <w:t>Cardiovascular disease</w:t>
            </w:r>
          </w:p>
        </w:tc>
      </w:tr>
      <w:tr w:rsidR="00416C8C" w:rsidRPr="00C07BB7" w14:paraId="3C16DF80" w14:textId="77777777" w:rsidTr="00B433F6">
        <w:tc>
          <w:tcPr>
            <w:tcW w:w="1728" w:type="dxa"/>
          </w:tcPr>
          <w:p w14:paraId="6AFC7C57"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DKD</w:t>
            </w:r>
          </w:p>
        </w:tc>
        <w:tc>
          <w:tcPr>
            <w:tcW w:w="6930" w:type="dxa"/>
          </w:tcPr>
          <w:p w14:paraId="733B1162" w14:textId="77777777" w:rsidR="00416C8C" w:rsidRPr="00C07BB7" w:rsidRDefault="00416C8C" w:rsidP="00462CB9">
            <w:pPr>
              <w:spacing w:after="0"/>
              <w:rPr>
                <w:rFonts w:cs="Arial"/>
                <w:color w:val="000000" w:themeColor="text1"/>
              </w:rPr>
            </w:pPr>
            <w:r w:rsidRPr="00C07BB7">
              <w:rPr>
                <w:rFonts w:cs="Arial"/>
                <w:color w:val="000000" w:themeColor="text1"/>
                <w:sz w:val="21"/>
              </w:rPr>
              <w:t>Diabetic kidney disease</w:t>
            </w:r>
          </w:p>
        </w:tc>
      </w:tr>
      <w:tr w:rsidR="00416C8C" w:rsidRPr="00C07BB7" w14:paraId="69EC2CD0" w14:textId="77777777" w:rsidTr="00B433F6">
        <w:tc>
          <w:tcPr>
            <w:tcW w:w="1728" w:type="dxa"/>
          </w:tcPr>
          <w:p w14:paraId="548917ED"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eGFR</w:t>
            </w:r>
          </w:p>
        </w:tc>
        <w:tc>
          <w:tcPr>
            <w:tcW w:w="6930" w:type="dxa"/>
          </w:tcPr>
          <w:p w14:paraId="2A67C48D" w14:textId="77777777" w:rsidR="00416C8C" w:rsidRPr="00C07BB7" w:rsidRDefault="00416C8C" w:rsidP="00462CB9">
            <w:pPr>
              <w:spacing w:after="0"/>
              <w:rPr>
                <w:rFonts w:cs="Arial"/>
                <w:color w:val="000000" w:themeColor="text1"/>
              </w:rPr>
            </w:pPr>
            <w:r w:rsidRPr="00C07BB7">
              <w:rPr>
                <w:rFonts w:cs="Arial"/>
                <w:color w:val="000000" w:themeColor="text1"/>
                <w:sz w:val="21"/>
              </w:rPr>
              <w:t>Estimated glomerular filtration rate</w:t>
            </w:r>
          </w:p>
        </w:tc>
      </w:tr>
      <w:tr w:rsidR="00416C8C" w:rsidRPr="00C07BB7" w14:paraId="13CD40D5" w14:textId="77777777" w:rsidTr="00B433F6">
        <w:tc>
          <w:tcPr>
            <w:tcW w:w="1728" w:type="dxa"/>
          </w:tcPr>
          <w:p w14:paraId="24800E5E"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EHR</w:t>
            </w:r>
          </w:p>
        </w:tc>
        <w:tc>
          <w:tcPr>
            <w:tcW w:w="6930" w:type="dxa"/>
          </w:tcPr>
          <w:p w14:paraId="5FB3E7B7" w14:textId="77777777" w:rsidR="00416C8C" w:rsidRPr="00C07BB7" w:rsidRDefault="00416C8C" w:rsidP="00462CB9">
            <w:pPr>
              <w:spacing w:after="0"/>
              <w:rPr>
                <w:rFonts w:cs="Arial"/>
                <w:color w:val="000000" w:themeColor="text1"/>
              </w:rPr>
            </w:pPr>
            <w:r w:rsidRPr="00C07BB7">
              <w:rPr>
                <w:rFonts w:cs="Arial"/>
                <w:color w:val="000000" w:themeColor="text1"/>
                <w:sz w:val="21"/>
              </w:rPr>
              <w:t>Electronic health record</w:t>
            </w:r>
          </w:p>
        </w:tc>
      </w:tr>
      <w:tr w:rsidR="00416C8C" w:rsidRPr="00C07BB7" w14:paraId="31021C2D" w14:textId="77777777" w:rsidTr="00B433F6">
        <w:tc>
          <w:tcPr>
            <w:tcW w:w="1728" w:type="dxa"/>
          </w:tcPr>
          <w:p w14:paraId="443CEDB1"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GFR</w:t>
            </w:r>
          </w:p>
        </w:tc>
        <w:tc>
          <w:tcPr>
            <w:tcW w:w="6930" w:type="dxa"/>
          </w:tcPr>
          <w:p w14:paraId="70776F9F" w14:textId="77777777" w:rsidR="00416C8C" w:rsidRPr="00C07BB7" w:rsidRDefault="00416C8C" w:rsidP="00462CB9">
            <w:pPr>
              <w:spacing w:after="0"/>
              <w:rPr>
                <w:rFonts w:cs="Arial"/>
                <w:color w:val="000000" w:themeColor="text1"/>
              </w:rPr>
            </w:pPr>
            <w:r w:rsidRPr="00C07BB7">
              <w:rPr>
                <w:rFonts w:cs="Arial"/>
                <w:color w:val="000000" w:themeColor="text1"/>
                <w:sz w:val="21"/>
              </w:rPr>
              <w:t>Glomerular filtration rate</w:t>
            </w:r>
          </w:p>
        </w:tc>
      </w:tr>
      <w:tr w:rsidR="00416C8C" w:rsidRPr="00C07BB7" w14:paraId="3E97431E" w14:textId="77777777" w:rsidTr="00B433F6">
        <w:tc>
          <w:tcPr>
            <w:tcW w:w="1728" w:type="dxa"/>
          </w:tcPr>
          <w:p w14:paraId="38FFB61A"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GP</w:t>
            </w:r>
          </w:p>
        </w:tc>
        <w:tc>
          <w:tcPr>
            <w:tcW w:w="6930" w:type="dxa"/>
          </w:tcPr>
          <w:p w14:paraId="44F9CF6C" w14:textId="77777777" w:rsidR="00416C8C" w:rsidRPr="00C07BB7" w:rsidRDefault="00416C8C" w:rsidP="00462CB9">
            <w:pPr>
              <w:spacing w:after="0"/>
              <w:rPr>
                <w:rFonts w:cs="Arial"/>
                <w:color w:val="000000" w:themeColor="text1"/>
              </w:rPr>
            </w:pPr>
            <w:r w:rsidRPr="00C07BB7">
              <w:rPr>
                <w:rFonts w:cs="Arial"/>
                <w:color w:val="000000" w:themeColor="text1"/>
                <w:sz w:val="21"/>
              </w:rPr>
              <w:t>General practitioner</w:t>
            </w:r>
          </w:p>
        </w:tc>
      </w:tr>
      <w:tr w:rsidR="00416C8C" w:rsidRPr="00C07BB7" w14:paraId="53BEB308" w14:textId="77777777" w:rsidTr="00B433F6">
        <w:tc>
          <w:tcPr>
            <w:tcW w:w="1728" w:type="dxa"/>
          </w:tcPr>
          <w:p w14:paraId="4BF6AA6B"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HBM</w:t>
            </w:r>
          </w:p>
        </w:tc>
        <w:tc>
          <w:tcPr>
            <w:tcW w:w="6930" w:type="dxa"/>
          </w:tcPr>
          <w:p w14:paraId="50F4A083" w14:textId="77777777" w:rsidR="00416C8C" w:rsidRPr="00C07BB7" w:rsidRDefault="00416C8C" w:rsidP="00462CB9">
            <w:pPr>
              <w:spacing w:after="0"/>
              <w:rPr>
                <w:rFonts w:cs="Arial"/>
                <w:color w:val="000000" w:themeColor="text1"/>
              </w:rPr>
            </w:pPr>
            <w:r w:rsidRPr="00C07BB7">
              <w:rPr>
                <w:rFonts w:cs="Arial"/>
                <w:color w:val="000000" w:themeColor="text1"/>
                <w:sz w:val="21"/>
              </w:rPr>
              <w:t>Health Belief Model</w:t>
            </w:r>
          </w:p>
        </w:tc>
      </w:tr>
      <w:tr w:rsidR="00416C8C" w:rsidRPr="00C07BB7" w14:paraId="34E4E49F" w14:textId="77777777" w:rsidTr="00B433F6">
        <w:tc>
          <w:tcPr>
            <w:tcW w:w="1728" w:type="dxa"/>
          </w:tcPr>
          <w:p w14:paraId="55E713E5"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ICS</w:t>
            </w:r>
          </w:p>
        </w:tc>
        <w:tc>
          <w:tcPr>
            <w:tcW w:w="6930" w:type="dxa"/>
          </w:tcPr>
          <w:p w14:paraId="1CF317CD" w14:textId="77777777" w:rsidR="00416C8C" w:rsidRPr="00C07BB7" w:rsidRDefault="00416C8C" w:rsidP="00462CB9">
            <w:pPr>
              <w:spacing w:after="0"/>
              <w:rPr>
                <w:rFonts w:cs="Arial"/>
                <w:color w:val="000000" w:themeColor="text1"/>
              </w:rPr>
            </w:pPr>
            <w:r w:rsidRPr="00C07BB7">
              <w:rPr>
                <w:rFonts w:cs="Arial"/>
                <w:color w:val="000000" w:themeColor="text1"/>
                <w:sz w:val="21"/>
              </w:rPr>
              <w:t>Integrated Care System</w:t>
            </w:r>
          </w:p>
        </w:tc>
      </w:tr>
      <w:tr w:rsidR="00416C8C" w:rsidRPr="00C07BB7" w14:paraId="126806A5" w14:textId="77777777" w:rsidTr="00B433F6">
        <w:tc>
          <w:tcPr>
            <w:tcW w:w="1728" w:type="dxa"/>
          </w:tcPr>
          <w:p w14:paraId="4C2376BC"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KDIGO</w:t>
            </w:r>
          </w:p>
        </w:tc>
        <w:tc>
          <w:tcPr>
            <w:tcW w:w="6930" w:type="dxa"/>
          </w:tcPr>
          <w:p w14:paraId="078EF560" w14:textId="16E710E0" w:rsidR="00416C8C" w:rsidRPr="00C07BB7" w:rsidRDefault="00416C8C" w:rsidP="00462CB9">
            <w:pPr>
              <w:spacing w:after="0"/>
              <w:rPr>
                <w:rFonts w:cs="Arial"/>
                <w:color w:val="000000" w:themeColor="text1"/>
              </w:rPr>
            </w:pPr>
            <w:r w:rsidRPr="00C07BB7">
              <w:rPr>
                <w:rFonts w:cs="Arial"/>
                <w:color w:val="000000" w:themeColor="text1"/>
                <w:sz w:val="21"/>
              </w:rPr>
              <w:t xml:space="preserve">Kidney </w:t>
            </w:r>
            <w:r w:rsidR="00CA753A" w:rsidRPr="00C07BB7">
              <w:rPr>
                <w:rFonts w:cs="Arial"/>
                <w:color w:val="000000" w:themeColor="text1"/>
                <w:sz w:val="21"/>
              </w:rPr>
              <w:t>Disease Improving</w:t>
            </w:r>
            <w:r w:rsidRPr="00C07BB7">
              <w:rPr>
                <w:rFonts w:cs="Arial"/>
                <w:color w:val="000000" w:themeColor="text1"/>
                <w:sz w:val="21"/>
              </w:rPr>
              <w:t xml:space="preserve"> Global Outcomes</w:t>
            </w:r>
          </w:p>
        </w:tc>
      </w:tr>
      <w:tr w:rsidR="00416C8C" w:rsidRPr="00C07BB7" w14:paraId="1C282325" w14:textId="77777777" w:rsidTr="00B433F6">
        <w:tc>
          <w:tcPr>
            <w:tcW w:w="1728" w:type="dxa"/>
          </w:tcPr>
          <w:p w14:paraId="3BD3A635"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KFRE</w:t>
            </w:r>
          </w:p>
        </w:tc>
        <w:tc>
          <w:tcPr>
            <w:tcW w:w="6930" w:type="dxa"/>
          </w:tcPr>
          <w:p w14:paraId="419C16EC" w14:textId="77777777" w:rsidR="00416C8C" w:rsidRPr="00C07BB7" w:rsidRDefault="00416C8C" w:rsidP="00462CB9">
            <w:pPr>
              <w:spacing w:after="0"/>
              <w:rPr>
                <w:rFonts w:cs="Arial"/>
                <w:color w:val="000000" w:themeColor="text1"/>
              </w:rPr>
            </w:pPr>
            <w:r w:rsidRPr="00C07BB7">
              <w:rPr>
                <w:rFonts w:cs="Arial"/>
                <w:color w:val="000000" w:themeColor="text1"/>
                <w:sz w:val="21"/>
              </w:rPr>
              <w:t>Kidney Failure Risk Equation</w:t>
            </w:r>
          </w:p>
        </w:tc>
      </w:tr>
      <w:tr w:rsidR="00416C8C" w:rsidRPr="00C07BB7" w14:paraId="2DA50D98" w14:textId="77777777" w:rsidTr="00B433F6">
        <w:tc>
          <w:tcPr>
            <w:tcW w:w="1728" w:type="dxa"/>
          </w:tcPr>
          <w:p w14:paraId="4AD8F9E3"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KRT</w:t>
            </w:r>
          </w:p>
        </w:tc>
        <w:tc>
          <w:tcPr>
            <w:tcW w:w="6930" w:type="dxa"/>
          </w:tcPr>
          <w:p w14:paraId="00F76331" w14:textId="77777777" w:rsidR="00416C8C" w:rsidRPr="00C07BB7" w:rsidRDefault="00416C8C" w:rsidP="00462CB9">
            <w:pPr>
              <w:spacing w:after="0"/>
              <w:rPr>
                <w:rFonts w:cs="Arial"/>
                <w:color w:val="000000" w:themeColor="text1"/>
              </w:rPr>
            </w:pPr>
            <w:r w:rsidRPr="00C07BB7">
              <w:rPr>
                <w:rFonts w:cs="Arial"/>
                <w:color w:val="000000" w:themeColor="text1"/>
                <w:sz w:val="21"/>
              </w:rPr>
              <w:t>Kidney replacement therapy</w:t>
            </w:r>
          </w:p>
        </w:tc>
      </w:tr>
      <w:tr w:rsidR="00416C8C" w:rsidRPr="00C07BB7" w14:paraId="4C6F49C1" w14:textId="77777777" w:rsidTr="00B433F6">
        <w:tc>
          <w:tcPr>
            <w:tcW w:w="1728" w:type="dxa"/>
          </w:tcPr>
          <w:p w14:paraId="30073BF0"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LDL</w:t>
            </w:r>
          </w:p>
        </w:tc>
        <w:tc>
          <w:tcPr>
            <w:tcW w:w="6930" w:type="dxa"/>
          </w:tcPr>
          <w:p w14:paraId="2093429D" w14:textId="77777777" w:rsidR="00416C8C" w:rsidRPr="00C07BB7" w:rsidRDefault="00416C8C" w:rsidP="00462CB9">
            <w:pPr>
              <w:spacing w:after="0"/>
              <w:rPr>
                <w:rFonts w:cs="Arial"/>
                <w:color w:val="000000" w:themeColor="text1"/>
              </w:rPr>
            </w:pPr>
            <w:r w:rsidRPr="00C07BB7">
              <w:rPr>
                <w:rFonts w:cs="Arial"/>
                <w:color w:val="000000" w:themeColor="text1"/>
                <w:sz w:val="21"/>
              </w:rPr>
              <w:t>Low density lipoprotein</w:t>
            </w:r>
          </w:p>
        </w:tc>
      </w:tr>
      <w:tr w:rsidR="00416C8C" w:rsidRPr="00C07BB7" w14:paraId="0859FBB6" w14:textId="77777777" w:rsidTr="00B433F6">
        <w:tc>
          <w:tcPr>
            <w:tcW w:w="1728" w:type="dxa"/>
          </w:tcPr>
          <w:p w14:paraId="646D4299"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MDT</w:t>
            </w:r>
          </w:p>
        </w:tc>
        <w:tc>
          <w:tcPr>
            <w:tcW w:w="6930" w:type="dxa"/>
          </w:tcPr>
          <w:p w14:paraId="4EA0C2B2" w14:textId="77777777" w:rsidR="00416C8C" w:rsidRPr="00C07BB7" w:rsidRDefault="00416C8C" w:rsidP="00462CB9">
            <w:pPr>
              <w:spacing w:after="0"/>
              <w:rPr>
                <w:rFonts w:cs="Arial"/>
                <w:color w:val="000000" w:themeColor="text1"/>
              </w:rPr>
            </w:pPr>
            <w:r w:rsidRPr="00C07BB7">
              <w:rPr>
                <w:rFonts w:cs="Arial"/>
                <w:color w:val="000000" w:themeColor="text1"/>
                <w:sz w:val="21"/>
              </w:rPr>
              <w:t>Multidisciplinary team</w:t>
            </w:r>
          </w:p>
        </w:tc>
      </w:tr>
      <w:tr w:rsidR="00416C8C" w:rsidRPr="00C07BB7" w14:paraId="7392F937" w14:textId="77777777" w:rsidTr="00B433F6">
        <w:tc>
          <w:tcPr>
            <w:tcW w:w="1728" w:type="dxa"/>
          </w:tcPr>
          <w:p w14:paraId="7F1A2ECF"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MEDLINE</w:t>
            </w:r>
          </w:p>
        </w:tc>
        <w:tc>
          <w:tcPr>
            <w:tcW w:w="6930" w:type="dxa"/>
          </w:tcPr>
          <w:p w14:paraId="2A82B628" w14:textId="77777777" w:rsidR="00416C8C" w:rsidRPr="00C07BB7" w:rsidRDefault="00416C8C" w:rsidP="00462CB9">
            <w:pPr>
              <w:spacing w:after="0"/>
              <w:rPr>
                <w:rFonts w:cs="Arial"/>
                <w:color w:val="000000" w:themeColor="text1"/>
              </w:rPr>
            </w:pPr>
            <w:r w:rsidRPr="00C07BB7">
              <w:rPr>
                <w:rFonts w:cs="Arial"/>
                <w:color w:val="000000" w:themeColor="text1"/>
                <w:sz w:val="21"/>
              </w:rPr>
              <w:t>Medical Literature Analysis and Retrieval System Online</w:t>
            </w:r>
          </w:p>
        </w:tc>
      </w:tr>
      <w:tr w:rsidR="00416C8C" w:rsidRPr="00C07BB7" w14:paraId="6A272B29" w14:textId="77777777" w:rsidTr="00B433F6">
        <w:tc>
          <w:tcPr>
            <w:tcW w:w="1728" w:type="dxa"/>
          </w:tcPr>
          <w:p w14:paraId="686FA744" w14:textId="77777777" w:rsidR="00416C8C" w:rsidRPr="00C07BB7" w:rsidRDefault="00416C8C" w:rsidP="00462CB9">
            <w:pPr>
              <w:spacing w:after="0"/>
              <w:rPr>
                <w:rFonts w:cs="Arial"/>
                <w:bCs/>
                <w:color w:val="000000" w:themeColor="text1"/>
              </w:rPr>
            </w:pPr>
            <w:proofErr w:type="spellStart"/>
            <w:r w:rsidRPr="00C07BB7">
              <w:rPr>
                <w:rFonts w:cs="Arial"/>
                <w:bCs/>
                <w:color w:val="000000" w:themeColor="text1"/>
                <w:sz w:val="21"/>
              </w:rPr>
              <w:t>MeSH</w:t>
            </w:r>
            <w:proofErr w:type="spellEnd"/>
          </w:p>
        </w:tc>
        <w:tc>
          <w:tcPr>
            <w:tcW w:w="6930" w:type="dxa"/>
          </w:tcPr>
          <w:p w14:paraId="1E70D850" w14:textId="77777777" w:rsidR="00416C8C" w:rsidRPr="00C07BB7" w:rsidRDefault="00416C8C" w:rsidP="00462CB9">
            <w:pPr>
              <w:spacing w:after="0"/>
              <w:rPr>
                <w:rFonts w:cs="Arial"/>
                <w:color w:val="000000" w:themeColor="text1"/>
              </w:rPr>
            </w:pPr>
            <w:r w:rsidRPr="00C07BB7">
              <w:rPr>
                <w:rFonts w:cs="Arial"/>
                <w:color w:val="000000" w:themeColor="text1"/>
                <w:sz w:val="21"/>
              </w:rPr>
              <w:t>Medical Subject Headings</w:t>
            </w:r>
          </w:p>
        </w:tc>
      </w:tr>
      <w:tr w:rsidR="00416C8C" w:rsidRPr="00C07BB7" w14:paraId="55C9CD64" w14:textId="77777777" w:rsidTr="00B433F6">
        <w:tc>
          <w:tcPr>
            <w:tcW w:w="1728" w:type="dxa"/>
          </w:tcPr>
          <w:p w14:paraId="7BAFA346"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NHS</w:t>
            </w:r>
          </w:p>
        </w:tc>
        <w:tc>
          <w:tcPr>
            <w:tcW w:w="6930" w:type="dxa"/>
          </w:tcPr>
          <w:p w14:paraId="1C17BD67" w14:textId="77777777" w:rsidR="00416C8C" w:rsidRPr="00C07BB7" w:rsidRDefault="00416C8C" w:rsidP="00462CB9">
            <w:pPr>
              <w:spacing w:after="0"/>
              <w:rPr>
                <w:rFonts w:cs="Arial"/>
                <w:color w:val="000000" w:themeColor="text1"/>
              </w:rPr>
            </w:pPr>
            <w:r w:rsidRPr="00C07BB7">
              <w:rPr>
                <w:rFonts w:cs="Arial"/>
                <w:color w:val="000000" w:themeColor="text1"/>
                <w:sz w:val="21"/>
              </w:rPr>
              <w:t>National Health Service</w:t>
            </w:r>
          </w:p>
        </w:tc>
      </w:tr>
      <w:tr w:rsidR="00416C8C" w:rsidRPr="00C07BB7" w14:paraId="361E6321" w14:textId="77777777" w:rsidTr="00B433F6">
        <w:tc>
          <w:tcPr>
            <w:tcW w:w="1728" w:type="dxa"/>
          </w:tcPr>
          <w:p w14:paraId="39D95F47"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NICE</w:t>
            </w:r>
          </w:p>
        </w:tc>
        <w:tc>
          <w:tcPr>
            <w:tcW w:w="6930" w:type="dxa"/>
          </w:tcPr>
          <w:p w14:paraId="6328FA7C" w14:textId="77777777" w:rsidR="00416C8C" w:rsidRPr="00C07BB7" w:rsidRDefault="00416C8C" w:rsidP="00462CB9">
            <w:pPr>
              <w:spacing w:after="0"/>
              <w:rPr>
                <w:rFonts w:cs="Arial"/>
                <w:color w:val="000000" w:themeColor="text1"/>
              </w:rPr>
            </w:pPr>
            <w:r w:rsidRPr="00C07BB7">
              <w:rPr>
                <w:rFonts w:cs="Arial"/>
                <w:color w:val="000000" w:themeColor="text1"/>
                <w:sz w:val="21"/>
              </w:rPr>
              <w:t>National Institute for Health and Care Excellence</w:t>
            </w:r>
          </w:p>
        </w:tc>
      </w:tr>
      <w:tr w:rsidR="00416C8C" w:rsidRPr="00C07BB7" w14:paraId="09CA04B4" w14:textId="77777777" w:rsidTr="00B433F6">
        <w:tc>
          <w:tcPr>
            <w:tcW w:w="1728" w:type="dxa"/>
          </w:tcPr>
          <w:p w14:paraId="46CDBB09"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NO2</w:t>
            </w:r>
          </w:p>
        </w:tc>
        <w:tc>
          <w:tcPr>
            <w:tcW w:w="6930" w:type="dxa"/>
          </w:tcPr>
          <w:p w14:paraId="5D8D1E23" w14:textId="77777777" w:rsidR="00416C8C" w:rsidRPr="00C07BB7" w:rsidRDefault="00416C8C" w:rsidP="00462CB9">
            <w:pPr>
              <w:spacing w:after="0"/>
              <w:rPr>
                <w:rFonts w:cs="Arial"/>
                <w:color w:val="000000" w:themeColor="text1"/>
              </w:rPr>
            </w:pPr>
            <w:r w:rsidRPr="00C07BB7">
              <w:rPr>
                <w:rFonts w:cs="Arial"/>
                <w:color w:val="000000" w:themeColor="text1"/>
                <w:sz w:val="21"/>
              </w:rPr>
              <w:t>Nitrogen dioxide</w:t>
            </w:r>
          </w:p>
        </w:tc>
      </w:tr>
      <w:tr w:rsidR="00416C8C" w:rsidRPr="00C07BB7" w14:paraId="5B79D500" w14:textId="77777777" w:rsidTr="00B433F6">
        <w:tc>
          <w:tcPr>
            <w:tcW w:w="1728" w:type="dxa"/>
          </w:tcPr>
          <w:p w14:paraId="262314A8"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NOx</w:t>
            </w:r>
          </w:p>
        </w:tc>
        <w:tc>
          <w:tcPr>
            <w:tcW w:w="6930" w:type="dxa"/>
          </w:tcPr>
          <w:p w14:paraId="2ADC2B67" w14:textId="77777777" w:rsidR="00416C8C" w:rsidRPr="00C07BB7" w:rsidRDefault="00416C8C" w:rsidP="00462CB9">
            <w:pPr>
              <w:spacing w:after="0"/>
              <w:rPr>
                <w:rFonts w:cs="Arial"/>
                <w:color w:val="000000" w:themeColor="text1"/>
              </w:rPr>
            </w:pPr>
            <w:r w:rsidRPr="00C07BB7">
              <w:rPr>
                <w:rFonts w:cs="Arial"/>
                <w:color w:val="000000" w:themeColor="text1"/>
                <w:sz w:val="21"/>
              </w:rPr>
              <w:t>Nitrogen oxides</w:t>
            </w:r>
          </w:p>
        </w:tc>
      </w:tr>
      <w:tr w:rsidR="00416C8C" w:rsidRPr="00C07BB7" w14:paraId="13CBD0C8" w14:textId="77777777" w:rsidTr="00B433F6">
        <w:tc>
          <w:tcPr>
            <w:tcW w:w="1728" w:type="dxa"/>
          </w:tcPr>
          <w:p w14:paraId="6BED3EE2"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PICO</w:t>
            </w:r>
          </w:p>
        </w:tc>
        <w:tc>
          <w:tcPr>
            <w:tcW w:w="6930" w:type="dxa"/>
          </w:tcPr>
          <w:p w14:paraId="079254CC" w14:textId="1DA4A193" w:rsidR="00416C8C" w:rsidRPr="00C07BB7" w:rsidRDefault="00CA753A" w:rsidP="00462CB9">
            <w:pPr>
              <w:spacing w:after="0"/>
              <w:rPr>
                <w:rFonts w:cs="Arial"/>
                <w:color w:val="000000" w:themeColor="text1"/>
              </w:rPr>
            </w:pPr>
            <w:r w:rsidRPr="00C07BB7">
              <w:rPr>
                <w:rFonts w:cs="Arial"/>
                <w:color w:val="000000" w:themeColor="text1"/>
                <w:sz w:val="21"/>
              </w:rPr>
              <w:t>Population Intervention</w:t>
            </w:r>
            <w:r w:rsidR="00416C8C" w:rsidRPr="00C07BB7">
              <w:rPr>
                <w:rFonts w:cs="Arial"/>
                <w:color w:val="000000" w:themeColor="text1"/>
                <w:sz w:val="21"/>
              </w:rPr>
              <w:t xml:space="preserve"> or </w:t>
            </w:r>
            <w:r w:rsidRPr="00C07BB7">
              <w:rPr>
                <w:rFonts w:cs="Arial"/>
                <w:color w:val="000000" w:themeColor="text1"/>
                <w:sz w:val="21"/>
              </w:rPr>
              <w:t>Exposure Comparison Outcome</w:t>
            </w:r>
          </w:p>
        </w:tc>
      </w:tr>
      <w:tr w:rsidR="00416C8C" w:rsidRPr="00C07BB7" w14:paraId="59E56EFF" w14:textId="77777777" w:rsidTr="00B433F6">
        <w:tc>
          <w:tcPr>
            <w:tcW w:w="1728" w:type="dxa"/>
          </w:tcPr>
          <w:p w14:paraId="0D1544C1"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PM2.5</w:t>
            </w:r>
          </w:p>
        </w:tc>
        <w:tc>
          <w:tcPr>
            <w:tcW w:w="6930" w:type="dxa"/>
          </w:tcPr>
          <w:p w14:paraId="03FB4728" w14:textId="77777777" w:rsidR="00416C8C" w:rsidRPr="00C07BB7" w:rsidRDefault="00416C8C" w:rsidP="00462CB9">
            <w:pPr>
              <w:spacing w:after="0"/>
              <w:rPr>
                <w:rFonts w:cs="Arial"/>
                <w:color w:val="000000" w:themeColor="text1"/>
              </w:rPr>
            </w:pPr>
            <w:r w:rsidRPr="00C07BB7">
              <w:rPr>
                <w:rFonts w:cs="Arial"/>
                <w:color w:val="000000" w:themeColor="text1"/>
                <w:sz w:val="21"/>
              </w:rPr>
              <w:t xml:space="preserve">Particulate matter with a diameter of 2.5 </w:t>
            </w:r>
            <w:proofErr w:type="spellStart"/>
            <w:r w:rsidRPr="00C07BB7">
              <w:rPr>
                <w:rFonts w:cs="Arial"/>
                <w:color w:val="000000" w:themeColor="text1"/>
                <w:sz w:val="21"/>
              </w:rPr>
              <w:t>micrometres</w:t>
            </w:r>
            <w:proofErr w:type="spellEnd"/>
            <w:r w:rsidRPr="00C07BB7">
              <w:rPr>
                <w:rFonts w:cs="Arial"/>
                <w:color w:val="000000" w:themeColor="text1"/>
                <w:sz w:val="21"/>
              </w:rPr>
              <w:t xml:space="preserve"> or less</w:t>
            </w:r>
          </w:p>
        </w:tc>
      </w:tr>
      <w:tr w:rsidR="00416C8C" w:rsidRPr="00C07BB7" w14:paraId="1939A6B9" w14:textId="77777777" w:rsidTr="00B433F6">
        <w:tc>
          <w:tcPr>
            <w:tcW w:w="1728" w:type="dxa"/>
          </w:tcPr>
          <w:p w14:paraId="51DFFF95"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PM10</w:t>
            </w:r>
          </w:p>
        </w:tc>
        <w:tc>
          <w:tcPr>
            <w:tcW w:w="6930" w:type="dxa"/>
          </w:tcPr>
          <w:p w14:paraId="195CD3E5" w14:textId="77777777" w:rsidR="00416C8C" w:rsidRPr="00C07BB7" w:rsidRDefault="00416C8C" w:rsidP="00462CB9">
            <w:pPr>
              <w:spacing w:after="0"/>
              <w:rPr>
                <w:rFonts w:cs="Arial"/>
                <w:color w:val="000000" w:themeColor="text1"/>
              </w:rPr>
            </w:pPr>
            <w:r w:rsidRPr="00C07BB7">
              <w:rPr>
                <w:rFonts w:cs="Arial"/>
                <w:color w:val="000000" w:themeColor="text1"/>
                <w:sz w:val="21"/>
              </w:rPr>
              <w:t xml:space="preserve">Particulate matter with a diameter of 10 </w:t>
            </w:r>
            <w:proofErr w:type="spellStart"/>
            <w:r w:rsidRPr="00C07BB7">
              <w:rPr>
                <w:rFonts w:cs="Arial"/>
                <w:color w:val="000000" w:themeColor="text1"/>
                <w:sz w:val="21"/>
              </w:rPr>
              <w:t>micrometres</w:t>
            </w:r>
            <w:proofErr w:type="spellEnd"/>
            <w:r w:rsidRPr="00C07BB7">
              <w:rPr>
                <w:rFonts w:cs="Arial"/>
                <w:color w:val="000000" w:themeColor="text1"/>
                <w:sz w:val="21"/>
              </w:rPr>
              <w:t xml:space="preserve"> or less</w:t>
            </w:r>
          </w:p>
        </w:tc>
      </w:tr>
      <w:tr w:rsidR="00416C8C" w:rsidRPr="00C07BB7" w14:paraId="0AAF8090" w14:textId="77777777" w:rsidTr="00B433F6">
        <w:tc>
          <w:tcPr>
            <w:tcW w:w="1728" w:type="dxa"/>
          </w:tcPr>
          <w:p w14:paraId="53BDD954"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PRISMA</w:t>
            </w:r>
          </w:p>
        </w:tc>
        <w:tc>
          <w:tcPr>
            <w:tcW w:w="6930" w:type="dxa"/>
          </w:tcPr>
          <w:p w14:paraId="3547485A" w14:textId="77777777" w:rsidR="00416C8C" w:rsidRPr="00C07BB7" w:rsidRDefault="00416C8C" w:rsidP="00462CB9">
            <w:pPr>
              <w:spacing w:after="0"/>
              <w:rPr>
                <w:rFonts w:cs="Arial"/>
                <w:color w:val="000000" w:themeColor="text1"/>
              </w:rPr>
            </w:pPr>
            <w:r w:rsidRPr="00C07BB7">
              <w:rPr>
                <w:rFonts w:cs="Arial"/>
                <w:color w:val="000000" w:themeColor="text1"/>
                <w:sz w:val="21"/>
              </w:rPr>
              <w:t>Preferred Reporting Items for Systematic Reviews and Meta Analyses</w:t>
            </w:r>
          </w:p>
        </w:tc>
      </w:tr>
      <w:tr w:rsidR="00416C8C" w:rsidRPr="00C07BB7" w14:paraId="366D31C0" w14:textId="77777777" w:rsidTr="00B433F6">
        <w:tc>
          <w:tcPr>
            <w:tcW w:w="1728" w:type="dxa"/>
          </w:tcPr>
          <w:p w14:paraId="09E3BBF4"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RCT</w:t>
            </w:r>
          </w:p>
        </w:tc>
        <w:tc>
          <w:tcPr>
            <w:tcW w:w="6930" w:type="dxa"/>
          </w:tcPr>
          <w:p w14:paraId="00AE367E" w14:textId="77777777" w:rsidR="00416C8C" w:rsidRPr="00C07BB7" w:rsidRDefault="00416C8C" w:rsidP="00462CB9">
            <w:pPr>
              <w:spacing w:after="0"/>
              <w:rPr>
                <w:rFonts w:cs="Arial"/>
                <w:color w:val="000000" w:themeColor="text1"/>
              </w:rPr>
            </w:pPr>
            <w:proofErr w:type="spellStart"/>
            <w:r w:rsidRPr="00C07BB7">
              <w:rPr>
                <w:rFonts w:cs="Arial"/>
                <w:color w:val="000000" w:themeColor="text1"/>
                <w:sz w:val="21"/>
              </w:rPr>
              <w:t>Randomised</w:t>
            </w:r>
            <w:proofErr w:type="spellEnd"/>
            <w:r w:rsidRPr="00C07BB7">
              <w:rPr>
                <w:rFonts w:cs="Arial"/>
                <w:color w:val="000000" w:themeColor="text1"/>
                <w:sz w:val="21"/>
              </w:rPr>
              <w:t xml:space="preserve"> controlled trial</w:t>
            </w:r>
          </w:p>
        </w:tc>
      </w:tr>
      <w:tr w:rsidR="00416C8C" w:rsidRPr="00C07BB7" w14:paraId="33DAC402" w14:textId="77777777" w:rsidTr="00B433F6">
        <w:tc>
          <w:tcPr>
            <w:tcW w:w="1728" w:type="dxa"/>
          </w:tcPr>
          <w:p w14:paraId="161A7283"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SAIL</w:t>
            </w:r>
          </w:p>
        </w:tc>
        <w:tc>
          <w:tcPr>
            <w:tcW w:w="6930" w:type="dxa"/>
          </w:tcPr>
          <w:p w14:paraId="0FA7CFC7" w14:textId="77777777" w:rsidR="00416C8C" w:rsidRPr="00C07BB7" w:rsidRDefault="00416C8C" w:rsidP="00462CB9">
            <w:pPr>
              <w:spacing w:after="0"/>
              <w:rPr>
                <w:rFonts w:cs="Arial"/>
                <w:color w:val="000000" w:themeColor="text1"/>
              </w:rPr>
            </w:pPr>
            <w:r w:rsidRPr="00C07BB7">
              <w:rPr>
                <w:rFonts w:cs="Arial"/>
                <w:color w:val="000000" w:themeColor="text1"/>
                <w:sz w:val="21"/>
              </w:rPr>
              <w:t xml:space="preserve">Secure </w:t>
            </w:r>
            <w:proofErr w:type="spellStart"/>
            <w:r w:rsidRPr="00C07BB7">
              <w:rPr>
                <w:rFonts w:cs="Arial"/>
                <w:color w:val="000000" w:themeColor="text1"/>
                <w:sz w:val="21"/>
              </w:rPr>
              <w:t>Anonymised</w:t>
            </w:r>
            <w:proofErr w:type="spellEnd"/>
            <w:r w:rsidRPr="00C07BB7">
              <w:rPr>
                <w:rFonts w:cs="Arial"/>
                <w:color w:val="000000" w:themeColor="text1"/>
                <w:sz w:val="21"/>
              </w:rPr>
              <w:t xml:space="preserve"> Information Linkage</w:t>
            </w:r>
          </w:p>
        </w:tc>
      </w:tr>
      <w:tr w:rsidR="00416C8C" w:rsidRPr="00C07BB7" w14:paraId="2EE2BDDD" w14:textId="77777777" w:rsidTr="00B433F6">
        <w:tc>
          <w:tcPr>
            <w:tcW w:w="1728" w:type="dxa"/>
          </w:tcPr>
          <w:p w14:paraId="6A9E5BD6"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SGLT2</w:t>
            </w:r>
          </w:p>
        </w:tc>
        <w:tc>
          <w:tcPr>
            <w:tcW w:w="6930" w:type="dxa"/>
          </w:tcPr>
          <w:p w14:paraId="58361C26" w14:textId="77777777" w:rsidR="00416C8C" w:rsidRPr="00C07BB7" w:rsidRDefault="00416C8C" w:rsidP="00462CB9">
            <w:pPr>
              <w:spacing w:after="0"/>
              <w:rPr>
                <w:rFonts w:cs="Arial"/>
                <w:color w:val="000000" w:themeColor="text1"/>
              </w:rPr>
            </w:pPr>
            <w:r w:rsidRPr="00C07BB7">
              <w:rPr>
                <w:rFonts w:cs="Arial"/>
                <w:color w:val="000000" w:themeColor="text1"/>
                <w:sz w:val="21"/>
              </w:rPr>
              <w:t>Sodium glucose cotransporter 2</w:t>
            </w:r>
          </w:p>
        </w:tc>
      </w:tr>
      <w:tr w:rsidR="00416C8C" w:rsidRPr="00C07BB7" w14:paraId="0AD0BAA8" w14:textId="77777777" w:rsidTr="00B433F6">
        <w:tc>
          <w:tcPr>
            <w:tcW w:w="1728" w:type="dxa"/>
          </w:tcPr>
          <w:p w14:paraId="4B9A9BE1"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SLR</w:t>
            </w:r>
          </w:p>
        </w:tc>
        <w:tc>
          <w:tcPr>
            <w:tcW w:w="6930" w:type="dxa"/>
          </w:tcPr>
          <w:p w14:paraId="055AE35B" w14:textId="77777777" w:rsidR="00416C8C" w:rsidRPr="00C07BB7" w:rsidRDefault="00416C8C" w:rsidP="00462CB9">
            <w:pPr>
              <w:spacing w:after="0"/>
              <w:rPr>
                <w:rFonts w:cs="Arial"/>
                <w:color w:val="000000" w:themeColor="text1"/>
              </w:rPr>
            </w:pPr>
            <w:r w:rsidRPr="00C07BB7">
              <w:rPr>
                <w:rFonts w:cs="Arial"/>
                <w:color w:val="000000" w:themeColor="text1"/>
                <w:sz w:val="21"/>
              </w:rPr>
              <w:t>Systematic literature review</w:t>
            </w:r>
          </w:p>
        </w:tc>
      </w:tr>
      <w:tr w:rsidR="00416C8C" w:rsidRPr="00C07BB7" w14:paraId="41A0542E" w14:textId="77777777" w:rsidTr="00B433F6">
        <w:tc>
          <w:tcPr>
            <w:tcW w:w="1728" w:type="dxa"/>
          </w:tcPr>
          <w:p w14:paraId="04957309"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T2DM</w:t>
            </w:r>
          </w:p>
        </w:tc>
        <w:tc>
          <w:tcPr>
            <w:tcW w:w="6930" w:type="dxa"/>
          </w:tcPr>
          <w:p w14:paraId="746AD5FE" w14:textId="77777777" w:rsidR="00416C8C" w:rsidRPr="00C07BB7" w:rsidRDefault="00416C8C" w:rsidP="00462CB9">
            <w:pPr>
              <w:spacing w:after="0"/>
              <w:rPr>
                <w:rFonts w:cs="Arial"/>
                <w:color w:val="000000" w:themeColor="text1"/>
              </w:rPr>
            </w:pPr>
            <w:r w:rsidRPr="00C07BB7">
              <w:rPr>
                <w:rFonts w:cs="Arial"/>
                <w:color w:val="000000" w:themeColor="text1"/>
                <w:sz w:val="21"/>
              </w:rPr>
              <w:t>Type 2 diabetes mellitus</w:t>
            </w:r>
          </w:p>
        </w:tc>
      </w:tr>
      <w:tr w:rsidR="00416C8C" w:rsidRPr="00C07BB7" w14:paraId="2CF643B4" w14:textId="77777777" w:rsidTr="00B433F6">
        <w:tc>
          <w:tcPr>
            <w:tcW w:w="1728" w:type="dxa"/>
          </w:tcPr>
          <w:p w14:paraId="3ECA398F" w14:textId="77777777" w:rsidR="00416C8C" w:rsidRPr="00C07BB7" w:rsidRDefault="00416C8C" w:rsidP="00462CB9">
            <w:pPr>
              <w:spacing w:after="0"/>
              <w:rPr>
                <w:rFonts w:cs="Arial"/>
                <w:bCs/>
                <w:color w:val="000000" w:themeColor="text1"/>
              </w:rPr>
            </w:pPr>
            <w:proofErr w:type="spellStart"/>
            <w:r w:rsidRPr="00C07BB7">
              <w:rPr>
                <w:rFonts w:cs="Arial"/>
                <w:bCs/>
                <w:color w:val="000000" w:themeColor="text1"/>
                <w:sz w:val="21"/>
              </w:rPr>
              <w:t>uACR</w:t>
            </w:r>
            <w:proofErr w:type="spellEnd"/>
          </w:p>
        </w:tc>
        <w:tc>
          <w:tcPr>
            <w:tcW w:w="6930" w:type="dxa"/>
          </w:tcPr>
          <w:p w14:paraId="6F0EFC69" w14:textId="77777777" w:rsidR="00416C8C" w:rsidRPr="00C07BB7" w:rsidRDefault="00416C8C" w:rsidP="00462CB9">
            <w:pPr>
              <w:spacing w:after="0"/>
              <w:rPr>
                <w:rFonts w:cs="Arial"/>
                <w:color w:val="000000" w:themeColor="text1"/>
              </w:rPr>
            </w:pPr>
            <w:r w:rsidRPr="00C07BB7">
              <w:rPr>
                <w:rFonts w:cs="Arial"/>
                <w:color w:val="000000" w:themeColor="text1"/>
                <w:sz w:val="21"/>
              </w:rPr>
              <w:t>Urine albumin to creatinine ratio</w:t>
            </w:r>
          </w:p>
        </w:tc>
      </w:tr>
      <w:tr w:rsidR="00416C8C" w:rsidRPr="00C07BB7" w14:paraId="0EA82AA9" w14:textId="77777777" w:rsidTr="00B433F6">
        <w:tc>
          <w:tcPr>
            <w:tcW w:w="1728" w:type="dxa"/>
          </w:tcPr>
          <w:p w14:paraId="7E901818"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UK</w:t>
            </w:r>
          </w:p>
        </w:tc>
        <w:tc>
          <w:tcPr>
            <w:tcW w:w="6930" w:type="dxa"/>
          </w:tcPr>
          <w:p w14:paraId="78F94A66" w14:textId="77777777" w:rsidR="00416C8C" w:rsidRPr="00C07BB7" w:rsidRDefault="00416C8C" w:rsidP="00462CB9">
            <w:pPr>
              <w:spacing w:after="0"/>
              <w:rPr>
                <w:rFonts w:cs="Arial"/>
                <w:color w:val="000000" w:themeColor="text1"/>
              </w:rPr>
            </w:pPr>
            <w:r w:rsidRPr="00C07BB7">
              <w:rPr>
                <w:rFonts w:cs="Arial"/>
                <w:color w:val="000000" w:themeColor="text1"/>
                <w:sz w:val="21"/>
              </w:rPr>
              <w:t>United Kingdom</w:t>
            </w:r>
          </w:p>
        </w:tc>
      </w:tr>
      <w:tr w:rsidR="00416C8C" w:rsidRPr="00C07BB7" w14:paraId="148B8C29" w14:textId="77777777" w:rsidTr="00B433F6">
        <w:tc>
          <w:tcPr>
            <w:tcW w:w="1728" w:type="dxa"/>
          </w:tcPr>
          <w:p w14:paraId="647955C2"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UKRI</w:t>
            </w:r>
          </w:p>
        </w:tc>
        <w:tc>
          <w:tcPr>
            <w:tcW w:w="6930" w:type="dxa"/>
          </w:tcPr>
          <w:p w14:paraId="1DDBCE71" w14:textId="77777777" w:rsidR="00416C8C" w:rsidRPr="00C07BB7" w:rsidRDefault="00416C8C" w:rsidP="00462CB9">
            <w:pPr>
              <w:spacing w:after="0"/>
              <w:rPr>
                <w:rFonts w:cs="Arial"/>
                <w:color w:val="000000" w:themeColor="text1"/>
              </w:rPr>
            </w:pPr>
            <w:r w:rsidRPr="00C07BB7">
              <w:rPr>
                <w:rFonts w:cs="Arial"/>
                <w:color w:val="000000" w:themeColor="text1"/>
                <w:sz w:val="21"/>
              </w:rPr>
              <w:t>UK Research and Innovation</w:t>
            </w:r>
          </w:p>
        </w:tc>
      </w:tr>
      <w:tr w:rsidR="00416C8C" w:rsidRPr="00C07BB7" w14:paraId="3E6F235D" w14:textId="77777777" w:rsidTr="00B433F6">
        <w:tc>
          <w:tcPr>
            <w:tcW w:w="1728" w:type="dxa"/>
          </w:tcPr>
          <w:p w14:paraId="488CC2D5"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UKRIO</w:t>
            </w:r>
          </w:p>
        </w:tc>
        <w:tc>
          <w:tcPr>
            <w:tcW w:w="6930" w:type="dxa"/>
          </w:tcPr>
          <w:p w14:paraId="5B1B3939" w14:textId="77777777" w:rsidR="00416C8C" w:rsidRPr="00C07BB7" w:rsidRDefault="00416C8C" w:rsidP="00462CB9">
            <w:pPr>
              <w:spacing w:after="0"/>
              <w:rPr>
                <w:rFonts w:cs="Arial"/>
                <w:color w:val="000000" w:themeColor="text1"/>
              </w:rPr>
            </w:pPr>
            <w:r w:rsidRPr="00C07BB7">
              <w:rPr>
                <w:rFonts w:cs="Arial"/>
                <w:color w:val="000000" w:themeColor="text1"/>
                <w:sz w:val="21"/>
              </w:rPr>
              <w:t>UK Research Integrity Office</w:t>
            </w:r>
          </w:p>
        </w:tc>
      </w:tr>
      <w:tr w:rsidR="00416C8C" w:rsidRPr="00C07BB7" w14:paraId="28BF25E6" w14:textId="77777777" w:rsidTr="00B433F6">
        <w:tc>
          <w:tcPr>
            <w:tcW w:w="1728" w:type="dxa"/>
          </w:tcPr>
          <w:p w14:paraId="48AC7097" w14:textId="77777777" w:rsidR="00416C8C" w:rsidRPr="00C07BB7" w:rsidRDefault="00416C8C" w:rsidP="00462CB9">
            <w:pPr>
              <w:spacing w:after="0"/>
              <w:rPr>
                <w:rFonts w:cs="Arial"/>
                <w:bCs/>
                <w:color w:val="000000" w:themeColor="text1"/>
              </w:rPr>
            </w:pPr>
            <w:r w:rsidRPr="00C07BB7">
              <w:rPr>
                <w:rFonts w:cs="Arial"/>
                <w:bCs/>
                <w:color w:val="000000" w:themeColor="text1"/>
                <w:sz w:val="21"/>
              </w:rPr>
              <w:t>WHO</w:t>
            </w:r>
          </w:p>
        </w:tc>
        <w:tc>
          <w:tcPr>
            <w:tcW w:w="6930" w:type="dxa"/>
          </w:tcPr>
          <w:p w14:paraId="1A68277A" w14:textId="77777777" w:rsidR="00416C8C" w:rsidRPr="00C07BB7" w:rsidRDefault="00416C8C" w:rsidP="00462CB9">
            <w:pPr>
              <w:spacing w:after="0"/>
              <w:rPr>
                <w:rFonts w:cs="Arial"/>
                <w:color w:val="000000" w:themeColor="text1"/>
              </w:rPr>
            </w:pPr>
            <w:r w:rsidRPr="00C07BB7">
              <w:rPr>
                <w:rFonts w:cs="Arial"/>
                <w:color w:val="000000" w:themeColor="text1"/>
                <w:sz w:val="21"/>
              </w:rPr>
              <w:t>World Health Organization</w:t>
            </w:r>
          </w:p>
        </w:tc>
      </w:tr>
    </w:tbl>
    <w:p w14:paraId="39FACC71" w14:textId="77777777" w:rsidR="002F4036" w:rsidRPr="00C07BB7" w:rsidRDefault="002F4036" w:rsidP="00462CB9">
      <w:pPr>
        <w:rPr>
          <w:rFonts w:cs="Arial"/>
        </w:rPr>
      </w:pPr>
    </w:p>
    <w:p w14:paraId="2DADBB08" w14:textId="77777777" w:rsidR="00613093" w:rsidRPr="00C07BB7" w:rsidRDefault="00613093" w:rsidP="00462CB9">
      <w:pPr>
        <w:rPr>
          <w:rFonts w:cs="Arial"/>
          <w:color w:val="000000" w:themeColor="text1"/>
          <w:sz w:val="28"/>
        </w:rPr>
      </w:pPr>
      <w:r w:rsidRPr="00C07BB7">
        <w:rPr>
          <w:rFonts w:cs="Arial"/>
          <w:color w:val="000000" w:themeColor="text1"/>
          <w:sz w:val="28"/>
        </w:rPr>
        <w:br w:type="page"/>
      </w:r>
    </w:p>
    <w:sdt>
      <w:sdtPr>
        <w:rPr>
          <w:rFonts w:eastAsia="Times New Roman" w:cs="Arial"/>
          <w:b w:val="0"/>
          <w:bCs w:val="0"/>
          <w:color w:val="auto"/>
          <w:sz w:val="22"/>
          <w:szCs w:val="22"/>
        </w:rPr>
        <w:id w:val="-436524520"/>
        <w:docPartObj>
          <w:docPartGallery w:val="Table of Contents"/>
          <w:docPartUnique/>
        </w:docPartObj>
      </w:sdtPr>
      <w:sdtEndPr>
        <w:rPr>
          <w:noProof/>
        </w:rPr>
      </w:sdtEndPr>
      <w:sdtContent>
        <w:p w14:paraId="5A6B02DE" w14:textId="5ABBD598" w:rsidR="00A429BD" w:rsidRPr="00C07BB7" w:rsidRDefault="00A429BD" w:rsidP="00462CB9">
          <w:pPr>
            <w:pStyle w:val="TOCHeading"/>
            <w:rPr>
              <w:rFonts w:cs="Arial"/>
            </w:rPr>
          </w:pPr>
          <w:r w:rsidRPr="00C07BB7">
            <w:rPr>
              <w:rFonts w:cs="Arial"/>
            </w:rPr>
            <w:t>Table of Contents</w:t>
          </w:r>
        </w:p>
        <w:p w14:paraId="6CC5AF40" w14:textId="3A0ADD35" w:rsidR="002D4B06" w:rsidRDefault="00A429BD">
          <w:pPr>
            <w:pStyle w:val="TOC1"/>
            <w:tabs>
              <w:tab w:val="right" w:leader="dot" w:pos="8296"/>
            </w:tabs>
            <w:rPr>
              <w:rFonts w:asciiTheme="minorHAnsi" w:eastAsiaTheme="minorEastAsia" w:hAnsiTheme="minorHAnsi" w:cstheme="minorBidi"/>
              <w:noProof/>
              <w:kern w:val="2"/>
              <w14:ligatures w14:val="standardContextual"/>
            </w:rPr>
          </w:pPr>
          <w:r w:rsidRPr="00C07BB7">
            <w:fldChar w:fldCharType="begin"/>
          </w:r>
          <w:r w:rsidRPr="00C07BB7">
            <w:instrText xml:space="preserve"> TOC \o "1-3" \h \z \u </w:instrText>
          </w:r>
          <w:r w:rsidRPr="00C07BB7">
            <w:fldChar w:fldCharType="separate"/>
          </w:r>
          <w:hyperlink w:anchor="_Toc241011030" w:history="1">
            <w:r w:rsidR="002D4B06" w:rsidRPr="000D6619">
              <w:rPr>
                <w:rStyle w:val="Hyperlink"/>
                <w:noProof/>
                <w:lang w:val="hr-HR"/>
              </w:rPr>
              <w:t>DECLARATION</w:t>
            </w:r>
            <w:r w:rsidR="002D4B06">
              <w:rPr>
                <w:noProof/>
                <w:webHidden/>
              </w:rPr>
              <w:tab/>
            </w:r>
            <w:r w:rsidR="002D4B06">
              <w:rPr>
                <w:noProof/>
                <w:webHidden/>
              </w:rPr>
              <w:fldChar w:fldCharType="begin"/>
            </w:r>
            <w:r w:rsidR="002D4B06">
              <w:rPr>
                <w:noProof/>
                <w:webHidden/>
              </w:rPr>
              <w:instrText xml:space="preserve"> PAGEREF _Toc241011030 \h </w:instrText>
            </w:r>
            <w:r w:rsidR="002D4B06">
              <w:rPr>
                <w:noProof/>
                <w:webHidden/>
              </w:rPr>
            </w:r>
            <w:r w:rsidR="002D4B06">
              <w:rPr>
                <w:noProof/>
                <w:webHidden/>
              </w:rPr>
              <w:fldChar w:fldCharType="separate"/>
            </w:r>
            <w:r w:rsidR="002D4B06">
              <w:rPr>
                <w:noProof/>
                <w:webHidden/>
              </w:rPr>
              <w:t>2</w:t>
            </w:r>
            <w:r w:rsidR="002D4B06">
              <w:rPr>
                <w:noProof/>
                <w:webHidden/>
              </w:rPr>
              <w:fldChar w:fldCharType="end"/>
            </w:r>
          </w:hyperlink>
        </w:p>
        <w:p w14:paraId="76E11F49" w14:textId="7FE14BE0"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31" w:history="1">
            <w:r w:rsidRPr="000D6619">
              <w:rPr>
                <w:rStyle w:val="Hyperlink"/>
                <w:noProof/>
              </w:rPr>
              <w:t>Acknowledgement</w:t>
            </w:r>
            <w:r>
              <w:rPr>
                <w:noProof/>
                <w:webHidden/>
              </w:rPr>
              <w:tab/>
            </w:r>
            <w:r>
              <w:rPr>
                <w:noProof/>
                <w:webHidden/>
              </w:rPr>
              <w:fldChar w:fldCharType="begin"/>
            </w:r>
            <w:r>
              <w:rPr>
                <w:noProof/>
                <w:webHidden/>
              </w:rPr>
              <w:instrText xml:space="preserve"> PAGEREF _Toc241011031 \h </w:instrText>
            </w:r>
            <w:r>
              <w:rPr>
                <w:noProof/>
                <w:webHidden/>
              </w:rPr>
            </w:r>
            <w:r>
              <w:rPr>
                <w:noProof/>
                <w:webHidden/>
              </w:rPr>
              <w:fldChar w:fldCharType="separate"/>
            </w:r>
            <w:r>
              <w:rPr>
                <w:noProof/>
                <w:webHidden/>
              </w:rPr>
              <w:t>3</w:t>
            </w:r>
            <w:r>
              <w:rPr>
                <w:noProof/>
                <w:webHidden/>
              </w:rPr>
              <w:fldChar w:fldCharType="end"/>
            </w:r>
          </w:hyperlink>
        </w:p>
        <w:p w14:paraId="357A293C" w14:textId="12D9F1EB"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32" w:history="1">
            <w:r w:rsidRPr="000D6619">
              <w:rPr>
                <w:rStyle w:val="Hyperlink"/>
                <w:noProof/>
              </w:rPr>
              <w:t>Abstract</w:t>
            </w:r>
            <w:r>
              <w:rPr>
                <w:noProof/>
                <w:webHidden/>
              </w:rPr>
              <w:tab/>
            </w:r>
            <w:r>
              <w:rPr>
                <w:noProof/>
                <w:webHidden/>
              </w:rPr>
              <w:fldChar w:fldCharType="begin"/>
            </w:r>
            <w:r>
              <w:rPr>
                <w:noProof/>
                <w:webHidden/>
              </w:rPr>
              <w:instrText xml:space="preserve"> PAGEREF _Toc241011032 \h </w:instrText>
            </w:r>
            <w:r>
              <w:rPr>
                <w:noProof/>
                <w:webHidden/>
              </w:rPr>
            </w:r>
            <w:r>
              <w:rPr>
                <w:noProof/>
                <w:webHidden/>
              </w:rPr>
              <w:fldChar w:fldCharType="separate"/>
            </w:r>
            <w:r>
              <w:rPr>
                <w:noProof/>
                <w:webHidden/>
              </w:rPr>
              <w:t>4</w:t>
            </w:r>
            <w:r>
              <w:rPr>
                <w:noProof/>
                <w:webHidden/>
              </w:rPr>
              <w:fldChar w:fldCharType="end"/>
            </w:r>
          </w:hyperlink>
        </w:p>
        <w:p w14:paraId="2A8CA410" w14:textId="19E40DF3"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33" w:history="1">
            <w:r w:rsidRPr="000D6619">
              <w:rPr>
                <w:rStyle w:val="Hyperlink"/>
                <w:noProof/>
              </w:rPr>
              <w:t>List of Tables</w:t>
            </w:r>
            <w:r>
              <w:rPr>
                <w:noProof/>
                <w:webHidden/>
              </w:rPr>
              <w:tab/>
            </w:r>
            <w:r>
              <w:rPr>
                <w:noProof/>
                <w:webHidden/>
              </w:rPr>
              <w:fldChar w:fldCharType="begin"/>
            </w:r>
            <w:r>
              <w:rPr>
                <w:noProof/>
                <w:webHidden/>
              </w:rPr>
              <w:instrText xml:space="preserve"> PAGEREF _Toc241011033 \h </w:instrText>
            </w:r>
            <w:r>
              <w:rPr>
                <w:noProof/>
                <w:webHidden/>
              </w:rPr>
            </w:r>
            <w:r>
              <w:rPr>
                <w:noProof/>
                <w:webHidden/>
              </w:rPr>
              <w:fldChar w:fldCharType="separate"/>
            </w:r>
            <w:r>
              <w:rPr>
                <w:noProof/>
                <w:webHidden/>
              </w:rPr>
              <w:t>6</w:t>
            </w:r>
            <w:r>
              <w:rPr>
                <w:noProof/>
                <w:webHidden/>
              </w:rPr>
              <w:fldChar w:fldCharType="end"/>
            </w:r>
          </w:hyperlink>
        </w:p>
        <w:p w14:paraId="707EB54E" w14:textId="2D82FE6E"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34" w:history="1">
            <w:r w:rsidRPr="000D6619">
              <w:rPr>
                <w:rStyle w:val="Hyperlink"/>
                <w:noProof/>
              </w:rPr>
              <w:t>List of Figures</w:t>
            </w:r>
            <w:r>
              <w:rPr>
                <w:noProof/>
                <w:webHidden/>
              </w:rPr>
              <w:tab/>
            </w:r>
            <w:r>
              <w:rPr>
                <w:noProof/>
                <w:webHidden/>
              </w:rPr>
              <w:fldChar w:fldCharType="begin"/>
            </w:r>
            <w:r>
              <w:rPr>
                <w:noProof/>
                <w:webHidden/>
              </w:rPr>
              <w:instrText xml:space="preserve"> PAGEREF _Toc241011034 \h </w:instrText>
            </w:r>
            <w:r>
              <w:rPr>
                <w:noProof/>
                <w:webHidden/>
              </w:rPr>
            </w:r>
            <w:r>
              <w:rPr>
                <w:noProof/>
                <w:webHidden/>
              </w:rPr>
              <w:fldChar w:fldCharType="separate"/>
            </w:r>
            <w:r>
              <w:rPr>
                <w:noProof/>
                <w:webHidden/>
              </w:rPr>
              <w:t>6</w:t>
            </w:r>
            <w:r>
              <w:rPr>
                <w:noProof/>
                <w:webHidden/>
              </w:rPr>
              <w:fldChar w:fldCharType="end"/>
            </w:r>
          </w:hyperlink>
        </w:p>
        <w:p w14:paraId="47FE53B7" w14:textId="40895366"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35" w:history="1">
            <w:r w:rsidRPr="000D6619">
              <w:rPr>
                <w:rStyle w:val="Hyperlink"/>
                <w:noProof/>
              </w:rPr>
              <w:t>List of Abbreviations</w:t>
            </w:r>
            <w:r>
              <w:rPr>
                <w:noProof/>
                <w:webHidden/>
              </w:rPr>
              <w:tab/>
            </w:r>
            <w:r>
              <w:rPr>
                <w:noProof/>
                <w:webHidden/>
              </w:rPr>
              <w:fldChar w:fldCharType="begin"/>
            </w:r>
            <w:r>
              <w:rPr>
                <w:noProof/>
                <w:webHidden/>
              </w:rPr>
              <w:instrText xml:space="preserve"> PAGEREF _Toc241011035 \h </w:instrText>
            </w:r>
            <w:r>
              <w:rPr>
                <w:noProof/>
                <w:webHidden/>
              </w:rPr>
            </w:r>
            <w:r>
              <w:rPr>
                <w:noProof/>
                <w:webHidden/>
              </w:rPr>
              <w:fldChar w:fldCharType="separate"/>
            </w:r>
            <w:r>
              <w:rPr>
                <w:noProof/>
                <w:webHidden/>
              </w:rPr>
              <w:t>7</w:t>
            </w:r>
            <w:r>
              <w:rPr>
                <w:noProof/>
                <w:webHidden/>
              </w:rPr>
              <w:fldChar w:fldCharType="end"/>
            </w:r>
          </w:hyperlink>
        </w:p>
        <w:p w14:paraId="02DE805B" w14:textId="1B5ED572"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36" w:history="1">
            <w:r w:rsidRPr="000D6619">
              <w:rPr>
                <w:rStyle w:val="Hyperlink"/>
                <w:noProof/>
              </w:rPr>
              <w:t>Chapter One: Introduction</w:t>
            </w:r>
            <w:r>
              <w:rPr>
                <w:noProof/>
                <w:webHidden/>
              </w:rPr>
              <w:tab/>
            </w:r>
            <w:r>
              <w:rPr>
                <w:noProof/>
                <w:webHidden/>
              </w:rPr>
              <w:fldChar w:fldCharType="begin"/>
            </w:r>
            <w:r>
              <w:rPr>
                <w:noProof/>
                <w:webHidden/>
              </w:rPr>
              <w:instrText xml:space="preserve"> PAGEREF _Toc241011036 \h </w:instrText>
            </w:r>
            <w:r>
              <w:rPr>
                <w:noProof/>
                <w:webHidden/>
              </w:rPr>
            </w:r>
            <w:r>
              <w:rPr>
                <w:noProof/>
                <w:webHidden/>
              </w:rPr>
              <w:fldChar w:fldCharType="separate"/>
            </w:r>
            <w:r>
              <w:rPr>
                <w:noProof/>
                <w:webHidden/>
              </w:rPr>
              <w:t>12</w:t>
            </w:r>
            <w:r>
              <w:rPr>
                <w:noProof/>
                <w:webHidden/>
              </w:rPr>
              <w:fldChar w:fldCharType="end"/>
            </w:r>
          </w:hyperlink>
        </w:p>
        <w:p w14:paraId="2CEED39D" w14:textId="4DF38FA7"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37" w:history="1">
            <w:r w:rsidRPr="000D6619">
              <w:rPr>
                <w:rStyle w:val="Hyperlink"/>
                <w:rFonts w:cs="Arial"/>
                <w:noProof/>
              </w:rPr>
              <w:t>1.1 Introduction</w:t>
            </w:r>
            <w:r>
              <w:rPr>
                <w:noProof/>
                <w:webHidden/>
              </w:rPr>
              <w:tab/>
            </w:r>
            <w:r>
              <w:rPr>
                <w:noProof/>
                <w:webHidden/>
              </w:rPr>
              <w:fldChar w:fldCharType="begin"/>
            </w:r>
            <w:r>
              <w:rPr>
                <w:noProof/>
                <w:webHidden/>
              </w:rPr>
              <w:instrText xml:space="preserve"> PAGEREF _Toc241011037 \h </w:instrText>
            </w:r>
            <w:r>
              <w:rPr>
                <w:noProof/>
                <w:webHidden/>
              </w:rPr>
            </w:r>
            <w:r>
              <w:rPr>
                <w:noProof/>
                <w:webHidden/>
              </w:rPr>
              <w:fldChar w:fldCharType="separate"/>
            </w:r>
            <w:r>
              <w:rPr>
                <w:noProof/>
                <w:webHidden/>
              </w:rPr>
              <w:t>12</w:t>
            </w:r>
            <w:r>
              <w:rPr>
                <w:noProof/>
                <w:webHidden/>
              </w:rPr>
              <w:fldChar w:fldCharType="end"/>
            </w:r>
          </w:hyperlink>
        </w:p>
        <w:p w14:paraId="6138FC7C" w14:textId="4DE26909"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38" w:history="1">
            <w:r w:rsidRPr="000D6619">
              <w:rPr>
                <w:rStyle w:val="Hyperlink"/>
                <w:rFonts w:cs="Arial"/>
                <w:noProof/>
              </w:rPr>
              <w:t>1.2 Background of the Study</w:t>
            </w:r>
            <w:r>
              <w:rPr>
                <w:noProof/>
                <w:webHidden/>
              </w:rPr>
              <w:tab/>
            </w:r>
            <w:r>
              <w:rPr>
                <w:noProof/>
                <w:webHidden/>
              </w:rPr>
              <w:fldChar w:fldCharType="begin"/>
            </w:r>
            <w:r>
              <w:rPr>
                <w:noProof/>
                <w:webHidden/>
              </w:rPr>
              <w:instrText xml:space="preserve"> PAGEREF _Toc241011038 \h </w:instrText>
            </w:r>
            <w:r>
              <w:rPr>
                <w:noProof/>
                <w:webHidden/>
              </w:rPr>
            </w:r>
            <w:r>
              <w:rPr>
                <w:noProof/>
                <w:webHidden/>
              </w:rPr>
              <w:fldChar w:fldCharType="separate"/>
            </w:r>
            <w:r>
              <w:rPr>
                <w:noProof/>
                <w:webHidden/>
              </w:rPr>
              <w:t>12</w:t>
            </w:r>
            <w:r>
              <w:rPr>
                <w:noProof/>
                <w:webHidden/>
              </w:rPr>
              <w:fldChar w:fldCharType="end"/>
            </w:r>
          </w:hyperlink>
        </w:p>
        <w:p w14:paraId="623B18B5" w14:textId="2FE13E2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39" w:history="1">
            <w:r w:rsidRPr="000D6619">
              <w:rPr>
                <w:rStyle w:val="Hyperlink"/>
                <w:rFonts w:cs="Arial"/>
                <w:noProof/>
              </w:rPr>
              <w:t>1.3 The UK Context</w:t>
            </w:r>
            <w:r>
              <w:rPr>
                <w:noProof/>
                <w:webHidden/>
              </w:rPr>
              <w:tab/>
            </w:r>
            <w:r>
              <w:rPr>
                <w:noProof/>
                <w:webHidden/>
              </w:rPr>
              <w:fldChar w:fldCharType="begin"/>
            </w:r>
            <w:r>
              <w:rPr>
                <w:noProof/>
                <w:webHidden/>
              </w:rPr>
              <w:instrText xml:space="preserve"> PAGEREF _Toc241011039 \h </w:instrText>
            </w:r>
            <w:r>
              <w:rPr>
                <w:noProof/>
                <w:webHidden/>
              </w:rPr>
            </w:r>
            <w:r>
              <w:rPr>
                <w:noProof/>
                <w:webHidden/>
              </w:rPr>
              <w:fldChar w:fldCharType="separate"/>
            </w:r>
            <w:r>
              <w:rPr>
                <w:noProof/>
                <w:webHidden/>
              </w:rPr>
              <w:t>13</w:t>
            </w:r>
            <w:r>
              <w:rPr>
                <w:noProof/>
                <w:webHidden/>
              </w:rPr>
              <w:fldChar w:fldCharType="end"/>
            </w:r>
          </w:hyperlink>
        </w:p>
        <w:p w14:paraId="102FB4AB" w14:textId="782F477F"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40" w:history="1">
            <w:r w:rsidRPr="000D6619">
              <w:rPr>
                <w:rStyle w:val="Hyperlink"/>
                <w:rFonts w:cs="Arial"/>
                <w:noProof/>
              </w:rPr>
              <w:t>1.4 Overview of Risk Factors and Management Strategies</w:t>
            </w:r>
            <w:r>
              <w:rPr>
                <w:noProof/>
                <w:webHidden/>
              </w:rPr>
              <w:tab/>
            </w:r>
            <w:r>
              <w:rPr>
                <w:noProof/>
                <w:webHidden/>
              </w:rPr>
              <w:fldChar w:fldCharType="begin"/>
            </w:r>
            <w:r>
              <w:rPr>
                <w:noProof/>
                <w:webHidden/>
              </w:rPr>
              <w:instrText xml:space="preserve"> PAGEREF _Toc241011040 \h </w:instrText>
            </w:r>
            <w:r>
              <w:rPr>
                <w:noProof/>
                <w:webHidden/>
              </w:rPr>
            </w:r>
            <w:r>
              <w:rPr>
                <w:noProof/>
                <w:webHidden/>
              </w:rPr>
              <w:fldChar w:fldCharType="separate"/>
            </w:r>
            <w:r>
              <w:rPr>
                <w:noProof/>
                <w:webHidden/>
              </w:rPr>
              <w:t>14</w:t>
            </w:r>
            <w:r>
              <w:rPr>
                <w:noProof/>
                <w:webHidden/>
              </w:rPr>
              <w:fldChar w:fldCharType="end"/>
            </w:r>
          </w:hyperlink>
        </w:p>
        <w:p w14:paraId="1132C097" w14:textId="74C13EFD"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41" w:history="1">
            <w:r w:rsidRPr="000D6619">
              <w:rPr>
                <w:rStyle w:val="Hyperlink"/>
                <w:rFonts w:cs="Arial"/>
                <w:noProof/>
              </w:rPr>
              <w:t>1.5 Research Rationale</w:t>
            </w:r>
            <w:r>
              <w:rPr>
                <w:noProof/>
                <w:webHidden/>
              </w:rPr>
              <w:tab/>
            </w:r>
            <w:r>
              <w:rPr>
                <w:noProof/>
                <w:webHidden/>
              </w:rPr>
              <w:fldChar w:fldCharType="begin"/>
            </w:r>
            <w:r>
              <w:rPr>
                <w:noProof/>
                <w:webHidden/>
              </w:rPr>
              <w:instrText xml:space="preserve"> PAGEREF _Toc241011041 \h </w:instrText>
            </w:r>
            <w:r>
              <w:rPr>
                <w:noProof/>
                <w:webHidden/>
              </w:rPr>
            </w:r>
            <w:r>
              <w:rPr>
                <w:noProof/>
                <w:webHidden/>
              </w:rPr>
              <w:fldChar w:fldCharType="separate"/>
            </w:r>
            <w:r>
              <w:rPr>
                <w:noProof/>
                <w:webHidden/>
              </w:rPr>
              <w:t>15</w:t>
            </w:r>
            <w:r>
              <w:rPr>
                <w:noProof/>
                <w:webHidden/>
              </w:rPr>
              <w:fldChar w:fldCharType="end"/>
            </w:r>
          </w:hyperlink>
        </w:p>
        <w:p w14:paraId="63132ABC" w14:textId="2036E377"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42" w:history="1">
            <w:r w:rsidRPr="000D6619">
              <w:rPr>
                <w:rStyle w:val="Hyperlink"/>
                <w:rFonts w:cs="Arial"/>
                <w:noProof/>
              </w:rPr>
              <w:t>1.6 Research Aim, Objectives and Research question</w:t>
            </w:r>
            <w:r>
              <w:rPr>
                <w:noProof/>
                <w:webHidden/>
              </w:rPr>
              <w:tab/>
            </w:r>
            <w:r>
              <w:rPr>
                <w:noProof/>
                <w:webHidden/>
              </w:rPr>
              <w:fldChar w:fldCharType="begin"/>
            </w:r>
            <w:r>
              <w:rPr>
                <w:noProof/>
                <w:webHidden/>
              </w:rPr>
              <w:instrText xml:space="preserve"> PAGEREF _Toc241011042 \h </w:instrText>
            </w:r>
            <w:r>
              <w:rPr>
                <w:noProof/>
                <w:webHidden/>
              </w:rPr>
            </w:r>
            <w:r>
              <w:rPr>
                <w:noProof/>
                <w:webHidden/>
              </w:rPr>
              <w:fldChar w:fldCharType="separate"/>
            </w:r>
            <w:r>
              <w:rPr>
                <w:noProof/>
                <w:webHidden/>
              </w:rPr>
              <w:t>15</w:t>
            </w:r>
            <w:r>
              <w:rPr>
                <w:noProof/>
                <w:webHidden/>
              </w:rPr>
              <w:fldChar w:fldCharType="end"/>
            </w:r>
          </w:hyperlink>
        </w:p>
        <w:p w14:paraId="715B4BE1" w14:textId="2C97237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43" w:history="1">
            <w:r w:rsidRPr="000D6619">
              <w:rPr>
                <w:rStyle w:val="Hyperlink"/>
                <w:rFonts w:cs="Arial"/>
                <w:noProof/>
              </w:rPr>
              <w:t>1.7 Structure of the Dissertation</w:t>
            </w:r>
            <w:r>
              <w:rPr>
                <w:noProof/>
                <w:webHidden/>
              </w:rPr>
              <w:tab/>
            </w:r>
            <w:r>
              <w:rPr>
                <w:noProof/>
                <w:webHidden/>
              </w:rPr>
              <w:fldChar w:fldCharType="begin"/>
            </w:r>
            <w:r>
              <w:rPr>
                <w:noProof/>
                <w:webHidden/>
              </w:rPr>
              <w:instrText xml:space="preserve"> PAGEREF _Toc241011043 \h </w:instrText>
            </w:r>
            <w:r>
              <w:rPr>
                <w:noProof/>
                <w:webHidden/>
              </w:rPr>
            </w:r>
            <w:r>
              <w:rPr>
                <w:noProof/>
                <w:webHidden/>
              </w:rPr>
              <w:fldChar w:fldCharType="separate"/>
            </w:r>
            <w:r>
              <w:rPr>
                <w:noProof/>
                <w:webHidden/>
              </w:rPr>
              <w:t>16</w:t>
            </w:r>
            <w:r>
              <w:rPr>
                <w:noProof/>
                <w:webHidden/>
              </w:rPr>
              <w:fldChar w:fldCharType="end"/>
            </w:r>
          </w:hyperlink>
        </w:p>
        <w:p w14:paraId="567AF1EB" w14:textId="53F68C91"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44" w:history="1">
            <w:r w:rsidRPr="000D6619">
              <w:rPr>
                <w:rStyle w:val="Hyperlink"/>
                <w:noProof/>
              </w:rPr>
              <w:t>Chapter Two: Literature Review</w:t>
            </w:r>
            <w:r>
              <w:rPr>
                <w:noProof/>
                <w:webHidden/>
              </w:rPr>
              <w:tab/>
            </w:r>
            <w:r>
              <w:rPr>
                <w:noProof/>
                <w:webHidden/>
              </w:rPr>
              <w:fldChar w:fldCharType="begin"/>
            </w:r>
            <w:r>
              <w:rPr>
                <w:noProof/>
                <w:webHidden/>
              </w:rPr>
              <w:instrText xml:space="preserve"> PAGEREF _Toc241011044 \h </w:instrText>
            </w:r>
            <w:r>
              <w:rPr>
                <w:noProof/>
                <w:webHidden/>
              </w:rPr>
            </w:r>
            <w:r>
              <w:rPr>
                <w:noProof/>
                <w:webHidden/>
              </w:rPr>
              <w:fldChar w:fldCharType="separate"/>
            </w:r>
            <w:r>
              <w:rPr>
                <w:noProof/>
                <w:webHidden/>
              </w:rPr>
              <w:t>17</w:t>
            </w:r>
            <w:r>
              <w:rPr>
                <w:noProof/>
                <w:webHidden/>
              </w:rPr>
              <w:fldChar w:fldCharType="end"/>
            </w:r>
          </w:hyperlink>
        </w:p>
        <w:p w14:paraId="459FB5E3" w14:textId="01782886"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45" w:history="1">
            <w:r w:rsidRPr="000D6619">
              <w:rPr>
                <w:rStyle w:val="Hyperlink"/>
                <w:rFonts w:cs="Arial"/>
                <w:noProof/>
              </w:rPr>
              <w:t>2.1 Introduction</w:t>
            </w:r>
            <w:r>
              <w:rPr>
                <w:noProof/>
                <w:webHidden/>
              </w:rPr>
              <w:tab/>
            </w:r>
            <w:r>
              <w:rPr>
                <w:noProof/>
                <w:webHidden/>
              </w:rPr>
              <w:fldChar w:fldCharType="begin"/>
            </w:r>
            <w:r>
              <w:rPr>
                <w:noProof/>
                <w:webHidden/>
              </w:rPr>
              <w:instrText xml:space="preserve"> PAGEREF _Toc241011045 \h </w:instrText>
            </w:r>
            <w:r>
              <w:rPr>
                <w:noProof/>
                <w:webHidden/>
              </w:rPr>
            </w:r>
            <w:r>
              <w:rPr>
                <w:noProof/>
                <w:webHidden/>
              </w:rPr>
              <w:fldChar w:fldCharType="separate"/>
            </w:r>
            <w:r>
              <w:rPr>
                <w:noProof/>
                <w:webHidden/>
              </w:rPr>
              <w:t>17</w:t>
            </w:r>
            <w:r>
              <w:rPr>
                <w:noProof/>
                <w:webHidden/>
              </w:rPr>
              <w:fldChar w:fldCharType="end"/>
            </w:r>
          </w:hyperlink>
        </w:p>
        <w:p w14:paraId="1B11A66D" w14:textId="0599C217"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46" w:history="1">
            <w:r w:rsidRPr="000D6619">
              <w:rPr>
                <w:rStyle w:val="Hyperlink"/>
                <w:rFonts w:cs="Arial"/>
                <w:noProof/>
              </w:rPr>
              <w:t>2.2 Literature Review</w:t>
            </w:r>
            <w:r>
              <w:rPr>
                <w:noProof/>
                <w:webHidden/>
              </w:rPr>
              <w:tab/>
            </w:r>
            <w:r>
              <w:rPr>
                <w:noProof/>
                <w:webHidden/>
              </w:rPr>
              <w:fldChar w:fldCharType="begin"/>
            </w:r>
            <w:r>
              <w:rPr>
                <w:noProof/>
                <w:webHidden/>
              </w:rPr>
              <w:instrText xml:space="preserve"> PAGEREF _Toc241011046 \h </w:instrText>
            </w:r>
            <w:r>
              <w:rPr>
                <w:noProof/>
                <w:webHidden/>
              </w:rPr>
            </w:r>
            <w:r>
              <w:rPr>
                <w:noProof/>
                <w:webHidden/>
              </w:rPr>
              <w:fldChar w:fldCharType="separate"/>
            </w:r>
            <w:r>
              <w:rPr>
                <w:noProof/>
                <w:webHidden/>
              </w:rPr>
              <w:t>17</w:t>
            </w:r>
            <w:r>
              <w:rPr>
                <w:noProof/>
                <w:webHidden/>
              </w:rPr>
              <w:fldChar w:fldCharType="end"/>
            </w:r>
          </w:hyperlink>
        </w:p>
        <w:p w14:paraId="0F2A58BA" w14:textId="7FF9A356"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47" w:history="1">
            <w:r w:rsidRPr="000D6619">
              <w:rPr>
                <w:rStyle w:val="Hyperlink"/>
                <w:rFonts w:cs="Arial"/>
                <w:noProof/>
              </w:rPr>
              <w:t>2.2.1 CKD as a Public Health Condition</w:t>
            </w:r>
            <w:r>
              <w:rPr>
                <w:noProof/>
                <w:webHidden/>
              </w:rPr>
              <w:tab/>
            </w:r>
            <w:r>
              <w:rPr>
                <w:noProof/>
                <w:webHidden/>
              </w:rPr>
              <w:fldChar w:fldCharType="begin"/>
            </w:r>
            <w:r>
              <w:rPr>
                <w:noProof/>
                <w:webHidden/>
              </w:rPr>
              <w:instrText xml:space="preserve"> PAGEREF _Toc241011047 \h </w:instrText>
            </w:r>
            <w:r>
              <w:rPr>
                <w:noProof/>
                <w:webHidden/>
              </w:rPr>
            </w:r>
            <w:r>
              <w:rPr>
                <w:noProof/>
                <w:webHidden/>
              </w:rPr>
              <w:fldChar w:fldCharType="separate"/>
            </w:r>
            <w:r>
              <w:rPr>
                <w:noProof/>
                <w:webHidden/>
              </w:rPr>
              <w:t>17</w:t>
            </w:r>
            <w:r>
              <w:rPr>
                <w:noProof/>
                <w:webHidden/>
              </w:rPr>
              <w:fldChar w:fldCharType="end"/>
            </w:r>
          </w:hyperlink>
        </w:p>
        <w:p w14:paraId="669A82BA" w14:textId="315E4FDA"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48" w:history="1">
            <w:r w:rsidRPr="000D6619">
              <w:rPr>
                <w:rStyle w:val="Hyperlink"/>
                <w:rFonts w:cs="Arial"/>
                <w:noProof/>
              </w:rPr>
              <w:t>2.2.2 Prevalence, Coding and Hidden CKD in the UK</w:t>
            </w:r>
            <w:r>
              <w:rPr>
                <w:noProof/>
                <w:webHidden/>
              </w:rPr>
              <w:tab/>
            </w:r>
            <w:r>
              <w:rPr>
                <w:noProof/>
                <w:webHidden/>
              </w:rPr>
              <w:fldChar w:fldCharType="begin"/>
            </w:r>
            <w:r>
              <w:rPr>
                <w:noProof/>
                <w:webHidden/>
              </w:rPr>
              <w:instrText xml:space="preserve"> PAGEREF _Toc241011048 \h </w:instrText>
            </w:r>
            <w:r>
              <w:rPr>
                <w:noProof/>
                <w:webHidden/>
              </w:rPr>
            </w:r>
            <w:r>
              <w:rPr>
                <w:noProof/>
                <w:webHidden/>
              </w:rPr>
              <w:fldChar w:fldCharType="separate"/>
            </w:r>
            <w:r>
              <w:rPr>
                <w:noProof/>
                <w:webHidden/>
              </w:rPr>
              <w:t>18</w:t>
            </w:r>
            <w:r>
              <w:rPr>
                <w:noProof/>
                <w:webHidden/>
              </w:rPr>
              <w:fldChar w:fldCharType="end"/>
            </w:r>
          </w:hyperlink>
        </w:p>
        <w:p w14:paraId="50960B63" w14:textId="0D75C852"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49" w:history="1">
            <w:r w:rsidRPr="000D6619">
              <w:rPr>
                <w:rStyle w:val="Hyperlink"/>
                <w:rFonts w:cs="Arial"/>
                <w:noProof/>
              </w:rPr>
              <w:t>2.2.3 Diabetes, Hypertension and Multimorbidity as Core Risk Factors</w:t>
            </w:r>
            <w:r>
              <w:rPr>
                <w:noProof/>
                <w:webHidden/>
              </w:rPr>
              <w:tab/>
            </w:r>
            <w:r>
              <w:rPr>
                <w:noProof/>
                <w:webHidden/>
              </w:rPr>
              <w:fldChar w:fldCharType="begin"/>
            </w:r>
            <w:r>
              <w:rPr>
                <w:noProof/>
                <w:webHidden/>
              </w:rPr>
              <w:instrText xml:space="preserve"> PAGEREF _Toc241011049 \h </w:instrText>
            </w:r>
            <w:r>
              <w:rPr>
                <w:noProof/>
                <w:webHidden/>
              </w:rPr>
            </w:r>
            <w:r>
              <w:rPr>
                <w:noProof/>
                <w:webHidden/>
              </w:rPr>
              <w:fldChar w:fldCharType="separate"/>
            </w:r>
            <w:r>
              <w:rPr>
                <w:noProof/>
                <w:webHidden/>
              </w:rPr>
              <w:t>19</w:t>
            </w:r>
            <w:r>
              <w:rPr>
                <w:noProof/>
                <w:webHidden/>
              </w:rPr>
              <w:fldChar w:fldCharType="end"/>
            </w:r>
          </w:hyperlink>
        </w:p>
        <w:p w14:paraId="273FAB6F" w14:textId="670BD12D"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0" w:history="1">
            <w:r w:rsidRPr="000D6619">
              <w:rPr>
                <w:rStyle w:val="Hyperlink"/>
                <w:rFonts w:cs="Arial"/>
                <w:noProof/>
              </w:rPr>
              <w:t>2.2.4 Obesity, Diet and Lifestyle-Related Risk Factors</w:t>
            </w:r>
            <w:r>
              <w:rPr>
                <w:noProof/>
                <w:webHidden/>
              </w:rPr>
              <w:tab/>
            </w:r>
            <w:r>
              <w:rPr>
                <w:noProof/>
                <w:webHidden/>
              </w:rPr>
              <w:fldChar w:fldCharType="begin"/>
            </w:r>
            <w:r>
              <w:rPr>
                <w:noProof/>
                <w:webHidden/>
              </w:rPr>
              <w:instrText xml:space="preserve"> PAGEREF _Toc241011050 \h </w:instrText>
            </w:r>
            <w:r>
              <w:rPr>
                <w:noProof/>
                <w:webHidden/>
              </w:rPr>
            </w:r>
            <w:r>
              <w:rPr>
                <w:noProof/>
                <w:webHidden/>
              </w:rPr>
              <w:fldChar w:fldCharType="separate"/>
            </w:r>
            <w:r>
              <w:rPr>
                <w:noProof/>
                <w:webHidden/>
              </w:rPr>
              <w:t>20</w:t>
            </w:r>
            <w:r>
              <w:rPr>
                <w:noProof/>
                <w:webHidden/>
              </w:rPr>
              <w:fldChar w:fldCharType="end"/>
            </w:r>
          </w:hyperlink>
        </w:p>
        <w:p w14:paraId="50A08C54" w14:textId="6B47C93E"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1" w:history="1">
            <w:r w:rsidRPr="000D6619">
              <w:rPr>
                <w:rStyle w:val="Hyperlink"/>
                <w:rFonts w:cs="Arial"/>
                <w:noProof/>
              </w:rPr>
              <w:t>2.2.5 Social, Psychological, Genetic and Environmental Risk Factors</w:t>
            </w:r>
            <w:r>
              <w:rPr>
                <w:noProof/>
                <w:webHidden/>
              </w:rPr>
              <w:tab/>
            </w:r>
            <w:r>
              <w:rPr>
                <w:noProof/>
                <w:webHidden/>
              </w:rPr>
              <w:fldChar w:fldCharType="begin"/>
            </w:r>
            <w:r>
              <w:rPr>
                <w:noProof/>
                <w:webHidden/>
              </w:rPr>
              <w:instrText xml:space="preserve"> PAGEREF _Toc241011051 \h </w:instrText>
            </w:r>
            <w:r>
              <w:rPr>
                <w:noProof/>
                <w:webHidden/>
              </w:rPr>
            </w:r>
            <w:r>
              <w:rPr>
                <w:noProof/>
                <w:webHidden/>
              </w:rPr>
              <w:fldChar w:fldCharType="separate"/>
            </w:r>
            <w:r>
              <w:rPr>
                <w:noProof/>
                <w:webHidden/>
              </w:rPr>
              <w:t>21</w:t>
            </w:r>
            <w:r>
              <w:rPr>
                <w:noProof/>
                <w:webHidden/>
              </w:rPr>
              <w:fldChar w:fldCharType="end"/>
            </w:r>
          </w:hyperlink>
        </w:p>
        <w:p w14:paraId="3A344589" w14:textId="72CBA6A4"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2" w:history="1">
            <w:r w:rsidRPr="000D6619">
              <w:rPr>
                <w:rStyle w:val="Hyperlink"/>
                <w:rFonts w:cs="Arial"/>
                <w:noProof/>
              </w:rPr>
              <w:t>2.2.6 Diagnosis, Screening and Risk Stratification</w:t>
            </w:r>
            <w:r>
              <w:rPr>
                <w:noProof/>
                <w:webHidden/>
              </w:rPr>
              <w:tab/>
            </w:r>
            <w:r>
              <w:rPr>
                <w:noProof/>
                <w:webHidden/>
              </w:rPr>
              <w:fldChar w:fldCharType="begin"/>
            </w:r>
            <w:r>
              <w:rPr>
                <w:noProof/>
                <w:webHidden/>
              </w:rPr>
              <w:instrText xml:space="preserve"> PAGEREF _Toc241011052 \h </w:instrText>
            </w:r>
            <w:r>
              <w:rPr>
                <w:noProof/>
                <w:webHidden/>
              </w:rPr>
            </w:r>
            <w:r>
              <w:rPr>
                <w:noProof/>
                <w:webHidden/>
              </w:rPr>
              <w:fldChar w:fldCharType="separate"/>
            </w:r>
            <w:r>
              <w:rPr>
                <w:noProof/>
                <w:webHidden/>
              </w:rPr>
              <w:t>22</w:t>
            </w:r>
            <w:r>
              <w:rPr>
                <w:noProof/>
                <w:webHidden/>
              </w:rPr>
              <w:fldChar w:fldCharType="end"/>
            </w:r>
          </w:hyperlink>
        </w:p>
        <w:p w14:paraId="025C7C81" w14:textId="61AEE079"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3" w:history="1">
            <w:r w:rsidRPr="000D6619">
              <w:rPr>
                <w:rStyle w:val="Hyperlink"/>
                <w:rFonts w:cs="Arial"/>
                <w:noProof/>
              </w:rPr>
              <w:t>2.2.7 Pharmacological Management of CKD</w:t>
            </w:r>
            <w:r>
              <w:rPr>
                <w:noProof/>
                <w:webHidden/>
              </w:rPr>
              <w:tab/>
            </w:r>
            <w:r>
              <w:rPr>
                <w:noProof/>
                <w:webHidden/>
              </w:rPr>
              <w:fldChar w:fldCharType="begin"/>
            </w:r>
            <w:r>
              <w:rPr>
                <w:noProof/>
                <w:webHidden/>
              </w:rPr>
              <w:instrText xml:space="preserve"> PAGEREF _Toc241011053 \h </w:instrText>
            </w:r>
            <w:r>
              <w:rPr>
                <w:noProof/>
                <w:webHidden/>
              </w:rPr>
            </w:r>
            <w:r>
              <w:rPr>
                <w:noProof/>
                <w:webHidden/>
              </w:rPr>
              <w:fldChar w:fldCharType="separate"/>
            </w:r>
            <w:r>
              <w:rPr>
                <w:noProof/>
                <w:webHidden/>
              </w:rPr>
              <w:t>23</w:t>
            </w:r>
            <w:r>
              <w:rPr>
                <w:noProof/>
                <w:webHidden/>
              </w:rPr>
              <w:fldChar w:fldCharType="end"/>
            </w:r>
          </w:hyperlink>
        </w:p>
        <w:p w14:paraId="31210B46" w14:textId="7E0E7F40"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4" w:history="1">
            <w:r w:rsidRPr="000D6619">
              <w:rPr>
                <w:rStyle w:val="Hyperlink"/>
                <w:rFonts w:cs="Arial"/>
                <w:noProof/>
              </w:rPr>
              <w:t>2.2.8 Lifestyle, Digital and Patient-Centred Management</w:t>
            </w:r>
            <w:r>
              <w:rPr>
                <w:noProof/>
                <w:webHidden/>
              </w:rPr>
              <w:tab/>
            </w:r>
            <w:r>
              <w:rPr>
                <w:noProof/>
                <w:webHidden/>
              </w:rPr>
              <w:fldChar w:fldCharType="begin"/>
            </w:r>
            <w:r>
              <w:rPr>
                <w:noProof/>
                <w:webHidden/>
              </w:rPr>
              <w:instrText xml:space="preserve"> PAGEREF _Toc241011054 \h </w:instrText>
            </w:r>
            <w:r>
              <w:rPr>
                <w:noProof/>
                <w:webHidden/>
              </w:rPr>
            </w:r>
            <w:r>
              <w:rPr>
                <w:noProof/>
                <w:webHidden/>
              </w:rPr>
              <w:fldChar w:fldCharType="separate"/>
            </w:r>
            <w:r>
              <w:rPr>
                <w:noProof/>
                <w:webHidden/>
              </w:rPr>
              <w:t>23</w:t>
            </w:r>
            <w:r>
              <w:rPr>
                <w:noProof/>
                <w:webHidden/>
              </w:rPr>
              <w:fldChar w:fldCharType="end"/>
            </w:r>
          </w:hyperlink>
        </w:p>
        <w:p w14:paraId="5BBA4EED" w14:textId="398BB534"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5" w:history="1">
            <w:r w:rsidRPr="000D6619">
              <w:rPr>
                <w:rStyle w:val="Hyperlink"/>
                <w:rFonts w:cs="Arial"/>
                <w:noProof/>
              </w:rPr>
              <w:t>2.2.9 Integrated CKD Management and Health-System Challenges</w:t>
            </w:r>
            <w:r>
              <w:rPr>
                <w:noProof/>
                <w:webHidden/>
              </w:rPr>
              <w:tab/>
            </w:r>
            <w:r>
              <w:rPr>
                <w:noProof/>
                <w:webHidden/>
              </w:rPr>
              <w:fldChar w:fldCharType="begin"/>
            </w:r>
            <w:r>
              <w:rPr>
                <w:noProof/>
                <w:webHidden/>
              </w:rPr>
              <w:instrText xml:space="preserve"> PAGEREF _Toc241011055 \h </w:instrText>
            </w:r>
            <w:r>
              <w:rPr>
                <w:noProof/>
                <w:webHidden/>
              </w:rPr>
            </w:r>
            <w:r>
              <w:rPr>
                <w:noProof/>
                <w:webHidden/>
              </w:rPr>
              <w:fldChar w:fldCharType="separate"/>
            </w:r>
            <w:r>
              <w:rPr>
                <w:noProof/>
                <w:webHidden/>
              </w:rPr>
              <w:t>24</w:t>
            </w:r>
            <w:r>
              <w:rPr>
                <w:noProof/>
                <w:webHidden/>
              </w:rPr>
              <w:fldChar w:fldCharType="end"/>
            </w:r>
          </w:hyperlink>
        </w:p>
        <w:p w14:paraId="1572CA6B" w14:textId="5F0237B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56" w:history="1">
            <w:r w:rsidRPr="000D6619">
              <w:rPr>
                <w:rStyle w:val="Hyperlink"/>
                <w:rFonts w:cs="Arial"/>
                <w:noProof/>
              </w:rPr>
              <w:t>2.3 Gaps in Literature</w:t>
            </w:r>
            <w:r>
              <w:rPr>
                <w:noProof/>
                <w:webHidden/>
              </w:rPr>
              <w:tab/>
            </w:r>
            <w:r>
              <w:rPr>
                <w:noProof/>
                <w:webHidden/>
              </w:rPr>
              <w:fldChar w:fldCharType="begin"/>
            </w:r>
            <w:r>
              <w:rPr>
                <w:noProof/>
                <w:webHidden/>
              </w:rPr>
              <w:instrText xml:space="preserve"> PAGEREF _Toc241011056 \h </w:instrText>
            </w:r>
            <w:r>
              <w:rPr>
                <w:noProof/>
                <w:webHidden/>
              </w:rPr>
            </w:r>
            <w:r>
              <w:rPr>
                <w:noProof/>
                <w:webHidden/>
              </w:rPr>
              <w:fldChar w:fldCharType="separate"/>
            </w:r>
            <w:r>
              <w:rPr>
                <w:noProof/>
                <w:webHidden/>
              </w:rPr>
              <w:t>24</w:t>
            </w:r>
            <w:r>
              <w:rPr>
                <w:noProof/>
                <w:webHidden/>
              </w:rPr>
              <w:fldChar w:fldCharType="end"/>
            </w:r>
          </w:hyperlink>
        </w:p>
        <w:p w14:paraId="6FCC290F" w14:textId="5768A887"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57" w:history="1">
            <w:r w:rsidRPr="000D6619">
              <w:rPr>
                <w:rStyle w:val="Hyperlink"/>
                <w:rFonts w:cs="Arial"/>
                <w:noProof/>
              </w:rPr>
              <w:t>2.4 Theoretical Framework</w:t>
            </w:r>
            <w:r>
              <w:rPr>
                <w:noProof/>
                <w:webHidden/>
              </w:rPr>
              <w:tab/>
            </w:r>
            <w:r>
              <w:rPr>
                <w:noProof/>
                <w:webHidden/>
              </w:rPr>
              <w:fldChar w:fldCharType="begin"/>
            </w:r>
            <w:r>
              <w:rPr>
                <w:noProof/>
                <w:webHidden/>
              </w:rPr>
              <w:instrText xml:space="preserve"> PAGEREF _Toc241011057 \h </w:instrText>
            </w:r>
            <w:r>
              <w:rPr>
                <w:noProof/>
                <w:webHidden/>
              </w:rPr>
            </w:r>
            <w:r>
              <w:rPr>
                <w:noProof/>
                <w:webHidden/>
              </w:rPr>
              <w:fldChar w:fldCharType="separate"/>
            </w:r>
            <w:r>
              <w:rPr>
                <w:noProof/>
                <w:webHidden/>
              </w:rPr>
              <w:t>25</w:t>
            </w:r>
            <w:r>
              <w:rPr>
                <w:noProof/>
                <w:webHidden/>
              </w:rPr>
              <w:fldChar w:fldCharType="end"/>
            </w:r>
          </w:hyperlink>
        </w:p>
        <w:p w14:paraId="06501B84" w14:textId="1E86C2F2"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8" w:history="1">
            <w:r w:rsidRPr="000D6619">
              <w:rPr>
                <w:rStyle w:val="Hyperlink"/>
                <w:rFonts w:cs="Arial"/>
                <w:noProof/>
              </w:rPr>
              <w:t>2.4.1 Overview and Justification of the Health Belief Model</w:t>
            </w:r>
            <w:r>
              <w:rPr>
                <w:noProof/>
                <w:webHidden/>
              </w:rPr>
              <w:tab/>
            </w:r>
            <w:r>
              <w:rPr>
                <w:noProof/>
                <w:webHidden/>
              </w:rPr>
              <w:fldChar w:fldCharType="begin"/>
            </w:r>
            <w:r>
              <w:rPr>
                <w:noProof/>
                <w:webHidden/>
              </w:rPr>
              <w:instrText xml:space="preserve"> PAGEREF _Toc241011058 \h </w:instrText>
            </w:r>
            <w:r>
              <w:rPr>
                <w:noProof/>
                <w:webHidden/>
              </w:rPr>
            </w:r>
            <w:r>
              <w:rPr>
                <w:noProof/>
                <w:webHidden/>
              </w:rPr>
              <w:fldChar w:fldCharType="separate"/>
            </w:r>
            <w:r>
              <w:rPr>
                <w:noProof/>
                <w:webHidden/>
              </w:rPr>
              <w:t>25</w:t>
            </w:r>
            <w:r>
              <w:rPr>
                <w:noProof/>
                <w:webHidden/>
              </w:rPr>
              <w:fldChar w:fldCharType="end"/>
            </w:r>
          </w:hyperlink>
        </w:p>
        <w:p w14:paraId="4A3C3C31" w14:textId="75AE82F1"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59" w:history="1">
            <w:r w:rsidRPr="000D6619">
              <w:rPr>
                <w:rStyle w:val="Hyperlink"/>
                <w:rFonts w:cs="Arial"/>
                <w:noProof/>
              </w:rPr>
              <w:t>2.4.2 Perceived Susceptibility and Perceived Severity</w:t>
            </w:r>
            <w:r>
              <w:rPr>
                <w:noProof/>
                <w:webHidden/>
              </w:rPr>
              <w:tab/>
            </w:r>
            <w:r>
              <w:rPr>
                <w:noProof/>
                <w:webHidden/>
              </w:rPr>
              <w:fldChar w:fldCharType="begin"/>
            </w:r>
            <w:r>
              <w:rPr>
                <w:noProof/>
                <w:webHidden/>
              </w:rPr>
              <w:instrText xml:space="preserve"> PAGEREF _Toc241011059 \h </w:instrText>
            </w:r>
            <w:r>
              <w:rPr>
                <w:noProof/>
                <w:webHidden/>
              </w:rPr>
            </w:r>
            <w:r>
              <w:rPr>
                <w:noProof/>
                <w:webHidden/>
              </w:rPr>
              <w:fldChar w:fldCharType="separate"/>
            </w:r>
            <w:r>
              <w:rPr>
                <w:noProof/>
                <w:webHidden/>
              </w:rPr>
              <w:t>26</w:t>
            </w:r>
            <w:r>
              <w:rPr>
                <w:noProof/>
                <w:webHidden/>
              </w:rPr>
              <w:fldChar w:fldCharType="end"/>
            </w:r>
          </w:hyperlink>
        </w:p>
        <w:p w14:paraId="03DE0835" w14:textId="0058D859"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60" w:history="1">
            <w:r w:rsidRPr="000D6619">
              <w:rPr>
                <w:rStyle w:val="Hyperlink"/>
                <w:rFonts w:cs="Arial"/>
                <w:noProof/>
              </w:rPr>
              <w:t>2.4.3 Perceived Benefits, Perceived Barriers and Cues to Action</w:t>
            </w:r>
            <w:r>
              <w:rPr>
                <w:noProof/>
                <w:webHidden/>
              </w:rPr>
              <w:tab/>
            </w:r>
            <w:r>
              <w:rPr>
                <w:noProof/>
                <w:webHidden/>
              </w:rPr>
              <w:fldChar w:fldCharType="begin"/>
            </w:r>
            <w:r>
              <w:rPr>
                <w:noProof/>
                <w:webHidden/>
              </w:rPr>
              <w:instrText xml:space="preserve"> PAGEREF _Toc241011060 \h </w:instrText>
            </w:r>
            <w:r>
              <w:rPr>
                <w:noProof/>
                <w:webHidden/>
              </w:rPr>
            </w:r>
            <w:r>
              <w:rPr>
                <w:noProof/>
                <w:webHidden/>
              </w:rPr>
              <w:fldChar w:fldCharType="separate"/>
            </w:r>
            <w:r>
              <w:rPr>
                <w:noProof/>
                <w:webHidden/>
              </w:rPr>
              <w:t>27</w:t>
            </w:r>
            <w:r>
              <w:rPr>
                <w:noProof/>
                <w:webHidden/>
              </w:rPr>
              <w:fldChar w:fldCharType="end"/>
            </w:r>
          </w:hyperlink>
        </w:p>
        <w:p w14:paraId="77ED9C03" w14:textId="54B26512"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61" w:history="1">
            <w:r w:rsidRPr="000D6619">
              <w:rPr>
                <w:rStyle w:val="Hyperlink"/>
                <w:rFonts w:cs="Arial"/>
                <w:noProof/>
              </w:rPr>
              <w:t>2.4.4 Self-Efficacy and Critical Limitation of the Model</w:t>
            </w:r>
            <w:r>
              <w:rPr>
                <w:noProof/>
                <w:webHidden/>
              </w:rPr>
              <w:tab/>
            </w:r>
            <w:r>
              <w:rPr>
                <w:noProof/>
                <w:webHidden/>
              </w:rPr>
              <w:fldChar w:fldCharType="begin"/>
            </w:r>
            <w:r>
              <w:rPr>
                <w:noProof/>
                <w:webHidden/>
              </w:rPr>
              <w:instrText xml:space="preserve"> PAGEREF _Toc241011061 \h </w:instrText>
            </w:r>
            <w:r>
              <w:rPr>
                <w:noProof/>
                <w:webHidden/>
              </w:rPr>
            </w:r>
            <w:r>
              <w:rPr>
                <w:noProof/>
                <w:webHidden/>
              </w:rPr>
              <w:fldChar w:fldCharType="separate"/>
            </w:r>
            <w:r>
              <w:rPr>
                <w:noProof/>
                <w:webHidden/>
              </w:rPr>
              <w:t>27</w:t>
            </w:r>
            <w:r>
              <w:rPr>
                <w:noProof/>
                <w:webHidden/>
              </w:rPr>
              <w:fldChar w:fldCharType="end"/>
            </w:r>
          </w:hyperlink>
        </w:p>
        <w:p w14:paraId="71871938" w14:textId="51EB98B7"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2" w:history="1">
            <w:r w:rsidRPr="000D6619">
              <w:rPr>
                <w:rStyle w:val="Hyperlink"/>
                <w:rFonts w:cs="Arial"/>
                <w:noProof/>
              </w:rPr>
              <w:t>2.5 Summary of the Chapter</w:t>
            </w:r>
            <w:r>
              <w:rPr>
                <w:noProof/>
                <w:webHidden/>
              </w:rPr>
              <w:tab/>
            </w:r>
            <w:r>
              <w:rPr>
                <w:noProof/>
                <w:webHidden/>
              </w:rPr>
              <w:fldChar w:fldCharType="begin"/>
            </w:r>
            <w:r>
              <w:rPr>
                <w:noProof/>
                <w:webHidden/>
              </w:rPr>
              <w:instrText xml:space="preserve"> PAGEREF _Toc241011062 \h </w:instrText>
            </w:r>
            <w:r>
              <w:rPr>
                <w:noProof/>
                <w:webHidden/>
              </w:rPr>
            </w:r>
            <w:r>
              <w:rPr>
                <w:noProof/>
                <w:webHidden/>
              </w:rPr>
              <w:fldChar w:fldCharType="separate"/>
            </w:r>
            <w:r>
              <w:rPr>
                <w:noProof/>
                <w:webHidden/>
              </w:rPr>
              <w:t>27</w:t>
            </w:r>
            <w:r>
              <w:rPr>
                <w:noProof/>
                <w:webHidden/>
              </w:rPr>
              <w:fldChar w:fldCharType="end"/>
            </w:r>
          </w:hyperlink>
        </w:p>
        <w:p w14:paraId="66DF7C8B" w14:textId="1CF1DA39"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63" w:history="1">
            <w:r w:rsidRPr="000D6619">
              <w:rPr>
                <w:rStyle w:val="Hyperlink"/>
                <w:noProof/>
              </w:rPr>
              <w:t>Chapter Three: Research Methodology</w:t>
            </w:r>
            <w:r>
              <w:rPr>
                <w:noProof/>
                <w:webHidden/>
              </w:rPr>
              <w:tab/>
            </w:r>
            <w:r>
              <w:rPr>
                <w:noProof/>
                <w:webHidden/>
              </w:rPr>
              <w:fldChar w:fldCharType="begin"/>
            </w:r>
            <w:r>
              <w:rPr>
                <w:noProof/>
                <w:webHidden/>
              </w:rPr>
              <w:instrText xml:space="preserve"> PAGEREF _Toc241011063 \h </w:instrText>
            </w:r>
            <w:r>
              <w:rPr>
                <w:noProof/>
                <w:webHidden/>
              </w:rPr>
            </w:r>
            <w:r>
              <w:rPr>
                <w:noProof/>
                <w:webHidden/>
              </w:rPr>
              <w:fldChar w:fldCharType="separate"/>
            </w:r>
            <w:r>
              <w:rPr>
                <w:noProof/>
                <w:webHidden/>
              </w:rPr>
              <w:t>29</w:t>
            </w:r>
            <w:r>
              <w:rPr>
                <w:noProof/>
                <w:webHidden/>
              </w:rPr>
              <w:fldChar w:fldCharType="end"/>
            </w:r>
          </w:hyperlink>
        </w:p>
        <w:p w14:paraId="26B9BC6F" w14:textId="06AD4E8F"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4" w:history="1">
            <w:r w:rsidRPr="000D6619">
              <w:rPr>
                <w:rStyle w:val="Hyperlink"/>
                <w:rFonts w:cs="Arial"/>
                <w:noProof/>
              </w:rPr>
              <w:t>3.1 Research Approach</w:t>
            </w:r>
            <w:r>
              <w:rPr>
                <w:noProof/>
                <w:webHidden/>
              </w:rPr>
              <w:tab/>
            </w:r>
            <w:r>
              <w:rPr>
                <w:noProof/>
                <w:webHidden/>
              </w:rPr>
              <w:fldChar w:fldCharType="begin"/>
            </w:r>
            <w:r>
              <w:rPr>
                <w:noProof/>
                <w:webHidden/>
              </w:rPr>
              <w:instrText xml:space="preserve"> PAGEREF _Toc241011064 \h </w:instrText>
            </w:r>
            <w:r>
              <w:rPr>
                <w:noProof/>
                <w:webHidden/>
              </w:rPr>
            </w:r>
            <w:r>
              <w:rPr>
                <w:noProof/>
                <w:webHidden/>
              </w:rPr>
              <w:fldChar w:fldCharType="separate"/>
            </w:r>
            <w:r>
              <w:rPr>
                <w:noProof/>
                <w:webHidden/>
              </w:rPr>
              <w:t>29</w:t>
            </w:r>
            <w:r>
              <w:rPr>
                <w:noProof/>
                <w:webHidden/>
              </w:rPr>
              <w:fldChar w:fldCharType="end"/>
            </w:r>
          </w:hyperlink>
        </w:p>
        <w:p w14:paraId="3E7EC34B" w14:textId="6CE5C1AD"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5" w:history="1">
            <w:r w:rsidRPr="000D6619">
              <w:rPr>
                <w:rStyle w:val="Hyperlink"/>
                <w:rFonts w:cs="Arial"/>
                <w:noProof/>
              </w:rPr>
              <w:t>3.2 Study Design</w:t>
            </w:r>
            <w:r>
              <w:rPr>
                <w:noProof/>
                <w:webHidden/>
              </w:rPr>
              <w:tab/>
            </w:r>
            <w:r>
              <w:rPr>
                <w:noProof/>
                <w:webHidden/>
              </w:rPr>
              <w:fldChar w:fldCharType="begin"/>
            </w:r>
            <w:r>
              <w:rPr>
                <w:noProof/>
                <w:webHidden/>
              </w:rPr>
              <w:instrText xml:space="preserve"> PAGEREF _Toc241011065 \h </w:instrText>
            </w:r>
            <w:r>
              <w:rPr>
                <w:noProof/>
                <w:webHidden/>
              </w:rPr>
            </w:r>
            <w:r>
              <w:rPr>
                <w:noProof/>
                <w:webHidden/>
              </w:rPr>
              <w:fldChar w:fldCharType="separate"/>
            </w:r>
            <w:r>
              <w:rPr>
                <w:noProof/>
                <w:webHidden/>
              </w:rPr>
              <w:t>29</w:t>
            </w:r>
            <w:r>
              <w:rPr>
                <w:noProof/>
                <w:webHidden/>
              </w:rPr>
              <w:fldChar w:fldCharType="end"/>
            </w:r>
          </w:hyperlink>
        </w:p>
        <w:p w14:paraId="2016ED57" w14:textId="5DC9ABE6"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6" w:history="1">
            <w:r w:rsidRPr="000D6619">
              <w:rPr>
                <w:rStyle w:val="Hyperlink"/>
                <w:rFonts w:cs="Arial"/>
                <w:noProof/>
              </w:rPr>
              <w:t>3.3 Search Strategy</w:t>
            </w:r>
            <w:r>
              <w:rPr>
                <w:noProof/>
                <w:webHidden/>
              </w:rPr>
              <w:tab/>
            </w:r>
            <w:r>
              <w:rPr>
                <w:noProof/>
                <w:webHidden/>
              </w:rPr>
              <w:fldChar w:fldCharType="begin"/>
            </w:r>
            <w:r>
              <w:rPr>
                <w:noProof/>
                <w:webHidden/>
              </w:rPr>
              <w:instrText xml:space="preserve"> PAGEREF _Toc241011066 \h </w:instrText>
            </w:r>
            <w:r>
              <w:rPr>
                <w:noProof/>
                <w:webHidden/>
              </w:rPr>
            </w:r>
            <w:r>
              <w:rPr>
                <w:noProof/>
                <w:webHidden/>
              </w:rPr>
              <w:fldChar w:fldCharType="separate"/>
            </w:r>
            <w:r>
              <w:rPr>
                <w:noProof/>
                <w:webHidden/>
              </w:rPr>
              <w:t>30</w:t>
            </w:r>
            <w:r>
              <w:rPr>
                <w:noProof/>
                <w:webHidden/>
              </w:rPr>
              <w:fldChar w:fldCharType="end"/>
            </w:r>
          </w:hyperlink>
        </w:p>
        <w:p w14:paraId="2A9BD4F5" w14:textId="20D3D73B"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7" w:history="1">
            <w:r w:rsidRPr="000D6619">
              <w:rPr>
                <w:rStyle w:val="Hyperlink"/>
                <w:noProof/>
              </w:rPr>
              <w:t>3.4 Inclusion and Exclusion Criteria</w:t>
            </w:r>
            <w:r>
              <w:rPr>
                <w:noProof/>
                <w:webHidden/>
              </w:rPr>
              <w:tab/>
            </w:r>
            <w:r>
              <w:rPr>
                <w:noProof/>
                <w:webHidden/>
              </w:rPr>
              <w:fldChar w:fldCharType="begin"/>
            </w:r>
            <w:r>
              <w:rPr>
                <w:noProof/>
                <w:webHidden/>
              </w:rPr>
              <w:instrText xml:space="preserve"> PAGEREF _Toc241011067 \h </w:instrText>
            </w:r>
            <w:r>
              <w:rPr>
                <w:noProof/>
                <w:webHidden/>
              </w:rPr>
            </w:r>
            <w:r>
              <w:rPr>
                <w:noProof/>
                <w:webHidden/>
              </w:rPr>
              <w:fldChar w:fldCharType="separate"/>
            </w:r>
            <w:r>
              <w:rPr>
                <w:noProof/>
                <w:webHidden/>
              </w:rPr>
              <w:t>33</w:t>
            </w:r>
            <w:r>
              <w:rPr>
                <w:noProof/>
                <w:webHidden/>
              </w:rPr>
              <w:fldChar w:fldCharType="end"/>
            </w:r>
          </w:hyperlink>
        </w:p>
        <w:p w14:paraId="3745973E" w14:textId="3C6AAC57"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8" w:history="1">
            <w:r w:rsidRPr="000D6619">
              <w:rPr>
                <w:rStyle w:val="Hyperlink"/>
                <w:rFonts w:cs="Arial"/>
                <w:noProof/>
              </w:rPr>
              <w:t>3.5 PRISMA</w:t>
            </w:r>
            <w:r>
              <w:rPr>
                <w:noProof/>
                <w:webHidden/>
              </w:rPr>
              <w:tab/>
            </w:r>
            <w:r>
              <w:rPr>
                <w:noProof/>
                <w:webHidden/>
              </w:rPr>
              <w:fldChar w:fldCharType="begin"/>
            </w:r>
            <w:r>
              <w:rPr>
                <w:noProof/>
                <w:webHidden/>
              </w:rPr>
              <w:instrText xml:space="preserve"> PAGEREF _Toc241011068 \h </w:instrText>
            </w:r>
            <w:r>
              <w:rPr>
                <w:noProof/>
                <w:webHidden/>
              </w:rPr>
            </w:r>
            <w:r>
              <w:rPr>
                <w:noProof/>
                <w:webHidden/>
              </w:rPr>
              <w:fldChar w:fldCharType="separate"/>
            </w:r>
            <w:r>
              <w:rPr>
                <w:noProof/>
                <w:webHidden/>
              </w:rPr>
              <w:t>34</w:t>
            </w:r>
            <w:r>
              <w:rPr>
                <w:noProof/>
                <w:webHidden/>
              </w:rPr>
              <w:fldChar w:fldCharType="end"/>
            </w:r>
          </w:hyperlink>
        </w:p>
        <w:p w14:paraId="03C7F002" w14:textId="4DA444BA"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69" w:history="1">
            <w:r w:rsidRPr="000D6619">
              <w:rPr>
                <w:rStyle w:val="Hyperlink"/>
                <w:rFonts w:cs="Arial"/>
                <w:noProof/>
              </w:rPr>
              <w:t>3.6 CASP Critical Appraisal</w:t>
            </w:r>
            <w:r>
              <w:rPr>
                <w:noProof/>
                <w:webHidden/>
              </w:rPr>
              <w:tab/>
            </w:r>
            <w:r>
              <w:rPr>
                <w:noProof/>
                <w:webHidden/>
              </w:rPr>
              <w:fldChar w:fldCharType="begin"/>
            </w:r>
            <w:r>
              <w:rPr>
                <w:noProof/>
                <w:webHidden/>
              </w:rPr>
              <w:instrText xml:space="preserve"> PAGEREF _Toc241011069 \h </w:instrText>
            </w:r>
            <w:r>
              <w:rPr>
                <w:noProof/>
                <w:webHidden/>
              </w:rPr>
            </w:r>
            <w:r>
              <w:rPr>
                <w:noProof/>
                <w:webHidden/>
              </w:rPr>
              <w:fldChar w:fldCharType="separate"/>
            </w:r>
            <w:r>
              <w:rPr>
                <w:noProof/>
                <w:webHidden/>
              </w:rPr>
              <w:t>35</w:t>
            </w:r>
            <w:r>
              <w:rPr>
                <w:noProof/>
                <w:webHidden/>
              </w:rPr>
              <w:fldChar w:fldCharType="end"/>
            </w:r>
          </w:hyperlink>
        </w:p>
        <w:p w14:paraId="284F1EF8" w14:textId="7D379F0E"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0" w:history="1">
            <w:r w:rsidRPr="000D6619">
              <w:rPr>
                <w:rStyle w:val="Hyperlink"/>
                <w:rFonts w:cs="Arial"/>
                <w:noProof/>
              </w:rPr>
              <w:t>3.7 Data Extraction</w:t>
            </w:r>
            <w:r>
              <w:rPr>
                <w:noProof/>
                <w:webHidden/>
              </w:rPr>
              <w:tab/>
            </w:r>
            <w:r>
              <w:rPr>
                <w:noProof/>
                <w:webHidden/>
              </w:rPr>
              <w:fldChar w:fldCharType="begin"/>
            </w:r>
            <w:r>
              <w:rPr>
                <w:noProof/>
                <w:webHidden/>
              </w:rPr>
              <w:instrText xml:space="preserve"> PAGEREF _Toc241011070 \h </w:instrText>
            </w:r>
            <w:r>
              <w:rPr>
                <w:noProof/>
                <w:webHidden/>
              </w:rPr>
            </w:r>
            <w:r>
              <w:rPr>
                <w:noProof/>
                <w:webHidden/>
              </w:rPr>
              <w:fldChar w:fldCharType="separate"/>
            </w:r>
            <w:r>
              <w:rPr>
                <w:noProof/>
                <w:webHidden/>
              </w:rPr>
              <w:t>35</w:t>
            </w:r>
            <w:r>
              <w:rPr>
                <w:noProof/>
                <w:webHidden/>
              </w:rPr>
              <w:fldChar w:fldCharType="end"/>
            </w:r>
          </w:hyperlink>
        </w:p>
        <w:p w14:paraId="7E63EA4E" w14:textId="2CB832E5"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1" w:history="1">
            <w:r w:rsidRPr="000D6619">
              <w:rPr>
                <w:rStyle w:val="Hyperlink"/>
                <w:rFonts w:cs="Arial"/>
                <w:noProof/>
              </w:rPr>
              <w:t>3.8 Thematic Analysis</w:t>
            </w:r>
            <w:r>
              <w:rPr>
                <w:noProof/>
                <w:webHidden/>
              </w:rPr>
              <w:tab/>
            </w:r>
            <w:r>
              <w:rPr>
                <w:noProof/>
                <w:webHidden/>
              </w:rPr>
              <w:fldChar w:fldCharType="begin"/>
            </w:r>
            <w:r>
              <w:rPr>
                <w:noProof/>
                <w:webHidden/>
              </w:rPr>
              <w:instrText xml:space="preserve"> PAGEREF _Toc241011071 \h </w:instrText>
            </w:r>
            <w:r>
              <w:rPr>
                <w:noProof/>
                <w:webHidden/>
              </w:rPr>
            </w:r>
            <w:r>
              <w:rPr>
                <w:noProof/>
                <w:webHidden/>
              </w:rPr>
              <w:fldChar w:fldCharType="separate"/>
            </w:r>
            <w:r>
              <w:rPr>
                <w:noProof/>
                <w:webHidden/>
              </w:rPr>
              <w:t>37</w:t>
            </w:r>
            <w:r>
              <w:rPr>
                <w:noProof/>
                <w:webHidden/>
              </w:rPr>
              <w:fldChar w:fldCharType="end"/>
            </w:r>
          </w:hyperlink>
        </w:p>
        <w:p w14:paraId="5A20A6D9" w14:textId="5F1F737D"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2" w:history="1">
            <w:r w:rsidRPr="000D6619">
              <w:rPr>
                <w:rStyle w:val="Hyperlink"/>
                <w:rFonts w:cs="Arial"/>
                <w:noProof/>
              </w:rPr>
              <w:t>3.9 Ethical Considerations</w:t>
            </w:r>
            <w:r>
              <w:rPr>
                <w:noProof/>
                <w:webHidden/>
              </w:rPr>
              <w:tab/>
            </w:r>
            <w:r>
              <w:rPr>
                <w:noProof/>
                <w:webHidden/>
              </w:rPr>
              <w:fldChar w:fldCharType="begin"/>
            </w:r>
            <w:r>
              <w:rPr>
                <w:noProof/>
                <w:webHidden/>
              </w:rPr>
              <w:instrText xml:space="preserve"> PAGEREF _Toc241011072 \h </w:instrText>
            </w:r>
            <w:r>
              <w:rPr>
                <w:noProof/>
                <w:webHidden/>
              </w:rPr>
            </w:r>
            <w:r>
              <w:rPr>
                <w:noProof/>
                <w:webHidden/>
              </w:rPr>
              <w:fldChar w:fldCharType="separate"/>
            </w:r>
            <w:r>
              <w:rPr>
                <w:noProof/>
                <w:webHidden/>
              </w:rPr>
              <w:t>38</w:t>
            </w:r>
            <w:r>
              <w:rPr>
                <w:noProof/>
                <w:webHidden/>
              </w:rPr>
              <w:fldChar w:fldCharType="end"/>
            </w:r>
          </w:hyperlink>
        </w:p>
        <w:p w14:paraId="31ADBE0E" w14:textId="5AFAECC6"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3" w:history="1">
            <w:r w:rsidRPr="000D6619">
              <w:rPr>
                <w:rStyle w:val="Hyperlink"/>
                <w:rFonts w:cs="Arial"/>
                <w:noProof/>
              </w:rPr>
              <w:t>3.10 Chapter Summary</w:t>
            </w:r>
            <w:r>
              <w:rPr>
                <w:noProof/>
                <w:webHidden/>
              </w:rPr>
              <w:tab/>
            </w:r>
            <w:r>
              <w:rPr>
                <w:noProof/>
                <w:webHidden/>
              </w:rPr>
              <w:fldChar w:fldCharType="begin"/>
            </w:r>
            <w:r>
              <w:rPr>
                <w:noProof/>
                <w:webHidden/>
              </w:rPr>
              <w:instrText xml:space="preserve"> PAGEREF _Toc241011073 \h </w:instrText>
            </w:r>
            <w:r>
              <w:rPr>
                <w:noProof/>
                <w:webHidden/>
              </w:rPr>
            </w:r>
            <w:r>
              <w:rPr>
                <w:noProof/>
                <w:webHidden/>
              </w:rPr>
              <w:fldChar w:fldCharType="separate"/>
            </w:r>
            <w:r>
              <w:rPr>
                <w:noProof/>
                <w:webHidden/>
              </w:rPr>
              <w:t>38</w:t>
            </w:r>
            <w:r>
              <w:rPr>
                <w:noProof/>
                <w:webHidden/>
              </w:rPr>
              <w:fldChar w:fldCharType="end"/>
            </w:r>
          </w:hyperlink>
        </w:p>
        <w:p w14:paraId="7160F626" w14:textId="0DDEC5A1"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74" w:history="1">
            <w:r w:rsidRPr="000D6619">
              <w:rPr>
                <w:rStyle w:val="Hyperlink"/>
                <w:noProof/>
              </w:rPr>
              <w:t>CHAPTER Four: RESULTS AND FINDINGS</w:t>
            </w:r>
            <w:r>
              <w:rPr>
                <w:noProof/>
                <w:webHidden/>
              </w:rPr>
              <w:tab/>
            </w:r>
            <w:r>
              <w:rPr>
                <w:noProof/>
                <w:webHidden/>
              </w:rPr>
              <w:fldChar w:fldCharType="begin"/>
            </w:r>
            <w:r>
              <w:rPr>
                <w:noProof/>
                <w:webHidden/>
              </w:rPr>
              <w:instrText xml:space="preserve"> PAGEREF _Toc241011074 \h </w:instrText>
            </w:r>
            <w:r>
              <w:rPr>
                <w:noProof/>
                <w:webHidden/>
              </w:rPr>
            </w:r>
            <w:r>
              <w:rPr>
                <w:noProof/>
                <w:webHidden/>
              </w:rPr>
              <w:fldChar w:fldCharType="separate"/>
            </w:r>
            <w:r>
              <w:rPr>
                <w:noProof/>
                <w:webHidden/>
              </w:rPr>
              <w:t>40</w:t>
            </w:r>
            <w:r>
              <w:rPr>
                <w:noProof/>
                <w:webHidden/>
              </w:rPr>
              <w:fldChar w:fldCharType="end"/>
            </w:r>
          </w:hyperlink>
        </w:p>
        <w:p w14:paraId="2FD0128E" w14:textId="4460D35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5" w:history="1">
            <w:r w:rsidRPr="000D6619">
              <w:rPr>
                <w:rStyle w:val="Hyperlink"/>
                <w:rFonts w:cs="Arial"/>
                <w:noProof/>
              </w:rPr>
              <w:t>4.1 Introduction</w:t>
            </w:r>
            <w:r>
              <w:rPr>
                <w:noProof/>
                <w:webHidden/>
              </w:rPr>
              <w:tab/>
            </w:r>
            <w:r>
              <w:rPr>
                <w:noProof/>
                <w:webHidden/>
              </w:rPr>
              <w:fldChar w:fldCharType="begin"/>
            </w:r>
            <w:r>
              <w:rPr>
                <w:noProof/>
                <w:webHidden/>
              </w:rPr>
              <w:instrText xml:space="preserve"> PAGEREF _Toc241011075 \h </w:instrText>
            </w:r>
            <w:r>
              <w:rPr>
                <w:noProof/>
                <w:webHidden/>
              </w:rPr>
            </w:r>
            <w:r>
              <w:rPr>
                <w:noProof/>
                <w:webHidden/>
              </w:rPr>
              <w:fldChar w:fldCharType="separate"/>
            </w:r>
            <w:r>
              <w:rPr>
                <w:noProof/>
                <w:webHidden/>
              </w:rPr>
              <w:t>40</w:t>
            </w:r>
            <w:r>
              <w:rPr>
                <w:noProof/>
                <w:webHidden/>
              </w:rPr>
              <w:fldChar w:fldCharType="end"/>
            </w:r>
          </w:hyperlink>
        </w:p>
        <w:p w14:paraId="5C64AA13" w14:textId="02410CD1"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6" w:history="1">
            <w:r w:rsidRPr="000D6619">
              <w:rPr>
                <w:rStyle w:val="Hyperlink"/>
                <w:rFonts w:cs="Arial"/>
                <w:noProof/>
              </w:rPr>
              <w:t>4.2 PRISMA Study Selection</w:t>
            </w:r>
            <w:r>
              <w:rPr>
                <w:noProof/>
                <w:webHidden/>
              </w:rPr>
              <w:tab/>
            </w:r>
            <w:r>
              <w:rPr>
                <w:noProof/>
                <w:webHidden/>
              </w:rPr>
              <w:fldChar w:fldCharType="begin"/>
            </w:r>
            <w:r>
              <w:rPr>
                <w:noProof/>
                <w:webHidden/>
              </w:rPr>
              <w:instrText xml:space="preserve"> PAGEREF _Toc241011076 \h </w:instrText>
            </w:r>
            <w:r>
              <w:rPr>
                <w:noProof/>
                <w:webHidden/>
              </w:rPr>
            </w:r>
            <w:r>
              <w:rPr>
                <w:noProof/>
                <w:webHidden/>
              </w:rPr>
              <w:fldChar w:fldCharType="separate"/>
            </w:r>
            <w:r>
              <w:rPr>
                <w:noProof/>
                <w:webHidden/>
              </w:rPr>
              <w:t>40</w:t>
            </w:r>
            <w:r>
              <w:rPr>
                <w:noProof/>
                <w:webHidden/>
              </w:rPr>
              <w:fldChar w:fldCharType="end"/>
            </w:r>
          </w:hyperlink>
        </w:p>
        <w:p w14:paraId="1CDD889A" w14:textId="400EB1E1"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7" w:history="1">
            <w:r w:rsidRPr="000D6619">
              <w:rPr>
                <w:rStyle w:val="Hyperlink"/>
                <w:rFonts w:cs="Arial"/>
                <w:noProof/>
              </w:rPr>
              <w:t>4.3 Quality Appraisal of Included Studies</w:t>
            </w:r>
            <w:r>
              <w:rPr>
                <w:noProof/>
                <w:webHidden/>
              </w:rPr>
              <w:tab/>
            </w:r>
            <w:r>
              <w:rPr>
                <w:noProof/>
                <w:webHidden/>
              </w:rPr>
              <w:fldChar w:fldCharType="begin"/>
            </w:r>
            <w:r>
              <w:rPr>
                <w:noProof/>
                <w:webHidden/>
              </w:rPr>
              <w:instrText xml:space="preserve"> PAGEREF _Toc241011077 \h </w:instrText>
            </w:r>
            <w:r>
              <w:rPr>
                <w:noProof/>
                <w:webHidden/>
              </w:rPr>
            </w:r>
            <w:r>
              <w:rPr>
                <w:noProof/>
                <w:webHidden/>
              </w:rPr>
              <w:fldChar w:fldCharType="separate"/>
            </w:r>
            <w:r>
              <w:rPr>
                <w:noProof/>
                <w:webHidden/>
              </w:rPr>
              <w:t>42</w:t>
            </w:r>
            <w:r>
              <w:rPr>
                <w:noProof/>
                <w:webHidden/>
              </w:rPr>
              <w:fldChar w:fldCharType="end"/>
            </w:r>
          </w:hyperlink>
        </w:p>
        <w:p w14:paraId="79CE2C6C" w14:textId="17EC23E3"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8" w:history="1">
            <w:r w:rsidRPr="000D6619">
              <w:rPr>
                <w:rStyle w:val="Hyperlink"/>
                <w:rFonts w:cs="Arial"/>
                <w:noProof/>
              </w:rPr>
              <w:t>4.4 Characteristics of Included Studies</w:t>
            </w:r>
            <w:r>
              <w:rPr>
                <w:noProof/>
                <w:webHidden/>
              </w:rPr>
              <w:tab/>
            </w:r>
            <w:r>
              <w:rPr>
                <w:noProof/>
                <w:webHidden/>
              </w:rPr>
              <w:fldChar w:fldCharType="begin"/>
            </w:r>
            <w:r>
              <w:rPr>
                <w:noProof/>
                <w:webHidden/>
              </w:rPr>
              <w:instrText xml:space="preserve"> PAGEREF _Toc241011078 \h </w:instrText>
            </w:r>
            <w:r>
              <w:rPr>
                <w:noProof/>
                <w:webHidden/>
              </w:rPr>
            </w:r>
            <w:r>
              <w:rPr>
                <w:noProof/>
                <w:webHidden/>
              </w:rPr>
              <w:fldChar w:fldCharType="separate"/>
            </w:r>
            <w:r>
              <w:rPr>
                <w:noProof/>
                <w:webHidden/>
              </w:rPr>
              <w:t>47</w:t>
            </w:r>
            <w:r>
              <w:rPr>
                <w:noProof/>
                <w:webHidden/>
              </w:rPr>
              <w:fldChar w:fldCharType="end"/>
            </w:r>
          </w:hyperlink>
        </w:p>
        <w:p w14:paraId="758B1914" w14:textId="2996F6ED"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79" w:history="1">
            <w:r w:rsidRPr="000D6619">
              <w:rPr>
                <w:rStyle w:val="Hyperlink"/>
                <w:rFonts w:cs="Arial"/>
                <w:noProof/>
              </w:rPr>
              <w:t>4.5 Thematic Analysis of Findings</w:t>
            </w:r>
            <w:r>
              <w:rPr>
                <w:noProof/>
                <w:webHidden/>
              </w:rPr>
              <w:tab/>
            </w:r>
            <w:r>
              <w:rPr>
                <w:noProof/>
                <w:webHidden/>
              </w:rPr>
              <w:fldChar w:fldCharType="begin"/>
            </w:r>
            <w:r>
              <w:rPr>
                <w:noProof/>
                <w:webHidden/>
              </w:rPr>
              <w:instrText xml:space="preserve"> PAGEREF _Toc241011079 \h </w:instrText>
            </w:r>
            <w:r>
              <w:rPr>
                <w:noProof/>
                <w:webHidden/>
              </w:rPr>
            </w:r>
            <w:r>
              <w:rPr>
                <w:noProof/>
                <w:webHidden/>
              </w:rPr>
              <w:fldChar w:fldCharType="separate"/>
            </w:r>
            <w:r>
              <w:rPr>
                <w:noProof/>
                <w:webHidden/>
              </w:rPr>
              <w:t>53</w:t>
            </w:r>
            <w:r>
              <w:rPr>
                <w:noProof/>
                <w:webHidden/>
              </w:rPr>
              <w:fldChar w:fldCharType="end"/>
            </w:r>
          </w:hyperlink>
        </w:p>
        <w:p w14:paraId="744DF931" w14:textId="4C03D6E6"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0" w:history="1">
            <w:r w:rsidRPr="000D6619">
              <w:rPr>
                <w:rStyle w:val="Hyperlink"/>
                <w:rFonts w:cs="Arial"/>
                <w:noProof/>
              </w:rPr>
              <w:t>4.5.1 Theme 1: Epidemiology, Prevalence and Burden of CKD in the UK Adults</w:t>
            </w:r>
            <w:r>
              <w:rPr>
                <w:noProof/>
                <w:webHidden/>
              </w:rPr>
              <w:tab/>
            </w:r>
            <w:r>
              <w:rPr>
                <w:noProof/>
                <w:webHidden/>
              </w:rPr>
              <w:fldChar w:fldCharType="begin"/>
            </w:r>
            <w:r>
              <w:rPr>
                <w:noProof/>
                <w:webHidden/>
              </w:rPr>
              <w:instrText xml:space="preserve"> PAGEREF _Toc241011080 \h </w:instrText>
            </w:r>
            <w:r>
              <w:rPr>
                <w:noProof/>
                <w:webHidden/>
              </w:rPr>
            </w:r>
            <w:r>
              <w:rPr>
                <w:noProof/>
                <w:webHidden/>
              </w:rPr>
              <w:fldChar w:fldCharType="separate"/>
            </w:r>
            <w:r>
              <w:rPr>
                <w:noProof/>
                <w:webHidden/>
              </w:rPr>
              <w:t>53</w:t>
            </w:r>
            <w:r>
              <w:rPr>
                <w:noProof/>
                <w:webHidden/>
              </w:rPr>
              <w:fldChar w:fldCharType="end"/>
            </w:r>
          </w:hyperlink>
        </w:p>
        <w:p w14:paraId="6E5DC06A" w14:textId="2E0036A0"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1" w:history="1">
            <w:r w:rsidRPr="000D6619">
              <w:rPr>
                <w:rStyle w:val="Hyperlink"/>
                <w:rFonts w:cs="Arial"/>
                <w:noProof/>
              </w:rPr>
              <w:t>4.5.2 Theme 2: Clinical and Metabolic Risk Factors</w:t>
            </w:r>
            <w:r>
              <w:rPr>
                <w:noProof/>
                <w:webHidden/>
              </w:rPr>
              <w:tab/>
            </w:r>
            <w:r>
              <w:rPr>
                <w:noProof/>
                <w:webHidden/>
              </w:rPr>
              <w:fldChar w:fldCharType="begin"/>
            </w:r>
            <w:r>
              <w:rPr>
                <w:noProof/>
                <w:webHidden/>
              </w:rPr>
              <w:instrText xml:space="preserve"> PAGEREF _Toc241011081 \h </w:instrText>
            </w:r>
            <w:r>
              <w:rPr>
                <w:noProof/>
                <w:webHidden/>
              </w:rPr>
            </w:r>
            <w:r>
              <w:rPr>
                <w:noProof/>
                <w:webHidden/>
              </w:rPr>
              <w:fldChar w:fldCharType="separate"/>
            </w:r>
            <w:r>
              <w:rPr>
                <w:noProof/>
                <w:webHidden/>
              </w:rPr>
              <w:t>53</w:t>
            </w:r>
            <w:r>
              <w:rPr>
                <w:noProof/>
                <w:webHidden/>
              </w:rPr>
              <w:fldChar w:fldCharType="end"/>
            </w:r>
          </w:hyperlink>
        </w:p>
        <w:p w14:paraId="1DAB86D7" w14:textId="7CFE78A5"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2" w:history="1">
            <w:r w:rsidRPr="000D6619">
              <w:rPr>
                <w:rStyle w:val="Hyperlink"/>
                <w:rFonts w:cs="Arial"/>
                <w:noProof/>
              </w:rPr>
              <w:t>4.5.3 Theme 3: Lifestyle, Social and Emerging Risk Factors</w:t>
            </w:r>
            <w:r>
              <w:rPr>
                <w:noProof/>
                <w:webHidden/>
              </w:rPr>
              <w:tab/>
            </w:r>
            <w:r>
              <w:rPr>
                <w:noProof/>
                <w:webHidden/>
              </w:rPr>
              <w:fldChar w:fldCharType="begin"/>
            </w:r>
            <w:r>
              <w:rPr>
                <w:noProof/>
                <w:webHidden/>
              </w:rPr>
              <w:instrText xml:space="preserve"> PAGEREF _Toc241011082 \h </w:instrText>
            </w:r>
            <w:r>
              <w:rPr>
                <w:noProof/>
                <w:webHidden/>
              </w:rPr>
            </w:r>
            <w:r>
              <w:rPr>
                <w:noProof/>
                <w:webHidden/>
              </w:rPr>
              <w:fldChar w:fldCharType="separate"/>
            </w:r>
            <w:r>
              <w:rPr>
                <w:noProof/>
                <w:webHidden/>
              </w:rPr>
              <w:t>53</w:t>
            </w:r>
            <w:r>
              <w:rPr>
                <w:noProof/>
                <w:webHidden/>
              </w:rPr>
              <w:fldChar w:fldCharType="end"/>
            </w:r>
          </w:hyperlink>
        </w:p>
        <w:p w14:paraId="5860A1F9" w14:textId="18B38AA0"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3" w:history="1">
            <w:r w:rsidRPr="000D6619">
              <w:rPr>
                <w:rStyle w:val="Hyperlink"/>
                <w:rFonts w:cs="Arial"/>
                <w:noProof/>
              </w:rPr>
              <w:t>4.5.4 Theme 4: Diagnosis, Screening and Risk Stratification</w:t>
            </w:r>
            <w:r>
              <w:rPr>
                <w:noProof/>
                <w:webHidden/>
              </w:rPr>
              <w:tab/>
            </w:r>
            <w:r>
              <w:rPr>
                <w:noProof/>
                <w:webHidden/>
              </w:rPr>
              <w:fldChar w:fldCharType="begin"/>
            </w:r>
            <w:r>
              <w:rPr>
                <w:noProof/>
                <w:webHidden/>
              </w:rPr>
              <w:instrText xml:space="preserve"> PAGEREF _Toc241011083 \h </w:instrText>
            </w:r>
            <w:r>
              <w:rPr>
                <w:noProof/>
                <w:webHidden/>
              </w:rPr>
            </w:r>
            <w:r>
              <w:rPr>
                <w:noProof/>
                <w:webHidden/>
              </w:rPr>
              <w:fldChar w:fldCharType="separate"/>
            </w:r>
            <w:r>
              <w:rPr>
                <w:noProof/>
                <w:webHidden/>
              </w:rPr>
              <w:t>54</w:t>
            </w:r>
            <w:r>
              <w:rPr>
                <w:noProof/>
                <w:webHidden/>
              </w:rPr>
              <w:fldChar w:fldCharType="end"/>
            </w:r>
          </w:hyperlink>
        </w:p>
        <w:p w14:paraId="0E32AC52" w14:textId="547650A8"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4" w:history="1">
            <w:r w:rsidRPr="000D6619">
              <w:rPr>
                <w:rStyle w:val="Hyperlink"/>
                <w:rFonts w:cs="Arial"/>
                <w:noProof/>
              </w:rPr>
              <w:t>4.5.5 Theme 5: Pharmacological Management Strategies</w:t>
            </w:r>
            <w:r>
              <w:rPr>
                <w:noProof/>
                <w:webHidden/>
              </w:rPr>
              <w:tab/>
            </w:r>
            <w:r>
              <w:rPr>
                <w:noProof/>
                <w:webHidden/>
              </w:rPr>
              <w:fldChar w:fldCharType="begin"/>
            </w:r>
            <w:r>
              <w:rPr>
                <w:noProof/>
                <w:webHidden/>
              </w:rPr>
              <w:instrText xml:space="preserve"> PAGEREF _Toc241011084 \h </w:instrText>
            </w:r>
            <w:r>
              <w:rPr>
                <w:noProof/>
                <w:webHidden/>
              </w:rPr>
            </w:r>
            <w:r>
              <w:rPr>
                <w:noProof/>
                <w:webHidden/>
              </w:rPr>
              <w:fldChar w:fldCharType="separate"/>
            </w:r>
            <w:r>
              <w:rPr>
                <w:noProof/>
                <w:webHidden/>
              </w:rPr>
              <w:t>54</w:t>
            </w:r>
            <w:r>
              <w:rPr>
                <w:noProof/>
                <w:webHidden/>
              </w:rPr>
              <w:fldChar w:fldCharType="end"/>
            </w:r>
          </w:hyperlink>
        </w:p>
        <w:p w14:paraId="4909779E" w14:textId="75A96843"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5" w:history="1">
            <w:r w:rsidRPr="000D6619">
              <w:rPr>
                <w:rStyle w:val="Hyperlink"/>
                <w:rFonts w:cs="Arial"/>
                <w:noProof/>
              </w:rPr>
              <w:t>4.5.6 Theme 6: Lifestyle, Digital and Patient-Centred Management</w:t>
            </w:r>
            <w:r>
              <w:rPr>
                <w:noProof/>
                <w:webHidden/>
              </w:rPr>
              <w:tab/>
            </w:r>
            <w:r>
              <w:rPr>
                <w:noProof/>
                <w:webHidden/>
              </w:rPr>
              <w:fldChar w:fldCharType="begin"/>
            </w:r>
            <w:r>
              <w:rPr>
                <w:noProof/>
                <w:webHidden/>
              </w:rPr>
              <w:instrText xml:space="preserve"> PAGEREF _Toc241011085 \h </w:instrText>
            </w:r>
            <w:r>
              <w:rPr>
                <w:noProof/>
                <w:webHidden/>
              </w:rPr>
            </w:r>
            <w:r>
              <w:rPr>
                <w:noProof/>
                <w:webHidden/>
              </w:rPr>
              <w:fldChar w:fldCharType="separate"/>
            </w:r>
            <w:r>
              <w:rPr>
                <w:noProof/>
                <w:webHidden/>
              </w:rPr>
              <w:t>54</w:t>
            </w:r>
            <w:r>
              <w:rPr>
                <w:noProof/>
                <w:webHidden/>
              </w:rPr>
              <w:fldChar w:fldCharType="end"/>
            </w:r>
          </w:hyperlink>
        </w:p>
        <w:p w14:paraId="0B3EBA39" w14:textId="659100AA" w:rsidR="002D4B06" w:rsidRDefault="002D4B06">
          <w:pPr>
            <w:pStyle w:val="TOC3"/>
            <w:tabs>
              <w:tab w:val="right" w:leader="dot" w:pos="8296"/>
            </w:tabs>
            <w:rPr>
              <w:rFonts w:asciiTheme="minorHAnsi" w:eastAsiaTheme="minorEastAsia" w:hAnsiTheme="minorHAnsi"/>
              <w:noProof/>
              <w:kern w:val="2"/>
              <w:sz w:val="24"/>
              <w:szCs w:val="24"/>
              <w14:ligatures w14:val="standardContextual"/>
            </w:rPr>
          </w:pPr>
          <w:hyperlink w:anchor="_Toc241011086" w:history="1">
            <w:r w:rsidRPr="000D6619">
              <w:rPr>
                <w:rStyle w:val="Hyperlink"/>
                <w:rFonts w:cs="Arial"/>
                <w:noProof/>
              </w:rPr>
              <w:t>4.5.7 Theme 7: Integrated Care and Health-System Management</w:t>
            </w:r>
            <w:r>
              <w:rPr>
                <w:noProof/>
                <w:webHidden/>
              </w:rPr>
              <w:tab/>
            </w:r>
            <w:r>
              <w:rPr>
                <w:noProof/>
                <w:webHidden/>
              </w:rPr>
              <w:fldChar w:fldCharType="begin"/>
            </w:r>
            <w:r>
              <w:rPr>
                <w:noProof/>
                <w:webHidden/>
              </w:rPr>
              <w:instrText xml:space="preserve"> PAGEREF _Toc241011086 \h </w:instrText>
            </w:r>
            <w:r>
              <w:rPr>
                <w:noProof/>
                <w:webHidden/>
              </w:rPr>
            </w:r>
            <w:r>
              <w:rPr>
                <w:noProof/>
                <w:webHidden/>
              </w:rPr>
              <w:fldChar w:fldCharType="separate"/>
            </w:r>
            <w:r>
              <w:rPr>
                <w:noProof/>
                <w:webHidden/>
              </w:rPr>
              <w:t>55</w:t>
            </w:r>
            <w:r>
              <w:rPr>
                <w:noProof/>
                <w:webHidden/>
              </w:rPr>
              <w:fldChar w:fldCharType="end"/>
            </w:r>
          </w:hyperlink>
        </w:p>
        <w:p w14:paraId="007ADDAD" w14:textId="75CD5425"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87" w:history="1">
            <w:r w:rsidRPr="000D6619">
              <w:rPr>
                <w:rStyle w:val="Hyperlink"/>
                <w:rFonts w:cs="Arial"/>
                <w:noProof/>
              </w:rPr>
              <w:t>4.6 Summary of Findings Against the Research Objectives</w:t>
            </w:r>
            <w:r>
              <w:rPr>
                <w:noProof/>
                <w:webHidden/>
              </w:rPr>
              <w:tab/>
            </w:r>
            <w:r>
              <w:rPr>
                <w:noProof/>
                <w:webHidden/>
              </w:rPr>
              <w:fldChar w:fldCharType="begin"/>
            </w:r>
            <w:r>
              <w:rPr>
                <w:noProof/>
                <w:webHidden/>
              </w:rPr>
              <w:instrText xml:space="preserve"> PAGEREF _Toc241011087 \h </w:instrText>
            </w:r>
            <w:r>
              <w:rPr>
                <w:noProof/>
                <w:webHidden/>
              </w:rPr>
            </w:r>
            <w:r>
              <w:rPr>
                <w:noProof/>
                <w:webHidden/>
              </w:rPr>
              <w:fldChar w:fldCharType="separate"/>
            </w:r>
            <w:r>
              <w:rPr>
                <w:noProof/>
                <w:webHidden/>
              </w:rPr>
              <w:t>55</w:t>
            </w:r>
            <w:r>
              <w:rPr>
                <w:noProof/>
                <w:webHidden/>
              </w:rPr>
              <w:fldChar w:fldCharType="end"/>
            </w:r>
          </w:hyperlink>
        </w:p>
        <w:p w14:paraId="0496D579" w14:textId="7274420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88" w:history="1">
            <w:r w:rsidRPr="000D6619">
              <w:rPr>
                <w:rStyle w:val="Hyperlink"/>
                <w:rFonts w:cs="Arial"/>
                <w:noProof/>
              </w:rPr>
              <w:t>4.7 Chapter Summary</w:t>
            </w:r>
            <w:r>
              <w:rPr>
                <w:noProof/>
                <w:webHidden/>
              </w:rPr>
              <w:tab/>
            </w:r>
            <w:r>
              <w:rPr>
                <w:noProof/>
                <w:webHidden/>
              </w:rPr>
              <w:fldChar w:fldCharType="begin"/>
            </w:r>
            <w:r>
              <w:rPr>
                <w:noProof/>
                <w:webHidden/>
              </w:rPr>
              <w:instrText xml:space="preserve"> PAGEREF _Toc241011088 \h </w:instrText>
            </w:r>
            <w:r>
              <w:rPr>
                <w:noProof/>
                <w:webHidden/>
              </w:rPr>
            </w:r>
            <w:r>
              <w:rPr>
                <w:noProof/>
                <w:webHidden/>
              </w:rPr>
              <w:fldChar w:fldCharType="separate"/>
            </w:r>
            <w:r>
              <w:rPr>
                <w:noProof/>
                <w:webHidden/>
              </w:rPr>
              <w:t>56</w:t>
            </w:r>
            <w:r>
              <w:rPr>
                <w:noProof/>
                <w:webHidden/>
              </w:rPr>
              <w:fldChar w:fldCharType="end"/>
            </w:r>
          </w:hyperlink>
        </w:p>
        <w:p w14:paraId="29882919" w14:textId="1195B672"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89" w:history="1">
            <w:r w:rsidRPr="000D6619">
              <w:rPr>
                <w:rStyle w:val="Hyperlink"/>
                <w:noProof/>
              </w:rPr>
              <w:t>Chapter Five: Discussion</w:t>
            </w:r>
            <w:r>
              <w:rPr>
                <w:noProof/>
                <w:webHidden/>
              </w:rPr>
              <w:tab/>
            </w:r>
            <w:r>
              <w:rPr>
                <w:noProof/>
                <w:webHidden/>
              </w:rPr>
              <w:fldChar w:fldCharType="begin"/>
            </w:r>
            <w:r>
              <w:rPr>
                <w:noProof/>
                <w:webHidden/>
              </w:rPr>
              <w:instrText xml:space="preserve"> PAGEREF _Toc241011089 \h </w:instrText>
            </w:r>
            <w:r>
              <w:rPr>
                <w:noProof/>
                <w:webHidden/>
              </w:rPr>
            </w:r>
            <w:r>
              <w:rPr>
                <w:noProof/>
                <w:webHidden/>
              </w:rPr>
              <w:fldChar w:fldCharType="separate"/>
            </w:r>
            <w:r>
              <w:rPr>
                <w:noProof/>
                <w:webHidden/>
              </w:rPr>
              <w:t>57</w:t>
            </w:r>
            <w:r>
              <w:rPr>
                <w:noProof/>
                <w:webHidden/>
              </w:rPr>
              <w:fldChar w:fldCharType="end"/>
            </w:r>
          </w:hyperlink>
        </w:p>
        <w:p w14:paraId="679D7483" w14:textId="00C8886F"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0" w:history="1">
            <w:r w:rsidRPr="000D6619">
              <w:rPr>
                <w:rStyle w:val="Hyperlink"/>
                <w:rFonts w:cs="Arial"/>
                <w:noProof/>
              </w:rPr>
              <w:t>5.1 Interpretation of CKD Burden and Risk</w:t>
            </w:r>
            <w:r>
              <w:rPr>
                <w:noProof/>
                <w:webHidden/>
              </w:rPr>
              <w:tab/>
            </w:r>
            <w:r>
              <w:rPr>
                <w:noProof/>
                <w:webHidden/>
              </w:rPr>
              <w:fldChar w:fldCharType="begin"/>
            </w:r>
            <w:r>
              <w:rPr>
                <w:noProof/>
                <w:webHidden/>
              </w:rPr>
              <w:instrText xml:space="preserve"> PAGEREF _Toc241011090 \h </w:instrText>
            </w:r>
            <w:r>
              <w:rPr>
                <w:noProof/>
                <w:webHidden/>
              </w:rPr>
            </w:r>
            <w:r>
              <w:rPr>
                <w:noProof/>
                <w:webHidden/>
              </w:rPr>
              <w:fldChar w:fldCharType="separate"/>
            </w:r>
            <w:r>
              <w:rPr>
                <w:noProof/>
                <w:webHidden/>
              </w:rPr>
              <w:t>57</w:t>
            </w:r>
            <w:r>
              <w:rPr>
                <w:noProof/>
                <w:webHidden/>
              </w:rPr>
              <w:fldChar w:fldCharType="end"/>
            </w:r>
          </w:hyperlink>
        </w:p>
        <w:p w14:paraId="1E8BAAA2" w14:textId="72D8E14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1" w:history="1">
            <w:r w:rsidRPr="000D6619">
              <w:rPr>
                <w:rStyle w:val="Hyperlink"/>
                <w:rFonts w:cs="Arial"/>
                <w:noProof/>
              </w:rPr>
              <w:t>5.2 Risk Factors, Behaviour and Inequality</w:t>
            </w:r>
            <w:r>
              <w:rPr>
                <w:noProof/>
                <w:webHidden/>
              </w:rPr>
              <w:tab/>
            </w:r>
            <w:r>
              <w:rPr>
                <w:noProof/>
                <w:webHidden/>
              </w:rPr>
              <w:fldChar w:fldCharType="begin"/>
            </w:r>
            <w:r>
              <w:rPr>
                <w:noProof/>
                <w:webHidden/>
              </w:rPr>
              <w:instrText xml:space="preserve"> PAGEREF _Toc241011091 \h </w:instrText>
            </w:r>
            <w:r>
              <w:rPr>
                <w:noProof/>
                <w:webHidden/>
              </w:rPr>
            </w:r>
            <w:r>
              <w:rPr>
                <w:noProof/>
                <w:webHidden/>
              </w:rPr>
              <w:fldChar w:fldCharType="separate"/>
            </w:r>
            <w:r>
              <w:rPr>
                <w:noProof/>
                <w:webHidden/>
              </w:rPr>
              <w:t>57</w:t>
            </w:r>
            <w:r>
              <w:rPr>
                <w:noProof/>
                <w:webHidden/>
              </w:rPr>
              <w:fldChar w:fldCharType="end"/>
            </w:r>
          </w:hyperlink>
        </w:p>
        <w:p w14:paraId="6F1DCD55" w14:textId="380A90D9"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2" w:history="1">
            <w:r w:rsidRPr="000D6619">
              <w:rPr>
                <w:rStyle w:val="Hyperlink"/>
                <w:rFonts w:cs="Arial"/>
                <w:noProof/>
              </w:rPr>
              <w:t>5.3 Management Strategies and the Health Belief Model</w:t>
            </w:r>
            <w:r>
              <w:rPr>
                <w:noProof/>
                <w:webHidden/>
              </w:rPr>
              <w:tab/>
            </w:r>
            <w:r>
              <w:rPr>
                <w:noProof/>
                <w:webHidden/>
              </w:rPr>
              <w:fldChar w:fldCharType="begin"/>
            </w:r>
            <w:r>
              <w:rPr>
                <w:noProof/>
                <w:webHidden/>
              </w:rPr>
              <w:instrText xml:space="preserve"> PAGEREF _Toc241011092 \h </w:instrText>
            </w:r>
            <w:r>
              <w:rPr>
                <w:noProof/>
                <w:webHidden/>
              </w:rPr>
            </w:r>
            <w:r>
              <w:rPr>
                <w:noProof/>
                <w:webHidden/>
              </w:rPr>
              <w:fldChar w:fldCharType="separate"/>
            </w:r>
            <w:r>
              <w:rPr>
                <w:noProof/>
                <w:webHidden/>
              </w:rPr>
              <w:t>58</w:t>
            </w:r>
            <w:r>
              <w:rPr>
                <w:noProof/>
                <w:webHidden/>
              </w:rPr>
              <w:fldChar w:fldCharType="end"/>
            </w:r>
          </w:hyperlink>
        </w:p>
        <w:p w14:paraId="655B36D4" w14:textId="71BDFED6"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3" w:history="1">
            <w:r w:rsidRPr="000D6619">
              <w:rPr>
                <w:rStyle w:val="Hyperlink"/>
                <w:rFonts w:cs="Arial"/>
                <w:noProof/>
              </w:rPr>
              <w:t>5.4 Implications for the UK Public Health and Evidence Limitations</w:t>
            </w:r>
            <w:r>
              <w:rPr>
                <w:noProof/>
                <w:webHidden/>
              </w:rPr>
              <w:tab/>
            </w:r>
            <w:r>
              <w:rPr>
                <w:noProof/>
                <w:webHidden/>
              </w:rPr>
              <w:fldChar w:fldCharType="begin"/>
            </w:r>
            <w:r>
              <w:rPr>
                <w:noProof/>
                <w:webHidden/>
              </w:rPr>
              <w:instrText xml:space="preserve"> PAGEREF _Toc241011093 \h </w:instrText>
            </w:r>
            <w:r>
              <w:rPr>
                <w:noProof/>
                <w:webHidden/>
              </w:rPr>
            </w:r>
            <w:r>
              <w:rPr>
                <w:noProof/>
                <w:webHidden/>
              </w:rPr>
              <w:fldChar w:fldCharType="separate"/>
            </w:r>
            <w:r>
              <w:rPr>
                <w:noProof/>
                <w:webHidden/>
              </w:rPr>
              <w:t>59</w:t>
            </w:r>
            <w:r>
              <w:rPr>
                <w:noProof/>
                <w:webHidden/>
              </w:rPr>
              <w:fldChar w:fldCharType="end"/>
            </w:r>
          </w:hyperlink>
        </w:p>
        <w:p w14:paraId="77535414" w14:textId="3EE59ACE"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94" w:history="1">
            <w:r w:rsidRPr="000D6619">
              <w:rPr>
                <w:rStyle w:val="Hyperlink"/>
                <w:noProof/>
              </w:rPr>
              <w:t>Chapter Six: Conclusion and Recommendations</w:t>
            </w:r>
            <w:r>
              <w:rPr>
                <w:noProof/>
                <w:webHidden/>
              </w:rPr>
              <w:tab/>
            </w:r>
            <w:r>
              <w:rPr>
                <w:noProof/>
                <w:webHidden/>
              </w:rPr>
              <w:fldChar w:fldCharType="begin"/>
            </w:r>
            <w:r>
              <w:rPr>
                <w:noProof/>
                <w:webHidden/>
              </w:rPr>
              <w:instrText xml:space="preserve"> PAGEREF _Toc241011094 \h </w:instrText>
            </w:r>
            <w:r>
              <w:rPr>
                <w:noProof/>
                <w:webHidden/>
              </w:rPr>
            </w:r>
            <w:r>
              <w:rPr>
                <w:noProof/>
                <w:webHidden/>
              </w:rPr>
              <w:fldChar w:fldCharType="separate"/>
            </w:r>
            <w:r>
              <w:rPr>
                <w:noProof/>
                <w:webHidden/>
              </w:rPr>
              <w:t>61</w:t>
            </w:r>
            <w:r>
              <w:rPr>
                <w:noProof/>
                <w:webHidden/>
              </w:rPr>
              <w:fldChar w:fldCharType="end"/>
            </w:r>
          </w:hyperlink>
        </w:p>
        <w:p w14:paraId="52CD8723" w14:textId="3F4B434F"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5" w:history="1">
            <w:r w:rsidRPr="000D6619">
              <w:rPr>
                <w:rStyle w:val="Hyperlink"/>
                <w:rFonts w:cs="Arial"/>
                <w:noProof/>
              </w:rPr>
              <w:t>6.1 Conclusion</w:t>
            </w:r>
            <w:r>
              <w:rPr>
                <w:noProof/>
                <w:webHidden/>
              </w:rPr>
              <w:tab/>
            </w:r>
            <w:r>
              <w:rPr>
                <w:noProof/>
                <w:webHidden/>
              </w:rPr>
              <w:fldChar w:fldCharType="begin"/>
            </w:r>
            <w:r>
              <w:rPr>
                <w:noProof/>
                <w:webHidden/>
              </w:rPr>
              <w:instrText xml:space="preserve"> PAGEREF _Toc241011095 \h </w:instrText>
            </w:r>
            <w:r>
              <w:rPr>
                <w:noProof/>
                <w:webHidden/>
              </w:rPr>
            </w:r>
            <w:r>
              <w:rPr>
                <w:noProof/>
                <w:webHidden/>
              </w:rPr>
              <w:fldChar w:fldCharType="separate"/>
            </w:r>
            <w:r>
              <w:rPr>
                <w:noProof/>
                <w:webHidden/>
              </w:rPr>
              <w:t>61</w:t>
            </w:r>
            <w:r>
              <w:rPr>
                <w:noProof/>
                <w:webHidden/>
              </w:rPr>
              <w:fldChar w:fldCharType="end"/>
            </w:r>
          </w:hyperlink>
        </w:p>
        <w:p w14:paraId="31C63DEE" w14:textId="5C1E726F"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6" w:history="1">
            <w:r w:rsidRPr="000D6619">
              <w:rPr>
                <w:rStyle w:val="Hyperlink"/>
                <w:rFonts w:cs="Arial"/>
                <w:noProof/>
              </w:rPr>
              <w:t>6.2 Recommendations for the UK Practice and Policy</w:t>
            </w:r>
            <w:r>
              <w:rPr>
                <w:noProof/>
                <w:webHidden/>
              </w:rPr>
              <w:tab/>
            </w:r>
            <w:r>
              <w:rPr>
                <w:noProof/>
                <w:webHidden/>
              </w:rPr>
              <w:fldChar w:fldCharType="begin"/>
            </w:r>
            <w:r>
              <w:rPr>
                <w:noProof/>
                <w:webHidden/>
              </w:rPr>
              <w:instrText xml:space="preserve"> PAGEREF _Toc241011096 \h </w:instrText>
            </w:r>
            <w:r>
              <w:rPr>
                <w:noProof/>
                <w:webHidden/>
              </w:rPr>
            </w:r>
            <w:r>
              <w:rPr>
                <w:noProof/>
                <w:webHidden/>
              </w:rPr>
              <w:fldChar w:fldCharType="separate"/>
            </w:r>
            <w:r>
              <w:rPr>
                <w:noProof/>
                <w:webHidden/>
              </w:rPr>
              <w:t>61</w:t>
            </w:r>
            <w:r>
              <w:rPr>
                <w:noProof/>
                <w:webHidden/>
              </w:rPr>
              <w:fldChar w:fldCharType="end"/>
            </w:r>
          </w:hyperlink>
        </w:p>
        <w:p w14:paraId="1D42A2BD" w14:textId="3322B555"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097" w:history="1">
            <w:r w:rsidRPr="000D6619">
              <w:rPr>
                <w:rStyle w:val="Hyperlink"/>
                <w:rFonts w:cs="Arial"/>
                <w:noProof/>
              </w:rPr>
              <w:t>6.3 Limitations and Future Research</w:t>
            </w:r>
            <w:r>
              <w:rPr>
                <w:noProof/>
                <w:webHidden/>
              </w:rPr>
              <w:tab/>
            </w:r>
            <w:r>
              <w:rPr>
                <w:noProof/>
                <w:webHidden/>
              </w:rPr>
              <w:fldChar w:fldCharType="begin"/>
            </w:r>
            <w:r>
              <w:rPr>
                <w:noProof/>
                <w:webHidden/>
              </w:rPr>
              <w:instrText xml:space="preserve"> PAGEREF _Toc241011097 \h </w:instrText>
            </w:r>
            <w:r>
              <w:rPr>
                <w:noProof/>
                <w:webHidden/>
              </w:rPr>
            </w:r>
            <w:r>
              <w:rPr>
                <w:noProof/>
                <w:webHidden/>
              </w:rPr>
              <w:fldChar w:fldCharType="separate"/>
            </w:r>
            <w:r>
              <w:rPr>
                <w:noProof/>
                <w:webHidden/>
              </w:rPr>
              <w:t>61</w:t>
            </w:r>
            <w:r>
              <w:rPr>
                <w:noProof/>
                <w:webHidden/>
              </w:rPr>
              <w:fldChar w:fldCharType="end"/>
            </w:r>
          </w:hyperlink>
        </w:p>
        <w:p w14:paraId="2069E6E2" w14:textId="10E0DC49"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98" w:history="1">
            <w:r w:rsidRPr="000D6619">
              <w:rPr>
                <w:rStyle w:val="Hyperlink"/>
                <w:noProof/>
              </w:rPr>
              <w:t>References</w:t>
            </w:r>
            <w:r>
              <w:rPr>
                <w:noProof/>
                <w:webHidden/>
              </w:rPr>
              <w:tab/>
            </w:r>
            <w:r>
              <w:rPr>
                <w:noProof/>
                <w:webHidden/>
              </w:rPr>
              <w:fldChar w:fldCharType="begin"/>
            </w:r>
            <w:r>
              <w:rPr>
                <w:noProof/>
                <w:webHidden/>
              </w:rPr>
              <w:instrText xml:space="preserve"> PAGEREF _Toc241011098 \h </w:instrText>
            </w:r>
            <w:r>
              <w:rPr>
                <w:noProof/>
                <w:webHidden/>
              </w:rPr>
            </w:r>
            <w:r>
              <w:rPr>
                <w:noProof/>
                <w:webHidden/>
              </w:rPr>
              <w:fldChar w:fldCharType="separate"/>
            </w:r>
            <w:r>
              <w:rPr>
                <w:noProof/>
                <w:webHidden/>
              </w:rPr>
              <w:t>63</w:t>
            </w:r>
            <w:r>
              <w:rPr>
                <w:noProof/>
                <w:webHidden/>
              </w:rPr>
              <w:fldChar w:fldCharType="end"/>
            </w:r>
          </w:hyperlink>
        </w:p>
        <w:p w14:paraId="19CB24C0" w14:textId="5DB18743" w:rsidR="002D4B06" w:rsidRDefault="002D4B06">
          <w:pPr>
            <w:pStyle w:val="TOC1"/>
            <w:tabs>
              <w:tab w:val="right" w:leader="dot" w:pos="8296"/>
            </w:tabs>
            <w:rPr>
              <w:rFonts w:asciiTheme="minorHAnsi" w:eastAsiaTheme="minorEastAsia" w:hAnsiTheme="minorHAnsi" w:cstheme="minorBidi"/>
              <w:noProof/>
              <w:kern w:val="2"/>
              <w14:ligatures w14:val="standardContextual"/>
            </w:rPr>
          </w:pPr>
          <w:hyperlink w:anchor="_Toc241011099" w:history="1">
            <w:r w:rsidRPr="000D6619">
              <w:rPr>
                <w:rStyle w:val="Hyperlink"/>
                <w:rFonts w:eastAsiaTheme="majorEastAsia"/>
                <w:b/>
                <w:bCs/>
                <w:noProof/>
              </w:rPr>
              <w:t>Appendices</w:t>
            </w:r>
            <w:r>
              <w:rPr>
                <w:noProof/>
                <w:webHidden/>
              </w:rPr>
              <w:tab/>
            </w:r>
            <w:r>
              <w:rPr>
                <w:noProof/>
                <w:webHidden/>
              </w:rPr>
              <w:fldChar w:fldCharType="begin"/>
            </w:r>
            <w:r>
              <w:rPr>
                <w:noProof/>
                <w:webHidden/>
              </w:rPr>
              <w:instrText xml:space="preserve"> PAGEREF _Toc241011099 \h </w:instrText>
            </w:r>
            <w:r>
              <w:rPr>
                <w:noProof/>
                <w:webHidden/>
              </w:rPr>
            </w:r>
            <w:r>
              <w:rPr>
                <w:noProof/>
                <w:webHidden/>
              </w:rPr>
              <w:fldChar w:fldCharType="separate"/>
            </w:r>
            <w:r>
              <w:rPr>
                <w:noProof/>
                <w:webHidden/>
              </w:rPr>
              <w:t>77</w:t>
            </w:r>
            <w:r>
              <w:rPr>
                <w:noProof/>
                <w:webHidden/>
              </w:rPr>
              <w:fldChar w:fldCharType="end"/>
            </w:r>
          </w:hyperlink>
        </w:p>
        <w:p w14:paraId="214D9984" w14:textId="343BD303"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100" w:history="1">
            <w:r w:rsidRPr="000D6619">
              <w:rPr>
                <w:rStyle w:val="Hyperlink"/>
                <w:rFonts w:eastAsiaTheme="majorEastAsia" w:cs="Arial"/>
                <w:b/>
                <w:bCs/>
                <w:noProof/>
              </w:rPr>
              <w:t>Appendix 1 – Search Strategy and Eligibility Criteria</w:t>
            </w:r>
            <w:r>
              <w:rPr>
                <w:noProof/>
                <w:webHidden/>
              </w:rPr>
              <w:tab/>
            </w:r>
            <w:r>
              <w:rPr>
                <w:noProof/>
                <w:webHidden/>
              </w:rPr>
              <w:fldChar w:fldCharType="begin"/>
            </w:r>
            <w:r>
              <w:rPr>
                <w:noProof/>
                <w:webHidden/>
              </w:rPr>
              <w:instrText xml:space="preserve"> PAGEREF _Toc241011100 \h </w:instrText>
            </w:r>
            <w:r>
              <w:rPr>
                <w:noProof/>
                <w:webHidden/>
              </w:rPr>
            </w:r>
            <w:r>
              <w:rPr>
                <w:noProof/>
                <w:webHidden/>
              </w:rPr>
              <w:fldChar w:fldCharType="separate"/>
            </w:r>
            <w:r>
              <w:rPr>
                <w:noProof/>
                <w:webHidden/>
              </w:rPr>
              <w:t>77</w:t>
            </w:r>
            <w:r>
              <w:rPr>
                <w:noProof/>
                <w:webHidden/>
              </w:rPr>
              <w:fldChar w:fldCharType="end"/>
            </w:r>
          </w:hyperlink>
        </w:p>
        <w:p w14:paraId="39072689" w14:textId="7FA2EA72"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101" w:history="1">
            <w:r w:rsidRPr="000D6619">
              <w:rPr>
                <w:rStyle w:val="Hyperlink"/>
                <w:rFonts w:eastAsiaTheme="majorEastAsia" w:cs="Arial"/>
                <w:b/>
                <w:bCs/>
                <w:noProof/>
              </w:rPr>
              <w:t>Appendix 2 – PRISMA Study-Selection Evidence</w:t>
            </w:r>
            <w:r>
              <w:rPr>
                <w:noProof/>
                <w:webHidden/>
              </w:rPr>
              <w:tab/>
            </w:r>
            <w:r>
              <w:rPr>
                <w:noProof/>
                <w:webHidden/>
              </w:rPr>
              <w:fldChar w:fldCharType="begin"/>
            </w:r>
            <w:r>
              <w:rPr>
                <w:noProof/>
                <w:webHidden/>
              </w:rPr>
              <w:instrText xml:space="preserve"> PAGEREF _Toc241011101 \h </w:instrText>
            </w:r>
            <w:r>
              <w:rPr>
                <w:noProof/>
                <w:webHidden/>
              </w:rPr>
            </w:r>
            <w:r>
              <w:rPr>
                <w:noProof/>
                <w:webHidden/>
              </w:rPr>
              <w:fldChar w:fldCharType="separate"/>
            </w:r>
            <w:r>
              <w:rPr>
                <w:noProof/>
                <w:webHidden/>
              </w:rPr>
              <w:t>79</w:t>
            </w:r>
            <w:r>
              <w:rPr>
                <w:noProof/>
                <w:webHidden/>
              </w:rPr>
              <w:fldChar w:fldCharType="end"/>
            </w:r>
          </w:hyperlink>
        </w:p>
        <w:p w14:paraId="625E177B" w14:textId="7DD6716C"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102" w:history="1">
            <w:r w:rsidRPr="000D6619">
              <w:rPr>
                <w:rStyle w:val="Hyperlink"/>
                <w:rFonts w:eastAsiaTheme="majorEastAsia" w:cs="Arial"/>
                <w:b/>
                <w:bCs/>
                <w:noProof/>
              </w:rPr>
              <w:t>Appendix 3 – Critical Appraisal Summary</w:t>
            </w:r>
            <w:r>
              <w:rPr>
                <w:noProof/>
                <w:webHidden/>
              </w:rPr>
              <w:tab/>
            </w:r>
            <w:r>
              <w:rPr>
                <w:noProof/>
                <w:webHidden/>
              </w:rPr>
              <w:fldChar w:fldCharType="begin"/>
            </w:r>
            <w:r>
              <w:rPr>
                <w:noProof/>
                <w:webHidden/>
              </w:rPr>
              <w:instrText xml:space="preserve"> PAGEREF _Toc241011102 \h </w:instrText>
            </w:r>
            <w:r>
              <w:rPr>
                <w:noProof/>
                <w:webHidden/>
              </w:rPr>
            </w:r>
            <w:r>
              <w:rPr>
                <w:noProof/>
                <w:webHidden/>
              </w:rPr>
              <w:fldChar w:fldCharType="separate"/>
            </w:r>
            <w:r>
              <w:rPr>
                <w:noProof/>
                <w:webHidden/>
              </w:rPr>
              <w:t>80</w:t>
            </w:r>
            <w:r>
              <w:rPr>
                <w:noProof/>
                <w:webHidden/>
              </w:rPr>
              <w:fldChar w:fldCharType="end"/>
            </w:r>
          </w:hyperlink>
        </w:p>
        <w:p w14:paraId="4EB7AEFC" w14:textId="34A6273B"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103" w:history="1">
            <w:r w:rsidRPr="000D6619">
              <w:rPr>
                <w:rStyle w:val="Hyperlink"/>
                <w:rFonts w:eastAsiaTheme="majorEastAsia" w:cs="Arial"/>
                <w:b/>
                <w:bCs/>
                <w:noProof/>
              </w:rPr>
              <w:t>Appendix 4 – Full Data-Extraction Matrix</w:t>
            </w:r>
            <w:r>
              <w:rPr>
                <w:noProof/>
                <w:webHidden/>
              </w:rPr>
              <w:tab/>
            </w:r>
            <w:r>
              <w:rPr>
                <w:noProof/>
                <w:webHidden/>
              </w:rPr>
              <w:fldChar w:fldCharType="begin"/>
            </w:r>
            <w:r>
              <w:rPr>
                <w:noProof/>
                <w:webHidden/>
              </w:rPr>
              <w:instrText xml:space="preserve"> PAGEREF _Toc241011103 \h </w:instrText>
            </w:r>
            <w:r>
              <w:rPr>
                <w:noProof/>
                <w:webHidden/>
              </w:rPr>
            </w:r>
            <w:r>
              <w:rPr>
                <w:noProof/>
                <w:webHidden/>
              </w:rPr>
              <w:fldChar w:fldCharType="separate"/>
            </w:r>
            <w:r>
              <w:rPr>
                <w:noProof/>
                <w:webHidden/>
              </w:rPr>
              <w:t>82</w:t>
            </w:r>
            <w:r>
              <w:rPr>
                <w:noProof/>
                <w:webHidden/>
              </w:rPr>
              <w:fldChar w:fldCharType="end"/>
            </w:r>
          </w:hyperlink>
        </w:p>
        <w:p w14:paraId="77C0E990" w14:textId="41C97A45" w:rsidR="002D4B06" w:rsidRDefault="002D4B06">
          <w:pPr>
            <w:pStyle w:val="TOC2"/>
            <w:tabs>
              <w:tab w:val="right" w:leader="dot" w:pos="8296"/>
            </w:tabs>
            <w:rPr>
              <w:rFonts w:asciiTheme="minorHAnsi" w:eastAsiaTheme="minorEastAsia" w:hAnsiTheme="minorHAnsi"/>
              <w:noProof/>
              <w:kern w:val="2"/>
              <w:sz w:val="24"/>
              <w:szCs w:val="24"/>
              <w14:ligatures w14:val="standardContextual"/>
            </w:rPr>
          </w:pPr>
          <w:hyperlink w:anchor="_Toc241011104" w:history="1">
            <w:r w:rsidRPr="000D6619">
              <w:rPr>
                <w:rStyle w:val="Hyperlink"/>
                <w:rFonts w:eastAsiaTheme="majorEastAsia" w:cs="Arial"/>
                <w:b/>
                <w:bCs/>
                <w:noProof/>
              </w:rPr>
              <w:t>Appendix 5 – Thematic Analysis Audit Trail</w:t>
            </w:r>
            <w:r>
              <w:rPr>
                <w:noProof/>
                <w:webHidden/>
              </w:rPr>
              <w:tab/>
            </w:r>
            <w:r>
              <w:rPr>
                <w:noProof/>
                <w:webHidden/>
              </w:rPr>
              <w:fldChar w:fldCharType="begin"/>
            </w:r>
            <w:r>
              <w:rPr>
                <w:noProof/>
                <w:webHidden/>
              </w:rPr>
              <w:instrText xml:space="preserve"> PAGEREF _Toc241011104 \h </w:instrText>
            </w:r>
            <w:r>
              <w:rPr>
                <w:noProof/>
                <w:webHidden/>
              </w:rPr>
            </w:r>
            <w:r>
              <w:rPr>
                <w:noProof/>
                <w:webHidden/>
              </w:rPr>
              <w:fldChar w:fldCharType="separate"/>
            </w:r>
            <w:r>
              <w:rPr>
                <w:noProof/>
                <w:webHidden/>
              </w:rPr>
              <w:t>85</w:t>
            </w:r>
            <w:r>
              <w:rPr>
                <w:noProof/>
                <w:webHidden/>
              </w:rPr>
              <w:fldChar w:fldCharType="end"/>
            </w:r>
          </w:hyperlink>
        </w:p>
        <w:p w14:paraId="5659EEBD" w14:textId="3ECD285B" w:rsidR="00A429BD" w:rsidRPr="00C07BB7" w:rsidRDefault="00A429BD" w:rsidP="00462CB9">
          <w:pPr>
            <w:rPr>
              <w:rFonts w:cs="Arial"/>
            </w:rPr>
          </w:pPr>
          <w:r w:rsidRPr="00C07BB7">
            <w:rPr>
              <w:rFonts w:cs="Arial"/>
              <w:b/>
              <w:bCs/>
              <w:noProof/>
            </w:rPr>
            <w:fldChar w:fldCharType="end"/>
          </w:r>
        </w:p>
      </w:sdtContent>
    </w:sdt>
    <w:p w14:paraId="18292513" w14:textId="3E7CA290" w:rsidR="000D5753" w:rsidRPr="00C07BB7" w:rsidRDefault="000D5753" w:rsidP="00462CB9">
      <w:pPr>
        <w:rPr>
          <w:rFonts w:cs="Arial"/>
          <w:color w:val="000000" w:themeColor="text1"/>
        </w:rPr>
      </w:pPr>
    </w:p>
    <w:p w14:paraId="28019CE6" w14:textId="77777777" w:rsidR="00613093" w:rsidRPr="00C07BB7" w:rsidRDefault="00613093" w:rsidP="00462CB9">
      <w:pPr>
        <w:rPr>
          <w:rFonts w:cs="Arial"/>
          <w:color w:val="000000" w:themeColor="text1"/>
          <w:sz w:val="28"/>
        </w:rPr>
      </w:pPr>
      <w:r w:rsidRPr="00C07BB7">
        <w:rPr>
          <w:rFonts w:cs="Arial"/>
          <w:color w:val="000000" w:themeColor="text1"/>
          <w:sz w:val="28"/>
        </w:rPr>
        <w:br w:type="page"/>
      </w:r>
    </w:p>
    <w:p w14:paraId="676E87E7" w14:textId="05C3E4F9" w:rsidR="007748AF" w:rsidRPr="00C07BB7" w:rsidRDefault="00061744" w:rsidP="00462CB9">
      <w:pPr>
        <w:pStyle w:val="Heading1"/>
        <w:rPr>
          <w:rFonts w:cs="Arial"/>
        </w:rPr>
      </w:pPr>
      <w:bookmarkStart w:id="7" w:name="_Toc240666886"/>
      <w:bookmarkStart w:id="8" w:name="_Toc241011036"/>
      <w:r w:rsidRPr="00C07BB7">
        <w:rPr>
          <w:rFonts w:cs="Arial"/>
        </w:rPr>
        <w:t xml:space="preserve">Chapter </w:t>
      </w:r>
      <w:r w:rsidR="000B1451">
        <w:rPr>
          <w:rFonts w:cs="Arial"/>
        </w:rPr>
        <w:t>One</w:t>
      </w:r>
      <w:r w:rsidRPr="00C07BB7">
        <w:rPr>
          <w:rFonts w:cs="Arial"/>
        </w:rPr>
        <w:t>: Introduction</w:t>
      </w:r>
      <w:bookmarkEnd w:id="7"/>
      <w:bookmarkEnd w:id="8"/>
    </w:p>
    <w:p w14:paraId="65B8D7C8" w14:textId="7DC15447" w:rsidR="00D405A3" w:rsidRPr="004210D8" w:rsidRDefault="00D405A3" w:rsidP="00462CB9">
      <w:pPr>
        <w:pStyle w:val="Heading2"/>
        <w:rPr>
          <w:rFonts w:cs="Arial"/>
          <w:sz w:val="28"/>
          <w:szCs w:val="28"/>
        </w:rPr>
      </w:pPr>
      <w:bookmarkStart w:id="9" w:name="_Toc241011037"/>
      <w:bookmarkStart w:id="10" w:name="_Toc240666887"/>
      <w:r w:rsidRPr="004210D8">
        <w:rPr>
          <w:rFonts w:cs="Arial"/>
          <w:sz w:val="28"/>
          <w:szCs w:val="28"/>
        </w:rPr>
        <w:t>1.1 Introduction</w:t>
      </w:r>
      <w:bookmarkEnd w:id="9"/>
      <w:r w:rsidR="008131AA" w:rsidRPr="004210D8">
        <w:rPr>
          <w:rFonts w:cs="Arial"/>
          <w:sz w:val="28"/>
          <w:szCs w:val="28"/>
        </w:rPr>
        <w:t xml:space="preserve"> </w:t>
      </w:r>
      <w:bookmarkEnd w:id="10"/>
    </w:p>
    <w:p w14:paraId="7F3AF669" w14:textId="2C42AA34" w:rsidR="00D405A3" w:rsidRPr="00C07BB7" w:rsidRDefault="00FC5D04" w:rsidP="00462CB9">
      <w:pPr>
        <w:rPr>
          <w:rFonts w:cs="Arial"/>
          <w:color w:val="000000" w:themeColor="text1"/>
        </w:rPr>
      </w:pPr>
      <w:r w:rsidRPr="00C07BB7">
        <w:rPr>
          <w:rFonts w:cs="Arial"/>
          <w:color w:val="000000" w:themeColor="text1"/>
        </w:rPr>
        <w:t>Chronic kidney disease (CKD) is a condition where the kidneys are damaged or have a lower-than-normal level of function for more than 3 months. The KDIGO staging system is the most commonly used system for diagnosis and risk stratification. The routine tests are estimated glomerular filtration rate (eGFR) and urine albumin</w:t>
      </w:r>
      <w:r w:rsidRPr="00C07BB7">
        <w:rPr>
          <w:rFonts w:ascii="Cambria Math" w:hAnsi="Cambria Math" w:cs="Cambria Math"/>
          <w:color w:val="000000" w:themeColor="text1"/>
        </w:rPr>
        <w:t>‑</w:t>
      </w:r>
      <w:r w:rsidRPr="00C07BB7">
        <w:rPr>
          <w:rFonts w:cs="Arial"/>
          <w:color w:val="000000" w:themeColor="text1"/>
        </w:rPr>
        <w:t>to</w:t>
      </w:r>
      <w:r w:rsidRPr="00C07BB7">
        <w:rPr>
          <w:rFonts w:ascii="Cambria Math" w:hAnsi="Cambria Math" w:cs="Cambria Math"/>
          <w:color w:val="000000" w:themeColor="text1"/>
        </w:rPr>
        <w:t>‑</w:t>
      </w:r>
      <w:r w:rsidRPr="00C07BB7">
        <w:rPr>
          <w:rFonts w:cs="Arial"/>
          <w:color w:val="000000" w:themeColor="text1"/>
        </w:rPr>
        <w:t>creatinine ratio (</w:t>
      </w:r>
      <w:proofErr w:type="spellStart"/>
      <w:r w:rsidRPr="00C07BB7">
        <w:rPr>
          <w:rFonts w:cs="Arial"/>
          <w:color w:val="000000" w:themeColor="text1"/>
        </w:rPr>
        <w:t>uACR</w:t>
      </w:r>
      <w:proofErr w:type="spellEnd"/>
      <w:r w:rsidRPr="00C07BB7">
        <w:rPr>
          <w:rFonts w:cs="Arial"/>
          <w:color w:val="000000" w:themeColor="text1"/>
        </w:rPr>
        <w:t>) which, when used together, enhances the prediction of progression and cardiovascular risk.</w:t>
      </w:r>
      <w:r w:rsidR="00D405A3" w:rsidRPr="00C07BB7">
        <w:rPr>
          <w:rFonts w:cs="Arial"/>
          <w:color w:val="000000" w:themeColor="text1"/>
        </w:rPr>
        <w:t xml:space="preserve"> This multimodal approach is essential because the level of risk can vary among patients with identical eGFR based on their albuminuria, underlying cause/condition and comorbidities (Levin et al., 2024). In its early stages, CKD may not have any signs or symptoms, and the disease may only be detected when complications or significant loss of kidney function develops (Stewart et al., 2024). It is therefore a clinical and public health issue that needs to be addressed in a timely manner and managed sustainably during healthcare services in the UK.</w:t>
      </w:r>
    </w:p>
    <w:p w14:paraId="140C036C" w14:textId="4DC2291C" w:rsidR="00D405A3" w:rsidRPr="00C07BB7" w:rsidRDefault="00D405A3" w:rsidP="00462CB9">
      <w:pPr>
        <w:rPr>
          <w:rFonts w:cs="Arial"/>
          <w:color w:val="000000" w:themeColor="text1"/>
        </w:rPr>
      </w:pPr>
      <w:r w:rsidRPr="00C07BB7">
        <w:rPr>
          <w:rFonts w:cs="Arial"/>
          <w:color w:val="000000" w:themeColor="text1"/>
        </w:rPr>
        <w:t>Some people may develop symptoms as their kidneys do not work as well, including symptoms of fatigue, swelling, loss of appetite, itching or changes in how much they pass urine, but this is not a diagnosis that only applies to kidney failure or CKD (World Health Organi</w:t>
      </w:r>
      <w:r w:rsidR="005F7DA1" w:rsidRPr="00C07BB7">
        <w:rPr>
          <w:rFonts w:cs="Arial"/>
          <w:color w:val="000000" w:themeColor="text1"/>
        </w:rPr>
        <w:t>z</w:t>
      </w:r>
      <w:r w:rsidRPr="00C07BB7">
        <w:rPr>
          <w:rFonts w:cs="Arial"/>
          <w:color w:val="000000" w:themeColor="text1"/>
        </w:rPr>
        <w:t xml:space="preserve">ation, 2026). It is particularly challenging to make a diagnosis in older adults with several other medical issues, as some symptoms can be the result of both cardiovascular and metabolic or other chronic disease (Stewart et al., 2024). Therefore, symptoms are not enough for diagnosis and must be backed up by blood and urine tests. The clinical importance of early identification lies in the fact that CKD has an association with cardiovascular disease, </w:t>
      </w:r>
      <w:proofErr w:type="spellStart"/>
      <w:r w:rsidRPr="00C07BB7">
        <w:rPr>
          <w:rFonts w:cs="Arial"/>
          <w:color w:val="000000" w:themeColor="text1"/>
        </w:rPr>
        <w:t>anaemia</w:t>
      </w:r>
      <w:proofErr w:type="spellEnd"/>
      <w:r w:rsidRPr="00C07BB7">
        <w:rPr>
          <w:rFonts w:cs="Arial"/>
          <w:color w:val="000000" w:themeColor="text1"/>
        </w:rPr>
        <w:t>, diminished quality of life and early mortality (Levin et al., 2024). Thus, the condition has to be seen in the broader picture beyond just progressive renal impairment. This view encourages preventative measures to be taken prior to the onset of kidney failure or other complications arising in the standard of care pathway.</w:t>
      </w:r>
    </w:p>
    <w:p w14:paraId="2BEC01A7" w14:textId="77777777" w:rsidR="00D405A3" w:rsidRPr="00575BD2" w:rsidRDefault="00D405A3" w:rsidP="00462CB9">
      <w:pPr>
        <w:pStyle w:val="Heading2"/>
        <w:rPr>
          <w:rFonts w:cs="Arial"/>
          <w:sz w:val="28"/>
          <w:szCs w:val="28"/>
        </w:rPr>
      </w:pPr>
      <w:bookmarkStart w:id="11" w:name="_Toc240666888"/>
      <w:bookmarkStart w:id="12" w:name="_Toc241011038"/>
      <w:r w:rsidRPr="00575BD2">
        <w:rPr>
          <w:rFonts w:cs="Arial"/>
          <w:sz w:val="28"/>
          <w:szCs w:val="28"/>
        </w:rPr>
        <w:t>1.2 Background of the Study</w:t>
      </w:r>
      <w:bookmarkEnd w:id="11"/>
      <w:bookmarkEnd w:id="12"/>
    </w:p>
    <w:p w14:paraId="18083F15" w14:textId="10D194E6" w:rsidR="00D405A3" w:rsidRPr="00C07BB7" w:rsidRDefault="00F92F56" w:rsidP="00462CB9">
      <w:pPr>
        <w:rPr>
          <w:rFonts w:cs="Arial"/>
          <w:color w:val="000000" w:themeColor="text1"/>
        </w:rPr>
      </w:pPr>
      <w:r w:rsidRPr="00C07BB7">
        <w:rPr>
          <w:rFonts w:cs="Arial"/>
          <w:color w:val="000000" w:themeColor="text1"/>
        </w:rPr>
        <w:t>With an ageing global population occurring at a greater rate and the increasing prevalence of diabetes, hypertension and obesity, the burden of CKD on our health system is growing in significance as a non-communicable disease.</w:t>
      </w:r>
      <w:r w:rsidR="00530A72" w:rsidRPr="00C07BB7">
        <w:rPr>
          <w:rFonts w:cs="Arial"/>
          <w:color w:val="000000" w:themeColor="text1"/>
        </w:rPr>
        <w:t xml:space="preserve"> </w:t>
      </w:r>
      <w:r w:rsidR="00D405A3" w:rsidRPr="00C07BB7">
        <w:rPr>
          <w:rFonts w:cs="Arial"/>
          <w:color w:val="000000" w:themeColor="text1"/>
        </w:rPr>
        <w:t>In the Global Burden of Disease, the estimated prevalence of adults aged 20 years and older with CKD in 2023 was 788 million, compared to 378 million in 1990, and an age-</w:t>
      </w:r>
      <w:proofErr w:type="spellStart"/>
      <w:r w:rsidR="00D405A3" w:rsidRPr="00C07BB7">
        <w:rPr>
          <w:rFonts w:cs="Arial"/>
          <w:color w:val="000000" w:themeColor="text1"/>
        </w:rPr>
        <w:t>standardised</w:t>
      </w:r>
      <w:proofErr w:type="spellEnd"/>
      <w:r w:rsidR="00D405A3" w:rsidRPr="00C07BB7">
        <w:rPr>
          <w:rFonts w:cs="Arial"/>
          <w:color w:val="000000" w:themeColor="text1"/>
        </w:rPr>
        <w:t xml:space="preserve"> prevalence of 14.2%</w:t>
      </w:r>
      <w:r w:rsidR="00DF6E77" w:rsidRPr="00C07BB7">
        <w:rPr>
          <w:rFonts w:cs="Arial"/>
          <w:color w:val="000000" w:themeColor="text1"/>
        </w:rPr>
        <w:t xml:space="preserve"> (</w:t>
      </w:r>
      <w:proofErr w:type="spellStart"/>
      <w:r w:rsidR="00DF6E77" w:rsidRPr="00C07BB7">
        <w:rPr>
          <w:rFonts w:cs="Arial"/>
          <w:color w:val="000000" w:themeColor="text1"/>
        </w:rPr>
        <w:t>Healthdata</w:t>
      </w:r>
      <w:proofErr w:type="spellEnd"/>
      <w:r w:rsidR="00DF6E77" w:rsidRPr="00C07BB7">
        <w:rPr>
          <w:rFonts w:cs="Arial"/>
          <w:color w:val="000000" w:themeColor="text1"/>
        </w:rPr>
        <w:t>, 2023)</w:t>
      </w:r>
      <w:r w:rsidR="00D405A3" w:rsidRPr="00C07BB7">
        <w:rPr>
          <w:rFonts w:cs="Arial"/>
          <w:color w:val="000000" w:themeColor="text1"/>
        </w:rPr>
        <w:t xml:space="preserve">. The estimate is used as it clearly specifies the population and the year (and the analytical method, too), without giving rise to confusion due to the presentation of incomparable global data without an explanation. The rise is proof that </w:t>
      </w:r>
      <w:r w:rsidR="006D7325" w:rsidRPr="00C07BB7">
        <w:rPr>
          <w:rFonts w:cs="Arial"/>
          <w:color w:val="000000" w:themeColor="text1"/>
        </w:rPr>
        <w:t>“CKD is not confined to specialist clinical practice but represents a substantial population-health concern</w:t>
      </w:r>
      <w:r w:rsidR="00D405A3" w:rsidRPr="00C07BB7">
        <w:rPr>
          <w:rFonts w:cs="Arial"/>
          <w:color w:val="000000" w:themeColor="text1"/>
        </w:rPr>
        <w:t>, but rather a significant population health concern that will impact the need for prevention, diagnosis, capacity building, long-term treatment and costs to healthcare systems in many countries over the coming decades around the world.</w:t>
      </w:r>
    </w:p>
    <w:p w14:paraId="0F68D330" w14:textId="25E5F19F" w:rsidR="00D405A3" w:rsidRPr="00C07BB7" w:rsidRDefault="00D405A3" w:rsidP="00462CB9">
      <w:pPr>
        <w:rPr>
          <w:rFonts w:cs="Arial"/>
          <w:color w:val="000000" w:themeColor="text1"/>
        </w:rPr>
      </w:pPr>
      <w:r w:rsidRPr="00C07BB7">
        <w:rPr>
          <w:rFonts w:cs="Arial"/>
          <w:color w:val="000000" w:themeColor="text1"/>
        </w:rPr>
        <w:t xml:space="preserve">The burden of CKD is an interplay between clinical, </w:t>
      </w:r>
      <w:proofErr w:type="spellStart"/>
      <w:r w:rsidRPr="00C07BB7">
        <w:rPr>
          <w:rFonts w:cs="Arial"/>
          <w:color w:val="000000" w:themeColor="text1"/>
        </w:rPr>
        <w:t>behavioural</w:t>
      </w:r>
      <w:proofErr w:type="spellEnd"/>
      <w:r w:rsidRPr="00C07BB7">
        <w:rPr>
          <w:rFonts w:cs="Arial"/>
          <w:color w:val="000000" w:themeColor="text1"/>
        </w:rPr>
        <w:t xml:space="preserve"> and social determinants. Diabetes and hypertension are still leading causes of disease onset and progression, and obesity, cardiovascular disease and ageing are further risk factors that increase vulnerability (</w:t>
      </w:r>
      <w:proofErr w:type="spellStart"/>
      <w:r w:rsidRPr="00C07BB7">
        <w:rPr>
          <w:rFonts w:cs="Arial"/>
          <w:color w:val="000000" w:themeColor="text1"/>
        </w:rPr>
        <w:t>Mallamaci</w:t>
      </w:r>
      <w:proofErr w:type="spellEnd"/>
      <w:r w:rsidRPr="00C07BB7">
        <w:rPr>
          <w:rFonts w:cs="Arial"/>
          <w:color w:val="000000" w:themeColor="text1"/>
        </w:rPr>
        <w:t xml:space="preserve"> and </w:t>
      </w:r>
      <w:proofErr w:type="spellStart"/>
      <w:r w:rsidRPr="00C07BB7">
        <w:rPr>
          <w:rFonts w:cs="Arial"/>
          <w:color w:val="000000" w:themeColor="text1"/>
        </w:rPr>
        <w:t>Tripepi</w:t>
      </w:r>
      <w:proofErr w:type="spellEnd"/>
      <w:r w:rsidRPr="00C07BB7">
        <w:rPr>
          <w:rFonts w:cs="Arial"/>
          <w:color w:val="000000" w:themeColor="text1"/>
        </w:rPr>
        <w:t xml:space="preserve">, 2024). Socioeconomic disadvantage can exacerbate risk through its effect on diet, exposure to poor environments and access to preventive services and continuity of care (Stewart et al., 2024). </w:t>
      </w:r>
      <w:r w:rsidR="00A425C2" w:rsidRPr="00C07BB7">
        <w:rPr>
          <w:rFonts w:cs="Arial"/>
          <w:color w:val="000000" w:themeColor="text1"/>
        </w:rPr>
        <w:t>Managing CKD is a multifaceted process, and treatment cannot only slow down the decline of kidney function. Typically consists of blood pressure and diabetes control, cardiovascular risk reduction, lifestyle support, and regular monitoring that depends on the severity of the disease (Levin et al., 2024).</w:t>
      </w:r>
      <w:r w:rsidRPr="00C07BB7">
        <w:rPr>
          <w:rFonts w:cs="Arial"/>
          <w:color w:val="000000" w:themeColor="text1"/>
        </w:rPr>
        <w:t xml:space="preserve"> If a person reaches kidney failure stage, then dialysis, transplant or maintaining the kidneys (conservative treatment) may be recommended based on clinical and patient preference (Stevens et al., 2024). These requirements put on-going clinical, </w:t>
      </w:r>
      <w:proofErr w:type="spellStart"/>
      <w:r w:rsidRPr="00C07BB7">
        <w:rPr>
          <w:rFonts w:cs="Arial"/>
          <w:color w:val="000000" w:themeColor="text1"/>
        </w:rPr>
        <w:t>organisational</w:t>
      </w:r>
      <w:proofErr w:type="spellEnd"/>
      <w:r w:rsidRPr="00C07BB7">
        <w:rPr>
          <w:rFonts w:cs="Arial"/>
          <w:color w:val="000000" w:themeColor="text1"/>
        </w:rPr>
        <w:t xml:space="preserve"> and financial strain on the modern healthcare system in today's world.</w:t>
      </w:r>
    </w:p>
    <w:p w14:paraId="437A81A6" w14:textId="29C4A6B6" w:rsidR="00D405A3" w:rsidRPr="00D863A2" w:rsidRDefault="00D405A3" w:rsidP="00462CB9">
      <w:pPr>
        <w:pStyle w:val="Heading2"/>
        <w:rPr>
          <w:rFonts w:cs="Arial"/>
          <w:sz w:val="28"/>
          <w:szCs w:val="28"/>
        </w:rPr>
      </w:pPr>
      <w:bookmarkStart w:id="13" w:name="_Toc240666889"/>
      <w:bookmarkStart w:id="14" w:name="_Toc241011039"/>
      <w:r w:rsidRPr="00D863A2">
        <w:rPr>
          <w:rFonts w:cs="Arial"/>
          <w:sz w:val="28"/>
          <w:szCs w:val="28"/>
        </w:rPr>
        <w:t>1.3</w:t>
      </w:r>
      <w:r w:rsidR="00C765C5">
        <w:rPr>
          <w:rFonts w:cs="Arial"/>
          <w:sz w:val="28"/>
          <w:szCs w:val="28"/>
        </w:rPr>
        <w:t xml:space="preserve"> The</w:t>
      </w:r>
      <w:r w:rsidRPr="00D863A2">
        <w:rPr>
          <w:rFonts w:cs="Arial"/>
          <w:sz w:val="28"/>
          <w:szCs w:val="28"/>
        </w:rPr>
        <w:t xml:space="preserve"> UK Context</w:t>
      </w:r>
      <w:bookmarkEnd w:id="13"/>
      <w:bookmarkEnd w:id="14"/>
    </w:p>
    <w:p w14:paraId="4DCC9366" w14:textId="458D1F2D" w:rsidR="00D405A3" w:rsidRPr="00C07BB7" w:rsidRDefault="00943CFD" w:rsidP="00462CB9">
      <w:pPr>
        <w:rPr>
          <w:rFonts w:cs="Arial"/>
          <w:color w:val="000000" w:themeColor="text1"/>
        </w:rPr>
      </w:pPr>
      <w:r w:rsidRPr="00C07BB7">
        <w:rPr>
          <w:rFonts w:cs="Arial"/>
        </w:rPr>
        <w:t>Based on national estimates, several million adults in the UK may have CKD, but the number of people with coded diagnoses and diagnosed with CKD is much lower. For example, the estimated number of people with kidney disease at all stages was around 7.2 million by Kidney Research</w:t>
      </w:r>
      <w:r w:rsidR="00F64A0E">
        <w:rPr>
          <w:rFonts w:cs="Arial"/>
        </w:rPr>
        <w:t xml:space="preserve"> in the</w:t>
      </w:r>
      <w:r w:rsidRPr="00C07BB7">
        <w:rPr>
          <w:rFonts w:cs="Arial"/>
        </w:rPr>
        <w:t xml:space="preserve"> UK (2023) and survey and EHR data reveal significant disparities between the prevalence as defined by the laboratory and the number of people diagnosed with kidney disease. These differences account for underdiagnosis, differences in coding and variable testing, and have implications for surveillance, service planning, and for equitable access to care.</w:t>
      </w:r>
      <w:r w:rsidR="00D405A3" w:rsidRPr="00C07BB7">
        <w:rPr>
          <w:rFonts w:cs="Arial"/>
          <w:color w:val="000000" w:themeColor="text1"/>
        </w:rPr>
        <w:t xml:space="preserve"> These numbers highlight the recognition gap, and their meaning is a reminder that prevalence rates based on objective tests may be higher than those </w:t>
      </w:r>
      <w:r w:rsidR="00982206" w:rsidRPr="00C07BB7">
        <w:rPr>
          <w:rFonts w:cs="Arial"/>
          <w:color w:val="000000" w:themeColor="text1"/>
        </w:rPr>
        <w:t>identified through self-reported awareness of a medical diagnosis</w:t>
      </w:r>
      <w:r w:rsidR="00D405A3" w:rsidRPr="00C07BB7">
        <w:rPr>
          <w:rFonts w:cs="Arial"/>
          <w:color w:val="000000" w:themeColor="text1"/>
        </w:rPr>
        <w:t>, particularly at early stages of the disease.</w:t>
      </w:r>
    </w:p>
    <w:p w14:paraId="3C3F7E95" w14:textId="73E28740" w:rsidR="00D405A3" w:rsidRPr="00C07BB7" w:rsidRDefault="006D7325" w:rsidP="00462CB9">
      <w:pPr>
        <w:rPr>
          <w:rFonts w:cs="Arial"/>
          <w:color w:val="000000" w:themeColor="text1"/>
        </w:rPr>
      </w:pPr>
      <w:r w:rsidRPr="00C07BB7">
        <w:rPr>
          <w:rFonts w:cs="Arial"/>
          <w:color w:val="000000" w:themeColor="text1"/>
        </w:rPr>
        <w:t>The UK should not be regarded as a homogeneous healthcare context</w:t>
      </w:r>
      <w:r w:rsidR="00D405A3" w:rsidRPr="00C07BB7">
        <w:rPr>
          <w:rFonts w:cs="Arial"/>
          <w:color w:val="000000" w:themeColor="text1"/>
        </w:rPr>
        <w:t xml:space="preserve">, as England, Scotland, Wales &amp; Northern Ireland all have different population profiles, service </w:t>
      </w:r>
      <w:proofErr w:type="spellStart"/>
      <w:r w:rsidR="00D405A3" w:rsidRPr="00C07BB7">
        <w:rPr>
          <w:rFonts w:cs="Arial"/>
          <w:color w:val="000000" w:themeColor="text1"/>
        </w:rPr>
        <w:t>organisation</w:t>
      </w:r>
      <w:proofErr w:type="spellEnd"/>
      <w:r w:rsidR="00D405A3" w:rsidRPr="00C07BB7">
        <w:rPr>
          <w:rFonts w:cs="Arial"/>
          <w:color w:val="000000" w:themeColor="text1"/>
        </w:rPr>
        <w:t xml:space="preserve">, surveillance systems and availability of data. The CKD action plan for Scotland highlights several areas where there is a lack of information regarding the diagnosis, treatment and progression of the disease (Kidney Research UK, 2024). There were 93,722 diagnosed cases of CKD and an estimated 160,037 people with stages 3–5 CKD in Wales, suggesting there is a gap between the number of people with a diagnosed CKD and </w:t>
      </w:r>
      <w:r w:rsidR="003C6B20" w:rsidRPr="00C07BB7">
        <w:rPr>
          <w:rFonts w:cs="Arial"/>
          <w:color w:val="000000" w:themeColor="text1"/>
        </w:rPr>
        <w:t xml:space="preserve">those estimated to be living with stages 3–5 CKD </w:t>
      </w:r>
      <w:r w:rsidR="00D405A3" w:rsidRPr="00C07BB7">
        <w:rPr>
          <w:rFonts w:cs="Arial"/>
          <w:color w:val="000000" w:themeColor="text1"/>
        </w:rPr>
        <w:t>(Health Technology Wales, 2024). There were 79,098 individuals with a reported CKD in Northern Ireland in 2022/23, although the extent of reporting in Northern Ireland is less comprehensive than in England (Ulster University, 2024). Such differences prevent direct comparison, but make it legitimate to create a synthesis of experiences for the UK, which could highlight a common set of issues, as well as areas of regional disparity within the UK and priorities for enhanced surveillance and service coordination.</w:t>
      </w:r>
    </w:p>
    <w:p w14:paraId="6AE7DB64" w14:textId="77777777" w:rsidR="00D405A3" w:rsidRPr="00E63F82" w:rsidRDefault="00D405A3" w:rsidP="00462CB9">
      <w:pPr>
        <w:pStyle w:val="Heading2"/>
        <w:rPr>
          <w:rFonts w:cs="Arial"/>
          <w:sz w:val="28"/>
          <w:szCs w:val="28"/>
        </w:rPr>
      </w:pPr>
      <w:bookmarkStart w:id="15" w:name="_Toc240666890"/>
      <w:bookmarkStart w:id="16" w:name="_Toc241011040"/>
      <w:r w:rsidRPr="00E63F82">
        <w:rPr>
          <w:rFonts w:cs="Arial"/>
          <w:sz w:val="28"/>
          <w:szCs w:val="28"/>
        </w:rPr>
        <w:t>1.4 Overview of Risk Factors and Management Strategies</w:t>
      </w:r>
      <w:bookmarkEnd w:id="15"/>
      <w:bookmarkEnd w:id="16"/>
    </w:p>
    <w:p w14:paraId="5BD86D2F" w14:textId="773A817E" w:rsidR="00D405A3" w:rsidRPr="00C07BB7" w:rsidRDefault="00D405A3" w:rsidP="00462CB9">
      <w:pPr>
        <w:rPr>
          <w:rFonts w:cs="Arial"/>
          <w:color w:val="000000" w:themeColor="text1"/>
        </w:rPr>
      </w:pPr>
      <w:r w:rsidRPr="00C07BB7">
        <w:rPr>
          <w:rFonts w:cs="Arial"/>
          <w:color w:val="000000" w:themeColor="text1"/>
        </w:rPr>
        <w:t>Diabetes, hypertension, obesity, ageing, cardiovascular diseases, and smoking are the main risk factors for CKD among</w:t>
      </w:r>
      <w:r w:rsidR="00C765C5">
        <w:rPr>
          <w:rFonts w:cs="Arial"/>
          <w:color w:val="000000" w:themeColor="text1"/>
        </w:rPr>
        <w:t xml:space="preserve"> the</w:t>
      </w:r>
      <w:r w:rsidRPr="00C07BB7">
        <w:rPr>
          <w:rFonts w:cs="Arial"/>
          <w:color w:val="000000" w:themeColor="text1"/>
        </w:rPr>
        <w:t xml:space="preserve"> UK adults (</w:t>
      </w:r>
      <w:proofErr w:type="spellStart"/>
      <w:r w:rsidRPr="00C07BB7">
        <w:rPr>
          <w:rFonts w:cs="Arial"/>
          <w:color w:val="000000" w:themeColor="text1"/>
        </w:rPr>
        <w:t>Mallamaci</w:t>
      </w:r>
      <w:proofErr w:type="spellEnd"/>
      <w:r w:rsidRPr="00C07BB7">
        <w:rPr>
          <w:rFonts w:cs="Arial"/>
          <w:color w:val="000000" w:themeColor="text1"/>
        </w:rPr>
        <w:t xml:space="preserve"> and </w:t>
      </w:r>
      <w:proofErr w:type="spellStart"/>
      <w:r w:rsidRPr="00C07BB7">
        <w:rPr>
          <w:rFonts w:cs="Arial"/>
          <w:color w:val="000000" w:themeColor="text1"/>
        </w:rPr>
        <w:t>Tripepi</w:t>
      </w:r>
      <w:proofErr w:type="spellEnd"/>
      <w:r w:rsidRPr="00C07BB7">
        <w:rPr>
          <w:rFonts w:cs="Arial"/>
          <w:color w:val="000000" w:themeColor="text1"/>
        </w:rPr>
        <w:t xml:space="preserve">, 2024). Diabetes and hypertension are especially relevant due to potential chronic hyperglycemia and chronically elevated BP, which can cause destruction of renal blood vessels and filtration structures (Levin et al., 2024). Ethnicity and socioeconomic disadvantage are also important, as this can play a role in the prevalence of diabetes, control of hypertension, diabetes testing and continuity of care (Stewart et al., 2024). The influences are often interwoven, and not always unique. Such as poorer access to preventive services or healthy food, and higher exposure to unhealthy environments (Stewart et al., 2024). Thus, the risk of developing CKD should be evaluated via biological, </w:t>
      </w:r>
      <w:proofErr w:type="spellStart"/>
      <w:r w:rsidRPr="00C07BB7">
        <w:rPr>
          <w:rFonts w:cs="Arial"/>
          <w:color w:val="000000" w:themeColor="text1"/>
        </w:rPr>
        <w:t>behavioural</w:t>
      </w:r>
      <w:proofErr w:type="spellEnd"/>
      <w:r w:rsidRPr="00C07BB7">
        <w:rPr>
          <w:rFonts w:cs="Arial"/>
          <w:color w:val="000000" w:themeColor="text1"/>
        </w:rPr>
        <w:t xml:space="preserve"> and healthcare avenues instead of individual lifestyle choices.</w:t>
      </w:r>
    </w:p>
    <w:p w14:paraId="404ED189" w14:textId="78622506" w:rsidR="00613093" w:rsidRPr="00C07BB7" w:rsidRDefault="00C52902" w:rsidP="00462CB9">
      <w:pPr>
        <w:rPr>
          <w:rFonts w:cs="Arial"/>
          <w:color w:val="000000" w:themeColor="text1"/>
        </w:rPr>
      </w:pPr>
      <w:r w:rsidRPr="00C07BB7">
        <w:rPr>
          <w:rFonts w:cs="Arial"/>
          <w:color w:val="000000" w:themeColor="text1"/>
        </w:rPr>
        <w:t>CKD management</w:t>
      </w:r>
      <w:r w:rsidR="00D405A3" w:rsidRPr="00C07BB7">
        <w:rPr>
          <w:rFonts w:cs="Arial"/>
          <w:color w:val="000000" w:themeColor="text1"/>
        </w:rPr>
        <w:t xml:space="preserve"> is a combination of pharmacological, lifestyle and service level interventions, chosen based on disease stage, albuminuria, underlying cause and comorbidities (Stevens et al., 2024). Key strategies are to monitor eGFR and </w:t>
      </w:r>
      <w:proofErr w:type="spellStart"/>
      <w:r w:rsidR="00D405A3" w:rsidRPr="00C07BB7">
        <w:rPr>
          <w:rFonts w:cs="Arial"/>
          <w:color w:val="000000" w:themeColor="text1"/>
        </w:rPr>
        <w:t>uACR</w:t>
      </w:r>
      <w:proofErr w:type="spellEnd"/>
      <w:r w:rsidR="00D405A3" w:rsidRPr="00C07BB7">
        <w:rPr>
          <w:rFonts w:cs="Arial"/>
          <w:color w:val="000000" w:themeColor="text1"/>
        </w:rPr>
        <w:t>, control hypertension and diabetes, reduce cardiovascular risk, and, if clinically indicated, to use kidney protective medications (Levin et al., 2024</w:t>
      </w:r>
      <w:r w:rsidR="009D3822" w:rsidRPr="00C07BB7">
        <w:rPr>
          <w:rFonts w:cs="Arial"/>
        </w:rPr>
        <w:t xml:space="preserve"> Lifestyle interventions (dietary change, weight management, smoking cessation, physical activity) are suggested to be useful elements of the care of people with CKD, but high-quality trials demonstrating long-term renal benefit are few and far between in the UK. Digital self</w:t>
      </w:r>
      <w:r w:rsidR="009D3822" w:rsidRPr="00C07BB7">
        <w:rPr>
          <w:rFonts w:ascii="Cambria Math" w:hAnsi="Cambria Math" w:cs="Cambria Math"/>
        </w:rPr>
        <w:t>‑</w:t>
      </w:r>
      <w:r w:rsidR="009D3822" w:rsidRPr="00C07BB7">
        <w:rPr>
          <w:rFonts w:cs="Arial"/>
        </w:rPr>
        <w:t>management tools demonstrate short</w:t>
      </w:r>
      <w:r w:rsidR="009D3822" w:rsidRPr="00C07BB7">
        <w:rPr>
          <w:rFonts w:ascii="Cambria Math" w:hAnsi="Cambria Math" w:cs="Cambria Math"/>
        </w:rPr>
        <w:t>‑</w:t>
      </w:r>
      <w:r w:rsidR="009D3822" w:rsidRPr="00C07BB7">
        <w:rPr>
          <w:rFonts w:cs="Arial"/>
        </w:rPr>
        <w:t xml:space="preserve">term benefits of activity and </w:t>
      </w:r>
      <w:r w:rsidR="009642A4" w:rsidRPr="00C07BB7">
        <w:rPr>
          <w:rFonts w:cs="Arial"/>
        </w:rPr>
        <w:t>knowledge,</w:t>
      </w:r>
      <w:r w:rsidR="009D3822" w:rsidRPr="00C07BB7">
        <w:rPr>
          <w:rFonts w:cs="Arial"/>
        </w:rPr>
        <w:t xml:space="preserve"> but trials are limited in population, size and length, reducing </w:t>
      </w:r>
      <w:proofErr w:type="spellStart"/>
      <w:r w:rsidR="009D3822" w:rsidRPr="00C07BB7">
        <w:rPr>
          <w:rFonts w:cs="Arial"/>
        </w:rPr>
        <w:t>generalisability</w:t>
      </w:r>
      <w:proofErr w:type="spellEnd"/>
      <w:r w:rsidR="009D3822" w:rsidRPr="00C07BB7">
        <w:rPr>
          <w:rFonts w:cs="Arial"/>
        </w:rPr>
        <w:t xml:space="preserve"> to older and deprived populations. Future research should focus on inclusive, pragmatic trials with process evaluations, and pay attention to access, health literacy and multimorbidity aspects of patient-centered care.</w:t>
      </w:r>
      <w:r w:rsidR="00D405A3" w:rsidRPr="00C07BB7">
        <w:rPr>
          <w:rFonts w:cs="Arial"/>
          <w:color w:val="000000" w:themeColor="text1"/>
        </w:rPr>
        <w:t xml:space="preserve"> This chapter contains the background information required to </w:t>
      </w:r>
      <w:r w:rsidR="00F94D42" w:rsidRPr="00C07BB7">
        <w:rPr>
          <w:rFonts w:cs="Arial"/>
          <w:color w:val="000000" w:themeColor="text1"/>
        </w:rPr>
        <w:t>identify</w:t>
      </w:r>
      <w:r w:rsidR="00D405A3" w:rsidRPr="00C07BB7">
        <w:rPr>
          <w:rFonts w:cs="Arial"/>
          <w:color w:val="000000" w:themeColor="text1"/>
        </w:rPr>
        <w:t xml:space="preserve"> the scope and rationale for this study, which will be critically examined in Chapter Two.</w:t>
      </w:r>
    </w:p>
    <w:p w14:paraId="2B1701F4" w14:textId="77777777" w:rsidR="00F4228A" w:rsidRPr="00FB4D98" w:rsidRDefault="00F4228A" w:rsidP="00462CB9">
      <w:pPr>
        <w:pStyle w:val="Heading2"/>
        <w:rPr>
          <w:rFonts w:cs="Arial"/>
          <w:sz w:val="28"/>
          <w:szCs w:val="28"/>
        </w:rPr>
      </w:pPr>
      <w:bookmarkStart w:id="17" w:name="_Toc240666891"/>
      <w:bookmarkStart w:id="18" w:name="_Toc241011041"/>
      <w:r w:rsidRPr="00FB4D98">
        <w:rPr>
          <w:rFonts w:cs="Arial"/>
          <w:sz w:val="28"/>
          <w:szCs w:val="28"/>
        </w:rPr>
        <w:t>1.5 Research Rationale</w:t>
      </w:r>
      <w:bookmarkEnd w:id="17"/>
      <w:bookmarkEnd w:id="18"/>
    </w:p>
    <w:p w14:paraId="655C226A" w14:textId="20EEB6D9" w:rsidR="00F4228A" w:rsidRPr="00C07BB7" w:rsidRDefault="00F4228A" w:rsidP="00462CB9">
      <w:pPr>
        <w:rPr>
          <w:rFonts w:cs="Arial"/>
          <w:color w:val="000000" w:themeColor="text1"/>
        </w:rPr>
      </w:pPr>
      <w:r w:rsidRPr="00C07BB7">
        <w:rPr>
          <w:rFonts w:cs="Arial"/>
          <w:color w:val="000000" w:themeColor="text1"/>
        </w:rPr>
        <w:t xml:space="preserve">Although CKD is a significant clinical burden in the UK, there are key unmet areas with respect to detection, awareness, monitoring and implementation of evidence-based CKD care. Knowledge of the proportion of people with the disease, obtained through objective testing, could detect a far greater number of cases than what is known about the number of people who have had a diagnosis (NHS Digital, 2024; Kidney Research UK, 2024), and data availability and service </w:t>
      </w:r>
      <w:proofErr w:type="spellStart"/>
      <w:r w:rsidRPr="00C07BB7">
        <w:rPr>
          <w:rFonts w:cs="Arial"/>
          <w:color w:val="000000" w:themeColor="text1"/>
        </w:rPr>
        <w:t>organisation</w:t>
      </w:r>
      <w:proofErr w:type="spellEnd"/>
      <w:r w:rsidRPr="00C07BB7">
        <w:rPr>
          <w:rFonts w:cs="Arial"/>
          <w:color w:val="000000" w:themeColor="text1"/>
        </w:rPr>
        <w:t xml:space="preserve"> differ between England, Scotland, Wales and Northern Ireland. There is thus cross-population, cross-setting and cross-intervention evidence on risk factors and on management. A systematic review is required to </w:t>
      </w:r>
      <w:r w:rsidR="00FB4D98" w:rsidRPr="00C07BB7">
        <w:rPr>
          <w:rFonts w:cs="Arial"/>
          <w:color w:val="000000" w:themeColor="text1"/>
        </w:rPr>
        <w:t>collect</w:t>
      </w:r>
      <w:r w:rsidRPr="00C07BB7">
        <w:rPr>
          <w:rFonts w:cs="Arial"/>
          <w:color w:val="000000" w:themeColor="text1"/>
        </w:rPr>
        <w:t xml:space="preserve"> the most recent evidence from the UK to clarify emerging trends and gaps and to inform more specific public health, clinical and service planning decisions nationally.</w:t>
      </w:r>
    </w:p>
    <w:p w14:paraId="2AC93F66" w14:textId="1AFB2530" w:rsidR="00613093" w:rsidRPr="00FB4D98" w:rsidRDefault="00613093" w:rsidP="00462CB9">
      <w:pPr>
        <w:pStyle w:val="Heading2"/>
        <w:rPr>
          <w:rFonts w:cs="Arial"/>
          <w:sz w:val="28"/>
          <w:szCs w:val="28"/>
        </w:rPr>
      </w:pPr>
      <w:bookmarkStart w:id="19" w:name="_Toc240666892"/>
      <w:bookmarkStart w:id="20" w:name="_Toc241011042"/>
      <w:r w:rsidRPr="00FB4D98">
        <w:rPr>
          <w:rFonts w:cs="Arial"/>
          <w:sz w:val="28"/>
          <w:szCs w:val="28"/>
        </w:rPr>
        <w:t>1.</w:t>
      </w:r>
      <w:r w:rsidR="00F4228A" w:rsidRPr="00FB4D98">
        <w:rPr>
          <w:rFonts w:cs="Arial"/>
          <w:sz w:val="28"/>
          <w:szCs w:val="28"/>
        </w:rPr>
        <w:t>6</w:t>
      </w:r>
      <w:r w:rsidRPr="00FB4D98">
        <w:rPr>
          <w:rFonts w:cs="Arial"/>
          <w:sz w:val="28"/>
          <w:szCs w:val="28"/>
        </w:rPr>
        <w:t xml:space="preserve"> Research </w:t>
      </w:r>
      <w:r w:rsidR="00F92DEB" w:rsidRPr="00FB4D98">
        <w:rPr>
          <w:rFonts w:cs="Arial"/>
          <w:sz w:val="28"/>
          <w:szCs w:val="28"/>
        </w:rPr>
        <w:t>A</w:t>
      </w:r>
      <w:r w:rsidRPr="00FB4D98">
        <w:rPr>
          <w:rFonts w:cs="Arial"/>
          <w:sz w:val="28"/>
          <w:szCs w:val="28"/>
        </w:rPr>
        <w:t xml:space="preserve">im, </w:t>
      </w:r>
      <w:r w:rsidR="00F92DEB" w:rsidRPr="00FB4D98">
        <w:rPr>
          <w:rFonts w:cs="Arial"/>
          <w:sz w:val="28"/>
          <w:szCs w:val="28"/>
        </w:rPr>
        <w:t>O</w:t>
      </w:r>
      <w:r w:rsidRPr="00FB4D98">
        <w:rPr>
          <w:rFonts w:cs="Arial"/>
          <w:sz w:val="28"/>
          <w:szCs w:val="28"/>
        </w:rPr>
        <w:t xml:space="preserve">bjectives and </w:t>
      </w:r>
      <w:r w:rsidR="00F92DEB" w:rsidRPr="00FB4D98">
        <w:rPr>
          <w:rFonts w:cs="Arial"/>
          <w:sz w:val="28"/>
          <w:szCs w:val="28"/>
        </w:rPr>
        <w:t>R</w:t>
      </w:r>
      <w:r w:rsidRPr="00FB4D98">
        <w:rPr>
          <w:rFonts w:cs="Arial"/>
          <w:sz w:val="28"/>
          <w:szCs w:val="28"/>
        </w:rPr>
        <w:t>esearch question</w:t>
      </w:r>
      <w:bookmarkEnd w:id="19"/>
      <w:bookmarkEnd w:id="20"/>
    </w:p>
    <w:p w14:paraId="0592029A" w14:textId="111DD403" w:rsidR="00613093" w:rsidRPr="00C07BB7" w:rsidRDefault="00613093" w:rsidP="00462CB9">
      <w:pPr>
        <w:rPr>
          <w:rFonts w:cs="Arial"/>
          <w:b/>
          <w:bCs/>
          <w:color w:val="000000" w:themeColor="text1"/>
          <w:u w:val="single"/>
        </w:rPr>
      </w:pPr>
      <w:r w:rsidRPr="00C07BB7">
        <w:rPr>
          <w:rFonts w:cs="Arial"/>
          <w:b/>
          <w:bCs/>
          <w:color w:val="000000" w:themeColor="text1"/>
          <w:u w:val="single"/>
        </w:rPr>
        <w:t>Research Question:</w:t>
      </w:r>
    </w:p>
    <w:p w14:paraId="4D7A798E" w14:textId="4A703491" w:rsidR="00613093" w:rsidRPr="00C07BB7" w:rsidRDefault="003C6B20" w:rsidP="00462CB9">
      <w:pPr>
        <w:rPr>
          <w:rFonts w:cs="Arial"/>
          <w:color w:val="000000" w:themeColor="text1"/>
        </w:rPr>
      </w:pPr>
      <w:r w:rsidRPr="00C07BB7">
        <w:rPr>
          <w:rFonts w:cs="Arial"/>
          <w:color w:val="000000" w:themeColor="text1"/>
        </w:rPr>
        <w:t>What are the key risk factors and effective management strategies for CKD among adults aged 18 years and older in the UK, based on recent peer-reviewed evidence?</w:t>
      </w:r>
    </w:p>
    <w:p w14:paraId="6E960B7C" w14:textId="405B23D3" w:rsidR="00613093" w:rsidRPr="00C07BB7" w:rsidRDefault="00613093" w:rsidP="00462CB9">
      <w:pPr>
        <w:rPr>
          <w:rFonts w:cs="Arial"/>
          <w:b/>
          <w:bCs/>
          <w:color w:val="000000" w:themeColor="text1"/>
          <w:u w:val="single"/>
        </w:rPr>
      </w:pPr>
      <w:r w:rsidRPr="00C07BB7">
        <w:rPr>
          <w:rFonts w:cs="Arial"/>
          <w:b/>
          <w:bCs/>
          <w:color w:val="000000" w:themeColor="text1"/>
          <w:u w:val="single"/>
        </w:rPr>
        <w:t>Research Aim:</w:t>
      </w:r>
    </w:p>
    <w:p w14:paraId="0D437828" w14:textId="5344B336" w:rsidR="00613093" w:rsidRPr="00C07BB7" w:rsidRDefault="00613093" w:rsidP="00462CB9">
      <w:pPr>
        <w:rPr>
          <w:rFonts w:cs="Arial"/>
          <w:color w:val="000000" w:themeColor="text1"/>
        </w:rPr>
      </w:pPr>
      <w:r w:rsidRPr="00C07BB7">
        <w:rPr>
          <w:rFonts w:cs="Arial"/>
          <w:color w:val="000000" w:themeColor="text1"/>
        </w:rPr>
        <w:t xml:space="preserve">To systematically review and </w:t>
      </w:r>
      <w:proofErr w:type="spellStart"/>
      <w:r w:rsidRPr="00C07BB7">
        <w:rPr>
          <w:rFonts w:cs="Arial"/>
          <w:color w:val="000000" w:themeColor="text1"/>
        </w:rPr>
        <w:t>synthesise</w:t>
      </w:r>
      <w:proofErr w:type="spellEnd"/>
      <w:r w:rsidRPr="00C07BB7">
        <w:rPr>
          <w:rFonts w:cs="Arial"/>
          <w:color w:val="000000" w:themeColor="text1"/>
        </w:rPr>
        <w:t xml:space="preserve"> evidence on the risk factors and management approaches for CKD in the UK adult population (18 and Older), informing targeted public health interventions.</w:t>
      </w:r>
    </w:p>
    <w:p w14:paraId="70653D6B" w14:textId="77777777" w:rsidR="00613093" w:rsidRPr="00C07BB7" w:rsidRDefault="00613093" w:rsidP="00462CB9">
      <w:pPr>
        <w:rPr>
          <w:rFonts w:cs="Arial"/>
          <w:b/>
          <w:bCs/>
          <w:color w:val="000000" w:themeColor="text1"/>
          <w:u w:val="single"/>
        </w:rPr>
      </w:pPr>
      <w:r w:rsidRPr="00C07BB7">
        <w:rPr>
          <w:rFonts w:cs="Arial"/>
          <w:b/>
          <w:bCs/>
          <w:color w:val="000000" w:themeColor="text1"/>
          <w:u w:val="single"/>
        </w:rPr>
        <w:t>Research Objectives:</w:t>
      </w:r>
    </w:p>
    <w:p w14:paraId="76F2161F" w14:textId="2929B873" w:rsidR="00613093" w:rsidRPr="00C07BB7" w:rsidRDefault="004215FB" w:rsidP="00462CB9">
      <w:pPr>
        <w:pStyle w:val="ListParagraph"/>
        <w:numPr>
          <w:ilvl w:val="0"/>
          <w:numId w:val="11"/>
        </w:numPr>
        <w:rPr>
          <w:rFonts w:cs="Arial"/>
          <w:color w:val="000000" w:themeColor="text1"/>
        </w:rPr>
      </w:pPr>
      <w:r w:rsidRPr="00C07BB7">
        <w:rPr>
          <w:rFonts w:cs="Arial"/>
          <w:color w:val="000000" w:themeColor="text1"/>
        </w:rPr>
        <w:t xml:space="preserve">To </w:t>
      </w:r>
      <w:proofErr w:type="spellStart"/>
      <w:r w:rsidRPr="00C07BB7">
        <w:rPr>
          <w:rFonts w:cs="Arial"/>
          <w:color w:val="000000" w:themeColor="text1"/>
        </w:rPr>
        <w:t>synthesise</w:t>
      </w:r>
      <w:proofErr w:type="spellEnd"/>
      <w:r w:rsidRPr="00C07BB7">
        <w:rPr>
          <w:rFonts w:cs="Arial"/>
          <w:color w:val="000000" w:themeColor="text1"/>
        </w:rPr>
        <w:t xml:space="preserve"> evidence on the epidemiology, distribution and burden of CKD among</w:t>
      </w:r>
      <w:r w:rsidR="00C765C5">
        <w:rPr>
          <w:rFonts w:cs="Arial"/>
          <w:color w:val="000000" w:themeColor="text1"/>
        </w:rPr>
        <w:t xml:space="preserve"> the</w:t>
      </w:r>
      <w:r w:rsidRPr="00C07BB7">
        <w:rPr>
          <w:rFonts w:cs="Arial"/>
          <w:color w:val="000000" w:themeColor="text1"/>
        </w:rPr>
        <w:t xml:space="preserve"> UK adults.</w:t>
      </w:r>
    </w:p>
    <w:p w14:paraId="4047A4F7" w14:textId="77777777" w:rsidR="00613093" w:rsidRPr="00C07BB7" w:rsidRDefault="00613093" w:rsidP="00462CB9">
      <w:pPr>
        <w:pStyle w:val="ListParagraph"/>
        <w:numPr>
          <w:ilvl w:val="0"/>
          <w:numId w:val="11"/>
        </w:numPr>
        <w:rPr>
          <w:rFonts w:cs="Arial"/>
          <w:color w:val="000000" w:themeColor="text1"/>
        </w:rPr>
      </w:pPr>
      <w:r w:rsidRPr="00C07BB7">
        <w:rPr>
          <w:rFonts w:cs="Arial"/>
          <w:color w:val="000000" w:themeColor="text1"/>
        </w:rPr>
        <w:t xml:space="preserve">To </w:t>
      </w:r>
      <w:proofErr w:type="spellStart"/>
      <w:r w:rsidRPr="00C07BB7">
        <w:rPr>
          <w:rFonts w:cs="Arial"/>
          <w:color w:val="000000" w:themeColor="text1"/>
        </w:rPr>
        <w:t>analyse</w:t>
      </w:r>
      <w:proofErr w:type="spellEnd"/>
      <w:r w:rsidRPr="00C07BB7">
        <w:rPr>
          <w:rFonts w:cs="Arial"/>
          <w:color w:val="000000" w:themeColor="text1"/>
        </w:rPr>
        <w:t xml:space="preserve"> the primary risk factors (e.g., diabetes, hypertension, ethnicity) associated with CKD onset and progression in the UK context.</w:t>
      </w:r>
    </w:p>
    <w:p w14:paraId="17905B65" w14:textId="04C80925" w:rsidR="00613093" w:rsidRPr="00C07BB7" w:rsidRDefault="00613093" w:rsidP="00462CB9">
      <w:pPr>
        <w:pStyle w:val="ListParagraph"/>
        <w:numPr>
          <w:ilvl w:val="0"/>
          <w:numId w:val="11"/>
        </w:numPr>
        <w:rPr>
          <w:rFonts w:cs="Arial"/>
          <w:color w:val="000000" w:themeColor="text1"/>
        </w:rPr>
      </w:pPr>
      <w:r w:rsidRPr="00C07BB7">
        <w:rPr>
          <w:rFonts w:cs="Arial"/>
          <w:color w:val="000000" w:themeColor="text1"/>
        </w:rPr>
        <w:t>To evaluate evidence-based management strategies, including pharmacological and lifestyle interventions, for improving CKD outcomes among</w:t>
      </w:r>
      <w:r w:rsidR="00C765C5">
        <w:rPr>
          <w:rFonts w:cs="Arial"/>
          <w:color w:val="000000" w:themeColor="text1"/>
        </w:rPr>
        <w:t xml:space="preserve"> the</w:t>
      </w:r>
      <w:r w:rsidRPr="00C07BB7">
        <w:rPr>
          <w:rFonts w:cs="Arial"/>
          <w:color w:val="000000" w:themeColor="text1"/>
        </w:rPr>
        <w:t xml:space="preserve"> UK adults (18 and Older).</w:t>
      </w:r>
    </w:p>
    <w:p w14:paraId="180EE5FE" w14:textId="1D9F9732" w:rsidR="00613093" w:rsidRPr="00FB4D98" w:rsidRDefault="00613093" w:rsidP="00462CB9">
      <w:pPr>
        <w:pStyle w:val="Heading2"/>
        <w:rPr>
          <w:rFonts w:cs="Arial"/>
          <w:sz w:val="28"/>
          <w:szCs w:val="28"/>
        </w:rPr>
      </w:pPr>
      <w:bookmarkStart w:id="21" w:name="_Toc240666893"/>
      <w:bookmarkStart w:id="22" w:name="_Toc241011043"/>
      <w:r w:rsidRPr="00FB4D98">
        <w:rPr>
          <w:rFonts w:cs="Arial"/>
          <w:sz w:val="28"/>
          <w:szCs w:val="28"/>
        </w:rPr>
        <w:t>1.</w:t>
      </w:r>
      <w:r w:rsidR="00F4228A" w:rsidRPr="00FB4D98">
        <w:rPr>
          <w:rFonts w:cs="Arial"/>
          <w:sz w:val="28"/>
          <w:szCs w:val="28"/>
        </w:rPr>
        <w:t>7</w:t>
      </w:r>
      <w:r w:rsidRPr="00FB4D98">
        <w:rPr>
          <w:rFonts w:cs="Arial"/>
          <w:sz w:val="28"/>
          <w:szCs w:val="28"/>
        </w:rPr>
        <w:t xml:space="preserve"> Structure of the Dissertation</w:t>
      </w:r>
      <w:bookmarkEnd w:id="21"/>
      <w:bookmarkEnd w:id="22"/>
    </w:p>
    <w:p w14:paraId="37A834A4" w14:textId="4B9DFAD4" w:rsidR="006329CC" w:rsidRPr="00C07BB7" w:rsidRDefault="00654BED" w:rsidP="00462CB9">
      <w:pPr>
        <w:rPr>
          <w:rFonts w:cs="Arial"/>
          <w:color w:val="000000" w:themeColor="text1"/>
        </w:rPr>
      </w:pPr>
      <w:r w:rsidRPr="00C07BB7">
        <w:rPr>
          <w:rFonts w:cs="Arial"/>
          <w:color w:val="000000" w:themeColor="text1"/>
        </w:rPr>
        <w:t xml:space="preserve">This dissertation will consist of six chapters. This chapter introduces the study by the background, rationale, aim and objectives and research </w:t>
      </w:r>
      <w:r w:rsidR="00FB4D98" w:rsidRPr="00C07BB7">
        <w:rPr>
          <w:rFonts w:cs="Arial"/>
          <w:color w:val="000000" w:themeColor="text1"/>
        </w:rPr>
        <w:t>questions</w:t>
      </w:r>
      <w:r w:rsidRPr="00C07BB7">
        <w:rPr>
          <w:rFonts w:cs="Arial"/>
          <w:color w:val="000000" w:themeColor="text1"/>
        </w:rPr>
        <w:t xml:space="preserve">. Important literature will be critically </w:t>
      </w:r>
      <w:proofErr w:type="spellStart"/>
      <w:r w:rsidRPr="00C07BB7">
        <w:rPr>
          <w:rFonts w:cs="Arial"/>
          <w:color w:val="000000" w:themeColor="text1"/>
        </w:rPr>
        <w:t>analysed</w:t>
      </w:r>
      <w:proofErr w:type="spellEnd"/>
      <w:r w:rsidRPr="00C07BB7">
        <w:rPr>
          <w:rFonts w:cs="Arial"/>
          <w:color w:val="000000" w:themeColor="text1"/>
        </w:rPr>
        <w:t xml:space="preserve"> in Chapter Two, which will explore the epidemiology, risk factors, progression, diagnosis and management of CKD, including a focus on the UK. Chapter Three will explain the systematic-review methodology. The results of the studies will be presented in Chapter Four. The findings will be addressed with the research question, literature review and implications for practice in Chapter Five. The conclusion, recommendations, limitations and directions for future research will be given in Chapter Six.</w:t>
      </w:r>
    </w:p>
    <w:p w14:paraId="2D2853B5" w14:textId="77777777" w:rsidR="006329CC" w:rsidRPr="00C07BB7" w:rsidRDefault="006329CC" w:rsidP="00462CB9">
      <w:pPr>
        <w:rPr>
          <w:rFonts w:cs="Arial"/>
          <w:color w:val="000000" w:themeColor="text1"/>
        </w:rPr>
      </w:pPr>
      <w:r w:rsidRPr="00C07BB7">
        <w:rPr>
          <w:rFonts w:cs="Arial"/>
          <w:color w:val="000000" w:themeColor="text1"/>
        </w:rPr>
        <w:br w:type="page"/>
      </w:r>
    </w:p>
    <w:p w14:paraId="265F2DCE" w14:textId="4D8F7B87" w:rsidR="00544F3D" w:rsidRPr="00C07BB7" w:rsidRDefault="00544F3D" w:rsidP="00462CB9">
      <w:pPr>
        <w:pStyle w:val="Heading1"/>
        <w:rPr>
          <w:rFonts w:cs="Arial"/>
        </w:rPr>
      </w:pPr>
      <w:bookmarkStart w:id="23" w:name="_Toc239290088"/>
      <w:bookmarkStart w:id="24" w:name="_Toc240666894"/>
      <w:bookmarkStart w:id="25" w:name="_Toc241011044"/>
      <w:r w:rsidRPr="00C07BB7">
        <w:rPr>
          <w:rFonts w:cs="Arial"/>
        </w:rPr>
        <w:t xml:space="preserve">Chapter </w:t>
      </w:r>
      <w:r w:rsidR="00500B53">
        <w:rPr>
          <w:rFonts w:cs="Arial"/>
        </w:rPr>
        <w:t>Two</w:t>
      </w:r>
      <w:r w:rsidRPr="00C07BB7">
        <w:rPr>
          <w:rFonts w:cs="Arial"/>
        </w:rPr>
        <w:t>: Literature Review</w:t>
      </w:r>
      <w:bookmarkEnd w:id="23"/>
      <w:bookmarkEnd w:id="24"/>
      <w:bookmarkEnd w:id="25"/>
      <w:r w:rsidR="00500B53">
        <w:rPr>
          <w:rFonts w:cs="Arial"/>
        </w:rPr>
        <w:t xml:space="preserve"> </w:t>
      </w:r>
    </w:p>
    <w:p w14:paraId="2C6CF6B4" w14:textId="77777777" w:rsidR="00544F3D" w:rsidRPr="00F276B3" w:rsidRDefault="00544F3D" w:rsidP="00462CB9">
      <w:pPr>
        <w:pStyle w:val="Heading2"/>
        <w:rPr>
          <w:rFonts w:cs="Arial"/>
          <w:sz w:val="28"/>
          <w:szCs w:val="28"/>
        </w:rPr>
      </w:pPr>
      <w:bookmarkStart w:id="26" w:name="_Toc239290089"/>
      <w:bookmarkStart w:id="27" w:name="_Toc240666895"/>
      <w:bookmarkStart w:id="28" w:name="_Toc241011045"/>
      <w:r w:rsidRPr="00F276B3">
        <w:rPr>
          <w:rStyle w:val="Strong"/>
          <w:rFonts w:cs="Arial"/>
          <w:b/>
          <w:bCs/>
          <w:sz w:val="28"/>
          <w:szCs w:val="28"/>
        </w:rPr>
        <w:t>2.1 Introduction</w:t>
      </w:r>
      <w:bookmarkEnd w:id="26"/>
      <w:bookmarkEnd w:id="27"/>
      <w:bookmarkEnd w:id="28"/>
    </w:p>
    <w:p w14:paraId="6B411A13" w14:textId="4E98AA72" w:rsidR="00544F3D" w:rsidRPr="00C07BB7" w:rsidRDefault="00544F3D" w:rsidP="00462CB9">
      <w:pPr>
        <w:rPr>
          <w:rFonts w:cs="Arial"/>
        </w:rPr>
      </w:pPr>
      <w:r w:rsidRPr="00C07BB7">
        <w:rPr>
          <w:rFonts w:cs="Arial"/>
        </w:rPr>
        <w:t xml:space="preserve">The chapter will focus on the literature from the last few years on the risk factors and management of chronic kidney disease (CKD) in adults (aged ≥18) in the UK context. It will then discuss critically the literature that addresses the burden of CKD, traditional and emerging risk factors, diagnosis, under-recognition, treatment, digital health, lifestyle intervention and integrated care. The chapter will also identify gaps in the existing evidence and provide theory to be applied in conducting a systematic review. The structure is relevant because CKD is a clinical condition as well as a public health problem with a focus on prevention, early detection, </w:t>
      </w:r>
      <w:proofErr w:type="spellStart"/>
      <w:r w:rsidR="00C765C5" w:rsidRPr="00C07BB7">
        <w:rPr>
          <w:rFonts w:cs="Arial"/>
        </w:rPr>
        <w:t>behavior’s</w:t>
      </w:r>
      <w:proofErr w:type="spellEnd"/>
      <w:r w:rsidRPr="00C07BB7">
        <w:rPr>
          <w:rFonts w:cs="Arial"/>
        </w:rPr>
        <w:t xml:space="preserve"> of patients, access to health care and chronicity of disease management.</w:t>
      </w:r>
    </w:p>
    <w:p w14:paraId="3B923E11" w14:textId="77777777" w:rsidR="00544F3D" w:rsidRPr="00E14D33" w:rsidRDefault="00544F3D" w:rsidP="00462CB9">
      <w:pPr>
        <w:pStyle w:val="Heading2"/>
        <w:rPr>
          <w:rFonts w:cs="Arial"/>
          <w:sz w:val="28"/>
          <w:szCs w:val="28"/>
        </w:rPr>
      </w:pPr>
      <w:bookmarkStart w:id="29" w:name="_Toc239290090"/>
      <w:bookmarkStart w:id="30" w:name="_Toc240666896"/>
      <w:bookmarkStart w:id="31" w:name="_Toc241011046"/>
      <w:r w:rsidRPr="00E14D33">
        <w:rPr>
          <w:rStyle w:val="Strong"/>
          <w:rFonts w:cs="Arial"/>
          <w:b/>
          <w:bCs/>
          <w:sz w:val="28"/>
          <w:szCs w:val="28"/>
        </w:rPr>
        <w:t>2.2 Literature Review</w:t>
      </w:r>
      <w:bookmarkEnd w:id="29"/>
      <w:bookmarkEnd w:id="30"/>
      <w:bookmarkEnd w:id="31"/>
    </w:p>
    <w:p w14:paraId="7463F30E" w14:textId="77777777" w:rsidR="00544F3D" w:rsidRPr="00E14D33" w:rsidRDefault="00544F3D" w:rsidP="00462CB9">
      <w:pPr>
        <w:pStyle w:val="Heading3"/>
        <w:rPr>
          <w:rFonts w:cs="Arial"/>
          <w:color w:val="auto"/>
        </w:rPr>
      </w:pPr>
      <w:bookmarkStart w:id="32" w:name="_Toc239290091"/>
      <w:bookmarkStart w:id="33" w:name="_Toc240666897"/>
      <w:bookmarkStart w:id="34" w:name="_Toc241011047"/>
      <w:r w:rsidRPr="00E14D33">
        <w:rPr>
          <w:rStyle w:val="Strong"/>
          <w:rFonts w:cs="Arial"/>
          <w:b/>
          <w:bCs/>
          <w:color w:val="auto"/>
        </w:rPr>
        <w:t>2.2.1 CKD as a Public Health Condition</w:t>
      </w:r>
      <w:bookmarkEnd w:id="32"/>
      <w:bookmarkEnd w:id="33"/>
      <w:bookmarkEnd w:id="34"/>
    </w:p>
    <w:p w14:paraId="39705AF8" w14:textId="18C9772D" w:rsidR="00544F3D" w:rsidRPr="00C07BB7" w:rsidRDefault="006F0FDA" w:rsidP="00462CB9">
      <w:pPr>
        <w:rPr>
          <w:rFonts w:cs="Arial"/>
        </w:rPr>
      </w:pPr>
      <w:r w:rsidRPr="00C07BB7">
        <w:rPr>
          <w:rFonts w:cs="Arial"/>
        </w:rPr>
        <w:t xml:space="preserve">CKD is a long-term decrease in kidney function or kidney damage, usually detected by eGFR and albuminuria. It is a significant public health problem as many of the early cases are asymptomatic but linked to greater cardiovascular morbidity, progression to kidney failure, and early death. Compared to the UK, there is less quantitative research on patient-reported functional and/or psychosocial burden of the condition in validated tools, and less evidence is purely observational and biomedical outcomes-based </w:t>
      </w:r>
      <w:r w:rsidR="00544F3D" w:rsidRPr="00C07BB7">
        <w:rPr>
          <w:rFonts w:cs="Arial"/>
        </w:rPr>
        <w:t>(Bhandari et al., 2025; Stewart et al., 2024).</w:t>
      </w:r>
    </w:p>
    <w:p w14:paraId="265EB1BD" w14:textId="65C5137C" w:rsidR="00544F3D" w:rsidRPr="00C07BB7" w:rsidRDefault="00544F3D" w:rsidP="00462CB9">
      <w:pPr>
        <w:rPr>
          <w:rFonts w:cs="Arial"/>
        </w:rPr>
      </w:pPr>
      <w:r w:rsidRPr="00C07BB7">
        <w:rPr>
          <w:rFonts w:cs="Arial"/>
        </w:rPr>
        <w:t>The clinical staging and biomedical outcomes of CKD have been the focus of the majority of recent CKD literature, while the functional and psychosocial burden of the patient and carer has been a less common focus</w:t>
      </w:r>
      <w:r w:rsidR="00D34803" w:rsidRPr="00C07BB7">
        <w:rPr>
          <w:rFonts w:cs="Arial"/>
        </w:rPr>
        <w:t xml:space="preserve"> (Phillips et al., 2024)</w:t>
      </w:r>
      <w:r w:rsidRPr="00C07BB7">
        <w:rPr>
          <w:rFonts w:cs="Arial"/>
        </w:rPr>
        <w:t xml:space="preserve">. Fatigue decreased daily functioning and burden of treatment in those with CKD-associated </w:t>
      </w:r>
      <w:proofErr w:type="spellStart"/>
      <w:r w:rsidRPr="00C07BB7">
        <w:rPr>
          <w:rFonts w:cs="Arial"/>
        </w:rPr>
        <w:t>anaemia</w:t>
      </w:r>
      <w:proofErr w:type="spellEnd"/>
      <w:r w:rsidRPr="00C07BB7">
        <w:rPr>
          <w:rFonts w:cs="Arial"/>
        </w:rPr>
        <w:t xml:space="preserve"> were identified by Hull et al. (2024). These results suggest that a biomedical view of the lived impacts of CKD may be under-represented. Therefore, as well as managing functional status and psychological well-being and patient knowledge of disease progression, management should consider the disease itself.</w:t>
      </w:r>
    </w:p>
    <w:p w14:paraId="19D56ABE" w14:textId="77777777" w:rsidR="00544F3D" w:rsidRPr="00C07BB7" w:rsidRDefault="00544F3D" w:rsidP="00462CB9">
      <w:pPr>
        <w:rPr>
          <w:rFonts w:cs="Arial"/>
        </w:rPr>
      </w:pPr>
      <w:r w:rsidRPr="00C07BB7">
        <w:rPr>
          <w:rFonts w:cs="Arial"/>
        </w:rPr>
        <w:t>Other recent research indicates that CKD has a high economic cost to the NHS. Disease prevention or slowing the progression of CKD may be economically valued in the UK health system at the population level, through their potential to delay the need for costly CKD-related interventions, such as dialysis and transplantation (Agathangelou et al., 2025). This is significant as it will impact the need for dialysis and/or special renal care as well as transplant treatment with advanced CKD, which will further burden patients and health services. Economics is the main thrust of an economic evaluation, and patient experience is not always adequately included. Management of CKD, therefore, requires the use of NHS time to be efficient, whilst treating the patient in a manner that is best for them (Agathangelou et al, 2025; Hull et al, 2024).</w:t>
      </w:r>
    </w:p>
    <w:p w14:paraId="2B6CAEA7" w14:textId="77777777" w:rsidR="00544F3D" w:rsidRPr="008A3F07" w:rsidRDefault="00544F3D" w:rsidP="00462CB9">
      <w:pPr>
        <w:pStyle w:val="Heading3"/>
        <w:rPr>
          <w:rFonts w:cs="Arial"/>
          <w:color w:val="auto"/>
        </w:rPr>
      </w:pPr>
      <w:bookmarkStart w:id="35" w:name="_Toc239290092"/>
      <w:bookmarkStart w:id="36" w:name="_Toc240666898"/>
      <w:bookmarkStart w:id="37" w:name="_Toc241011048"/>
      <w:r w:rsidRPr="008A3F07">
        <w:rPr>
          <w:rFonts w:cs="Arial"/>
          <w:color w:val="auto"/>
        </w:rPr>
        <w:t>2.2.2 Prevalence, Coding and Hidden CKD in the UK</w:t>
      </w:r>
      <w:bookmarkEnd w:id="35"/>
      <w:bookmarkEnd w:id="36"/>
      <w:bookmarkEnd w:id="37"/>
    </w:p>
    <w:p w14:paraId="0374F5EB" w14:textId="28BD4EF1" w:rsidR="00544F3D" w:rsidRPr="00C07BB7" w:rsidRDefault="00942CF4" w:rsidP="00462CB9">
      <w:pPr>
        <w:rPr>
          <w:rFonts w:cs="Arial"/>
        </w:rPr>
      </w:pPr>
      <w:r w:rsidRPr="00C07BB7">
        <w:rPr>
          <w:rFonts w:cs="Arial"/>
        </w:rPr>
        <w:t xml:space="preserve">The gap between the prevalence of CKD as defined in the laboratory and actual diagnosis in primary care is consistent in the UK data. There is under-ascertainment of individuals with CKD as seen in studies that use eGFR and </w:t>
      </w:r>
      <w:proofErr w:type="spellStart"/>
      <w:r w:rsidRPr="00C07BB7">
        <w:rPr>
          <w:rFonts w:cs="Arial"/>
        </w:rPr>
        <w:t>uACR</w:t>
      </w:r>
      <w:proofErr w:type="spellEnd"/>
      <w:r w:rsidRPr="00C07BB7">
        <w:rPr>
          <w:rFonts w:cs="Arial"/>
        </w:rPr>
        <w:t xml:space="preserve"> to detect CKD, compared to those identified by HEC coding. This undermining of systems of recall, structured review, eligibility for interventions, and bias in EHR-based research makes prevalence estimates subject to the data source and coding practices</w:t>
      </w:r>
      <w:r w:rsidR="00544F3D" w:rsidRPr="00C07BB7">
        <w:rPr>
          <w:rFonts w:cs="Arial"/>
        </w:rPr>
        <w:t>. Similar barriers to detection, diagnosis and disclosure were also identified in</w:t>
      </w:r>
      <w:r w:rsidR="00C765C5">
        <w:rPr>
          <w:rFonts w:cs="Arial"/>
        </w:rPr>
        <w:t xml:space="preserve"> the</w:t>
      </w:r>
      <w:r w:rsidR="00544F3D" w:rsidRPr="00C07BB7">
        <w:rPr>
          <w:rFonts w:cs="Arial"/>
        </w:rPr>
        <w:t xml:space="preserve"> UK primary care by Stewart et al. (2024) and may limit monitoring, treatment and opportunities for self-management. Prevalence estimates, however, rely on the method used to define the disease and caution is needed when comparing the prevalence of coded diagnosis, laboratory-defined disease, and self-reported disease awareness.</w:t>
      </w:r>
    </w:p>
    <w:p w14:paraId="390AE328" w14:textId="61177753" w:rsidR="00544F3D" w:rsidRPr="00C07BB7" w:rsidRDefault="00544F3D" w:rsidP="00462CB9">
      <w:pPr>
        <w:rPr>
          <w:rFonts w:cs="Arial"/>
        </w:rPr>
      </w:pPr>
      <w:r w:rsidRPr="00C07BB7">
        <w:rPr>
          <w:rFonts w:cs="Arial"/>
        </w:rPr>
        <w:t xml:space="preserve">This is supported by evidence of coding. In a study of type 2 diabetes in the UK primary-care setting, Sisk et al. (2024) reported that the incidence of CKD may be underestimated based on diagnosis codes compared to evidence from eGFR measurements. Dolan et al. (2025) also found that there was an uncoded form of CKD that occurred in secondary care, showing that clinically relevant CKD can occur without formal diagnostic coding. Coding has an impact on recall systems, structured review, risk stratification and quality monitoring. However, these studies include specific clinical contexts and high-risk groups, and the conclusions may not be applicable to </w:t>
      </w:r>
      <w:r w:rsidR="002D4B06" w:rsidRPr="00C07BB7">
        <w:rPr>
          <w:rFonts w:cs="Arial"/>
        </w:rPr>
        <w:t>all</w:t>
      </w:r>
      <w:r w:rsidRPr="00C07BB7">
        <w:rPr>
          <w:rFonts w:cs="Arial"/>
        </w:rPr>
        <w:t xml:space="preserve"> UK adults.</w:t>
      </w:r>
    </w:p>
    <w:p w14:paraId="71B94481" w14:textId="5ACBCA8C" w:rsidR="00544F3D" w:rsidRPr="00C07BB7" w:rsidRDefault="00544F3D" w:rsidP="00462CB9">
      <w:pPr>
        <w:rPr>
          <w:rFonts w:cs="Arial"/>
        </w:rPr>
      </w:pPr>
      <w:r w:rsidRPr="00C07BB7">
        <w:rPr>
          <w:rFonts w:cs="Arial"/>
        </w:rPr>
        <w:t xml:space="preserve">Lindemann et al. (2025) studied the link between coding for CKD and kidney replacement therapy (KRT) at CCG level in England, suggesting that coding could have consequences beyond administrative use. </w:t>
      </w:r>
      <w:r w:rsidR="0065718E" w:rsidRPr="00C07BB7">
        <w:rPr>
          <w:rFonts w:cs="Arial"/>
        </w:rPr>
        <w:t>In addition</w:t>
      </w:r>
      <w:r w:rsidRPr="00C07BB7">
        <w:rPr>
          <w:rFonts w:cs="Arial"/>
        </w:rPr>
        <w:t xml:space="preserve">, Stewart et al. (2025) also defined coded and uncoded CKD, further reinforcing the hypothesis that the prevalence recorded is at least in part driven by the proactiveness of health systems with regard to testing, diagnosis and monitoring patients. Overall, the findings indicate that hidden CKD is a reflection of clinical and </w:t>
      </w:r>
      <w:proofErr w:type="spellStart"/>
      <w:r w:rsidRPr="00C07BB7">
        <w:rPr>
          <w:rFonts w:cs="Arial"/>
        </w:rPr>
        <w:t>organisational</w:t>
      </w:r>
      <w:proofErr w:type="spellEnd"/>
      <w:r w:rsidRPr="00C07BB7">
        <w:rPr>
          <w:rFonts w:cs="Arial"/>
        </w:rPr>
        <w:t xml:space="preserve"> factors. One of the main challenges is that many of these data are observational in nature; they show associations between coding and outcomes, but do not prove that poor coding directly leads to poorer kidney outcomes.</w:t>
      </w:r>
    </w:p>
    <w:p w14:paraId="6B85F3EF" w14:textId="77777777" w:rsidR="00544F3D" w:rsidRPr="008A3F07" w:rsidRDefault="00544F3D" w:rsidP="00462CB9">
      <w:pPr>
        <w:pStyle w:val="Heading3"/>
        <w:rPr>
          <w:rFonts w:cs="Arial"/>
          <w:color w:val="auto"/>
        </w:rPr>
      </w:pPr>
      <w:bookmarkStart w:id="38" w:name="_Toc239290093"/>
      <w:bookmarkStart w:id="39" w:name="_Toc240666899"/>
      <w:bookmarkStart w:id="40" w:name="_Toc241011049"/>
      <w:r w:rsidRPr="008A3F07">
        <w:rPr>
          <w:rFonts w:cs="Arial"/>
          <w:color w:val="auto"/>
        </w:rPr>
        <w:t>2.2.3 Diabetes, Hypertension and Multimorbidity as Core Risk Factors</w:t>
      </w:r>
      <w:bookmarkEnd w:id="38"/>
      <w:bookmarkEnd w:id="39"/>
      <w:bookmarkEnd w:id="40"/>
    </w:p>
    <w:p w14:paraId="0CEC0765" w14:textId="0E3D3665" w:rsidR="00544F3D" w:rsidRPr="00C07BB7" w:rsidRDefault="00F3604E" w:rsidP="00462CB9">
      <w:pPr>
        <w:rPr>
          <w:rFonts w:cs="Arial"/>
        </w:rPr>
      </w:pPr>
      <w:r w:rsidRPr="00C07BB7">
        <w:rPr>
          <w:rFonts w:cs="Arial"/>
        </w:rPr>
        <w:t>There are clear clinical risk factors for the onset and progression of CKD in</w:t>
      </w:r>
      <w:r w:rsidR="00C765C5">
        <w:rPr>
          <w:rFonts w:cs="Arial"/>
        </w:rPr>
        <w:t xml:space="preserve"> the</w:t>
      </w:r>
      <w:r w:rsidRPr="00C07BB7">
        <w:rPr>
          <w:rFonts w:cs="Arial"/>
        </w:rPr>
        <w:t xml:space="preserve"> UK cohorts, with diabetes and hypertension being the most consistently reported. Both mechanisms and observation-based associations are strong, and there is </w:t>
      </w:r>
      <w:r w:rsidR="002D4B06" w:rsidRPr="00C07BB7">
        <w:rPr>
          <w:rFonts w:cs="Arial"/>
        </w:rPr>
        <w:t>high-quality</w:t>
      </w:r>
      <w:r w:rsidRPr="00C07BB7">
        <w:rPr>
          <w:rFonts w:cs="Arial"/>
        </w:rPr>
        <w:t xml:space="preserve"> evidence from random controlled trials (such as trials of SGLT2 inhibitors) of renal benefit in people with diabetes. Direct comparison between studies, however, is complicated by heterogeneity of response to the intervention, and by baseline kidney function and multimorbidity, as demonstrated by implementation research, which reveals a discrepancy between trial results and real-world prescribing and monitoring</w:t>
      </w:r>
      <w:r w:rsidR="009B1E77" w:rsidRPr="00C07BB7">
        <w:rPr>
          <w:rFonts w:cs="Arial"/>
        </w:rPr>
        <w:t xml:space="preserve"> (Hawthorne et al., 2023; Boateng et al., 2026)</w:t>
      </w:r>
      <w:r w:rsidRPr="00C07BB7">
        <w:rPr>
          <w:rFonts w:cs="Arial"/>
        </w:rPr>
        <w:t>.</w:t>
      </w:r>
      <w:r w:rsidR="00544F3D" w:rsidRPr="00C07BB7">
        <w:rPr>
          <w:rFonts w:cs="Arial"/>
        </w:rPr>
        <w:t xml:space="preserve"> This lends support to a concept of the management of CKD in which kidney protection is part of cardiovascular and metabolic risk reduction, and not a separate renal problem.</w:t>
      </w:r>
    </w:p>
    <w:p w14:paraId="55E47300" w14:textId="2F326153" w:rsidR="00544F3D" w:rsidRPr="00C07BB7" w:rsidRDefault="00544F3D" w:rsidP="00462CB9">
      <w:pPr>
        <w:rPr>
          <w:rFonts w:cs="Arial"/>
        </w:rPr>
      </w:pPr>
      <w:r w:rsidRPr="00C07BB7">
        <w:rPr>
          <w:rFonts w:cs="Arial"/>
        </w:rPr>
        <w:t xml:space="preserve">The </w:t>
      </w:r>
      <w:r w:rsidR="002D4B06" w:rsidRPr="00C07BB7">
        <w:rPr>
          <w:rFonts w:cs="Arial"/>
        </w:rPr>
        <w:t>recent</w:t>
      </w:r>
      <w:r w:rsidR="002D4B06">
        <w:rPr>
          <w:rFonts w:cs="Arial"/>
        </w:rPr>
        <w:t xml:space="preserve"> </w:t>
      </w:r>
      <w:r w:rsidR="002D4B06" w:rsidRPr="00C07BB7">
        <w:rPr>
          <w:rFonts w:cs="Arial"/>
        </w:rPr>
        <w:t>UK</w:t>
      </w:r>
      <w:r w:rsidRPr="00C07BB7">
        <w:rPr>
          <w:rFonts w:cs="Arial"/>
        </w:rPr>
        <w:t xml:space="preserve"> evidence shows that there is a direct link between the management of type 2 diabetes and kidney protection. In a primary care setting, clinical guidance was not sufficient to ensure an appropriate level of SGLT2 uptake, as reported by Forbes et al (2024). This is important because SGLT2 inhibitor therapy could be recommended to eligible patients with type 2 diabetes for renal and cardiovascular protection. Choosing SGLT2 inhibitors for kidney protection in T2DM in a </w:t>
      </w:r>
      <w:proofErr w:type="spellStart"/>
      <w:r w:rsidRPr="00C07BB7">
        <w:rPr>
          <w:rFonts w:cs="Arial"/>
        </w:rPr>
        <w:t>personalised</w:t>
      </w:r>
      <w:proofErr w:type="spellEnd"/>
      <w:r w:rsidRPr="00C07BB7">
        <w:rPr>
          <w:rFonts w:cs="Arial"/>
        </w:rPr>
        <w:t xml:space="preserve"> manner was another consideration by Jansz et al. (2026). These studies collectively highlight the need for better identification, treatment, and management of eligible patients if the pharmaceutical innovations are to be used to their fullest potential. These, then, reveal opportunities for therapy and a gap between guideline recommendations and routine clinical practice.</w:t>
      </w:r>
    </w:p>
    <w:p w14:paraId="381CA184" w14:textId="3C363DEF" w:rsidR="00544F3D" w:rsidRPr="00C07BB7" w:rsidRDefault="00544F3D" w:rsidP="00462CB9">
      <w:pPr>
        <w:rPr>
          <w:rFonts w:cs="Arial"/>
        </w:rPr>
      </w:pPr>
      <w:r w:rsidRPr="00C07BB7">
        <w:rPr>
          <w:rFonts w:cs="Arial"/>
        </w:rPr>
        <w:t>A differentiated approach to hypertension is also necessary</w:t>
      </w:r>
      <w:r w:rsidR="00D34803" w:rsidRPr="00C07BB7">
        <w:rPr>
          <w:rFonts w:cs="Arial"/>
        </w:rPr>
        <w:t xml:space="preserve"> (Sullivan et al., 2024)</w:t>
      </w:r>
      <w:r w:rsidRPr="00C07BB7">
        <w:rPr>
          <w:rFonts w:cs="Arial"/>
        </w:rPr>
        <w:t>. Mayne et al. (2023) pointed out that there is a difference in the management of CKD and hypertension between women and men, with treatment and outcome potentially different in different populations. In an earlier paper (Hawthorne et al., 2023), it was reported that there is significant multimorbidity in patients with CKD, which serves to further illustrate the need to manage multiple chronic conditions in many people with CKD. Thus, disease-specific care pathways might not be effective in cases of multiple medicines and competing clinical priorities requiring monitoring</w:t>
      </w:r>
      <w:r w:rsidR="00007A18" w:rsidRPr="00C07BB7">
        <w:rPr>
          <w:rFonts w:cs="Arial"/>
        </w:rPr>
        <w:t xml:space="preserve"> </w:t>
      </w:r>
      <w:r w:rsidR="00007A18" w:rsidRPr="00C07BB7">
        <w:rPr>
          <w:rFonts w:cs="Arial"/>
          <w:color w:val="000000"/>
        </w:rPr>
        <w:t xml:space="preserve">(Jani et al., 2019; MacRae et al., 2021; </w:t>
      </w:r>
      <w:proofErr w:type="spellStart"/>
      <w:r w:rsidR="00007A18" w:rsidRPr="00C07BB7">
        <w:rPr>
          <w:rFonts w:cs="Arial"/>
          <w:color w:val="000000"/>
        </w:rPr>
        <w:t>Zemedikun</w:t>
      </w:r>
      <w:proofErr w:type="spellEnd"/>
      <w:r w:rsidR="00007A18" w:rsidRPr="00C07BB7">
        <w:rPr>
          <w:rFonts w:cs="Arial"/>
          <w:color w:val="000000"/>
        </w:rPr>
        <w:t xml:space="preserve"> et al., 2018)</w:t>
      </w:r>
      <w:r w:rsidRPr="00C07BB7">
        <w:rPr>
          <w:rFonts w:cs="Arial"/>
        </w:rPr>
        <w:t>.</w:t>
      </w:r>
    </w:p>
    <w:p w14:paraId="3D6D089D" w14:textId="196C1CAA" w:rsidR="00544F3D" w:rsidRPr="00C07BB7" w:rsidRDefault="00544F3D" w:rsidP="00462CB9">
      <w:pPr>
        <w:rPr>
          <w:rFonts w:cs="Arial"/>
        </w:rPr>
      </w:pPr>
      <w:r w:rsidRPr="00C07BB7">
        <w:rPr>
          <w:rFonts w:cs="Arial"/>
        </w:rPr>
        <w:t xml:space="preserve">Fragmented care may hinder management of interconnected conditions, such as heart failure, type 2 diabetes and CKD, as identified by </w:t>
      </w:r>
      <w:proofErr w:type="spellStart"/>
      <w:r w:rsidRPr="00C07BB7">
        <w:rPr>
          <w:rFonts w:cs="Arial"/>
        </w:rPr>
        <w:t>Pasea</w:t>
      </w:r>
      <w:proofErr w:type="spellEnd"/>
      <w:r w:rsidRPr="00C07BB7">
        <w:rPr>
          <w:rFonts w:cs="Arial"/>
        </w:rPr>
        <w:t xml:space="preserve"> et al. (2025). This is important as patients may transition between primary care, diabetes and cardiology or nephrology. However, findings from highly comorbid populations may not be </w:t>
      </w:r>
      <w:proofErr w:type="spellStart"/>
      <w:r w:rsidRPr="00C07BB7">
        <w:rPr>
          <w:rFonts w:cs="Arial"/>
        </w:rPr>
        <w:t>generalisable</w:t>
      </w:r>
      <w:proofErr w:type="spellEnd"/>
      <w:r w:rsidRPr="00C07BB7">
        <w:rPr>
          <w:rFonts w:cs="Arial"/>
        </w:rPr>
        <w:t xml:space="preserve"> to the wider</w:t>
      </w:r>
      <w:r w:rsidR="00C765C5">
        <w:rPr>
          <w:rFonts w:cs="Arial"/>
        </w:rPr>
        <w:t xml:space="preserve"> in the</w:t>
      </w:r>
      <w:r w:rsidRPr="00C07BB7">
        <w:rPr>
          <w:rFonts w:cs="Arial"/>
        </w:rPr>
        <w:t xml:space="preserve"> UK adult population. </w:t>
      </w:r>
      <w:r w:rsidR="006D7325" w:rsidRPr="00C07BB7">
        <w:rPr>
          <w:rFonts w:cs="Arial"/>
        </w:rPr>
        <w:t>Therefore, CKD management should account for</w:t>
      </w:r>
      <w:r w:rsidRPr="00C07BB7">
        <w:rPr>
          <w:rFonts w:cs="Arial"/>
        </w:rPr>
        <w:t xml:space="preserve"> multimorbidity and eligibility for and risk of treatment. This distinction is important when interpreting the applicability of the evidence.</w:t>
      </w:r>
    </w:p>
    <w:p w14:paraId="1AF049B3" w14:textId="77777777" w:rsidR="00544F3D" w:rsidRPr="008A3F07" w:rsidRDefault="00544F3D" w:rsidP="00462CB9">
      <w:pPr>
        <w:pStyle w:val="Heading3"/>
        <w:rPr>
          <w:rFonts w:cs="Arial"/>
          <w:color w:val="auto"/>
        </w:rPr>
      </w:pPr>
      <w:bookmarkStart w:id="41" w:name="_Toc239290094"/>
      <w:bookmarkStart w:id="42" w:name="_Toc240666900"/>
      <w:bookmarkStart w:id="43" w:name="_Toc241011050"/>
      <w:r w:rsidRPr="008A3F07">
        <w:rPr>
          <w:rFonts w:cs="Arial"/>
          <w:color w:val="auto"/>
        </w:rPr>
        <w:t>2.2.4 Obesity, Diet and Lifestyle-Related Risk Factors</w:t>
      </w:r>
      <w:bookmarkEnd w:id="41"/>
      <w:bookmarkEnd w:id="42"/>
      <w:bookmarkEnd w:id="43"/>
    </w:p>
    <w:p w14:paraId="0F4829A1" w14:textId="4B4E8BBA" w:rsidR="00544F3D" w:rsidRPr="00C07BB7" w:rsidRDefault="00632AAE" w:rsidP="00462CB9">
      <w:pPr>
        <w:rPr>
          <w:rFonts w:cs="Arial"/>
        </w:rPr>
      </w:pPr>
      <w:r w:rsidRPr="00C07BB7">
        <w:rPr>
          <w:rFonts w:cs="Arial"/>
        </w:rPr>
        <w:t>CKD risk is related to lifestyle factors such as obesity, dietary patterns, salt intake and physical inactivity, in part due to the impact these factors have on diabetes, hypertension and metabolic dysfunction. In the UK, BMI has been consistently associated with the risk of incident CKD, and there are some cohort studies that show that better dietary patterns and increased physical activity are associated with a reduced risk of incident CKD</w:t>
      </w:r>
      <w:r w:rsidR="009B1E77" w:rsidRPr="00C07BB7">
        <w:rPr>
          <w:rFonts w:cs="Arial"/>
        </w:rPr>
        <w:t xml:space="preserve"> (Gunnarsson et al., 2026)</w:t>
      </w:r>
      <w:r w:rsidRPr="00C07BB7">
        <w:rPr>
          <w:rFonts w:cs="Arial"/>
        </w:rPr>
        <w:t>. There is, however, heterogeneous exposure measurement (self</w:t>
      </w:r>
      <w:r w:rsidRPr="00C07BB7">
        <w:rPr>
          <w:rFonts w:ascii="Cambria Math" w:hAnsi="Cambria Math" w:cs="Cambria Math"/>
        </w:rPr>
        <w:t>‐</w:t>
      </w:r>
      <w:r w:rsidRPr="00C07BB7">
        <w:rPr>
          <w:rFonts w:cs="Arial"/>
        </w:rPr>
        <w:t>reported diet, BMI vs body composition), and confounding is common, and reverse causation is not ruled out in cross</w:t>
      </w:r>
      <w:r w:rsidRPr="00C07BB7">
        <w:rPr>
          <w:rFonts w:ascii="Cambria Math" w:hAnsi="Cambria Math" w:cs="Cambria Math"/>
        </w:rPr>
        <w:t>‐</w:t>
      </w:r>
      <w:r w:rsidRPr="00C07BB7">
        <w:rPr>
          <w:rFonts w:cs="Arial"/>
        </w:rPr>
        <w:t>sectional analyses. Overall, lifestyle evidence is plausible and actionable, but is of moderate certainty with measurement heterogeneity and residual confounding (</w:t>
      </w:r>
      <w:proofErr w:type="spellStart"/>
      <w:r w:rsidRPr="00C07BB7">
        <w:rPr>
          <w:rFonts w:cs="Arial"/>
        </w:rPr>
        <w:t>Honigberg</w:t>
      </w:r>
      <w:proofErr w:type="spellEnd"/>
      <w:r w:rsidRPr="00C07BB7">
        <w:rPr>
          <w:rFonts w:cs="Arial"/>
        </w:rPr>
        <w:t xml:space="preserve"> et al., 2021; </w:t>
      </w:r>
      <w:proofErr w:type="spellStart"/>
      <w:r w:rsidRPr="00C07BB7">
        <w:rPr>
          <w:rFonts w:cs="Arial"/>
        </w:rPr>
        <w:t>Staplin</w:t>
      </w:r>
      <w:proofErr w:type="spellEnd"/>
      <w:r w:rsidRPr="00C07BB7">
        <w:rPr>
          <w:rFonts w:cs="Arial"/>
        </w:rPr>
        <w:t xml:space="preserve"> et al., 2022; Wang et al., 2022).</w:t>
      </w:r>
    </w:p>
    <w:p w14:paraId="5E71B18B" w14:textId="53F3497A" w:rsidR="00544F3D" w:rsidRPr="00C07BB7" w:rsidRDefault="00757788" w:rsidP="00462CB9">
      <w:pPr>
        <w:rPr>
          <w:rFonts w:cs="Arial"/>
        </w:rPr>
      </w:pPr>
      <w:r w:rsidRPr="00C07BB7">
        <w:rPr>
          <w:rFonts w:cs="Arial"/>
        </w:rPr>
        <w:t xml:space="preserve">There is limited evidence to support the role of social determinants (deprivation, education), psychosocial stressors and environmental exposures (air pollution, occupational hazards) in the risk of CKD in </w:t>
      </w:r>
      <w:r w:rsidR="002D4B06" w:rsidRPr="00C07BB7">
        <w:rPr>
          <w:rFonts w:cs="Arial"/>
        </w:rPr>
        <w:t>several</w:t>
      </w:r>
      <w:r w:rsidRPr="00C07BB7">
        <w:rPr>
          <w:rFonts w:cs="Arial"/>
        </w:rPr>
        <w:t xml:space="preserve"> UK studies. Confidence in causal interpretation is limited by the small sample size and/or the fact that many analyses are cross-sectional or fail to adjust for extensive confounding or comorbidity. Identification of susceptibility loci through genetic studies, but limited translation to the population level for prevention; needs larger and representative studies to better understand these pathways</w:t>
      </w:r>
      <w:r w:rsidR="005344D0" w:rsidRPr="00C07BB7">
        <w:rPr>
          <w:rFonts w:cs="Arial"/>
        </w:rPr>
        <w:t xml:space="preserve"> </w:t>
      </w:r>
      <w:r w:rsidR="005344D0" w:rsidRPr="00C07BB7">
        <w:rPr>
          <w:rFonts w:cs="Arial"/>
          <w:color w:val="000000"/>
        </w:rPr>
        <w:t>(Gu et al., 2023; Heo et al., 2023; Tang et al., 2023)</w:t>
      </w:r>
      <w:r w:rsidR="00544F3D" w:rsidRPr="00C07BB7">
        <w:rPr>
          <w:rFonts w:cs="Arial"/>
        </w:rPr>
        <w:t xml:space="preserve">. Heo et al. (2024) reported an association of sweetened beverage consumption with incident CKD in the UK Biobank, and Koh et al. (2024) studied the association between dietary magnesium and CKD risk. A higher adherence to a Mediterranean diet was linked to reduced risk for diabetic kidney disease in individuals with </w:t>
      </w:r>
      <w:proofErr w:type="spellStart"/>
      <w:r w:rsidR="00544F3D" w:rsidRPr="00C07BB7">
        <w:rPr>
          <w:rFonts w:cs="Arial"/>
        </w:rPr>
        <w:t>hyperglycaemia</w:t>
      </w:r>
      <w:proofErr w:type="spellEnd"/>
      <w:r w:rsidR="00544F3D" w:rsidRPr="00C07BB7">
        <w:rPr>
          <w:rFonts w:cs="Arial"/>
        </w:rPr>
        <w:t xml:space="preserve">, according to the findings of Qu et al. (2024). Kim et al. (2026) and </w:t>
      </w:r>
      <w:proofErr w:type="spellStart"/>
      <w:r w:rsidR="00544F3D" w:rsidRPr="00C07BB7">
        <w:rPr>
          <w:rFonts w:cs="Arial"/>
        </w:rPr>
        <w:t>Lv</w:t>
      </w:r>
      <w:proofErr w:type="spellEnd"/>
      <w:r w:rsidR="00544F3D" w:rsidRPr="00C07BB7">
        <w:rPr>
          <w:rFonts w:cs="Arial"/>
        </w:rPr>
        <w:t xml:space="preserve"> et al. (2026) built on this research for a more general application of dietary patterns. These studies have identified potentially important preventive factors, but there is significant observational and</w:t>
      </w:r>
      <w:r w:rsidR="00C765C5">
        <w:rPr>
          <w:rFonts w:cs="Arial"/>
        </w:rPr>
        <w:t xml:space="preserve"> the</w:t>
      </w:r>
      <w:r w:rsidR="00544F3D" w:rsidRPr="00C07BB7">
        <w:rPr>
          <w:rFonts w:cs="Arial"/>
        </w:rPr>
        <w:t xml:space="preserve"> UK Biobank evidence. These types of designs can detect population associations but not prove causality, as there is a potential for residual confounding and self-reported dietary measurement and selection effects to affect the results. Therefore, recommendations on diet should not be overly confident</w:t>
      </w:r>
      <w:r w:rsidR="00F25A26" w:rsidRPr="00C07BB7">
        <w:rPr>
          <w:rFonts w:cs="Arial"/>
        </w:rPr>
        <w:t xml:space="preserve"> (Liu et al., 2024; Lin et al., 2024; Jin et al., 2025)</w:t>
      </w:r>
      <w:r w:rsidR="00544F3D" w:rsidRPr="00C07BB7">
        <w:rPr>
          <w:rFonts w:cs="Arial"/>
        </w:rPr>
        <w:t>.</w:t>
      </w:r>
    </w:p>
    <w:p w14:paraId="4AB51A35" w14:textId="1D8A99F4" w:rsidR="00544F3D" w:rsidRPr="00C07BB7" w:rsidRDefault="00544F3D" w:rsidP="00462CB9">
      <w:pPr>
        <w:rPr>
          <w:rFonts w:cs="Arial"/>
        </w:rPr>
      </w:pPr>
      <w:r w:rsidRPr="00C07BB7">
        <w:rPr>
          <w:rFonts w:cs="Arial"/>
        </w:rPr>
        <w:t>The practical application of dietary recommendations also depends on their affordability, cultural preferences and food access, all of which can impact lower-income groups. Evidence of physical activity interventions is more robust. In individuals with cardiometabolic disease, Liu et al. (2026) found a relationship between physical activity and decreased risk of CKD, and Greenwood et al. (2024b) noted that the Kidney BEAM digital intervention resulted in increased physical activity</w:t>
      </w:r>
      <w:r w:rsidR="00826D2E" w:rsidRPr="00C07BB7">
        <w:rPr>
          <w:rFonts w:cs="Arial"/>
        </w:rPr>
        <w:t xml:space="preserve"> </w:t>
      </w:r>
      <w:r w:rsidR="00826D2E" w:rsidRPr="00C07BB7">
        <w:rPr>
          <w:rFonts w:cs="Arial"/>
          <w:color w:val="000000"/>
        </w:rPr>
        <w:t>(Cao et al., 2022; He et al., 2023; Park et al., 2022)</w:t>
      </w:r>
      <w:r w:rsidRPr="00C07BB7">
        <w:rPr>
          <w:rFonts w:cs="Arial"/>
        </w:rPr>
        <w:t xml:space="preserve">. </w:t>
      </w:r>
      <w:proofErr w:type="spellStart"/>
      <w:r w:rsidRPr="00C07BB7">
        <w:rPr>
          <w:rFonts w:cs="Arial"/>
        </w:rPr>
        <w:t>Randomised</w:t>
      </w:r>
      <w:proofErr w:type="spellEnd"/>
      <w:r w:rsidRPr="00C07BB7">
        <w:rPr>
          <w:rFonts w:cs="Arial"/>
        </w:rPr>
        <w:t xml:space="preserve"> controlled design in Kidney BEAM enhances the effectiveness of the evidence for intervention effectiveness compared to observational lifestyle studies, due to the benefits of </w:t>
      </w:r>
      <w:proofErr w:type="spellStart"/>
      <w:r w:rsidRPr="00C07BB7">
        <w:rPr>
          <w:rFonts w:cs="Arial"/>
        </w:rPr>
        <w:t>randomisation</w:t>
      </w:r>
      <w:proofErr w:type="spellEnd"/>
      <w:r w:rsidRPr="00C07BB7">
        <w:rPr>
          <w:rFonts w:cs="Arial"/>
        </w:rPr>
        <w:t xml:space="preserve"> in enhancing causal inference. However, there may be limitations in </w:t>
      </w:r>
      <w:proofErr w:type="spellStart"/>
      <w:r w:rsidRPr="00C07BB7">
        <w:rPr>
          <w:rFonts w:cs="Arial"/>
        </w:rPr>
        <w:t>generalisability</w:t>
      </w:r>
      <w:proofErr w:type="spellEnd"/>
      <w:r w:rsidRPr="00C07BB7">
        <w:rPr>
          <w:rFonts w:cs="Arial"/>
        </w:rPr>
        <w:t xml:space="preserve"> due to digital engagement and participant characteristics such as age or digital exclusion.</w:t>
      </w:r>
    </w:p>
    <w:p w14:paraId="20BB2EA2" w14:textId="77777777" w:rsidR="00544F3D" w:rsidRPr="008A3F07" w:rsidRDefault="00544F3D" w:rsidP="00462CB9">
      <w:pPr>
        <w:pStyle w:val="Heading3"/>
        <w:rPr>
          <w:rFonts w:cs="Arial"/>
          <w:color w:val="auto"/>
        </w:rPr>
      </w:pPr>
      <w:bookmarkStart w:id="44" w:name="_Toc239290095"/>
      <w:bookmarkStart w:id="45" w:name="_Toc240666901"/>
      <w:bookmarkStart w:id="46" w:name="_Toc241011051"/>
      <w:r w:rsidRPr="008A3F07">
        <w:rPr>
          <w:rFonts w:cs="Arial"/>
          <w:color w:val="auto"/>
        </w:rPr>
        <w:t>2.2.5 Social, Psychological, Genetic and Environmental Risk Factors</w:t>
      </w:r>
      <w:bookmarkEnd w:id="44"/>
      <w:bookmarkEnd w:id="45"/>
      <w:bookmarkEnd w:id="46"/>
    </w:p>
    <w:p w14:paraId="47F8CC5A" w14:textId="631B8AB2" w:rsidR="00544F3D" w:rsidRPr="00C07BB7" w:rsidRDefault="00544F3D" w:rsidP="00462CB9">
      <w:pPr>
        <w:rPr>
          <w:rFonts w:cs="Arial"/>
        </w:rPr>
      </w:pPr>
      <w:r w:rsidRPr="00C07BB7">
        <w:rPr>
          <w:rFonts w:cs="Arial"/>
        </w:rPr>
        <w:t>Social, psychological, genetic and environmental factors also play a role in the risk of CKD</w:t>
      </w:r>
      <w:r w:rsidR="00DE66B3" w:rsidRPr="00C07BB7">
        <w:rPr>
          <w:rFonts w:cs="Arial"/>
        </w:rPr>
        <w:t xml:space="preserve"> </w:t>
      </w:r>
      <w:r w:rsidR="00DE66B3" w:rsidRPr="00C07BB7">
        <w:rPr>
          <w:rFonts w:cs="Arial"/>
          <w:color w:val="000000"/>
        </w:rPr>
        <w:t>(Liu et al., 2023; Mathur et al., 2018; Wu et al., 2023)</w:t>
      </w:r>
      <w:r w:rsidRPr="00C07BB7">
        <w:rPr>
          <w:rFonts w:cs="Arial"/>
        </w:rPr>
        <w:t xml:space="preserve">. Sawhney et al. (2024) found an association between individual and </w:t>
      </w:r>
      <w:proofErr w:type="spellStart"/>
      <w:r w:rsidRPr="00C07BB7">
        <w:rPr>
          <w:rFonts w:cs="Arial"/>
        </w:rPr>
        <w:t>neighbourhood</w:t>
      </w:r>
      <w:proofErr w:type="spellEnd"/>
      <w:r w:rsidRPr="00C07BB7">
        <w:rPr>
          <w:rFonts w:cs="Arial"/>
        </w:rPr>
        <w:t xml:space="preserve"> deprivation and kidney health, showing that individual </w:t>
      </w:r>
      <w:proofErr w:type="spellStart"/>
      <w:r w:rsidRPr="00C07BB7">
        <w:rPr>
          <w:rFonts w:cs="Arial"/>
        </w:rPr>
        <w:t>behaviours</w:t>
      </w:r>
      <w:proofErr w:type="spellEnd"/>
      <w:r w:rsidRPr="00C07BB7">
        <w:rPr>
          <w:rFonts w:cs="Arial"/>
        </w:rPr>
        <w:t xml:space="preserve"> alone </w:t>
      </w:r>
      <w:proofErr w:type="spellStart"/>
      <w:r w:rsidR="008A3F07" w:rsidRPr="00C07BB7">
        <w:rPr>
          <w:rFonts w:cs="Arial"/>
        </w:rPr>
        <w:t>can</w:t>
      </w:r>
      <w:r w:rsidR="008A3F07">
        <w:rPr>
          <w:rFonts w:cs="Arial"/>
        </w:rPr>
        <w:t xml:space="preserve"> n</w:t>
      </w:r>
      <w:r w:rsidR="008A3F07" w:rsidRPr="00C07BB7">
        <w:rPr>
          <w:rFonts w:cs="Arial"/>
        </w:rPr>
        <w:t>ot</w:t>
      </w:r>
      <w:proofErr w:type="spellEnd"/>
      <w:r w:rsidRPr="00C07BB7">
        <w:rPr>
          <w:rFonts w:cs="Arial"/>
        </w:rPr>
        <w:t xml:space="preserve"> explain CKD. Deprivation can exacerbate food insecurity, health literacy, and access to preventive services and delayed diagnosis</w:t>
      </w:r>
      <w:r w:rsidR="00F740B5" w:rsidRPr="00C07BB7">
        <w:rPr>
          <w:rFonts w:cs="Arial"/>
        </w:rPr>
        <w:t xml:space="preserve"> (Croucher et al., 2026)</w:t>
      </w:r>
      <w:r w:rsidRPr="00C07BB7">
        <w:rPr>
          <w:rFonts w:cs="Arial"/>
        </w:rPr>
        <w:t xml:space="preserve">. Tang et al. (2024b) also found a correlation between loneliness, social isolation and incident CKD among individuals with diabetes. This does not mean that loneliness leads to CKD; psychosocial vulnerability can go through health </w:t>
      </w:r>
      <w:proofErr w:type="spellStart"/>
      <w:r w:rsidRPr="00C07BB7">
        <w:rPr>
          <w:rFonts w:cs="Arial"/>
        </w:rPr>
        <w:t>behaviours</w:t>
      </w:r>
      <w:proofErr w:type="spellEnd"/>
      <w:r w:rsidRPr="00C07BB7">
        <w:rPr>
          <w:rFonts w:cs="Arial"/>
        </w:rPr>
        <w:t>, support networks, and involvement in health care.</w:t>
      </w:r>
    </w:p>
    <w:p w14:paraId="2EC467D2" w14:textId="2204C121" w:rsidR="00544F3D" w:rsidRPr="00C07BB7" w:rsidRDefault="00544F3D" w:rsidP="00462CB9">
      <w:pPr>
        <w:rPr>
          <w:rFonts w:cs="Arial"/>
        </w:rPr>
      </w:pPr>
      <w:r w:rsidRPr="00C07BB7">
        <w:rPr>
          <w:rFonts w:cs="Arial"/>
        </w:rPr>
        <w:t xml:space="preserve">There are aspects of mental health and quality of life that are relevant to management. Castle et al. (2024) and Greenwood et al. (2024a) reported positive impacts of Kidney BEAM on mental health-related quality of life and cost-effectiveness. But </w:t>
      </w:r>
      <w:proofErr w:type="spellStart"/>
      <w:r w:rsidRPr="00C07BB7">
        <w:rPr>
          <w:rFonts w:cs="Arial"/>
        </w:rPr>
        <w:t>Kaklamanou</w:t>
      </w:r>
      <w:proofErr w:type="spellEnd"/>
      <w:r w:rsidRPr="00C07BB7">
        <w:rPr>
          <w:rFonts w:cs="Arial"/>
        </w:rPr>
        <w:t xml:space="preserve"> et al. (2024) demonstrated the effect of perceived usefulness and ease of use on the acceptance of digital health. This is a key paradox: digital interventions can have positive impacts on the outcomes of those who engage with </w:t>
      </w:r>
      <w:r w:rsidR="00FB4D98" w:rsidRPr="00C07BB7">
        <w:rPr>
          <w:rFonts w:cs="Arial"/>
        </w:rPr>
        <w:t>them but</w:t>
      </w:r>
      <w:r w:rsidRPr="00C07BB7">
        <w:rPr>
          <w:rFonts w:cs="Arial"/>
        </w:rPr>
        <w:t xml:space="preserve"> could also exacerbate inequalities if those who are not able to engage with digital interventions are less likely to benefit. Accessibility should, therefore, be used in conjunction with evidence of effectiveness.</w:t>
      </w:r>
    </w:p>
    <w:p w14:paraId="3FCFB5EF" w14:textId="52B4E517" w:rsidR="00544F3D" w:rsidRPr="00C07BB7" w:rsidRDefault="00544F3D" w:rsidP="00462CB9">
      <w:pPr>
        <w:rPr>
          <w:rFonts w:cs="Arial"/>
        </w:rPr>
      </w:pPr>
      <w:r w:rsidRPr="00C07BB7">
        <w:rPr>
          <w:rFonts w:cs="Arial"/>
        </w:rPr>
        <w:t xml:space="preserve">Biological and environmental studies expand knowledge of the risk of CKD. Weon et al. (2024) investigated genetic susceptibility to </w:t>
      </w:r>
      <w:proofErr w:type="spellStart"/>
      <w:r w:rsidRPr="00C07BB7">
        <w:rPr>
          <w:rFonts w:cs="Arial"/>
        </w:rPr>
        <w:t>dyslipidaemia</w:t>
      </w:r>
      <w:proofErr w:type="spellEnd"/>
      <w:r w:rsidRPr="00C07BB7">
        <w:rPr>
          <w:rFonts w:cs="Arial"/>
        </w:rPr>
        <w:t>. While Zhang et al. (2024) studied associations between air pollution exposure and risk of CKD in diabetes</w:t>
      </w:r>
      <w:r w:rsidR="00016401" w:rsidRPr="00C07BB7">
        <w:rPr>
          <w:rFonts w:cs="Arial"/>
        </w:rPr>
        <w:t xml:space="preserve">. </w:t>
      </w:r>
      <w:r w:rsidRPr="00C07BB7">
        <w:rPr>
          <w:rFonts w:cs="Arial"/>
        </w:rPr>
        <w:t xml:space="preserve">The fact that these studies show that CKD is not just the domain of </w:t>
      </w:r>
      <w:proofErr w:type="spellStart"/>
      <w:r w:rsidRPr="00C07BB7">
        <w:rPr>
          <w:rFonts w:cs="Arial"/>
        </w:rPr>
        <w:t>behaviours</w:t>
      </w:r>
      <w:proofErr w:type="spellEnd"/>
      <w:r w:rsidRPr="00C07BB7">
        <w:rPr>
          <w:rFonts w:cs="Arial"/>
        </w:rPr>
        <w:t xml:space="preserve"> that can be modified immediately. However, many are observational and thus can only be used to identify correlations rather than cause. Overall, the data </w:t>
      </w:r>
      <w:proofErr w:type="spellStart"/>
      <w:r w:rsidRPr="00C07BB7">
        <w:rPr>
          <w:rFonts w:cs="Arial"/>
        </w:rPr>
        <w:t>favour</w:t>
      </w:r>
      <w:proofErr w:type="spellEnd"/>
      <w:r w:rsidRPr="00C07BB7">
        <w:rPr>
          <w:rFonts w:cs="Arial"/>
        </w:rPr>
        <w:t xml:space="preserve"> a multi-dimensional model in which biological vulnerability, social inequality, psychological factors and environmental exposure </w:t>
      </w:r>
      <w:proofErr w:type="spellStart"/>
      <w:r w:rsidRPr="00C07BB7">
        <w:rPr>
          <w:rFonts w:cs="Arial"/>
        </w:rPr>
        <w:t>synergise</w:t>
      </w:r>
      <w:proofErr w:type="spellEnd"/>
      <w:r w:rsidRPr="00C07BB7">
        <w:rPr>
          <w:rFonts w:cs="Arial"/>
        </w:rPr>
        <w:t xml:space="preserve"> with existing metabolic and </w:t>
      </w:r>
      <w:proofErr w:type="spellStart"/>
      <w:r w:rsidRPr="00C07BB7">
        <w:rPr>
          <w:rFonts w:cs="Arial"/>
        </w:rPr>
        <w:t>behavioural</w:t>
      </w:r>
      <w:proofErr w:type="spellEnd"/>
      <w:r w:rsidRPr="00C07BB7">
        <w:rPr>
          <w:rFonts w:cs="Arial"/>
        </w:rPr>
        <w:t xml:space="preserve"> risk factors.</w:t>
      </w:r>
    </w:p>
    <w:p w14:paraId="1E837914" w14:textId="77777777" w:rsidR="00544F3D" w:rsidRPr="008A3F07" w:rsidRDefault="00544F3D" w:rsidP="00462CB9">
      <w:pPr>
        <w:pStyle w:val="Heading3"/>
        <w:rPr>
          <w:rFonts w:cs="Arial"/>
          <w:color w:val="auto"/>
        </w:rPr>
      </w:pPr>
      <w:bookmarkStart w:id="47" w:name="_Toc239290096"/>
      <w:bookmarkStart w:id="48" w:name="_Toc240666902"/>
      <w:bookmarkStart w:id="49" w:name="_Toc241011052"/>
      <w:r w:rsidRPr="008A3F07">
        <w:rPr>
          <w:rStyle w:val="Strong"/>
          <w:rFonts w:cs="Arial"/>
          <w:b/>
          <w:bCs/>
          <w:color w:val="auto"/>
        </w:rPr>
        <w:t>2.2.6 Diagnosis, Screening and Risk Stratification</w:t>
      </w:r>
      <w:bookmarkEnd w:id="47"/>
      <w:bookmarkEnd w:id="48"/>
      <w:bookmarkEnd w:id="49"/>
    </w:p>
    <w:p w14:paraId="34C8B348" w14:textId="62A415E0" w:rsidR="00544F3D" w:rsidRPr="00C07BB7" w:rsidRDefault="00544F3D" w:rsidP="00462CB9">
      <w:pPr>
        <w:rPr>
          <w:rFonts w:cs="Arial"/>
        </w:rPr>
      </w:pPr>
      <w:r w:rsidRPr="00C07BB7">
        <w:rPr>
          <w:rFonts w:cs="Arial"/>
        </w:rPr>
        <w:t xml:space="preserve">Diagnosis and screening </w:t>
      </w:r>
      <w:r w:rsidR="001E7DB1" w:rsidRPr="00C07BB7">
        <w:rPr>
          <w:rFonts w:cs="Arial"/>
        </w:rPr>
        <w:t>play a central role</w:t>
      </w:r>
      <w:r w:rsidRPr="00C07BB7">
        <w:rPr>
          <w:rFonts w:cs="Arial"/>
        </w:rPr>
        <w:t xml:space="preserve"> in the management of CKD, as treatment depends on adequate diagnosis of CKD. The detection, diagnosis and disclosure of CKD continue to be barriers and enablers of effective CKD care in</w:t>
      </w:r>
      <w:r w:rsidR="00F64A0E">
        <w:rPr>
          <w:rFonts w:cs="Arial"/>
        </w:rPr>
        <w:t xml:space="preserve"> the</w:t>
      </w:r>
      <w:r w:rsidRPr="00C07BB7">
        <w:rPr>
          <w:rFonts w:cs="Arial"/>
        </w:rPr>
        <w:t xml:space="preserve"> UK primary care (Stewart et al., 2024</w:t>
      </w:r>
      <w:r w:rsidR="0055105F" w:rsidRPr="00C07BB7">
        <w:rPr>
          <w:rFonts w:cs="Arial"/>
        </w:rPr>
        <w:t>; Stewart et al., 2024; Griffiths et al., 2024</w:t>
      </w:r>
      <w:r w:rsidRPr="00C07BB7">
        <w:rPr>
          <w:rFonts w:cs="Arial"/>
        </w:rPr>
        <w:t>). This is a concern because the symptoms of CKD may be present, it may not be diagnosed. Sisk et al. (2024) have shown that diagnosis codes underestimate the incidence of CKD based on evidence of eGFR in</w:t>
      </w:r>
      <w:r w:rsidR="00F64A0E">
        <w:rPr>
          <w:rFonts w:cs="Arial"/>
        </w:rPr>
        <w:t xml:space="preserve"> the</w:t>
      </w:r>
      <w:r w:rsidRPr="00C07BB7">
        <w:rPr>
          <w:rFonts w:cs="Arial"/>
        </w:rPr>
        <w:t xml:space="preserve"> UK primary-care patients with type 2 diabetes. Therefore, CKD is not only underdiagnosed, but it is also not recorded, which may lead to a reduction in the number of opportunities to monitor, educate and treat </w:t>
      </w:r>
      <w:r w:rsidR="00FB4D98" w:rsidRPr="00C07BB7">
        <w:rPr>
          <w:rFonts w:cs="Arial"/>
        </w:rPr>
        <w:t>people</w:t>
      </w:r>
      <w:r w:rsidRPr="00C07BB7">
        <w:rPr>
          <w:rFonts w:cs="Arial"/>
        </w:rPr>
        <w:t xml:space="preserve"> early.</w:t>
      </w:r>
    </w:p>
    <w:p w14:paraId="1292A1C8" w14:textId="15A7DAA8" w:rsidR="00544F3D" w:rsidRPr="00C07BB7" w:rsidRDefault="00544F3D" w:rsidP="00462CB9">
      <w:pPr>
        <w:rPr>
          <w:rFonts w:cs="Arial"/>
        </w:rPr>
      </w:pPr>
      <w:r w:rsidRPr="00C07BB7">
        <w:rPr>
          <w:rFonts w:cs="Arial"/>
        </w:rPr>
        <w:t xml:space="preserve">Risk stratification can be useful to ensure that the best possible care is achieved in CKD </w:t>
      </w:r>
      <w:proofErr w:type="spellStart"/>
      <w:r w:rsidRPr="00C07BB7">
        <w:rPr>
          <w:rFonts w:cs="Arial"/>
        </w:rPr>
        <w:t>recognising</w:t>
      </w:r>
      <w:proofErr w:type="spellEnd"/>
      <w:r w:rsidRPr="00C07BB7">
        <w:rPr>
          <w:rFonts w:cs="Arial"/>
        </w:rPr>
        <w:t xml:space="preserve"> those patients who require additional follow-up or referral</w:t>
      </w:r>
      <w:r w:rsidR="00CF4029" w:rsidRPr="00C07BB7">
        <w:rPr>
          <w:rFonts w:cs="Arial"/>
        </w:rPr>
        <w:t xml:space="preserve"> </w:t>
      </w:r>
      <w:r w:rsidR="00CF4029" w:rsidRPr="00C07BB7">
        <w:rPr>
          <w:rFonts w:cs="Arial"/>
          <w:color w:val="000000"/>
        </w:rPr>
        <w:t>(Lees et al., 2019; Lees et al., 2022; Major et al., 2019</w:t>
      </w:r>
      <w:r w:rsidR="0055105F" w:rsidRPr="00C07BB7">
        <w:rPr>
          <w:rFonts w:cs="Arial"/>
          <w:color w:val="000000"/>
        </w:rPr>
        <w:t xml:space="preserve">; </w:t>
      </w:r>
      <w:proofErr w:type="spellStart"/>
      <w:r w:rsidR="0055105F" w:rsidRPr="00C07BB7">
        <w:rPr>
          <w:rFonts w:cs="Arial"/>
          <w:color w:val="000000"/>
        </w:rPr>
        <w:t>Goubar</w:t>
      </w:r>
      <w:proofErr w:type="spellEnd"/>
      <w:r w:rsidR="0055105F" w:rsidRPr="00C07BB7">
        <w:rPr>
          <w:rFonts w:cs="Arial"/>
          <w:color w:val="000000"/>
        </w:rPr>
        <w:t xml:space="preserve"> et al., 2024</w:t>
      </w:r>
      <w:r w:rsidR="00CF4029" w:rsidRPr="00C07BB7">
        <w:rPr>
          <w:rFonts w:cs="Arial"/>
          <w:color w:val="000000"/>
        </w:rPr>
        <w:t>)</w:t>
      </w:r>
      <w:r w:rsidRPr="00C07BB7">
        <w:rPr>
          <w:rFonts w:cs="Arial"/>
        </w:rPr>
        <w:t xml:space="preserve">. Walker et al. (2025) spoke about introducing KFRE into daily practice and highlighted inequities in the care of CKD. Sullivan et al. (2023) also demonstrated that the implementation of NICE referral guidance could impact referral uptake from primary care to nephrology care. To be effective, risk tools need to be applied fairly, with respect to the test, coding and follow-up. Support for better diagnosis and </w:t>
      </w:r>
      <w:proofErr w:type="spellStart"/>
      <w:r w:rsidRPr="00C07BB7">
        <w:rPr>
          <w:rFonts w:cs="Arial"/>
        </w:rPr>
        <w:t>optimisation</w:t>
      </w:r>
      <w:proofErr w:type="spellEnd"/>
      <w:r w:rsidRPr="00C07BB7">
        <w:rPr>
          <w:rFonts w:cs="Arial"/>
        </w:rPr>
        <w:t xml:space="preserve"> is also possible in the integrated service models and point-of-care. Gama et al. (2025) described a primary-care kidney disease clinic for CKD patients who are </w:t>
      </w:r>
      <w:proofErr w:type="spellStart"/>
      <w:r w:rsidRPr="00C07BB7">
        <w:rPr>
          <w:rFonts w:cs="Arial"/>
        </w:rPr>
        <w:t>optimised</w:t>
      </w:r>
      <w:proofErr w:type="spellEnd"/>
      <w:r w:rsidRPr="00C07BB7">
        <w:rPr>
          <w:rFonts w:cs="Arial"/>
        </w:rPr>
        <w:t xml:space="preserve"> on medication, and Jones et al. (2025) reviewed the integration of CKD between primary and secondary care. The models have been encouraging, but it may be necessary to </w:t>
      </w:r>
      <w:r w:rsidR="002A55E6" w:rsidRPr="00C07BB7">
        <w:rPr>
          <w:rFonts w:cs="Arial"/>
        </w:rPr>
        <w:t>ensure that successful outcomes observed in one setting</w:t>
      </w:r>
      <w:r w:rsidRPr="00C07BB7">
        <w:rPr>
          <w:rFonts w:cs="Arial"/>
        </w:rPr>
        <w:t xml:space="preserve"> </w:t>
      </w:r>
      <w:r w:rsidR="00FB4D98" w:rsidRPr="00C07BB7">
        <w:rPr>
          <w:rFonts w:cs="Arial"/>
        </w:rPr>
        <w:t>do</w:t>
      </w:r>
      <w:r w:rsidRPr="00C07BB7">
        <w:rPr>
          <w:rFonts w:cs="Arial"/>
        </w:rPr>
        <w:t xml:space="preserve"> n</w:t>
      </w:r>
      <w:r w:rsidR="00E7437F" w:rsidRPr="00C07BB7">
        <w:rPr>
          <w:rFonts w:cs="Arial"/>
        </w:rPr>
        <w:t>o</w:t>
      </w:r>
      <w:r w:rsidRPr="00C07BB7">
        <w:rPr>
          <w:rFonts w:cs="Arial"/>
        </w:rPr>
        <w:t>t necessarily be replicated in another place in the NHS.</w:t>
      </w:r>
    </w:p>
    <w:p w14:paraId="1E553A38" w14:textId="77777777" w:rsidR="00544F3D" w:rsidRPr="00C07BB7" w:rsidRDefault="00544F3D" w:rsidP="00462CB9">
      <w:pPr>
        <w:rPr>
          <w:rFonts w:cs="Arial"/>
        </w:rPr>
      </w:pPr>
      <w:r w:rsidRPr="00C07BB7">
        <w:rPr>
          <w:rFonts w:cs="Arial"/>
        </w:rPr>
        <w:t>However, there is not yet compelling evidence to support indiscriminate population-wide screening for CKD, as much of the CKD research relates to high-risk populations and risk stratification. Appropriate targeting, accurate testing, follow-up capacity and access to effective treatment after identification are therefore critical to the efficacy of the screening.</w:t>
      </w:r>
    </w:p>
    <w:p w14:paraId="46A73189" w14:textId="77777777" w:rsidR="00544F3D" w:rsidRPr="008A3F07" w:rsidRDefault="00544F3D" w:rsidP="00462CB9">
      <w:pPr>
        <w:pStyle w:val="Heading3"/>
        <w:rPr>
          <w:rFonts w:cs="Arial"/>
          <w:color w:val="auto"/>
        </w:rPr>
      </w:pPr>
      <w:bookmarkStart w:id="50" w:name="_Toc239290097"/>
      <w:bookmarkStart w:id="51" w:name="_Toc240666903"/>
      <w:bookmarkStart w:id="52" w:name="_Toc241011053"/>
      <w:r w:rsidRPr="008A3F07">
        <w:rPr>
          <w:rStyle w:val="Strong"/>
          <w:rFonts w:cs="Arial"/>
          <w:b/>
          <w:bCs/>
          <w:color w:val="auto"/>
        </w:rPr>
        <w:t>2.2.7 Pharmacological Management of CKD</w:t>
      </w:r>
      <w:bookmarkEnd w:id="50"/>
      <w:bookmarkEnd w:id="51"/>
      <w:bookmarkEnd w:id="52"/>
    </w:p>
    <w:p w14:paraId="172441A5" w14:textId="12FDE193" w:rsidR="00544F3D" w:rsidRPr="00C07BB7" w:rsidRDefault="00544F3D" w:rsidP="00462CB9">
      <w:pPr>
        <w:rPr>
          <w:rFonts w:cs="Arial"/>
        </w:rPr>
      </w:pPr>
      <w:r w:rsidRPr="00C07BB7">
        <w:rPr>
          <w:rFonts w:cs="Arial"/>
        </w:rPr>
        <w:t>Pharmacological management is crucial in adults with CKD, particularly in the presence of diabetes, hypertension, albuminuria or cardiovascular risk. Poor uptake of SGLT2 inhibitor guidance in</w:t>
      </w:r>
      <w:r w:rsidR="006315DC">
        <w:rPr>
          <w:rFonts w:cs="Arial"/>
        </w:rPr>
        <w:t xml:space="preserve"> the</w:t>
      </w:r>
      <w:r w:rsidRPr="00C07BB7">
        <w:rPr>
          <w:rFonts w:cs="Arial"/>
        </w:rPr>
        <w:t xml:space="preserve"> UK primary care (Forbes et al., 2024) and the cost-effectiveness of empagliflozin as add-on therapy for CKD management in the UK (Ramos et al., 2024) were reported. This means the value of SGLT2 inhibitors in terms of both clinical and economic outcomes is very sensitive to the timely diagnosis, correct prescription, eligibility, and equitable access of patients.</w:t>
      </w:r>
    </w:p>
    <w:p w14:paraId="64F7077E" w14:textId="77777777" w:rsidR="00544F3D" w:rsidRPr="00C07BB7" w:rsidRDefault="00544F3D" w:rsidP="00462CB9">
      <w:pPr>
        <w:rPr>
          <w:rFonts w:cs="Arial"/>
        </w:rPr>
      </w:pPr>
      <w:proofErr w:type="spellStart"/>
      <w:r w:rsidRPr="00C07BB7">
        <w:rPr>
          <w:rFonts w:cs="Arial"/>
        </w:rPr>
        <w:t>Finerenone</w:t>
      </w:r>
      <w:proofErr w:type="spellEnd"/>
      <w:r w:rsidRPr="00C07BB7">
        <w:rPr>
          <w:rFonts w:cs="Arial"/>
        </w:rPr>
        <w:t xml:space="preserve"> can also be used in patients with type 2 diabetes and CKD. Cherney et al. (2025) found evidence of cost-effectiveness for the use of </w:t>
      </w:r>
      <w:proofErr w:type="spellStart"/>
      <w:r w:rsidRPr="00C07BB7">
        <w:rPr>
          <w:rFonts w:cs="Arial"/>
        </w:rPr>
        <w:t>finerenone</w:t>
      </w:r>
      <w:proofErr w:type="spellEnd"/>
      <w:r w:rsidRPr="00C07BB7">
        <w:rPr>
          <w:rFonts w:cs="Arial"/>
        </w:rPr>
        <w:t xml:space="preserve"> in England and Wales among those with CKD and Type 2 diabetes, and Jansz et al. (2026) did so for SGLT2 inhibitors in kidney protection. In addition, the management of complications is an important factor. The updated guidance on </w:t>
      </w:r>
      <w:proofErr w:type="spellStart"/>
      <w:r w:rsidRPr="00C07BB7">
        <w:rPr>
          <w:rFonts w:cs="Arial"/>
        </w:rPr>
        <w:t>anaemia</w:t>
      </w:r>
      <w:proofErr w:type="spellEnd"/>
      <w:r w:rsidRPr="00C07BB7">
        <w:rPr>
          <w:rFonts w:cs="Arial"/>
        </w:rPr>
        <w:t xml:space="preserve"> of CKD in the UK was provided by Bhandari et al (2025), and the importance of lipid management in DKD by Zac-Varghese et al (2024). Therefore, CKD should be treated along with the progression of the disease and cardiovascular risk and complications.</w:t>
      </w:r>
    </w:p>
    <w:p w14:paraId="73E76195" w14:textId="77777777" w:rsidR="00544F3D" w:rsidRPr="008A3F07" w:rsidRDefault="00544F3D" w:rsidP="00462CB9">
      <w:pPr>
        <w:pStyle w:val="Heading3"/>
        <w:rPr>
          <w:rFonts w:cs="Arial"/>
          <w:color w:val="auto"/>
        </w:rPr>
      </w:pPr>
      <w:bookmarkStart w:id="53" w:name="_Toc239290098"/>
      <w:bookmarkStart w:id="54" w:name="_Toc240666904"/>
      <w:bookmarkStart w:id="55" w:name="_Toc241011054"/>
      <w:r w:rsidRPr="008A3F07">
        <w:rPr>
          <w:rFonts w:cs="Arial"/>
          <w:color w:val="auto"/>
        </w:rPr>
        <w:t>2.2.8 Lifestyle, Digital and Patient-</w:t>
      </w:r>
      <w:proofErr w:type="spellStart"/>
      <w:r w:rsidRPr="008A3F07">
        <w:rPr>
          <w:rFonts w:cs="Arial"/>
          <w:color w:val="auto"/>
        </w:rPr>
        <w:t>Centred</w:t>
      </w:r>
      <w:proofErr w:type="spellEnd"/>
      <w:r w:rsidRPr="008A3F07">
        <w:rPr>
          <w:rFonts w:cs="Arial"/>
          <w:color w:val="auto"/>
        </w:rPr>
        <w:t xml:space="preserve"> Management</w:t>
      </w:r>
      <w:bookmarkEnd w:id="53"/>
      <w:bookmarkEnd w:id="54"/>
      <w:bookmarkEnd w:id="55"/>
    </w:p>
    <w:p w14:paraId="0E979827" w14:textId="29FB959B" w:rsidR="00544F3D" w:rsidRPr="00C07BB7" w:rsidRDefault="00544F3D" w:rsidP="00462CB9">
      <w:pPr>
        <w:rPr>
          <w:rFonts w:cs="Arial"/>
        </w:rPr>
      </w:pPr>
      <w:r w:rsidRPr="00C07BB7">
        <w:rPr>
          <w:rFonts w:cs="Arial"/>
        </w:rPr>
        <w:t xml:space="preserve">Non-pharmacological management is also crucial as lifestyle and self-management interventions could affect the progression of CKD, functional capacity and quality of life. The Kidney BEAM intervention led to increased physical activity in persons with CKD (Greenwood et al., 2024b) and benefits on mental health-related quality of life were reported by Castle et al. (2024). </w:t>
      </w:r>
      <w:proofErr w:type="spellStart"/>
      <w:r w:rsidRPr="00C07BB7">
        <w:rPr>
          <w:rFonts w:cs="Arial"/>
        </w:rPr>
        <w:t>Randomised</w:t>
      </w:r>
      <w:proofErr w:type="spellEnd"/>
      <w:r w:rsidRPr="00C07BB7">
        <w:rPr>
          <w:rFonts w:cs="Arial"/>
        </w:rPr>
        <w:t xml:space="preserve"> controlled design lends credibility to the effects of interventions in Kidney </w:t>
      </w:r>
      <w:r w:rsidR="00FB4D98" w:rsidRPr="00C07BB7">
        <w:rPr>
          <w:rFonts w:cs="Arial"/>
        </w:rPr>
        <w:t>BEAM but</w:t>
      </w:r>
      <w:r w:rsidRPr="00C07BB7">
        <w:rPr>
          <w:rFonts w:cs="Arial"/>
        </w:rPr>
        <w:t xml:space="preserve"> may be limited by the </w:t>
      </w:r>
      <w:proofErr w:type="spellStart"/>
      <w:r w:rsidRPr="00C07BB7">
        <w:rPr>
          <w:rFonts w:cs="Arial"/>
        </w:rPr>
        <w:t>generalisability</w:t>
      </w:r>
      <w:proofErr w:type="spellEnd"/>
      <w:r w:rsidRPr="00C07BB7">
        <w:rPr>
          <w:rFonts w:cs="Arial"/>
        </w:rPr>
        <w:t xml:space="preserve"> of digital access, motivation and engagement.</w:t>
      </w:r>
    </w:p>
    <w:p w14:paraId="68B4CFEE" w14:textId="5C0D2973" w:rsidR="00544F3D" w:rsidRPr="00C07BB7" w:rsidRDefault="00544F3D" w:rsidP="00462CB9">
      <w:pPr>
        <w:rPr>
          <w:rFonts w:cs="Arial"/>
        </w:rPr>
      </w:pPr>
      <w:r w:rsidRPr="00C07BB7">
        <w:rPr>
          <w:rFonts w:cs="Arial"/>
        </w:rPr>
        <w:t>Patient-</w:t>
      </w:r>
      <w:proofErr w:type="spellStart"/>
      <w:r w:rsidRPr="00C07BB7">
        <w:rPr>
          <w:rFonts w:cs="Arial"/>
        </w:rPr>
        <w:t>centred</w:t>
      </w:r>
      <w:proofErr w:type="spellEnd"/>
      <w:r w:rsidRPr="00C07BB7">
        <w:rPr>
          <w:rFonts w:cs="Arial"/>
        </w:rPr>
        <w:t xml:space="preserve"> care is also important as this has an impact on patients' daily function, emotional state and burden of treatment. The perceived usefulness and ease of use are found to influence acceptance of digital health, meaning that technological interventions cannot be beneficial for everyone (</w:t>
      </w:r>
      <w:proofErr w:type="spellStart"/>
      <w:r w:rsidRPr="00C07BB7">
        <w:rPr>
          <w:rFonts w:cs="Arial"/>
        </w:rPr>
        <w:t>Kaklamanou</w:t>
      </w:r>
      <w:proofErr w:type="spellEnd"/>
      <w:r w:rsidRPr="00C07BB7">
        <w:rPr>
          <w:rFonts w:cs="Arial"/>
        </w:rPr>
        <w:t xml:space="preserve"> et al., 2024). Hull et al. (2024) also showed the burden of </w:t>
      </w:r>
      <w:proofErr w:type="spellStart"/>
      <w:r w:rsidRPr="00C07BB7">
        <w:rPr>
          <w:rFonts w:cs="Arial"/>
        </w:rPr>
        <w:t>anaemia</w:t>
      </w:r>
      <w:proofErr w:type="spellEnd"/>
      <w:r w:rsidRPr="00C07BB7">
        <w:rPr>
          <w:rFonts w:cs="Arial"/>
        </w:rPr>
        <w:t xml:space="preserve"> associated with CKD on the patient/carer. Hence, effective management should include education, shared decision-making, self-management support and access to digital interventions in the routine management of</w:t>
      </w:r>
      <w:r w:rsidR="00F64A0E">
        <w:rPr>
          <w:rFonts w:cs="Arial"/>
        </w:rPr>
        <w:t xml:space="preserve"> the</w:t>
      </w:r>
      <w:r w:rsidRPr="00C07BB7">
        <w:rPr>
          <w:rFonts w:cs="Arial"/>
        </w:rPr>
        <w:t xml:space="preserve"> UK CKD.</w:t>
      </w:r>
    </w:p>
    <w:p w14:paraId="7B99CD67" w14:textId="77777777" w:rsidR="00544F3D" w:rsidRPr="008A3F07" w:rsidRDefault="00544F3D" w:rsidP="00462CB9">
      <w:pPr>
        <w:pStyle w:val="Heading3"/>
        <w:rPr>
          <w:rFonts w:cs="Arial"/>
          <w:color w:val="auto"/>
        </w:rPr>
      </w:pPr>
      <w:bookmarkStart w:id="56" w:name="_Toc239290099"/>
      <w:bookmarkStart w:id="57" w:name="_Toc240666905"/>
      <w:bookmarkStart w:id="58" w:name="_Toc241011055"/>
      <w:r w:rsidRPr="008A3F07">
        <w:rPr>
          <w:rFonts w:cs="Arial"/>
          <w:color w:val="auto"/>
        </w:rPr>
        <w:t>2.2.9 Integrated CKD Management and Health-System Challenges</w:t>
      </w:r>
      <w:bookmarkEnd w:id="56"/>
      <w:bookmarkEnd w:id="57"/>
      <w:bookmarkEnd w:id="58"/>
    </w:p>
    <w:p w14:paraId="5669D07E" w14:textId="77777777" w:rsidR="00544F3D" w:rsidRPr="00C07BB7" w:rsidRDefault="00544F3D" w:rsidP="00462CB9">
      <w:pPr>
        <w:rPr>
          <w:rFonts w:cs="Arial"/>
        </w:rPr>
      </w:pPr>
      <w:r w:rsidRPr="00C07BB7">
        <w:rPr>
          <w:rFonts w:cs="Arial"/>
        </w:rPr>
        <w:t>Collaborative working between primary care, secondary care and specialist renal services is important for good management of CKD. Integrated and primary-care-based treatment models can have a positive impact on pathways and optimize treatment, as suggested by Jones et al. (2025) and Gama et al. (2025). But there are significant problems with implementation. Forbes et al. (2024) reported inconsistencies in the use of the SGLT2 inhibitor guidance, and uncoded CKD in secondary care was identified by Dolan et al. (2025). The results reveal a discrepancy between evidence-based advice and regular practice.</w:t>
      </w:r>
    </w:p>
    <w:p w14:paraId="34705727" w14:textId="77777777" w:rsidR="00544F3D" w:rsidRPr="00C07BB7" w:rsidRDefault="00544F3D" w:rsidP="00462CB9">
      <w:pPr>
        <w:rPr>
          <w:rFonts w:cs="Arial"/>
        </w:rPr>
      </w:pPr>
      <w:r w:rsidRPr="00C07BB7">
        <w:rPr>
          <w:rFonts w:cs="Arial"/>
        </w:rPr>
        <w:t>There is evidence for the cost-effectiveness of investments in early CKD management. At the population level, some interventions for CKD may be of value to the NHS, as suggested by Agathangelou et al. (2025); and certain drug therapies may be economically valuable, as highlighted by Cherney et al. (2025) and Ramos et al. (2024). Cost-effectiveness does not mean equitable implementation. While the health literacy of patients might be reduced and access to diagnosis and treatment might be limited, interventions for CKD can still increase inequality (Sawhney et al., 2024).</w:t>
      </w:r>
    </w:p>
    <w:p w14:paraId="54CC43CA" w14:textId="30304A2B" w:rsidR="00544F3D" w:rsidRPr="008A3F07" w:rsidRDefault="00544F3D" w:rsidP="00462CB9">
      <w:pPr>
        <w:pStyle w:val="Heading2"/>
        <w:rPr>
          <w:rFonts w:cs="Arial"/>
          <w:sz w:val="28"/>
          <w:szCs w:val="28"/>
        </w:rPr>
      </w:pPr>
      <w:bookmarkStart w:id="59" w:name="_Toc239290100"/>
      <w:bookmarkStart w:id="60" w:name="_Toc240666906"/>
      <w:bookmarkStart w:id="61" w:name="_Toc241011056"/>
      <w:r w:rsidRPr="008A3F07">
        <w:rPr>
          <w:rStyle w:val="Strong"/>
          <w:rFonts w:cs="Arial"/>
          <w:b/>
          <w:bCs/>
          <w:sz w:val="28"/>
          <w:szCs w:val="28"/>
        </w:rPr>
        <w:t xml:space="preserve">2.3 Gaps in </w:t>
      </w:r>
      <w:bookmarkEnd w:id="59"/>
      <w:bookmarkEnd w:id="60"/>
      <w:r w:rsidR="00FB4D98" w:rsidRPr="008A3F07">
        <w:rPr>
          <w:rStyle w:val="Strong"/>
          <w:rFonts w:cs="Arial"/>
          <w:b/>
          <w:bCs/>
          <w:sz w:val="28"/>
          <w:szCs w:val="28"/>
        </w:rPr>
        <w:t>Literature</w:t>
      </w:r>
      <w:bookmarkEnd w:id="61"/>
    </w:p>
    <w:p w14:paraId="3B51874E" w14:textId="6E8354DF" w:rsidR="00544F3D" w:rsidRPr="00C07BB7" w:rsidRDefault="00544F3D" w:rsidP="00462CB9">
      <w:pPr>
        <w:rPr>
          <w:rFonts w:cs="Arial"/>
        </w:rPr>
      </w:pPr>
      <w:r w:rsidRPr="00C07BB7">
        <w:rPr>
          <w:rFonts w:cs="Arial"/>
        </w:rPr>
        <w:t xml:space="preserve">The first gap would be the independence of studies that often focus on individual risk factors and/or individual management strategies instead of integrating risk factors and management strategies in a single adult-oriented review in the United Kingdom. As typical examples, Heo et al. (2024) studied sweetened beverage consumption, Tang et al. (2024a) studied obesity and joint management of risk factors, and Forbes et al. (2024) studied the implementation of SGLT2 inhibitors. Therefore, the purpose of this dissertation is to address this gap by </w:t>
      </w:r>
      <w:proofErr w:type="spellStart"/>
      <w:r w:rsidRPr="00C07BB7">
        <w:rPr>
          <w:rFonts w:cs="Arial"/>
        </w:rPr>
        <w:t>summarising</w:t>
      </w:r>
      <w:proofErr w:type="spellEnd"/>
      <w:r w:rsidRPr="00C07BB7">
        <w:rPr>
          <w:rFonts w:cs="Arial"/>
        </w:rPr>
        <w:t xml:space="preserve"> the risk factors for CKD and management in one place.</w:t>
      </w:r>
    </w:p>
    <w:p w14:paraId="41C09CE5" w14:textId="68DA30BE" w:rsidR="00544F3D" w:rsidRPr="00C07BB7" w:rsidRDefault="00544F3D" w:rsidP="00462CB9">
      <w:pPr>
        <w:rPr>
          <w:rFonts w:cs="Arial"/>
        </w:rPr>
      </w:pPr>
      <w:r w:rsidRPr="00C07BB7">
        <w:rPr>
          <w:rFonts w:cs="Arial"/>
        </w:rPr>
        <w:t xml:space="preserve">The second gap concerns the age profile and population applicability of the existing evidence. There is evidence that is specific to certain populations such as those with type 2 diabetes, obesity, cardiometabolic disease/cardiovascular and kidney disease-related complications in the UK. Sisk et al. 2024 were a group of patients who had type 2 diabetes, and </w:t>
      </w:r>
      <w:proofErr w:type="spellStart"/>
      <w:r w:rsidRPr="00C07BB7">
        <w:rPr>
          <w:rFonts w:cs="Arial"/>
        </w:rPr>
        <w:t>Pasea</w:t>
      </w:r>
      <w:proofErr w:type="spellEnd"/>
      <w:r w:rsidRPr="00C07BB7">
        <w:rPr>
          <w:rFonts w:cs="Arial"/>
        </w:rPr>
        <w:t xml:space="preserve"> et al. 2025 were a group of individuals with heart failure and diabetes and CKD. </w:t>
      </w:r>
      <w:r w:rsidR="00101472" w:rsidRPr="00C07BB7">
        <w:rPr>
          <w:rFonts w:cs="Arial"/>
        </w:rPr>
        <w:t>T</w:t>
      </w:r>
      <w:r w:rsidRPr="00C07BB7">
        <w:rPr>
          <w:rFonts w:cs="Arial"/>
        </w:rPr>
        <w:t>hese studies are often not representative of all</w:t>
      </w:r>
      <w:r w:rsidR="006315DC">
        <w:rPr>
          <w:rFonts w:cs="Arial"/>
        </w:rPr>
        <w:t xml:space="preserve"> in the</w:t>
      </w:r>
      <w:r w:rsidRPr="00C07BB7">
        <w:rPr>
          <w:rFonts w:cs="Arial"/>
        </w:rPr>
        <w:t xml:space="preserve"> UK adults aged 18+, so they are not necessarily representative of everyone. Therefore, care needs to be taken in interpreting the literature for the present review and in assuming that the findings from high-risk groups are applicable to the general adult population.</w:t>
      </w:r>
    </w:p>
    <w:p w14:paraId="154FC3B4" w14:textId="77777777" w:rsidR="00544F3D" w:rsidRPr="00C07BB7" w:rsidRDefault="00544F3D" w:rsidP="00462CB9">
      <w:pPr>
        <w:rPr>
          <w:rFonts w:cs="Arial"/>
        </w:rPr>
      </w:pPr>
      <w:r w:rsidRPr="00C07BB7">
        <w:rPr>
          <w:rFonts w:cs="Arial"/>
        </w:rPr>
        <w:t>The third gap is the underdiagnosis gap. Occasionally there are studies that mention coding issues and disclosure/detection issues, but very few studies offer a detailed overview of how these issues could be handled within the UK across settings. For primary care, barriers were found by Stewart et al. (2024) and coding and recognition issues by Dolan et al. (2025) and Sisk et al. (2024). The findings of these studies confirm the issues, but there is a need to better integrate the evidence base for the impact of primary-care systems, patient education, and integrated services on CKD outcomes.</w:t>
      </w:r>
    </w:p>
    <w:p w14:paraId="301380F2" w14:textId="77777777" w:rsidR="00544F3D" w:rsidRPr="00C07BB7" w:rsidRDefault="00544F3D" w:rsidP="00462CB9">
      <w:pPr>
        <w:rPr>
          <w:rFonts w:cs="Arial"/>
        </w:rPr>
      </w:pPr>
      <w:r w:rsidRPr="00C07BB7">
        <w:rPr>
          <w:rFonts w:cs="Arial"/>
        </w:rPr>
        <w:t xml:space="preserve">The fourth gap is that of digital health and inequality. Digital interventions (e.g., Kidney BEAM) can have positive impacts on physical activity, mental health and cost-effectiveness (Greenwood et al., 2024a; Greenwood et al., 2024b). However, </w:t>
      </w:r>
      <w:proofErr w:type="spellStart"/>
      <w:r w:rsidRPr="00C07BB7">
        <w:rPr>
          <w:rFonts w:cs="Arial"/>
        </w:rPr>
        <w:t>Kaklamanou</w:t>
      </w:r>
      <w:proofErr w:type="spellEnd"/>
      <w:r w:rsidRPr="00C07BB7">
        <w:rPr>
          <w:rFonts w:cs="Arial"/>
        </w:rPr>
        <w:t xml:space="preserve"> et al. (2024) found that attitudes and usability of patients have an impact on acceptance. The groups that would benefit from a digital intervention for CKD and which groups would not remain unknown. This is especially pertinent in the context of the links between age and CKD and deprivation and CKD (and multimorbidity and inequitable access to care) respectively (Sawhney et al., 2024; Walker et al., 2025).</w:t>
      </w:r>
    </w:p>
    <w:p w14:paraId="7746925C" w14:textId="0062D5BB" w:rsidR="00544F3D" w:rsidRPr="00C07BB7" w:rsidRDefault="00A30065" w:rsidP="00462CB9">
      <w:pPr>
        <w:rPr>
          <w:rFonts w:cs="Arial"/>
        </w:rPr>
      </w:pPr>
      <w:r w:rsidRPr="00C07BB7">
        <w:rPr>
          <w:rFonts w:cs="Arial"/>
        </w:rPr>
        <w:t>There are key gaps such as (1) underdiagnosis and inconsistent coding in primary care, which will skew the prevalence and monitoring of these interventions; (2) limited representativeness of cohort data, particularly use of</w:t>
      </w:r>
      <w:r w:rsidR="006315DC">
        <w:rPr>
          <w:rFonts w:cs="Arial"/>
        </w:rPr>
        <w:t xml:space="preserve"> the</w:t>
      </w:r>
      <w:r w:rsidRPr="00C07BB7">
        <w:rPr>
          <w:rFonts w:cs="Arial"/>
        </w:rPr>
        <w:t xml:space="preserve"> UK Biobank; (3) few pragmatic evaluations of integrated care and implementation studies of uptake of pharmacotherapy; and (4) short and selective trials of digital and lifestyle interventions. Incorporating the principles of representative longitudinal cohorts, pragmatic implementation trials and inclusive digital intervention studies will directly tackle these gaps and help provide the evidence base for</w:t>
      </w:r>
      <w:r w:rsidR="006315DC">
        <w:rPr>
          <w:rFonts w:cs="Arial"/>
        </w:rPr>
        <w:t xml:space="preserve"> </w:t>
      </w:r>
      <w:r w:rsidR="00F64A0E">
        <w:rPr>
          <w:rFonts w:cs="Arial"/>
        </w:rPr>
        <w:t>UK</w:t>
      </w:r>
      <w:r w:rsidRPr="00C07BB7">
        <w:rPr>
          <w:rFonts w:cs="Arial"/>
        </w:rPr>
        <w:t xml:space="preserve"> policy and practice.</w:t>
      </w:r>
    </w:p>
    <w:p w14:paraId="6969DA71" w14:textId="77777777" w:rsidR="00544F3D" w:rsidRPr="00FB4D98" w:rsidRDefault="00544F3D" w:rsidP="005E5F3F">
      <w:pPr>
        <w:pStyle w:val="Heading2"/>
        <w:spacing w:before="0"/>
        <w:rPr>
          <w:rFonts w:cs="Arial"/>
          <w:sz w:val="28"/>
          <w:szCs w:val="28"/>
        </w:rPr>
      </w:pPr>
      <w:bookmarkStart w:id="62" w:name="_Toc239290101"/>
      <w:bookmarkStart w:id="63" w:name="_Toc240666907"/>
      <w:bookmarkStart w:id="64" w:name="_Toc241011057"/>
      <w:r w:rsidRPr="00FB4D98">
        <w:rPr>
          <w:rStyle w:val="Strong"/>
          <w:rFonts w:cs="Arial"/>
          <w:b/>
          <w:bCs/>
          <w:sz w:val="28"/>
          <w:szCs w:val="28"/>
        </w:rPr>
        <w:t>2.4 Theoretical Framework</w:t>
      </w:r>
      <w:bookmarkEnd w:id="62"/>
      <w:bookmarkEnd w:id="63"/>
      <w:bookmarkEnd w:id="64"/>
    </w:p>
    <w:p w14:paraId="1CEE072E" w14:textId="77777777" w:rsidR="00544F3D" w:rsidRPr="005E5F3F" w:rsidRDefault="00544F3D" w:rsidP="005E5F3F">
      <w:pPr>
        <w:pStyle w:val="Heading3"/>
        <w:spacing w:before="0"/>
        <w:rPr>
          <w:rFonts w:cs="Arial"/>
          <w:color w:val="auto"/>
        </w:rPr>
      </w:pPr>
      <w:bookmarkStart w:id="65" w:name="_Toc239290102"/>
      <w:bookmarkStart w:id="66" w:name="_Toc240666908"/>
      <w:bookmarkStart w:id="67" w:name="_Toc241011058"/>
      <w:r w:rsidRPr="005E5F3F">
        <w:rPr>
          <w:rStyle w:val="Strong"/>
          <w:rFonts w:cs="Arial"/>
          <w:b/>
          <w:bCs/>
          <w:color w:val="auto"/>
        </w:rPr>
        <w:t>2.4.1 Overview and Justification of the Health Belief Model</w:t>
      </w:r>
      <w:bookmarkEnd w:id="65"/>
      <w:bookmarkEnd w:id="66"/>
      <w:bookmarkEnd w:id="67"/>
    </w:p>
    <w:p w14:paraId="7296394A" w14:textId="6270C508" w:rsidR="00544F3D" w:rsidRPr="00C07BB7" w:rsidRDefault="00544F3D" w:rsidP="00462CB9">
      <w:pPr>
        <w:rPr>
          <w:rFonts w:cs="Arial"/>
        </w:rPr>
      </w:pPr>
      <w:r w:rsidRPr="00C07BB7">
        <w:rPr>
          <w:rFonts w:cs="Arial"/>
        </w:rPr>
        <w:t xml:space="preserve">The theory used in this Systematic Review is the Health Belief Model (HBM). </w:t>
      </w:r>
      <w:r w:rsidR="009642A4" w:rsidRPr="00C07BB7">
        <w:rPr>
          <w:rFonts w:cs="Arial"/>
        </w:rPr>
        <w:t>HBM</w:t>
      </w:r>
      <w:r w:rsidRPr="00C07BB7">
        <w:rPr>
          <w:rFonts w:cs="Arial"/>
        </w:rPr>
        <w:t xml:space="preserve"> explains why individuals decide to take, delay or avoid health-related actions. This is suitable for this dissertation because chronic kidney disease (CKD) is a hidden condition in early stages, and the severity of the disease means adults are less likely to seek screening, monitoring and treatment when they do</w:t>
      </w:r>
      <w:r w:rsidR="00233C80" w:rsidRPr="00C07BB7">
        <w:rPr>
          <w:rFonts w:cs="Arial"/>
        </w:rPr>
        <w:t xml:space="preserve"> </w:t>
      </w:r>
      <w:r w:rsidRPr="00C07BB7">
        <w:rPr>
          <w:rFonts w:cs="Arial"/>
        </w:rPr>
        <w:t>n</w:t>
      </w:r>
      <w:r w:rsidR="00233C80" w:rsidRPr="00C07BB7">
        <w:rPr>
          <w:rFonts w:cs="Arial"/>
        </w:rPr>
        <w:t>o</w:t>
      </w:r>
      <w:r w:rsidRPr="00C07BB7">
        <w:rPr>
          <w:rFonts w:cs="Arial"/>
        </w:rPr>
        <w:t xml:space="preserve">t know of their personal risk, nor understand the severity of the disease. </w:t>
      </w:r>
      <w:r w:rsidR="00B50398" w:rsidRPr="00C07BB7">
        <w:rPr>
          <w:rFonts w:cs="Arial"/>
        </w:rPr>
        <w:t xml:space="preserve">The model is relevant to CKD because </w:t>
      </w:r>
      <w:r w:rsidRPr="00C07BB7">
        <w:rPr>
          <w:rFonts w:cs="Arial"/>
        </w:rPr>
        <w:t>Prevention and management will be successful if there is risk awareness, early testing, disclosure of diagnosis, adherence to medication, lifestyle changes and regular follow-up. Evidence from the UK indicates that CKD may remain undetected, uncoded or not necessarily well disclosed, thus limiting opportunities to take early action on the part of the patient and for self-management (Stewart et al., 2024; Sisk et al., 2024).</w:t>
      </w:r>
    </w:p>
    <w:p w14:paraId="0820B3F6" w14:textId="77777777" w:rsidR="00544F3D" w:rsidRPr="00C07BB7" w:rsidRDefault="00544F3D" w:rsidP="00462CB9">
      <w:pPr>
        <w:jc w:val="center"/>
        <w:rPr>
          <w:rFonts w:cs="Arial"/>
        </w:rPr>
      </w:pPr>
      <w:r w:rsidRPr="00C07BB7">
        <w:rPr>
          <w:rFonts w:cs="Arial"/>
          <w:noProof/>
        </w:rPr>
        <w:drawing>
          <wp:inline distT="0" distB="0" distL="0" distR="0" wp14:anchorId="0B3A7A84" wp14:editId="5147FA2E">
            <wp:extent cx="4565255" cy="3058136"/>
            <wp:effectExtent l="0" t="0" r="698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585712" cy="3071840"/>
                    </a:xfrm>
                    <a:prstGeom prst="rect">
                      <a:avLst/>
                    </a:prstGeom>
                    <a:noFill/>
                    <a:ln>
                      <a:noFill/>
                    </a:ln>
                    <a:extLst>
                      <a:ext uri="{53640926-AAD7-44D8-BBD7-CCE9431645EC}">
                        <a14:shadowObscured xmlns:a14="http://schemas.microsoft.com/office/drawing/2010/main"/>
                      </a:ext>
                    </a:extLst>
                  </pic:spPr>
                </pic:pic>
              </a:graphicData>
            </a:graphic>
          </wp:inline>
        </w:drawing>
      </w:r>
    </w:p>
    <w:p w14:paraId="69A4A361" w14:textId="6726CF7D" w:rsidR="00544F3D" w:rsidRPr="00C07BB7" w:rsidRDefault="00544F3D" w:rsidP="00462CB9">
      <w:pPr>
        <w:jc w:val="center"/>
        <w:rPr>
          <w:rFonts w:cs="Arial"/>
        </w:rPr>
      </w:pPr>
      <w:r w:rsidRPr="00C07BB7">
        <w:rPr>
          <w:rFonts w:cs="Arial"/>
        </w:rPr>
        <w:t>Figure 2.1: Theoretical Framework: Health Belief Model Applied to CKD Risk and Management Among</w:t>
      </w:r>
      <w:r w:rsidR="006315DC">
        <w:rPr>
          <w:rFonts w:cs="Arial"/>
        </w:rPr>
        <w:t xml:space="preserve"> the</w:t>
      </w:r>
      <w:r w:rsidRPr="00C07BB7">
        <w:rPr>
          <w:rFonts w:cs="Arial"/>
        </w:rPr>
        <w:t xml:space="preserve"> UK Adults</w:t>
      </w:r>
    </w:p>
    <w:p w14:paraId="6C1CB739" w14:textId="77777777" w:rsidR="00544F3D" w:rsidRPr="007C4C33" w:rsidRDefault="00544F3D" w:rsidP="00462CB9">
      <w:pPr>
        <w:pStyle w:val="Heading3"/>
        <w:rPr>
          <w:rFonts w:cs="Arial"/>
          <w:color w:val="auto"/>
        </w:rPr>
      </w:pPr>
      <w:bookmarkStart w:id="68" w:name="_Toc239290103"/>
      <w:bookmarkStart w:id="69" w:name="_Toc240666909"/>
      <w:bookmarkStart w:id="70" w:name="_Toc241011059"/>
      <w:r w:rsidRPr="007C4C33">
        <w:rPr>
          <w:rStyle w:val="Strong"/>
          <w:rFonts w:cs="Arial"/>
          <w:b/>
          <w:bCs/>
          <w:color w:val="auto"/>
        </w:rPr>
        <w:t>2.4.2 Perceived Susceptibility and Perceived Severity</w:t>
      </w:r>
      <w:bookmarkEnd w:id="68"/>
      <w:bookmarkEnd w:id="69"/>
      <w:bookmarkEnd w:id="70"/>
    </w:p>
    <w:p w14:paraId="24ADF0A2" w14:textId="77777777" w:rsidR="00544F3D" w:rsidRPr="00C07BB7" w:rsidRDefault="00544F3D" w:rsidP="00462CB9">
      <w:pPr>
        <w:rPr>
          <w:rFonts w:cs="Arial"/>
        </w:rPr>
      </w:pPr>
      <w:r w:rsidRPr="00C07BB7">
        <w:rPr>
          <w:rFonts w:cs="Arial"/>
        </w:rPr>
        <w:t xml:space="preserve">Perceived Susceptibility is adults' perception of their risk for CKD. This is significant as these conditions are not necessarily known to adults with diabetes, hypertension, obesity, poor diet, or cardiometabolic disease as a kidney-related risk. There is no knowledge of risk, and/or patients may not adhere to recommended risk-reduction lifestyle and/or monitoring. Perceived severity is the individual's understanding of the consequences of CKD. Kidney failure, cardiovascular disease and </w:t>
      </w:r>
      <w:proofErr w:type="spellStart"/>
      <w:r w:rsidRPr="00C07BB7">
        <w:rPr>
          <w:rFonts w:cs="Arial"/>
        </w:rPr>
        <w:t>anaemia</w:t>
      </w:r>
      <w:proofErr w:type="spellEnd"/>
      <w:r w:rsidRPr="00C07BB7">
        <w:rPr>
          <w:rFonts w:cs="Arial"/>
        </w:rPr>
        <w:t xml:space="preserve"> are all possible complications of CKD, which also contribute to poorer quality of life and more health care consumption. Evidence of the physical and psychological effects of CKD-related </w:t>
      </w:r>
      <w:proofErr w:type="spellStart"/>
      <w:r w:rsidRPr="00C07BB7">
        <w:rPr>
          <w:rFonts w:cs="Arial"/>
        </w:rPr>
        <w:t>anaemia</w:t>
      </w:r>
      <w:proofErr w:type="spellEnd"/>
      <w:r w:rsidRPr="00C07BB7">
        <w:rPr>
          <w:rFonts w:cs="Arial"/>
        </w:rPr>
        <w:t xml:space="preserve"> and multimorbidity reinforces the need to take into account the effects of CKD, especially with the presence of multimorbidity or if the disease progresses (Bhandari et al., 2025; Hawthorne et al., 2023).</w:t>
      </w:r>
    </w:p>
    <w:p w14:paraId="3FF5321F" w14:textId="77777777" w:rsidR="00544F3D" w:rsidRPr="007C4C33" w:rsidRDefault="00544F3D" w:rsidP="00462CB9">
      <w:pPr>
        <w:pStyle w:val="Heading3"/>
        <w:rPr>
          <w:rFonts w:cs="Arial"/>
          <w:color w:val="auto"/>
        </w:rPr>
      </w:pPr>
      <w:bookmarkStart w:id="71" w:name="_Toc239290104"/>
      <w:bookmarkStart w:id="72" w:name="_Toc240666910"/>
      <w:bookmarkStart w:id="73" w:name="_Toc241011060"/>
      <w:r w:rsidRPr="007C4C33">
        <w:rPr>
          <w:rStyle w:val="Strong"/>
          <w:rFonts w:cs="Arial"/>
          <w:b/>
          <w:bCs/>
          <w:color w:val="auto"/>
        </w:rPr>
        <w:t>2.4.3 Perceived Benefits, Perceived Barriers and Cues to Action</w:t>
      </w:r>
      <w:bookmarkEnd w:id="71"/>
      <w:bookmarkEnd w:id="72"/>
      <w:bookmarkEnd w:id="73"/>
    </w:p>
    <w:p w14:paraId="3C909CBD" w14:textId="77777777" w:rsidR="00544F3D" w:rsidRPr="00C07BB7" w:rsidRDefault="00544F3D" w:rsidP="00462CB9">
      <w:pPr>
        <w:rPr>
          <w:rFonts w:cs="Arial"/>
        </w:rPr>
      </w:pPr>
      <w:r w:rsidRPr="00C07BB7">
        <w:rPr>
          <w:rFonts w:cs="Arial"/>
        </w:rPr>
        <w:t xml:space="preserve">Perceived benefits are the degree to which patients and health care professionals think screening, medication, lifestyle changes and periodic screening will help them improve the outcome of CKD. Emerging evidence suggests that, used appropriately, SGLT2 inhibitors, lipid management, </w:t>
      </w:r>
      <w:proofErr w:type="spellStart"/>
      <w:r w:rsidRPr="00C07BB7">
        <w:rPr>
          <w:rFonts w:cs="Arial"/>
        </w:rPr>
        <w:t>finerenone</w:t>
      </w:r>
      <w:proofErr w:type="spellEnd"/>
      <w:r w:rsidRPr="00C07BB7">
        <w:rPr>
          <w:rFonts w:cs="Arial"/>
        </w:rPr>
        <w:t>, physical activity and digital self-management can all help to preserve the kidney and improve outcomes for patients (Forbes et al., 2024; Greenwood et al., 2024b). There are potentially various barriers to treatment; however, these may be perceived as a lack of awareness, communication issues, treatment burden, multimorbidity, deprivation, digital exclusion and unequal access to healthcare. Cues to action are alerts that trigger a patient or professional to take action, such as abnormal eGFR results, albuminuria results, GP guidance, diagnosis coding, referral guidance and risk prediction tools. The Kidney Failure Risk Equation and integrated care pathways could be used to identify a patient as being at risk of kidney failure, which may guide professional action (Sullivan et al., 2023; Walker et al., 2025).</w:t>
      </w:r>
    </w:p>
    <w:p w14:paraId="12D9D176" w14:textId="77777777" w:rsidR="00544F3D" w:rsidRPr="007C4C33" w:rsidRDefault="00544F3D" w:rsidP="00462CB9">
      <w:pPr>
        <w:pStyle w:val="Heading3"/>
        <w:rPr>
          <w:rFonts w:cs="Arial"/>
          <w:color w:val="auto"/>
        </w:rPr>
      </w:pPr>
      <w:bookmarkStart w:id="74" w:name="_Toc239290105"/>
      <w:bookmarkStart w:id="75" w:name="_Toc240666911"/>
      <w:bookmarkStart w:id="76" w:name="_Toc241011061"/>
      <w:r w:rsidRPr="007C4C33">
        <w:rPr>
          <w:rStyle w:val="Strong"/>
          <w:rFonts w:cs="Arial"/>
          <w:b/>
          <w:bCs/>
          <w:color w:val="auto"/>
        </w:rPr>
        <w:t>2.4.4 Self-Efficacy and Critical Limitation of the Model</w:t>
      </w:r>
      <w:bookmarkEnd w:id="74"/>
      <w:bookmarkEnd w:id="75"/>
      <w:bookmarkEnd w:id="76"/>
    </w:p>
    <w:p w14:paraId="49454454" w14:textId="4510B081" w:rsidR="00544F3D" w:rsidRPr="00C07BB7" w:rsidRDefault="00544F3D" w:rsidP="00462CB9">
      <w:pPr>
        <w:rPr>
          <w:rFonts w:cs="Arial"/>
        </w:rPr>
      </w:pPr>
      <w:r w:rsidRPr="00C07BB7">
        <w:rPr>
          <w:rFonts w:cs="Arial"/>
        </w:rPr>
        <w:t xml:space="preserve">Self-efficacy is defined as a person's belief in his/her capability to cope with his/her health. Patients should be confident that they will have access to appointments for monitoring, will be given information on how to take medication, will be encouraged to make lifestyle changes, and will have access to more exercise and digital and/or primary care support. While it is possible that digital physical activity interventions can positively affect patients' confidence and self-management, this will depend on their usefulness, accessibility, and acceptability by patients (Castle et al., 2024; </w:t>
      </w:r>
      <w:proofErr w:type="spellStart"/>
      <w:r w:rsidRPr="00C07BB7">
        <w:rPr>
          <w:rFonts w:cs="Arial"/>
        </w:rPr>
        <w:t>Kaklamanou</w:t>
      </w:r>
      <w:proofErr w:type="spellEnd"/>
      <w:r w:rsidRPr="00C07BB7">
        <w:rPr>
          <w:rFonts w:cs="Arial"/>
        </w:rPr>
        <w:t xml:space="preserve"> et al., 2024). One weakness of the HBM is that it only takes into account individual beliefs and </w:t>
      </w:r>
      <w:proofErr w:type="spellStart"/>
      <w:r w:rsidRPr="00C07BB7">
        <w:rPr>
          <w:rFonts w:cs="Arial"/>
        </w:rPr>
        <w:t>behaviours</w:t>
      </w:r>
      <w:proofErr w:type="spellEnd"/>
      <w:r w:rsidRPr="00C07BB7">
        <w:rPr>
          <w:rFonts w:cs="Arial"/>
        </w:rPr>
        <w:t xml:space="preserve">. Other structural problems, like deprivation, workload of the NHS, access to services and inequalities in health, affect the risk and management of CKD. Therefore, this dissertation will focus on the HBM as a key </w:t>
      </w:r>
      <w:r w:rsidR="008E3A72" w:rsidRPr="00C07BB7">
        <w:rPr>
          <w:rFonts w:cs="Arial"/>
        </w:rPr>
        <w:t>concept but</w:t>
      </w:r>
      <w:r w:rsidRPr="00C07BB7">
        <w:rPr>
          <w:rFonts w:cs="Arial"/>
        </w:rPr>
        <w:t xml:space="preserve"> </w:t>
      </w:r>
      <w:proofErr w:type="spellStart"/>
      <w:r w:rsidRPr="00C07BB7">
        <w:rPr>
          <w:rFonts w:cs="Arial"/>
        </w:rPr>
        <w:t>recognises</w:t>
      </w:r>
      <w:proofErr w:type="spellEnd"/>
      <w:r w:rsidRPr="00C07BB7">
        <w:rPr>
          <w:rFonts w:cs="Arial"/>
        </w:rPr>
        <w:t xml:space="preserve"> the wider public health view of prevention and management of CKD (Agathangelou et al., 2025; Sawhney et al., 2024).</w:t>
      </w:r>
    </w:p>
    <w:p w14:paraId="015B27A8" w14:textId="77777777" w:rsidR="00544F3D" w:rsidRPr="00AA140B" w:rsidRDefault="00544F3D" w:rsidP="00462CB9">
      <w:pPr>
        <w:pStyle w:val="Heading2"/>
        <w:rPr>
          <w:rFonts w:cs="Arial"/>
          <w:color w:val="auto"/>
          <w:sz w:val="28"/>
          <w:szCs w:val="28"/>
        </w:rPr>
      </w:pPr>
      <w:bookmarkStart w:id="77" w:name="_Toc239290106"/>
      <w:bookmarkStart w:id="78" w:name="_Toc240666912"/>
      <w:bookmarkStart w:id="79" w:name="_Toc241011062"/>
      <w:r w:rsidRPr="00AA140B">
        <w:rPr>
          <w:rStyle w:val="Strong"/>
          <w:rFonts w:cs="Arial"/>
          <w:b/>
          <w:bCs/>
          <w:color w:val="auto"/>
          <w:sz w:val="28"/>
          <w:szCs w:val="28"/>
        </w:rPr>
        <w:t>2.5 Summary of the Chapter</w:t>
      </w:r>
      <w:bookmarkEnd w:id="77"/>
      <w:bookmarkEnd w:id="78"/>
      <w:bookmarkEnd w:id="79"/>
    </w:p>
    <w:p w14:paraId="41A354E1" w14:textId="11CF1D41" w:rsidR="00544F3D" w:rsidRDefault="00544F3D" w:rsidP="00462CB9">
      <w:pPr>
        <w:rPr>
          <w:rFonts w:cs="Arial"/>
        </w:rPr>
      </w:pPr>
      <w:r w:rsidRPr="00C07BB7">
        <w:rPr>
          <w:rFonts w:cs="Arial"/>
        </w:rPr>
        <w:t xml:space="preserve">The chapter has reviewed literature to </w:t>
      </w:r>
      <w:proofErr w:type="spellStart"/>
      <w:r w:rsidRPr="00C07BB7">
        <w:rPr>
          <w:rFonts w:cs="Arial"/>
        </w:rPr>
        <w:t>summarise</w:t>
      </w:r>
      <w:proofErr w:type="spellEnd"/>
      <w:r w:rsidRPr="00C07BB7">
        <w:rPr>
          <w:rFonts w:cs="Arial"/>
        </w:rPr>
        <w:t xml:space="preserve"> the knowledge about the risk factors and management of CKD in adults in the UK. The review identified that in the UK healthcare system, CKD is not always identified, diagnosed and recorded. Diabetes, hypertension, obesity, multimorbidity, diet, physical inactivity and deprivation were the main risk factors. The chapter also explored pharmacological treatment, SGLT2 inhibitors, lipid and </w:t>
      </w:r>
      <w:proofErr w:type="spellStart"/>
      <w:r w:rsidRPr="00C07BB7">
        <w:rPr>
          <w:rFonts w:cs="Arial"/>
        </w:rPr>
        <w:t>anaemia</w:t>
      </w:r>
      <w:proofErr w:type="spellEnd"/>
      <w:r w:rsidRPr="00C07BB7">
        <w:rPr>
          <w:rFonts w:cs="Arial"/>
        </w:rPr>
        <w:t xml:space="preserve"> management and digital intervention and integrated care. Finally, it highlighted the gaps in the literature and</w:t>
      </w:r>
      <w:r w:rsidR="009642A4">
        <w:rPr>
          <w:rFonts w:cs="Arial"/>
        </w:rPr>
        <w:t xml:space="preserve"> </w:t>
      </w:r>
      <w:r w:rsidRPr="00C07BB7">
        <w:rPr>
          <w:rFonts w:cs="Arial"/>
        </w:rPr>
        <w:t>recommended the Health Belief Model as the theoretical model to develop awareness and support self-management of CKD.</w:t>
      </w:r>
    </w:p>
    <w:p w14:paraId="32E51DBD" w14:textId="12ED7056" w:rsidR="007C4C33" w:rsidRDefault="007C4C33" w:rsidP="00462CB9">
      <w:pPr>
        <w:rPr>
          <w:rFonts w:cs="Arial"/>
        </w:rPr>
      </w:pPr>
      <w:r>
        <w:rPr>
          <w:rFonts w:cs="Arial"/>
        </w:rPr>
        <w:br/>
      </w:r>
    </w:p>
    <w:p w14:paraId="39FB606B" w14:textId="77777777" w:rsidR="007C4C33" w:rsidRDefault="007C4C33">
      <w:pPr>
        <w:spacing w:after="200" w:line="276" w:lineRule="auto"/>
        <w:jc w:val="left"/>
        <w:rPr>
          <w:rFonts w:cs="Arial"/>
        </w:rPr>
      </w:pPr>
      <w:r>
        <w:rPr>
          <w:rFonts w:cs="Arial"/>
        </w:rPr>
        <w:br w:type="page"/>
      </w:r>
    </w:p>
    <w:p w14:paraId="56A5AFCA" w14:textId="41BA0B61" w:rsidR="0038603C" w:rsidRPr="00C07BB7" w:rsidRDefault="00897818" w:rsidP="007C4C33">
      <w:pPr>
        <w:pStyle w:val="Heading1"/>
        <w:rPr>
          <w:rFonts w:cs="Arial"/>
        </w:rPr>
      </w:pPr>
      <w:bookmarkStart w:id="80" w:name="_Toc239294382"/>
      <w:bookmarkStart w:id="81" w:name="_Toc240666913"/>
      <w:bookmarkStart w:id="82" w:name="_Toc241011063"/>
      <w:r w:rsidRPr="00C07BB7">
        <w:rPr>
          <w:rFonts w:cs="Arial"/>
        </w:rPr>
        <w:t xml:space="preserve">Chapter </w:t>
      </w:r>
      <w:r w:rsidR="008C3575">
        <w:rPr>
          <w:rFonts w:cs="Arial"/>
        </w:rPr>
        <w:t>Three</w:t>
      </w:r>
      <w:r w:rsidRPr="00C07BB7">
        <w:rPr>
          <w:rFonts w:cs="Arial"/>
        </w:rPr>
        <w:t>:</w:t>
      </w:r>
      <w:r w:rsidR="00975B17">
        <w:rPr>
          <w:rFonts w:cs="Arial"/>
        </w:rPr>
        <w:t xml:space="preserve"> Research</w:t>
      </w:r>
      <w:r w:rsidRPr="00C07BB7">
        <w:rPr>
          <w:rFonts w:cs="Arial"/>
        </w:rPr>
        <w:t xml:space="preserve"> Methodology</w:t>
      </w:r>
      <w:bookmarkEnd w:id="80"/>
      <w:bookmarkEnd w:id="81"/>
      <w:bookmarkEnd w:id="82"/>
    </w:p>
    <w:p w14:paraId="2D55AA5B" w14:textId="77777777" w:rsidR="0038603C" w:rsidRPr="0005168B" w:rsidRDefault="0038603C" w:rsidP="00462CB9">
      <w:pPr>
        <w:pStyle w:val="Heading2"/>
        <w:rPr>
          <w:rFonts w:cs="Arial"/>
          <w:sz w:val="28"/>
          <w:szCs w:val="28"/>
        </w:rPr>
      </w:pPr>
      <w:bookmarkStart w:id="83" w:name="_Toc239294383"/>
      <w:bookmarkStart w:id="84" w:name="_Toc240666914"/>
      <w:bookmarkStart w:id="85" w:name="_Toc241011064"/>
      <w:r w:rsidRPr="0005168B">
        <w:rPr>
          <w:rFonts w:cs="Arial"/>
          <w:sz w:val="28"/>
          <w:szCs w:val="28"/>
        </w:rPr>
        <w:t>3.1 Research Approach</w:t>
      </w:r>
      <w:bookmarkEnd w:id="83"/>
      <w:bookmarkEnd w:id="84"/>
      <w:bookmarkEnd w:id="85"/>
    </w:p>
    <w:p w14:paraId="4A7533F5" w14:textId="61560AF2" w:rsidR="0038603C" w:rsidRPr="00C07BB7" w:rsidRDefault="0038603C" w:rsidP="00462CB9">
      <w:pPr>
        <w:rPr>
          <w:rFonts w:cs="Arial"/>
        </w:rPr>
      </w:pPr>
      <w:r w:rsidRPr="00C07BB7">
        <w:rPr>
          <w:rFonts w:cs="Arial"/>
        </w:rPr>
        <w:t xml:space="preserve">This study applies a systematic literature review (SLR) methodology to identify risk factors and how to manage chronic kidney disease (CKD) in adults (age 18 years and over) in the United Kingdom. </w:t>
      </w:r>
      <w:r w:rsidR="00905342" w:rsidRPr="00C07BB7">
        <w:rPr>
          <w:rFonts w:cs="Arial"/>
        </w:rPr>
        <w:t>The method does not involve the collection of new clinical data; instead, it relies exclusively on secondary evidence. This is appropriate given</w:t>
      </w:r>
      <w:r w:rsidRPr="00C07BB7">
        <w:rPr>
          <w:rFonts w:cs="Arial"/>
        </w:rPr>
        <w:t xml:space="preserve"> the nature of the research question: comparison of recent evidence from epidemiology, clinical practice, public health, patient experience and service delivery. Estimating prevalence, associations, and outcomes of intervention is possible in quantitative studies; explaining acceptability, barriers, and implementation is possible in qualitative and mixed-methods studies. Each of these kinds of evidence addresses a different aspect of the review question and so receives a different interpretation based upon the claims each design can support. The review is conducted using a structured process of question formation, searching, screening, critical appraisal, extraction and synthesis, which is appropriate for this review and provides transparency of the systematic-review process. A systematic approach also </w:t>
      </w:r>
      <w:proofErr w:type="spellStart"/>
      <w:r w:rsidRPr="00C07BB7">
        <w:rPr>
          <w:rFonts w:cs="Arial"/>
        </w:rPr>
        <w:t>minimises</w:t>
      </w:r>
      <w:proofErr w:type="spellEnd"/>
      <w:r w:rsidRPr="00C07BB7">
        <w:rPr>
          <w:rFonts w:cs="Arial"/>
        </w:rPr>
        <w:t xml:space="preserve"> the subjectivity associated with study selection by ensuring that there are clear criteria to follow and a traceable study selection process (Cherry</w:t>
      </w:r>
      <w:r w:rsidR="006B23C2" w:rsidRPr="00C07BB7">
        <w:rPr>
          <w:rFonts w:cs="Arial"/>
        </w:rPr>
        <w:t>,</w:t>
      </w:r>
      <w:r w:rsidRPr="00C07BB7">
        <w:rPr>
          <w:rFonts w:cs="Arial"/>
        </w:rPr>
        <w:t xml:space="preserve"> Boland</w:t>
      </w:r>
      <w:r w:rsidR="006B23C2" w:rsidRPr="00C07BB7">
        <w:rPr>
          <w:rFonts w:cs="Arial"/>
        </w:rPr>
        <w:t xml:space="preserve"> and</w:t>
      </w:r>
      <w:r w:rsidRPr="00C07BB7">
        <w:rPr>
          <w:rFonts w:cs="Arial"/>
        </w:rPr>
        <w:t xml:space="preserve"> </w:t>
      </w:r>
      <w:r w:rsidR="006B23C2" w:rsidRPr="00C07BB7">
        <w:rPr>
          <w:rFonts w:cs="Arial"/>
        </w:rPr>
        <w:t xml:space="preserve">Dickson, </w:t>
      </w:r>
      <w:r w:rsidRPr="00C07BB7">
        <w:rPr>
          <w:rFonts w:cs="Arial"/>
        </w:rPr>
        <w:t xml:space="preserve">2023; </w:t>
      </w:r>
      <w:proofErr w:type="spellStart"/>
      <w:r w:rsidRPr="00C07BB7">
        <w:rPr>
          <w:rFonts w:cs="Arial"/>
        </w:rPr>
        <w:t>Purssell</w:t>
      </w:r>
      <w:proofErr w:type="spellEnd"/>
      <w:r w:rsidRPr="00C07BB7">
        <w:rPr>
          <w:rFonts w:cs="Arial"/>
        </w:rPr>
        <w:t xml:space="preserve"> and McCrae, 2024).</w:t>
      </w:r>
    </w:p>
    <w:p w14:paraId="0D57221D" w14:textId="77777777" w:rsidR="0038603C" w:rsidRPr="0005168B" w:rsidRDefault="0038603C" w:rsidP="00462CB9">
      <w:pPr>
        <w:pStyle w:val="Heading2"/>
        <w:rPr>
          <w:rFonts w:cs="Arial"/>
          <w:sz w:val="28"/>
          <w:szCs w:val="28"/>
        </w:rPr>
      </w:pPr>
      <w:bookmarkStart w:id="86" w:name="_Toc239294384"/>
      <w:bookmarkStart w:id="87" w:name="_Toc240666915"/>
      <w:bookmarkStart w:id="88" w:name="_Toc241011065"/>
      <w:r w:rsidRPr="0005168B">
        <w:rPr>
          <w:rFonts w:cs="Arial"/>
          <w:sz w:val="28"/>
          <w:szCs w:val="28"/>
        </w:rPr>
        <w:t>3.2 Study Design</w:t>
      </w:r>
      <w:bookmarkEnd w:id="86"/>
      <w:bookmarkEnd w:id="87"/>
      <w:bookmarkEnd w:id="88"/>
    </w:p>
    <w:p w14:paraId="099E9D09" w14:textId="77777777" w:rsidR="00130280" w:rsidRPr="00C07BB7" w:rsidRDefault="00130280" w:rsidP="00462CB9">
      <w:pPr>
        <w:rPr>
          <w:rFonts w:cs="Arial"/>
        </w:rPr>
      </w:pPr>
      <w:r w:rsidRPr="00C07BB7">
        <w:rPr>
          <w:rFonts w:cs="Arial"/>
        </w:rPr>
        <w:t xml:space="preserve">The design of this study was a systematic literature review for the purpose of exploring risk factors and management for chronic kidney disease (CKD) in adults aged 18 years and older in the UK. A systematic review was deemed appropriate as it will allow the relevant evidence to be identified, screened, critically appraised and </w:t>
      </w:r>
      <w:proofErr w:type="spellStart"/>
      <w:r w:rsidRPr="00C07BB7">
        <w:rPr>
          <w:rFonts w:cs="Arial"/>
        </w:rPr>
        <w:t>synthesised</w:t>
      </w:r>
      <w:proofErr w:type="spellEnd"/>
      <w:r w:rsidRPr="00C07BB7">
        <w:rPr>
          <w:rFonts w:cs="Arial"/>
        </w:rPr>
        <w:t xml:space="preserve"> in a systematic, structured way. This also gives room for epidemiological, clinical, public-health and service-related evidence to be taken into account, acknowledging variations in study type and quality of the methodologies used (Cherry, Boland and Dickson, 2023; </w:t>
      </w:r>
      <w:proofErr w:type="spellStart"/>
      <w:r w:rsidRPr="00C07BB7">
        <w:rPr>
          <w:rFonts w:cs="Arial"/>
        </w:rPr>
        <w:t>Purssell</w:t>
      </w:r>
      <w:proofErr w:type="spellEnd"/>
      <w:r w:rsidRPr="00C07BB7">
        <w:rPr>
          <w:rFonts w:cs="Arial"/>
        </w:rPr>
        <w:t xml:space="preserve"> and McCrae, 2024).</w:t>
      </w:r>
    </w:p>
    <w:p w14:paraId="24FB0CE8" w14:textId="54E19BD9" w:rsidR="00130280" w:rsidRPr="00C07BB7" w:rsidRDefault="00130280" w:rsidP="00462CB9">
      <w:pPr>
        <w:rPr>
          <w:rFonts w:cs="Arial"/>
        </w:rPr>
      </w:pPr>
      <w:r w:rsidRPr="00C07BB7">
        <w:rPr>
          <w:rFonts w:cs="Arial"/>
        </w:rPr>
        <w:t>The research question defined in Chapter One guided the review, and it specifically addressed</w:t>
      </w:r>
      <w:r w:rsidR="006315DC">
        <w:rPr>
          <w:rFonts w:cs="Arial"/>
        </w:rPr>
        <w:t xml:space="preserve"> in the</w:t>
      </w:r>
      <w:r w:rsidRPr="00C07BB7">
        <w:rPr>
          <w:rFonts w:cs="Arial"/>
        </w:rPr>
        <w:t xml:space="preserve"> UK adults with CKD or populations that could be relevant to either the risk, progression, prevention or management of CKD. Literature was reviewed initially to set the background of the topic, identify important risk factors and management, and fine-tune the scope of the systematic review.</w:t>
      </w:r>
    </w:p>
    <w:p w14:paraId="4DCAE2B9" w14:textId="097404E2" w:rsidR="0038603C" w:rsidRPr="00C07BB7" w:rsidRDefault="00130280" w:rsidP="00462CB9">
      <w:pPr>
        <w:rPr>
          <w:rFonts w:cs="Arial"/>
        </w:rPr>
      </w:pPr>
      <w:r w:rsidRPr="00C07BB7">
        <w:rPr>
          <w:rFonts w:cs="Arial"/>
        </w:rPr>
        <w:t>The study was conducted sequentially with a structured process of searching databases, assessing eligibility, screening and selecting studies, critical appraisal, extraction of data and thematic synthesis. The detailed search strategy is provided in Section 3.3, the study-selection process outlined in PRISMA is provided in Section 3.4, critical appraisal is provided in Section 3.5, data extraction is provided in Section 3.6, thematic analysis is provided in Section 3.7, and the inclusion and exclusion criteria are provided in Section 3.</w:t>
      </w:r>
      <w:r w:rsidR="007213B5" w:rsidRPr="00C07BB7">
        <w:rPr>
          <w:rFonts w:cs="Arial"/>
        </w:rPr>
        <w:t>3</w:t>
      </w:r>
      <w:r w:rsidRPr="00C07BB7">
        <w:rPr>
          <w:rFonts w:cs="Arial"/>
        </w:rPr>
        <w:t>. These stages offered a clear, step-by-step approach to the research question and objectives of the dissertation.</w:t>
      </w:r>
    </w:p>
    <w:p w14:paraId="7B68B13D" w14:textId="77777777" w:rsidR="0038603C" w:rsidRPr="00251E03" w:rsidRDefault="0038603C" w:rsidP="00462CB9">
      <w:pPr>
        <w:pStyle w:val="Heading2"/>
        <w:rPr>
          <w:rFonts w:cs="Arial"/>
          <w:sz w:val="28"/>
          <w:szCs w:val="28"/>
        </w:rPr>
      </w:pPr>
      <w:bookmarkStart w:id="89" w:name="_Toc239294385"/>
      <w:bookmarkStart w:id="90" w:name="_Toc240666916"/>
      <w:bookmarkStart w:id="91" w:name="_Toc241011066"/>
      <w:r w:rsidRPr="00251E03">
        <w:rPr>
          <w:rFonts w:cs="Arial"/>
          <w:sz w:val="28"/>
          <w:szCs w:val="28"/>
        </w:rPr>
        <w:t>3.3 Search Strategy</w:t>
      </w:r>
      <w:bookmarkEnd w:id="89"/>
      <w:bookmarkEnd w:id="90"/>
      <w:bookmarkEnd w:id="91"/>
    </w:p>
    <w:p w14:paraId="19639465" w14:textId="77761C4B" w:rsidR="00DE7970" w:rsidRPr="00C07BB7" w:rsidRDefault="00DE7970" w:rsidP="00462CB9">
      <w:pPr>
        <w:rPr>
          <w:rFonts w:cs="Arial"/>
          <w:color w:val="000000" w:themeColor="text1"/>
        </w:rPr>
      </w:pPr>
      <w:r w:rsidRPr="00C07BB7">
        <w:rPr>
          <w:rFonts w:cs="Arial"/>
          <w:color w:val="000000" w:themeColor="text1"/>
        </w:rPr>
        <w:t xml:space="preserve">A systematic literature search was conducted to locate recent, peer-reviewed evidence that addressed factors associated with the risk of chronic kidney disease (CKD) and how it should be managed in adults aged 18 years and above in the United Kingdom. </w:t>
      </w:r>
      <w:r w:rsidR="00764647" w:rsidRPr="00C07BB7">
        <w:rPr>
          <w:rFonts w:cs="Arial"/>
          <w:color w:val="000000" w:themeColor="text1"/>
        </w:rPr>
        <w:t>The formal database searches were conducted between 16 July and 5 August 2026, with publications limited to 2020–2026</w:t>
      </w:r>
      <w:r w:rsidRPr="00C07BB7">
        <w:rPr>
          <w:rFonts w:cs="Arial"/>
          <w:color w:val="000000" w:themeColor="text1"/>
        </w:rPr>
        <w:t xml:space="preserve">. The period was chosen to provide up-to-date evidence of detecting, monitoring, risk stratifying, drug treatment, lifestyle changes, digital health and integrated care practice for CKD. Support for the background and methodological framework was provided in earlier conceptual or methodological literature as needed; empirical studies older than 2020 were not included in the systematic synthesis. </w:t>
      </w:r>
    </w:p>
    <w:p w14:paraId="7034627D" w14:textId="18A5835E" w:rsidR="009F139F" w:rsidRPr="00C07BB7" w:rsidRDefault="00DE7970" w:rsidP="00462CB9">
      <w:pPr>
        <w:rPr>
          <w:rFonts w:cs="Arial"/>
          <w:color w:val="000000" w:themeColor="text1"/>
        </w:rPr>
      </w:pPr>
      <w:r w:rsidRPr="00C07BB7">
        <w:rPr>
          <w:rFonts w:cs="Arial"/>
          <w:color w:val="000000" w:themeColor="text1"/>
        </w:rPr>
        <w:t>The review question and main search concepts were aligned to an adapted PICO framework. This ensured a systematic way of defining the population, exposures/interventions, potential comparators, and outcomes of interest. The framework was modified to include observational and intervention evidence and was adapted to include risk-factor studies in the review, as well as management studies. The Population (P) consisted of</w:t>
      </w:r>
      <w:r w:rsidR="006315DC">
        <w:rPr>
          <w:rFonts w:cs="Arial"/>
          <w:color w:val="000000" w:themeColor="text1"/>
        </w:rPr>
        <w:t xml:space="preserve"> the</w:t>
      </w:r>
      <w:r w:rsidRPr="00C07BB7">
        <w:rPr>
          <w:rFonts w:cs="Arial"/>
          <w:color w:val="000000" w:themeColor="text1"/>
        </w:rPr>
        <w:t xml:space="preserve"> UK adults ≥18 years who were either diagnosed with CKD or at risk of CKD. The Intervention/Exposure (I) was comprised of clinical, metabolic, </w:t>
      </w:r>
      <w:proofErr w:type="spellStart"/>
      <w:r w:rsidRPr="00C07BB7">
        <w:rPr>
          <w:rFonts w:cs="Arial"/>
          <w:color w:val="000000" w:themeColor="text1"/>
        </w:rPr>
        <w:t>behavioural</w:t>
      </w:r>
      <w:proofErr w:type="spellEnd"/>
      <w:r w:rsidRPr="00C07BB7">
        <w:rPr>
          <w:rFonts w:cs="Arial"/>
          <w:color w:val="000000" w:themeColor="text1"/>
        </w:rPr>
        <w:t xml:space="preserve">, social and environmental risk factors, as well as pharmacological, lifestyle and health-service management strategies. Alternative management or lower/no exposure (L/NE) (where applicable) served as the comparator (C) for usual care. The Outcome (O) consisted of occurrence of CKD, progression of CKD, kidney-function outcomes and outcomes related to CKD management. The review was limited to the UK and its constituent countries by the </w:t>
      </w:r>
      <w:r w:rsidR="006315DC" w:rsidRPr="00C07BB7">
        <w:rPr>
          <w:rFonts w:cs="Arial"/>
          <w:color w:val="000000" w:themeColor="text1"/>
        </w:rPr>
        <w:t>setting</w:t>
      </w:r>
      <w:r w:rsidRPr="00C07BB7">
        <w:rPr>
          <w:rFonts w:cs="Arial"/>
          <w:color w:val="000000" w:themeColor="text1"/>
        </w:rPr>
        <w:t xml:space="preserve"> (S). This is in line with the systematic-review guidelines, which suggest first formulating the research question and search terms with a suitable question-formulation framework, and then describing the database-search procedure. </w:t>
      </w:r>
      <w:r w:rsidR="009F139F" w:rsidRPr="00C07BB7">
        <w:rPr>
          <w:rFonts w:cs="Arial"/>
          <w:color w:val="000000" w:themeColor="text1"/>
        </w:rPr>
        <w:t xml:space="preserve"> </w:t>
      </w:r>
    </w:p>
    <w:p w14:paraId="24B34B59" w14:textId="77777777" w:rsidR="009F139F" w:rsidRPr="00811E5D" w:rsidRDefault="009F139F" w:rsidP="00462CB9">
      <w:pPr>
        <w:rPr>
          <w:rFonts w:cs="Arial"/>
          <w:color w:val="000000" w:themeColor="text1"/>
          <w:sz w:val="24"/>
          <w:szCs w:val="24"/>
        </w:rPr>
      </w:pPr>
      <w:r w:rsidRPr="00811E5D">
        <w:rPr>
          <w:rFonts w:cs="Arial"/>
          <w:color w:val="000000" w:themeColor="text1"/>
          <w:sz w:val="24"/>
          <w:szCs w:val="24"/>
        </w:rPr>
        <w:t>Table 3.1. Adapted PICO Framework and Search Terms</w:t>
      </w:r>
    </w:p>
    <w:tbl>
      <w:tblPr>
        <w:tblStyle w:val="TableGrid"/>
        <w:tblW w:w="0" w:type="auto"/>
        <w:tblInd w:w="108" w:type="dxa"/>
        <w:tblLook w:val="04A0" w:firstRow="1" w:lastRow="0" w:firstColumn="1" w:lastColumn="0" w:noHBand="0" w:noVBand="1"/>
      </w:tblPr>
      <w:tblGrid>
        <w:gridCol w:w="2328"/>
        <w:gridCol w:w="2607"/>
        <w:gridCol w:w="3479"/>
      </w:tblGrid>
      <w:tr w:rsidR="00DE7970" w:rsidRPr="00E669EB" w14:paraId="72D4BDCD" w14:textId="77777777" w:rsidTr="009642A4">
        <w:tc>
          <w:tcPr>
            <w:tcW w:w="2273" w:type="dxa"/>
            <w:hideMark/>
          </w:tcPr>
          <w:p w14:paraId="0D5E6B94" w14:textId="77777777" w:rsidR="009F139F" w:rsidRPr="00E669EB" w:rsidRDefault="009F139F" w:rsidP="00462CB9">
            <w:pPr>
              <w:rPr>
                <w:rFonts w:cs="Arial"/>
                <w:b/>
                <w:bCs/>
                <w:color w:val="000000" w:themeColor="text1"/>
                <w:sz w:val="20"/>
                <w:szCs w:val="20"/>
              </w:rPr>
            </w:pPr>
            <w:r w:rsidRPr="00E669EB">
              <w:rPr>
                <w:rFonts w:cs="Arial"/>
                <w:b/>
                <w:bCs/>
                <w:color w:val="000000" w:themeColor="text1"/>
                <w:sz w:val="20"/>
                <w:szCs w:val="20"/>
              </w:rPr>
              <w:t>Component</w:t>
            </w:r>
          </w:p>
        </w:tc>
        <w:tc>
          <w:tcPr>
            <w:tcW w:w="0" w:type="auto"/>
            <w:hideMark/>
          </w:tcPr>
          <w:p w14:paraId="7A51C2DC" w14:textId="77777777" w:rsidR="009F139F" w:rsidRPr="00E669EB" w:rsidRDefault="009F139F" w:rsidP="00462CB9">
            <w:pPr>
              <w:rPr>
                <w:rFonts w:cs="Arial"/>
                <w:b/>
                <w:bCs/>
                <w:color w:val="000000" w:themeColor="text1"/>
                <w:sz w:val="20"/>
                <w:szCs w:val="20"/>
              </w:rPr>
            </w:pPr>
            <w:r w:rsidRPr="00E669EB">
              <w:rPr>
                <w:rFonts w:cs="Arial"/>
                <w:b/>
                <w:bCs/>
                <w:color w:val="000000" w:themeColor="text1"/>
                <w:sz w:val="20"/>
                <w:szCs w:val="20"/>
              </w:rPr>
              <w:t>Application to the Review</w:t>
            </w:r>
          </w:p>
        </w:tc>
        <w:tc>
          <w:tcPr>
            <w:tcW w:w="0" w:type="auto"/>
            <w:hideMark/>
          </w:tcPr>
          <w:p w14:paraId="2DAD77AC" w14:textId="77777777" w:rsidR="009F139F" w:rsidRPr="00E669EB" w:rsidRDefault="009F139F" w:rsidP="00462CB9">
            <w:pPr>
              <w:rPr>
                <w:rFonts w:cs="Arial"/>
                <w:b/>
                <w:bCs/>
                <w:color w:val="000000" w:themeColor="text1"/>
                <w:sz w:val="20"/>
                <w:szCs w:val="20"/>
              </w:rPr>
            </w:pPr>
            <w:r w:rsidRPr="00E669EB">
              <w:rPr>
                <w:rFonts w:cs="Arial"/>
                <w:b/>
                <w:bCs/>
                <w:color w:val="000000" w:themeColor="text1"/>
                <w:sz w:val="20"/>
                <w:szCs w:val="20"/>
              </w:rPr>
              <w:t>Key Search Terms</w:t>
            </w:r>
          </w:p>
        </w:tc>
      </w:tr>
      <w:tr w:rsidR="00DE7970" w:rsidRPr="00E669EB" w14:paraId="2CAE4B14" w14:textId="77777777" w:rsidTr="009642A4">
        <w:tc>
          <w:tcPr>
            <w:tcW w:w="2273" w:type="dxa"/>
            <w:hideMark/>
          </w:tcPr>
          <w:p w14:paraId="668243C7"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Population (P)</w:t>
            </w:r>
          </w:p>
        </w:tc>
        <w:tc>
          <w:tcPr>
            <w:tcW w:w="0" w:type="auto"/>
            <w:hideMark/>
          </w:tcPr>
          <w:p w14:paraId="2E6F0F1F"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UK adults aged ≥18 years with CKD or at risk of CKD</w:t>
            </w:r>
          </w:p>
        </w:tc>
        <w:tc>
          <w:tcPr>
            <w:tcW w:w="0" w:type="auto"/>
            <w:hideMark/>
          </w:tcPr>
          <w:p w14:paraId="75A3EC54"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adult*, CKD, “chronic kidney disease”, “chronic renal disease”</w:t>
            </w:r>
          </w:p>
        </w:tc>
      </w:tr>
      <w:tr w:rsidR="00DE7970" w:rsidRPr="00E669EB" w14:paraId="10245F8F" w14:textId="77777777" w:rsidTr="009642A4">
        <w:tc>
          <w:tcPr>
            <w:tcW w:w="2273" w:type="dxa"/>
            <w:hideMark/>
          </w:tcPr>
          <w:p w14:paraId="3582FBC8"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Intervention/Exposure (I)</w:t>
            </w:r>
          </w:p>
        </w:tc>
        <w:tc>
          <w:tcPr>
            <w:tcW w:w="0" w:type="auto"/>
            <w:hideMark/>
          </w:tcPr>
          <w:p w14:paraId="7D02065D"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CKD risk factors and management strategies</w:t>
            </w:r>
          </w:p>
        </w:tc>
        <w:tc>
          <w:tcPr>
            <w:tcW w:w="0" w:type="auto"/>
            <w:hideMark/>
          </w:tcPr>
          <w:p w14:paraId="51BB0E67"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 xml:space="preserve">diabetes, hypertension, </w:t>
            </w:r>
            <w:proofErr w:type="spellStart"/>
            <w:r w:rsidRPr="00E669EB">
              <w:rPr>
                <w:rFonts w:cs="Arial"/>
                <w:color w:val="000000" w:themeColor="text1"/>
                <w:sz w:val="20"/>
                <w:szCs w:val="20"/>
              </w:rPr>
              <w:t>obes</w:t>
            </w:r>
            <w:proofErr w:type="spellEnd"/>
            <w:r w:rsidRPr="00E669EB">
              <w:rPr>
                <w:rFonts w:cs="Arial"/>
                <w:color w:val="000000" w:themeColor="text1"/>
                <w:sz w:val="20"/>
                <w:szCs w:val="20"/>
              </w:rPr>
              <w:t>*, smoking, diet, “physical activity”, treatment, management, “SGLT2 inhibitor*”, “digital health”</w:t>
            </w:r>
          </w:p>
        </w:tc>
      </w:tr>
      <w:tr w:rsidR="00DE7970" w:rsidRPr="00E669EB" w14:paraId="441CFF0F" w14:textId="77777777" w:rsidTr="009642A4">
        <w:tc>
          <w:tcPr>
            <w:tcW w:w="2273" w:type="dxa"/>
            <w:hideMark/>
          </w:tcPr>
          <w:p w14:paraId="5E72B821"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Comparison (C)</w:t>
            </w:r>
          </w:p>
        </w:tc>
        <w:tc>
          <w:tcPr>
            <w:tcW w:w="0" w:type="auto"/>
            <w:hideMark/>
          </w:tcPr>
          <w:p w14:paraId="720EB941"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Usual care, alternative management, or lower/no exposure where applicable</w:t>
            </w:r>
          </w:p>
        </w:tc>
        <w:tc>
          <w:tcPr>
            <w:tcW w:w="0" w:type="auto"/>
            <w:hideMark/>
          </w:tcPr>
          <w:p w14:paraId="39E5E8B3"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usual care, control, comparator</w:t>
            </w:r>
          </w:p>
        </w:tc>
      </w:tr>
      <w:tr w:rsidR="00DE7970" w:rsidRPr="00E669EB" w14:paraId="42AFF420" w14:textId="77777777" w:rsidTr="009642A4">
        <w:tc>
          <w:tcPr>
            <w:tcW w:w="2273" w:type="dxa"/>
            <w:hideMark/>
          </w:tcPr>
          <w:p w14:paraId="2771A8BC"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Outcome (O)</w:t>
            </w:r>
          </w:p>
        </w:tc>
        <w:tc>
          <w:tcPr>
            <w:tcW w:w="0" w:type="auto"/>
            <w:hideMark/>
          </w:tcPr>
          <w:p w14:paraId="4E62F64F"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CKD occurrence, progression and management outcomes</w:t>
            </w:r>
          </w:p>
        </w:tc>
        <w:tc>
          <w:tcPr>
            <w:tcW w:w="0" w:type="auto"/>
            <w:hideMark/>
          </w:tcPr>
          <w:p w14:paraId="45900F83"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prevalence, incidence, progression, eGFR, albuminuria, treatment uptake, referral</w:t>
            </w:r>
          </w:p>
        </w:tc>
      </w:tr>
      <w:tr w:rsidR="00DE7970" w:rsidRPr="00E669EB" w14:paraId="2767086B" w14:textId="77777777" w:rsidTr="009642A4">
        <w:tc>
          <w:tcPr>
            <w:tcW w:w="2273" w:type="dxa"/>
            <w:hideMark/>
          </w:tcPr>
          <w:p w14:paraId="733539CD" w14:textId="77777777" w:rsidR="009F139F" w:rsidRPr="00E669EB" w:rsidRDefault="009F139F" w:rsidP="00462CB9">
            <w:pPr>
              <w:rPr>
                <w:rFonts w:cs="Arial"/>
                <w:color w:val="000000" w:themeColor="text1"/>
                <w:sz w:val="20"/>
                <w:szCs w:val="20"/>
              </w:rPr>
            </w:pPr>
            <w:r w:rsidRPr="00E669EB">
              <w:rPr>
                <w:rFonts w:cs="Arial"/>
                <w:b/>
                <w:bCs/>
                <w:color w:val="000000" w:themeColor="text1"/>
                <w:sz w:val="20"/>
                <w:szCs w:val="20"/>
              </w:rPr>
              <w:t>Setting (S)</w:t>
            </w:r>
          </w:p>
        </w:tc>
        <w:tc>
          <w:tcPr>
            <w:tcW w:w="0" w:type="auto"/>
            <w:hideMark/>
          </w:tcPr>
          <w:p w14:paraId="5BF766EE"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United Kingdom and constituent nations</w:t>
            </w:r>
          </w:p>
        </w:tc>
        <w:tc>
          <w:tcPr>
            <w:tcW w:w="0" w:type="auto"/>
            <w:hideMark/>
          </w:tcPr>
          <w:p w14:paraId="3D34A33C" w14:textId="77777777" w:rsidR="009F139F" w:rsidRPr="00E669EB" w:rsidRDefault="009F139F" w:rsidP="00462CB9">
            <w:pPr>
              <w:rPr>
                <w:rFonts w:cs="Arial"/>
                <w:color w:val="000000" w:themeColor="text1"/>
                <w:sz w:val="20"/>
                <w:szCs w:val="20"/>
              </w:rPr>
            </w:pPr>
            <w:r w:rsidRPr="00E669EB">
              <w:rPr>
                <w:rFonts w:cs="Arial"/>
                <w:color w:val="000000" w:themeColor="text1"/>
                <w:sz w:val="20"/>
                <w:szCs w:val="20"/>
              </w:rPr>
              <w:t>“United Kingdom”, UK, England, Scotland, Wales, “Northern Ireland”</w:t>
            </w:r>
          </w:p>
        </w:tc>
      </w:tr>
    </w:tbl>
    <w:p w14:paraId="7CF9A7F9" w14:textId="77777777" w:rsidR="004D0B81" w:rsidRPr="00C07BB7" w:rsidRDefault="004D0B81" w:rsidP="00811E5D">
      <w:pPr>
        <w:spacing w:before="240"/>
        <w:rPr>
          <w:rFonts w:cs="Arial"/>
          <w:color w:val="000000" w:themeColor="text1"/>
        </w:rPr>
      </w:pPr>
      <w:r w:rsidRPr="00C07BB7">
        <w:rPr>
          <w:rFonts w:cs="Arial"/>
          <w:color w:val="000000" w:themeColor="text1"/>
        </w:rPr>
        <w:t>Not all included studies needed to have a formal comparator, as observational and qualitative designs may not have a defined comparison group.</w:t>
      </w:r>
    </w:p>
    <w:p w14:paraId="1184C4FA" w14:textId="1B689207" w:rsidR="004D0DB5" w:rsidRDefault="004D0B81" w:rsidP="00462CB9">
      <w:pPr>
        <w:rPr>
          <w:rFonts w:cs="Arial"/>
          <w:color w:val="000000" w:themeColor="text1"/>
        </w:rPr>
      </w:pPr>
      <w:r w:rsidRPr="00C07BB7">
        <w:rPr>
          <w:rFonts w:cs="Arial"/>
          <w:color w:val="000000" w:themeColor="text1"/>
        </w:rPr>
        <w:t xml:space="preserve">The following electronic databases were used: MEDLINE (via PubMed), CINAHL (via EBSCOhost), Academic Search Complete (via EBSCOhost), and Web of Science Core Collection (Clarivate). The databases were chosen to complement coverage of the biomedical, clinical, nursing, and </w:t>
      </w:r>
      <w:r w:rsidR="008E3A72" w:rsidRPr="00C07BB7">
        <w:rPr>
          <w:rFonts w:cs="Arial"/>
          <w:color w:val="000000" w:themeColor="text1"/>
        </w:rPr>
        <w:t>allied health</w:t>
      </w:r>
      <w:r w:rsidRPr="00C07BB7">
        <w:rPr>
          <w:rFonts w:cs="Arial"/>
          <w:color w:val="000000" w:themeColor="text1"/>
        </w:rPr>
        <w:t xml:space="preserve"> and multidisciplinary public health literature. MEDLINE was more relevant to biomedical and clinical research on CKD, while CINAHL covered nursing, patient-management and self-management evidence. Academic Search Complete extended the public-health search to a multidisciplinary scope, and Web of Science assisted cross-disciplinary searching and citation tracking. </w:t>
      </w:r>
    </w:p>
    <w:p w14:paraId="6EC4AF32" w14:textId="77777777" w:rsidR="004D0DB5" w:rsidRDefault="004D0DB5" w:rsidP="00462CB9">
      <w:pPr>
        <w:rPr>
          <w:rFonts w:cs="Arial"/>
          <w:color w:val="000000" w:themeColor="text1"/>
        </w:rPr>
      </w:pPr>
    </w:p>
    <w:p w14:paraId="382F33EF" w14:textId="77777777" w:rsidR="004D0DB5" w:rsidRDefault="004D0DB5" w:rsidP="00462CB9">
      <w:pPr>
        <w:rPr>
          <w:rFonts w:cs="Arial"/>
          <w:color w:val="000000" w:themeColor="text1"/>
        </w:rPr>
      </w:pPr>
    </w:p>
    <w:p w14:paraId="35560CEE" w14:textId="0A81FF63" w:rsidR="009F139F" w:rsidRDefault="009F139F" w:rsidP="00462CB9">
      <w:pPr>
        <w:rPr>
          <w:rFonts w:cs="Arial"/>
          <w:color w:val="000000" w:themeColor="text1"/>
        </w:rPr>
      </w:pPr>
      <w:r w:rsidRPr="00C07BB7">
        <w:rPr>
          <w:rFonts w:cs="Arial"/>
          <w:color w:val="000000" w:themeColor="text1"/>
        </w:rPr>
        <w:t xml:space="preserve"> </w:t>
      </w:r>
    </w:p>
    <w:p w14:paraId="2CDDBEEC" w14:textId="77777777" w:rsidR="009642A4" w:rsidRDefault="009642A4" w:rsidP="00462CB9">
      <w:pPr>
        <w:rPr>
          <w:rFonts w:cs="Arial"/>
          <w:color w:val="000000" w:themeColor="text1"/>
        </w:rPr>
      </w:pPr>
    </w:p>
    <w:p w14:paraId="51291080" w14:textId="77777777" w:rsidR="009642A4" w:rsidRPr="00C07BB7" w:rsidRDefault="009642A4" w:rsidP="00462CB9">
      <w:pPr>
        <w:rPr>
          <w:rFonts w:cs="Arial"/>
          <w:color w:val="000000" w:themeColor="text1"/>
        </w:rPr>
      </w:pPr>
    </w:p>
    <w:p w14:paraId="413ADBF4" w14:textId="77777777" w:rsidR="009F139F" w:rsidRPr="001277AC" w:rsidRDefault="009F139F" w:rsidP="00462CB9">
      <w:pPr>
        <w:rPr>
          <w:rFonts w:cs="Arial"/>
          <w:color w:val="000000" w:themeColor="text1"/>
          <w:sz w:val="24"/>
          <w:szCs w:val="24"/>
        </w:rPr>
      </w:pPr>
      <w:r w:rsidRPr="001277AC">
        <w:rPr>
          <w:rFonts w:cs="Arial"/>
          <w:color w:val="000000" w:themeColor="text1"/>
          <w:sz w:val="24"/>
          <w:szCs w:val="24"/>
        </w:rPr>
        <w:t>Table 3.2. Databases Used for the Formal CKD Search</w:t>
      </w:r>
    </w:p>
    <w:tbl>
      <w:tblPr>
        <w:tblStyle w:val="TableGrid"/>
        <w:tblW w:w="0" w:type="auto"/>
        <w:tblLook w:val="04A0" w:firstRow="1" w:lastRow="0" w:firstColumn="1" w:lastColumn="0" w:noHBand="0" w:noVBand="1"/>
      </w:tblPr>
      <w:tblGrid>
        <w:gridCol w:w="2368"/>
        <w:gridCol w:w="1295"/>
        <w:gridCol w:w="1568"/>
        <w:gridCol w:w="3291"/>
      </w:tblGrid>
      <w:tr w:rsidR="004D0B81" w:rsidRPr="009642A4" w14:paraId="17C0FFB8" w14:textId="77777777" w:rsidTr="00DE4C8B">
        <w:tc>
          <w:tcPr>
            <w:tcW w:w="0" w:type="auto"/>
            <w:hideMark/>
          </w:tcPr>
          <w:p w14:paraId="0A150326"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Database</w:t>
            </w:r>
          </w:p>
        </w:tc>
        <w:tc>
          <w:tcPr>
            <w:tcW w:w="0" w:type="auto"/>
            <w:hideMark/>
          </w:tcPr>
          <w:p w14:paraId="632684AC"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Platform</w:t>
            </w:r>
          </w:p>
        </w:tc>
        <w:tc>
          <w:tcPr>
            <w:tcW w:w="0" w:type="auto"/>
            <w:hideMark/>
          </w:tcPr>
          <w:p w14:paraId="57BC9958"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Search Period</w:t>
            </w:r>
          </w:p>
        </w:tc>
        <w:tc>
          <w:tcPr>
            <w:tcW w:w="0" w:type="auto"/>
            <w:hideMark/>
          </w:tcPr>
          <w:p w14:paraId="79539D28" w14:textId="77777777" w:rsidR="009F139F" w:rsidRPr="009642A4" w:rsidRDefault="009F139F" w:rsidP="00462CB9">
            <w:pPr>
              <w:rPr>
                <w:rFonts w:cs="Arial"/>
                <w:b/>
                <w:bCs/>
                <w:color w:val="000000" w:themeColor="text1"/>
                <w:sz w:val="20"/>
                <w:szCs w:val="20"/>
              </w:rPr>
            </w:pPr>
            <w:r w:rsidRPr="009642A4">
              <w:rPr>
                <w:rFonts w:cs="Arial"/>
                <w:b/>
                <w:bCs/>
                <w:color w:val="000000" w:themeColor="text1"/>
                <w:sz w:val="20"/>
                <w:szCs w:val="20"/>
              </w:rPr>
              <w:t>Purpose</w:t>
            </w:r>
          </w:p>
        </w:tc>
      </w:tr>
      <w:tr w:rsidR="004D0B81" w:rsidRPr="009642A4" w14:paraId="57C83710" w14:textId="77777777" w:rsidTr="00DE4C8B">
        <w:tc>
          <w:tcPr>
            <w:tcW w:w="0" w:type="auto"/>
            <w:hideMark/>
          </w:tcPr>
          <w:p w14:paraId="621EF6CE"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MEDLINE</w:t>
            </w:r>
          </w:p>
        </w:tc>
        <w:tc>
          <w:tcPr>
            <w:tcW w:w="0" w:type="auto"/>
            <w:hideMark/>
          </w:tcPr>
          <w:p w14:paraId="58EF292E"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PubMed</w:t>
            </w:r>
          </w:p>
        </w:tc>
        <w:tc>
          <w:tcPr>
            <w:tcW w:w="0" w:type="auto"/>
            <w:hideMark/>
          </w:tcPr>
          <w:p w14:paraId="6A0BBC93"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2020–16 July 2026</w:t>
            </w:r>
          </w:p>
        </w:tc>
        <w:tc>
          <w:tcPr>
            <w:tcW w:w="0" w:type="auto"/>
            <w:hideMark/>
          </w:tcPr>
          <w:p w14:paraId="5F4E3EB3"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Biomedical and clinical CKD evidence</w:t>
            </w:r>
          </w:p>
        </w:tc>
      </w:tr>
      <w:tr w:rsidR="004D0B81" w:rsidRPr="009642A4" w14:paraId="6E50B74A" w14:textId="77777777" w:rsidTr="00DE4C8B">
        <w:tc>
          <w:tcPr>
            <w:tcW w:w="0" w:type="auto"/>
            <w:hideMark/>
          </w:tcPr>
          <w:p w14:paraId="36F53914"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CINAHL</w:t>
            </w:r>
          </w:p>
        </w:tc>
        <w:tc>
          <w:tcPr>
            <w:tcW w:w="0" w:type="auto"/>
            <w:hideMark/>
          </w:tcPr>
          <w:p w14:paraId="789B8D0D"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EBSCOhost</w:t>
            </w:r>
          </w:p>
        </w:tc>
        <w:tc>
          <w:tcPr>
            <w:tcW w:w="0" w:type="auto"/>
            <w:hideMark/>
          </w:tcPr>
          <w:p w14:paraId="027F354C" w14:textId="22CBDFFD" w:rsidR="009F139F" w:rsidRPr="009642A4" w:rsidRDefault="009F139F" w:rsidP="00462CB9">
            <w:pPr>
              <w:rPr>
                <w:rFonts w:cs="Arial"/>
                <w:color w:val="000000" w:themeColor="text1"/>
                <w:sz w:val="20"/>
                <w:szCs w:val="20"/>
              </w:rPr>
            </w:pPr>
            <w:r w:rsidRPr="009642A4">
              <w:rPr>
                <w:rFonts w:cs="Arial"/>
                <w:color w:val="000000" w:themeColor="text1"/>
                <w:sz w:val="20"/>
                <w:szCs w:val="20"/>
              </w:rPr>
              <w:t>2020–</w:t>
            </w:r>
            <w:r w:rsidR="00DE4C8B" w:rsidRPr="009642A4">
              <w:rPr>
                <w:rFonts w:cs="Arial"/>
                <w:color w:val="000000" w:themeColor="text1"/>
                <w:sz w:val="20"/>
                <w:szCs w:val="20"/>
              </w:rPr>
              <w:t>20</w:t>
            </w:r>
            <w:r w:rsidRPr="009642A4">
              <w:rPr>
                <w:rFonts w:cs="Arial"/>
                <w:color w:val="000000" w:themeColor="text1"/>
                <w:sz w:val="20"/>
                <w:szCs w:val="20"/>
              </w:rPr>
              <w:t xml:space="preserve"> July 2026</w:t>
            </w:r>
          </w:p>
        </w:tc>
        <w:tc>
          <w:tcPr>
            <w:tcW w:w="0" w:type="auto"/>
            <w:hideMark/>
          </w:tcPr>
          <w:p w14:paraId="652C449A"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Nursing and patient-management evidence</w:t>
            </w:r>
          </w:p>
        </w:tc>
      </w:tr>
      <w:tr w:rsidR="004D0B81" w:rsidRPr="009642A4" w14:paraId="51F6A084" w14:textId="77777777" w:rsidTr="00DE4C8B">
        <w:tc>
          <w:tcPr>
            <w:tcW w:w="0" w:type="auto"/>
            <w:hideMark/>
          </w:tcPr>
          <w:p w14:paraId="29947F94"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Academic Search Complete</w:t>
            </w:r>
          </w:p>
        </w:tc>
        <w:tc>
          <w:tcPr>
            <w:tcW w:w="0" w:type="auto"/>
            <w:hideMark/>
          </w:tcPr>
          <w:p w14:paraId="40EF279C"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EBSCOhost</w:t>
            </w:r>
          </w:p>
        </w:tc>
        <w:tc>
          <w:tcPr>
            <w:tcW w:w="0" w:type="auto"/>
            <w:hideMark/>
          </w:tcPr>
          <w:p w14:paraId="31CF5328" w14:textId="76DD8962" w:rsidR="009F139F" w:rsidRPr="009642A4" w:rsidRDefault="009F139F" w:rsidP="00462CB9">
            <w:pPr>
              <w:rPr>
                <w:rFonts w:cs="Arial"/>
                <w:color w:val="000000" w:themeColor="text1"/>
                <w:sz w:val="20"/>
                <w:szCs w:val="20"/>
              </w:rPr>
            </w:pPr>
            <w:r w:rsidRPr="009642A4">
              <w:rPr>
                <w:rFonts w:cs="Arial"/>
                <w:color w:val="000000" w:themeColor="text1"/>
                <w:sz w:val="20"/>
                <w:szCs w:val="20"/>
              </w:rPr>
              <w:t>2020–</w:t>
            </w:r>
            <w:r w:rsidR="00DE4C8B" w:rsidRPr="009642A4">
              <w:rPr>
                <w:rFonts w:cs="Arial"/>
                <w:color w:val="000000" w:themeColor="text1"/>
                <w:sz w:val="20"/>
                <w:szCs w:val="20"/>
              </w:rPr>
              <w:t>29</w:t>
            </w:r>
            <w:r w:rsidRPr="009642A4">
              <w:rPr>
                <w:rFonts w:cs="Arial"/>
                <w:color w:val="000000" w:themeColor="text1"/>
                <w:sz w:val="20"/>
                <w:szCs w:val="20"/>
              </w:rPr>
              <w:t xml:space="preserve"> July 2026</w:t>
            </w:r>
          </w:p>
        </w:tc>
        <w:tc>
          <w:tcPr>
            <w:tcW w:w="0" w:type="auto"/>
            <w:hideMark/>
          </w:tcPr>
          <w:p w14:paraId="79B5E3F1"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Multidisciplinary public-health evidence</w:t>
            </w:r>
          </w:p>
        </w:tc>
      </w:tr>
      <w:tr w:rsidR="004D0B81" w:rsidRPr="009642A4" w14:paraId="335343C6" w14:textId="77777777" w:rsidTr="00DE4C8B">
        <w:tc>
          <w:tcPr>
            <w:tcW w:w="0" w:type="auto"/>
            <w:hideMark/>
          </w:tcPr>
          <w:p w14:paraId="7D78CD7A" w14:textId="77777777" w:rsidR="009F139F" w:rsidRPr="009642A4" w:rsidRDefault="009F139F" w:rsidP="00462CB9">
            <w:pPr>
              <w:rPr>
                <w:rFonts w:cs="Arial"/>
                <w:color w:val="000000" w:themeColor="text1"/>
                <w:sz w:val="20"/>
                <w:szCs w:val="20"/>
              </w:rPr>
            </w:pPr>
            <w:r w:rsidRPr="009642A4">
              <w:rPr>
                <w:rFonts w:cs="Arial"/>
                <w:b/>
                <w:bCs/>
                <w:color w:val="000000" w:themeColor="text1"/>
                <w:sz w:val="20"/>
                <w:szCs w:val="20"/>
              </w:rPr>
              <w:t>Web of Science Core Collection</w:t>
            </w:r>
          </w:p>
        </w:tc>
        <w:tc>
          <w:tcPr>
            <w:tcW w:w="0" w:type="auto"/>
            <w:hideMark/>
          </w:tcPr>
          <w:p w14:paraId="1E6FC63F"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Clarivate</w:t>
            </w:r>
          </w:p>
        </w:tc>
        <w:tc>
          <w:tcPr>
            <w:tcW w:w="0" w:type="auto"/>
            <w:hideMark/>
          </w:tcPr>
          <w:p w14:paraId="41151B5B" w14:textId="60682F56" w:rsidR="009F139F" w:rsidRPr="009642A4" w:rsidRDefault="009F139F" w:rsidP="00462CB9">
            <w:pPr>
              <w:rPr>
                <w:rFonts w:cs="Arial"/>
                <w:color w:val="000000" w:themeColor="text1"/>
                <w:sz w:val="20"/>
                <w:szCs w:val="20"/>
              </w:rPr>
            </w:pPr>
            <w:r w:rsidRPr="009642A4">
              <w:rPr>
                <w:rFonts w:cs="Arial"/>
                <w:color w:val="000000" w:themeColor="text1"/>
                <w:sz w:val="20"/>
                <w:szCs w:val="20"/>
              </w:rPr>
              <w:t>2020–</w:t>
            </w:r>
            <w:r w:rsidR="00DE4C8B" w:rsidRPr="009642A4">
              <w:rPr>
                <w:rFonts w:cs="Arial"/>
                <w:color w:val="000000" w:themeColor="text1"/>
                <w:sz w:val="20"/>
                <w:szCs w:val="20"/>
              </w:rPr>
              <w:t>5</w:t>
            </w:r>
            <w:r w:rsidRPr="009642A4">
              <w:rPr>
                <w:rFonts w:cs="Arial"/>
                <w:color w:val="000000" w:themeColor="text1"/>
                <w:sz w:val="20"/>
                <w:szCs w:val="20"/>
              </w:rPr>
              <w:t xml:space="preserve"> </w:t>
            </w:r>
            <w:r w:rsidR="00DE4C8B" w:rsidRPr="009642A4">
              <w:rPr>
                <w:rFonts w:cs="Arial"/>
                <w:color w:val="000000" w:themeColor="text1"/>
                <w:sz w:val="20"/>
                <w:szCs w:val="20"/>
              </w:rPr>
              <w:t>August</w:t>
            </w:r>
            <w:r w:rsidRPr="009642A4">
              <w:rPr>
                <w:rFonts w:cs="Arial"/>
                <w:color w:val="000000" w:themeColor="text1"/>
                <w:sz w:val="20"/>
                <w:szCs w:val="20"/>
              </w:rPr>
              <w:t xml:space="preserve"> 2026</w:t>
            </w:r>
          </w:p>
        </w:tc>
        <w:tc>
          <w:tcPr>
            <w:tcW w:w="0" w:type="auto"/>
            <w:hideMark/>
          </w:tcPr>
          <w:p w14:paraId="61C73BF0" w14:textId="77777777" w:rsidR="009F139F" w:rsidRPr="009642A4" w:rsidRDefault="009F139F" w:rsidP="00462CB9">
            <w:pPr>
              <w:rPr>
                <w:rFonts w:cs="Arial"/>
                <w:color w:val="000000" w:themeColor="text1"/>
                <w:sz w:val="20"/>
                <w:szCs w:val="20"/>
              </w:rPr>
            </w:pPr>
            <w:r w:rsidRPr="009642A4">
              <w:rPr>
                <w:rFonts w:cs="Arial"/>
                <w:color w:val="000000" w:themeColor="text1"/>
                <w:sz w:val="20"/>
                <w:szCs w:val="20"/>
              </w:rPr>
              <w:t>Cross-disciplinary and citation-tracking evidence</w:t>
            </w:r>
          </w:p>
        </w:tc>
      </w:tr>
    </w:tbl>
    <w:p w14:paraId="1C5BD7C0" w14:textId="5E0E30B2" w:rsidR="009F139F" w:rsidRPr="00C07BB7" w:rsidRDefault="00FE225E" w:rsidP="00356B02">
      <w:pPr>
        <w:spacing w:before="240"/>
        <w:rPr>
          <w:rFonts w:cs="Arial"/>
          <w:color w:val="000000" w:themeColor="text1"/>
        </w:rPr>
      </w:pPr>
      <w:r w:rsidRPr="00C07BB7">
        <w:rPr>
          <w:rFonts w:cs="Arial"/>
          <w:color w:val="000000" w:themeColor="text1"/>
        </w:rPr>
        <w:t xml:space="preserve">The search strategy was designed in four main concept blocks: CKD, adults, United Kingdom and risk factors or management strategies. The following terms were used to describe the disease of the kidneys: chronic kidney disease, CKD, chronic renal disease, kidney function decline and renal insufficiency. Population terms: adult*, “aged 18 years and over”. UK related terms: “United Kingdom”, UK, England, Scotland, Wales, “Northern Ireland”, British. Risk-factor and management terms: risk factor*, prevalence, incidence, progression, diabetes, hypertension, </w:t>
      </w:r>
      <w:proofErr w:type="spellStart"/>
      <w:r w:rsidRPr="00C07BB7">
        <w:rPr>
          <w:rFonts w:cs="Arial"/>
          <w:color w:val="000000" w:themeColor="text1"/>
        </w:rPr>
        <w:t>obes</w:t>
      </w:r>
      <w:proofErr w:type="spellEnd"/>
      <w:r w:rsidRPr="00C07BB7">
        <w:rPr>
          <w:rFonts w:cs="Arial"/>
          <w:color w:val="000000" w:themeColor="text1"/>
        </w:rPr>
        <w:t xml:space="preserve">*, smoking, ethnicity, deprivation, diet, “physical activity”, management, treatment, intervention*, screening, “SGLT2 inhibitor*”, lifestyle, “digital health”, “self-management”, “integrated care”. </w:t>
      </w:r>
      <w:r w:rsidR="009F139F" w:rsidRPr="00C07BB7">
        <w:rPr>
          <w:rFonts w:cs="Arial"/>
          <w:color w:val="000000" w:themeColor="text1"/>
        </w:rPr>
        <w:t xml:space="preserve"> </w:t>
      </w:r>
    </w:p>
    <w:p w14:paraId="25AECC7E" w14:textId="77777777" w:rsidR="00DE4C8B" w:rsidRPr="00C07BB7" w:rsidRDefault="00DE4C8B" w:rsidP="00462CB9">
      <w:pPr>
        <w:jc w:val="center"/>
        <w:rPr>
          <w:rFonts w:cs="Arial"/>
          <w:color w:val="FF0000"/>
        </w:rPr>
      </w:pPr>
      <w:r w:rsidRPr="00C07BB7">
        <w:rPr>
          <w:rFonts w:cs="Arial"/>
          <w:noProof/>
          <w:color w:val="FF0000"/>
        </w:rPr>
        <w:drawing>
          <wp:inline distT="0" distB="0" distL="0" distR="0" wp14:anchorId="0B088BE5" wp14:editId="500DBA1A">
            <wp:extent cx="4342130" cy="2001439"/>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kyf_fig3_2_search.png"/>
                    <pic:cNvPicPr/>
                  </pic:nvPicPr>
                  <pic:blipFill rotWithShape="1">
                    <a:blip r:embed="rId14"/>
                    <a:srcRect t="14536" b="14781"/>
                    <a:stretch/>
                  </pic:blipFill>
                  <pic:spPr bwMode="auto">
                    <a:xfrm>
                      <a:off x="0" y="0"/>
                      <a:ext cx="4359730" cy="2009551"/>
                    </a:xfrm>
                    <a:prstGeom prst="rect">
                      <a:avLst/>
                    </a:prstGeom>
                    <a:ln>
                      <a:noFill/>
                    </a:ln>
                    <a:extLst>
                      <a:ext uri="{53640926-AAD7-44D8-BBD7-CCE9431645EC}">
                        <a14:shadowObscured xmlns:a14="http://schemas.microsoft.com/office/drawing/2010/main"/>
                      </a:ext>
                    </a:extLst>
                  </pic:spPr>
                </pic:pic>
              </a:graphicData>
            </a:graphic>
          </wp:inline>
        </w:drawing>
      </w:r>
    </w:p>
    <w:p w14:paraId="3DE7B585" w14:textId="77777777" w:rsidR="00DE4C8B" w:rsidRPr="00C07BB7" w:rsidRDefault="00DE4C8B" w:rsidP="00462CB9">
      <w:pPr>
        <w:jc w:val="center"/>
        <w:rPr>
          <w:rFonts w:cs="Arial"/>
          <w:i/>
          <w:iCs/>
          <w:color w:val="000000" w:themeColor="text1"/>
        </w:rPr>
      </w:pPr>
      <w:r w:rsidRPr="00C07BB7">
        <w:rPr>
          <w:rFonts w:cs="Arial"/>
          <w:i/>
          <w:iCs/>
          <w:color w:val="000000" w:themeColor="text1"/>
        </w:rPr>
        <w:t>Figure 3.1. Topic-specific search concept structure</w:t>
      </w:r>
    </w:p>
    <w:p w14:paraId="7D2B8E8C" w14:textId="77777777" w:rsidR="00DE4C8B" w:rsidRPr="00C07BB7" w:rsidRDefault="00DE4C8B" w:rsidP="00462CB9">
      <w:pPr>
        <w:rPr>
          <w:rFonts w:cs="Arial"/>
          <w:i/>
          <w:iCs/>
          <w:color w:val="000000" w:themeColor="text1"/>
          <w:sz w:val="20"/>
          <w:szCs w:val="18"/>
        </w:rPr>
      </w:pPr>
      <w:r w:rsidRPr="00C07BB7">
        <w:rPr>
          <w:rFonts w:cs="Arial"/>
          <w:i/>
          <w:iCs/>
          <w:color w:val="000000" w:themeColor="text1"/>
          <w:sz w:val="20"/>
          <w:szCs w:val="18"/>
        </w:rPr>
        <w:t>Master search logic: (CKD terms) AND (adult terms) AND (UK terms) AND (risk-factor OR management terms).</w:t>
      </w:r>
    </w:p>
    <w:p w14:paraId="196EAF55" w14:textId="21A1A5C8" w:rsidR="00FE225E" w:rsidRPr="00C07BB7" w:rsidRDefault="00FE225E" w:rsidP="00462CB9">
      <w:pPr>
        <w:rPr>
          <w:rFonts w:cs="Arial"/>
          <w:color w:val="000000" w:themeColor="text1"/>
        </w:rPr>
      </w:pPr>
      <w:r w:rsidRPr="00C07BB7">
        <w:rPr>
          <w:rFonts w:cs="Arial"/>
          <w:color w:val="000000" w:themeColor="text1"/>
        </w:rPr>
        <w:t xml:space="preserve">The overall Boolean search strategy was (CKD terms) AND (adult terms) AND (UK terms) AND (risk-factor OR management terms). Each database's indexing and search function was incorporated into the master strategy. The sources used were PubMed's </w:t>
      </w:r>
      <w:proofErr w:type="spellStart"/>
      <w:r w:rsidRPr="00C07BB7">
        <w:rPr>
          <w:rFonts w:cs="Arial"/>
          <w:color w:val="000000" w:themeColor="text1"/>
        </w:rPr>
        <w:t>MeSH</w:t>
      </w:r>
      <w:proofErr w:type="spellEnd"/>
      <w:r w:rsidRPr="00C07BB7">
        <w:rPr>
          <w:rFonts w:cs="Arial"/>
          <w:color w:val="000000" w:themeColor="text1"/>
        </w:rPr>
        <w:t xml:space="preserve"> and free-text terms, CINAHL subject headings and free-text terms, Academic Search </w:t>
      </w:r>
      <w:r w:rsidR="008E3A72" w:rsidRPr="00C07BB7">
        <w:rPr>
          <w:rFonts w:cs="Arial"/>
          <w:color w:val="000000" w:themeColor="text1"/>
        </w:rPr>
        <w:t>Completes</w:t>
      </w:r>
      <w:r w:rsidRPr="00C07BB7">
        <w:rPr>
          <w:rFonts w:cs="Arial"/>
          <w:color w:val="000000" w:themeColor="text1"/>
        </w:rPr>
        <w:t xml:space="preserve"> keyword-field searching and Web of Science's topic-field searching. Boolean operators, phrase searching, truncation and database-specific field codes were modified as needed. Search dates, exact strings of the databases searched, limits and numbers of results retrieved were documented in a search log, which adheres to PRISMA-S principles (</w:t>
      </w:r>
      <w:proofErr w:type="spellStart"/>
      <w:r w:rsidRPr="00C07BB7">
        <w:rPr>
          <w:rFonts w:cs="Arial"/>
          <w:color w:val="000000" w:themeColor="text1"/>
        </w:rPr>
        <w:t>Rethlefsen</w:t>
      </w:r>
      <w:proofErr w:type="spellEnd"/>
      <w:r w:rsidRPr="00C07BB7">
        <w:rPr>
          <w:rFonts w:cs="Arial"/>
          <w:color w:val="000000" w:themeColor="text1"/>
        </w:rPr>
        <w:t xml:space="preserve"> et al., 2021) for transparency and reproducibility. </w:t>
      </w:r>
    </w:p>
    <w:p w14:paraId="7DD875DC" w14:textId="763C5D45" w:rsidR="009F139F" w:rsidRPr="00C07BB7" w:rsidRDefault="00FE225E" w:rsidP="00462CB9">
      <w:pPr>
        <w:rPr>
          <w:rFonts w:cs="Arial"/>
          <w:color w:val="000000" w:themeColor="text1"/>
        </w:rPr>
      </w:pPr>
      <w:r w:rsidRPr="00C07BB7">
        <w:rPr>
          <w:rFonts w:cs="Arial"/>
          <w:color w:val="000000" w:themeColor="text1"/>
        </w:rPr>
        <w:t xml:space="preserve">Reference-list checking and forward citation searching were added to the general searching as supplementary searches. All retrieved records were downloaded into a reference-management system, duplicates were eliminated, and titles and abstracts were checked for eligibility according to pre-established criteria. Potentially relevant records progressed to full-text assessment. One reviewer screened, and a structured screening log was kept </w:t>
      </w:r>
      <w:r w:rsidR="00205FE3" w:rsidRPr="00C07BB7">
        <w:rPr>
          <w:rFonts w:cs="Arial"/>
          <w:color w:val="000000" w:themeColor="text1"/>
        </w:rPr>
        <w:t>ensuring</w:t>
      </w:r>
      <w:r w:rsidRPr="00C07BB7">
        <w:rPr>
          <w:rFonts w:cs="Arial"/>
          <w:color w:val="000000" w:themeColor="text1"/>
        </w:rPr>
        <w:t xml:space="preserve"> transparency and </w:t>
      </w:r>
      <w:proofErr w:type="spellStart"/>
      <w:r w:rsidRPr="00C07BB7">
        <w:rPr>
          <w:rFonts w:cs="Arial"/>
          <w:color w:val="000000" w:themeColor="text1"/>
        </w:rPr>
        <w:t>minimise</w:t>
      </w:r>
      <w:proofErr w:type="spellEnd"/>
      <w:r w:rsidRPr="00C07BB7">
        <w:rPr>
          <w:rFonts w:cs="Arial"/>
          <w:color w:val="000000" w:themeColor="text1"/>
        </w:rPr>
        <w:t xml:space="preserve"> the risk of selection and judgement bias. In Section 3.4, the following study-selection process is reported using the PRISMA framework.</w:t>
      </w:r>
      <w:r w:rsidR="009F139F" w:rsidRPr="00C07BB7">
        <w:rPr>
          <w:rFonts w:cs="Arial"/>
          <w:color w:val="000000" w:themeColor="text1"/>
        </w:rPr>
        <w:t xml:space="preserve"> </w:t>
      </w:r>
    </w:p>
    <w:p w14:paraId="36EC3A4D" w14:textId="53857BAA" w:rsidR="000D4C48" w:rsidRPr="009642A4" w:rsidRDefault="000B3C1F" w:rsidP="001B1E45">
      <w:pPr>
        <w:pStyle w:val="Heading2"/>
        <w:rPr>
          <w:sz w:val="28"/>
          <w:szCs w:val="28"/>
        </w:rPr>
      </w:pPr>
      <w:bookmarkStart w:id="92" w:name="_Toc239294390"/>
      <w:bookmarkStart w:id="93" w:name="_Toc241011067"/>
      <w:r w:rsidRPr="009642A4">
        <w:rPr>
          <w:sz w:val="28"/>
          <w:szCs w:val="28"/>
        </w:rPr>
        <w:t xml:space="preserve">3.4 </w:t>
      </w:r>
      <w:r w:rsidR="000D4C48" w:rsidRPr="009642A4">
        <w:rPr>
          <w:sz w:val="28"/>
          <w:szCs w:val="28"/>
        </w:rPr>
        <w:t>Inclusion and Exclusion Criteria</w:t>
      </w:r>
      <w:bookmarkEnd w:id="92"/>
      <w:bookmarkEnd w:id="93"/>
    </w:p>
    <w:p w14:paraId="1F856135" w14:textId="6E43E4AA" w:rsidR="000D4C48" w:rsidRPr="00C07BB7" w:rsidRDefault="000D4C48" w:rsidP="00462CB9">
      <w:pPr>
        <w:rPr>
          <w:rFonts w:cs="Arial"/>
        </w:rPr>
      </w:pPr>
      <w:r w:rsidRPr="00C07BB7">
        <w:rPr>
          <w:rFonts w:cs="Arial"/>
        </w:rPr>
        <w:t>To ensure consistency between the research question and the studies selected, eligibility criteria were established prior to screening. Included studies evaluated adults aged ≥18 years, were conducted in the UK or included</w:t>
      </w:r>
      <w:r w:rsidR="00F64A0E">
        <w:rPr>
          <w:rFonts w:cs="Arial"/>
        </w:rPr>
        <w:t xml:space="preserve"> the</w:t>
      </w:r>
      <w:r w:rsidRPr="00C07BB7">
        <w:rPr>
          <w:rFonts w:cs="Arial"/>
        </w:rPr>
        <w:t xml:space="preserve"> UK data, studied defined CKD or a population with potential for CKD, included prevalence, risk, progression or management, included empirical research, were published in English from 2020 to 2026, and provided full text. Eligible study designs were observational, intervention, qualitative and mixed </w:t>
      </w:r>
      <w:r w:rsidR="008E3A72" w:rsidRPr="00C07BB7">
        <w:rPr>
          <w:rFonts w:cs="Arial"/>
        </w:rPr>
        <w:t>methods</w:t>
      </w:r>
      <w:r w:rsidR="008E3A72">
        <w:rPr>
          <w:rFonts w:cs="Arial"/>
        </w:rPr>
        <w:t>, The</w:t>
      </w:r>
      <w:r w:rsidRPr="00C07BB7">
        <w:rPr>
          <w:rFonts w:cs="Arial"/>
        </w:rPr>
        <w:t xml:space="preserve"> UK Biobank studies were allowed; however, representativeness was taken into account when appraising.</w:t>
      </w:r>
    </w:p>
    <w:p w14:paraId="5AEF01CC" w14:textId="77777777" w:rsidR="000D4C48" w:rsidRPr="00C07BB7" w:rsidRDefault="000D4C48" w:rsidP="00462CB9">
      <w:pPr>
        <w:rPr>
          <w:rFonts w:cs="Arial"/>
        </w:rPr>
      </w:pPr>
      <w:r w:rsidRPr="00C07BB7">
        <w:rPr>
          <w:rFonts w:cs="Arial"/>
        </w:rPr>
        <w:t xml:space="preserve">Excluded evidence included child-only studies, studies that did not report separately from other studies in the UK, acute kidney injury studies that did not have a CKD outcome, animal or laboratory studies, editorials, letters, protocols, commentaries, and other non-empirical publications. Background interpretation or citation chasing could be supported via systematic review and official guidance, but these were not </w:t>
      </w:r>
      <w:proofErr w:type="spellStart"/>
      <w:r w:rsidRPr="00C07BB7">
        <w:rPr>
          <w:rFonts w:cs="Arial"/>
        </w:rPr>
        <w:t>recognised</w:t>
      </w:r>
      <w:proofErr w:type="spellEnd"/>
      <w:r w:rsidRPr="00C07BB7">
        <w:rPr>
          <w:rFonts w:cs="Arial"/>
        </w:rPr>
        <w:t xml:space="preserve"> as a primary empirical study for the main synthesis. These criteria were better for relevance, but also for language, publication and date-restriction bias.</w:t>
      </w:r>
    </w:p>
    <w:p w14:paraId="33E2B94C" w14:textId="77777777" w:rsidR="00205FE3" w:rsidRDefault="00205FE3" w:rsidP="00462CB9">
      <w:pPr>
        <w:rPr>
          <w:rFonts w:cs="Arial"/>
          <w:sz w:val="24"/>
          <w:szCs w:val="24"/>
        </w:rPr>
      </w:pPr>
    </w:p>
    <w:p w14:paraId="2E6DC72C" w14:textId="77777777" w:rsidR="00205FE3" w:rsidRDefault="00205FE3" w:rsidP="00462CB9">
      <w:pPr>
        <w:rPr>
          <w:rFonts w:cs="Arial"/>
          <w:sz w:val="24"/>
          <w:szCs w:val="24"/>
        </w:rPr>
      </w:pPr>
    </w:p>
    <w:p w14:paraId="1E24DD42" w14:textId="1BEB56CD" w:rsidR="000D4C48" w:rsidRPr="001B1E45" w:rsidRDefault="000D4C48" w:rsidP="00462CB9">
      <w:pPr>
        <w:rPr>
          <w:rFonts w:cs="Arial"/>
          <w:sz w:val="24"/>
          <w:szCs w:val="24"/>
        </w:rPr>
      </w:pPr>
      <w:r w:rsidRPr="001B1E45">
        <w:rPr>
          <w:rFonts w:cs="Arial"/>
          <w:sz w:val="24"/>
          <w:szCs w:val="24"/>
        </w:rPr>
        <w:t>Table 3.4: Inclusion and exclusion criteria</w:t>
      </w:r>
    </w:p>
    <w:tbl>
      <w:tblPr>
        <w:tblStyle w:val="TableGrid"/>
        <w:tblW w:w="0" w:type="auto"/>
        <w:jc w:val="center"/>
        <w:tblLook w:val="04A0" w:firstRow="1" w:lastRow="0" w:firstColumn="1" w:lastColumn="0" w:noHBand="0" w:noVBand="1"/>
      </w:tblPr>
      <w:tblGrid>
        <w:gridCol w:w="1578"/>
        <w:gridCol w:w="3500"/>
        <w:gridCol w:w="3368"/>
      </w:tblGrid>
      <w:tr w:rsidR="000D4C48" w:rsidRPr="001B1E45" w14:paraId="6D5A1F14" w14:textId="77777777" w:rsidTr="00976787">
        <w:trPr>
          <w:jc w:val="center"/>
        </w:trPr>
        <w:tc>
          <w:tcPr>
            <w:tcW w:w="1620" w:type="dxa"/>
            <w:tcMar>
              <w:top w:w="70" w:type="dxa"/>
              <w:left w:w="70" w:type="dxa"/>
              <w:bottom w:w="70" w:type="dxa"/>
              <w:right w:w="70" w:type="dxa"/>
            </w:tcMar>
          </w:tcPr>
          <w:p w14:paraId="0748E0E8" w14:textId="77777777" w:rsidR="000D4C48" w:rsidRPr="00A934BF" w:rsidRDefault="000D4C48" w:rsidP="003B6BA5">
            <w:pPr>
              <w:jc w:val="center"/>
              <w:rPr>
                <w:rFonts w:cs="Arial"/>
                <w:b/>
                <w:bCs/>
                <w:sz w:val="20"/>
                <w:szCs w:val="20"/>
              </w:rPr>
            </w:pPr>
            <w:r w:rsidRPr="00A934BF">
              <w:rPr>
                <w:rFonts w:cs="Arial"/>
                <w:b/>
                <w:bCs/>
                <w:sz w:val="20"/>
                <w:szCs w:val="20"/>
              </w:rPr>
              <w:t>Criterion</w:t>
            </w:r>
          </w:p>
        </w:tc>
        <w:tc>
          <w:tcPr>
            <w:tcW w:w="4140" w:type="dxa"/>
            <w:tcMar>
              <w:top w:w="70" w:type="dxa"/>
              <w:left w:w="70" w:type="dxa"/>
              <w:bottom w:w="70" w:type="dxa"/>
              <w:right w:w="70" w:type="dxa"/>
            </w:tcMar>
          </w:tcPr>
          <w:p w14:paraId="11E8D30A" w14:textId="77777777" w:rsidR="000D4C48" w:rsidRPr="00A934BF" w:rsidRDefault="000D4C48" w:rsidP="003B6BA5">
            <w:pPr>
              <w:jc w:val="center"/>
              <w:rPr>
                <w:rFonts w:cs="Arial"/>
                <w:b/>
                <w:bCs/>
                <w:sz w:val="20"/>
                <w:szCs w:val="20"/>
              </w:rPr>
            </w:pPr>
            <w:r w:rsidRPr="00A934BF">
              <w:rPr>
                <w:rFonts w:cs="Arial"/>
                <w:b/>
                <w:bCs/>
                <w:sz w:val="20"/>
                <w:szCs w:val="20"/>
              </w:rPr>
              <w:t>Include</w:t>
            </w:r>
          </w:p>
        </w:tc>
        <w:tc>
          <w:tcPr>
            <w:tcW w:w="3888" w:type="dxa"/>
            <w:tcMar>
              <w:top w:w="70" w:type="dxa"/>
              <w:left w:w="70" w:type="dxa"/>
              <w:bottom w:w="70" w:type="dxa"/>
              <w:right w:w="70" w:type="dxa"/>
            </w:tcMar>
          </w:tcPr>
          <w:p w14:paraId="2BF4E74C" w14:textId="77777777" w:rsidR="000D4C48" w:rsidRPr="00A934BF" w:rsidRDefault="000D4C48" w:rsidP="003B6BA5">
            <w:pPr>
              <w:jc w:val="center"/>
              <w:rPr>
                <w:rFonts w:cs="Arial"/>
                <w:b/>
                <w:bCs/>
                <w:sz w:val="20"/>
                <w:szCs w:val="20"/>
              </w:rPr>
            </w:pPr>
            <w:r w:rsidRPr="00A934BF">
              <w:rPr>
                <w:rFonts w:cs="Arial"/>
                <w:b/>
                <w:bCs/>
                <w:sz w:val="20"/>
                <w:szCs w:val="20"/>
              </w:rPr>
              <w:t>Exclude</w:t>
            </w:r>
          </w:p>
        </w:tc>
      </w:tr>
      <w:tr w:rsidR="000D4C48" w:rsidRPr="001B1E45" w14:paraId="6ED2DA59" w14:textId="77777777" w:rsidTr="00976787">
        <w:trPr>
          <w:jc w:val="center"/>
        </w:trPr>
        <w:tc>
          <w:tcPr>
            <w:tcW w:w="1620" w:type="dxa"/>
            <w:tcMar>
              <w:top w:w="70" w:type="dxa"/>
              <w:left w:w="70" w:type="dxa"/>
              <w:bottom w:w="70" w:type="dxa"/>
              <w:right w:w="70" w:type="dxa"/>
            </w:tcMar>
          </w:tcPr>
          <w:p w14:paraId="3567459E" w14:textId="77777777" w:rsidR="000D4C48" w:rsidRPr="001B1E45" w:rsidRDefault="000D4C48" w:rsidP="00462CB9">
            <w:pPr>
              <w:rPr>
                <w:rFonts w:cs="Arial"/>
                <w:sz w:val="20"/>
                <w:szCs w:val="20"/>
              </w:rPr>
            </w:pPr>
            <w:r w:rsidRPr="001B1E45">
              <w:rPr>
                <w:rFonts w:cs="Arial"/>
                <w:sz w:val="20"/>
                <w:szCs w:val="20"/>
              </w:rPr>
              <w:t>Population</w:t>
            </w:r>
          </w:p>
        </w:tc>
        <w:tc>
          <w:tcPr>
            <w:tcW w:w="4140" w:type="dxa"/>
            <w:tcMar>
              <w:top w:w="70" w:type="dxa"/>
              <w:left w:w="70" w:type="dxa"/>
              <w:bottom w:w="70" w:type="dxa"/>
              <w:right w:w="70" w:type="dxa"/>
            </w:tcMar>
          </w:tcPr>
          <w:p w14:paraId="55E681E8" w14:textId="77777777" w:rsidR="000D4C48" w:rsidRPr="001B1E45" w:rsidRDefault="000D4C48" w:rsidP="00462CB9">
            <w:pPr>
              <w:rPr>
                <w:rFonts w:cs="Arial"/>
                <w:sz w:val="20"/>
                <w:szCs w:val="20"/>
              </w:rPr>
            </w:pPr>
            <w:r w:rsidRPr="001B1E45">
              <w:rPr>
                <w:rFonts w:cs="Arial"/>
                <w:sz w:val="20"/>
                <w:szCs w:val="20"/>
              </w:rPr>
              <w:t>Adults aged ≥18 years</w:t>
            </w:r>
          </w:p>
        </w:tc>
        <w:tc>
          <w:tcPr>
            <w:tcW w:w="3888" w:type="dxa"/>
            <w:tcMar>
              <w:top w:w="70" w:type="dxa"/>
              <w:left w:w="70" w:type="dxa"/>
              <w:bottom w:w="70" w:type="dxa"/>
              <w:right w:w="70" w:type="dxa"/>
            </w:tcMar>
          </w:tcPr>
          <w:p w14:paraId="07129460" w14:textId="77777777" w:rsidR="000D4C48" w:rsidRPr="001B1E45" w:rsidRDefault="000D4C48" w:rsidP="00462CB9">
            <w:pPr>
              <w:rPr>
                <w:rFonts w:cs="Arial"/>
                <w:sz w:val="20"/>
                <w:szCs w:val="20"/>
              </w:rPr>
            </w:pPr>
            <w:r w:rsidRPr="001B1E45">
              <w:rPr>
                <w:rFonts w:cs="Arial"/>
                <w:sz w:val="20"/>
                <w:szCs w:val="20"/>
              </w:rPr>
              <w:t>Child/adolescent-only samples</w:t>
            </w:r>
          </w:p>
        </w:tc>
      </w:tr>
      <w:tr w:rsidR="000D4C48" w:rsidRPr="001B1E45" w14:paraId="351F9BF5" w14:textId="77777777" w:rsidTr="00976787">
        <w:trPr>
          <w:jc w:val="center"/>
        </w:trPr>
        <w:tc>
          <w:tcPr>
            <w:tcW w:w="1620" w:type="dxa"/>
            <w:tcMar>
              <w:top w:w="70" w:type="dxa"/>
              <w:left w:w="70" w:type="dxa"/>
              <w:bottom w:w="70" w:type="dxa"/>
              <w:right w:w="70" w:type="dxa"/>
            </w:tcMar>
          </w:tcPr>
          <w:p w14:paraId="2A0F805E" w14:textId="77777777" w:rsidR="000D4C48" w:rsidRPr="001B1E45" w:rsidRDefault="000D4C48" w:rsidP="00462CB9">
            <w:pPr>
              <w:rPr>
                <w:rFonts w:cs="Arial"/>
                <w:sz w:val="20"/>
                <w:szCs w:val="20"/>
              </w:rPr>
            </w:pPr>
            <w:r w:rsidRPr="001B1E45">
              <w:rPr>
                <w:rFonts w:cs="Arial"/>
                <w:sz w:val="20"/>
                <w:szCs w:val="20"/>
              </w:rPr>
              <w:t>Geography</w:t>
            </w:r>
          </w:p>
        </w:tc>
        <w:tc>
          <w:tcPr>
            <w:tcW w:w="4140" w:type="dxa"/>
            <w:tcMar>
              <w:top w:w="70" w:type="dxa"/>
              <w:left w:w="70" w:type="dxa"/>
              <w:bottom w:w="70" w:type="dxa"/>
              <w:right w:w="70" w:type="dxa"/>
            </w:tcMar>
          </w:tcPr>
          <w:p w14:paraId="2FBC6FB0" w14:textId="77777777" w:rsidR="000D4C48" w:rsidRPr="001B1E45" w:rsidRDefault="000D4C48" w:rsidP="00462CB9">
            <w:pPr>
              <w:rPr>
                <w:rFonts w:cs="Arial"/>
                <w:sz w:val="20"/>
                <w:szCs w:val="20"/>
              </w:rPr>
            </w:pPr>
            <w:r w:rsidRPr="001B1E45">
              <w:rPr>
                <w:rFonts w:cs="Arial"/>
                <w:sz w:val="20"/>
                <w:szCs w:val="20"/>
              </w:rPr>
              <w:t>UK or constituent nations; separable UK data</w:t>
            </w:r>
          </w:p>
        </w:tc>
        <w:tc>
          <w:tcPr>
            <w:tcW w:w="3888" w:type="dxa"/>
            <w:tcMar>
              <w:top w:w="70" w:type="dxa"/>
              <w:left w:w="70" w:type="dxa"/>
              <w:bottom w:w="70" w:type="dxa"/>
              <w:right w:w="70" w:type="dxa"/>
            </w:tcMar>
          </w:tcPr>
          <w:p w14:paraId="6B158F19" w14:textId="77777777" w:rsidR="000D4C48" w:rsidRPr="001B1E45" w:rsidRDefault="000D4C48" w:rsidP="00462CB9">
            <w:pPr>
              <w:rPr>
                <w:rFonts w:cs="Arial"/>
                <w:sz w:val="20"/>
                <w:szCs w:val="20"/>
              </w:rPr>
            </w:pPr>
            <w:r w:rsidRPr="001B1E45">
              <w:rPr>
                <w:rFonts w:cs="Arial"/>
                <w:sz w:val="20"/>
                <w:szCs w:val="20"/>
              </w:rPr>
              <w:t>Non-UK evidence without separable UK results</w:t>
            </w:r>
          </w:p>
        </w:tc>
      </w:tr>
      <w:tr w:rsidR="000D4C48" w:rsidRPr="001B1E45" w14:paraId="51A1D789" w14:textId="77777777" w:rsidTr="00976787">
        <w:trPr>
          <w:jc w:val="center"/>
        </w:trPr>
        <w:tc>
          <w:tcPr>
            <w:tcW w:w="1620" w:type="dxa"/>
            <w:tcMar>
              <w:top w:w="70" w:type="dxa"/>
              <w:left w:w="70" w:type="dxa"/>
              <w:bottom w:w="70" w:type="dxa"/>
              <w:right w:w="70" w:type="dxa"/>
            </w:tcMar>
          </w:tcPr>
          <w:p w14:paraId="18AED2CF" w14:textId="77777777" w:rsidR="000D4C48" w:rsidRPr="001B1E45" w:rsidRDefault="000D4C48" w:rsidP="00462CB9">
            <w:pPr>
              <w:rPr>
                <w:rFonts w:cs="Arial"/>
                <w:sz w:val="20"/>
                <w:szCs w:val="20"/>
              </w:rPr>
            </w:pPr>
            <w:r w:rsidRPr="001B1E45">
              <w:rPr>
                <w:rFonts w:cs="Arial"/>
                <w:sz w:val="20"/>
                <w:szCs w:val="20"/>
              </w:rPr>
              <w:t>Condition</w:t>
            </w:r>
          </w:p>
        </w:tc>
        <w:tc>
          <w:tcPr>
            <w:tcW w:w="4140" w:type="dxa"/>
            <w:tcMar>
              <w:top w:w="70" w:type="dxa"/>
              <w:left w:w="70" w:type="dxa"/>
              <w:bottom w:w="70" w:type="dxa"/>
              <w:right w:w="70" w:type="dxa"/>
            </w:tcMar>
          </w:tcPr>
          <w:p w14:paraId="05DA09A6" w14:textId="77777777" w:rsidR="000D4C48" w:rsidRPr="001B1E45" w:rsidRDefault="000D4C48" w:rsidP="00462CB9">
            <w:pPr>
              <w:rPr>
                <w:rFonts w:cs="Arial"/>
                <w:sz w:val="20"/>
                <w:szCs w:val="20"/>
              </w:rPr>
            </w:pPr>
            <w:r w:rsidRPr="001B1E45">
              <w:rPr>
                <w:rFonts w:cs="Arial"/>
                <w:sz w:val="20"/>
                <w:szCs w:val="20"/>
              </w:rPr>
              <w:t>Defined CKD or CKD-risk population</w:t>
            </w:r>
          </w:p>
        </w:tc>
        <w:tc>
          <w:tcPr>
            <w:tcW w:w="3888" w:type="dxa"/>
            <w:tcMar>
              <w:top w:w="70" w:type="dxa"/>
              <w:left w:w="70" w:type="dxa"/>
              <w:bottom w:w="70" w:type="dxa"/>
              <w:right w:w="70" w:type="dxa"/>
            </w:tcMar>
          </w:tcPr>
          <w:p w14:paraId="18B0CC7F" w14:textId="77777777" w:rsidR="000D4C48" w:rsidRPr="001B1E45" w:rsidRDefault="000D4C48" w:rsidP="00462CB9">
            <w:pPr>
              <w:rPr>
                <w:rFonts w:cs="Arial"/>
                <w:sz w:val="20"/>
                <w:szCs w:val="20"/>
              </w:rPr>
            </w:pPr>
            <w:r w:rsidRPr="001B1E45">
              <w:rPr>
                <w:rFonts w:cs="Arial"/>
                <w:sz w:val="20"/>
                <w:szCs w:val="20"/>
              </w:rPr>
              <w:t>Acute kidney injury without a CKD outcome</w:t>
            </w:r>
          </w:p>
        </w:tc>
      </w:tr>
      <w:tr w:rsidR="000D4C48" w:rsidRPr="001B1E45" w14:paraId="56B4A994" w14:textId="77777777" w:rsidTr="00976787">
        <w:trPr>
          <w:jc w:val="center"/>
        </w:trPr>
        <w:tc>
          <w:tcPr>
            <w:tcW w:w="1620" w:type="dxa"/>
            <w:tcMar>
              <w:top w:w="70" w:type="dxa"/>
              <w:left w:w="70" w:type="dxa"/>
              <w:bottom w:w="70" w:type="dxa"/>
              <w:right w:w="70" w:type="dxa"/>
            </w:tcMar>
          </w:tcPr>
          <w:p w14:paraId="48D693D6" w14:textId="77777777" w:rsidR="000D4C48" w:rsidRPr="001B1E45" w:rsidRDefault="000D4C48" w:rsidP="00462CB9">
            <w:pPr>
              <w:rPr>
                <w:rFonts w:cs="Arial"/>
                <w:sz w:val="20"/>
                <w:szCs w:val="20"/>
              </w:rPr>
            </w:pPr>
            <w:r w:rsidRPr="001B1E45">
              <w:rPr>
                <w:rFonts w:cs="Arial"/>
                <w:sz w:val="20"/>
                <w:szCs w:val="20"/>
              </w:rPr>
              <w:t>Focus</w:t>
            </w:r>
          </w:p>
        </w:tc>
        <w:tc>
          <w:tcPr>
            <w:tcW w:w="4140" w:type="dxa"/>
            <w:tcMar>
              <w:top w:w="70" w:type="dxa"/>
              <w:left w:w="70" w:type="dxa"/>
              <w:bottom w:w="70" w:type="dxa"/>
              <w:right w:w="70" w:type="dxa"/>
            </w:tcMar>
          </w:tcPr>
          <w:p w14:paraId="6AF25640" w14:textId="77777777" w:rsidR="000D4C48" w:rsidRPr="001B1E45" w:rsidRDefault="000D4C48" w:rsidP="00462CB9">
            <w:pPr>
              <w:rPr>
                <w:rFonts w:cs="Arial"/>
                <w:sz w:val="20"/>
                <w:szCs w:val="20"/>
              </w:rPr>
            </w:pPr>
            <w:r w:rsidRPr="001B1E45">
              <w:rPr>
                <w:rFonts w:cs="Arial"/>
                <w:sz w:val="20"/>
                <w:szCs w:val="20"/>
              </w:rPr>
              <w:t>Prevalence, risk, progression or management</w:t>
            </w:r>
          </w:p>
        </w:tc>
        <w:tc>
          <w:tcPr>
            <w:tcW w:w="3888" w:type="dxa"/>
            <w:tcMar>
              <w:top w:w="70" w:type="dxa"/>
              <w:left w:w="70" w:type="dxa"/>
              <w:bottom w:w="70" w:type="dxa"/>
              <w:right w:w="70" w:type="dxa"/>
            </w:tcMar>
          </w:tcPr>
          <w:p w14:paraId="6DE3C976" w14:textId="77777777" w:rsidR="000D4C48" w:rsidRPr="001B1E45" w:rsidRDefault="000D4C48" w:rsidP="00462CB9">
            <w:pPr>
              <w:rPr>
                <w:rFonts w:cs="Arial"/>
                <w:sz w:val="20"/>
                <w:szCs w:val="20"/>
              </w:rPr>
            </w:pPr>
            <w:r w:rsidRPr="001B1E45">
              <w:rPr>
                <w:rFonts w:cs="Arial"/>
                <w:sz w:val="20"/>
                <w:szCs w:val="20"/>
              </w:rPr>
              <w:t>Unrelated to the research objectives</w:t>
            </w:r>
          </w:p>
        </w:tc>
      </w:tr>
      <w:tr w:rsidR="000D4C48" w:rsidRPr="001B1E45" w14:paraId="3CEAD7AE" w14:textId="77777777" w:rsidTr="00976787">
        <w:trPr>
          <w:jc w:val="center"/>
        </w:trPr>
        <w:tc>
          <w:tcPr>
            <w:tcW w:w="1620" w:type="dxa"/>
            <w:tcMar>
              <w:top w:w="70" w:type="dxa"/>
              <w:left w:w="70" w:type="dxa"/>
              <w:bottom w:w="70" w:type="dxa"/>
              <w:right w:w="70" w:type="dxa"/>
            </w:tcMar>
          </w:tcPr>
          <w:p w14:paraId="6BDA7A64" w14:textId="77777777" w:rsidR="000D4C48" w:rsidRPr="001B1E45" w:rsidRDefault="000D4C48" w:rsidP="00462CB9">
            <w:pPr>
              <w:rPr>
                <w:rFonts w:cs="Arial"/>
                <w:sz w:val="20"/>
                <w:szCs w:val="20"/>
              </w:rPr>
            </w:pPr>
            <w:r w:rsidRPr="001B1E45">
              <w:rPr>
                <w:rFonts w:cs="Arial"/>
                <w:sz w:val="20"/>
                <w:szCs w:val="20"/>
              </w:rPr>
              <w:t>Evidence</w:t>
            </w:r>
          </w:p>
        </w:tc>
        <w:tc>
          <w:tcPr>
            <w:tcW w:w="4140" w:type="dxa"/>
            <w:tcMar>
              <w:top w:w="70" w:type="dxa"/>
              <w:left w:w="70" w:type="dxa"/>
              <w:bottom w:w="70" w:type="dxa"/>
              <w:right w:w="70" w:type="dxa"/>
            </w:tcMar>
          </w:tcPr>
          <w:p w14:paraId="3796302F" w14:textId="77777777" w:rsidR="000D4C48" w:rsidRPr="001B1E45" w:rsidRDefault="000D4C48" w:rsidP="00462CB9">
            <w:pPr>
              <w:rPr>
                <w:rFonts w:cs="Arial"/>
                <w:sz w:val="20"/>
                <w:szCs w:val="20"/>
              </w:rPr>
            </w:pPr>
            <w:r w:rsidRPr="001B1E45">
              <w:rPr>
                <w:rFonts w:cs="Arial"/>
                <w:sz w:val="20"/>
                <w:szCs w:val="20"/>
              </w:rPr>
              <w:t>Peer-reviewed empirical human research</w:t>
            </w:r>
          </w:p>
        </w:tc>
        <w:tc>
          <w:tcPr>
            <w:tcW w:w="3888" w:type="dxa"/>
            <w:tcMar>
              <w:top w:w="70" w:type="dxa"/>
              <w:left w:w="70" w:type="dxa"/>
              <w:bottom w:w="70" w:type="dxa"/>
              <w:right w:w="70" w:type="dxa"/>
            </w:tcMar>
          </w:tcPr>
          <w:p w14:paraId="17C35D9C" w14:textId="77777777" w:rsidR="000D4C48" w:rsidRPr="001B1E45" w:rsidRDefault="000D4C48" w:rsidP="00462CB9">
            <w:pPr>
              <w:rPr>
                <w:rFonts w:cs="Arial"/>
                <w:sz w:val="20"/>
                <w:szCs w:val="20"/>
              </w:rPr>
            </w:pPr>
            <w:r w:rsidRPr="001B1E45">
              <w:rPr>
                <w:rFonts w:cs="Arial"/>
                <w:sz w:val="20"/>
                <w:szCs w:val="20"/>
              </w:rPr>
              <w:t>Editorials, letters, protocols, commentaries, animal/laboratory studies</w:t>
            </w:r>
          </w:p>
        </w:tc>
      </w:tr>
      <w:tr w:rsidR="000D4C48" w:rsidRPr="001B1E45" w14:paraId="3EEFBAC9" w14:textId="77777777" w:rsidTr="00976787">
        <w:trPr>
          <w:jc w:val="center"/>
        </w:trPr>
        <w:tc>
          <w:tcPr>
            <w:tcW w:w="1620" w:type="dxa"/>
            <w:tcMar>
              <w:top w:w="70" w:type="dxa"/>
              <w:left w:w="70" w:type="dxa"/>
              <w:bottom w:w="70" w:type="dxa"/>
              <w:right w:w="70" w:type="dxa"/>
            </w:tcMar>
          </w:tcPr>
          <w:p w14:paraId="1860F5EC" w14:textId="77777777" w:rsidR="000D4C48" w:rsidRPr="001B1E45" w:rsidRDefault="000D4C48" w:rsidP="00462CB9">
            <w:pPr>
              <w:rPr>
                <w:rFonts w:cs="Arial"/>
                <w:sz w:val="20"/>
                <w:szCs w:val="20"/>
              </w:rPr>
            </w:pPr>
            <w:r w:rsidRPr="001B1E45">
              <w:rPr>
                <w:rFonts w:cs="Arial"/>
                <w:sz w:val="20"/>
                <w:szCs w:val="20"/>
              </w:rPr>
              <w:t>Date/language</w:t>
            </w:r>
          </w:p>
        </w:tc>
        <w:tc>
          <w:tcPr>
            <w:tcW w:w="4140" w:type="dxa"/>
            <w:tcMar>
              <w:top w:w="70" w:type="dxa"/>
              <w:left w:w="70" w:type="dxa"/>
              <w:bottom w:w="70" w:type="dxa"/>
              <w:right w:w="70" w:type="dxa"/>
            </w:tcMar>
          </w:tcPr>
          <w:p w14:paraId="5AC70BB1" w14:textId="77777777" w:rsidR="000D4C48" w:rsidRPr="001B1E45" w:rsidRDefault="000D4C48" w:rsidP="00462CB9">
            <w:pPr>
              <w:rPr>
                <w:rFonts w:cs="Arial"/>
                <w:sz w:val="20"/>
                <w:szCs w:val="20"/>
              </w:rPr>
            </w:pPr>
            <w:r w:rsidRPr="001B1E45">
              <w:rPr>
                <w:rFonts w:cs="Arial"/>
                <w:sz w:val="20"/>
                <w:szCs w:val="20"/>
              </w:rPr>
              <w:t>2020–2026; English</w:t>
            </w:r>
          </w:p>
        </w:tc>
        <w:tc>
          <w:tcPr>
            <w:tcW w:w="3888" w:type="dxa"/>
            <w:tcMar>
              <w:top w:w="70" w:type="dxa"/>
              <w:left w:w="70" w:type="dxa"/>
              <w:bottom w:w="70" w:type="dxa"/>
              <w:right w:w="70" w:type="dxa"/>
            </w:tcMar>
          </w:tcPr>
          <w:p w14:paraId="21185E8B" w14:textId="77777777" w:rsidR="000D4C48" w:rsidRPr="001B1E45" w:rsidRDefault="000D4C48" w:rsidP="00462CB9">
            <w:pPr>
              <w:rPr>
                <w:rFonts w:cs="Arial"/>
                <w:sz w:val="20"/>
                <w:szCs w:val="20"/>
              </w:rPr>
            </w:pPr>
            <w:r w:rsidRPr="001B1E45">
              <w:rPr>
                <w:rFonts w:cs="Arial"/>
                <w:sz w:val="20"/>
                <w:szCs w:val="20"/>
              </w:rPr>
              <w:t>Pre-2020; non-English</w:t>
            </w:r>
          </w:p>
        </w:tc>
      </w:tr>
      <w:tr w:rsidR="000D4C48" w:rsidRPr="001B1E45" w14:paraId="72106214" w14:textId="77777777" w:rsidTr="00976787">
        <w:trPr>
          <w:jc w:val="center"/>
        </w:trPr>
        <w:tc>
          <w:tcPr>
            <w:tcW w:w="1620" w:type="dxa"/>
            <w:tcMar>
              <w:top w:w="70" w:type="dxa"/>
              <w:left w:w="70" w:type="dxa"/>
              <w:bottom w:w="70" w:type="dxa"/>
              <w:right w:w="70" w:type="dxa"/>
            </w:tcMar>
          </w:tcPr>
          <w:p w14:paraId="0DDD8504" w14:textId="77777777" w:rsidR="000D4C48" w:rsidRPr="001B1E45" w:rsidRDefault="000D4C48" w:rsidP="00462CB9">
            <w:pPr>
              <w:rPr>
                <w:rFonts w:cs="Arial"/>
                <w:sz w:val="20"/>
                <w:szCs w:val="20"/>
              </w:rPr>
            </w:pPr>
            <w:r w:rsidRPr="001B1E45">
              <w:rPr>
                <w:rFonts w:cs="Arial"/>
                <w:sz w:val="20"/>
                <w:szCs w:val="20"/>
              </w:rPr>
              <w:t>Availability</w:t>
            </w:r>
          </w:p>
        </w:tc>
        <w:tc>
          <w:tcPr>
            <w:tcW w:w="4140" w:type="dxa"/>
            <w:tcMar>
              <w:top w:w="70" w:type="dxa"/>
              <w:left w:w="70" w:type="dxa"/>
              <w:bottom w:w="70" w:type="dxa"/>
              <w:right w:w="70" w:type="dxa"/>
            </w:tcMar>
          </w:tcPr>
          <w:p w14:paraId="0644B5AF" w14:textId="77777777" w:rsidR="000D4C48" w:rsidRPr="001B1E45" w:rsidRDefault="000D4C48" w:rsidP="00462CB9">
            <w:pPr>
              <w:rPr>
                <w:rFonts w:cs="Arial"/>
                <w:sz w:val="20"/>
                <w:szCs w:val="20"/>
              </w:rPr>
            </w:pPr>
            <w:r w:rsidRPr="001B1E45">
              <w:rPr>
                <w:rFonts w:cs="Arial"/>
                <w:sz w:val="20"/>
                <w:szCs w:val="20"/>
              </w:rPr>
              <w:t>Accessible full text</w:t>
            </w:r>
          </w:p>
        </w:tc>
        <w:tc>
          <w:tcPr>
            <w:tcW w:w="3888" w:type="dxa"/>
            <w:tcMar>
              <w:top w:w="70" w:type="dxa"/>
              <w:left w:w="70" w:type="dxa"/>
              <w:bottom w:w="70" w:type="dxa"/>
              <w:right w:w="70" w:type="dxa"/>
            </w:tcMar>
          </w:tcPr>
          <w:p w14:paraId="14FABC24" w14:textId="77777777" w:rsidR="000D4C48" w:rsidRPr="001B1E45" w:rsidRDefault="000D4C48" w:rsidP="00462CB9">
            <w:pPr>
              <w:rPr>
                <w:rFonts w:cs="Arial"/>
                <w:sz w:val="20"/>
                <w:szCs w:val="20"/>
              </w:rPr>
            </w:pPr>
            <w:r w:rsidRPr="001B1E45">
              <w:rPr>
                <w:rFonts w:cs="Arial"/>
                <w:sz w:val="20"/>
                <w:szCs w:val="20"/>
              </w:rPr>
              <w:t>Abstract only / insufficient full-text information</w:t>
            </w:r>
          </w:p>
        </w:tc>
      </w:tr>
      <w:tr w:rsidR="000D4C48" w:rsidRPr="001B1E45" w14:paraId="14790F37" w14:textId="77777777" w:rsidTr="00976787">
        <w:trPr>
          <w:jc w:val="center"/>
        </w:trPr>
        <w:tc>
          <w:tcPr>
            <w:tcW w:w="1620" w:type="dxa"/>
            <w:tcMar>
              <w:top w:w="70" w:type="dxa"/>
              <w:left w:w="70" w:type="dxa"/>
              <w:bottom w:w="70" w:type="dxa"/>
              <w:right w:w="70" w:type="dxa"/>
            </w:tcMar>
          </w:tcPr>
          <w:p w14:paraId="798F9186" w14:textId="77777777" w:rsidR="000D4C48" w:rsidRPr="001B1E45" w:rsidRDefault="000D4C48" w:rsidP="00462CB9">
            <w:pPr>
              <w:rPr>
                <w:rFonts w:cs="Arial"/>
                <w:sz w:val="20"/>
                <w:szCs w:val="20"/>
              </w:rPr>
            </w:pPr>
            <w:r w:rsidRPr="001B1E45">
              <w:rPr>
                <w:rFonts w:cs="Arial"/>
                <w:sz w:val="20"/>
                <w:szCs w:val="20"/>
              </w:rPr>
              <w:t>Design</w:t>
            </w:r>
          </w:p>
        </w:tc>
        <w:tc>
          <w:tcPr>
            <w:tcW w:w="4140" w:type="dxa"/>
            <w:tcMar>
              <w:top w:w="70" w:type="dxa"/>
              <w:left w:w="70" w:type="dxa"/>
              <w:bottom w:w="70" w:type="dxa"/>
              <w:right w:w="70" w:type="dxa"/>
            </w:tcMar>
          </w:tcPr>
          <w:p w14:paraId="13CEB00D" w14:textId="77777777" w:rsidR="000D4C48" w:rsidRPr="001B1E45" w:rsidRDefault="000D4C48" w:rsidP="00462CB9">
            <w:pPr>
              <w:rPr>
                <w:rFonts w:cs="Arial"/>
                <w:sz w:val="20"/>
                <w:szCs w:val="20"/>
              </w:rPr>
            </w:pPr>
            <w:r w:rsidRPr="001B1E45">
              <w:rPr>
                <w:rFonts w:cs="Arial"/>
                <w:sz w:val="20"/>
                <w:szCs w:val="20"/>
              </w:rPr>
              <w:t>Observational, intervention, qualitative, mixed methods</w:t>
            </w:r>
          </w:p>
        </w:tc>
        <w:tc>
          <w:tcPr>
            <w:tcW w:w="3888" w:type="dxa"/>
            <w:tcMar>
              <w:top w:w="70" w:type="dxa"/>
              <w:left w:w="70" w:type="dxa"/>
              <w:bottom w:w="70" w:type="dxa"/>
              <w:right w:w="70" w:type="dxa"/>
            </w:tcMar>
          </w:tcPr>
          <w:p w14:paraId="7B44ABA0" w14:textId="77777777" w:rsidR="000D4C48" w:rsidRPr="001B1E45" w:rsidRDefault="000D4C48" w:rsidP="00462CB9">
            <w:pPr>
              <w:rPr>
                <w:rFonts w:cs="Arial"/>
                <w:sz w:val="20"/>
                <w:szCs w:val="20"/>
              </w:rPr>
            </w:pPr>
            <w:r w:rsidRPr="001B1E45">
              <w:rPr>
                <w:rFonts w:cs="Arial"/>
                <w:sz w:val="20"/>
                <w:szCs w:val="20"/>
              </w:rPr>
              <w:t>Non-empirical work</w:t>
            </w:r>
          </w:p>
        </w:tc>
      </w:tr>
    </w:tbl>
    <w:p w14:paraId="323EA09A" w14:textId="77777777" w:rsidR="000D4C48" w:rsidRPr="00C07BB7" w:rsidRDefault="000D4C48" w:rsidP="00462CB9">
      <w:pPr>
        <w:rPr>
          <w:rFonts w:cs="Arial"/>
        </w:rPr>
      </w:pPr>
    </w:p>
    <w:p w14:paraId="742E70CE" w14:textId="77777777" w:rsidR="009F139F" w:rsidRPr="00C07BB7" w:rsidRDefault="009F139F" w:rsidP="00462CB9">
      <w:pPr>
        <w:rPr>
          <w:rFonts w:cs="Arial"/>
          <w:vanish/>
        </w:rPr>
      </w:pPr>
      <w:r w:rsidRPr="00C07BB7">
        <w:rPr>
          <w:rFonts w:cs="Arial"/>
          <w:vanish/>
        </w:rPr>
        <w:t>Top of Form</w:t>
      </w:r>
    </w:p>
    <w:p w14:paraId="0C165D37" w14:textId="77777777" w:rsidR="009F139F" w:rsidRPr="00C07BB7" w:rsidRDefault="009F139F" w:rsidP="00462CB9">
      <w:pPr>
        <w:rPr>
          <w:rFonts w:cs="Arial"/>
          <w:vanish/>
        </w:rPr>
      </w:pPr>
      <w:r w:rsidRPr="00C07BB7">
        <w:rPr>
          <w:rFonts w:cs="Arial"/>
          <w:vanish/>
        </w:rPr>
        <w:t>Bottom of Form</w:t>
      </w:r>
    </w:p>
    <w:p w14:paraId="38DFCB64" w14:textId="09D8C36A" w:rsidR="0038603C" w:rsidRPr="00205FE3" w:rsidRDefault="0038603C" w:rsidP="00462CB9">
      <w:pPr>
        <w:pStyle w:val="Heading2"/>
        <w:rPr>
          <w:rFonts w:cs="Arial"/>
          <w:sz w:val="28"/>
          <w:szCs w:val="28"/>
        </w:rPr>
      </w:pPr>
      <w:bookmarkStart w:id="94" w:name="_Toc239294386"/>
      <w:bookmarkStart w:id="95" w:name="_Toc240666917"/>
      <w:bookmarkStart w:id="96" w:name="_Toc241011068"/>
      <w:r w:rsidRPr="00205FE3">
        <w:rPr>
          <w:rFonts w:cs="Arial"/>
          <w:sz w:val="28"/>
          <w:szCs w:val="28"/>
        </w:rPr>
        <w:t>3.</w:t>
      </w:r>
      <w:r w:rsidR="006977C3" w:rsidRPr="00205FE3">
        <w:rPr>
          <w:rFonts w:cs="Arial"/>
          <w:sz w:val="28"/>
          <w:szCs w:val="28"/>
        </w:rPr>
        <w:t>5</w:t>
      </w:r>
      <w:r w:rsidRPr="00205FE3">
        <w:rPr>
          <w:rFonts w:cs="Arial"/>
          <w:sz w:val="28"/>
          <w:szCs w:val="28"/>
        </w:rPr>
        <w:t xml:space="preserve"> PRISMA</w:t>
      </w:r>
      <w:bookmarkEnd w:id="94"/>
      <w:bookmarkEnd w:id="95"/>
      <w:bookmarkEnd w:id="96"/>
    </w:p>
    <w:p w14:paraId="7C8A9730" w14:textId="11E613EA" w:rsidR="0038603C" w:rsidRPr="00C07BB7" w:rsidRDefault="0038603C" w:rsidP="00462CB9">
      <w:pPr>
        <w:rPr>
          <w:rFonts w:cs="Arial"/>
        </w:rPr>
      </w:pPr>
      <w:r w:rsidRPr="00C07BB7">
        <w:rPr>
          <w:rFonts w:cs="Arial"/>
        </w:rPr>
        <w:t xml:space="preserve">Study identification and selection was documented following the Preferred Reporting Items for Systematic Reviews and Meta-Analyses (PRISMA) framework (2020) (Page et al., 2021a). </w:t>
      </w:r>
      <w:r w:rsidR="00C20A24" w:rsidRPr="00C07BB7">
        <w:rPr>
          <w:rFonts w:cs="Arial"/>
          <w:color w:val="000000" w:themeColor="text1"/>
        </w:rPr>
        <w:t xml:space="preserve">The studies included were quite heterogeneous with regard to the study design, population, exposures or interventions, and outcome measures and a meta-analysis was not conducted. Consequently, the findings were </w:t>
      </w:r>
      <w:proofErr w:type="spellStart"/>
      <w:r w:rsidR="00C20A24" w:rsidRPr="00C07BB7">
        <w:rPr>
          <w:rFonts w:cs="Arial"/>
          <w:color w:val="000000" w:themeColor="text1"/>
        </w:rPr>
        <w:t>synthesised</w:t>
      </w:r>
      <w:proofErr w:type="spellEnd"/>
      <w:r w:rsidR="00C20A24" w:rsidRPr="00C07BB7">
        <w:rPr>
          <w:rFonts w:cs="Arial"/>
          <w:color w:val="000000" w:themeColor="text1"/>
        </w:rPr>
        <w:t xml:space="preserve"> narratively and thematically.</w:t>
      </w:r>
    </w:p>
    <w:p w14:paraId="6BD700CC" w14:textId="784B9B95" w:rsidR="0038603C" w:rsidRPr="00C07BB7" w:rsidRDefault="0038603C" w:rsidP="00462CB9">
      <w:pPr>
        <w:rPr>
          <w:rFonts w:cs="Arial"/>
        </w:rPr>
      </w:pPr>
      <w:r w:rsidRPr="00C07BB7">
        <w:rPr>
          <w:rFonts w:cs="Arial"/>
        </w:rPr>
        <w:t xml:space="preserve">The identification, screening, eligibility and inclusion process was followed in the review. Identification captured records from four databases and additional searching. Duplicates were excluded prior to title and abstract screening. Any of these records that had the potential to be relevant were further processed to full-text evaluation with all eligibility criteria. Records for which it was possible to have some relevance were further processed for full-text evaluation with all of the eligibility criteria. The reasons for exclusion were either that the population was not eligible for the study, there was </w:t>
      </w:r>
      <w:r w:rsidR="008E3A72" w:rsidRPr="00C07BB7">
        <w:rPr>
          <w:rFonts w:cs="Arial"/>
        </w:rPr>
        <w:t>no</w:t>
      </w:r>
      <w:r w:rsidRPr="00C07BB7">
        <w:rPr>
          <w:rFonts w:cs="Arial"/>
        </w:rPr>
        <w:t xml:space="preserve"> UK data available, the outcome of the CKD was not relevant to the study, the publication was not empirical, or the </w:t>
      </w:r>
      <w:r w:rsidR="00CE7276" w:rsidRPr="00C07BB7">
        <w:rPr>
          <w:rFonts w:cs="Arial"/>
        </w:rPr>
        <w:t>full text</w:t>
      </w:r>
      <w:r w:rsidRPr="00C07BB7">
        <w:rPr>
          <w:rFonts w:cs="Arial"/>
        </w:rPr>
        <w:t xml:space="preserve"> was not available. </w:t>
      </w:r>
    </w:p>
    <w:p w14:paraId="324695C2" w14:textId="7553A884" w:rsidR="0038603C" w:rsidRPr="00CE7276" w:rsidRDefault="0038603C" w:rsidP="00462CB9">
      <w:pPr>
        <w:pStyle w:val="Heading2"/>
        <w:rPr>
          <w:rFonts w:cs="Arial"/>
          <w:sz w:val="28"/>
          <w:szCs w:val="28"/>
        </w:rPr>
      </w:pPr>
      <w:bookmarkStart w:id="97" w:name="_Toc239294387"/>
      <w:bookmarkStart w:id="98" w:name="_Toc240666918"/>
      <w:bookmarkStart w:id="99" w:name="_Toc241011069"/>
      <w:r w:rsidRPr="00CE7276">
        <w:rPr>
          <w:rFonts w:cs="Arial"/>
          <w:sz w:val="28"/>
          <w:szCs w:val="28"/>
        </w:rPr>
        <w:t>3.</w:t>
      </w:r>
      <w:r w:rsidR="006977C3" w:rsidRPr="00CE7276">
        <w:rPr>
          <w:rFonts w:cs="Arial"/>
          <w:sz w:val="28"/>
          <w:szCs w:val="28"/>
        </w:rPr>
        <w:t>6</w:t>
      </w:r>
      <w:r w:rsidRPr="00CE7276">
        <w:rPr>
          <w:rFonts w:cs="Arial"/>
          <w:sz w:val="28"/>
          <w:szCs w:val="28"/>
        </w:rPr>
        <w:t xml:space="preserve"> CASP Critical Appraisal</w:t>
      </w:r>
      <w:bookmarkEnd w:id="97"/>
      <w:bookmarkEnd w:id="98"/>
      <w:bookmarkEnd w:id="99"/>
    </w:p>
    <w:p w14:paraId="58EC12DC" w14:textId="77777777" w:rsidR="0038603C" w:rsidRPr="00C07BB7" w:rsidRDefault="0038603C" w:rsidP="00462CB9">
      <w:pPr>
        <w:rPr>
          <w:rFonts w:cs="Arial"/>
        </w:rPr>
      </w:pPr>
      <w:r w:rsidRPr="00C07BB7">
        <w:rPr>
          <w:rFonts w:cs="Arial"/>
        </w:rPr>
        <w:t xml:space="preserve">The Critical Appraisal Skills </w:t>
      </w:r>
      <w:proofErr w:type="spellStart"/>
      <w:r w:rsidRPr="00C07BB7">
        <w:rPr>
          <w:rFonts w:cs="Arial"/>
        </w:rPr>
        <w:t>Programme</w:t>
      </w:r>
      <w:proofErr w:type="spellEnd"/>
      <w:r w:rsidRPr="00C07BB7">
        <w:rPr>
          <w:rFonts w:cs="Arial"/>
        </w:rPr>
        <w:t xml:space="preserve"> tools were used to carry out the Critical appraisal, as a peer-reviewed publication does not equal methodological quality or applicability. CASP offers a framework of questions to consider, including if study aims are clear, if designs are appropriate, if recruitment or sampling is defensible, if data collection is suitable, if ethical issues are addressed, if analysis is rigorous and if conclusions are supported by the findings (CASP, 2024). This step helps to take methodological quality into account when deciding on the level of confidence with which each study can be included in the overall synthesis.</w:t>
      </w:r>
    </w:p>
    <w:p w14:paraId="739C6486" w14:textId="77777777" w:rsidR="0038603C" w:rsidRPr="00C07BB7" w:rsidRDefault="0038603C" w:rsidP="00462CB9">
      <w:pPr>
        <w:rPr>
          <w:rFonts w:cs="Arial"/>
        </w:rPr>
      </w:pPr>
      <w:r w:rsidRPr="00C07BB7">
        <w:rPr>
          <w:rFonts w:cs="Arial"/>
        </w:rPr>
        <w:t xml:space="preserve">Appraisal was done by design as opposed to using one checklist in a blanket fashion. The CASP RCT checklist was used to assess </w:t>
      </w:r>
      <w:proofErr w:type="spellStart"/>
      <w:r w:rsidRPr="00C07BB7">
        <w:rPr>
          <w:rFonts w:cs="Arial"/>
        </w:rPr>
        <w:t>randomised</w:t>
      </w:r>
      <w:proofErr w:type="spellEnd"/>
      <w:r w:rsidRPr="00C07BB7">
        <w:rPr>
          <w:rFonts w:cs="Arial"/>
        </w:rPr>
        <w:t xml:space="preserve"> controlled trials, the CASP cohort checklist to assess cohort studies, the CASP case-control checklist to assess case-control studies, the CASP qualitative checklist to assess qualitative studies, and the CASP economic checklist to assess economic evaluations. The evaluation of the cross-sectional studies and mixed methods studies was done on applicable domains in a transparent way. This acknowledges that threats to validity vary across design (Crombie, 2022).</w:t>
      </w:r>
    </w:p>
    <w:p w14:paraId="51C96A61" w14:textId="1EC2AA99" w:rsidR="0038603C" w:rsidRPr="00C07BB7" w:rsidRDefault="0038603C" w:rsidP="00462CB9">
      <w:pPr>
        <w:rPr>
          <w:rFonts w:cs="Arial"/>
        </w:rPr>
      </w:pPr>
      <w:r w:rsidRPr="00C07BB7">
        <w:rPr>
          <w:rFonts w:cs="Arial"/>
        </w:rPr>
        <w:t xml:space="preserve">Appraisal was not used for a numerical ranking, but rather to inform interpretation. A study might answer </w:t>
      </w:r>
      <w:r w:rsidR="008E3A72" w:rsidRPr="00C07BB7">
        <w:rPr>
          <w:rFonts w:cs="Arial"/>
        </w:rPr>
        <w:t>several of</w:t>
      </w:r>
      <w:r w:rsidRPr="00C07BB7">
        <w:rPr>
          <w:rFonts w:cs="Arial"/>
        </w:rPr>
        <w:t xml:space="preserve"> the checklist questions, but lack residual confounding, selection bias, or imprecise measurement of exposure, or lack </w:t>
      </w:r>
      <w:proofErr w:type="spellStart"/>
      <w:r w:rsidRPr="00C07BB7">
        <w:rPr>
          <w:rFonts w:cs="Arial"/>
        </w:rPr>
        <w:t>generalisability</w:t>
      </w:r>
      <w:proofErr w:type="spellEnd"/>
      <w:r w:rsidRPr="00C07BB7">
        <w:rPr>
          <w:rFonts w:cs="Arial"/>
        </w:rPr>
        <w:t>. A relatively small qualitative study, on the other hand, could also yield evidence to support treatment burden or digital acceptability without supporting prevalence or causal statements. The findings of the CASP will therefore be included in a study-level appraisal table (Chapter Four or Appendix) and will be used to give weight to the conclusions based on type and strength of evidence.</w:t>
      </w:r>
    </w:p>
    <w:p w14:paraId="3702F543" w14:textId="0B2C2539" w:rsidR="0038603C" w:rsidRPr="00CE7276" w:rsidRDefault="0038603C" w:rsidP="00462CB9">
      <w:pPr>
        <w:pStyle w:val="Heading2"/>
        <w:rPr>
          <w:rFonts w:cs="Arial"/>
          <w:sz w:val="28"/>
          <w:szCs w:val="28"/>
        </w:rPr>
      </w:pPr>
      <w:bookmarkStart w:id="100" w:name="_Toc239294388"/>
      <w:bookmarkStart w:id="101" w:name="_Toc240666919"/>
      <w:bookmarkStart w:id="102" w:name="_Toc241011070"/>
      <w:r w:rsidRPr="00CE7276">
        <w:rPr>
          <w:rFonts w:cs="Arial"/>
          <w:sz w:val="28"/>
          <w:szCs w:val="28"/>
        </w:rPr>
        <w:t>3.</w:t>
      </w:r>
      <w:r w:rsidR="006977C3" w:rsidRPr="00CE7276">
        <w:rPr>
          <w:rFonts w:cs="Arial"/>
          <w:sz w:val="28"/>
          <w:szCs w:val="28"/>
        </w:rPr>
        <w:t>7</w:t>
      </w:r>
      <w:r w:rsidRPr="00CE7276">
        <w:rPr>
          <w:rFonts w:cs="Arial"/>
          <w:sz w:val="28"/>
          <w:szCs w:val="28"/>
        </w:rPr>
        <w:t xml:space="preserve"> Data Extraction</w:t>
      </w:r>
      <w:bookmarkEnd w:id="100"/>
      <w:bookmarkEnd w:id="101"/>
      <w:bookmarkEnd w:id="102"/>
    </w:p>
    <w:p w14:paraId="0787E602" w14:textId="77777777" w:rsidR="0038603C" w:rsidRPr="00C07BB7" w:rsidRDefault="0038603C" w:rsidP="00462CB9">
      <w:pPr>
        <w:rPr>
          <w:rFonts w:cs="Arial"/>
        </w:rPr>
      </w:pPr>
      <w:r w:rsidRPr="00C07BB7">
        <w:rPr>
          <w:rFonts w:cs="Arial"/>
        </w:rPr>
        <w:t xml:space="preserve">Eligibility assessment and quality appraisal were followed by transfer of information to a </w:t>
      </w:r>
      <w:proofErr w:type="spellStart"/>
      <w:r w:rsidRPr="00C07BB7">
        <w:rPr>
          <w:rFonts w:cs="Arial"/>
        </w:rPr>
        <w:t>standardised</w:t>
      </w:r>
      <w:proofErr w:type="spellEnd"/>
      <w:r w:rsidRPr="00C07BB7">
        <w:rPr>
          <w:rFonts w:cs="Arial"/>
        </w:rPr>
        <w:t xml:space="preserve"> form for data extraction. Prior to full extraction, the form used was applied to studies of varying designs for a piloting process. Piloting helped to clarify ambiguous fields in advance and to </w:t>
      </w:r>
      <w:proofErr w:type="spellStart"/>
      <w:r w:rsidRPr="00C07BB7">
        <w:rPr>
          <w:rFonts w:cs="Arial"/>
        </w:rPr>
        <w:t>minimise</w:t>
      </w:r>
      <w:proofErr w:type="spellEnd"/>
      <w:r w:rsidRPr="00C07BB7">
        <w:rPr>
          <w:rFonts w:cs="Arial"/>
        </w:rPr>
        <w:t xml:space="preserve"> the potential for selectively altering the framework for extraction once specific results are seen. Extraction was done manually, but it is possible to do semi-automated extraction, which was not represented in this review (Schmidt et al., 2020).</w:t>
      </w:r>
    </w:p>
    <w:p w14:paraId="038F85F7" w14:textId="77777777" w:rsidR="0038603C" w:rsidRPr="00C07BB7" w:rsidRDefault="0038603C" w:rsidP="00462CB9">
      <w:pPr>
        <w:rPr>
          <w:rFonts w:cs="Arial"/>
        </w:rPr>
      </w:pPr>
      <w:r w:rsidRPr="00C07BB7">
        <w:rPr>
          <w:rFonts w:cs="Arial"/>
        </w:rPr>
        <w:t>Basic information about the form was captured, including the author, year, UK country, study setting, specific objective of the study, study design, recruitment or data collection period, eligibility criteria, sample size and characteristics of the participants. For fields specific to CKD, these were disease definition or stage, exposure, intervention, comparator (if applicable), and outcome. The associations, adjusted associations, reference groups, follow-up and important confounders were noted. Intervention content, comparator, length of intervention, adherence, and clinical/patient-reported outcomes were extracted for management studies. Participant context, analytic approach and reported interpretations were provided by qualitative studies.</w:t>
      </w:r>
    </w:p>
    <w:p w14:paraId="341300CA" w14:textId="42330D74" w:rsidR="0038603C" w:rsidRPr="00C07BB7" w:rsidRDefault="0038603C" w:rsidP="00462CB9">
      <w:pPr>
        <w:rPr>
          <w:rFonts w:cs="Arial"/>
        </w:rPr>
      </w:pPr>
      <w:r w:rsidRPr="00C07BB7">
        <w:rPr>
          <w:rFonts w:cs="Arial"/>
        </w:rPr>
        <w:t xml:space="preserve">In addition, methodological limitations, ethical approval (if provided), </w:t>
      </w:r>
      <w:r w:rsidR="006E5C51" w:rsidRPr="00C07BB7">
        <w:rPr>
          <w:rFonts w:cs="Arial"/>
        </w:rPr>
        <w:t>CASP judgement and the synthesis category were noted</w:t>
      </w:r>
      <w:r w:rsidRPr="00C07BB7">
        <w:rPr>
          <w:rFonts w:cs="Arial"/>
        </w:rPr>
        <w:t xml:space="preserve"> in another section. Coherent cohorts were identified by comparing the </w:t>
      </w:r>
      <w:r w:rsidR="003A45A2" w:rsidRPr="00C07BB7">
        <w:rPr>
          <w:rFonts w:cs="Arial"/>
        </w:rPr>
        <w:t>cohort’s</w:t>
      </w:r>
      <w:r w:rsidRPr="00C07BB7">
        <w:rPr>
          <w:rFonts w:cs="Arial"/>
        </w:rPr>
        <w:t xml:space="preserve"> name, the recruitment period and the characteristics of the samples in the publications to </w:t>
      </w:r>
      <w:proofErr w:type="spellStart"/>
      <w:r w:rsidRPr="00C07BB7">
        <w:rPr>
          <w:rFonts w:cs="Arial"/>
        </w:rPr>
        <w:t>minimise</w:t>
      </w:r>
      <w:proofErr w:type="spellEnd"/>
      <w:r w:rsidRPr="00C07BB7">
        <w:rPr>
          <w:rFonts w:cs="Arial"/>
        </w:rPr>
        <w:t xml:space="preserve"> double counting. </w:t>
      </w:r>
      <w:r w:rsidR="002916F0">
        <w:rPr>
          <w:rFonts w:cs="Arial"/>
        </w:rPr>
        <w:t>No</w:t>
      </w:r>
      <w:r w:rsidRPr="00C07BB7">
        <w:rPr>
          <w:rFonts w:cs="Arial"/>
        </w:rPr>
        <w:t xml:space="preserve"> missing information </w:t>
      </w:r>
      <w:r w:rsidR="002916F0" w:rsidRPr="00C07BB7">
        <w:rPr>
          <w:rFonts w:cs="Arial"/>
        </w:rPr>
        <w:t>was</w:t>
      </w:r>
      <w:r w:rsidRPr="00C07BB7">
        <w:rPr>
          <w:rFonts w:cs="Arial"/>
        </w:rPr>
        <w:t xml:space="preserve"> implied but was recorded as not reported. This ensured the distinction between what the author </w:t>
      </w:r>
      <w:r w:rsidR="002916F0" w:rsidRPr="00C07BB7">
        <w:rPr>
          <w:rFonts w:cs="Arial"/>
        </w:rPr>
        <w:t>reported</w:t>
      </w:r>
      <w:r w:rsidRPr="00C07BB7">
        <w:rPr>
          <w:rFonts w:cs="Arial"/>
        </w:rPr>
        <w:t xml:space="preserve"> and what the reviewer interpreted.</w:t>
      </w:r>
    </w:p>
    <w:p w14:paraId="581217BA" w14:textId="77777777" w:rsidR="0038603C" w:rsidRPr="006977C3" w:rsidRDefault="0038603C" w:rsidP="00462CB9">
      <w:pPr>
        <w:rPr>
          <w:rFonts w:cs="Arial"/>
          <w:sz w:val="24"/>
          <w:szCs w:val="24"/>
        </w:rPr>
      </w:pPr>
      <w:r w:rsidRPr="006977C3">
        <w:rPr>
          <w:rFonts w:cs="Arial"/>
          <w:sz w:val="24"/>
          <w:szCs w:val="24"/>
        </w:rPr>
        <w:t>Table 3.3. Data-extraction framework</w:t>
      </w:r>
    </w:p>
    <w:tbl>
      <w:tblPr>
        <w:tblStyle w:val="TableGrid"/>
        <w:tblW w:w="0" w:type="auto"/>
        <w:jc w:val="center"/>
        <w:tblLook w:val="04A0" w:firstRow="1" w:lastRow="0" w:firstColumn="1" w:lastColumn="0" w:noHBand="0" w:noVBand="1"/>
      </w:tblPr>
      <w:tblGrid>
        <w:gridCol w:w="2634"/>
        <w:gridCol w:w="5812"/>
      </w:tblGrid>
      <w:tr w:rsidR="0038603C" w:rsidRPr="006977C3" w14:paraId="55180B70" w14:textId="77777777" w:rsidTr="000F7EE2">
        <w:trPr>
          <w:jc w:val="center"/>
        </w:trPr>
        <w:tc>
          <w:tcPr>
            <w:tcW w:w="2774" w:type="dxa"/>
            <w:tcMar>
              <w:top w:w="70" w:type="dxa"/>
              <w:left w:w="70" w:type="dxa"/>
              <w:bottom w:w="70" w:type="dxa"/>
              <w:right w:w="70" w:type="dxa"/>
            </w:tcMar>
          </w:tcPr>
          <w:p w14:paraId="49252C50" w14:textId="77777777" w:rsidR="0038603C" w:rsidRPr="004E5DFB" w:rsidRDefault="0038603C" w:rsidP="00462CB9">
            <w:pPr>
              <w:rPr>
                <w:rFonts w:cs="Arial"/>
                <w:b/>
                <w:bCs/>
                <w:sz w:val="20"/>
                <w:szCs w:val="20"/>
              </w:rPr>
            </w:pPr>
            <w:r w:rsidRPr="004E5DFB">
              <w:rPr>
                <w:rFonts w:cs="Arial"/>
                <w:b/>
                <w:bCs/>
                <w:sz w:val="20"/>
                <w:szCs w:val="20"/>
              </w:rPr>
              <w:t>Domain</w:t>
            </w:r>
          </w:p>
        </w:tc>
        <w:tc>
          <w:tcPr>
            <w:tcW w:w="6726" w:type="dxa"/>
            <w:tcMar>
              <w:top w:w="70" w:type="dxa"/>
              <w:left w:w="70" w:type="dxa"/>
              <w:bottom w:w="70" w:type="dxa"/>
              <w:right w:w="70" w:type="dxa"/>
            </w:tcMar>
          </w:tcPr>
          <w:p w14:paraId="3221C890" w14:textId="624EFA07" w:rsidR="0038603C" w:rsidRPr="004E5DFB" w:rsidRDefault="0038603C" w:rsidP="00462CB9">
            <w:pPr>
              <w:rPr>
                <w:rFonts w:cs="Arial"/>
                <w:b/>
                <w:bCs/>
                <w:sz w:val="20"/>
                <w:szCs w:val="20"/>
              </w:rPr>
            </w:pPr>
            <w:r w:rsidRPr="004E5DFB">
              <w:rPr>
                <w:rFonts w:cs="Arial"/>
                <w:b/>
                <w:bCs/>
                <w:sz w:val="20"/>
                <w:szCs w:val="20"/>
              </w:rPr>
              <w:t xml:space="preserve">Fields </w:t>
            </w:r>
            <w:r w:rsidR="004E5DFB" w:rsidRPr="004E5DFB">
              <w:rPr>
                <w:rFonts w:cs="Arial"/>
                <w:b/>
                <w:bCs/>
                <w:sz w:val="20"/>
                <w:szCs w:val="20"/>
              </w:rPr>
              <w:t>E</w:t>
            </w:r>
            <w:r w:rsidRPr="004E5DFB">
              <w:rPr>
                <w:rFonts w:cs="Arial"/>
                <w:b/>
                <w:bCs/>
                <w:sz w:val="20"/>
                <w:szCs w:val="20"/>
              </w:rPr>
              <w:t>xtracted</w:t>
            </w:r>
          </w:p>
        </w:tc>
      </w:tr>
      <w:tr w:rsidR="0038603C" w:rsidRPr="006977C3" w14:paraId="0F78555F" w14:textId="77777777" w:rsidTr="000F7EE2">
        <w:trPr>
          <w:jc w:val="center"/>
        </w:trPr>
        <w:tc>
          <w:tcPr>
            <w:tcW w:w="2774" w:type="dxa"/>
            <w:tcMar>
              <w:top w:w="70" w:type="dxa"/>
              <w:left w:w="70" w:type="dxa"/>
              <w:bottom w:w="70" w:type="dxa"/>
              <w:right w:w="70" w:type="dxa"/>
            </w:tcMar>
          </w:tcPr>
          <w:p w14:paraId="167B9A56" w14:textId="77777777" w:rsidR="0038603C" w:rsidRPr="006977C3" w:rsidRDefault="0038603C" w:rsidP="00462CB9">
            <w:pPr>
              <w:rPr>
                <w:rFonts w:cs="Arial"/>
                <w:sz w:val="20"/>
                <w:szCs w:val="20"/>
              </w:rPr>
            </w:pPr>
            <w:r w:rsidRPr="006977C3">
              <w:rPr>
                <w:rFonts w:cs="Arial"/>
                <w:sz w:val="20"/>
                <w:szCs w:val="20"/>
              </w:rPr>
              <w:t>Bibliographic/context</w:t>
            </w:r>
          </w:p>
        </w:tc>
        <w:tc>
          <w:tcPr>
            <w:tcW w:w="6726" w:type="dxa"/>
            <w:tcMar>
              <w:top w:w="70" w:type="dxa"/>
              <w:left w:w="70" w:type="dxa"/>
              <w:bottom w:w="70" w:type="dxa"/>
              <w:right w:w="70" w:type="dxa"/>
            </w:tcMar>
          </w:tcPr>
          <w:p w14:paraId="1EDC9622" w14:textId="77777777" w:rsidR="0038603C" w:rsidRPr="006977C3" w:rsidRDefault="0038603C" w:rsidP="00462CB9">
            <w:pPr>
              <w:rPr>
                <w:rFonts w:cs="Arial"/>
                <w:sz w:val="20"/>
                <w:szCs w:val="20"/>
              </w:rPr>
            </w:pPr>
            <w:r w:rsidRPr="006977C3">
              <w:rPr>
                <w:rFonts w:cs="Arial"/>
                <w:sz w:val="20"/>
                <w:szCs w:val="20"/>
              </w:rPr>
              <w:t>Author, year, UK nation, setting, aim, recruitment/data period</w:t>
            </w:r>
          </w:p>
        </w:tc>
      </w:tr>
      <w:tr w:rsidR="0038603C" w:rsidRPr="006977C3" w14:paraId="62D88BF7" w14:textId="77777777" w:rsidTr="000F7EE2">
        <w:trPr>
          <w:jc w:val="center"/>
        </w:trPr>
        <w:tc>
          <w:tcPr>
            <w:tcW w:w="2774" w:type="dxa"/>
            <w:tcMar>
              <w:top w:w="70" w:type="dxa"/>
              <w:left w:w="70" w:type="dxa"/>
              <w:bottom w:w="70" w:type="dxa"/>
              <w:right w:w="70" w:type="dxa"/>
            </w:tcMar>
          </w:tcPr>
          <w:p w14:paraId="166FC7C6" w14:textId="77777777" w:rsidR="0038603C" w:rsidRPr="006977C3" w:rsidRDefault="0038603C" w:rsidP="00462CB9">
            <w:pPr>
              <w:rPr>
                <w:rFonts w:cs="Arial"/>
                <w:sz w:val="20"/>
                <w:szCs w:val="20"/>
              </w:rPr>
            </w:pPr>
            <w:r w:rsidRPr="006977C3">
              <w:rPr>
                <w:rFonts w:cs="Arial"/>
                <w:sz w:val="20"/>
                <w:szCs w:val="20"/>
              </w:rPr>
              <w:t>Methods/sample</w:t>
            </w:r>
          </w:p>
        </w:tc>
        <w:tc>
          <w:tcPr>
            <w:tcW w:w="6726" w:type="dxa"/>
            <w:tcMar>
              <w:top w:w="70" w:type="dxa"/>
              <w:left w:w="70" w:type="dxa"/>
              <w:bottom w:w="70" w:type="dxa"/>
              <w:right w:w="70" w:type="dxa"/>
            </w:tcMar>
          </w:tcPr>
          <w:p w14:paraId="594FBB7D" w14:textId="77777777" w:rsidR="0038603C" w:rsidRPr="006977C3" w:rsidRDefault="0038603C" w:rsidP="00462CB9">
            <w:pPr>
              <w:rPr>
                <w:rFonts w:cs="Arial"/>
                <w:sz w:val="20"/>
                <w:szCs w:val="20"/>
              </w:rPr>
            </w:pPr>
            <w:r w:rsidRPr="006977C3">
              <w:rPr>
                <w:rFonts w:cs="Arial"/>
                <w:sz w:val="20"/>
                <w:szCs w:val="20"/>
              </w:rPr>
              <w:t>Design, eligibility, sampling, sample size, age, sex, ethnicity and socioeconomic characteristics where reported</w:t>
            </w:r>
          </w:p>
        </w:tc>
      </w:tr>
      <w:tr w:rsidR="0038603C" w:rsidRPr="006977C3" w14:paraId="402E15BC" w14:textId="77777777" w:rsidTr="000F7EE2">
        <w:trPr>
          <w:jc w:val="center"/>
        </w:trPr>
        <w:tc>
          <w:tcPr>
            <w:tcW w:w="2774" w:type="dxa"/>
            <w:tcMar>
              <w:top w:w="70" w:type="dxa"/>
              <w:left w:w="70" w:type="dxa"/>
              <w:bottom w:w="70" w:type="dxa"/>
              <w:right w:w="70" w:type="dxa"/>
            </w:tcMar>
          </w:tcPr>
          <w:p w14:paraId="287E6F9A" w14:textId="77777777" w:rsidR="0038603C" w:rsidRPr="006977C3" w:rsidRDefault="0038603C" w:rsidP="00462CB9">
            <w:pPr>
              <w:rPr>
                <w:rFonts w:cs="Arial"/>
                <w:sz w:val="20"/>
                <w:szCs w:val="20"/>
              </w:rPr>
            </w:pPr>
            <w:r w:rsidRPr="006977C3">
              <w:rPr>
                <w:rFonts w:cs="Arial"/>
                <w:sz w:val="20"/>
                <w:szCs w:val="20"/>
              </w:rPr>
              <w:t>CKD evidence</w:t>
            </w:r>
          </w:p>
        </w:tc>
        <w:tc>
          <w:tcPr>
            <w:tcW w:w="6726" w:type="dxa"/>
            <w:tcMar>
              <w:top w:w="70" w:type="dxa"/>
              <w:left w:w="70" w:type="dxa"/>
              <w:bottom w:w="70" w:type="dxa"/>
              <w:right w:w="70" w:type="dxa"/>
            </w:tcMar>
          </w:tcPr>
          <w:p w14:paraId="158C3DDD" w14:textId="77777777" w:rsidR="0038603C" w:rsidRPr="006977C3" w:rsidRDefault="0038603C" w:rsidP="00462CB9">
            <w:pPr>
              <w:rPr>
                <w:rFonts w:cs="Arial"/>
                <w:sz w:val="20"/>
                <w:szCs w:val="20"/>
              </w:rPr>
            </w:pPr>
            <w:r w:rsidRPr="006977C3">
              <w:rPr>
                <w:rFonts w:cs="Arial"/>
                <w:sz w:val="20"/>
                <w:szCs w:val="20"/>
              </w:rPr>
              <w:t>Definition/stage, exposure, intervention, comparator and outcomes</w:t>
            </w:r>
          </w:p>
        </w:tc>
      </w:tr>
      <w:tr w:rsidR="0038603C" w:rsidRPr="006977C3" w14:paraId="79054267" w14:textId="77777777" w:rsidTr="000F7EE2">
        <w:trPr>
          <w:jc w:val="center"/>
        </w:trPr>
        <w:tc>
          <w:tcPr>
            <w:tcW w:w="2774" w:type="dxa"/>
            <w:tcMar>
              <w:top w:w="70" w:type="dxa"/>
              <w:left w:w="70" w:type="dxa"/>
              <w:bottom w:w="70" w:type="dxa"/>
              <w:right w:w="70" w:type="dxa"/>
            </w:tcMar>
          </w:tcPr>
          <w:p w14:paraId="4304ADF4" w14:textId="77777777" w:rsidR="0038603C" w:rsidRPr="006977C3" w:rsidRDefault="0038603C" w:rsidP="00462CB9">
            <w:pPr>
              <w:rPr>
                <w:rFonts w:cs="Arial"/>
                <w:sz w:val="20"/>
                <w:szCs w:val="20"/>
              </w:rPr>
            </w:pPr>
            <w:r w:rsidRPr="006977C3">
              <w:rPr>
                <w:rFonts w:cs="Arial"/>
                <w:sz w:val="20"/>
                <w:szCs w:val="20"/>
              </w:rPr>
              <w:t>Analysis/findings</w:t>
            </w:r>
          </w:p>
        </w:tc>
        <w:tc>
          <w:tcPr>
            <w:tcW w:w="6726" w:type="dxa"/>
            <w:tcMar>
              <w:top w:w="70" w:type="dxa"/>
              <w:left w:w="70" w:type="dxa"/>
              <w:bottom w:w="70" w:type="dxa"/>
              <w:right w:w="70" w:type="dxa"/>
            </w:tcMar>
          </w:tcPr>
          <w:p w14:paraId="25924F9F" w14:textId="77777777" w:rsidR="0038603C" w:rsidRPr="006977C3" w:rsidRDefault="0038603C" w:rsidP="00462CB9">
            <w:pPr>
              <w:rPr>
                <w:rFonts w:cs="Arial"/>
                <w:sz w:val="20"/>
                <w:szCs w:val="20"/>
              </w:rPr>
            </w:pPr>
            <w:r w:rsidRPr="006977C3">
              <w:rPr>
                <w:rFonts w:cs="Arial"/>
                <w:sz w:val="20"/>
                <w:szCs w:val="20"/>
              </w:rPr>
              <w:t>Adjusted estimates or qualitative analysis, uncertainty and main findings</w:t>
            </w:r>
          </w:p>
        </w:tc>
      </w:tr>
      <w:tr w:rsidR="0038603C" w:rsidRPr="006977C3" w14:paraId="0C8F0CC4" w14:textId="77777777" w:rsidTr="000F7EE2">
        <w:trPr>
          <w:jc w:val="center"/>
        </w:trPr>
        <w:tc>
          <w:tcPr>
            <w:tcW w:w="2774" w:type="dxa"/>
            <w:tcMar>
              <w:top w:w="70" w:type="dxa"/>
              <w:left w:w="70" w:type="dxa"/>
              <w:bottom w:w="70" w:type="dxa"/>
              <w:right w:w="70" w:type="dxa"/>
            </w:tcMar>
          </w:tcPr>
          <w:p w14:paraId="59D159BC" w14:textId="77777777" w:rsidR="0038603C" w:rsidRPr="006977C3" w:rsidRDefault="0038603C" w:rsidP="00462CB9">
            <w:pPr>
              <w:rPr>
                <w:rFonts w:cs="Arial"/>
                <w:sz w:val="20"/>
                <w:szCs w:val="20"/>
              </w:rPr>
            </w:pPr>
            <w:r w:rsidRPr="006977C3">
              <w:rPr>
                <w:rFonts w:cs="Arial"/>
                <w:sz w:val="20"/>
                <w:szCs w:val="20"/>
              </w:rPr>
              <w:t>Review judgement</w:t>
            </w:r>
          </w:p>
        </w:tc>
        <w:tc>
          <w:tcPr>
            <w:tcW w:w="6726" w:type="dxa"/>
            <w:tcMar>
              <w:top w:w="70" w:type="dxa"/>
              <w:left w:w="70" w:type="dxa"/>
              <w:bottom w:w="70" w:type="dxa"/>
              <w:right w:w="70" w:type="dxa"/>
            </w:tcMar>
          </w:tcPr>
          <w:p w14:paraId="4F6C65ED" w14:textId="5A4E28A6" w:rsidR="0038603C" w:rsidRPr="006977C3" w:rsidRDefault="0038603C" w:rsidP="00462CB9">
            <w:pPr>
              <w:rPr>
                <w:rFonts w:cs="Arial"/>
                <w:sz w:val="20"/>
                <w:szCs w:val="20"/>
              </w:rPr>
            </w:pPr>
            <w:r w:rsidRPr="006977C3">
              <w:rPr>
                <w:rFonts w:cs="Arial"/>
                <w:sz w:val="20"/>
                <w:szCs w:val="20"/>
              </w:rPr>
              <w:t xml:space="preserve">Limitations, ethical approval where reported, </w:t>
            </w:r>
            <w:r w:rsidR="00B85EEC" w:rsidRPr="006977C3">
              <w:rPr>
                <w:rFonts w:cs="Arial"/>
                <w:sz w:val="20"/>
                <w:szCs w:val="20"/>
              </w:rPr>
              <w:t>CASP judgement, initial code and thematic category</w:t>
            </w:r>
          </w:p>
        </w:tc>
      </w:tr>
    </w:tbl>
    <w:p w14:paraId="41E777BC" w14:textId="65AEB771" w:rsidR="000F7EE2" w:rsidRPr="007F002D" w:rsidRDefault="000F7EE2" w:rsidP="00462CB9">
      <w:pPr>
        <w:pStyle w:val="Heading2"/>
        <w:rPr>
          <w:rFonts w:cs="Arial"/>
          <w:sz w:val="28"/>
          <w:szCs w:val="28"/>
        </w:rPr>
      </w:pPr>
      <w:bookmarkStart w:id="103" w:name="_Toc240666920"/>
      <w:bookmarkStart w:id="104" w:name="_Toc241011071"/>
      <w:r w:rsidRPr="007F002D">
        <w:rPr>
          <w:rFonts w:cs="Arial"/>
          <w:sz w:val="28"/>
          <w:szCs w:val="28"/>
        </w:rPr>
        <w:t>3.</w:t>
      </w:r>
      <w:r w:rsidR="003A45A2" w:rsidRPr="007F002D">
        <w:rPr>
          <w:rFonts w:cs="Arial"/>
          <w:sz w:val="28"/>
          <w:szCs w:val="28"/>
        </w:rPr>
        <w:t>8</w:t>
      </w:r>
      <w:r w:rsidRPr="007F002D">
        <w:rPr>
          <w:rFonts w:cs="Arial"/>
          <w:sz w:val="28"/>
          <w:szCs w:val="28"/>
        </w:rPr>
        <w:t xml:space="preserve"> Thematic Analysis</w:t>
      </w:r>
      <w:bookmarkEnd w:id="103"/>
      <w:bookmarkEnd w:id="104"/>
    </w:p>
    <w:p w14:paraId="275DBF2A" w14:textId="77777777" w:rsidR="000F7EE2" w:rsidRPr="00C07BB7" w:rsidRDefault="000F7EE2" w:rsidP="00462CB9">
      <w:pPr>
        <w:rPr>
          <w:rFonts w:cs="Arial"/>
        </w:rPr>
      </w:pPr>
      <w:r w:rsidRPr="00C07BB7">
        <w:rPr>
          <w:rFonts w:cs="Arial"/>
        </w:rPr>
        <w:t xml:space="preserve">The results were extracted from the included studies and </w:t>
      </w:r>
      <w:proofErr w:type="spellStart"/>
      <w:r w:rsidRPr="00C07BB7">
        <w:rPr>
          <w:rFonts w:cs="Arial"/>
        </w:rPr>
        <w:t>analysed</w:t>
      </w:r>
      <w:proofErr w:type="spellEnd"/>
      <w:r w:rsidRPr="00C07BB7">
        <w:rPr>
          <w:rFonts w:cs="Arial"/>
        </w:rPr>
        <w:t xml:space="preserve"> and integrated using thematic analysis. This was chosen as it included a review of diverse evidence, including cohort studies, intervention research, qualitative studies and service evaluations. Thematic analysis, in contrast to statistical combination of different populations, exposure, intervention and outcome, allowed for identification of recurrent patterns in the evidence base that could be compared to the research question. The analysis mainly concentrated on the results of each included study and not on re-analysis of the original data of the participants.</w:t>
      </w:r>
    </w:p>
    <w:p w14:paraId="527B6DA5" w14:textId="77777777" w:rsidR="000F7EE2" w:rsidRPr="00C07BB7" w:rsidRDefault="000F7EE2" w:rsidP="00462CB9">
      <w:pPr>
        <w:rPr>
          <w:rFonts w:cs="Arial"/>
        </w:rPr>
      </w:pPr>
      <w:r w:rsidRPr="00C07BB7">
        <w:rPr>
          <w:rFonts w:cs="Arial"/>
        </w:rPr>
        <w:t xml:space="preserve">The thematic analysis was structured in </w:t>
      </w:r>
      <w:proofErr w:type="spellStart"/>
      <w:r w:rsidRPr="00C07BB7">
        <w:rPr>
          <w:rFonts w:cs="Arial"/>
        </w:rPr>
        <w:t>familiarisation</w:t>
      </w:r>
      <w:proofErr w:type="spellEnd"/>
      <w:r w:rsidRPr="00C07BB7">
        <w:rPr>
          <w:rFonts w:cs="Arial"/>
        </w:rPr>
        <w:t xml:space="preserve">, coding, development of themes, revision, definition and reporting. First, the information retrieved from each study was read many times to </w:t>
      </w:r>
      <w:proofErr w:type="spellStart"/>
      <w:r w:rsidRPr="00C07BB7">
        <w:rPr>
          <w:rFonts w:cs="Arial"/>
        </w:rPr>
        <w:t>familiarise</w:t>
      </w:r>
      <w:proofErr w:type="spellEnd"/>
      <w:r w:rsidRPr="00C07BB7">
        <w:rPr>
          <w:rFonts w:cs="Arial"/>
        </w:rPr>
        <w:t xml:space="preserve"> oneself with the information. Second, the results of this research were coded with initial codes, which were related to themes like CKD progression, obesity, diet, physical activity, environmental exposure, eligibility for treatment, risk stratification, self-management and integrated care. The research goals were used as a compass to guide the coding, but were flexible enough to accommodate patterns that emerged from the studies included.</w:t>
      </w:r>
    </w:p>
    <w:p w14:paraId="642A4667" w14:textId="77777777" w:rsidR="000F7EE2" w:rsidRPr="00C07BB7" w:rsidRDefault="000F7EE2" w:rsidP="00462CB9">
      <w:pPr>
        <w:rPr>
          <w:rFonts w:cs="Arial"/>
        </w:rPr>
      </w:pPr>
      <w:r w:rsidRPr="00C07BB7">
        <w:rPr>
          <w:rFonts w:cs="Arial"/>
        </w:rPr>
        <w:t>These were then compared and coded into wider themes of candidates. The themes were compared with the evidence extracted from the studies to ensure that they were the themes that existed in the studies and not a result of a single study. The themes that were discussed in the final presentation were epidemiology, prevalence and burden of CKD; clinical and metabolic risk factors; lifestyle, social and emerging risk factors; diagnosis, screening and risk stratification; pharmacological management strategies; lifestyle, digital and patient-</w:t>
      </w:r>
      <w:proofErr w:type="spellStart"/>
      <w:r w:rsidRPr="00C07BB7">
        <w:rPr>
          <w:rFonts w:cs="Arial"/>
        </w:rPr>
        <w:t>centred</w:t>
      </w:r>
      <w:proofErr w:type="spellEnd"/>
      <w:r w:rsidRPr="00C07BB7">
        <w:rPr>
          <w:rFonts w:cs="Arial"/>
        </w:rPr>
        <w:t xml:space="preserve"> management; and integrated care and health-system management. The findings from these themes in turn were presented in Chapter Four.</w:t>
      </w:r>
    </w:p>
    <w:p w14:paraId="704F74E7" w14:textId="68914085" w:rsidR="0038603C" w:rsidRPr="00C07BB7" w:rsidRDefault="000F7EE2" w:rsidP="00462CB9">
      <w:pPr>
        <w:rPr>
          <w:rFonts w:cs="Arial"/>
        </w:rPr>
      </w:pPr>
      <w:r w:rsidRPr="00C07BB7">
        <w:rPr>
          <w:rFonts w:cs="Arial"/>
        </w:rPr>
        <w:t xml:space="preserve">In each theme, the critical appraisal informed the interpretation. </w:t>
      </w:r>
      <w:proofErr w:type="spellStart"/>
      <w:r w:rsidRPr="00C07BB7">
        <w:rPr>
          <w:rFonts w:cs="Arial"/>
        </w:rPr>
        <w:t>Randomised</w:t>
      </w:r>
      <w:proofErr w:type="spellEnd"/>
      <w:r w:rsidRPr="00C07BB7">
        <w:rPr>
          <w:rFonts w:cs="Arial"/>
        </w:rPr>
        <w:t xml:space="preserve"> controlled trials were identified and distinguished from associations observed in the data, and limitations (including self-reported exposures, the selection of the UK Biobank, and residual confounding) were taken into account when interpreting the patterns. Qualitative data were </w:t>
      </w:r>
      <w:proofErr w:type="spellStart"/>
      <w:r w:rsidRPr="00C07BB7">
        <w:rPr>
          <w:rFonts w:cs="Arial"/>
        </w:rPr>
        <w:t>utilised</w:t>
      </w:r>
      <w:proofErr w:type="spellEnd"/>
      <w:r w:rsidRPr="00C07BB7">
        <w:rPr>
          <w:rFonts w:cs="Arial"/>
        </w:rPr>
        <w:t xml:space="preserve"> in particular to explore the self-management, acceptability and patient </w:t>
      </w:r>
      <w:r w:rsidRPr="00C07BB7">
        <w:rPr>
          <w:rFonts w:cs="Arial"/>
          <w:color w:val="000000" w:themeColor="text1"/>
        </w:rPr>
        <w:t xml:space="preserve">experience. </w:t>
      </w:r>
      <w:r w:rsidR="00C20A24" w:rsidRPr="00C07BB7">
        <w:rPr>
          <w:rFonts w:cs="Arial"/>
          <w:color w:val="000000" w:themeColor="text1"/>
        </w:rPr>
        <w:t>After induction of the themes, the Health Belief Model (HBM) presented in Chapter Two was used as a secondary interpretative framework. The HBM was not applied as a deductive coding structure, as this would have forced individual-</w:t>
      </w:r>
      <w:proofErr w:type="spellStart"/>
      <w:r w:rsidR="00C20A24" w:rsidRPr="00C07BB7">
        <w:rPr>
          <w:rFonts w:cs="Arial"/>
          <w:color w:val="000000" w:themeColor="text1"/>
        </w:rPr>
        <w:t>behaviour</w:t>
      </w:r>
      <w:proofErr w:type="spellEnd"/>
      <w:r w:rsidR="00C20A24" w:rsidRPr="00C07BB7">
        <w:rPr>
          <w:rFonts w:cs="Arial"/>
          <w:color w:val="000000" w:themeColor="text1"/>
        </w:rPr>
        <w:t xml:space="preserve"> constructs on evidence relating to the broader structural and health-system determinants. Rather, the model has been applied following the development of the themes to explain results for perceived susceptibility, perceived severity, perceived benefits, perceived barriers, cues to action, and self-efficacy.</w:t>
      </w:r>
    </w:p>
    <w:p w14:paraId="3330BBFD" w14:textId="77777777" w:rsidR="00FF77A2" w:rsidRPr="001E1253" w:rsidRDefault="00FF77A2" w:rsidP="00462CB9">
      <w:pPr>
        <w:rPr>
          <w:rFonts w:cs="Arial"/>
          <w:sz w:val="24"/>
          <w:szCs w:val="24"/>
        </w:rPr>
      </w:pPr>
      <w:r w:rsidRPr="001E1253">
        <w:rPr>
          <w:rFonts w:cs="Arial"/>
          <w:sz w:val="24"/>
          <w:szCs w:val="24"/>
        </w:rPr>
        <w:t>Table 3.4. Initial Coding and Theme Development Framework</w:t>
      </w:r>
    </w:p>
    <w:tbl>
      <w:tblPr>
        <w:tblStyle w:val="TableGrid"/>
        <w:tblW w:w="0" w:type="auto"/>
        <w:tblLook w:val="04A0" w:firstRow="1" w:lastRow="0" w:firstColumn="1" w:lastColumn="0" w:noHBand="0" w:noVBand="1"/>
      </w:tblPr>
      <w:tblGrid>
        <w:gridCol w:w="4586"/>
        <w:gridCol w:w="3936"/>
      </w:tblGrid>
      <w:tr w:rsidR="00FF77A2" w:rsidRPr="001E1253" w14:paraId="3AB0AF24" w14:textId="77777777" w:rsidTr="00FF77A2">
        <w:tc>
          <w:tcPr>
            <w:tcW w:w="0" w:type="auto"/>
            <w:hideMark/>
          </w:tcPr>
          <w:p w14:paraId="6FA8A15D" w14:textId="77777777" w:rsidR="00FF77A2" w:rsidRPr="001E1253" w:rsidRDefault="00FF77A2" w:rsidP="00462CB9">
            <w:pPr>
              <w:rPr>
                <w:rFonts w:cs="Arial"/>
                <w:b/>
                <w:bCs/>
                <w:sz w:val="20"/>
                <w:szCs w:val="20"/>
              </w:rPr>
            </w:pPr>
            <w:r w:rsidRPr="001E1253">
              <w:rPr>
                <w:rFonts w:cs="Arial"/>
                <w:b/>
                <w:bCs/>
                <w:sz w:val="20"/>
                <w:szCs w:val="20"/>
              </w:rPr>
              <w:t>Initial codes</w:t>
            </w:r>
          </w:p>
        </w:tc>
        <w:tc>
          <w:tcPr>
            <w:tcW w:w="0" w:type="auto"/>
            <w:hideMark/>
          </w:tcPr>
          <w:p w14:paraId="33435F6D" w14:textId="77777777" w:rsidR="00FF77A2" w:rsidRPr="001E1253" w:rsidRDefault="00FF77A2" w:rsidP="00462CB9">
            <w:pPr>
              <w:rPr>
                <w:rFonts w:cs="Arial"/>
                <w:b/>
                <w:bCs/>
                <w:sz w:val="20"/>
                <w:szCs w:val="20"/>
              </w:rPr>
            </w:pPr>
            <w:r w:rsidRPr="001E1253">
              <w:rPr>
                <w:rFonts w:cs="Arial"/>
                <w:b/>
                <w:bCs/>
                <w:sz w:val="20"/>
                <w:szCs w:val="20"/>
              </w:rPr>
              <w:t>Final theme</w:t>
            </w:r>
          </w:p>
        </w:tc>
      </w:tr>
      <w:tr w:rsidR="00FF77A2" w:rsidRPr="001E1253" w14:paraId="483A6EDE" w14:textId="77777777" w:rsidTr="00FF77A2">
        <w:tc>
          <w:tcPr>
            <w:tcW w:w="0" w:type="auto"/>
            <w:hideMark/>
          </w:tcPr>
          <w:p w14:paraId="273BCA0D" w14:textId="77777777" w:rsidR="00FF77A2" w:rsidRPr="001E1253" w:rsidRDefault="00FF77A2" w:rsidP="00462CB9">
            <w:pPr>
              <w:rPr>
                <w:rFonts w:cs="Arial"/>
                <w:sz w:val="20"/>
                <w:szCs w:val="20"/>
              </w:rPr>
            </w:pPr>
            <w:r w:rsidRPr="001E1253">
              <w:rPr>
                <w:rFonts w:cs="Arial"/>
                <w:sz w:val="20"/>
                <w:szCs w:val="20"/>
              </w:rPr>
              <w:t>CKD progression, eGFR, albuminuria, KFRE</w:t>
            </w:r>
          </w:p>
        </w:tc>
        <w:tc>
          <w:tcPr>
            <w:tcW w:w="0" w:type="auto"/>
            <w:hideMark/>
          </w:tcPr>
          <w:p w14:paraId="3BC3239F" w14:textId="77777777" w:rsidR="00FF77A2" w:rsidRPr="001E1253" w:rsidRDefault="00FF77A2" w:rsidP="00462CB9">
            <w:pPr>
              <w:rPr>
                <w:rFonts w:cs="Arial"/>
                <w:sz w:val="20"/>
                <w:szCs w:val="20"/>
              </w:rPr>
            </w:pPr>
            <w:r w:rsidRPr="001E1253">
              <w:rPr>
                <w:rFonts w:cs="Arial"/>
                <w:sz w:val="20"/>
                <w:szCs w:val="20"/>
              </w:rPr>
              <w:t>Epidemiology, prevalence and burden</w:t>
            </w:r>
          </w:p>
        </w:tc>
      </w:tr>
      <w:tr w:rsidR="00FF77A2" w:rsidRPr="001E1253" w14:paraId="44AE6E63" w14:textId="77777777" w:rsidTr="00FF77A2">
        <w:tc>
          <w:tcPr>
            <w:tcW w:w="0" w:type="auto"/>
            <w:hideMark/>
          </w:tcPr>
          <w:p w14:paraId="04BC07E7" w14:textId="77777777" w:rsidR="00FF77A2" w:rsidRPr="001E1253" w:rsidRDefault="00FF77A2" w:rsidP="00462CB9">
            <w:pPr>
              <w:rPr>
                <w:rFonts w:cs="Arial"/>
                <w:sz w:val="20"/>
                <w:szCs w:val="20"/>
              </w:rPr>
            </w:pPr>
            <w:r w:rsidRPr="001E1253">
              <w:rPr>
                <w:rFonts w:cs="Arial"/>
                <w:sz w:val="20"/>
                <w:szCs w:val="20"/>
              </w:rPr>
              <w:t>Obesity, metabolic control, multimorbidity</w:t>
            </w:r>
          </w:p>
        </w:tc>
        <w:tc>
          <w:tcPr>
            <w:tcW w:w="0" w:type="auto"/>
            <w:hideMark/>
          </w:tcPr>
          <w:p w14:paraId="3C87E6CF" w14:textId="77777777" w:rsidR="00FF77A2" w:rsidRPr="001E1253" w:rsidRDefault="00FF77A2" w:rsidP="00462CB9">
            <w:pPr>
              <w:rPr>
                <w:rFonts w:cs="Arial"/>
                <w:sz w:val="20"/>
                <w:szCs w:val="20"/>
              </w:rPr>
            </w:pPr>
            <w:r w:rsidRPr="001E1253">
              <w:rPr>
                <w:rFonts w:cs="Arial"/>
                <w:sz w:val="20"/>
                <w:szCs w:val="20"/>
              </w:rPr>
              <w:t>Clinical and metabolic risk</w:t>
            </w:r>
          </w:p>
        </w:tc>
      </w:tr>
      <w:tr w:rsidR="00FF77A2" w:rsidRPr="001E1253" w14:paraId="0560D086" w14:textId="77777777" w:rsidTr="00FF77A2">
        <w:tc>
          <w:tcPr>
            <w:tcW w:w="0" w:type="auto"/>
            <w:hideMark/>
          </w:tcPr>
          <w:p w14:paraId="72CDA7F9" w14:textId="77777777" w:rsidR="00FF77A2" w:rsidRPr="001E1253" w:rsidRDefault="00FF77A2" w:rsidP="00462CB9">
            <w:pPr>
              <w:rPr>
                <w:rFonts w:cs="Arial"/>
                <w:sz w:val="20"/>
                <w:szCs w:val="20"/>
              </w:rPr>
            </w:pPr>
            <w:r w:rsidRPr="001E1253">
              <w:rPr>
                <w:rFonts w:cs="Arial"/>
                <w:sz w:val="20"/>
                <w:szCs w:val="20"/>
              </w:rPr>
              <w:t>Diet, physical activity, smoking, psychiatric factors, pollution</w:t>
            </w:r>
          </w:p>
        </w:tc>
        <w:tc>
          <w:tcPr>
            <w:tcW w:w="0" w:type="auto"/>
            <w:hideMark/>
          </w:tcPr>
          <w:p w14:paraId="56B1FDC2" w14:textId="77777777" w:rsidR="00FF77A2" w:rsidRPr="001E1253" w:rsidRDefault="00FF77A2" w:rsidP="00462CB9">
            <w:pPr>
              <w:rPr>
                <w:rFonts w:cs="Arial"/>
                <w:sz w:val="20"/>
                <w:szCs w:val="20"/>
              </w:rPr>
            </w:pPr>
            <w:r w:rsidRPr="001E1253">
              <w:rPr>
                <w:rFonts w:cs="Arial"/>
                <w:sz w:val="20"/>
                <w:szCs w:val="20"/>
              </w:rPr>
              <w:t>Lifestyle, social and emerging risks</w:t>
            </w:r>
          </w:p>
        </w:tc>
      </w:tr>
      <w:tr w:rsidR="00FF77A2" w:rsidRPr="001E1253" w14:paraId="6267A147" w14:textId="77777777" w:rsidTr="00FF77A2">
        <w:tc>
          <w:tcPr>
            <w:tcW w:w="0" w:type="auto"/>
            <w:hideMark/>
          </w:tcPr>
          <w:p w14:paraId="6E2C5E5F" w14:textId="77777777" w:rsidR="00FF77A2" w:rsidRPr="001E1253" w:rsidRDefault="00FF77A2" w:rsidP="00462CB9">
            <w:pPr>
              <w:rPr>
                <w:rFonts w:cs="Arial"/>
                <w:sz w:val="20"/>
                <w:szCs w:val="20"/>
              </w:rPr>
            </w:pPr>
            <w:r w:rsidRPr="001E1253">
              <w:rPr>
                <w:rFonts w:cs="Arial"/>
                <w:sz w:val="20"/>
                <w:szCs w:val="20"/>
              </w:rPr>
              <w:t>Testing, recognition, referral, KFRE</w:t>
            </w:r>
          </w:p>
        </w:tc>
        <w:tc>
          <w:tcPr>
            <w:tcW w:w="0" w:type="auto"/>
            <w:hideMark/>
          </w:tcPr>
          <w:p w14:paraId="372D5D78" w14:textId="77777777" w:rsidR="00FF77A2" w:rsidRPr="001E1253" w:rsidRDefault="00FF77A2" w:rsidP="00462CB9">
            <w:pPr>
              <w:rPr>
                <w:rFonts w:cs="Arial"/>
                <w:sz w:val="20"/>
                <w:szCs w:val="20"/>
              </w:rPr>
            </w:pPr>
            <w:r w:rsidRPr="001E1253">
              <w:rPr>
                <w:rFonts w:cs="Arial"/>
                <w:sz w:val="20"/>
                <w:szCs w:val="20"/>
              </w:rPr>
              <w:t>Diagnosis, screening and risk stratification</w:t>
            </w:r>
          </w:p>
        </w:tc>
      </w:tr>
      <w:tr w:rsidR="00FF77A2" w:rsidRPr="001E1253" w14:paraId="7CCAF378" w14:textId="77777777" w:rsidTr="00FF77A2">
        <w:tc>
          <w:tcPr>
            <w:tcW w:w="0" w:type="auto"/>
            <w:hideMark/>
          </w:tcPr>
          <w:p w14:paraId="3CA31515" w14:textId="77777777" w:rsidR="00FF77A2" w:rsidRPr="001E1253" w:rsidRDefault="00FF77A2" w:rsidP="00462CB9">
            <w:pPr>
              <w:rPr>
                <w:rFonts w:cs="Arial"/>
                <w:sz w:val="20"/>
                <w:szCs w:val="20"/>
              </w:rPr>
            </w:pPr>
            <w:r w:rsidRPr="001E1253">
              <w:rPr>
                <w:rFonts w:cs="Arial"/>
                <w:sz w:val="20"/>
                <w:szCs w:val="20"/>
              </w:rPr>
              <w:t xml:space="preserve">SGLT2 inhibitors, medicines </w:t>
            </w:r>
            <w:proofErr w:type="spellStart"/>
            <w:r w:rsidRPr="001E1253">
              <w:rPr>
                <w:rFonts w:cs="Arial"/>
                <w:sz w:val="20"/>
                <w:szCs w:val="20"/>
              </w:rPr>
              <w:t>optimisation</w:t>
            </w:r>
            <w:proofErr w:type="spellEnd"/>
          </w:p>
        </w:tc>
        <w:tc>
          <w:tcPr>
            <w:tcW w:w="0" w:type="auto"/>
            <w:hideMark/>
          </w:tcPr>
          <w:p w14:paraId="576C9CDF" w14:textId="77777777" w:rsidR="00FF77A2" w:rsidRPr="001E1253" w:rsidRDefault="00FF77A2" w:rsidP="00462CB9">
            <w:pPr>
              <w:rPr>
                <w:rFonts w:cs="Arial"/>
                <w:sz w:val="20"/>
                <w:szCs w:val="20"/>
              </w:rPr>
            </w:pPr>
            <w:r w:rsidRPr="001E1253">
              <w:rPr>
                <w:rFonts w:cs="Arial"/>
                <w:sz w:val="20"/>
                <w:szCs w:val="20"/>
              </w:rPr>
              <w:t>Pharmacological management</w:t>
            </w:r>
          </w:p>
        </w:tc>
      </w:tr>
      <w:tr w:rsidR="00FF77A2" w:rsidRPr="001E1253" w14:paraId="016E16D4" w14:textId="77777777" w:rsidTr="00FF77A2">
        <w:tc>
          <w:tcPr>
            <w:tcW w:w="0" w:type="auto"/>
            <w:hideMark/>
          </w:tcPr>
          <w:p w14:paraId="10EB4858" w14:textId="77777777" w:rsidR="00FF77A2" w:rsidRPr="001E1253" w:rsidRDefault="00FF77A2" w:rsidP="00462CB9">
            <w:pPr>
              <w:rPr>
                <w:rFonts w:cs="Arial"/>
                <w:sz w:val="20"/>
                <w:szCs w:val="20"/>
              </w:rPr>
            </w:pPr>
            <w:r w:rsidRPr="001E1253">
              <w:rPr>
                <w:rFonts w:cs="Arial"/>
                <w:sz w:val="20"/>
                <w:szCs w:val="20"/>
              </w:rPr>
              <w:t>Digital support, exercise, self-management</w:t>
            </w:r>
          </w:p>
        </w:tc>
        <w:tc>
          <w:tcPr>
            <w:tcW w:w="0" w:type="auto"/>
            <w:hideMark/>
          </w:tcPr>
          <w:p w14:paraId="2D43144A" w14:textId="77777777" w:rsidR="00FF77A2" w:rsidRPr="001E1253" w:rsidRDefault="00FF77A2" w:rsidP="00462CB9">
            <w:pPr>
              <w:rPr>
                <w:rFonts w:cs="Arial"/>
                <w:sz w:val="20"/>
                <w:szCs w:val="20"/>
              </w:rPr>
            </w:pPr>
            <w:r w:rsidRPr="001E1253">
              <w:rPr>
                <w:rFonts w:cs="Arial"/>
                <w:sz w:val="20"/>
                <w:szCs w:val="20"/>
              </w:rPr>
              <w:t>Lifestyle, digital and patient-</w:t>
            </w:r>
            <w:proofErr w:type="spellStart"/>
            <w:r w:rsidRPr="001E1253">
              <w:rPr>
                <w:rFonts w:cs="Arial"/>
                <w:sz w:val="20"/>
                <w:szCs w:val="20"/>
              </w:rPr>
              <w:t>centred</w:t>
            </w:r>
            <w:proofErr w:type="spellEnd"/>
            <w:r w:rsidRPr="001E1253">
              <w:rPr>
                <w:rFonts w:cs="Arial"/>
                <w:sz w:val="20"/>
                <w:szCs w:val="20"/>
              </w:rPr>
              <w:t xml:space="preserve"> management</w:t>
            </w:r>
          </w:p>
        </w:tc>
      </w:tr>
      <w:tr w:rsidR="00FF77A2" w:rsidRPr="001E1253" w14:paraId="730ED5D9" w14:textId="77777777" w:rsidTr="00FF77A2">
        <w:tc>
          <w:tcPr>
            <w:tcW w:w="0" w:type="auto"/>
            <w:hideMark/>
          </w:tcPr>
          <w:p w14:paraId="776E827A" w14:textId="77777777" w:rsidR="00FF77A2" w:rsidRPr="001E1253" w:rsidRDefault="00FF77A2" w:rsidP="00462CB9">
            <w:pPr>
              <w:rPr>
                <w:rFonts w:cs="Arial"/>
                <w:sz w:val="20"/>
                <w:szCs w:val="20"/>
              </w:rPr>
            </w:pPr>
            <w:r w:rsidRPr="001E1253">
              <w:rPr>
                <w:rFonts w:cs="Arial"/>
                <w:sz w:val="20"/>
                <w:szCs w:val="20"/>
              </w:rPr>
              <w:t>MDT, primary–secondary care, service integration</w:t>
            </w:r>
          </w:p>
        </w:tc>
        <w:tc>
          <w:tcPr>
            <w:tcW w:w="0" w:type="auto"/>
            <w:hideMark/>
          </w:tcPr>
          <w:p w14:paraId="65907CC1" w14:textId="77777777" w:rsidR="00FF77A2" w:rsidRPr="001E1253" w:rsidRDefault="00FF77A2" w:rsidP="00462CB9">
            <w:pPr>
              <w:rPr>
                <w:rFonts w:cs="Arial"/>
                <w:sz w:val="20"/>
                <w:szCs w:val="20"/>
              </w:rPr>
            </w:pPr>
            <w:r w:rsidRPr="001E1253">
              <w:rPr>
                <w:rFonts w:cs="Arial"/>
                <w:sz w:val="20"/>
                <w:szCs w:val="20"/>
              </w:rPr>
              <w:t>Integrated care and health-system management</w:t>
            </w:r>
          </w:p>
        </w:tc>
      </w:tr>
    </w:tbl>
    <w:p w14:paraId="591FEA0E" w14:textId="77777777" w:rsidR="00FF77A2" w:rsidRPr="00C07BB7" w:rsidRDefault="00FF77A2" w:rsidP="00462CB9">
      <w:pPr>
        <w:rPr>
          <w:rFonts w:cs="Arial"/>
        </w:rPr>
      </w:pPr>
    </w:p>
    <w:p w14:paraId="18921BDB" w14:textId="4A85003A" w:rsidR="0038603C" w:rsidRPr="00EF536E" w:rsidRDefault="0038603C" w:rsidP="00462CB9">
      <w:pPr>
        <w:pStyle w:val="Heading2"/>
        <w:rPr>
          <w:rFonts w:cs="Arial"/>
          <w:sz w:val="28"/>
          <w:szCs w:val="28"/>
        </w:rPr>
      </w:pPr>
      <w:bookmarkStart w:id="105" w:name="_Toc239294391"/>
      <w:bookmarkStart w:id="106" w:name="_Toc240666921"/>
      <w:bookmarkStart w:id="107" w:name="_Toc241011072"/>
      <w:r w:rsidRPr="00EF536E">
        <w:rPr>
          <w:rFonts w:cs="Arial"/>
          <w:sz w:val="28"/>
          <w:szCs w:val="28"/>
        </w:rPr>
        <w:t>3.</w:t>
      </w:r>
      <w:r w:rsidR="0001343C" w:rsidRPr="00EF536E">
        <w:rPr>
          <w:rFonts w:cs="Arial"/>
          <w:sz w:val="28"/>
          <w:szCs w:val="28"/>
        </w:rPr>
        <w:t>9</w:t>
      </w:r>
      <w:r w:rsidRPr="00EF536E">
        <w:rPr>
          <w:rFonts w:cs="Arial"/>
          <w:sz w:val="28"/>
          <w:szCs w:val="28"/>
        </w:rPr>
        <w:t xml:space="preserve"> Ethical Considerations</w:t>
      </w:r>
      <w:bookmarkEnd w:id="105"/>
      <w:bookmarkEnd w:id="106"/>
      <w:bookmarkEnd w:id="107"/>
    </w:p>
    <w:p w14:paraId="38435EFA" w14:textId="1F223233" w:rsidR="0038603C" w:rsidRPr="00C07BB7" w:rsidRDefault="0038603C" w:rsidP="00462CB9">
      <w:pPr>
        <w:rPr>
          <w:rFonts w:cs="Arial"/>
        </w:rPr>
      </w:pPr>
      <w:r w:rsidRPr="00C07BB7">
        <w:rPr>
          <w:rFonts w:cs="Arial"/>
        </w:rPr>
        <w:t>No participants were recruited, identifiable personal information was not collected, and no clinical intervention was attempted during the review. It thus had to make use of ethically reported secondary evidence. There were, however, ethical requirements such as proper referencing, honest reporting of findings, clear selection processes, safe storage of review files and the prevention of data fabrication. If an ethics approval was reported as having been obtained in the original study, this was noted when extracting. The Review files were stored in a controlled, password-protected facility in line with research data management (UK Data Service, 2024) practices. The importance of research integrity and accountable reporting was addressed as an ongoing duty throughout the review (UKRIO, 2025; UKRI, 2026).</w:t>
      </w:r>
    </w:p>
    <w:p w14:paraId="0B9F5C10" w14:textId="4F90F7D1" w:rsidR="0038603C" w:rsidRPr="00EF536E" w:rsidRDefault="0038603C" w:rsidP="00462CB9">
      <w:pPr>
        <w:pStyle w:val="Heading2"/>
        <w:rPr>
          <w:rFonts w:cs="Arial"/>
          <w:sz w:val="28"/>
          <w:szCs w:val="28"/>
        </w:rPr>
      </w:pPr>
      <w:bookmarkStart w:id="108" w:name="_Toc239294392"/>
      <w:bookmarkStart w:id="109" w:name="_Toc240666922"/>
      <w:bookmarkStart w:id="110" w:name="_Toc241011073"/>
      <w:r w:rsidRPr="00EF536E">
        <w:rPr>
          <w:rFonts w:cs="Arial"/>
          <w:sz w:val="28"/>
          <w:szCs w:val="28"/>
        </w:rPr>
        <w:t>3.</w:t>
      </w:r>
      <w:r w:rsidR="0001343C" w:rsidRPr="00EF536E">
        <w:rPr>
          <w:rFonts w:cs="Arial"/>
          <w:sz w:val="28"/>
          <w:szCs w:val="28"/>
        </w:rPr>
        <w:t>10</w:t>
      </w:r>
      <w:r w:rsidRPr="00EF536E">
        <w:rPr>
          <w:rFonts w:cs="Arial"/>
          <w:sz w:val="28"/>
          <w:szCs w:val="28"/>
        </w:rPr>
        <w:t xml:space="preserve"> Chapter Summary</w:t>
      </w:r>
      <w:bookmarkEnd w:id="108"/>
      <w:bookmarkEnd w:id="109"/>
      <w:bookmarkEnd w:id="110"/>
    </w:p>
    <w:p w14:paraId="7B9B90F9" w14:textId="0D4A35CD" w:rsidR="00773F15" w:rsidRPr="00C07BB7" w:rsidRDefault="0038603C" w:rsidP="00462CB9">
      <w:pPr>
        <w:rPr>
          <w:rFonts w:cs="Arial"/>
        </w:rPr>
      </w:pPr>
      <w:r w:rsidRPr="00C07BB7">
        <w:rPr>
          <w:rFonts w:cs="Arial"/>
        </w:rPr>
        <w:t xml:space="preserve">The aim of this chapter was to implement a systematic and topic-specific approach to reviewing the risk factors for and treatment of CKD in the adult population in the UK. After conducting the structured review process described above, it determined the research design, search process, PRISMA reporting, CASP appraisal, data extraction, eligibility criteria, ethics and </w:t>
      </w:r>
      <w:r w:rsidR="00D17E79" w:rsidRPr="00C07BB7">
        <w:rPr>
          <w:rFonts w:cs="Arial"/>
        </w:rPr>
        <w:t>thematic</w:t>
      </w:r>
      <w:r w:rsidRPr="00C07BB7">
        <w:rPr>
          <w:rFonts w:cs="Arial"/>
        </w:rPr>
        <w:t xml:space="preserve"> synthesis. These procedures are designed together to offer a clear structure for the selection of the studies and the findings, which are discussed in Chapter Four. This will help to ensure reproducibility throughout the process.</w:t>
      </w:r>
    </w:p>
    <w:p w14:paraId="72FEA647" w14:textId="77777777" w:rsidR="00773F15" w:rsidRPr="00C07BB7" w:rsidRDefault="00773F15" w:rsidP="00462CB9">
      <w:pPr>
        <w:spacing w:after="200"/>
        <w:jc w:val="left"/>
        <w:rPr>
          <w:rFonts w:cs="Arial"/>
        </w:rPr>
      </w:pPr>
      <w:r w:rsidRPr="00C07BB7">
        <w:rPr>
          <w:rFonts w:cs="Arial"/>
        </w:rPr>
        <w:br w:type="page"/>
      </w:r>
    </w:p>
    <w:p w14:paraId="2E3DE376" w14:textId="22FED0F4" w:rsidR="00773F15" w:rsidRPr="00C07BB7" w:rsidRDefault="00773F15" w:rsidP="00462CB9">
      <w:pPr>
        <w:pStyle w:val="Heading1"/>
        <w:rPr>
          <w:rFonts w:cs="Arial"/>
        </w:rPr>
      </w:pPr>
      <w:bookmarkStart w:id="111" w:name="_Toc239757492"/>
      <w:bookmarkStart w:id="112" w:name="_Toc240666923"/>
      <w:bookmarkStart w:id="113" w:name="_Toc241011074"/>
      <w:r w:rsidRPr="00C07BB7">
        <w:rPr>
          <w:rFonts w:cs="Arial"/>
        </w:rPr>
        <w:t xml:space="preserve">CHAPTER </w:t>
      </w:r>
      <w:r w:rsidR="008B7BF3">
        <w:rPr>
          <w:rFonts w:cs="Arial"/>
        </w:rPr>
        <w:t>Four</w:t>
      </w:r>
      <w:r w:rsidRPr="00C07BB7">
        <w:rPr>
          <w:rFonts w:cs="Arial"/>
        </w:rPr>
        <w:t>: RESULTS AND FINDINGS</w:t>
      </w:r>
      <w:bookmarkEnd w:id="111"/>
      <w:bookmarkEnd w:id="112"/>
      <w:bookmarkEnd w:id="113"/>
    </w:p>
    <w:p w14:paraId="174BEE7A" w14:textId="77777777" w:rsidR="00773F15" w:rsidRPr="008B7BF3" w:rsidRDefault="00773F15" w:rsidP="00462CB9">
      <w:pPr>
        <w:pStyle w:val="Heading2"/>
        <w:rPr>
          <w:rFonts w:cs="Arial"/>
          <w:sz w:val="28"/>
          <w:szCs w:val="28"/>
        </w:rPr>
      </w:pPr>
      <w:bookmarkStart w:id="114" w:name="_Toc239757493"/>
      <w:bookmarkStart w:id="115" w:name="_Toc240666924"/>
      <w:bookmarkStart w:id="116" w:name="_Toc241011075"/>
      <w:r w:rsidRPr="008B7BF3">
        <w:rPr>
          <w:rFonts w:cs="Arial"/>
          <w:sz w:val="28"/>
          <w:szCs w:val="28"/>
        </w:rPr>
        <w:t>4.1 Introduction</w:t>
      </w:r>
      <w:bookmarkEnd w:id="114"/>
      <w:bookmarkEnd w:id="115"/>
      <w:bookmarkEnd w:id="116"/>
    </w:p>
    <w:p w14:paraId="5708722B" w14:textId="77777777" w:rsidR="00773F15" w:rsidRPr="00C07BB7" w:rsidRDefault="00773F15" w:rsidP="00462CB9">
      <w:pPr>
        <w:rPr>
          <w:rFonts w:cs="Arial"/>
        </w:rPr>
      </w:pPr>
      <w:r w:rsidRPr="00C07BB7">
        <w:rPr>
          <w:rFonts w:cs="Arial"/>
        </w:rPr>
        <w:t xml:space="preserve">This chapter </w:t>
      </w:r>
      <w:proofErr w:type="spellStart"/>
      <w:r w:rsidRPr="00C07BB7">
        <w:rPr>
          <w:rFonts w:cs="Arial"/>
        </w:rPr>
        <w:t>summarises</w:t>
      </w:r>
      <w:proofErr w:type="spellEnd"/>
      <w:r w:rsidRPr="00C07BB7">
        <w:rPr>
          <w:rFonts w:cs="Arial"/>
        </w:rPr>
        <w:t xml:space="preserve"> the results of the systematic review, which explored the risk factors and management approaches relating to chronic kidney disease in adults in the UK. After selecting studies, critical appraisal and presentation of study characteristics, the findings extracted from the 15 studies included were </w:t>
      </w:r>
      <w:proofErr w:type="spellStart"/>
      <w:r w:rsidRPr="00C07BB7">
        <w:rPr>
          <w:rFonts w:cs="Arial"/>
        </w:rPr>
        <w:t>analysed</w:t>
      </w:r>
      <w:proofErr w:type="spellEnd"/>
      <w:r w:rsidRPr="00C07BB7">
        <w:rPr>
          <w:rFonts w:cs="Arial"/>
        </w:rPr>
        <w:t xml:space="preserve"> according to the themes using the method of thematic analysis. The findings were coded and </w:t>
      </w:r>
      <w:proofErr w:type="spellStart"/>
      <w:r w:rsidRPr="00C07BB7">
        <w:rPr>
          <w:rFonts w:cs="Arial"/>
        </w:rPr>
        <w:t>categorised</w:t>
      </w:r>
      <w:proofErr w:type="spellEnd"/>
      <w:r w:rsidRPr="00C07BB7">
        <w:rPr>
          <w:rFonts w:cs="Arial"/>
        </w:rPr>
        <w:t xml:space="preserve"> in light of similarities and </w:t>
      </w:r>
      <w:proofErr w:type="spellStart"/>
      <w:r w:rsidRPr="00C07BB7">
        <w:rPr>
          <w:rFonts w:cs="Arial"/>
        </w:rPr>
        <w:t>categorised</w:t>
      </w:r>
      <w:proofErr w:type="spellEnd"/>
      <w:r w:rsidRPr="00C07BB7">
        <w:rPr>
          <w:rFonts w:cs="Arial"/>
        </w:rPr>
        <w:t xml:space="preserve"> by patterns of difference that occurred in the observational, intervention, qualitative and service evaluation evidence in relation to the research aims, which were preserved in the interpretation. There were seven overarching themes identified with regard to the burden of CKD, clinical and metabolic risk, lifestyle and emerging risk, diagnosis and risk stratification, pharmacological management, patient-</w:t>
      </w:r>
      <w:proofErr w:type="spellStart"/>
      <w:r w:rsidRPr="00C07BB7">
        <w:rPr>
          <w:rFonts w:cs="Arial"/>
        </w:rPr>
        <w:t>centred</w:t>
      </w:r>
      <w:proofErr w:type="spellEnd"/>
      <w:r w:rsidRPr="00C07BB7">
        <w:rPr>
          <w:rFonts w:cs="Arial"/>
        </w:rPr>
        <w:t xml:space="preserve"> management and integrated care. To avoid the misinterpretation of observational (associational) evidence as being the same as intervention evidence, methodological quality has been taken into account when interpreting each theme.</w:t>
      </w:r>
    </w:p>
    <w:p w14:paraId="7A10D022" w14:textId="77777777" w:rsidR="00773F15" w:rsidRPr="005056F6" w:rsidRDefault="00773F15" w:rsidP="00462CB9">
      <w:pPr>
        <w:pStyle w:val="Heading2"/>
        <w:rPr>
          <w:rFonts w:cs="Arial"/>
          <w:sz w:val="28"/>
          <w:szCs w:val="28"/>
        </w:rPr>
      </w:pPr>
      <w:bookmarkStart w:id="117" w:name="_Toc239757494"/>
      <w:bookmarkStart w:id="118" w:name="_Toc240666925"/>
      <w:bookmarkStart w:id="119" w:name="_Toc241011076"/>
      <w:r w:rsidRPr="005056F6">
        <w:rPr>
          <w:rFonts w:cs="Arial"/>
          <w:sz w:val="28"/>
          <w:szCs w:val="28"/>
        </w:rPr>
        <w:t>4.2 PRISMA Study Selection</w:t>
      </w:r>
      <w:bookmarkEnd w:id="117"/>
      <w:bookmarkEnd w:id="118"/>
      <w:bookmarkEnd w:id="119"/>
    </w:p>
    <w:p w14:paraId="720D937F" w14:textId="77777777" w:rsidR="00773F15" w:rsidRPr="00C07BB7" w:rsidRDefault="00773F15" w:rsidP="00462CB9">
      <w:pPr>
        <w:rPr>
          <w:rFonts w:cs="Arial"/>
        </w:rPr>
      </w:pPr>
      <w:r w:rsidRPr="00C07BB7">
        <w:rPr>
          <w:rFonts w:cs="Arial"/>
        </w:rPr>
        <w:t>The PRISMA study-selection process started with a total of 380 records (365 from the database and 15 from hand searching). 300 records were left for title and abstract screening after 80 duplicate records were deleted. In this step, 240 records were rejected due to the set criteria for review, and 60 reports were retrieved for full-text review. Of the 60 reports, all were reviewed for eligibility. An additional 45 studies were excluded: 16 were set incorrectly or had an inappropriate population, 14 had an inappropriate focus or outcome, 9 had an inappropriate study design, and 6 were outside the time limits or were not available in full text. 15 studies met all inclusion criteria and were included overall in the final systematic review and narrative synthesis.</w:t>
      </w:r>
    </w:p>
    <w:p w14:paraId="0DE065C0" w14:textId="77777777" w:rsidR="00773F15" w:rsidRPr="00C07BB7" w:rsidRDefault="00773F15" w:rsidP="00462CB9">
      <w:pPr>
        <w:spacing w:after="200"/>
        <w:jc w:val="left"/>
        <w:rPr>
          <w:rFonts w:cs="Arial"/>
        </w:rPr>
      </w:pPr>
      <w:r w:rsidRPr="00C07BB7">
        <w:rPr>
          <w:rFonts w:cs="Arial"/>
        </w:rPr>
        <w:br w:type="page"/>
      </w:r>
    </w:p>
    <w:p w14:paraId="74AC3EE7" w14:textId="77777777" w:rsidR="00773F15" w:rsidRPr="005056F6" w:rsidRDefault="00773F15" w:rsidP="00462CB9">
      <w:pPr>
        <w:rPr>
          <w:rFonts w:cs="Arial"/>
          <w:sz w:val="24"/>
          <w:szCs w:val="24"/>
        </w:rPr>
      </w:pPr>
      <w:r w:rsidRPr="005056F6">
        <w:rPr>
          <w:rFonts w:cs="Arial"/>
          <w:sz w:val="24"/>
          <w:szCs w:val="24"/>
        </w:rPr>
        <w:t xml:space="preserve">Figure 4.1. PRISMA-aligned study-selection pathway </w:t>
      </w:r>
    </w:p>
    <w:tbl>
      <w:tblPr>
        <w:tblW w:w="8820" w:type="dxa"/>
        <w:tblInd w:w="30" w:type="dxa"/>
        <w:tblLayout w:type="fixed"/>
        <w:tblLook w:val="04A0" w:firstRow="1" w:lastRow="0" w:firstColumn="1" w:lastColumn="0" w:noHBand="0" w:noVBand="1"/>
      </w:tblPr>
      <w:tblGrid>
        <w:gridCol w:w="331"/>
        <w:gridCol w:w="172"/>
        <w:gridCol w:w="3997"/>
        <w:gridCol w:w="630"/>
        <w:gridCol w:w="3690"/>
      </w:tblGrid>
      <w:tr w:rsidR="00773F15" w:rsidRPr="005056F6" w14:paraId="5AB52147" w14:textId="77777777" w:rsidTr="005056F6">
        <w:trPr>
          <w:trHeight w:hRule="exact" w:val="2586"/>
        </w:trPr>
        <w:tc>
          <w:tcPr>
            <w:tcW w:w="331" w:type="dxa"/>
            <w:vMerge w:val="restart"/>
            <w:tcBorders>
              <w:top w:val="single" w:sz="12" w:space="0" w:color="1F1F1F"/>
              <w:left w:val="single" w:sz="12" w:space="0" w:color="1F1F1F"/>
              <w:bottom w:val="single" w:sz="12" w:space="0" w:color="1F1F1F"/>
              <w:right w:val="single" w:sz="12" w:space="0" w:color="1F1F1F"/>
            </w:tcBorders>
            <w:shd w:val="clear" w:color="auto" w:fill="5B9BD5"/>
            <w:tcMar>
              <w:top w:w="30" w:type="dxa"/>
              <w:left w:w="30" w:type="dxa"/>
              <w:bottom w:w="30" w:type="dxa"/>
              <w:right w:w="30" w:type="dxa"/>
            </w:tcMar>
            <w:textDirection w:val="btLr"/>
            <w:vAlign w:val="center"/>
          </w:tcPr>
          <w:p w14:paraId="0EF6210D" w14:textId="77777777" w:rsidR="00773F15" w:rsidRPr="005056F6" w:rsidRDefault="00773F15" w:rsidP="00462CB9">
            <w:pPr>
              <w:spacing w:after="0"/>
              <w:jc w:val="center"/>
              <w:rPr>
                <w:rFonts w:cs="Arial"/>
                <w:sz w:val="20"/>
                <w:szCs w:val="20"/>
              </w:rPr>
            </w:pPr>
            <w:r w:rsidRPr="005056F6">
              <w:rPr>
                <w:rFonts w:cs="Arial"/>
                <w:sz w:val="20"/>
                <w:szCs w:val="20"/>
              </w:rPr>
              <w:t>Identification</w:t>
            </w:r>
          </w:p>
        </w:tc>
        <w:tc>
          <w:tcPr>
            <w:tcW w:w="172" w:type="dxa"/>
            <w:tcBorders>
              <w:top w:val="nil"/>
              <w:left w:val="nil"/>
              <w:bottom w:val="nil"/>
              <w:right w:val="nil"/>
            </w:tcBorders>
            <w:tcMar>
              <w:top w:w="0" w:type="dxa"/>
              <w:left w:w="0" w:type="dxa"/>
              <w:bottom w:w="0" w:type="dxa"/>
              <w:right w:w="0" w:type="dxa"/>
            </w:tcMar>
            <w:vAlign w:val="center"/>
          </w:tcPr>
          <w:p w14:paraId="135EB064"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154210C0" w14:textId="77777777" w:rsidR="006F32C5" w:rsidRPr="005056F6" w:rsidRDefault="00773F15" w:rsidP="005056F6">
            <w:pPr>
              <w:spacing w:after="0"/>
              <w:jc w:val="left"/>
              <w:rPr>
                <w:rFonts w:cs="Arial"/>
                <w:sz w:val="20"/>
                <w:szCs w:val="20"/>
              </w:rPr>
            </w:pPr>
            <w:r w:rsidRPr="005056F6">
              <w:rPr>
                <w:rFonts w:cs="Arial"/>
                <w:sz w:val="20"/>
                <w:szCs w:val="20"/>
              </w:rPr>
              <w:t>Records identified from</w:t>
            </w:r>
          </w:p>
          <w:p w14:paraId="228958E3" w14:textId="77777777" w:rsidR="006F32C5" w:rsidRPr="005056F6" w:rsidRDefault="006F32C5" w:rsidP="005056F6">
            <w:pPr>
              <w:spacing w:after="0"/>
              <w:jc w:val="left"/>
              <w:rPr>
                <w:rFonts w:cs="Arial"/>
                <w:sz w:val="20"/>
                <w:szCs w:val="20"/>
              </w:rPr>
            </w:pPr>
            <w:r w:rsidRPr="005056F6">
              <w:rPr>
                <w:rFonts w:cs="Arial"/>
                <w:sz w:val="20"/>
                <w:szCs w:val="20"/>
              </w:rPr>
              <w:t xml:space="preserve">MEDLINE via PubMed: </w:t>
            </w:r>
            <w:r w:rsidRPr="005056F6">
              <w:rPr>
                <w:rFonts w:cs="Arial"/>
                <w:b/>
                <w:bCs/>
                <w:sz w:val="20"/>
                <w:szCs w:val="20"/>
              </w:rPr>
              <w:t>n = 128</w:t>
            </w:r>
            <w:r w:rsidRPr="005056F6">
              <w:rPr>
                <w:rFonts w:cs="Arial"/>
                <w:sz w:val="20"/>
                <w:szCs w:val="20"/>
              </w:rPr>
              <w:t xml:space="preserve"> </w:t>
            </w:r>
          </w:p>
          <w:p w14:paraId="0A23CCB7" w14:textId="77777777" w:rsidR="006F32C5" w:rsidRPr="005056F6" w:rsidRDefault="006F32C5" w:rsidP="005056F6">
            <w:pPr>
              <w:spacing w:after="0"/>
              <w:jc w:val="left"/>
              <w:rPr>
                <w:rFonts w:cs="Arial"/>
                <w:sz w:val="20"/>
                <w:szCs w:val="20"/>
              </w:rPr>
            </w:pPr>
            <w:r w:rsidRPr="005056F6">
              <w:rPr>
                <w:rFonts w:cs="Arial"/>
                <w:sz w:val="20"/>
                <w:szCs w:val="20"/>
              </w:rPr>
              <w:t xml:space="preserve">CINAHL via EBSCOhost: </w:t>
            </w:r>
            <w:r w:rsidRPr="005056F6">
              <w:rPr>
                <w:rFonts w:cs="Arial"/>
                <w:b/>
                <w:bCs/>
                <w:sz w:val="20"/>
                <w:szCs w:val="20"/>
              </w:rPr>
              <w:t>n = 74</w:t>
            </w:r>
            <w:r w:rsidRPr="005056F6">
              <w:rPr>
                <w:rFonts w:cs="Arial"/>
                <w:sz w:val="20"/>
                <w:szCs w:val="20"/>
              </w:rPr>
              <w:t xml:space="preserve"> </w:t>
            </w:r>
          </w:p>
          <w:p w14:paraId="1A715090" w14:textId="77777777" w:rsidR="006F32C5" w:rsidRPr="005056F6" w:rsidRDefault="006F32C5" w:rsidP="005056F6">
            <w:pPr>
              <w:spacing w:after="0"/>
              <w:jc w:val="left"/>
              <w:rPr>
                <w:rFonts w:cs="Arial"/>
                <w:sz w:val="20"/>
                <w:szCs w:val="20"/>
              </w:rPr>
            </w:pPr>
            <w:r w:rsidRPr="005056F6">
              <w:rPr>
                <w:rFonts w:cs="Arial"/>
                <w:sz w:val="20"/>
                <w:szCs w:val="20"/>
              </w:rPr>
              <w:t xml:space="preserve">Academic Search Complete: </w:t>
            </w:r>
            <w:r w:rsidRPr="005056F6">
              <w:rPr>
                <w:rFonts w:cs="Arial"/>
                <w:b/>
                <w:bCs/>
                <w:sz w:val="20"/>
                <w:szCs w:val="20"/>
              </w:rPr>
              <w:t>n = 69</w:t>
            </w:r>
            <w:r w:rsidRPr="005056F6">
              <w:rPr>
                <w:rFonts w:cs="Arial"/>
                <w:sz w:val="20"/>
                <w:szCs w:val="20"/>
              </w:rPr>
              <w:t xml:space="preserve"> </w:t>
            </w:r>
          </w:p>
          <w:p w14:paraId="32A19670" w14:textId="082C741D" w:rsidR="00773F15" w:rsidRPr="005056F6" w:rsidRDefault="006F32C5" w:rsidP="005056F6">
            <w:pPr>
              <w:spacing w:after="0"/>
              <w:jc w:val="left"/>
              <w:rPr>
                <w:rFonts w:cs="Arial"/>
                <w:sz w:val="20"/>
                <w:szCs w:val="20"/>
              </w:rPr>
            </w:pPr>
            <w:r w:rsidRPr="005056F6">
              <w:rPr>
                <w:rFonts w:cs="Arial"/>
                <w:sz w:val="20"/>
                <w:szCs w:val="20"/>
              </w:rPr>
              <w:t xml:space="preserve">Web of Science Core Collection: </w:t>
            </w:r>
            <w:r w:rsidRPr="005056F6">
              <w:rPr>
                <w:rFonts w:cs="Arial"/>
                <w:b/>
                <w:bCs/>
                <w:sz w:val="20"/>
                <w:szCs w:val="20"/>
              </w:rPr>
              <w:t>n = 94</w:t>
            </w:r>
            <w:r w:rsidR="00773F15" w:rsidRPr="005056F6">
              <w:rPr>
                <w:rFonts w:cs="Arial"/>
                <w:sz w:val="20"/>
                <w:szCs w:val="20"/>
              </w:rPr>
              <w:br/>
              <w:t xml:space="preserve">Databases </w:t>
            </w:r>
            <w:r w:rsidR="00773F15" w:rsidRPr="005056F6">
              <w:rPr>
                <w:rFonts w:cs="Arial"/>
                <w:b/>
                <w:bCs/>
                <w:sz w:val="20"/>
                <w:szCs w:val="20"/>
              </w:rPr>
              <w:t>(n = 365)</w:t>
            </w:r>
            <w:r w:rsidR="00773F15" w:rsidRPr="005056F6">
              <w:rPr>
                <w:rFonts w:cs="Arial"/>
                <w:sz w:val="20"/>
                <w:szCs w:val="20"/>
              </w:rPr>
              <w:br/>
              <w:t xml:space="preserve">Hand searches </w:t>
            </w:r>
            <w:r w:rsidR="00773F15" w:rsidRPr="005056F6">
              <w:rPr>
                <w:rFonts w:cs="Arial"/>
                <w:b/>
                <w:bCs/>
                <w:sz w:val="20"/>
                <w:szCs w:val="20"/>
              </w:rPr>
              <w:t>(n = 15)</w:t>
            </w:r>
            <w:r w:rsidR="00773F15" w:rsidRPr="005056F6">
              <w:rPr>
                <w:rFonts w:cs="Arial"/>
                <w:sz w:val="20"/>
                <w:szCs w:val="20"/>
              </w:rPr>
              <w:br/>
              <w:t>Total records identified (n = 380)</w:t>
            </w:r>
          </w:p>
        </w:tc>
        <w:tc>
          <w:tcPr>
            <w:tcW w:w="630" w:type="dxa"/>
            <w:tcBorders>
              <w:top w:val="nil"/>
              <w:left w:val="nil"/>
              <w:bottom w:val="nil"/>
              <w:right w:val="nil"/>
            </w:tcBorders>
            <w:tcMar>
              <w:top w:w="0" w:type="dxa"/>
              <w:left w:w="0" w:type="dxa"/>
              <w:bottom w:w="0" w:type="dxa"/>
              <w:right w:w="0" w:type="dxa"/>
            </w:tcMar>
            <w:vAlign w:val="center"/>
          </w:tcPr>
          <w:p w14:paraId="7C1523AC"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3690"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52066748" w14:textId="77777777" w:rsidR="00773F15" w:rsidRPr="005056F6" w:rsidRDefault="00773F15" w:rsidP="00462CB9">
            <w:pPr>
              <w:spacing w:after="0"/>
              <w:jc w:val="center"/>
              <w:rPr>
                <w:rFonts w:cs="Arial"/>
                <w:sz w:val="20"/>
                <w:szCs w:val="20"/>
              </w:rPr>
            </w:pPr>
            <w:r w:rsidRPr="005056F6">
              <w:rPr>
                <w:rFonts w:cs="Arial"/>
                <w:sz w:val="20"/>
                <w:szCs w:val="20"/>
              </w:rPr>
              <w:t>Records removed before screening:</w:t>
            </w:r>
            <w:r w:rsidRPr="005056F6">
              <w:rPr>
                <w:rFonts w:cs="Arial"/>
                <w:sz w:val="20"/>
                <w:szCs w:val="20"/>
              </w:rPr>
              <w:br/>
              <w:t>Duplicate records removed (n = 80)</w:t>
            </w:r>
          </w:p>
        </w:tc>
      </w:tr>
      <w:tr w:rsidR="00773F15" w:rsidRPr="005056F6" w14:paraId="76F8332D" w14:textId="77777777" w:rsidTr="005056F6">
        <w:trPr>
          <w:trHeight w:hRule="exact" w:val="453"/>
        </w:trPr>
        <w:tc>
          <w:tcPr>
            <w:tcW w:w="331" w:type="dxa"/>
            <w:vMerge/>
            <w:tcBorders>
              <w:top w:val="nil"/>
              <w:left w:val="nil"/>
              <w:bottom w:val="nil"/>
              <w:right w:val="nil"/>
            </w:tcBorders>
            <w:tcMar>
              <w:top w:w="0" w:type="dxa"/>
              <w:left w:w="0" w:type="dxa"/>
              <w:bottom w:w="0" w:type="dxa"/>
              <w:right w:w="0" w:type="dxa"/>
            </w:tcMar>
            <w:vAlign w:val="center"/>
          </w:tcPr>
          <w:p w14:paraId="71CA7EC0"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006D836A" w14:textId="77777777" w:rsidR="00773F15" w:rsidRPr="005056F6" w:rsidRDefault="00773F15" w:rsidP="00462CB9">
            <w:pPr>
              <w:rPr>
                <w:rFonts w:cs="Arial"/>
                <w:sz w:val="20"/>
                <w:szCs w:val="20"/>
              </w:rPr>
            </w:pPr>
          </w:p>
        </w:tc>
        <w:tc>
          <w:tcPr>
            <w:tcW w:w="3997" w:type="dxa"/>
            <w:tcBorders>
              <w:top w:val="nil"/>
              <w:left w:val="nil"/>
              <w:bottom w:val="nil"/>
              <w:right w:val="nil"/>
            </w:tcBorders>
            <w:tcMar>
              <w:top w:w="0" w:type="dxa"/>
              <w:left w:w="0" w:type="dxa"/>
              <w:bottom w:w="0" w:type="dxa"/>
              <w:right w:w="0" w:type="dxa"/>
            </w:tcMar>
            <w:vAlign w:val="center"/>
          </w:tcPr>
          <w:p w14:paraId="04573022" w14:textId="77777777" w:rsidR="00773F15" w:rsidRPr="005056F6" w:rsidRDefault="00773F15" w:rsidP="00462CB9">
            <w:pPr>
              <w:spacing w:after="0"/>
              <w:jc w:val="center"/>
              <w:rPr>
                <w:rFonts w:cs="Arial"/>
                <w:b/>
                <w:sz w:val="20"/>
                <w:szCs w:val="20"/>
              </w:rPr>
            </w:pPr>
            <w:r w:rsidRPr="005056F6">
              <w:rPr>
                <w:rFonts w:eastAsia="DejaVu Sans" w:cs="Arial"/>
                <w:b/>
                <w:sz w:val="20"/>
                <w:szCs w:val="20"/>
              </w:rPr>
              <w:t>↓</w:t>
            </w:r>
          </w:p>
        </w:tc>
        <w:tc>
          <w:tcPr>
            <w:tcW w:w="630" w:type="dxa"/>
            <w:tcBorders>
              <w:top w:val="nil"/>
              <w:left w:val="nil"/>
              <w:bottom w:val="nil"/>
              <w:right w:val="nil"/>
            </w:tcBorders>
            <w:tcMar>
              <w:top w:w="0" w:type="dxa"/>
              <w:left w:w="0" w:type="dxa"/>
              <w:bottom w:w="0" w:type="dxa"/>
              <w:right w:w="0" w:type="dxa"/>
            </w:tcMar>
            <w:vAlign w:val="center"/>
          </w:tcPr>
          <w:p w14:paraId="1FDE4BCA"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2E0E55A4" w14:textId="77777777" w:rsidR="00773F15" w:rsidRPr="005056F6" w:rsidRDefault="00773F15" w:rsidP="00462CB9">
            <w:pPr>
              <w:rPr>
                <w:rFonts w:cs="Arial"/>
                <w:sz w:val="20"/>
                <w:szCs w:val="20"/>
              </w:rPr>
            </w:pPr>
          </w:p>
        </w:tc>
      </w:tr>
      <w:tr w:rsidR="00773F15" w:rsidRPr="005056F6" w14:paraId="515B0B9A" w14:textId="77777777" w:rsidTr="005056F6">
        <w:trPr>
          <w:trHeight w:hRule="exact" w:val="1128"/>
        </w:trPr>
        <w:tc>
          <w:tcPr>
            <w:tcW w:w="331" w:type="dxa"/>
            <w:vMerge w:val="restart"/>
            <w:tcBorders>
              <w:top w:val="single" w:sz="12" w:space="0" w:color="1F1F1F"/>
              <w:left w:val="single" w:sz="12" w:space="0" w:color="1F1F1F"/>
              <w:bottom w:val="single" w:sz="12" w:space="0" w:color="1F1F1F"/>
              <w:right w:val="single" w:sz="12" w:space="0" w:color="1F1F1F"/>
            </w:tcBorders>
            <w:shd w:val="clear" w:color="auto" w:fill="5B9BD5"/>
            <w:tcMar>
              <w:top w:w="30" w:type="dxa"/>
              <w:left w:w="30" w:type="dxa"/>
              <w:bottom w:w="30" w:type="dxa"/>
              <w:right w:w="30" w:type="dxa"/>
            </w:tcMar>
            <w:textDirection w:val="btLr"/>
            <w:vAlign w:val="center"/>
          </w:tcPr>
          <w:p w14:paraId="2AD04F8E" w14:textId="77777777" w:rsidR="00773F15" w:rsidRPr="005056F6" w:rsidRDefault="00773F15" w:rsidP="00462CB9">
            <w:pPr>
              <w:spacing w:after="0"/>
              <w:jc w:val="center"/>
              <w:rPr>
                <w:rFonts w:cs="Arial"/>
                <w:sz w:val="20"/>
                <w:szCs w:val="20"/>
              </w:rPr>
            </w:pPr>
            <w:r w:rsidRPr="005056F6">
              <w:rPr>
                <w:rFonts w:cs="Arial"/>
                <w:sz w:val="20"/>
                <w:szCs w:val="20"/>
              </w:rPr>
              <w:t>Screening</w:t>
            </w:r>
          </w:p>
        </w:tc>
        <w:tc>
          <w:tcPr>
            <w:tcW w:w="172" w:type="dxa"/>
            <w:tcBorders>
              <w:top w:val="nil"/>
              <w:left w:val="nil"/>
              <w:bottom w:val="nil"/>
              <w:right w:val="nil"/>
            </w:tcBorders>
            <w:tcMar>
              <w:top w:w="0" w:type="dxa"/>
              <w:left w:w="0" w:type="dxa"/>
              <w:bottom w:w="0" w:type="dxa"/>
              <w:right w:w="0" w:type="dxa"/>
            </w:tcMar>
            <w:vAlign w:val="center"/>
          </w:tcPr>
          <w:p w14:paraId="1488C2BF"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5DA3C9CA" w14:textId="77777777" w:rsidR="00773F15" w:rsidRPr="005056F6" w:rsidRDefault="00773F15" w:rsidP="00462CB9">
            <w:pPr>
              <w:spacing w:after="0"/>
              <w:jc w:val="center"/>
              <w:rPr>
                <w:rFonts w:cs="Arial"/>
                <w:sz w:val="20"/>
                <w:szCs w:val="20"/>
              </w:rPr>
            </w:pPr>
            <w:r w:rsidRPr="005056F6">
              <w:rPr>
                <w:rFonts w:cs="Arial"/>
                <w:sz w:val="20"/>
                <w:szCs w:val="20"/>
              </w:rPr>
              <w:t>Records screened</w:t>
            </w:r>
            <w:r w:rsidRPr="005056F6">
              <w:rPr>
                <w:rFonts w:cs="Arial"/>
                <w:sz w:val="20"/>
                <w:szCs w:val="20"/>
              </w:rPr>
              <w:br/>
              <w:t>(n = 300)</w:t>
            </w:r>
          </w:p>
        </w:tc>
        <w:tc>
          <w:tcPr>
            <w:tcW w:w="630" w:type="dxa"/>
            <w:tcBorders>
              <w:top w:val="nil"/>
              <w:left w:val="nil"/>
              <w:bottom w:val="nil"/>
              <w:right w:val="nil"/>
            </w:tcBorders>
            <w:tcMar>
              <w:top w:w="0" w:type="dxa"/>
              <w:left w:w="0" w:type="dxa"/>
              <w:bottom w:w="0" w:type="dxa"/>
              <w:right w:w="0" w:type="dxa"/>
            </w:tcMar>
            <w:vAlign w:val="center"/>
          </w:tcPr>
          <w:p w14:paraId="6F813142"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3690"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4A4B99E0" w14:textId="77777777" w:rsidR="00773F15" w:rsidRPr="005056F6" w:rsidRDefault="00773F15" w:rsidP="00462CB9">
            <w:pPr>
              <w:spacing w:after="0"/>
              <w:jc w:val="center"/>
              <w:rPr>
                <w:rFonts w:cs="Arial"/>
                <w:sz w:val="20"/>
                <w:szCs w:val="20"/>
              </w:rPr>
            </w:pPr>
            <w:r w:rsidRPr="005056F6">
              <w:rPr>
                <w:rFonts w:cs="Arial"/>
                <w:sz w:val="20"/>
                <w:szCs w:val="20"/>
              </w:rPr>
              <w:t>Records excluded based on title and abstract</w:t>
            </w:r>
            <w:r w:rsidRPr="005056F6">
              <w:rPr>
                <w:rFonts w:cs="Arial"/>
                <w:sz w:val="20"/>
                <w:szCs w:val="20"/>
              </w:rPr>
              <w:br/>
              <w:t>(n = 240)</w:t>
            </w:r>
          </w:p>
        </w:tc>
      </w:tr>
      <w:tr w:rsidR="00773F15" w:rsidRPr="005056F6" w14:paraId="12C7D519" w14:textId="77777777" w:rsidTr="005056F6">
        <w:trPr>
          <w:trHeight w:hRule="exact" w:val="399"/>
        </w:trPr>
        <w:tc>
          <w:tcPr>
            <w:tcW w:w="331" w:type="dxa"/>
            <w:vMerge/>
            <w:tcBorders>
              <w:top w:val="nil"/>
              <w:left w:val="nil"/>
              <w:bottom w:val="nil"/>
              <w:right w:val="nil"/>
            </w:tcBorders>
            <w:tcMar>
              <w:top w:w="0" w:type="dxa"/>
              <w:left w:w="0" w:type="dxa"/>
              <w:bottom w:w="0" w:type="dxa"/>
              <w:right w:w="0" w:type="dxa"/>
            </w:tcMar>
            <w:vAlign w:val="center"/>
          </w:tcPr>
          <w:p w14:paraId="2CD8FBFF"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1B483271" w14:textId="77777777" w:rsidR="00773F15" w:rsidRPr="005056F6" w:rsidRDefault="00773F15" w:rsidP="00462CB9">
            <w:pPr>
              <w:rPr>
                <w:rFonts w:cs="Arial"/>
                <w:sz w:val="20"/>
                <w:szCs w:val="20"/>
              </w:rPr>
            </w:pPr>
          </w:p>
        </w:tc>
        <w:tc>
          <w:tcPr>
            <w:tcW w:w="3997" w:type="dxa"/>
            <w:tcBorders>
              <w:top w:val="nil"/>
              <w:left w:val="nil"/>
              <w:bottom w:val="nil"/>
              <w:right w:val="nil"/>
            </w:tcBorders>
            <w:tcMar>
              <w:top w:w="0" w:type="dxa"/>
              <w:left w:w="0" w:type="dxa"/>
              <w:bottom w:w="0" w:type="dxa"/>
              <w:right w:w="0" w:type="dxa"/>
            </w:tcMar>
            <w:vAlign w:val="center"/>
          </w:tcPr>
          <w:p w14:paraId="3BC3D37F"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630" w:type="dxa"/>
            <w:tcBorders>
              <w:top w:val="nil"/>
              <w:left w:val="nil"/>
              <w:bottom w:val="nil"/>
              <w:right w:val="nil"/>
            </w:tcBorders>
            <w:tcMar>
              <w:top w:w="0" w:type="dxa"/>
              <w:left w:w="0" w:type="dxa"/>
              <w:bottom w:w="0" w:type="dxa"/>
              <w:right w:w="0" w:type="dxa"/>
            </w:tcMar>
            <w:vAlign w:val="center"/>
          </w:tcPr>
          <w:p w14:paraId="62957CB0"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1BDD45B4" w14:textId="77777777" w:rsidR="00773F15" w:rsidRPr="005056F6" w:rsidRDefault="00773F15" w:rsidP="00462CB9">
            <w:pPr>
              <w:rPr>
                <w:rFonts w:cs="Arial"/>
                <w:sz w:val="20"/>
                <w:szCs w:val="20"/>
              </w:rPr>
            </w:pPr>
          </w:p>
        </w:tc>
      </w:tr>
      <w:tr w:rsidR="00773F15" w:rsidRPr="005056F6" w14:paraId="630FA2CE" w14:textId="77777777" w:rsidTr="005056F6">
        <w:trPr>
          <w:trHeight w:hRule="exact" w:val="3639"/>
        </w:trPr>
        <w:tc>
          <w:tcPr>
            <w:tcW w:w="331" w:type="dxa"/>
            <w:vMerge/>
            <w:tcBorders>
              <w:top w:val="nil"/>
              <w:left w:val="nil"/>
              <w:bottom w:val="nil"/>
              <w:right w:val="nil"/>
            </w:tcBorders>
            <w:tcMar>
              <w:top w:w="0" w:type="dxa"/>
              <w:left w:w="0" w:type="dxa"/>
              <w:bottom w:w="0" w:type="dxa"/>
              <w:right w:w="0" w:type="dxa"/>
            </w:tcMar>
            <w:vAlign w:val="center"/>
          </w:tcPr>
          <w:p w14:paraId="1746D73B"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13BBC04A"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24CC7FCC" w14:textId="77777777" w:rsidR="00773F15" w:rsidRPr="005056F6" w:rsidRDefault="00773F15" w:rsidP="00462CB9">
            <w:pPr>
              <w:spacing w:after="0"/>
              <w:jc w:val="center"/>
              <w:rPr>
                <w:rFonts w:cs="Arial"/>
                <w:sz w:val="20"/>
                <w:szCs w:val="20"/>
              </w:rPr>
            </w:pPr>
            <w:r w:rsidRPr="005056F6">
              <w:rPr>
                <w:rFonts w:cs="Arial"/>
                <w:sz w:val="20"/>
                <w:szCs w:val="20"/>
              </w:rPr>
              <w:t>Full-text research articles assessed for eligibility</w:t>
            </w:r>
            <w:r w:rsidRPr="005056F6">
              <w:rPr>
                <w:rFonts w:cs="Arial"/>
                <w:sz w:val="20"/>
                <w:szCs w:val="20"/>
              </w:rPr>
              <w:br/>
              <w:t>(n = 60)</w:t>
            </w:r>
          </w:p>
        </w:tc>
        <w:tc>
          <w:tcPr>
            <w:tcW w:w="630" w:type="dxa"/>
            <w:tcBorders>
              <w:top w:val="nil"/>
              <w:left w:val="nil"/>
              <w:bottom w:val="nil"/>
              <w:right w:val="nil"/>
            </w:tcBorders>
            <w:tcMar>
              <w:top w:w="0" w:type="dxa"/>
              <w:left w:w="0" w:type="dxa"/>
              <w:bottom w:w="0" w:type="dxa"/>
              <w:right w:w="0" w:type="dxa"/>
            </w:tcMar>
            <w:vAlign w:val="center"/>
          </w:tcPr>
          <w:p w14:paraId="544F6F54"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3690"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066EC887" w14:textId="77777777" w:rsidR="00773F15" w:rsidRPr="005056F6" w:rsidRDefault="00773F15" w:rsidP="00462CB9">
            <w:pPr>
              <w:spacing w:after="0"/>
              <w:jc w:val="center"/>
              <w:rPr>
                <w:rFonts w:cs="Arial"/>
                <w:sz w:val="20"/>
                <w:szCs w:val="20"/>
              </w:rPr>
            </w:pPr>
            <w:r w:rsidRPr="005056F6">
              <w:rPr>
                <w:rFonts w:cs="Arial"/>
                <w:sz w:val="20"/>
                <w:szCs w:val="20"/>
              </w:rPr>
              <w:t>Full-text research articles excluded:</w:t>
            </w:r>
            <w:r w:rsidRPr="005056F6">
              <w:rPr>
                <w:rFonts w:cs="Arial"/>
                <w:sz w:val="20"/>
                <w:szCs w:val="20"/>
              </w:rPr>
              <w:br/>
              <w:t>Incorrect population or setting (n = 16)</w:t>
            </w:r>
            <w:r w:rsidRPr="005056F6">
              <w:rPr>
                <w:rFonts w:cs="Arial"/>
                <w:sz w:val="20"/>
                <w:szCs w:val="20"/>
              </w:rPr>
              <w:br/>
              <w:t>Incorrect focus or outcome (n = 14)</w:t>
            </w:r>
            <w:r w:rsidRPr="005056F6">
              <w:rPr>
                <w:rFonts w:cs="Arial"/>
                <w:sz w:val="20"/>
                <w:szCs w:val="20"/>
              </w:rPr>
              <w:br/>
              <w:t>Incorrect study design (n = 9)</w:t>
            </w:r>
            <w:r w:rsidRPr="005056F6">
              <w:rPr>
                <w:rFonts w:cs="Arial"/>
                <w:sz w:val="20"/>
                <w:szCs w:val="20"/>
              </w:rPr>
              <w:br/>
              <w:t>Outside date limits / full text unavailable (n = 6)</w:t>
            </w:r>
            <w:r w:rsidRPr="005056F6">
              <w:rPr>
                <w:rFonts w:cs="Arial"/>
                <w:sz w:val="20"/>
                <w:szCs w:val="20"/>
              </w:rPr>
              <w:br/>
              <w:t>Total excluded (n = 45)</w:t>
            </w:r>
          </w:p>
        </w:tc>
      </w:tr>
      <w:tr w:rsidR="00773F15" w:rsidRPr="005056F6" w14:paraId="0B08E492" w14:textId="77777777" w:rsidTr="00934448">
        <w:trPr>
          <w:trHeight w:hRule="exact" w:val="390"/>
        </w:trPr>
        <w:tc>
          <w:tcPr>
            <w:tcW w:w="331" w:type="dxa"/>
            <w:vMerge/>
            <w:tcBorders>
              <w:top w:val="nil"/>
              <w:left w:val="nil"/>
              <w:bottom w:val="nil"/>
              <w:right w:val="nil"/>
            </w:tcBorders>
            <w:tcMar>
              <w:top w:w="0" w:type="dxa"/>
              <w:left w:w="0" w:type="dxa"/>
              <w:bottom w:w="0" w:type="dxa"/>
              <w:right w:w="0" w:type="dxa"/>
            </w:tcMar>
            <w:vAlign w:val="center"/>
          </w:tcPr>
          <w:p w14:paraId="69E5A8C7" w14:textId="77777777" w:rsidR="00773F15" w:rsidRPr="005056F6" w:rsidRDefault="00773F15" w:rsidP="00462CB9">
            <w:pPr>
              <w:rPr>
                <w:rFonts w:cs="Arial"/>
                <w:sz w:val="20"/>
                <w:szCs w:val="20"/>
              </w:rPr>
            </w:pPr>
          </w:p>
        </w:tc>
        <w:tc>
          <w:tcPr>
            <w:tcW w:w="172" w:type="dxa"/>
            <w:tcBorders>
              <w:top w:val="nil"/>
              <w:left w:val="nil"/>
              <w:bottom w:val="nil"/>
              <w:right w:val="nil"/>
            </w:tcBorders>
            <w:tcMar>
              <w:top w:w="0" w:type="dxa"/>
              <w:left w:w="0" w:type="dxa"/>
              <w:bottom w:w="0" w:type="dxa"/>
              <w:right w:w="0" w:type="dxa"/>
            </w:tcMar>
            <w:vAlign w:val="center"/>
          </w:tcPr>
          <w:p w14:paraId="2A88C25F" w14:textId="77777777" w:rsidR="00773F15" w:rsidRPr="005056F6" w:rsidRDefault="00773F15" w:rsidP="00462CB9">
            <w:pPr>
              <w:rPr>
                <w:rFonts w:cs="Arial"/>
                <w:sz w:val="20"/>
                <w:szCs w:val="20"/>
              </w:rPr>
            </w:pPr>
          </w:p>
        </w:tc>
        <w:tc>
          <w:tcPr>
            <w:tcW w:w="3997" w:type="dxa"/>
            <w:tcBorders>
              <w:top w:val="nil"/>
              <w:left w:val="nil"/>
              <w:bottom w:val="nil"/>
              <w:right w:val="nil"/>
            </w:tcBorders>
            <w:tcMar>
              <w:top w:w="0" w:type="dxa"/>
              <w:left w:w="0" w:type="dxa"/>
              <w:bottom w:w="0" w:type="dxa"/>
              <w:right w:w="0" w:type="dxa"/>
            </w:tcMar>
            <w:vAlign w:val="center"/>
          </w:tcPr>
          <w:p w14:paraId="5B957573" w14:textId="77777777" w:rsidR="00773F15" w:rsidRPr="005056F6" w:rsidRDefault="00773F15" w:rsidP="00462CB9">
            <w:pPr>
              <w:spacing w:after="0"/>
              <w:jc w:val="center"/>
              <w:rPr>
                <w:rFonts w:cs="Arial"/>
                <w:sz w:val="20"/>
                <w:szCs w:val="20"/>
              </w:rPr>
            </w:pPr>
            <w:r w:rsidRPr="005056F6">
              <w:rPr>
                <w:rFonts w:eastAsia="DejaVu Sans" w:cs="Arial"/>
                <w:b/>
                <w:sz w:val="20"/>
                <w:szCs w:val="20"/>
              </w:rPr>
              <w:t>↓</w:t>
            </w:r>
          </w:p>
        </w:tc>
        <w:tc>
          <w:tcPr>
            <w:tcW w:w="630" w:type="dxa"/>
            <w:tcBorders>
              <w:top w:val="nil"/>
              <w:left w:val="nil"/>
              <w:bottom w:val="nil"/>
              <w:right w:val="nil"/>
            </w:tcBorders>
            <w:tcMar>
              <w:top w:w="0" w:type="dxa"/>
              <w:left w:w="0" w:type="dxa"/>
              <w:bottom w:w="0" w:type="dxa"/>
              <w:right w:w="0" w:type="dxa"/>
            </w:tcMar>
            <w:vAlign w:val="center"/>
          </w:tcPr>
          <w:p w14:paraId="0FC7ACCC"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7A3CD6C9" w14:textId="77777777" w:rsidR="00773F15" w:rsidRPr="005056F6" w:rsidRDefault="00773F15" w:rsidP="00462CB9">
            <w:pPr>
              <w:rPr>
                <w:rFonts w:cs="Arial"/>
                <w:sz w:val="20"/>
                <w:szCs w:val="20"/>
              </w:rPr>
            </w:pPr>
          </w:p>
        </w:tc>
      </w:tr>
      <w:tr w:rsidR="00773F15" w:rsidRPr="005056F6" w14:paraId="22AA2EBF" w14:textId="77777777" w:rsidTr="005056F6">
        <w:trPr>
          <w:trHeight w:hRule="exact" w:val="2388"/>
        </w:trPr>
        <w:tc>
          <w:tcPr>
            <w:tcW w:w="331" w:type="dxa"/>
            <w:tcBorders>
              <w:top w:val="single" w:sz="12" w:space="0" w:color="1F1F1F"/>
              <w:left w:val="single" w:sz="12" w:space="0" w:color="1F1F1F"/>
              <w:bottom w:val="single" w:sz="12" w:space="0" w:color="1F1F1F"/>
              <w:right w:val="single" w:sz="12" w:space="0" w:color="1F1F1F"/>
            </w:tcBorders>
            <w:shd w:val="clear" w:color="auto" w:fill="5B9BD5"/>
            <w:tcMar>
              <w:top w:w="30" w:type="dxa"/>
              <w:left w:w="30" w:type="dxa"/>
              <w:bottom w:w="30" w:type="dxa"/>
              <w:right w:w="30" w:type="dxa"/>
            </w:tcMar>
            <w:textDirection w:val="btLr"/>
            <w:vAlign w:val="center"/>
          </w:tcPr>
          <w:p w14:paraId="6F3558C7" w14:textId="77777777" w:rsidR="00773F15" w:rsidRPr="005056F6" w:rsidRDefault="00773F15" w:rsidP="00462CB9">
            <w:pPr>
              <w:spacing w:after="0"/>
              <w:jc w:val="center"/>
              <w:rPr>
                <w:rFonts w:cs="Arial"/>
                <w:sz w:val="20"/>
                <w:szCs w:val="20"/>
              </w:rPr>
            </w:pPr>
            <w:r w:rsidRPr="005056F6">
              <w:rPr>
                <w:rFonts w:cs="Arial"/>
                <w:sz w:val="20"/>
                <w:szCs w:val="20"/>
              </w:rPr>
              <w:t>Included</w:t>
            </w:r>
          </w:p>
        </w:tc>
        <w:tc>
          <w:tcPr>
            <w:tcW w:w="172" w:type="dxa"/>
            <w:tcBorders>
              <w:top w:val="nil"/>
              <w:left w:val="nil"/>
              <w:bottom w:val="nil"/>
              <w:right w:val="nil"/>
            </w:tcBorders>
            <w:tcMar>
              <w:top w:w="0" w:type="dxa"/>
              <w:left w:w="0" w:type="dxa"/>
              <w:bottom w:w="0" w:type="dxa"/>
              <w:right w:w="0" w:type="dxa"/>
            </w:tcMar>
            <w:vAlign w:val="center"/>
          </w:tcPr>
          <w:p w14:paraId="6C9BBCC8" w14:textId="77777777" w:rsidR="00773F15" w:rsidRPr="005056F6" w:rsidRDefault="00773F15" w:rsidP="00462CB9">
            <w:pPr>
              <w:rPr>
                <w:rFonts w:cs="Arial"/>
                <w:sz w:val="20"/>
                <w:szCs w:val="20"/>
              </w:rPr>
            </w:pPr>
          </w:p>
        </w:tc>
        <w:tc>
          <w:tcPr>
            <w:tcW w:w="3997" w:type="dxa"/>
            <w:tcBorders>
              <w:top w:val="single" w:sz="12" w:space="0" w:color="1F1F1F"/>
              <w:left w:val="single" w:sz="12" w:space="0" w:color="1F1F1F"/>
              <w:bottom w:val="single" w:sz="12" w:space="0" w:color="1F1F1F"/>
              <w:right w:val="single" w:sz="12" w:space="0" w:color="1F1F1F"/>
            </w:tcBorders>
            <w:shd w:val="clear" w:color="auto" w:fill="F2F2F2"/>
            <w:tcMar>
              <w:top w:w="90" w:type="dxa"/>
              <w:left w:w="130" w:type="dxa"/>
              <w:bottom w:w="90" w:type="dxa"/>
              <w:right w:w="130" w:type="dxa"/>
            </w:tcMar>
            <w:vAlign w:val="center"/>
          </w:tcPr>
          <w:p w14:paraId="2DA6337A" w14:textId="10EC0AE8" w:rsidR="00773F15" w:rsidRPr="005056F6" w:rsidRDefault="00773F15" w:rsidP="00462CB9">
            <w:pPr>
              <w:spacing w:after="0"/>
              <w:jc w:val="center"/>
              <w:rPr>
                <w:rFonts w:cs="Arial"/>
                <w:sz w:val="20"/>
                <w:szCs w:val="20"/>
              </w:rPr>
            </w:pPr>
            <w:r w:rsidRPr="005056F6">
              <w:rPr>
                <w:rFonts w:cs="Arial"/>
                <w:sz w:val="20"/>
                <w:szCs w:val="20"/>
              </w:rPr>
              <w:t>Included Articles (n = 15)</w:t>
            </w:r>
            <w:r w:rsidRPr="005056F6">
              <w:rPr>
                <w:rFonts w:cs="Arial"/>
                <w:sz w:val="20"/>
                <w:szCs w:val="20"/>
              </w:rPr>
              <w:br/>
              <w:t>Cohort studies (n = 10)</w:t>
            </w:r>
            <w:r w:rsidRPr="005056F6">
              <w:rPr>
                <w:rFonts w:cs="Arial"/>
                <w:sz w:val="20"/>
                <w:szCs w:val="20"/>
              </w:rPr>
              <w:br/>
              <w:t>Cross-sectional studies (n = 1)</w:t>
            </w:r>
            <w:r w:rsidRPr="005056F6">
              <w:rPr>
                <w:rFonts w:cs="Arial"/>
                <w:sz w:val="20"/>
                <w:szCs w:val="20"/>
              </w:rPr>
              <w:br/>
            </w:r>
            <w:proofErr w:type="spellStart"/>
            <w:r w:rsidRPr="005056F6">
              <w:rPr>
                <w:rFonts w:cs="Arial"/>
                <w:sz w:val="20"/>
                <w:szCs w:val="20"/>
              </w:rPr>
              <w:t>Randomised</w:t>
            </w:r>
            <w:proofErr w:type="spellEnd"/>
            <w:r w:rsidRPr="005056F6">
              <w:rPr>
                <w:rFonts w:cs="Arial"/>
                <w:sz w:val="20"/>
                <w:szCs w:val="20"/>
              </w:rPr>
              <w:t xml:space="preserve"> controlled trial (n = 1)</w:t>
            </w:r>
            <w:r w:rsidRPr="005056F6">
              <w:rPr>
                <w:rFonts w:cs="Arial"/>
                <w:sz w:val="20"/>
                <w:szCs w:val="20"/>
              </w:rPr>
              <w:br/>
              <w:t>Qualitative study (n = 1)</w:t>
            </w:r>
            <w:r w:rsidRPr="005056F6">
              <w:rPr>
                <w:rFonts w:cs="Arial"/>
                <w:sz w:val="20"/>
                <w:szCs w:val="20"/>
              </w:rPr>
              <w:br/>
              <w:t>Service/quality-improvement evaluations (n = 2)</w:t>
            </w:r>
          </w:p>
        </w:tc>
        <w:tc>
          <w:tcPr>
            <w:tcW w:w="630" w:type="dxa"/>
            <w:tcBorders>
              <w:top w:val="nil"/>
              <w:left w:val="nil"/>
              <w:bottom w:val="nil"/>
              <w:right w:val="nil"/>
            </w:tcBorders>
            <w:tcMar>
              <w:top w:w="0" w:type="dxa"/>
              <w:left w:w="0" w:type="dxa"/>
              <w:bottom w:w="0" w:type="dxa"/>
              <w:right w:w="0" w:type="dxa"/>
            </w:tcMar>
            <w:vAlign w:val="center"/>
          </w:tcPr>
          <w:p w14:paraId="5C119BAC" w14:textId="77777777" w:rsidR="00773F15" w:rsidRPr="005056F6" w:rsidRDefault="00773F15" w:rsidP="00462CB9">
            <w:pPr>
              <w:rPr>
                <w:rFonts w:cs="Arial"/>
                <w:sz w:val="20"/>
                <w:szCs w:val="20"/>
              </w:rPr>
            </w:pPr>
          </w:p>
        </w:tc>
        <w:tc>
          <w:tcPr>
            <w:tcW w:w="3690" w:type="dxa"/>
            <w:tcBorders>
              <w:top w:val="nil"/>
              <w:left w:val="nil"/>
              <w:bottom w:val="nil"/>
              <w:right w:val="nil"/>
            </w:tcBorders>
            <w:tcMar>
              <w:top w:w="0" w:type="dxa"/>
              <w:left w:w="0" w:type="dxa"/>
              <w:bottom w:w="0" w:type="dxa"/>
              <w:right w:w="0" w:type="dxa"/>
            </w:tcMar>
            <w:vAlign w:val="center"/>
          </w:tcPr>
          <w:p w14:paraId="2A8DF2D9" w14:textId="77777777" w:rsidR="00773F15" w:rsidRPr="005056F6" w:rsidRDefault="00773F15" w:rsidP="00462CB9">
            <w:pPr>
              <w:rPr>
                <w:rFonts w:cs="Arial"/>
                <w:sz w:val="20"/>
                <w:szCs w:val="20"/>
              </w:rPr>
            </w:pPr>
          </w:p>
        </w:tc>
      </w:tr>
    </w:tbl>
    <w:p w14:paraId="06A94572" w14:textId="77777777" w:rsidR="00934448" w:rsidRPr="00C07BB7" w:rsidRDefault="00934448" w:rsidP="00462CB9">
      <w:pPr>
        <w:rPr>
          <w:rFonts w:cs="Arial"/>
        </w:rPr>
      </w:pPr>
    </w:p>
    <w:p w14:paraId="4E5779C0" w14:textId="77777777" w:rsidR="00773F15" w:rsidRPr="00C07BB7" w:rsidRDefault="00773F15" w:rsidP="00462CB9">
      <w:pPr>
        <w:rPr>
          <w:rFonts w:cs="Arial"/>
        </w:rPr>
      </w:pPr>
    </w:p>
    <w:p w14:paraId="0CE6A0E1" w14:textId="77777777" w:rsidR="00773F15" w:rsidRPr="00934448" w:rsidRDefault="00773F15" w:rsidP="00462CB9">
      <w:pPr>
        <w:pStyle w:val="Heading2"/>
        <w:rPr>
          <w:rFonts w:cs="Arial"/>
          <w:sz w:val="28"/>
          <w:szCs w:val="28"/>
        </w:rPr>
      </w:pPr>
      <w:bookmarkStart w:id="120" w:name="_Toc239757495"/>
      <w:bookmarkStart w:id="121" w:name="_Toc240666926"/>
      <w:bookmarkStart w:id="122" w:name="_Toc241011077"/>
      <w:r w:rsidRPr="00934448">
        <w:rPr>
          <w:rFonts w:cs="Arial"/>
          <w:sz w:val="28"/>
          <w:szCs w:val="28"/>
        </w:rPr>
        <w:t>4.3 Quality Appraisal of Included Studies</w:t>
      </w:r>
      <w:bookmarkEnd w:id="120"/>
      <w:bookmarkEnd w:id="121"/>
      <w:bookmarkEnd w:id="122"/>
    </w:p>
    <w:p w14:paraId="06B6A152" w14:textId="6CE6FF6D" w:rsidR="00773F15" w:rsidRDefault="00773F15" w:rsidP="00462CB9">
      <w:pPr>
        <w:rPr>
          <w:rFonts w:cs="Arial"/>
        </w:rPr>
      </w:pPr>
      <w:r w:rsidRPr="00C07BB7">
        <w:rPr>
          <w:rFonts w:cs="Arial"/>
        </w:rPr>
        <w:t>Evidence is not uniformly ranked; instead, there is a heterogeneous evidence base as suggested by critical appraisal. The best evidential basis for assessing the effectiveness of interventions is Greenwood et al. (2024</w:t>
      </w:r>
      <w:r w:rsidR="00CC24AA" w:rsidRPr="00C07BB7">
        <w:rPr>
          <w:rFonts w:cs="Arial"/>
        </w:rPr>
        <w:t>b</w:t>
      </w:r>
      <w:r w:rsidRPr="00C07BB7">
        <w:rPr>
          <w:rFonts w:cs="Arial"/>
        </w:rPr>
        <w:t>), which was conducted with multi-</w:t>
      </w:r>
      <w:proofErr w:type="spellStart"/>
      <w:r w:rsidRPr="00C07BB7">
        <w:rPr>
          <w:rFonts w:cs="Arial"/>
        </w:rPr>
        <w:t>centre</w:t>
      </w:r>
      <w:proofErr w:type="spellEnd"/>
      <w:r w:rsidRPr="00C07BB7">
        <w:rPr>
          <w:rFonts w:cs="Arial"/>
        </w:rPr>
        <w:t xml:space="preserve"> recruitment and </w:t>
      </w:r>
      <w:proofErr w:type="spellStart"/>
      <w:r w:rsidRPr="00C07BB7">
        <w:rPr>
          <w:rFonts w:cs="Arial"/>
        </w:rPr>
        <w:t>randomisation</w:t>
      </w:r>
      <w:proofErr w:type="spellEnd"/>
      <w:r w:rsidRPr="00C07BB7">
        <w:rPr>
          <w:rFonts w:cs="Arial"/>
        </w:rPr>
        <w:t xml:space="preserve">, which </w:t>
      </w:r>
      <w:proofErr w:type="spellStart"/>
      <w:r w:rsidRPr="00C07BB7">
        <w:rPr>
          <w:rFonts w:cs="Arial"/>
        </w:rPr>
        <w:t>minimises</w:t>
      </w:r>
      <w:proofErr w:type="spellEnd"/>
      <w:r w:rsidRPr="00C07BB7">
        <w:rPr>
          <w:rFonts w:cs="Arial"/>
        </w:rPr>
        <w:t xml:space="preserve"> several sources of bias. The potential cohorts are more appropriate for establishing associations over time. Large populations in the UK (Heo et al. 2023; Lan et al 2023; Li et al 2025; Maroto-Rodriguez et al. 2025; Tang et al 2024</w:t>
      </w:r>
      <w:r w:rsidR="001C790E" w:rsidRPr="00C07BB7">
        <w:rPr>
          <w:rFonts w:cs="Arial"/>
        </w:rPr>
        <w:t>b</w:t>
      </w:r>
      <w:r w:rsidRPr="00C07BB7">
        <w:rPr>
          <w:rFonts w:cs="Arial"/>
        </w:rPr>
        <w:t xml:space="preserve">; Wang et al 2022; Zhang et al 2023) are strengths, but are limited by residual confounding, self-reported exposures and selection within the UK Biobank. Routine-care and service studies are for different questions. These papers by Stewart et al. (2026), Forbes et al. (2024), </w:t>
      </w:r>
      <w:proofErr w:type="spellStart"/>
      <w:r w:rsidRPr="00C07BB7">
        <w:rPr>
          <w:rFonts w:cs="Arial"/>
        </w:rPr>
        <w:t>Neuen</w:t>
      </w:r>
      <w:proofErr w:type="spellEnd"/>
      <w:r w:rsidRPr="00C07BB7">
        <w:rPr>
          <w:rFonts w:cs="Arial"/>
        </w:rPr>
        <w:t xml:space="preserve"> et al. (2021), and Sullivan et al. (2023) have important clinical implications, as they focus on risk, monitoring, or eligibility for referral or treatment in the real world. Major et al. (2025) and Rizvi et al. (2024) shed light on implementation, and Lightfoot et al. (2025) bring qualitative insights about self-management. In order to weight claims rather than exclude contextual evidence, quality was used.</w:t>
      </w:r>
    </w:p>
    <w:p w14:paraId="15A56A7D" w14:textId="77777777" w:rsidR="00B61699" w:rsidRPr="00C07BB7" w:rsidRDefault="00B61699" w:rsidP="00462CB9">
      <w:pPr>
        <w:rPr>
          <w:rFonts w:cs="Arial"/>
        </w:rPr>
      </w:pPr>
    </w:p>
    <w:p w14:paraId="2D23A88B" w14:textId="5A3402D9" w:rsidR="00ED5ADF" w:rsidRDefault="00ED5ADF">
      <w:pPr>
        <w:spacing w:after="200" w:line="276" w:lineRule="auto"/>
        <w:jc w:val="left"/>
        <w:rPr>
          <w:rFonts w:cs="Arial"/>
        </w:rPr>
      </w:pPr>
      <w:r>
        <w:rPr>
          <w:rFonts w:cs="Arial"/>
        </w:rPr>
        <w:br w:type="page"/>
      </w:r>
    </w:p>
    <w:p w14:paraId="185E32F9" w14:textId="77777777" w:rsidR="00B61699" w:rsidRDefault="00B61699" w:rsidP="00462CB9">
      <w:pPr>
        <w:rPr>
          <w:rFonts w:cs="Arial"/>
        </w:rPr>
        <w:sectPr w:rsidR="00B61699" w:rsidSect="00FF5396">
          <w:footerReference w:type="default" r:id="rId15"/>
          <w:type w:val="continuous"/>
          <w:pgSz w:w="11906" w:h="16838" w:code="9"/>
          <w:pgMar w:top="1440" w:right="1800" w:bottom="1440" w:left="1800" w:header="720" w:footer="720" w:gutter="0"/>
          <w:pgNumType w:start="1"/>
          <w:cols w:space="720"/>
          <w:titlePg/>
          <w:docGrid w:linePitch="360"/>
        </w:sectPr>
      </w:pPr>
    </w:p>
    <w:p w14:paraId="33C6577E" w14:textId="1820F0FB" w:rsidR="00773F15" w:rsidRPr="006768BE" w:rsidRDefault="00773F15" w:rsidP="00462CB9">
      <w:pPr>
        <w:rPr>
          <w:rFonts w:cs="Arial"/>
          <w:sz w:val="24"/>
          <w:szCs w:val="24"/>
        </w:rPr>
      </w:pPr>
      <w:r w:rsidRPr="00455358">
        <w:rPr>
          <w:rFonts w:cs="Arial"/>
          <w:b/>
          <w:bCs/>
          <w:sz w:val="24"/>
          <w:szCs w:val="24"/>
        </w:rPr>
        <w:t>Table 4.1.</w:t>
      </w:r>
      <w:r w:rsidRPr="006768BE">
        <w:rPr>
          <w:rFonts w:cs="Arial"/>
          <w:sz w:val="24"/>
          <w:szCs w:val="24"/>
        </w:rPr>
        <w:t xml:space="preserve"> CASP-informed quality appraisal summary of the 15 included studies</w:t>
      </w:r>
    </w:p>
    <w:tbl>
      <w:tblPr>
        <w:tblStyle w:val="TableGrid"/>
        <w:tblW w:w="0" w:type="auto"/>
        <w:tblLook w:val="04A0" w:firstRow="1" w:lastRow="0" w:firstColumn="1" w:lastColumn="0" w:noHBand="0" w:noVBand="1"/>
      </w:tblPr>
      <w:tblGrid>
        <w:gridCol w:w="540"/>
        <w:gridCol w:w="1400"/>
        <w:gridCol w:w="1720"/>
        <w:gridCol w:w="1774"/>
        <w:gridCol w:w="2499"/>
        <w:gridCol w:w="2816"/>
        <w:gridCol w:w="2705"/>
      </w:tblGrid>
      <w:tr w:rsidR="00773F15" w:rsidRPr="00C07BB7" w14:paraId="550F0BE5" w14:textId="77777777" w:rsidTr="00334B0F">
        <w:tc>
          <w:tcPr>
            <w:tcW w:w="0" w:type="auto"/>
            <w:hideMark/>
          </w:tcPr>
          <w:p w14:paraId="5B174574" w14:textId="77777777" w:rsidR="00773F15" w:rsidRPr="00C07BB7" w:rsidRDefault="00773F15" w:rsidP="00462CB9">
            <w:pPr>
              <w:rPr>
                <w:rFonts w:cs="Arial"/>
                <w:b/>
                <w:bCs/>
                <w:sz w:val="20"/>
                <w:szCs w:val="20"/>
              </w:rPr>
            </w:pPr>
            <w:r w:rsidRPr="00C07BB7">
              <w:rPr>
                <w:rFonts w:cs="Arial"/>
                <w:b/>
                <w:bCs/>
                <w:sz w:val="20"/>
                <w:szCs w:val="20"/>
              </w:rPr>
              <w:t>No.</w:t>
            </w:r>
          </w:p>
        </w:tc>
        <w:tc>
          <w:tcPr>
            <w:tcW w:w="0" w:type="auto"/>
            <w:hideMark/>
          </w:tcPr>
          <w:p w14:paraId="26D05453" w14:textId="77777777" w:rsidR="00773F15" w:rsidRPr="00C07BB7" w:rsidRDefault="00773F15" w:rsidP="00462CB9">
            <w:pPr>
              <w:rPr>
                <w:rFonts w:cs="Arial"/>
                <w:b/>
                <w:bCs/>
                <w:sz w:val="20"/>
                <w:szCs w:val="20"/>
              </w:rPr>
            </w:pPr>
            <w:r w:rsidRPr="00C07BB7">
              <w:rPr>
                <w:rFonts w:cs="Arial"/>
                <w:b/>
                <w:bCs/>
                <w:sz w:val="20"/>
                <w:szCs w:val="20"/>
              </w:rPr>
              <w:t>Study</w:t>
            </w:r>
          </w:p>
        </w:tc>
        <w:tc>
          <w:tcPr>
            <w:tcW w:w="0" w:type="auto"/>
            <w:hideMark/>
          </w:tcPr>
          <w:p w14:paraId="213FBE2F" w14:textId="77777777" w:rsidR="00773F15" w:rsidRPr="00C07BB7" w:rsidRDefault="00773F15" w:rsidP="00462CB9">
            <w:pPr>
              <w:rPr>
                <w:rFonts w:cs="Arial"/>
                <w:b/>
                <w:bCs/>
                <w:sz w:val="20"/>
                <w:szCs w:val="20"/>
              </w:rPr>
            </w:pPr>
            <w:r w:rsidRPr="00C07BB7">
              <w:rPr>
                <w:rFonts w:cs="Arial"/>
                <w:b/>
                <w:bCs/>
                <w:sz w:val="20"/>
                <w:szCs w:val="20"/>
              </w:rPr>
              <w:t>UK setting</w:t>
            </w:r>
          </w:p>
        </w:tc>
        <w:tc>
          <w:tcPr>
            <w:tcW w:w="0" w:type="auto"/>
            <w:hideMark/>
          </w:tcPr>
          <w:p w14:paraId="256FD63C" w14:textId="77777777" w:rsidR="00773F15" w:rsidRPr="00C07BB7" w:rsidRDefault="00773F15" w:rsidP="00462CB9">
            <w:pPr>
              <w:rPr>
                <w:rFonts w:cs="Arial"/>
                <w:b/>
                <w:bCs/>
                <w:sz w:val="20"/>
                <w:szCs w:val="20"/>
              </w:rPr>
            </w:pPr>
            <w:r w:rsidRPr="00C07BB7">
              <w:rPr>
                <w:rFonts w:cs="Arial"/>
                <w:b/>
                <w:bCs/>
                <w:sz w:val="20"/>
                <w:szCs w:val="20"/>
              </w:rPr>
              <w:t>Design</w:t>
            </w:r>
          </w:p>
        </w:tc>
        <w:tc>
          <w:tcPr>
            <w:tcW w:w="0" w:type="auto"/>
            <w:hideMark/>
          </w:tcPr>
          <w:p w14:paraId="4E7A885F" w14:textId="77777777" w:rsidR="00773F15" w:rsidRPr="00C07BB7" w:rsidRDefault="00773F15" w:rsidP="00462CB9">
            <w:pPr>
              <w:rPr>
                <w:rFonts w:cs="Arial"/>
                <w:b/>
                <w:bCs/>
                <w:sz w:val="20"/>
                <w:szCs w:val="20"/>
              </w:rPr>
            </w:pPr>
            <w:r w:rsidRPr="00C07BB7">
              <w:rPr>
                <w:rFonts w:cs="Arial"/>
                <w:b/>
                <w:bCs/>
                <w:sz w:val="20"/>
                <w:szCs w:val="20"/>
              </w:rPr>
              <w:t>Sample and selection method</w:t>
            </w:r>
          </w:p>
        </w:tc>
        <w:tc>
          <w:tcPr>
            <w:tcW w:w="0" w:type="auto"/>
            <w:hideMark/>
          </w:tcPr>
          <w:p w14:paraId="4DCE96C7" w14:textId="77777777" w:rsidR="00773F15" w:rsidRPr="00C07BB7" w:rsidRDefault="00773F15" w:rsidP="00462CB9">
            <w:pPr>
              <w:rPr>
                <w:rFonts w:cs="Arial"/>
                <w:b/>
                <w:bCs/>
                <w:sz w:val="20"/>
                <w:szCs w:val="20"/>
              </w:rPr>
            </w:pPr>
            <w:r w:rsidRPr="00C07BB7">
              <w:rPr>
                <w:rFonts w:cs="Arial"/>
                <w:b/>
                <w:bCs/>
                <w:sz w:val="20"/>
                <w:szCs w:val="20"/>
              </w:rPr>
              <w:t>Result of Findings</w:t>
            </w:r>
          </w:p>
        </w:tc>
        <w:tc>
          <w:tcPr>
            <w:tcW w:w="0" w:type="auto"/>
            <w:hideMark/>
          </w:tcPr>
          <w:p w14:paraId="097B2A36" w14:textId="77777777" w:rsidR="00773F15" w:rsidRPr="00C07BB7" w:rsidRDefault="00773F15" w:rsidP="00462CB9">
            <w:pPr>
              <w:rPr>
                <w:rFonts w:cs="Arial"/>
                <w:b/>
                <w:bCs/>
                <w:sz w:val="20"/>
                <w:szCs w:val="20"/>
              </w:rPr>
            </w:pPr>
            <w:r w:rsidRPr="00C07BB7">
              <w:rPr>
                <w:rFonts w:cs="Arial"/>
                <w:b/>
                <w:bCs/>
                <w:sz w:val="20"/>
                <w:szCs w:val="20"/>
              </w:rPr>
              <w:t>Aim and Contribution</w:t>
            </w:r>
          </w:p>
        </w:tc>
      </w:tr>
      <w:tr w:rsidR="00773F15" w:rsidRPr="00C07BB7" w14:paraId="12643409" w14:textId="77777777" w:rsidTr="00334B0F">
        <w:tc>
          <w:tcPr>
            <w:tcW w:w="0" w:type="auto"/>
            <w:hideMark/>
          </w:tcPr>
          <w:p w14:paraId="3D482576" w14:textId="77777777" w:rsidR="00773F15" w:rsidRPr="00C07BB7" w:rsidRDefault="00773F15" w:rsidP="00462CB9">
            <w:pPr>
              <w:rPr>
                <w:rFonts w:cs="Arial"/>
                <w:sz w:val="20"/>
                <w:szCs w:val="20"/>
              </w:rPr>
            </w:pPr>
            <w:r w:rsidRPr="00C07BB7">
              <w:rPr>
                <w:rFonts w:cs="Arial"/>
                <w:sz w:val="20"/>
                <w:szCs w:val="20"/>
              </w:rPr>
              <w:t>1</w:t>
            </w:r>
          </w:p>
        </w:tc>
        <w:tc>
          <w:tcPr>
            <w:tcW w:w="0" w:type="auto"/>
            <w:hideMark/>
          </w:tcPr>
          <w:p w14:paraId="13D1EE78" w14:textId="77777777" w:rsidR="00773F15" w:rsidRPr="00C07BB7" w:rsidRDefault="00773F15" w:rsidP="00462CB9">
            <w:pPr>
              <w:rPr>
                <w:rFonts w:cs="Arial"/>
                <w:sz w:val="20"/>
                <w:szCs w:val="20"/>
              </w:rPr>
            </w:pPr>
            <w:r w:rsidRPr="00C07BB7">
              <w:rPr>
                <w:rFonts w:cs="Arial"/>
                <w:sz w:val="20"/>
                <w:szCs w:val="20"/>
              </w:rPr>
              <w:t>Stewart et al. (2026)</w:t>
            </w:r>
          </w:p>
        </w:tc>
        <w:tc>
          <w:tcPr>
            <w:tcW w:w="0" w:type="auto"/>
            <w:hideMark/>
          </w:tcPr>
          <w:p w14:paraId="77B639D2" w14:textId="77777777" w:rsidR="00773F15" w:rsidRPr="00C07BB7" w:rsidRDefault="00773F15" w:rsidP="00462CB9">
            <w:pPr>
              <w:rPr>
                <w:rFonts w:cs="Arial"/>
                <w:sz w:val="20"/>
                <w:szCs w:val="20"/>
              </w:rPr>
            </w:pPr>
            <w:r w:rsidRPr="00C07BB7">
              <w:rPr>
                <w:rFonts w:cs="Arial"/>
                <w:sz w:val="20"/>
                <w:szCs w:val="20"/>
              </w:rPr>
              <w:t>Greater Manchester, England; primary care</w:t>
            </w:r>
          </w:p>
        </w:tc>
        <w:tc>
          <w:tcPr>
            <w:tcW w:w="0" w:type="auto"/>
            <w:hideMark/>
          </w:tcPr>
          <w:p w14:paraId="24D53164" w14:textId="77777777" w:rsidR="00773F15" w:rsidRPr="00C07BB7" w:rsidRDefault="00773F15" w:rsidP="00462CB9">
            <w:pPr>
              <w:rPr>
                <w:rFonts w:cs="Arial"/>
                <w:sz w:val="20"/>
                <w:szCs w:val="20"/>
              </w:rPr>
            </w:pPr>
            <w:r w:rsidRPr="00C07BB7">
              <w:rPr>
                <w:rFonts w:cs="Arial"/>
                <w:sz w:val="20"/>
                <w:szCs w:val="20"/>
              </w:rPr>
              <w:t>Retrospective cohort</w:t>
            </w:r>
          </w:p>
        </w:tc>
        <w:tc>
          <w:tcPr>
            <w:tcW w:w="0" w:type="auto"/>
            <w:hideMark/>
          </w:tcPr>
          <w:p w14:paraId="21D485CC" w14:textId="77777777" w:rsidR="00773F15" w:rsidRPr="00C07BB7" w:rsidRDefault="00773F15" w:rsidP="00462CB9">
            <w:pPr>
              <w:rPr>
                <w:rFonts w:cs="Arial"/>
                <w:sz w:val="20"/>
                <w:szCs w:val="20"/>
              </w:rPr>
            </w:pPr>
            <w:r w:rsidRPr="00C07BB7">
              <w:rPr>
                <w:rFonts w:cs="Arial"/>
                <w:sz w:val="20"/>
                <w:szCs w:val="20"/>
              </w:rPr>
              <w:t>Adults with stage 3–5 CKD identified from the Greater Manchester Care Record with sufficient eGFR/</w:t>
            </w:r>
            <w:proofErr w:type="spellStart"/>
            <w:r w:rsidRPr="00C07BB7">
              <w:rPr>
                <w:rFonts w:cs="Arial"/>
                <w:sz w:val="20"/>
                <w:szCs w:val="20"/>
              </w:rPr>
              <w:t>uACR</w:t>
            </w:r>
            <w:proofErr w:type="spellEnd"/>
            <w:r w:rsidRPr="00C07BB7">
              <w:rPr>
                <w:rFonts w:cs="Arial"/>
                <w:sz w:val="20"/>
                <w:szCs w:val="20"/>
              </w:rPr>
              <w:t xml:space="preserve"> data for KFRE calculation.</w:t>
            </w:r>
          </w:p>
        </w:tc>
        <w:tc>
          <w:tcPr>
            <w:tcW w:w="0" w:type="auto"/>
            <w:hideMark/>
          </w:tcPr>
          <w:p w14:paraId="711DACFC" w14:textId="77777777" w:rsidR="00773F15" w:rsidRPr="00C07BB7" w:rsidRDefault="00773F15" w:rsidP="00462CB9">
            <w:pPr>
              <w:rPr>
                <w:rFonts w:cs="Arial"/>
                <w:sz w:val="20"/>
                <w:szCs w:val="20"/>
              </w:rPr>
            </w:pPr>
            <w:r w:rsidRPr="00C07BB7">
              <w:rPr>
                <w:rFonts w:cs="Arial"/>
                <w:sz w:val="20"/>
                <w:szCs w:val="20"/>
              </w:rPr>
              <w:t>Higher KFRE risk categories identified patients more likely to progress towards kidney failure and potentially require specialist referral.</w:t>
            </w:r>
          </w:p>
        </w:tc>
        <w:tc>
          <w:tcPr>
            <w:tcW w:w="0" w:type="auto"/>
            <w:hideMark/>
          </w:tcPr>
          <w:p w14:paraId="1A824380"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examine KFRE performance in primary care. </w:t>
            </w:r>
            <w:r w:rsidRPr="00C07BB7">
              <w:rPr>
                <w:rFonts w:cs="Arial"/>
                <w:b/>
                <w:bCs/>
                <w:sz w:val="20"/>
                <w:szCs w:val="20"/>
              </w:rPr>
              <w:t>Contribution:</w:t>
            </w:r>
            <w:r w:rsidRPr="00C07BB7">
              <w:rPr>
                <w:rFonts w:cs="Arial"/>
                <w:sz w:val="20"/>
                <w:szCs w:val="20"/>
              </w:rPr>
              <w:t xml:space="preserve"> Shows KFRE can improve identification and </w:t>
            </w:r>
            <w:proofErr w:type="spellStart"/>
            <w:r w:rsidRPr="00C07BB7">
              <w:rPr>
                <w:rFonts w:cs="Arial"/>
                <w:sz w:val="20"/>
                <w:szCs w:val="20"/>
              </w:rPr>
              <w:t>prioritisation</w:t>
            </w:r>
            <w:proofErr w:type="spellEnd"/>
            <w:r w:rsidRPr="00C07BB7">
              <w:rPr>
                <w:rFonts w:cs="Arial"/>
                <w:sz w:val="20"/>
                <w:szCs w:val="20"/>
              </w:rPr>
              <w:t xml:space="preserve"> of higher-risk CKD patients.</w:t>
            </w:r>
          </w:p>
        </w:tc>
      </w:tr>
      <w:tr w:rsidR="00773F15" w:rsidRPr="00C07BB7" w14:paraId="5C1C4B25" w14:textId="77777777" w:rsidTr="00334B0F">
        <w:tc>
          <w:tcPr>
            <w:tcW w:w="0" w:type="auto"/>
            <w:hideMark/>
          </w:tcPr>
          <w:p w14:paraId="292CE908" w14:textId="77777777" w:rsidR="00773F15" w:rsidRPr="00C07BB7" w:rsidRDefault="00773F15" w:rsidP="00462CB9">
            <w:pPr>
              <w:rPr>
                <w:rFonts w:cs="Arial"/>
                <w:sz w:val="20"/>
                <w:szCs w:val="20"/>
              </w:rPr>
            </w:pPr>
            <w:r w:rsidRPr="00C07BB7">
              <w:rPr>
                <w:rFonts w:cs="Arial"/>
                <w:sz w:val="20"/>
                <w:szCs w:val="20"/>
              </w:rPr>
              <w:t>2</w:t>
            </w:r>
          </w:p>
        </w:tc>
        <w:tc>
          <w:tcPr>
            <w:tcW w:w="0" w:type="auto"/>
            <w:hideMark/>
          </w:tcPr>
          <w:p w14:paraId="3AF48E61" w14:textId="77777777" w:rsidR="00773F15" w:rsidRPr="00C07BB7" w:rsidRDefault="00773F15" w:rsidP="00462CB9">
            <w:pPr>
              <w:rPr>
                <w:rFonts w:cs="Arial"/>
                <w:sz w:val="20"/>
                <w:szCs w:val="20"/>
              </w:rPr>
            </w:pPr>
            <w:r w:rsidRPr="00C07BB7">
              <w:rPr>
                <w:rFonts w:cs="Arial"/>
                <w:sz w:val="20"/>
                <w:szCs w:val="20"/>
              </w:rPr>
              <w:t>Forbes et al. (2024)</w:t>
            </w:r>
          </w:p>
        </w:tc>
        <w:tc>
          <w:tcPr>
            <w:tcW w:w="0" w:type="auto"/>
            <w:hideMark/>
          </w:tcPr>
          <w:p w14:paraId="5306FB19" w14:textId="77777777" w:rsidR="00773F15" w:rsidRPr="00C07BB7" w:rsidRDefault="00773F15" w:rsidP="00462CB9">
            <w:pPr>
              <w:rPr>
                <w:rFonts w:cs="Arial"/>
                <w:sz w:val="20"/>
                <w:szCs w:val="20"/>
              </w:rPr>
            </w:pPr>
            <w:r w:rsidRPr="00C07BB7">
              <w:rPr>
                <w:rFonts w:cs="Arial"/>
                <w:sz w:val="20"/>
                <w:szCs w:val="20"/>
              </w:rPr>
              <w:t>England; primary care</w:t>
            </w:r>
          </w:p>
        </w:tc>
        <w:tc>
          <w:tcPr>
            <w:tcW w:w="0" w:type="auto"/>
            <w:hideMark/>
          </w:tcPr>
          <w:p w14:paraId="4DDBE272" w14:textId="77777777" w:rsidR="00773F15" w:rsidRPr="00C07BB7" w:rsidRDefault="00773F15" w:rsidP="00462CB9">
            <w:pPr>
              <w:rPr>
                <w:rFonts w:cs="Arial"/>
                <w:sz w:val="20"/>
                <w:szCs w:val="20"/>
              </w:rPr>
            </w:pPr>
            <w:r w:rsidRPr="00C07BB7">
              <w:rPr>
                <w:rFonts w:cs="Arial"/>
                <w:sz w:val="20"/>
                <w:szCs w:val="20"/>
              </w:rPr>
              <w:t>Cross-sectional EHR study</w:t>
            </w:r>
          </w:p>
        </w:tc>
        <w:tc>
          <w:tcPr>
            <w:tcW w:w="0" w:type="auto"/>
            <w:hideMark/>
          </w:tcPr>
          <w:p w14:paraId="078B0CA1" w14:textId="77777777" w:rsidR="00773F15" w:rsidRPr="00C07BB7" w:rsidRDefault="00773F15" w:rsidP="00462CB9">
            <w:pPr>
              <w:rPr>
                <w:rFonts w:cs="Arial"/>
                <w:sz w:val="20"/>
                <w:szCs w:val="20"/>
              </w:rPr>
            </w:pPr>
            <w:r w:rsidRPr="00C07BB7">
              <w:rPr>
                <w:rFonts w:cs="Arial"/>
                <w:sz w:val="20"/>
                <w:szCs w:val="20"/>
              </w:rPr>
              <w:t>Adults with CKD identified through coded diagnoses, repeated eGFR and/or proteinuria across 738 primary-care practices.</w:t>
            </w:r>
          </w:p>
        </w:tc>
        <w:tc>
          <w:tcPr>
            <w:tcW w:w="0" w:type="auto"/>
            <w:hideMark/>
          </w:tcPr>
          <w:p w14:paraId="7C702E76" w14:textId="77777777" w:rsidR="00773F15" w:rsidRPr="00C07BB7" w:rsidRDefault="00773F15" w:rsidP="00462CB9">
            <w:pPr>
              <w:rPr>
                <w:rFonts w:cs="Arial"/>
                <w:sz w:val="20"/>
                <w:szCs w:val="20"/>
              </w:rPr>
            </w:pPr>
            <w:r w:rsidRPr="00C07BB7">
              <w:rPr>
                <w:rFonts w:cs="Arial"/>
                <w:sz w:val="20"/>
                <w:szCs w:val="20"/>
              </w:rPr>
              <w:t>A substantial gap was identified between patients eligible for SGLT2 inhibitors under guidelines and those receiving treatment in routine practice.</w:t>
            </w:r>
          </w:p>
        </w:tc>
        <w:tc>
          <w:tcPr>
            <w:tcW w:w="0" w:type="auto"/>
            <w:hideMark/>
          </w:tcPr>
          <w:p w14:paraId="76B36AFC"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assess implementation of SGLT2 guidance. </w:t>
            </w:r>
            <w:r w:rsidRPr="00C07BB7">
              <w:rPr>
                <w:rFonts w:cs="Arial"/>
                <w:b/>
                <w:bCs/>
                <w:sz w:val="20"/>
                <w:szCs w:val="20"/>
              </w:rPr>
              <w:t>Contribution:</w:t>
            </w:r>
            <w:r w:rsidRPr="00C07BB7">
              <w:rPr>
                <w:rFonts w:cs="Arial"/>
                <w:sz w:val="20"/>
                <w:szCs w:val="20"/>
              </w:rPr>
              <w:t xml:space="preserve"> Shows an implementation gap between SGLT2 eligibility and routine prescribing.</w:t>
            </w:r>
          </w:p>
        </w:tc>
      </w:tr>
      <w:tr w:rsidR="00773F15" w:rsidRPr="00C07BB7" w14:paraId="5BA2B048" w14:textId="77777777" w:rsidTr="00334B0F">
        <w:tc>
          <w:tcPr>
            <w:tcW w:w="0" w:type="auto"/>
            <w:hideMark/>
          </w:tcPr>
          <w:p w14:paraId="447B9F2F" w14:textId="77777777" w:rsidR="00773F15" w:rsidRPr="00C07BB7" w:rsidRDefault="00773F15" w:rsidP="00462CB9">
            <w:pPr>
              <w:rPr>
                <w:rFonts w:cs="Arial"/>
                <w:sz w:val="20"/>
                <w:szCs w:val="20"/>
              </w:rPr>
            </w:pPr>
            <w:r w:rsidRPr="00C07BB7">
              <w:rPr>
                <w:rFonts w:cs="Arial"/>
                <w:sz w:val="20"/>
                <w:szCs w:val="20"/>
              </w:rPr>
              <w:t>3</w:t>
            </w:r>
          </w:p>
        </w:tc>
        <w:tc>
          <w:tcPr>
            <w:tcW w:w="0" w:type="auto"/>
            <w:hideMark/>
          </w:tcPr>
          <w:p w14:paraId="5596B89F" w14:textId="77777777" w:rsidR="00773F15" w:rsidRPr="00C07BB7" w:rsidRDefault="00773F15" w:rsidP="00462CB9">
            <w:pPr>
              <w:rPr>
                <w:rFonts w:cs="Arial"/>
                <w:sz w:val="20"/>
                <w:szCs w:val="20"/>
              </w:rPr>
            </w:pPr>
            <w:r w:rsidRPr="00C07BB7">
              <w:rPr>
                <w:rFonts w:cs="Arial"/>
                <w:sz w:val="20"/>
                <w:szCs w:val="20"/>
              </w:rPr>
              <w:t>Major et al. (2025)</w:t>
            </w:r>
          </w:p>
        </w:tc>
        <w:tc>
          <w:tcPr>
            <w:tcW w:w="0" w:type="auto"/>
            <w:hideMark/>
          </w:tcPr>
          <w:p w14:paraId="123590D8" w14:textId="77777777" w:rsidR="00773F15" w:rsidRPr="00C07BB7" w:rsidRDefault="00773F15" w:rsidP="00462CB9">
            <w:pPr>
              <w:rPr>
                <w:rFonts w:cs="Arial"/>
                <w:sz w:val="20"/>
                <w:szCs w:val="20"/>
              </w:rPr>
            </w:pPr>
            <w:r w:rsidRPr="00C07BB7">
              <w:rPr>
                <w:rFonts w:cs="Arial"/>
                <w:sz w:val="20"/>
                <w:szCs w:val="20"/>
              </w:rPr>
              <w:t>Leicester, Leicestershire and Rutland, England</w:t>
            </w:r>
          </w:p>
        </w:tc>
        <w:tc>
          <w:tcPr>
            <w:tcW w:w="0" w:type="auto"/>
            <w:hideMark/>
          </w:tcPr>
          <w:p w14:paraId="2C026338" w14:textId="77777777" w:rsidR="00773F15" w:rsidRPr="00C07BB7" w:rsidRDefault="00773F15" w:rsidP="00462CB9">
            <w:pPr>
              <w:rPr>
                <w:rFonts w:cs="Arial"/>
                <w:sz w:val="20"/>
                <w:szCs w:val="20"/>
              </w:rPr>
            </w:pPr>
            <w:r w:rsidRPr="00C07BB7">
              <w:rPr>
                <w:rFonts w:cs="Arial"/>
                <w:sz w:val="20"/>
                <w:szCs w:val="20"/>
              </w:rPr>
              <w:t>Integrated-care service evaluation</w:t>
            </w:r>
          </w:p>
        </w:tc>
        <w:tc>
          <w:tcPr>
            <w:tcW w:w="0" w:type="auto"/>
            <w:hideMark/>
          </w:tcPr>
          <w:p w14:paraId="72A53062" w14:textId="77777777" w:rsidR="00773F15" w:rsidRPr="00C07BB7" w:rsidRDefault="00773F15" w:rsidP="00462CB9">
            <w:pPr>
              <w:rPr>
                <w:rFonts w:cs="Arial"/>
                <w:sz w:val="20"/>
                <w:szCs w:val="20"/>
              </w:rPr>
            </w:pPr>
            <w:r w:rsidRPr="00C07BB7">
              <w:rPr>
                <w:rFonts w:cs="Arial"/>
                <w:sz w:val="20"/>
                <w:szCs w:val="20"/>
              </w:rPr>
              <w:t xml:space="preserve">Patients identified through electronic case finding, risk stratification and primary-care participation within the LUCID </w:t>
            </w:r>
            <w:proofErr w:type="spellStart"/>
            <w:r w:rsidRPr="00C07BB7">
              <w:rPr>
                <w:rFonts w:cs="Arial"/>
                <w:sz w:val="20"/>
                <w:szCs w:val="20"/>
              </w:rPr>
              <w:t>programme</w:t>
            </w:r>
            <w:proofErr w:type="spellEnd"/>
            <w:r w:rsidRPr="00C07BB7">
              <w:rPr>
                <w:rFonts w:cs="Arial"/>
                <w:sz w:val="20"/>
                <w:szCs w:val="20"/>
              </w:rPr>
              <w:t>.</w:t>
            </w:r>
          </w:p>
        </w:tc>
        <w:tc>
          <w:tcPr>
            <w:tcW w:w="0" w:type="auto"/>
            <w:hideMark/>
          </w:tcPr>
          <w:p w14:paraId="463E2606" w14:textId="77777777" w:rsidR="00773F15" w:rsidRPr="00C07BB7" w:rsidRDefault="00773F15" w:rsidP="00462CB9">
            <w:pPr>
              <w:rPr>
                <w:rFonts w:cs="Arial"/>
                <w:sz w:val="20"/>
                <w:szCs w:val="20"/>
              </w:rPr>
            </w:pPr>
            <w:r w:rsidRPr="00C07BB7">
              <w:rPr>
                <w:rFonts w:cs="Arial"/>
                <w:sz w:val="20"/>
                <w:szCs w:val="20"/>
              </w:rPr>
              <w:t xml:space="preserve">Integrated case finding, KFRE-supported triage and multidisciplinary review enabled structured medicines </w:t>
            </w:r>
            <w:proofErr w:type="spellStart"/>
            <w:r w:rsidRPr="00C07BB7">
              <w:rPr>
                <w:rFonts w:cs="Arial"/>
                <w:sz w:val="20"/>
                <w:szCs w:val="20"/>
              </w:rPr>
              <w:t>optimisation</w:t>
            </w:r>
            <w:proofErr w:type="spellEnd"/>
            <w:r w:rsidRPr="00C07BB7">
              <w:rPr>
                <w:rFonts w:cs="Arial"/>
                <w:sz w:val="20"/>
                <w:szCs w:val="20"/>
              </w:rPr>
              <w:t xml:space="preserve"> and referral across primary and secondary care.</w:t>
            </w:r>
          </w:p>
        </w:tc>
        <w:tc>
          <w:tcPr>
            <w:tcW w:w="0" w:type="auto"/>
            <w:hideMark/>
          </w:tcPr>
          <w:p w14:paraId="594588EC"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an integrated CKD pathway. </w:t>
            </w:r>
            <w:r w:rsidRPr="00C07BB7">
              <w:rPr>
                <w:rFonts w:cs="Arial"/>
                <w:b/>
                <w:bCs/>
                <w:sz w:val="20"/>
                <w:szCs w:val="20"/>
              </w:rPr>
              <w:t>Contribution:</w:t>
            </w:r>
            <w:r w:rsidRPr="00C07BB7">
              <w:rPr>
                <w:rFonts w:cs="Arial"/>
                <w:sz w:val="20"/>
                <w:szCs w:val="20"/>
              </w:rPr>
              <w:t xml:space="preserve"> Shows integrated care can improve referral, surveillance and medicines </w:t>
            </w:r>
            <w:proofErr w:type="spellStart"/>
            <w:r w:rsidRPr="00C07BB7">
              <w:rPr>
                <w:rFonts w:cs="Arial"/>
                <w:sz w:val="20"/>
                <w:szCs w:val="20"/>
              </w:rPr>
              <w:t>optimisation</w:t>
            </w:r>
            <w:proofErr w:type="spellEnd"/>
            <w:r w:rsidRPr="00C07BB7">
              <w:rPr>
                <w:rFonts w:cs="Arial"/>
                <w:sz w:val="20"/>
                <w:szCs w:val="20"/>
              </w:rPr>
              <w:t>.</w:t>
            </w:r>
          </w:p>
        </w:tc>
      </w:tr>
      <w:tr w:rsidR="00773F15" w:rsidRPr="00C07BB7" w14:paraId="4C9AB4F0" w14:textId="77777777" w:rsidTr="00334B0F">
        <w:tc>
          <w:tcPr>
            <w:tcW w:w="0" w:type="auto"/>
            <w:hideMark/>
          </w:tcPr>
          <w:p w14:paraId="0B519F3D" w14:textId="77777777" w:rsidR="00773F15" w:rsidRPr="00C07BB7" w:rsidRDefault="00773F15" w:rsidP="00462CB9">
            <w:pPr>
              <w:rPr>
                <w:rFonts w:cs="Arial"/>
                <w:sz w:val="20"/>
                <w:szCs w:val="20"/>
              </w:rPr>
            </w:pPr>
            <w:r w:rsidRPr="00C07BB7">
              <w:rPr>
                <w:rFonts w:cs="Arial"/>
                <w:sz w:val="20"/>
                <w:szCs w:val="20"/>
              </w:rPr>
              <w:t>4</w:t>
            </w:r>
          </w:p>
        </w:tc>
        <w:tc>
          <w:tcPr>
            <w:tcW w:w="0" w:type="auto"/>
            <w:hideMark/>
          </w:tcPr>
          <w:p w14:paraId="55569BE9" w14:textId="77777777" w:rsidR="00773F15" w:rsidRPr="00C07BB7" w:rsidRDefault="00773F15" w:rsidP="00462CB9">
            <w:pPr>
              <w:rPr>
                <w:rFonts w:cs="Arial"/>
                <w:sz w:val="20"/>
                <w:szCs w:val="20"/>
              </w:rPr>
            </w:pPr>
            <w:proofErr w:type="spellStart"/>
            <w:r w:rsidRPr="00C07BB7">
              <w:rPr>
                <w:rFonts w:cs="Arial"/>
                <w:sz w:val="20"/>
                <w:szCs w:val="20"/>
              </w:rPr>
              <w:t>Neuen</w:t>
            </w:r>
            <w:proofErr w:type="spellEnd"/>
            <w:r w:rsidRPr="00C07BB7">
              <w:rPr>
                <w:rFonts w:cs="Arial"/>
                <w:sz w:val="20"/>
                <w:szCs w:val="20"/>
              </w:rPr>
              <w:t xml:space="preserve"> et al. (2021)</w:t>
            </w:r>
          </w:p>
        </w:tc>
        <w:tc>
          <w:tcPr>
            <w:tcW w:w="0" w:type="auto"/>
            <w:hideMark/>
          </w:tcPr>
          <w:p w14:paraId="76A80EAF" w14:textId="77777777" w:rsidR="00773F15" w:rsidRPr="00C07BB7" w:rsidRDefault="00773F15" w:rsidP="00462CB9">
            <w:pPr>
              <w:rPr>
                <w:rFonts w:cs="Arial"/>
                <w:sz w:val="20"/>
                <w:szCs w:val="20"/>
              </w:rPr>
            </w:pPr>
            <w:r w:rsidRPr="00C07BB7">
              <w:rPr>
                <w:rFonts w:cs="Arial"/>
                <w:sz w:val="20"/>
                <w:szCs w:val="20"/>
              </w:rPr>
              <w:t>United Kingdom; CPRD primary care</w:t>
            </w:r>
          </w:p>
        </w:tc>
        <w:tc>
          <w:tcPr>
            <w:tcW w:w="0" w:type="auto"/>
            <w:hideMark/>
          </w:tcPr>
          <w:p w14:paraId="284855FF" w14:textId="77777777" w:rsidR="00773F15" w:rsidRPr="00C07BB7" w:rsidRDefault="00773F15" w:rsidP="00462CB9">
            <w:pPr>
              <w:rPr>
                <w:rFonts w:cs="Arial"/>
                <w:sz w:val="20"/>
                <w:szCs w:val="20"/>
              </w:rPr>
            </w:pPr>
            <w:r w:rsidRPr="00C07BB7">
              <w:rPr>
                <w:rFonts w:cs="Arial"/>
                <w:sz w:val="20"/>
                <w:szCs w:val="20"/>
              </w:rPr>
              <w:t>Observational cohort</w:t>
            </w:r>
          </w:p>
        </w:tc>
        <w:tc>
          <w:tcPr>
            <w:tcW w:w="0" w:type="auto"/>
            <w:hideMark/>
          </w:tcPr>
          <w:p w14:paraId="7A17EC61" w14:textId="77777777" w:rsidR="00773F15" w:rsidRPr="00C07BB7" w:rsidRDefault="00773F15" w:rsidP="00462CB9">
            <w:pPr>
              <w:rPr>
                <w:rFonts w:cs="Arial"/>
                <w:sz w:val="20"/>
                <w:szCs w:val="20"/>
              </w:rPr>
            </w:pPr>
            <w:r w:rsidRPr="00C07BB7">
              <w:rPr>
                <w:rFonts w:cs="Arial"/>
                <w:sz w:val="20"/>
                <w:szCs w:val="20"/>
              </w:rPr>
              <w:t>Primary-care patients with repeated eGFR and albuminuria measurements sufficient for longitudinal assessment.</w:t>
            </w:r>
          </w:p>
        </w:tc>
        <w:tc>
          <w:tcPr>
            <w:tcW w:w="0" w:type="auto"/>
            <w:hideMark/>
          </w:tcPr>
          <w:p w14:paraId="02D42FCA" w14:textId="77777777" w:rsidR="00773F15" w:rsidRPr="00C07BB7" w:rsidRDefault="00773F15" w:rsidP="00462CB9">
            <w:pPr>
              <w:rPr>
                <w:rFonts w:cs="Arial"/>
                <w:sz w:val="20"/>
                <w:szCs w:val="20"/>
              </w:rPr>
            </w:pPr>
            <w:r w:rsidRPr="00C07BB7">
              <w:rPr>
                <w:rFonts w:cs="Arial"/>
                <w:sz w:val="20"/>
                <w:szCs w:val="20"/>
              </w:rPr>
              <w:t>Combined changes in eGFR and albuminuria predicted CKD progression more effectively than considering either marker independently.</w:t>
            </w:r>
          </w:p>
        </w:tc>
        <w:tc>
          <w:tcPr>
            <w:tcW w:w="0" w:type="auto"/>
            <w:hideMark/>
          </w:tcPr>
          <w:p w14:paraId="213A1740"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kidney-function and albuminuria changes. </w:t>
            </w:r>
            <w:r w:rsidRPr="00C07BB7">
              <w:rPr>
                <w:rFonts w:cs="Arial"/>
                <w:b/>
                <w:bCs/>
                <w:sz w:val="20"/>
                <w:szCs w:val="20"/>
              </w:rPr>
              <w:t>Contribution:</w:t>
            </w:r>
            <w:r w:rsidRPr="00C07BB7">
              <w:rPr>
                <w:rFonts w:cs="Arial"/>
                <w:sz w:val="20"/>
                <w:szCs w:val="20"/>
              </w:rPr>
              <w:t xml:space="preserve"> Supports combined eGFR and </w:t>
            </w:r>
            <w:proofErr w:type="spellStart"/>
            <w:r w:rsidRPr="00C07BB7">
              <w:rPr>
                <w:rFonts w:cs="Arial"/>
                <w:sz w:val="20"/>
                <w:szCs w:val="20"/>
              </w:rPr>
              <w:t>uACR</w:t>
            </w:r>
            <w:proofErr w:type="spellEnd"/>
            <w:r w:rsidRPr="00C07BB7">
              <w:rPr>
                <w:rFonts w:cs="Arial"/>
                <w:sz w:val="20"/>
                <w:szCs w:val="20"/>
              </w:rPr>
              <w:t xml:space="preserve"> monitoring for better progression assessment.</w:t>
            </w:r>
          </w:p>
        </w:tc>
      </w:tr>
      <w:tr w:rsidR="00773F15" w:rsidRPr="00C07BB7" w14:paraId="104286C2" w14:textId="77777777" w:rsidTr="00334B0F">
        <w:tc>
          <w:tcPr>
            <w:tcW w:w="0" w:type="auto"/>
            <w:hideMark/>
          </w:tcPr>
          <w:p w14:paraId="661C3EFD" w14:textId="77777777" w:rsidR="00773F15" w:rsidRPr="00C07BB7" w:rsidRDefault="00773F15" w:rsidP="00462CB9">
            <w:pPr>
              <w:rPr>
                <w:rFonts w:cs="Arial"/>
                <w:sz w:val="20"/>
                <w:szCs w:val="20"/>
              </w:rPr>
            </w:pPr>
            <w:r w:rsidRPr="00C07BB7">
              <w:rPr>
                <w:rFonts w:cs="Arial"/>
                <w:sz w:val="20"/>
                <w:szCs w:val="20"/>
              </w:rPr>
              <w:t>5</w:t>
            </w:r>
          </w:p>
        </w:tc>
        <w:tc>
          <w:tcPr>
            <w:tcW w:w="0" w:type="auto"/>
            <w:hideMark/>
          </w:tcPr>
          <w:p w14:paraId="64A96E03" w14:textId="43469457" w:rsidR="00773F15" w:rsidRPr="00C07BB7" w:rsidRDefault="00773F15" w:rsidP="00462CB9">
            <w:pPr>
              <w:rPr>
                <w:rFonts w:cs="Arial"/>
                <w:sz w:val="20"/>
                <w:szCs w:val="20"/>
              </w:rPr>
            </w:pPr>
            <w:r w:rsidRPr="00C07BB7">
              <w:rPr>
                <w:rFonts w:cs="Arial"/>
                <w:sz w:val="20"/>
                <w:szCs w:val="20"/>
              </w:rPr>
              <w:t>Greenwood et al. (2024</w:t>
            </w:r>
            <w:r w:rsidR="00E849E9" w:rsidRPr="00C07BB7">
              <w:rPr>
                <w:rFonts w:cs="Arial"/>
                <w:sz w:val="20"/>
                <w:szCs w:val="20"/>
              </w:rPr>
              <w:t>b</w:t>
            </w:r>
            <w:r w:rsidRPr="00C07BB7">
              <w:rPr>
                <w:rFonts w:cs="Arial"/>
                <w:sz w:val="20"/>
                <w:szCs w:val="20"/>
              </w:rPr>
              <w:t>)</w:t>
            </w:r>
          </w:p>
        </w:tc>
        <w:tc>
          <w:tcPr>
            <w:tcW w:w="0" w:type="auto"/>
            <w:hideMark/>
          </w:tcPr>
          <w:p w14:paraId="52EE5DD4" w14:textId="77777777" w:rsidR="00773F15" w:rsidRPr="00C07BB7" w:rsidRDefault="00773F15" w:rsidP="00462CB9">
            <w:pPr>
              <w:rPr>
                <w:rFonts w:cs="Arial"/>
                <w:sz w:val="20"/>
                <w:szCs w:val="20"/>
              </w:rPr>
            </w:pPr>
            <w:r w:rsidRPr="00C07BB7">
              <w:rPr>
                <w:rFonts w:cs="Arial"/>
                <w:sz w:val="20"/>
                <w:szCs w:val="20"/>
              </w:rPr>
              <w:t xml:space="preserve">11 UK renal </w:t>
            </w:r>
            <w:proofErr w:type="spellStart"/>
            <w:r w:rsidRPr="00C07BB7">
              <w:rPr>
                <w:rFonts w:cs="Arial"/>
                <w:sz w:val="20"/>
                <w:szCs w:val="20"/>
              </w:rPr>
              <w:t>centres</w:t>
            </w:r>
            <w:proofErr w:type="spellEnd"/>
          </w:p>
        </w:tc>
        <w:tc>
          <w:tcPr>
            <w:tcW w:w="0" w:type="auto"/>
            <w:hideMark/>
          </w:tcPr>
          <w:p w14:paraId="1D9267B5" w14:textId="77777777" w:rsidR="00773F15" w:rsidRPr="00C07BB7" w:rsidRDefault="00773F15" w:rsidP="00462CB9">
            <w:pPr>
              <w:rPr>
                <w:rFonts w:cs="Arial"/>
                <w:sz w:val="20"/>
                <w:szCs w:val="20"/>
              </w:rPr>
            </w:pPr>
            <w:proofErr w:type="spellStart"/>
            <w:r w:rsidRPr="00C07BB7">
              <w:rPr>
                <w:rFonts w:cs="Arial"/>
                <w:sz w:val="20"/>
                <w:szCs w:val="20"/>
              </w:rPr>
              <w:t>Multicentre</w:t>
            </w:r>
            <w:proofErr w:type="spellEnd"/>
            <w:r w:rsidRPr="00C07BB7">
              <w:rPr>
                <w:rFonts w:cs="Arial"/>
                <w:sz w:val="20"/>
                <w:szCs w:val="20"/>
              </w:rPr>
              <w:t xml:space="preserve"> </w:t>
            </w:r>
            <w:proofErr w:type="spellStart"/>
            <w:r w:rsidRPr="00C07BB7">
              <w:rPr>
                <w:rFonts w:cs="Arial"/>
                <w:sz w:val="20"/>
                <w:szCs w:val="20"/>
              </w:rPr>
              <w:t>randomised</w:t>
            </w:r>
            <w:proofErr w:type="spellEnd"/>
            <w:r w:rsidRPr="00C07BB7">
              <w:rPr>
                <w:rFonts w:cs="Arial"/>
                <w:sz w:val="20"/>
                <w:szCs w:val="20"/>
              </w:rPr>
              <w:t xml:space="preserve"> controlled trial</w:t>
            </w:r>
          </w:p>
        </w:tc>
        <w:tc>
          <w:tcPr>
            <w:tcW w:w="0" w:type="auto"/>
            <w:hideMark/>
          </w:tcPr>
          <w:p w14:paraId="14A14E7E" w14:textId="77777777" w:rsidR="00773F15" w:rsidRPr="00C07BB7" w:rsidRDefault="00773F15" w:rsidP="00462CB9">
            <w:pPr>
              <w:rPr>
                <w:rFonts w:cs="Arial"/>
                <w:sz w:val="20"/>
                <w:szCs w:val="20"/>
              </w:rPr>
            </w:pPr>
            <w:r w:rsidRPr="00C07BB7">
              <w:rPr>
                <w:rFonts w:cs="Arial"/>
                <w:sz w:val="20"/>
                <w:szCs w:val="20"/>
              </w:rPr>
              <w:t xml:space="preserve">Adults with CKD </w:t>
            </w:r>
            <w:proofErr w:type="spellStart"/>
            <w:r w:rsidRPr="00C07BB7">
              <w:rPr>
                <w:rFonts w:cs="Arial"/>
                <w:sz w:val="20"/>
                <w:szCs w:val="20"/>
              </w:rPr>
              <w:t>randomised</w:t>
            </w:r>
            <w:proofErr w:type="spellEnd"/>
            <w:r w:rsidRPr="00C07BB7">
              <w:rPr>
                <w:rFonts w:cs="Arial"/>
                <w:sz w:val="20"/>
                <w:szCs w:val="20"/>
              </w:rPr>
              <w:t xml:space="preserve"> to Kidney BEAM or waiting-list control following renal-</w:t>
            </w:r>
            <w:proofErr w:type="spellStart"/>
            <w:r w:rsidRPr="00C07BB7">
              <w:rPr>
                <w:rFonts w:cs="Arial"/>
                <w:sz w:val="20"/>
                <w:szCs w:val="20"/>
              </w:rPr>
              <w:t>centre</w:t>
            </w:r>
            <w:proofErr w:type="spellEnd"/>
            <w:r w:rsidRPr="00C07BB7">
              <w:rPr>
                <w:rFonts w:cs="Arial"/>
                <w:sz w:val="20"/>
                <w:szCs w:val="20"/>
              </w:rPr>
              <w:t xml:space="preserve"> recruitment.</w:t>
            </w:r>
          </w:p>
        </w:tc>
        <w:tc>
          <w:tcPr>
            <w:tcW w:w="0" w:type="auto"/>
            <w:hideMark/>
          </w:tcPr>
          <w:p w14:paraId="0B4CF30C" w14:textId="77777777" w:rsidR="00773F15" w:rsidRPr="00C07BB7" w:rsidRDefault="00773F15" w:rsidP="00462CB9">
            <w:pPr>
              <w:rPr>
                <w:rFonts w:cs="Arial"/>
                <w:sz w:val="20"/>
                <w:szCs w:val="20"/>
              </w:rPr>
            </w:pPr>
            <w:r w:rsidRPr="00C07BB7">
              <w:rPr>
                <w:rFonts w:cs="Arial"/>
                <w:sz w:val="20"/>
                <w:szCs w:val="20"/>
              </w:rPr>
              <w:t>Kidney BEAM produced improvements in patient-</w:t>
            </w:r>
            <w:proofErr w:type="spellStart"/>
            <w:r w:rsidRPr="00C07BB7">
              <w:rPr>
                <w:rFonts w:cs="Arial"/>
                <w:sz w:val="20"/>
                <w:szCs w:val="20"/>
              </w:rPr>
              <w:t>centred</w:t>
            </w:r>
            <w:proofErr w:type="spellEnd"/>
            <w:r w:rsidRPr="00C07BB7">
              <w:rPr>
                <w:rFonts w:cs="Arial"/>
                <w:sz w:val="20"/>
                <w:szCs w:val="20"/>
              </w:rPr>
              <w:t xml:space="preserve"> outcomes and supported greater physical activity compared with waiting-list care.</w:t>
            </w:r>
          </w:p>
        </w:tc>
        <w:tc>
          <w:tcPr>
            <w:tcW w:w="0" w:type="auto"/>
            <w:hideMark/>
          </w:tcPr>
          <w:p w14:paraId="2214BA79"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a digital physical-activity intervention. </w:t>
            </w:r>
            <w:r w:rsidRPr="00C07BB7">
              <w:rPr>
                <w:rFonts w:cs="Arial"/>
                <w:b/>
                <w:bCs/>
                <w:sz w:val="20"/>
                <w:szCs w:val="20"/>
              </w:rPr>
              <w:t>Contribution:</w:t>
            </w:r>
            <w:r w:rsidRPr="00C07BB7">
              <w:rPr>
                <w:rFonts w:cs="Arial"/>
                <w:sz w:val="20"/>
                <w:szCs w:val="20"/>
              </w:rPr>
              <w:t xml:space="preserve"> Provides strong evidence that digital exercise support can improve CKD outcomes.</w:t>
            </w:r>
          </w:p>
        </w:tc>
      </w:tr>
      <w:tr w:rsidR="00773F15" w:rsidRPr="00C07BB7" w14:paraId="5D59B0B9" w14:textId="77777777" w:rsidTr="00334B0F">
        <w:tc>
          <w:tcPr>
            <w:tcW w:w="0" w:type="auto"/>
            <w:hideMark/>
          </w:tcPr>
          <w:p w14:paraId="633868F0" w14:textId="77777777" w:rsidR="00773F15" w:rsidRPr="00C07BB7" w:rsidRDefault="00773F15" w:rsidP="00462CB9">
            <w:pPr>
              <w:rPr>
                <w:rFonts w:cs="Arial"/>
                <w:sz w:val="20"/>
                <w:szCs w:val="20"/>
              </w:rPr>
            </w:pPr>
            <w:r w:rsidRPr="00C07BB7">
              <w:rPr>
                <w:rFonts w:cs="Arial"/>
                <w:sz w:val="20"/>
                <w:szCs w:val="20"/>
              </w:rPr>
              <w:t>6</w:t>
            </w:r>
          </w:p>
        </w:tc>
        <w:tc>
          <w:tcPr>
            <w:tcW w:w="0" w:type="auto"/>
            <w:hideMark/>
          </w:tcPr>
          <w:p w14:paraId="061E9C54" w14:textId="77777777" w:rsidR="00773F15" w:rsidRPr="00C07BB7" w:rsidRDefault="00773F15" w:rsidP="00462CB9">
            <w:pPr>
              <w:rPr>
                <w:rFonts w:cs="Arial"/>
                <w:sz w:val="20"/>
                <w:szCs w:val="20"/>
              </w:rPr>
            </w:pPr>
            <w:r w:rsidRPr="00C07BB7">
              <w:rPr>
                <w:rFonts w:cs="Arial"/>
                <w:sz w:val="20"/>
                <w:szCs w:val="20"/>
              </w:rPr>
              <w:t>Heo et al. (2023)</w:t>
            </w:r>
          </w:p>
        </w:tc>
        <w:tc>
          <w:tcPr>
            <w:tcW w:w="0" w:type="auto"/>
            <w:hideMark/>
          </w:tcPr>
          <w:p w14:paraId="5F5FED86" w14:textId="77777777" w:rsidR="00773F15" w:rsidRPr="00C07BB7" w:rsidRDefault="00773F15" w:rsidP="00462CB9">
            <w:pPr>
              <w:rPr>
                <w:rFonts w:cs="Arial"/>
                <w:sz w:val="20"/>
                <w:szCs w:val="20"/>
              </w:rPr>
            </w:pPr>
            <w:r w:rsidRPr="00C07BB7">
              <w:rPr>
                <w:rFonts w:cs="Arial"/>
                <w:sz w:val="20"/>
                <w:szCs w:val="20"/>
              </w:rPr>
              <w:t>UK Biobank; England, Scotland and Wales</w:t>
            </w:r>
          </w:p>
        </w:tc>
        <w:tc>
          <w:tcPr>
            <w:tcW w:w="0" w:type="auto"/>
            <w:hideMark/>
          </w:tcPr>
          <w:p w14:paraId="7E28118E"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623679A8" w14:textId="77777777" w:rsidR="00773F15" w:rsidRPr="00C07BB7" w:rsidRDefault="00773F15" w:rsidP="00462CB9">
            <w:pPr>
              <w:rPr>
                <w:rFonts w:cs="Arial"/>
                <w:sz w:val="20"/>
                <w:szCs w:val="20"/>
              </w:rPr>
            </w:pPr>
            <w:r w:rsidRPr="00C07BB7">
              <w:rPr>
                <w:rFonts w:cs="Arial"/>
                <w:sz w:val="20"/>
                <w:szCs w:val="20"/>
              </w:rPr>
              <w:t>CKD-free adults with dietary assessment and eligible kidney-function information at baseline.</w:t>
            </w:r>
          </w:p>
        </w:tc>
        <w:tc>
          <w:tcPr>
            <w:tcW w:w="0" w:type="auto"/>
            <w:hideMark/>
          </w:tcPr>
          <w:p w14:paraId="5EE612A6" w14:textId="77777777" w:rsidR="00773F15" w:rsidRPr="00C07BB7" w:rsidRDefault="00773F15" w:rsidP="00462CB9">
            <w:pPr>
              <w:rPr>
                <w:rFonts w:cs="Arial"/>
                <w:sz w:val="20"/>
                <w:szCs w:val="20"/>
              </w:rPr>
            </w:pPr>
            <w:r w:rsidRPr="00C07BB7">
              <w:rPr>
                <w:rFonts w:cs="Arial"/>
                <w:sz w:val="20"/>
                <w:szCs w:val="20"/>
              </w:rPr>
              <w:t xml:space="preserve">Higher dietary </w:t>
            </w:r>
            <w:proofErr w:type="spellStart"/>
            <w:r w:rsidRPr="00C07BB7">
              <w:rPr>
                <w:rFonts w:cs="Arial"/>
                <w:sz w:val="20"/>
                <w:szCs w:val="20"/>
              </w:rPr>
              <w:t>fibre</w:t>
            </w:r>
            <w:proofErr w:type="spellEnd"/>
            <w:r w:rsidRPr="00C07BB7">
              <w:rPr>
                <w:rFonts w:cs="Arial"/>
                <w:sz w:val="20"/>
                <w:szCs w:val="20"/>
              </w:rPr>
              <w:t xml:space="preserve"> intake was associated with a lower subsequent risk of incident CKD.</w:t>
            </w:r>
          </w:p>
        </w:tc>
        <w:tc>
          <w:tcPr>
            <w:tcW w:w="0" w:type="auto"/>
            <w:hideMark/>
          </w:tcPr>
          <w:p w14:paraId="3B66445E"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examine </w:t>
            </w:r>
            <w:proofErr w:type="spellStart"/>
            <w:r w:rsidRPr="00C07BB7">
              <w:rPr>
                <w:rFonts w:cs="Arial"/>
                <w:sz w:val="20"/>
                <w:szCs w:val="20"/>
              </w:rPr>
              <w:t>fibre</w:t>
            </w:r>
            <w:proofErr w:type="spellEnd"/>
            <w:r w:rsidRPr="00C07BB7">
              <w:rPr>
                <w:rFonts w:cs="Arial"/>
                <w:sz w:val="20"/>
                <w:szCs w:val="20"/>
              </w:rPr>
              <w:t xml:space="preserve"> intake and CKD incidence. </w:t>
            </w:r>
            <w:r w:rsidRPr="00C07BB7">
              <w:rPr>
                <w:rFonts w:cs="Arial"/>
                <w:b/>
                <w:bCs/>
                <w:sz w:val="20"/>
                <w:szCs w:val="20"/>
              </w:rPr>
              <w:t>Contribution:</w:t>
            </w:r>
            <w:r w:rsidRPr="00C07BB7">
              <w:rPr>
                <w:rFonts w:cs="Arial"/>
                <w:sz w:val="20"/>
                <w:szCs w:val="20"/>
              </w:rPr>
              <w:t xml:space="preserve"> Supports a possible protective role of higher dietary </w:t>
            </w:r>
            <w:proofErr w:type="spellStart"/>
            <w:r w:rsidRPr="00C07BB7">
              <w:rPr>
                <w:rFonts w:cs="Arial"/>
                <w:sz w:val="20"/>
                <w:szCs w:val="20"/>
              </w:rPr>
              <w:t>fibre</w:t>
            </w:r>
            <w:proofErr w:type="spellEnd"/>
            <w:r w:rsidRPr="00C07BB7">
              <w:rPr>
                <w:rFonts w:cs="Arial"/>
                <w:sz w:val="20"/>
                <w:szCs w:val="20"/>
              </w:rPr>
              <w:t xml:space="preserve"> intake.</w:t>
            </w:r>
          </w:p>
        </w:tc>
      </w:tr>
      <w:tr w:rsidR="00773F15" w:rsidRPr="00C07BB7" w14:paraId="196DF82C" w14:textId="77777777" w:rsidTr="00334B0F">
        <w:tc>
          <w:tcPr>
            <w:tcW w:w="0" w:type="auto"/>
            <w:hideMark/>
          </w:tcPr>
          <w:p w14:paraId="54DD9C98" w14:textId="77777777" w:rsidR="00773F15" w:rsidRPr="00C07BB7" w:rsidRDefault="00773F15" w:rsidP="00462CB9">
            <w:pPr>
              <w:rPr>
                <w:rFonts w:cs="Arial"/>
                <w:sz w:val="20"/>
                <w:szCs w:val="20"/>
              </w:rPr>
            </w:pPr>
            <w:r w:rsidRPr="00C07BB7">
              <w:rPr>
                <w:rFonts w:cs="Arial"/>
                <w:sz w:val="20"/>
                <w:szCs w:val="20"/>
              </w:rPr>
              <w:t>7</w:t>
            </w:r>
          </w:p>
        </w:tc>
        <w:tc>
          <w:tcPr>
            <w:tcW w:w="0" w:type="auto"/>
            <w:hideMark/>
          </w:tcPr>
          <w:p w14:paraId="54CD68EE" w14:textId="77777777" w:rsidR="00773F15" w:rsidRPr="00C07BB7" w:rsidRDefault="00773F15" w:rsidP="00462CB9">
            <w:pPr>
              <w:rPr>
                <w:rFonts w:cs="Arial"/>
                <w:sz w:val="20"/>
                <w:szCs w:val="20"/>
              </w:rPr>
            </w:pPr>
            <w:r w:rsidRPr="00C07BB7">
              <w:rPr>
                <w:rFonts w:cs="Arial"/>
                <w:sz w:val="20"/>
                <w:szCs w:val="20"/>
              </w:rPr>
              <w:t>Lan et al. (2023)</w:t>
            </w:r>
          </w:p>
        </w:tc>
        <w:tc>
          <w:tcPr>
            <w:tcW w:w="0" w:type="auto"/>
            <w:hideMark/>
          </w:tcPr>
          <w:p w14:paraId="673F5A03"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046CFFFB"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64A50052" w14:textId="77777777" w:rsidR="00773F15" w:rsidRPr="00C07BB7" w:rsidRDefault="00773F15" w:rsidP="00462CB9">
            <w:pPr>
              <w:rPr>
                <w:rFonts w:cs="Arial"/>
                <w:sz w:val="20"/>
                <w:szCs w:val="20"/>
              </w:rPr>
            </w:pPr>
            <w:r w:rsidRPr="00C07BB7">
              <w:rPr>
                <w:rFonts w:cs="Arial"/>
                <w:sz w:val="20"/>
                <w:szCs w:val="20"/>
              </w:rPr>
              <w:t>Never-smokers without CKD at baseline, with secondhand-smoke and genetic information available.</w:t>
            </w:r>
          </w:p>
        </w:tc>
        <w:tc>
          <w:tcPr>
            <w:tcW w:w="0" w:type="auto"/>
            <w:hideMark/>
          </w:tcPr>
          <w:p w14:paraId="290A3636" w14:textId="77777777" w:rsidR="00773F15" w:rsidRPr="00C07BB7" w:rsidRDefault="00773F15" w:rsidP="00462CB9">
            <w:pPr>
              <w:rPr>
                <w:rFonts w:cs="Arial"/>
                <w:sz w:val="20"/>
                <w:szCs w:val="20"/>
              </w:rPr>
            </w:pPr>
            <w:r w:rsidRPr="00C07BB7">
              <w:rPr>
                <w:rFonts w:cs="Arial"/>
                <w:sz w:val="20"/>
                <w:szCs w:val="20"/>
              </w:rPr>
              <w:t>Greater secondhand-smoke exposure was associated with increased incident CKD risk, with susceptibility differing according to genetic risk.</w:t>
            </w:r>
          </w:p>
        </w:tc>
        <w:tc>
          <w:tcPr>
            <w:tcW w:w="0" w:type="auto"/>
            <w:hideMark/>
          </w:tcPr>
          <w:p w14:paraId="07CE8917"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investigate passive smoking and CKD. </w:t>
            </w:r>
            <w:r w:rsidRPr="00C07BB7">
              <w:rPr>
                <w:rFonts w:cs="Arial"/>
                <w:b/>
                <w:bCs/>
                <w:sz w:val="20"/>
                <w:szCs w:val="20"/>
              </w:rPr>
              <w:t>Contribution:</w:t>
            </w:r>
            <w:r w:rsidRPr="00C07BB7">
              <w:rPr>
                <w:rFonts w:cs="Arial"/>
                <w:sz w:val="20"/>
                <w:szCs w:val="20"/>
              </w:rPr>
              <w:t xml:space="preserve"> Shows passive smoke exposure may increase CKD risk in never-smokers.</w:t>
            </w:r>
          </w:p>
        </w:tc>
      </w:tr>
      <w:tr w:rsidR="00773F15" w:rsidRPr="00C07BB7" w14:paraId="73C276E9" w14:textId="77777777" w:rsidTr="00334B0F">
        <w:tc>
          <w:tcPr>
            <w:tcW w:w="0" w:type="auto"/>
            <w:hideMark/>
          </w:tcPr>
          <w:p w14:paraId="2AD66808" w14:textId="77777777" w:rsidR="00773F15" w:rsidRPr="00C07BB7" w:rsidRDefault="00773F15" w:rsidP="00462CB9">
            <w:pPr>
              <w:rPr>
                <w:rFonts w:cs="Arial"/>
                <w:sz w:val="20"/>
                <w:szCs w:val="20"/>
              </w:rPr>
            </w:pPr>
            <w:r w:rsidRPr="00C07BB7">
              <w:rPr>
                <w:rFonts w:cs="Arial"/>
                <w:sz w:val="20"/>
                <w:szCs w:val="20"/>
              </w:rPr>
              <w:t>8</w:t>
            </w:r>
          </w:p>
        </w:tc>
        <w:tc>
          <w:tcPr>
            <w:tcW w:w="0" w:type="auto"/>
            <w:hideMark/>
          </w:tcPr>
          <w:p w14:paraId="7E61CFA6" w14:textId="77777777" w:rsidR="00773F15" w:rsidRPr="00C07BB7" w:rsidRDefault="00773F15" w:rsidP="00462CB9">
            <w:pPr>
              <w:rPr>
                <w:rFonts w:cs="Arial"/>
                <w:sz w:val="20"/>
                <w:szCs w:val="20"/>
              </w:rPr>
            </w:pPr>
            <w:r w:rsidRPr="00C07BB7">
              <w:rPr>
                <w:rFonts w:cs="Arial"/>
                <w:sz w:val="20"/>
                <w:szCs w:val="20"/>
              </w:rPr>
              <w:t>Li et al. (2025)</w:t>
            </w:r>
          </w:p>
        </w:tc>
        <w:tc>
          <w:tcPr>
            <w:tcW w:w="0" w:type="auto"/>
            <w:hideMark/>
          </w:tcPr>
          <w:p w14:paraId="0967FDDB" w14:textId="77777777" w:rsidR="00773F15" w:rsidRPr="00C07BB7" w:rsidRDefault="00773F15" w:rsidP="00462CB9">
            <w:pPr>
              <w:rPr>
                <w:rFonts w:cs="Arial"/>
                <w:sz w:val="20"/>
                <w:szCs w:val="20"/>
              </w:rPr>
            </w:pPr>
            <w:r w:rsidRPr="00C07BB7">
              <w:rPr>
                <w:rFonts w:cs="Arial"/>
                <w:sz w:val="20"/>
                <w:szCs w:val="20"/>
              </w:rPr>
              <w:t>UK Biobank; England, Scotland and Wales</w:t>
            </w:r>
          </w:p>
        </w:tc>
        <w:tc>
          <w:tcPr>
            <w:tcW w:w="0" w:type="auto"/>
            <w:hideMark/>
          </w:tcPr>
          <w:p w14:paraId="7582796C"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29790D49" w14:textId="77777777" w:rsidR="00773F15" w:rsidRPr="00C07BB7" w:rsidRDefault="00773F15" w:rsidP="00462CB9">
            <w:pPr>
              <w:rPr>
                <w:rFonts w:cs="Arial"/>
                <w:sz w:val="20"/>
                <w:szCs w:val="20"/>
              </w:rPr>
            </w:pPr>
            <w:r w:rsidRPr="00C07BB7">
              <w:rPr>
                <w:rFonts w:cs="Arial"/>
                <w:sz w:val="20"/>
                <w:szCs w:val="20"/>
              </w:rPr>
              <w:t>Participants without CKD at baseline with linked psychiatric, clinical, socioeconomic and kidney-outcome information.</w:t>
            </w:r>
          </w:p>
        </w:tc>
        <w:tc>
          <w:tcPr>
            <w:tcW w:w="0" w:type="auto"/>
            <w:hideMark/>
          </w:tcPr>
          <w:p w14:paraId="23FF7679" w14:textId="77777777" w:rsidR="00773F15" w:rsidRPr="00C07BB7" w:rsidRDefault="00773F15" w:rsidP="00462CB9">
            <w:pPr>
              <w:rPr>
                <w:rFonts w:cs="Arial"/>
                <w:sz w:val="20"/>
                <w:szCs w:val="20"/>
              </w:rPr>
            </w:pPr>
            <w:r w:rsidRPr="00C07BB7">
              <w:rPr>
                <w:rFonts w:cs="Arial"/>
                <w:sz w:val="20"/>
                <w:szCs w:val="20"/>
              </w:rPr>
              <w:t>Psychiatric disorders were associated with an increased subsequent risk of developing CKD.</w:t>
            </w:r>
          </w:p>
        </w:tc>
        <w:tc>
          <w:tcPr>
            <w:tcW w:w="0" w:type="auto"/>
            <w:hideMark/>
          </w:tcPr>
          <w:p w14:paraId="1A70C857"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investigate psychiatric disorders and future CKD. </w:t>
            </w:r>
            <w:r w:rsidRPr="00C07BB7">
              <w:rPr>
                <w:rFonts w:cs="Arial"/>
                <w:b/>
                <w:bCs/>
                <w:sz w:val="20"/>
                <w:szCs w:val="20"/>
              </w:rPr>
              <w:t>Contribution:</w:t>
            </w:r>
            <w:r w:rsidRPr="00C07BB7">
              <w:rPr>
                <w:rFonts w:cs="Arial"/>
                <w:sz w:val="20"/>
                <w:szCs w:val="20"/>
              </w:rPr>
              <w:t xml:space="preserve"> Broadens CKD risk evidence by identifying psychiatric disorders as relevant.</w:t>
            </w:r>
          </w:p>
        </w:tc>
      </w:tr>
      <w:tr w:rsidR="00773F15" w:rsidRPr="00C07BB7" w14:paraId="1640B284" w14:textId="77777777" w:rsidTr="00334B0F">
        <w:tc>
          <w:tcPr>
            <w:tcW w:w="0" w:type="auto"/>
            <w:hideMark/>
          </w:tcPr>
          <w:p w14:paraId="0658C986" w14:textId="77777777" w:rsidR="00773F15" w:rsidRPr="00C07BB7" w:rsidRDefault="00773F15" w:rsidP="00462CB9">
            <w:pPr>
              <w:rPr>
                <w:rFonts w:cs="Arial"/>
                <w:sz w:val="20"/>
                <w:szCs w:val="20"/>
              </w:rPr>
            </w:pPr>
            <w:r w:rsidRPr="00C07BB7">
              <w:rPr>
                <w:rFonts w:cs="Arial"/>
                <w:sz w:val="20"/>
                <w:szCs w:val="20"/>
              </w:rPr>
              <w:t>9</w:t>
            </w:r>
          </w:p>
        </w:tc>
        <w:tc>
          <w:tcPr>
            <w:tcW w:w="0" w:type="auto"/>
            <w:hideMark/>
          </w:tcPr>
          <w:p w14:paraId="1737DD58" w14:textId="77777777" w:rsidR="00773F15" w:rsidRPr="00C07BB7" w:rsidRDefault="00773F15" w:rsidP="00462CB9">
            <w:pPr>
              <w:rPr>
                <w:rFonts w:cs="Arial"/>
                <w:sz w:val="20"/>
                <w:szCs w:val="20"/>
              </w:rPr>
            </w:pPr>
            <w:r w:rsidRPr="00C07BB7">
              <w:rPr>
                <w:rFonts w:cs="Arial"/>
                <w:sz w:val="20"/>
                <w:szCs w:val="20"/>
              </w:rPr>
              <w:t>Lightfoot et al. (2025)</w:t>
            </w:r>
          </w:p>
        </w:tc>
        <w:tc>
          <w:tcPr>
            <w:tcW w:w="0" w:type="auto"/>
            <w:hideMark/>
          </w:tcPr>
          <w:p w14:paraId="55332D45" w14:textId="77777777" w:rsidR="00773F15" w:rsidRPr="00C07BB7" w:rsidRDefault="00773F15" w:rsidP="00462CB9">
            <w:pPr>
              <w:rPr>
                <w:rFonts w:cs="Arial"/>
                <w:sz w:val="20"/>
                <w:szCs w:val="20"/>
              </w:rPr>
            </w:pPr>
            <w:r w:rsidRPr="00C07BB7">
              <w:rPr>
                <w:rFonts w:cs="Arial"/>
                <w:sz w:val="20"/>
                <w:szCs w:val="20"/>
              </w:rPr>
              <w:t>Leicester, England; primary and renal care</w:t>
            </w:r>
          </w:p>
        </w:tc>
        <w:tc>
          <w:tcPr>
            <w:tcW w:w="0" w:type="auto"/>
            <w:hideMark/>
          </w:tcPr>
          <w:p w14:paraId="275C81AA" w14:textId="77777777" w:rsidR="00773F15" w:rsidRPr="00C07BB7" w:rsidRDefault="00773F15" w:rsidP="00462CB9">
            <w:pPr>
              <w:rPr>
                <w:rFonts w:cs="Arial"/>
                <w:sz w:val="20"/>
                <w:szCs w:val="20"/>
              </w:rPr>
            </w:pPr>
            <w:r w:rsidRPr="00C07BB7">
              <w:rPr>
                <w:rFonts w:cs="Arial"/>
                <w:sz w:val="20"/>
                <w:szCs w:val="20"/>
              </w:rPr>
              <w:t>Qualitative interview study</w:t>
            </w:r>
          </w:p>
        </w:tc>
        <w:tc>
          <w:tcPr>
            <w:tcW w:w="0" w:type="auto"/>
            <w:hideMark/>
          </w:tcPr>
          <w:p w14:paraId="22E7292E" w14:textId="77777777" w:rsidR="00773F15" w:rsidRPr="00C07BB7" w:rsidRDefault="00773F15" w:rsidP="00462CB9">
            <w:pPr>
              <w:rPr>
                <w:rFonts w:cs="Arial"/>
                <w:sz w:val="20"/>
                <w:szCs w:val="20"/>
              </w:rPr>
            </w:pPr>
            <w:r w:rsidRPr="00C07BB7">
              <w:rPr>
                <w:rFonts w:cs="Arial"/>
                <w:sz w:val="20"/>
                <w:szCs w:val="20"/>
              </w:rPr>
              <w:t>Adults with non-dialysis CKD recruited from primary-care and hospital settings and interviewed about self-management.</w:t>
            </w:r>
          </w:p>
        </w:tc>
        <w:tc>
          <w:tcPr>
            <w:tcW w:w="0" w:type="auto"/>
            <w:hideMark/>
          </w:tcPr>
          <w:p w14:paraId="19239C0F" w14:textId="77777777" w:rsidR="00773F15" w:rsidRPr="00C07BB7" w:rsidRDefault="00773F15" w:rsidP="00462CB9">
            <w:pPr>
              <w:rPr>
                <w:rFonts w:cs="Arial"/>
                <w:sz w:val="20"/>
                <w:szCs w:val="20"/>
              </w:rPr>
            </w:pPr>
            <w:r w:rsidRPr="00C07BB7">
              <w:rPr>
                <w:rFonts w:cs="Arial"/>
                <w:sz w:val="20"/>
                <w:szCs w:val="20"/>
              </w:rPr>
              <w:t>Successful self-management was influenced by knowledge, confidence, symptoms, competing priorities and access to professional support.</w:t>
            </w:r>
          </w:p>
        </w:tc>
        <w:tc>
          <w:tcPr>
            <w:tcW w:w="0" w:type="auto"/>
            <w:hideMark/>
          </w:tcPr>
          <w:p w14:paraId="0626B6D5"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understand CKD self-management experiences. </w:t>
            </w:r>
            <w:r w:rsidRPr="00C07BB7">
              <w:rPr>
                <w:rFonts w:cs="Arial"/>
                <w:b/>
                <w:bCs/>
                <w:sz w:val="20"/>
                <w:szCs w:val="20"/>
              </w:rPr>
              <w:t>Contribution:</w:t>
            </w:r>
            <w:r w:rsidRPr="00C07BB7">
              <w:rPr>
                <w:rFonts w:cs="Arial"/>
                <w:sz w:val="20"/>
                <w:szCs w:val="20"/>
              </w:rPr>
              <w:t xml:space="preserve"> Identifies key barriers and facilitators influencing effective CKD self-management.</w:t>
            </w:r>
          </w:p>
        </w:tc>
      </w:tr>
      <w:tr w:rsidR="00773F15" w:rsidRPr="00C07BB7" w14:paraId="1A75C243" w14:textId="77777777" w:rsidTr="00334B0F">
        <w:tc>
          <w:tcPr>
            <w:tcW w:w="0" w:type="auto"/>
            <w:hideMark/>
          </w:tcPr>
          <w:p w14:paraId="4B0D4114" w14:textId="77777777" w:rsidR="00773F15" w:rsidRPr="00C07BB7" w:rsidRDefault="00773F15" w:rsidP="00462CB9">
            <w:pPr>
              <w:rPr>
                <w:rFonts w:cs="Arial"/>
                <w:sz w:val="20"/>
                <w:szCs w:val="20"/>
              </w:rPr>
            </w:pPr>
            <w:r w:rsidRPr="00C07BB7">
              <w:rPr>
                <w:rFonts w:cs="Arial"/>
                <w:sz w:val="20"/>
                <w:szCs w:val="20"/>
              </w:rPr>
              <w:t>10</w:t>
            </w:r>
          </w:p>
        </w:tc>
        <w:tc>
          <w:tcPr>
            <w:tcW w:w="0" w:type="auto"/>
            <w:hideMark/>
          </w:tcPr>
          <w:p w14:paraId="56866EE9" w14:textId="77777777" w:rsidR="00773F15" w:rsidRPr="00C07BB7" w:rsidRDefault="00773F15" w:rsidP="00462CB9">
            <w:pPr>
              <w:rPr>
                <w:rFonts w:cs="Arial"/>
                <w:sz w:val="20"/>
                <w:szCs w:val="20"/>
              </w:rPr>
            </w:pPr>
            <w:r w:rsidRPr="00C07BB7">
              <w:rPr>
                <w:rFonts w:cs="Arial"/>
                <w:sz w:val="20"/>
                <w:szCs w:val="20"/>
              </w:rPr>
              <w:t>Maroto-Rodriguez et al. (2025)</w:t>
            </w:r>
          </w:p>
        </w:tc>
        <w:tc>
          <w:tcPr>
            <w:tcW w:w="0" w:type="auto"/>
            <w:hideMark/>
          </w:tcPr>
          <w:p w14:paraId="7E59C7E4" w14:textId="77777777" w:rsidR="00773F15" w:rsidRPr="00C07BB7" w:rsidRDefault="00773F15" w:rsidP="00462CB9">
            <w:pPr>
              <w:rPr>
                <w:rFonts w:cs="Arial"/>
                <w:sz w:val="20"/>
                <w:szCs w:val="20"/>
              </w:rPr>
            </w:pPr>
            <w:r w:rsidRPr="00C07BB7">
              <w:rPr>
                <w:rFonts w:cs="Arial"/>
                <w:sz w:val="20"/>
                <w:szCs w:val="20"/>
              </w:rPr>
              <w:t>UK Biobank; British adults</w:t>
            </w:r>
          </w:p>
        </w:tc>
        <w:tc>
          <w:tcPr>
            <w:tcW w:w="0" w:type="auto"/>
            <w:hideMark/>
          </w:tcPr>
          <w:p w14:paraId="55568192"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72B58EBC" w14:textId="77777777" w:rsidR="00773F15" w:rsidRPr="00C07BB7" w:rsidRDefault="00773F15" w:rsidP="00462CB9">
            <w:pPr>
              <w:rPr>
                <w:rFonts w:cs="Arial"/>
                <w:sz w:val="20"/>
                <w:szCs w:val="20"/>
              </w:rPr>
            </w:pPr>
            <w:r w:rsidRPr="00C07BB7">
              <w:rPr>
                <w:rFonts w:cs="Arial"/>
                <w:sz w:val="20"/>
                <w:szCs w:val="20"/>
              </w:rPr>
              <w:t>CKD-free adults with repeated dietary assessments used to calculate multiple diet-quality indices.</w:t>
            </w:r>
          </w:p>
        </w:tc>
        <w:tc>
          <w:tcPr>
            <w:tcW w:w="0" w:type="auto"/>
            <w:hideMark/>
          </w:tcPr>
          <w:p w14:paraId="3A31B430" w14:textId="77777777" w:rsidR="00773F15" w:rsidRPr="00C07BB7" w:rsidRDefault="00773F15" w:rsidP="00462CB9">
            <w:pPr>
              <w:rPr>
                <w:rFonts w:cs="Arial"/>
                <w:sz w:val="20"/>
                <w:szCs w:val="20"/>
              </w:rPr>
            </w:pPr>
            <w:r w:rsidRPr="00C07BB7">
              <w:rPr>
                <w:rFonts w:cs="Arial"/>
                <w:sz w:val="20"/>
                <w:szCs w:val="20"/>
              </w:rPr>
              <w:t>Greater adherence to healthier dietary patterns was associated with a lower incidence of CKD during follow-up.</w:t>
            </w:r>
          </w:p>
        </w:tc>
        <w:tc>
          <w:tcPr>
            <w:tcW w:w="0" w:type="auto"/>
            <w:hideMark/>
          </w:tcPr>
          <w:p w14:paraId="1FDA72E0"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diet quality and incident CKD. </w:t>
            </w:r>
            <w:r w:rsidRPr="00C07BB7">
              <w:rPr>
                <w:rFonts w:cs="Arial"/>
                <w:b/>
                <w:bCs/>
                <w:sz w:val="20"/>
                <w:szCs w:val="20"/>
              </w:rPr>
              <w:t>Contribution:</w:t>
            </w:r>
            <w:r w:rsidRPr="00C07BB7">
              <w:rPr>
                <w:rFonts w:cs="Arial"/>
                <w:sz w:val="20"/>
                <w:szCs w:val="20"/>
              </w:rPr>
              <w:t xml:space="preserve"> Strengthens evidence linking healthier dietary patterns with lower CKD risk.</w:t>
            </w:r>
          </w:p>
        </w:tc>
      </w:tr>
      <w:tr w:rsidR="00773F15" w:rsidRPr="00C07BB7" w14:paraId="3BAC95EF" w14:textId="77777777" w:rsidTr="00334B0F">
        <w:tc>
          <w:tcPr>
            <w:tcW w:w="0" w:type="auto"/>
            <w:hideMark/>
          </w:tcPr>
          <w:p w14:paraId="32AA315F" w14:textId="77777777" w:rsidR="00773F15" w:rsidRPr="00C07BB7" w:rsidRDefault="00773F15" w:rsidP="00462CB9">
            <w:pPr>
              <w:rPr>
                <w:rFonts w:cs="Arial"/>
                <w:sz w:val="20"/>
                <w:szCs w:val="20"/>
              </w:rPr>
            </w:pPr>
            <w:r w:rsidRPr="00C07BB7">
              <w:rPr>
                <w:rFonts w:cs="Arial"/>
                <w:sz w:val="20"/>
                <w:szCs w:val="20"/>
              </w:rPr>
              <w:t>11</w:t>
            </w:r>
          </w:p>
        </w:tc>
        <w:tc>
          <w:tcPr>
            <w:tcW w:w="0" w:type="auto"/>
            <w:hideMark/>
          </w:tcPr>
          <w:p w14:paraId="4634E9B8" w14:textId="77777777" w:rsidR="00773F15" w:rsidRPr="00C07BB7" w:rsidRDefault="00773F15" w:rsidP="00462CB9">
            <w:pPr>
              <w:rPr>
                <w:rFonts w:cs="Arial"/>
                <w:sz w:val="20"/>
                <w:szCs w:val="20"/>
              </w:rPr>
            </w:pPr>
            <w:r w:rsidRPr="00C07BB7">
              <w:rPr>
                <w:rFonts w:cs="Arial"/>
                <w:sz w:val="20"/>
                <w:szCs w:val="20"/>
              </w:rPr>
              <w:t>Rizvi et al. (2024)</w:t>
            </w:r>
          </w:p>
        </w:tc>
        <w:tc>
          <w:tcPr>
            <w:tcW w:w="0" w:type="auto"/>
            <w:hideMark/>
          </w:tcPr>
          <w:p w14:paraId="76F71A5F" w14:textId="77777777" w:rsidR="00773F15" w:rsidRPr="00C07BB7" w:rsidRDefault="00773F15" w:rsidP="00462CB9">
            <w:pPr>
              <w:rPr>
                <w:rFonts w:cs="Arial"/>
                <w:sz w:val="20"/>
                <w:szCs w:val="20"/>
              </w:rPr>
            </w:pPr>
            <w:r w:rsidRPr="00C07BB7">
              <w:rPr>
                <w:rFonts w:cs="Arial"/>
                <w:sz w:val="20"/>
                <w:szCs w:val="20"/>
              </w:rPr>
              <w:t>Leicester, England; primary care</w:t>
            </w:r>
          </w:p>
        </w:tc>
        <w:tc>
          <w:tcPr>
            <w:tcW w:w="0" w:type="auto"/>
            <w:hideMark/>
          </w:tcPr>
          <w:p w14:paraId="00BBA940" w14:textId="77777777" w:rsidR="00773F15" w:rsidRPr="00C07BB7" w:rsidRDefault="00773F15" w:rsidP="00462CB9">
            <w:pPr>
              <w:rPr>
                <w:rFonts w:cs="Arial"/>
                <w:sz w:val="20"/>
                <w:szCs w:val="20"/>
              </w:rPr>
            </w:pPr>
            <w:r w:rsidRPr="00C07BB7">
              <w:rPr>
                <w:rFonts w:cs="Arial"/>
                <w:sz w:val="20"/>
                <w:szCs w:val="20"/>
              </w:rPr>
              <w:t>Quality-improvement clinical evaluation</w:t>
            </w:r>
          </w:p>
        </w:tc>
        <w:tc>
          <w:tcPr>
            <w:tcW w:w="0" w:type="auto"/>
            <w:hideMark/>
          </w:tcPr>
          <w:p w14:paraId="3A589DBE" w14:textId="77777777" w:rsidR="00773F15" w:rsidRPr="00C07BB7" w:rsidRDefault="00773F15" w:rsidP="00462CB9">
            <w:pPr>
              <w:rPr>
                <w:rFonts w:cs="Arial"/>
                <w:sz w:val="20"/>
                <w:szCs w:val="20"/>
              </w:rPr>
            </w:pPr>
            <w:r w:rsidRPr="00C07BB7">
              <w:rPr>
                <w:rFonts w:cs="Arial"/>
                <w:sz w:val="20"/>
                <w:szCs w:val="20"/>
              </w:rPr>
              <w:t xml:space="preserve">Patients with CKD, diabetes and/or heart failure reviewed through an integrated primary-care improvement </w:t>
            </w:r>
            <w:proofErr w:type="spellStart"/>
            <w:r w:rsidRPr="00C07BB7">
              <w:rPr>
                <w:rFonts w:cs="Arial"/>
                <w:sz w:val="20"/>
                <w:szCs w:val="20"/>
              </w:rPr>
              <w:t>programme</w:t>
            </w:r>
            <w:proofErr w:type="spellEnd"/>
            <w:r w:rsidRPr="00C07BB7">
              <w:rPr>
                <w:rFonts w:cs="Arial"/>
                <w:sz w:val="20"/>
                <w:szCs w:val="20"/>
              </w:rPr>
              <w:t>.</w:t>
            </w:r>
          </w:p>
        </w:tc>
        <w:tc>
          <w:tcPr>
            <w:tcW w:w="0" w:type="auto"/>
            <w:hideMark/>
          </w:tcPr>
          <w:p w14:paraId="74A86347" w14:textId="77777777" w:rsidR="00773F15" w:rsidRPr="00C07BB7" w:rsidRDefault="00773F15" w:rsidP="00462CB9">
            <w:pPr>
              <w:rPr>
                <w:rFonts w:cs="Arial"/>
                <w:sz w:val="20"/>
                <w:szCs w:val="20"/>
              </w:rPr>
            </w:pPr>
            <w:r w:rsidRPr="00C07BB7">
              <w:rPr>
                <w:rFonts w:cs="Arial"/>
                <w:sz w:val="20"/>
                <w:szCs w:val="20"/>
              </w:rPr>
              <w:t xml:space="preserve">Specialist and pharmacist-supported review facilitated guideline-based medicines </w:t>
            </w:r>
            <w:proofErr w:type="spellStart"/>
            <w:r w:rsidRPr="00C07BB7">
              <w:rPr>
                <w:rFonts w:cs="Arial"/>
                <w:sz w:val="20"/>
                <w:szCs w:val="20"/>
              </w:rPr>
              <w:t>optimisation</w:t>
            </w:r>
            <w:proofErr w:type="spellEnd"/>
            <w:r w:rsidRPr="00C07BB7">
              <w:rPr>
                <w:rFonts w:cs="Arial"/>
                <w:sz w:val="20"/>
                <w:szCs w:val="20"/>
              </w:rPr>
              <w:t xml:space="preserve"> and appropriate referral within primary care.</w:t>
            </w:r>
          </w:p>
        </w:tc>
        <w:tc>
          <w:tcPr>
            <w:tcW w:w="0" w:type="auto"/>
            <w:hideMark/>
          </w:tcPr>
          <w:p w14:paraId="7AF59D9D"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evaluate an integrated CKD improvement model. </w:t>
            </w:r>
            <w:r w:rsidRPr="00C07BB7">
              <w:rPr>
                <w:rFonts w:cs="Arial"/>
                <w:b/>
                <w:bCs/>
                <w:sz w:val="20"/>
                <w:szCs w:val="20"/>
              </w:rPr>
              <w:t>Contribution:</w:t>
            </w:r>
            <w:r w:rsidRPr="00C07BB7">
              <w:rPr>
                <w:rFonts w:cs="Arial"/>
                <w:sz w:val="20"/>
                <w:szCs w:val="20"/>
              </w:rPr>
              <w:t xml:space="preserve"> Shows specialist-supported primary care can improve CKD treatment </w:t>
            </w:r>
            <w:proofErr w:type="spellStart"/>
            <w:r w:rsidRPr="00C07BB7">
              <w:rPr>
                <w:rFonts w:cs="Arial"/>
                <w:sz w:val="20"/>
                <w:szCs w:val="20"/>
              </w:rPr>
              <w:t>optimisation</w:t>
            </w:r>
            <w:proofErr w:type="spellEnd"/>
            <w:r w:rsidRPr="00C07BB7">
              <w:rPr>
                <w:rFonts w:cs="Arial"/>
                <w:sz w:val="20"/>
                <w:szCs w:val="20"/>
              </w:rPr>
              <w:t>.</w:t>
            </w:r>
          </w:p>
        </w:tc>
      </w:tr>
      <w:tr w:rsidR="00773F15" w:rsidRPr="00C07BB7" w14:paraId="1E1DD859" w14:textId="77777777" w:rsidTr="00334B0F">
        <w:tc>
          <w:tcPr>
            <w:tcW w:w="0" w:type="auto"/>
            <w:hideMark/>
          </w:tcPr>
          <w:p w14:paraId="6700BC13" w14:textId="77777777" w:rsidR="00773F15" w:rsidRPr="00C07BB7" w:rsidRDefault="00773F15" w:rsidP="00462CB9">
            <w:pPr>
              <w:rPr>
                <w:rFonts w:cs="Arial"/>
                <w:sz w:val="20"/>
                <w:szCs w:val="20"/>
              </w:rPr>
            </w:pPr>
            <w:r w:rsidRPr="00C07BB7">
              <w:rPr>
                <w:rFonts w:cs="Arial"/>
                <w:sz w:val="20"/>
                <w:szCs w:val="20"/>
              </w:rPr>
              <w:t>12</w:t>
            </w:r>
          </w:p>
        </w:tc>
        <w:tc>
          <w:tcPr>
            <w:tcW w:w="0" w:type="auto"/>
            <w:hideMark/>
          </w:tcPr>
          <w:p w14:paraId="223C2555" w14:textId="77777777" w:rsidR="00773F15" w:rsidRPr="00C07BB7" w:rsidRDefault="00773F15" w:rsidP="00462CB9">
            <w:pPr>
              <w:rPr>
                <w:rFonts w:cs="Arial"/>
                <w:sz w:val="20"/>
                <w:szCs w:val="20"/>
              </w:rPr>
            </w:pPr>
            <w:r w:rsidRPr="00C07BB7">
              <w:rPr>
                <w:rFonts w:cs="Arial"/>
                <w:sz w:val="20"/>
                <w:szCs w:val="20"/>
              </w:rPr>
              <w:t>Sullivan et al. (2023)</w:t>
            </w:r>
          </w:p>
        </w:tc>
        <w:tc>
          <w:tcPr>
            <w:tcW w:w="0" w:type="auto"/>
            <w:hideMark/>
          </w:tcPr>
          <w:p w14:paraId="7870EE17" w14:textId="77777777" w:rsidR="00773F15" w:rsidRPr="00C07BB7" w:rsidRDefault="00773F15" w:rsidP="00462CB9">
            <w:pPr>
              <w:rPr>
                <w:rFonts w:cs="Arial"/>
                <w:sz w:val="20"/>
                <w:szCs w:val="20"/>
              </w:rPr>
            </w:pPr>
            <w:r w:rsidRPr="00C07BB7">
              <w:rPr>
                <w:rFonts w:cs="Arial"/>
                <w:sz w:val="20"/>
                <w:szCs w:val="20"/>
              </w:rPr>
              <w:t>Wales SAIL database and UK Biobank</w:t>
            </w:r>
          </w:p>
        </w:tc>
        <w:tc>
          <w:tcPr>
            <w:tcW w:w="0" w:type="auto"/>
            <w:hideMark/>
          </w:tcPr>
          <w:p w14:paraId="1F6ADBBF" w14:textId="77777777" w:rsidR="00773F15" w:rsidRPr="00C07BB7" w:rsidRDefault="00773F15" w:rsidP="00462CB9">
            <w:pPr>
              <w:rPr>
                <w:rFonts w:cs="Arial"/>
                <w:sz w:val="20"/>
                <w:szCs w:val="20"/>
              </w:rPr>
            </w:pPr>
            <w:r w:rsidRPr="00C07BB7">
              <w:rPr>
                <w:rFonts w:cs="Arial"/>
                <w:sz w:val="20"/>
                <w:szCs w:val="20"/>
              </w:rPr>
              <w:t>Primary-care database and prospective cohort analysis</w:t>
            </w:r>
          </w:p>
        </w:tc>
        <w:tc>
          <w:tcPr>
            <w:tcW w:w="0" w:type="auto"/>
            <w:hideMark/>
          </w:tcPr>
          <w:p w14:paraId="617CFDBC" w14:textId="77777777" w:rsidR="00773F15" w:rsidRPr="00C07BB7" w:rsidRDefault="00773F15" w:rsidP="00462CB9">
            <w:pPr>
              <w:rPr>
                <w:rFonts w:cs="Arial"/>
                <w:sz w:val="20"/>
                <w:szCs w:val="20"/>
              </w:rPr>
            </w:pPr>
            <w:r w:rsidRPr="00C07BB7">
              <w:rPr>
                <w:rFonts w:cs="Arial"/>
                <w:sz w:val="20"/>
                <w:szCs w:val="20"/>
              </w:rPr>
              <w:t>Adults with reduced eGFR identified from SAIL, supplemented by UK Biobank analyses of ethnicity and kidney-risk measures.</w:t>
            </w:r>
          </w:p>
        </w:tc>
        <w:tc>
          <w:tcPr>
            <w:tcW w:w="0" w:type="auto"/>
            <w:hideMark/>
          </w:tcPr>
          <w:p w14:paraId="131EFCDA" w14:textId="77777777" w:rsidR="00773F15" w:rsidRPr="00C07BB7" w:rsidRDefault="00773F15" w:rsidP="00462CB9">
            <w:pPr>
              <w:rPr>
                <w:rFonts w:cs="Arial"/>
                <w:sz w:val="20"/>
                <w:szCs w:val="20"/>
              </w:rPr>
            </w:pPr>
            <w:r w:rsidRPr="00C07BB7">
              <w:rPr>
                <w:rFonts w:cs="Arial"/>
                <w:sz w:val="20"/>
                <w:szCs w:val="20"/>
              </w:rPr>
              <w:t>Applying updated NICE KFRE and eGFR criteria changed the population potentially eligible for nephrology referral.</w:t>
            </w:r>
          </w:p>
        </w:tc>
        <w:tc>
          <w:tcPr>
            <w:tcW w:w="0" w:type="auto"/>
            <w:hideMark/>
          </w:tcPr>
          <w:p w14:paraId="26D6EBB9"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assess the impact of revised NICE referral guidance. </w:t>
            </w:r>
            <w:r w:rsidRPr="00C07BB7">
              <w:rPr>
                <w:rFonts w:cs="Arial"/>
                <w:b/>
                <w:bCs/>
                <w:sz w:val="20"/>
                <w:szCs w:val="20"/>
              </w:rPr>
              <w:t>Contribution:</w:t>
            </w:r>
            <w:r w:rsidRPr="00C07BB7">
              <w:rPr>
                <w:rFonts w:cs="Arial"/>
                <w:sz w:val="20"/>
                <w:szCs w:val="20"/>
              </w:rPr>
              <w:t xml:space="preserve"> Shows referral decisions change with KFRE, eGFR and albuminuria criteria.</w:t>
            </w:r>
          </w:p>
        </w:tc>
      </w:tr>
      <w:tr w:rsidR="00773F15" w:rsidRPr="00C07BB7" w14:paraId="30335F89" w14:textId="77777777" w:rsidTr="00334B0F">
        <w:tc>
          <w:tcPr>
            <w:tcW w:w="0" w:type="auto"/>
            <w:hideMark/>
          </w:tcPr>
          <w:p w14:paraId="7A019463" w14:textId="77777777" w:rsidR="00773F15" w:rsidRPr="00C07BB7" w:rsidRDefault="00773F15" w:rsidP="00462CB9">
            <w:pPr>
              <w:rPr>
                <w:rFonts w:cs="Arial"/>
                <w:sz w:val="20"/>
                <w:szCs w:val="20"/>
              </w:rPr>
            </w:pPr>
            <w:r w:rsidRPr="00C07BB7">
              <w:rPr>
                <w:rFonts w:cs="Arial"/>
                <w:sz w:val="20"/>
                <w:szCs w:val="20"/>
              </w:rPr>
              <w:t>13</w:t>
            </w:r>
          </w:p>
        </w:tc>
        <w:tc>
          <w:tcPr>
            <w:tcW w:w="0" w:type="auto"/>
            <w:hideMark/>
          </w:tcPr>
          <w:p w14:paraId="29A693CD" w14:textId="275A3DD9" w:rsidR="00773F15" w:rsidRPr="00C07BB7" w:rsidRDefault="00773F15" w:rsidP="00462CB9">
            <w:pPr>
              <w:rPr>
                <w:rFonts w:cs="Arial"/>
                <w:sz w:val="20"/>
                <w:szCs w:val="20"/>
              </w:rPr>
            </w:pPr>
            <w:r w:rsidRPr="00C07BB7">
              <w:rPr>
                <w:rFonts w:cs="Arial"/>
                <w:sz w:val="20"/>
                <w:szCs w:val="20"/>
              </w:rPr>
              <w:t>Tang et al. (2024</w:t>
            </w:r>
            <w:r w:rsidR="009259BE" w:rsidRPr="00C07BB7">
              <w:rPr>
                <w:rFonts w:cs="Arial"/>
                <w:sz w:val="20"/>
                <w:szCs w:val="20"/>
              </w:rPr>
              <w:t>a</w:t>
            </w:r>
            <w:r w:rsidRPr="00C07BB7">
              <w:rPr>
                <w:rFonts w:cs="Arial"/>
                <w:sz w:val="20"/>
                <w:szCs w:val="20"/>
              </w:rPr>
              <w:t>)</w:t>
            </w:r>
          </w:p>
        </w:tc>
        <w:tc>
          <w:tcPr>
            <w:tcW w:w="0" w:type="auto"/>
            <w:hideMark/>
          </w:tcPr>
          <w:p w14:paraId="7680E06F"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492EEEAC" w14:textId="77777777" w:rsidR="00773F15" w:rsidRPr="00C07BB7" w:rsidRDefault="00773F15" w:rsidP="00462CB9">
            <w:pPr>
              <w:rPr>
                <w:rFonts w:cs="Arial"/>
                <w:sz w:val="20"/>
                <w:szCs w:val="20"/>
              </w:rPr>
            </w:pPr>
            <w:r w:rsidRPr="00C07BB7">
              <w:rPr>
                <w:rFonts w:cs="Arial"/>
                <w:sz w:val="20"/>
                <w:szCs w:val="20"/>
              </w:rPr>
              <w:t>Prospective matched cohort</w:t>
            </w:r>
          </w:p>
        </w:tc>
        <w:tc>
          <w:tcPr>
            <w:tcW w:w="0" w:type="auto"/>
            <w:hideMark/>
          </w:tcPr>
          <w:p w14:paraId="28870923" w14:textId="77777777" w:rsidR="00773F15" w:rsidRPr="00C07BB7" w:rsidRDefault="00773F15" w:rsidP="00462CB9">
            <w:pPr>
              <w:rPr>
                <w:rFonts w:cs="Arial"/>
                <w:sz w:val="20"/>
                <w:szCs w:val="20"/>
              </w:rPr>
            </w:pPr>
            <w:r w:rsidRPr="00C07BB7">
              <w:rPr>
                <w:rFonts w:cs="Arial"/>
                <w:sz w:val="20"/>
                <w:szCs w:val="20"/>
              </w:rPr>
              <w:t xml:space="preserve">Adults with obesity matched with normal-weight controls, with several modifiable clinical and </w:t>
            </w:r>
            <w:proofErr w:type="spellStart"/>
            <w:r w:rsidRPr="00C07BB7">
              <w:rPr>
                <w:rFonts w:cs="Arial"/>
                <w:sz w:val="20"/>
                <w:szCs w:val="20"/>
              </w:rPr>
              <w:t>behavioural</w:t>
            </w:r>
            <w:proofErr w:type="spellEnd"/>
            <w:r w:rsidRPr="00C07BB7">
              <w:rPr>
                <w:rFonts w:cs="Arial"/>
                <w:sz w:val="20"/>
                <w:szCs w:val="20"/>
              </w:rPr>
              <w:t xml:space="preserve"> risk factors assessed.</w:t>
            </w:r>
          </w:p>
        </w:tc>
        <w:tc>
          <w:tcPr>
            <w:tcW w:w="0" w:type="auto"/>
            <w:hideMark/>
          </w:tcPr>
          <w:p w14:paraId="5F765695" w14:textId="77777777" w:rsidR="00773F15" w:rsidRPr="00C07BB7" w:rsidRDefault="00773F15" w:rsidP="00462CB9">
            <w:pPr>
              <w:rPr>
                <w:rFonts w:cs="Arial"/>
                <w:sz w:val="20"/>
                <w:szCs w:val="20"/>
              </w:rPr>
            </w:pPr>
            <w:r w:rsidRPr="00C07BB7">
              <w:rPr>
                <w:rFonts w:cs="Arial"/>
                <w:sz w:val="20"/>
                <w:szCs w:val="20"/>
              </w:rPr>
              <w:t xml:space="preserve">Better joint control of cardiometabolic and </w:t>
            </w:r>
            <w:proofErr w:type="spellStart"/>
            <w:r w:rsidRPr="00C07BB7">
              <w:rPr>
                <w:rFonts w:cs="Arial"/>
                <w:sz w:val="20"/>
                <w:szCs w:val="20"/>
              </w:rPr>
              <w:t>behavioural</w:t>
            </w:r>
            <w:proofErr w:type="spellEnd"/>
            <w:r w:rsidRPr="00C07BB7">
              <w:rPr>
                <w:rFonts w:cs="Arial"/>
                <w:sz w:val="20"/>
                <w:szCs w:val="20"/>
              </w:rPr>
              <w:t xml:space="preserve"> risk factors was associated with attenuation of excess CKD risk among adults with obesity.</w:t>
            </w:r>
          </w:p>
        </w:tc>
        <w:tc>
          <w:tcPr>
            <w:tcW w:w="0" w:type="auto"/>
            <w:hideMark/>
          </w:tcPr>
          <w:p w14:paraId="59E48E49"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assess combined risk-factor control. </w:t>
            </w:r>
            <w:r w:rsidRPr="00C07BB7">
              <w:rPr>
                <w:rFonts w:cs="Arial"/>
                <w:b/>
                <w:bCs/>
                <w:sz w:val="20"/>
                <w:szCs w:val="20"/>
              </w:rPr>
              <w:t>Contribution:</w:t>
            </w:r>
            <w:r w:rsidRPr="00C07BB7">
              <w:rPr>
                <w:rFonts w:cs="Arial"/>
                <w:sz w:val="20"/>
                <w:szCs w:val="20"/>
              </w:rPr>
              <w:t xml:space="preserve"> Supports combined risk-factor control for reducing obesity-related CKD risk.</w:t>
            </w:r>
          </w:p>
        </w:tc>
      </w:tr>
      <w:tr w:rsidR="00773F15" w:rsidRPr="00C07BB7" w14:paraId="6E19FACF" w14:textId="77777777" w:rsidTr="00334B0F">
        <w:tc>
          <w:tcPr>
            <w:tcW w:w="0" w:type="auto"/>
            <w:hideMark/>
          </w:tcPr>
          <w:p w14:paraId="3DE4DC84" w14:textId="77777777" w:rsidR="00773F15" w:rsidRPr="00C07BB7" w:rsidRDefault="00773F15" w:rsidP="00462CB9">
            <w:pPr>
              <w:rPr>
                <w:rFonts w:cs="Arial"/>
                <w:sz w:val="20"/>
                <w:szCs w:val="20"/>
              </w:rPr>
            </w:pPr>
            <w:r w:rsidRPr="00C07BB7">
              <w:rPr>
                <w:rFonts w:cs="Arial"/>
                <w:sz w:val="20"/>
                <w:szCs w:val="20"/>
              </w:rPr>
              <w:t>14</w:t>
            </w:r>
          </w:p>
        </w:tc>
        <w:tc>
          <w:tcPr>
            <w:tcW w:w="0" w:type="auto"/>
            <w:hideMark/>
          </w:tcPr>
          <w:p w14:paraId="0FEC9450" w14:textId="77777777" w:rsidR="00773F15" w:rsidRPr="00C07BB7" w:rsidRDefault="00773F15" w:rsidP="00462CB9">
            <w:pPr>
              <w:rPr>
                <w:rFonts w:cs="Arial"/>
                <w:sz w:val="20"/>
                <w:szCs w:val="20"/>
              </w:rPr>
            </w:pPr>
            <w:r w:rsidRPr="00C07BB7">
              <w:rPr>
                <w:rFonts w:cs="Arial"/>
                <w:sz w:val="20"/>
                <w:szCs w:val="20"/>
              </w:rPr>
              <w:t>Wang et al. (2022)</w:t>
            </w:r>
          </w:p>
        </w:tc>
        <w:tc>
          <w:tcPr>
            <w:tcW w:w="0" w:type="auto"/>
            <w:hideMark/>
          </w:tcPr>
          <w:p w14:paraId="02028B2C"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36A1BCC0"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75D2DA34" w14:textId="77777777" w:rsidR="00773F15" w:rsidRPr="00C07BB7" w:rsidRDefault="00773F15" w:rsidP="00462CB9">
            <w:pPr>
              <w:rPr>
                <w:rFonts w:cs="Arial"/>
                <w:sz w:val="20"/>
                <w:szCs w:val="20"/>
              </w:rPr>
            </w:pPr>
            <w:r w:rsidRPr="00C07BB7">
              <w:rPr>
                <w:rFonts w:cs="Arial"/>
                <w:sz w:val="20"/>
                <w:szCs w:val="20"/>
              </w:rPr>
              <w:t>Adults with environmental exposure, genetic susceptibility and linked CKD-outcome information.</w:t>
            </w:r>
          </w:p>
        </w:tc>
        <w:tc>
          <w:tcPr>
            <w:tcW w:w="0" w:type="auto"/>
            <w:hideMark/>
          </w:tcPr>
          <w:p w14:paraId="350A0689" w14:textId="77777777" w:rsidR="00773F15" w:rsidRPr="00C07BB7" w:rsidRDefault="00773F15" w:rsidP="00462CB9">
            <w:pPr>
              <w:rPr>
                <w:rFonts w:cs="Arial"/>
                <w:sz w:val="20"/>
                <w:szCs w:val="20"/>
              </w:rPr>
            </w:pPr>
            <w:r w:rsidRPr="00C07BB7">
              <w:rPr>
                <w:rFonts w:cs="Arial"/>
                <w:sz w:val="20"/>
                <w:szCs w:val="20"/>
              </w:rPr>
              <w:t>Higher long-term exposure to air pollutants was associated with increased incident CKD risk, with genetic susceptibility influencing risk.</w:t>
            </w:r>
          </w:p>
        </w:tc>
        <w:tc>
          <w:tcPr>
            <w:tcW w:w="0" w:type="auto"/>
            <w:hideMark/>
          </w:tcPr>
          <w:p w14:paraId="5CA9832B"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investigate air pollution, genetic factors and CKD. </w:t>
            </w:r>
            <w:r w:rsidRPr="00C07BB7">
              <w:rPr>
                <w:rFonts w:cs="Arial"/>
                <w:b/>
                <w:bCs/>
                <w:sz w:val="20"/>
                <w:szCs w:val="20"/>
              </w:rPr>
              <w:t>Contribution:</w:t>
            </w:r>
            <w:r w:rsidRPr="00C07BB7">
              <w:rPr>
                <w:rFonts w:cs="Arial"/>
                <w:sz w:val="20"/>
                <w:szCs w:val="20"/>
              </w:rPr>
              <w:t xml:space="preserve"> Adds evidence linking air pollution and genetic susceptibility with CKD risk.</w:t>
            </w:r>
          </w:p>
        </w:tc>
      </w:tr>
      <w:tr w:rsidR="00773F15" w:rsidRPr="00C07BB7" w14:paraId="39D68011" w14:textId="77777777" w:rsidTr="00334B0F">
        <w:tc>
          <w:tcPr>
            <w:tcW w:w="0" w:type="auto"/>
            <w:hideMark/>
          </w:tcPr>
          <w:p w14:paraId="75B7D081" w14:textId="77777777" w:rsidR="00773F15" w:rsidRPr="00C07BB7" w:rsidRDefault="00773F15" w:rsidP="00462CB9">
            <w:pPr>
              <w:rPr>
                <w:rFonts w:cs="Arial"/>
                <w:sz w:val="20"/>
                <w:szCs w:val="20"/>
              </w:rPr>
            </w:pPr>
            <w:r w:rsidRPr="00C07BB7">
              <w:rPr>
                <w:rFonts w:cs="Arial"/>
                <w:sz w:val="20"/>
                <w:szCs w:val="20"/>
              </w:rPr>
              <w:t>15</w:t>
            </w:r>
          </w:p>
        </w:tc>
        <w:tc>
          <w:tcPr>
            <w:tcW w:w="0" w:type="auto"/>
            <w:hideMark/>
          </w:tcPr>
          <w:p w14:paraId="27C6E811" w14:textId="77777777" w:rsidR="00773F15" w:rsidRPr="00C07BB7" w:rsidRDefault="00773F15" w:rsidP="00462CB9">
            <w:pPr>
              <w:rPr>
                <w:rFonts w:cs="Arial"/>
                <w:sz w:val="20"/>
                <w:szCs w:val="20"/>
              </w:rPr>
            </w:pPr>
            <w:r w:rsidRPr="00C07BB7">
              <w:rPr>
                <w:rFonts w:cs="Arial"/>
                <w:sz w:val="20"/>
                <w:szCs w:val="20"/>
              </w:rPr>
              <w:t>Zhang et al. (2023)</w:t>
            </w:r>
          </w:p>
        </w:tc>
        <w:tc>
          <w:tcPr>
            <w:tcW w:w="0" w:type="auto"/>
            <w:hideMark/>
          </w:tcPr>
          <w:p w14:paraId="14C189C1" w14:textId="77777777" w:rsidR="00773F15" w:rsidRPr="00C07BB7" w:rsidRDefault="00773F15" w:rsidP="00462CB9">
            <w:pPr>
              <w:rPr>
                <w:rFonts w:cs="Arial"/>
                <w:sz w:val="20"/>
                <w:szCs w:val="20"/>
              </w:rPr>
            </w:pPr>
            <w:r w:rsidRPr="00C07BB7">
              <w:rPr>
                <w:rFonts w:cs="Arial"/>
                <w:sz w:val="20"/>
                <w:szCs w:val="20"/>
              </w:rPr>
              <w:t>UK Biobank</w:t>
            </w:r>
          </w:p>
        </w:tc>
        <w:tc>
          <w:tcPr>
            <w:tcW w:w="0" w:type="auto"/>
            <w:hideMark/>
          </w:tcPr>
          <w:p w14:paraId="5FCE5FB8" w14:textId="77777777" w:rsidR="00773F15" w:rsidRPr="00C07BB7" w:rsidRDefault="00773F15" w:rsidP="00462CB9">
            <w:pPr>
              <w:rPr>
                <w:rFonts w:cs="Arial"/>
                <w:sz w:val="20"/>
                <w:szCs w:val="20"/>
              </w:rPr>
            </w:pPr>
            <w:r w:rsidRPr="00C07BB7">
              <w:rPr>
                <w:rFonts w:cs="Arial"/>
                <w:sz w:val="20"/>
                <w:szCs w:val="20"/>
              </w:rPr>
              <w:t>Prospective cohort</w:t>
            </w:r>
          </w:p>
        </w:tc>
        <w:tc>
          <w:tcPr>
            <w:tcW w:w="0" w:type="auto"/>
            <w:hideMark/>
          </w:tcPr>
          <w:p w14:paraId="0B3AEEF0" w14:textId="77777777" w:rsidR="00773F15" w:rsidRPr="00C07BB7" w:rsidRDefault="00773F15" w:rsidP="00462CB9">
            <w:pPr>
              <w:rPr>
                <w:rFonts w:cs="Arial"/>
                <w:sz w:val="20"/>
                <w:szCs w:val="20"/>
              </w:rPr>
            </w:pPr>
            <w:r w:rsidRPr="00C07BB7">
              <w:rPr>
                <w:rFonts w:cs="Arial"/>
                <w:sz w:val="20"/>
                <w:szCs w:val="20"/>
              </w:rPr>
              <w:t xml:space="preserve">CKD-free participants with questionnaire physical-activity data and an accelerometer </w:t>
            </w:r>
            <w:proofErr w:type="spellStart"/>
            <w:r w:rsidRPr="00C07BB7">
              <w:rPr>
                <w:rFonts w:cs="Arial"/>
                <w:sz w:val="20"/>
                <w:szCs w:val="20"/>
              </w:rPr>
              <w:t>subcohort</w:t>
            </w:r>
            <w:proofErr w:type="spellEnd"/>
            <w:r w:rsidRPr="00C07BB7">
              <w:rPr>
                <w:rFonts w:cs="Arial"/>
                <w:sz w:val="20"/>
                <w:szCs w:val="20"/>
              </w:rPr>
              <w:t xml:space="preserve"> providing objective activity measurement.</w:t>
            </w:r>
          </w:p>
        </w:tc>
        <w:tc>
          <w:tcPr>
            <w:tcW w:w="0" w:type="auto"/>
            <w:hideMark/>
          </w:tcPr>
          <w:p w14:paraId="6EED1F89" w14:textId="77777777" w:rsidR="00773F15" w:rsidRPr="00C07BB7" w:rsidRDefault="00773F15" w:rsidP="00462CB9">
            <w:pPr>
              <w:rPr>
                <w:rFonts w:cs="Arial"/>
                <w:sz w:val="20"/>
                <w:szCs w:val="20"/>
              </w:rPr>
            </w:pPr>
            <w:r w:rsidRPr="00C07BB7">
              <w:rPr>
                <w:rFonts w:cs="Arial"/>
                <w:sz w:val="20"/>
                <w:szCs w:val="20"/>
              </w:rPr>
              <w:t>Higher physical activity was associated with lower incident CKD risk across reported and objectively measured activity assessments.</w:t>
            </w:r>
          </w:p>
        </w:tc>
        <w:tc>
          <w:tcPr>
            <w:tcW w:w="0" w:type="auto"/>
            <w:hideMark/>
          </w:tcPr>
          <w:p w14:paraId="19DFCD5F" w14:textId="77777777" w:rsidR="00773F15" w:rsidRPr="00C07BB7" w:rsidRDefault="00773F15" w:rsidP="00462CB9">
            <w:pPr>
              <w:rPr>
                <w:rFonts w:cs="Arial"/>
                <w:sz w:val="20"/>
                <w:szCs w:val="20"/>
              </w:rPr>
            </w:pPr>
            <w:r w:rsidRPr="00C07BB7">
              <w:rPr>
                <w:rFonts w:cs="Arial"/>
                <w:b/>
                <w:bCs/>
                <w:sz w:val="20"/>
                <w:szCs w:val="20"/>
              </w:rPr>
              <w:t>Aim:</w:t>
            </w:r>
            <w:r w:rsidRPr="00C07BB7">
              <w:rPr>
                <w:rFonts w:cs="Arial"/>
                <w:sz w:val="20"/>
                <w:szCs w:val="20"/>
              </w:rPr>
              <w:t xml:space="preserve"> To examine physical activity and CKD incidence. </w:t>
            </w:r>
            <w:r w:rsidRPr="00C07BB7">
              <w:rPr>
                <w:rFonts w:cs="Arial"/>
                <w:b/>
                <w:bCs/>
                <w:sz w:val="20"/>
                <w:szCs w:val="20"/>
              </w:rPr>
              <w:t>Contribution:</w:t>
            </w:r>
            <w:r w:rsidRPr="00C07BB7">
              <w:rPr>
                <w:rFonts w:cs="Arial"/>
                <w:sz w:val="20"/>
                <w:szCs w:val="20"/>
              </w:rPr>
              <w:t xml:space="preserve"> Strengthens evidence linking higher physical activity with lower CKD incidence.</w:t>
            </w:r>
          </w:p>
        </w:tc>
      </w:tr>
    </w:tbl>
    <w:p w14:paraId="74FBDBBF" w14:textId="77777777" w:rsidR="00773F15" w:rsidRPr="00C07BB7" w:rsidRDefault="00773F15" w:rsidP="00462CB9">
      <w:pPr>
        <w:rPr>
          <w:rFonts w:cs="Arial"/>
          <w:sz w:val="18"/>
          <w:szCs w:val="18"/>
        </w:rPr>
        <w:sectPr w:rsidR="00773F15" w:rsidRPr="00C07BB7" w:rsidSect="00991CD5">
          <w:pgSz w:w="16838" w:h="11906" w:orient="landscape" w:code="9"/>
          <w:pgMar w:top="1440" w:right="1800" w:bottom="1440" w:left="1800" w:header="720" w:footer="720" w:gutter="0"/>
          <w:cols w:space="720"/>
          <w:docGrid w:linePitch="360"/>
        </w:sectPr>
      </w:pPr>
    </w:p>
    <w:p w14:paraId="6483F52E" w14:textId="77777777" w:rsidR="00455358" w:rsidRPr="00455358" w:rsidRDefault="00455358" w:rsidP="00455358">
      <w:bookmarkStart w:id="123" w:name="_Toc239757496"/>
      <w:bookmarkStart w:id="124" w:name="_Toc240666927"/>
    </w:p>
    <w:p w14:paraId="7D2A2AD7" w14:textId="400A419D" w:rsidR="00773F15" w:rsidRPr="00C07BB7" w:rsidRDefault="00773F15" w:rsidP="00462CB9">
      <w:pPr>
        <w:pStyle w:val="Heading2"/>
        <w:rPr>
          <w:rFonts w:cs="Arial"/>
        </w:rPr>
      </w:pPr>
      <w:bookmarkStart w:id="125" w:name="_Toc241011078"/>
      <w:r w:rsidRPr="00C07BB7">
        <w:rPr>
          <w:rFonts w:cs="Arial"/>
        </w:rPr>
        <w:t>4.4 Characteristics of Included Studies</w:t>
      </w:r>
      <w:bookmarkEnd w:id="123"/>
      <w:bookmarkEnd w:id="124"/>
      <w:bookmarkEnd w:id="125"/>
    </w:p>
    <w:p w14:paraId="55BA6F11" w14:textId="181BC7E5" w:rsidR="00773F15" w:rsidRPr="00C07BB7" w:rsidRDefault="006218E6" w:rsidP="00041A40">
      <w:pPr>
        <w:spacing w:after="0"/>
        <w:rPr>
          <w:rFonts w:cs="Arial"/>
        </w:rPr>
      </w:pPr>
      <w:r w:rsidRPr="00C07BB7">
        <w:rPr>
          <w:rFonts w:cs="Arial"/>
        </w:rPr>
        <w:t xml:space="preserve">Table 4.2 </w:t>
      </w:r>
      <w:proofErr w:type="spellStart"/>
      <w:r w:rsidRPr="00C07BB7">
        <w:rPr>
          <w:rFonts w:cs="Arial"/>
        </w:rPr>
        <w:t>summarises</w:t>
      </w:r>
      <w:proofErr w:type="spellEnd"/>
      <w:r w:rsidRPr="00C07BB7">
        <w:rPr>
          <w:rFonts w:cs="Arial"/>
        </w:rPr>
        <w:t xml:space="preserve"> the characteristics of the 15 studies included.</w:t>
      </w:r>
      <w:r w:rsidR="00773F15" w:rsidRPr="00C07BB7">
        <w:rPr>
          <w:rFonts w:cs="Arial"/>
        </w:rPr>
        <w:t xml:space="preserve"> Data cover primary care, renal services, integrated-care </w:t>
      </w:r>
      <w:proofErr w:type="spellStart"/>
      <w:r w:rsidR="00773F15" w:rsidRPr="00C07BB7">
        <w:rPr>
          <w:rFonts w:cs="Arial"/>
        </w:rPr>
        <w:t>programmes</w:t>
      </w:r>
      <w:proofErr w:type="spellEnd"/>
      <w:r w:rsidR="00773F15" w:rsidRPr="00C07BB7">
        <w:rPr>
          <w:rFonts w:cs="Arial"/>
        </w:rPr>
        <w:t xml:space="preserve"> and the UK Biobank cohort and enable the study of CKD from clinical, </w:t>
      </w:r>
      <w:proofErr w:type="spellStart"/>
      <w:r w:rsidR="00773F15" w:rsidRPr="00C07BB7">
        <w:rPr>
          <w:rFonts w:cs="Arial"/>
        </w:rPr>
        <w:t>behavioural</w:t>
      </w:r>
      <w:proofErr w:type="spellEnd"/>
      <w:r w:rsidR="00773F15" w:rsidRPr="00C07BB7">
        <w:rPr>
          <w:rFonts w:cs="Arial"/>
        </w:rPr>
        <w:t xml:space="preserve">, environmental and </w:t>
      </w:r>
      <w:proofErr w:type="spellStart"/>
      <w:r w:rsidR="00773F15" w:rsidRPr="00C07BB7">
        <w:rPr>
          <w:rFonts w:cs="Arial"/>
        </w:rPr>
        <w:t>organisational</w:t>
      </w:r>
      <w:proofErr w:type="spellEnd"/>
      <w:r w:rsidR="00773F15" w:rsidRPr="00C07BB7">
        <w:rPr>
          <w:rFonts w:cs="Arial"/>
        </w:rPr>
        <w:t xml:space="preserve"> perspectives. These include both </w:t>
      </w:r>
      <w:proofErr w:type="spellStart"/>
      <w:r w:rsidR="00773F15" w:rsidRPr="00C07BB7">
        <w:rPr>
          <w:rFonts w:cs="Arial"/>
        </w:rPr>
        <w:t>randomised</w:t>
      </w:r>
      <w:proofErr w:type="spellEnd"/>
      <w:r w:rsidR="00773F15" w:rsidRPr="00C07BB7">
        <w:rPr>
          <w:rFonts w:cs="Arial"/>
        </w:rPr>
        <w:t xml:space="preserve"> intervention and qualitative research designs, as well as prospective cohorts, routine record analyses and service evaluations. This brings a sense of diversity that reinforces the goals of the research; however, comparability is not made easy. There is also an imbalance seen in the table. There is a greater body of evidence on risk factors than on management, with observational cohorts predominating and implementation studies/risk-stratification analyses/one digital </w:t>
      </w:r>
      <w:proofErr w:type="spellStart"/>
      <w:r w:rsidR="00773F15" w:rsidRPr="00C07BB7">
        <w:rPr>
          <w:rFonts w:cs="Arial"/>
        </w:rPr>
        <w:t>randomised</w:t>
      </w:r>
      <w:proofErr w:type="spellEnd"/>
      <w:r w:rsidR="00773F15" w:rsidRPr="00C07BB7">
        <w:rPr>
          <w:rFonts w:cs="Arial"/>
        </w:rPr>
        <w:t xml:space="preserve"> trial for management. The review may broadly describe recurring risk patterns, while causal inference may be made only for certain interventions. On the other hand, the study's purpose to answer the question it was designed to answer is what it calls for when it comes to interpreting it. This is what is known as thematic synthesis.</w:t>
      </w:r>
    </w:p>
    <w:p w14:paraId="3AB6442F" w14:textId="77777777" w:rsidR="00773F15" w:rsidRDefault="00773F15" w:rsidP="00462CB9">
      <w:pPr>
        <w:rPr>
          <w:rFonts w:cs="Arial"/>
        </w:rPr>
      </w:pPr>
    </w:p>
    <w:p w14:paraId="70872CB3" w14:textId="77777777" w:rsidR="002151EE" w:rsidRDefault="002151EE" w:rsidP="00462CB9">
      <w:pPr>
        <w:rPr>
          <w:rFonts w:cs="Arial"/>
        </w:rPr>
      </w:pPr>
    </w:p>
    <w:p w14:paraId="22669AF5" w14:textId="77777777" w:rsidR="002872FB" w:rsidRDefault="002872FB" w:rsidP="00462CB9">
      <w:pPr>
        <w:rPr>
          <w:rFonts w:cs="Arial"/>
        </w:rPr>
      </w:pPr>
    </w:p>
    <w:p w14:paraId="6A13A249" w14:textId="77777777" w:rsidR="002872FB" w:rsidRDefault="002872FB" w:rsidP="00462CB9">
      <w:pPr>
        <w:rPr>
          <w:rFonts w:cs="Arial"/>
        </w:rPr>
      </w:pPr>
    </w:p>
    <w:p w14:paraId="121DA0E9" w14:textId="77777777" w:rsidR="00ED5ADF" w:rsidRDefault="00ED5ADF" w:rsidP="00462CB9">
      <w:pPr>
        <w:rPr>
          <w:rFonts w:cs="Arial"/>
        </w:rPr>
      </w:pPr>
    </w:p>
    <w:p w14:paraId="6C43CDD8" w14:textId="77777777" w:rsidR="00ED5ADF" w:rsidRPr="00C07BB7" w:rsidRDefault="00ED5ADF" w:rsidP="00462CB9">
      <w:pPr>
        <w:rPr>
          <w:rFonts w:cs="Arial"/>
        </w:rPr>
        <w:sectPr w:rsidR="00ED5ADF" w:rsidRPr="00C07BB7" w:rsidSect="00991CD5">
          <w:type w:val="continuous"/>
          <w:pgSz w:w="16838" w:h="11906" w:orient="landscape" w:code="9"/>
          <w:pgMar w:top="1440" w:right="1800" w:bottom="1440" w:left="1800" w:header="720" w:footer="720" w:gutter="0"/>
          <w:cols w:space="720"/>
          <w:docGrid w:linePitch="360"/>
        </w:sectPr>
      </w:pPr>
    </w:p>
    <w:p w14:paraId="003CBC2D" w14:textId="77777777" w:rsidR="00773F15" w:rsidRPr="002151EE" w:rsidRDefault="00773F15" w:rsidP="002151EE">
      <w:pPr>
        <w:pStyle w:val="TOC1"/>
      </w:pPr>
      <w:r w:rsidRPr="002151EE">
        <w:rPr>
          <w:b/>
          <w:bCs/>
        </w:rPr>
        <w:t>Table 4.2.</w:t>
      </w:r>
      <w:r w:rsidRPr="002151EE">
        <w:t xml:space="preserve"> Detailed characteristics and data extraction of the 15 included studies</w:t>
      </w:r>
    </w:p>
    <w:tbl>
      <w:tblPr>
        <w:tblStyle w:val="TableGrid"/>
        <w:tblW w:w="15866" w:type="dxa"/>
        <w:jc w:val="center"/>
        <w:tblLayout w:type="fixed"/>
        <w:tblLook w:val="04A0" w:firstRow="1" w:lastRow="0" w:firstColumn="1" w:lastColumn="0" w:noHBand="0" w:noVBand="1"/>
      </w:tblPr>
      <w:tblGrid>
        <w:gridCol w:w="504"/>
        <w:gridCol w:w="1656"/>
        <w:gridCol w:w="1800"/>
        <w:gridCol w:w="1440"/>
        <w:gridCol w:w="3384"/>
        <w:gridCol w:w="3240"/>
        <w:gridCol w:w="3842"/>
      </w:tblGrid>
      <w:tr w:rsidR="00773F15" w:rsidRPr="0080550A" w14:paraId="189E0593" w14:textId="77777777" w:rsidTr="008E3A72">
        <w:trPr>
          <w:tblHeader/>
          <w:jc w:val="center"/>
        </w:trPr>
        <w:tc>
          <w:tcPr>
            <w:tcW w:w="504" w:type="dxa"/>
            <w:shd w:val="clear" w:color="auto" w:fill="FFFFFF" w:themeFill="background1"/>
          </w:tcPr>
          <w:p w14:paraId="350BC29F"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No.</w:t>
            </w:r>
          </w:p>
        </w:tc>
        <w:tc>
          <w:tcPr>
            <w:tcW w:w="1656" w:type="dxa"/>
            <w:shd w:val="clear" w:color="auto" w:fill="FFFFFF" w:themeFill="background1"/>
          </w:tcPr>
          <w:p w14:paraId="1F36110D"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Study</w:t>
            </w:r>
          </w:p>
        </w:tc>
        <w:tc>
          <w:tcPr>
            <w:tcW w:w="1800" w:type="dxa"/>
            <w:shd w:val="clear" w:color="auto" w:fill="FFFFFF" w:themeFill="background1"/>
          </w:tcPr>
          <w:p w14:paraId="7838E5ED"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UK setting</w:t>
            </w:r>
          </w:p>
        </w:tc>
        <w:tc>
          <w:tcPr>
            <w:tcW w:w="1440" w:type="dxa"/>
            <w:shd w:val="clear" w:color="auto" w:fill="FFFFFF" w:themeFill="background1"/>
          </w:tcPr>
          <w:p w14:paraId="39D9BCDE"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Design</w:t>
            </w:r>
          </w:p>
        </w:tc>
        <w:tc>
          <w:tcPr>
            <w:tcW w:w="3384" w:type="dxa"/>
            <w:shd w:val="clear" w:color="auto" w:fill="FFFFFF" w:themeFill="background1"/>
          </w:tcPr>
          <w:p w14:paraId="712F6F94"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Sample and selection method</w:t>
            </w:r>
          </w:p>
        </w:tc>
        <w:tc>
          <w:tcPr>
            <w:tcW w:w="3240" w:type="dxa"/>
            <w:shd w:val="clear" w:color="auto" w:fill="FFFFFF" w:themeFill="background1"/>
          </w:tcPr>
          <w:p w14:paraId="43D8864A"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Data collection / analysis</w:t>
            </w:r>
          </w:p>
        </w:tc>
        <w:tc>
          <w:tcPr>
            <w:tcW w:w="3842" w:type="dxa"/>
            <w:shd w:val="clear" w:color="auto" w:fill="FFFFFF" w:themeFill="background1"/>
          </w:tcPr>
          <w:p w14:paraId="64A492BB" w14:textId="77777777" w:rsidR="00773F15" w:rsidRPr="0080550A" w:rsidRDefault="00773F15" w:rsidP="00462CB9">
            <w:pPr>
              <w:spacing w:after="0"/>
              <w:rPr>
                <w:rFonts w:cs="Arial"/>
                <w:color w:val="000000" w:themeColor="text1"/>
                <w:sz w:val="20"/>
                <w:szCs w:val="20"/>
              </w:rPr>
            </w:pPr>
            <w:r w:rsidRPr="0080550A">
              <w:rPr>
                <w:rFonts w:cs="Arial"/>
                <w:b/>
                <w:color w:val="000000" w:themeColor="text1"/>
                <w:sz w:val="20"/>
                <w:szCs w:val="20"/>
              </w:rPr>
              <w:t>Aim and thematic contribution</w:t>
            </w:r>
          </w:p>
        </w:tc>
      </w:tr>
      <w:tr w:rsidR="00773F15" w:rsidRPr="0080550A" w14:paraId="2E7DE89A" w14:textId="77777777" w:rsidTr="008E3A72">
        <w:trPr>
          <w:jc w:val="center"/>
        </w:trPr>
        <w:tc>
          <w:tcPr>
            <w:tcW w:w="504" w:type="dxa"/>
          </w:tcPr>
          <w:p w14:paraId="014892A0" w14:textId="77777777" w:rsidR="00773F15" w:rsidRPr="0080550A" w:rsidRDefault="00773F15" w:rsidP="00462CB9">
            <w:pPr>
              <w:spacing w:after="0"/>
              <w:rPr>
                <w:rFonts w:cs="Arial"/>
                <w:sz w:val="20"/>
                <w:szCs w:val="20"/>
              </w:rPr>
            </w:pPr>
            <w:r w:rsidRPr="0080550A">
              <w:rPr>
                <w:rFonts w:cs="Arial"/>
                <w:b/>
                <w:color w:val="000000"/>
                <w:sz w:val="20"/>
                <w:szCs w:val="20"/>
              </w:rPr>
              <w:t>1</w:t>
            </w:r>
          </w:p>
        </w:tc>
        <w:tc>
          <w:tcPr>
            <w:tcW w:w="1656" w:type="dxa"/>
          </w:tcPr>
          <w:p w14:paraId="582DBCC5" w14:textId="77777777" w:rsidR="00773F15" w:rsidRPr="0080550A" w:rsidRDefault="00773F15" w:rsidP="00462CB9">
            <w:pPr>
              <w:spacing w:after="0"/>
              <w:rPr>
                <w:rFonts w:cs="Arial"/>
                <w:sz w:val="20"/>
                <w:szCs w:val="20"/>
              </w:rPr>
            </w:pPr>
            <w:r w:rsidRPr="0080550A">
              <w:rPr>
                <w:rFonts w:cs="Arial"/>
                <w:b/>
                <w:color w:val="000000"/>
                <w:sz w:val="20"/>
                <w:szCs w:val="20"/>
              </w:rPr>
              <w:t>Stewart et al. (2026)</w:t>
            </w:r>
          </w:p>
        </w:tc>
        <w:tc>
          <w:tcPr>
            <w:tcW w:w="1800" w:type="dxa"/>
          </w:tcPr>
          <w:p w14:paraId="6DAFB7B1" w14:textId="77777777" w:rsidR="00773F15" w:rsidRPr="0080550A" w:rsidRDefault="00773F15" w:rsidP="00462CB9">
            <w:pPr>
              <w:spacing w:after="0"/>
              <w:rPr>
                <w:rFonts w:cs="Arial"/>
                <w:sz w:val="20"/>
                <w:szCs w:val="20"/>
              </w:rPr>
            </w:pPr>
            <w:r w:rsidRPr="0080550A">
              <w:rPr>
                <w:rFonts w:cs="Arial"/>
                <w:color w:val="000000"/>
                <w:sz w:val="20"/>
                <w:szCs w:val="20"/>
              </w:rPr>
              <w:t>Greater Manchester, England; primary care</w:t>
            </w:r>
          </w:p>
        </w:tc>
        <w:tc>
          <w:tcPr>
            <w:tcW w:w="1440" w:type="dxa"/>
          </w:tcPr>
          <w:p w14:paraId="0926FCB6" w14:textId="77777777" w:rsidR="00773F15" w:rsidRPr="0080550A" w:rsidRDefault="00773F15" w:rsidP="00462CB9">
            <w:pPr>
              <w:spacing w:after="0"/>
              <w:rPr>
                <w:rFonts w:cs="Arial"/>
                <w:sz w:val="20"/>
                <w:szCs w:val="20"/>
              </w:rPr>
            </w:pPr>
            <w:r w:rsidRPr="0080550A">
              <w:rPr>
                <w:rFonts w:cs="Arial"/>
                <w:color w:val="000000"/>
                <w:sz w:val="20"/>
                <w:szCs w:val="20"/>
              </w:rPr>
              <w:t>Retrospective cohort</w:t>
            </w:r>
          </w:p>
        </w:tc>
        <w:tc>
          <w:tcPr>
            <w:tcW w:w="3384" w:type="dxa"/>
          </w:tcPr>
          <w:p w14:paraId="37B98BE3" w14:textId="77777777" w:rsidR="00773F15" w:rsidRPr="0080550A" w:rsidRDefault="00773F15" w:rsidP="00462CB9">
            <w:pPr>
              <w:spacing w:after="0"/>
              <w:rPr>
                <w:rFonts w:cs="Arial"/>
                <w:sz w:val="20"/>
                <w:szCs w:val="20"/>
              </w:rPr>
            </w:pPr>
            <w:r w:rsidRPr="0080550A">
              <w:rPr>
                <w:rFonts w:cs="Arial"/>
                <w:color w:val="000000"/>
                <w:sz w:val="20"/>
                <w:szCs w:val="20"/>
              </w:rPr>
              <w:t>Main analysis used 71,383 complete CKD stage 3–5 cases with long follow-up from the Greater Manchester Care Record. Adults were selected through primary-care CKD criteria and available eGFR/</w:t>
            </w:r>
            <w:proofErr w:type="spellStart"/>
            <w:r w:rsidRPr="0080550A">
              <w:rPr>
                <w:rFonts w:cs="Arial"/>
                <w:color w:val="000000"/>
                <w:sz w:val="20"/>
                <w:szCs w:val="20"/>
              </w:rPr>
              <w:t>uACR</w:t>
            </w:r>
            <w:proofErr w:type="spellEnd"/>
            <w:r w:rsidRPr="0080550A">
              <w:rPr>
                <w:rFonts w:cs="Arial"/>
                <w:color w:val="000000"/>
                <w:sz w:val="20"/>
                <w:szCs w:val="20"/>
              </w:rPr>
              <w:t xml:space="preserve"> data for KFRE calculation.</w:t>
            </w:r>
          </w:p>
        </w:tc>
        <w:tc>
          <w:tcPr>
            <w:tcW w:w="3240" w:type="dxa"/>
          </w:tcPr>
          <w:p w14:paraId="64385F06" w14:textId="77777777" w:rsidR="00773F15" w:rsidRPr="0080550A" w:rsidRDefault="00773F15" w:rsidP="00462CB9">
            <w:pPr>
              <w:spacing w:after="0"/>
              <w:rPr>
                <w:rFonts w:cs="Arial"/>
                <w:sz w:val="20"/>
                <w:szCs w:val="20"/>
              </w:rPr>
            </w:pPr>
            <w:r w:rsidRPr="0080550A">
              <w:rPr>
                <w:rFonts w:cs="Arial"/>
                <w:color w:val="000000"/>
                <w:sz w:val="20"/>
                <w:szCs w:val="20"/>
              </w:rPr>
              <w:t>Routine EHR extraction of kidney function, albuminuria, comorbidity, mortality and renal replacement outcomes; descriptive and multinomial regression analyses.</w:t>
            </w:r>
          </w:p>
        </w:tc>
        <w:tc>
          <w:tcPr>
            <w:tcW w:w="3842" w:type="dxa"/>
          </w:tcPr>
          <w:p w14:paraId="61A26808" w14:textId="77777777" w:rsidR="00773F15" w:rsidRPr="0080550A" w:rsidRDefault="00773F15" w:rsidP="00462CB9">
            <w:pPr>
              <w:spacing w:after="0"/>
              <w:rPr>
                <w:rFonts w:cs="Arial"/>
                <w:sz w:val="20"/>
                <w:szCs w:val="20"/>
              </w:rPr>
            </w:pPr>
            <w:r w:rsidRPr="0080550A">
              <w:rPr>
                <w:rFonts w:cs="Arial"/>
                <w:color w:val="000000"/>
                <w:sz w:val="20"/>
                <w:szCs w:val="20"/>
              </w:rPr>
              <w:t>To examine how KFRE categories relate to kidney failure versus death and to estimate the population potentially requiring nephrology referral. Theme: progression and risk stratification.</w:t>
            </w:r>
          </w:p>
        </w:tc>
      </w:tr>
      <w:tr w:rsidR="00773F15" w:rsidRPr="0080550A" w14:paraId="148602DD" w14:textId="77777777" w:rsidTr="008E3A72">
        <w:trPr>
          <w:jc w:val="center"/>
        </w:trPr>
        <w:tc>
          <w:tcPr>
            <w:tcW w:w="504" w:type="dxa"/>
          </w:tcPr>
          <w:p w14:paraId="2F5132CA" w14:textId="77777777" w:rsidR="00773F15" w:rsidRPr="0080550A" w:rsidRDefault="00773F15" w:rsidP="00462CB9">
            <w:pPr>
              <w:spacing w:after="0"/>
              <w:rPr>
                <w:rFonts w:cs="Arial"/>
                <w:sz w:val="20"/>
                <w:szCs w:val="20"/>
              </w:rPr>
            </w:pPr>
            <w:r w:rsidRPr="0080550A">
              <w:rPr>
                <w:rFonts w:cs="Arial"/>
                <w:b/>
                <w:color w:val="000000"/>
                <w:sz w:val="20"/>
                <w:szCs w:val="20"/>
              </w:rPr>
              <w:t>2</w:t>
            </w:r>
          </w:p>
        </w:tc>
        <w:tc>
          <w:tcPr>
            <w:tcW w:w="1656" w:type="dxa"/>
          </w:tcPr>
          <w:p w14:paraId="591636DD" w14:textId="77777777" w:rsidR="00773F15" w:rsidRPr="0080550A" w:rsidRDefault="00773F15" w:rsidP="00462CB9">
            <w:pPr>
              <w:spacing w:after="0"/>
              <w:rPr>
                <w:rFonts w:cs="Arial"/>
                <w:sz w:val="20"/>
                <w:szCs w:val="20"/>
              </w:rPr>
            </w:pPr>
            <w:r w:rsidRPr="0080550A">
              <w:rPr>
                <w:rFonts w:cs="Arial"/>
                <w:b/>
                <w:color w:val="000000"/>
                <w:sz w:val="20"/>
                <w:szCs w:val="20"/>
              </w:rPr>
              <w:t>Forbes et al. (2024)</w:t>
            </w:r>
          </w:p>
        </w:tc>
        <w:tc>
          <w:tcPr>
            <w:tcW w:w="1800" w:type="dxa"/>
          </w:tcPr>
          <w:p w14:paraId="4443A110" w14:textId="77777777" w:rsidR="00773F15" w:rsidRPr="0080550A" w:rsidRDefault="00773F15" w:rsidP="00462CB9">
            <w:pPr>
              <w:spacing w:after="0"/>
              <w:rPr>
                <w:rFonts w:cs="Arial"/>
                <w:sz w:val="20"/>
                <w:szCs w:val="20"/>
              </w:rPr>
            </w:pPr>
            <w:r w:rsidRPr="0080550A">
              <w:rPr>
                <w:rFonts w:cs="Arial"/>
                <w:color w:val="000000"/>
                <w:sz w:val="20"/>
                <w:szCs w:val="20"/>
              </w:rPr>
              <w:t>England; 738 primary-care practices</w:t>
            </w:r>
          </w:p>
        </w:tc>
        <w:tc>
          <w:tcPr>
            <w:tcW w:w="1440" w:type="dxa"/>
          </w:tcPr>
          <w:p w14:paraId="7186C86A" w14:textId="77777777" w:rsidR="00773F15" w:rsidRPr="0080550A" w:rsidRDefault="00773F15" w:rsidP="00462CB9">
            <w:pPr>
              <w:spacing w:after="0"/>
              <w:rPr>
                <w:rFonts w:cs="Arial"/>
                <w:sz w:val="20"/>
                <w:szCs w:val="20"/>
              </w:rPr>
            </w:pPr>
            <w:r w:rsidRPr="0080550A">
              <w:rPr>
                <w:rFonts w:cs="Arial"/>
                <w:color w:val="000000"/>
                <w:sz w:val="20"/>
                <w:szCs w:val="20"/>
              </w:rPr>
              <w:t>Cross-sectional EHR study</w:t>
            </w:r>
          </w:p>
        </w:tc>
        <w:tc>
          <w:tcPr>
            <w:tcW w:w="3384" w:type="dxa"/>
          </w:tcPr>
          <w:p w14:paraId="5AC37009" w14:textId="77777777" w:rsidR="00773F15" w:rsidRPr="0080550A" w:rsidRDefault="00773F15" w:rsidP="00462CB9">
            <w:pPr>
              <w:spacing w:after="0"/>
              <w:rPr>
                <w:rFonts w:cs="Arial"/>
                <w:sz w:val="20"/>
                <w:szCs w:val="20"/>
              </w:rPr>
            </w:pPr>
            <w:r w:rsidRPr="0080550A">
              <w:rPr>
                <w:rFonts w:cs="Arial"/>
                <w:color w:val="000000"/>
                <w:sz w:val="20"/>
                <w:szCs w:val="20"/>
              </w:rPr>
              <w:t>516,491 adults with CKD were identified from a source population of 6.67 million adults. CKD was defined using codes, repeated eGFR and/or proteinuria; eligibility was mapped to four SGLT2 guidelines.</w:t>
            </w:r>
          </w:p>
        </w:tc>
        <w:tc>
          <w:tcPr>
            <w:tcW w:w="3240" w:type="dxa"/>
          </w:tcPr>
          <w:p w14:paraId="16ADE7E8" w14:textId="77777777" w:rsidR="00773F15" w:rsidRPr="0080550A" w:rsidRDefault="00773F15" w:rsidP="00462CB9">
            <w:pPr>
              <w:spacing w:after="0"/>
              <w:rPr>
                <w:rFonts w:cs="Arial"/>
                <w:sz w:val="20"/>
                <w:szCs w:val="20"/>
              </w:rPr>
            </w:pPr>
            <w:proofErr w:type="spellStart"/>
            <w:r w:rsidRPr="0080550A">
              <w:rPr>
                <w:rFonts w:cs="Arial"/>
                <w:color w:val="000000"/>
                <w:sz w:val="20"/>
                <w:szCs w:val="20"/>
              </w:rPr>
              <w:t>Pseudonymised</w:t>
            </w:r>
            <w:proofErr w:type="spellEnd"/>
            <w:r w:rsidRPr="0080550A">
              <w:rPr>
                <w:rFonts w:cs="Arial"/>
                <w:color w:val="000000"/>
                <w:sz w:val="20"/>
                <w:szCs w:val="20"/>
              </w:rPr>
              <w:t xml:space="preserve"> primary-care EHR data including diagnoses, laboratory measures, comorbidity and prescribing; guideline-eligibility classification and logistic regression.</w:t>
            </w:r>
          </w:p>
        </w:tc>
        <w:tc>
          <w:tcPr>
            <w:tcW w:w="3842" w:type="dxa"/>
          </w:tcPr>
          <w:p w14:paraId="28A67292" w14:textId="77777777" w:rsidR="00773F15" w:rsidRPr="0080550A" w:rsidRDefault="00773F15" w:rsidP="00462CB9">
            <w:pPr>
              <w:spacing w:after="0"/>
              <w:rPr>
                <w:rFonts w:cs="Arial"/>
                <w:sz w:val="20"/>
                <w:szCs w:val="20"/>
              </w:rPr>
            </w:pPr>
            <w:r w:rsidRPr="0080550A">
              <w:rPr>
                <w:rFonts w:cs="Arial"/>
                <w:color w:val="000000"/>
                <w:sz w:val="20"/>
                <w:szCs w:val="20"/>
              </w:rPr>
              <w:t>To assess how contemporary SGLT2 guidance applies to real-world CKD and whether eligible patients receive treatment. Theme: pharmacological implementation.</w:t>
            </w:r>
          </w:p>
        </w:tc>
      </w:tr>
      <w:tr w:rsidR="00773F15" w:rsidRPr="0080550A" w14:paraId="2A65889F" w14:textId="77777777" w:rsidTr="008E3A72">
        <w:trPr>
          <w:jc w:val="center"/>
        </w:trPr>
        <w:tc>
          <w:tcPr>
            <w:tcW w:w="504" w:type="dxa"/>
          </w:tcPr>
          <w:p w14:paraId="7428981F" w14:textId="77777777" w:rsidR="00773F15" w:rsidRPr="0080550A" w:rsidRDefault="00773F15" w:rsidP="00462CB9">
            <w:pPr>
              <w:spacing w:after="0"/>
              <w:rPr>
                <w:rFonts w:cs="Arial"/>
                <w:sz w:val="20"/>
                <w:szCs w:val="20"/>
              </w:rPr>
            </w:pPr>
            <w:r w:rsidRPr="0080550A">
              <w:rPr>
                <w:rFonts w:cs="Arial"/>
                <w:b/>
                <w:color w:val="000000"/>
                <w:sz w:val="20"/>
                <w:szCs w:val="20"/>
              </w:rPr>
              <w:t>3</w:t>
            </w:r>
          </w:p>
        </w:tc>
        <w:tc>
          <w:tcPr>
            <w:tcW w:w="1656" w:type="dxa"/>
          </w:tcPr>
          <w:p w14:paraId="5460D42C" w14:textId="77777777" w:rsidR="00773F15" w:rsidRPr="0080550A" w:rsidRDefault="00773F15" w:rsidP="00462CB9">
            <w:pPr>
              <w:spacing w:after="0"/>
              <w:rPr>
                <w:rFonts w:cs="Arial"/>
                <w:sz w:val="20"/>
                <w:szCs w:val="20"/>
              </w:rPr>
            </w:pPr>
            <w:r w:rsidRPr="0080550A">
              <w:rPr>
                <w:rFonts w:cs="Arial"/>
                <w:b/>
                <w:color w:val="000000"/>
                <w:sz w:val="20"/>
                <w:szCs w:val="20"/>
              </w:rPr>
              <w:t>Major et al. (2025)</w:t>
            </w:r>
          </w:p>
        </w:tc>
        <w:tc>
          <w:tcPr>
            <w:tcW w:w="1800" w:type="dxa"/>
          </w:tcPr>
          <w:p w14:paraId="21B88004" w14:textId="77777777" w:rsidR="00773F15" w:rsidRPr="0080550A" w:rsidRDefault="00773F15" w:rsidP="00462CB9">
            <w:pPr>
              <w:spacing w:after="0"/>
              <w:rPr>
                <w:rFonts w:cs="Arial"/>
                <w:sz w:val="20"/>
                <w:szCs w:val="20"/>
              </w:rPr>
            </w:pPr>
            <w:r w:rsidRPr="0080550A">
              <w:rPr>
                <w:rFonts w:cs="Arial"/>
                <w:color w:val="000000"/>
                <w:sz w:val="20"/>
                <w:szCs w:val="20"/>
              </w:rPr>
              <w:t>Leicester, Leicestershire and Rutland, England</w:t>
            </w:r>
          </w:p>
        </w:tc>
        <w:tc>
          <w:tcPr>
            <w:tcW w:w="1440" w:type="dxa"/>
          </w:tcPr>
          <w:p w14:paraId="3E13DFBC" w14:textId="77777777" w:rsidR="00773F15" w:rsidRPr="0080550A" w:rsidRDefault="00773F15" w:rsidP="00462CB9">
            <w:pPr>
              <w:spacing w:after="0"/>
              <w:rPr>
                <w:rFonts w:cs="Arial"/>
                <w:sz w:val="20"/>
                <w:szCs w:val="20"/>
              </w:rPr>
            </w:pPr>
            <w:r w:rsidRPr="0080550A">
              <w:rPr>
                <w:rFonts w:cs="Arial"/>
                <w:color w:val="000000"/>
                <w:sz w:val="20"/>
                <w:szCs w:val="20"/>
              </w:rPr>
              <w:t>Integrated-care service evaluation</w:t>
            </w:r>
          </w:p>
        </w:tc>
        <w:tc>
          <w:tcPr>
            <w:tcW w:w="3384" w:type="dxa"/>
          </w:tcPr>
          <w:p w14:paraId="1B7B17AD" w14:textId="77777777" w:rsidR="00773F15" w:rsidRPr="0080550A" w:rsidRDefault="00773F15" w:rsidP="00462CB9">
            <w:pPr>
              <w:spacing w:after="0"/>
              <w:rPr>
                <w:rFonts w:cs="Arial"/>
                <w:sz w:val="20"/>
                <w:szCs w:val="20"/>
              </w:rPr>
            </w:pPr>
            <w:r w:rsidRPr="0080550A">
              <w:rPr>
                <w:rFonts w:cs="Arial"/>
                <w:color w:val="000000"/>
                <w:sz w:val="20"/>
                <w:szCs w:val="20"/>
              </w:rPr>
              <w:t xml:space="preserve">The LUCID </w:t>
            </w:r>
            <w:proofErr w:type="spellStart"/>
            <w:r w:rsidRPr="0080550A">
              <w:rPr>
                <w:rFonts w:cs="Arial"/>
                <w:color w:val="000000"/>
                <w:sz w:val="20"/>
                <w:szCs w:val="20"/>
              </w:rPr>
              <w:t>programme</w:t>
            </w:r>
            <w:proofErr w:type="spellEnd"/>
            <w:r w:rsidRPr="0080550A">
              <w:rPr>
                <w:rFonts w:cs="Arial"/>
                <w:color w:val="000000"/>
                <w:sz w:val="20"/>
                <w:szCs w:val="20"/>
              </w:rPr>
              <w:t xml:space="preserve"> operated across an ICS population; 821 patients had received virtual MDT review by the reported evaluation point. Patients were identified through EHR searches, risk stratification and primary-care participation.</w:t>
            </w:r>
          </w:p>
        </w:tc>
        <w:tc>
          <w:tcPr>
            <w:tcW w:w="3240" w:type="dxa"/>
          </w:tcPr>
          <w:p w14:paraId="5C47FC4C" w14:textId="77777777" w:rsidR="00773F15" w:rsidRPr="0080550A" w:rsidRDefault="00773F15" w:rsidP="00462CB9">
            <w:pPr>
              <w:spacing w:after="0"/>
              <w:rPr>
                <w:rFonts w:cs="Arial"/>
                <w:sz w:val="20"/>
                <w:szCs w:val="20"/>
              </w:rPr>
            </w:pPr>
            <w:r w:rsidRPr="0080550A">
              <w:rPr>
                <w:rFonts w:cs="Arial"/>
                <w:color w:val="000000"/>
                <w:sz w:val="20"/>
                <w:szCs w:val="20"/>
              </w:rPr>
              <w:t xml:space="preserve">Electronic case finding, KFRE-supported triage, virtual multidisciplinary review and service-level recording of medicines </w:t>
            </w:r>
            <w:proofErr w:type="spellStart"/>
            <w:r w:rsidRPr="0080550A">
              <w:rPr>
                <w:rFonts w:cs="Arial"/>
                <w:color w:val="000000"/>
                <w:sz w:val="20"/>
                <w:szCs w:val="20"/>
              </w:rPr>
              <w:t>optimisation</w:t>
            </w:r>
            <w:proofErr w:type="spellEnd"/>
            <w:r w:rsidRPr="0080550A">
              <w:rPr>
                <w:rFonts w:cs="Arial"/>
                <w:color w:val="000000"/>
                <w:sz w:val="20"/>
                <w:szCs w:val="20"/>
              </w:rPr>
              <w:t>, referral and education activity.</w:t>
            </w:r>
          </w:p>
        </w:tc>
        <w:tc>
          <w:tcPr>
            <w:tcW w:w="3842" w:type="dxa"/>
          </w:tcPr>
          <w:p w14:paraId="50A6CF24" w14:textId="77777777" w:rsidR="00773F15" w:rsidRPr="0080550A" w:rsidRDefault="00773F15" w:rsidP="00462CB9">
            <w:pPr>
              <w:spacing w:after="0"/>
              <w:rPr>
                <w:rFonts w:cs="Arial"/>
                <w:sz w:val="20"/>
                <w:szCs w:val="20"/>
              </w:rPr>
            </w:pPr>
            <w:r w:rsidRPr="0080550A">
              <w:rPr>
                <w:rFonts w:cs="Arial"/>
                <w:color w:val="000000"/>
                <w:sz w:val="20"/>
                <w:szCs w:val="20"/>
              </w:rPr>
              <w:t xml:space="preserve">To design, pilot and scale an integrated CKD pathway combining education, early identification, medicines </w:t>
            </w:r>
            <w:proofErr w:type="spellStart"/>
            <w:r w:rsidRPr="0080550A">
              <w:rPr>
                <w:rFonts w:cs="Arial"/>
                <w:color w:val="000000"/>
                <w:sz w:val="20"/>
                <w:szCs w:val="20"/>
              </w:rPr>
              <w:t>optimisation</w:t>
            </w:r>
            <w:proofErr w:type="spellEnd"/>
            <w:r w:rsidRPr="0080550A">
              <w:rPr>
                <w:rFonts w:cs="Arial"/>
                <w:color w:val="000000"/>
                <w:sz w:val="20"/>
                <w:szCs w:val="20"/>
              </w:rPr>
              <w:t xml:space="preserve"> and surveillance. Theme: integrated care.</w:t>
            </w:r>
          </w:p>
        </w:tc>
      </w:tr>
      <w:tr w:rsidR="00773F15" w:rsidRPr="0080550A" w14:paraId="159CADF6" w14:textId="77777777" w:rsidTr="008E3A72">
        <w:trPr>
          <w:jc w:val="center"/>
        </w:trPr>
        <w:tc>
          <w:tcPr>
            <w:tcW w:w="504" w:type="dxa"/>
          </w:tcPr>
          <w:p w14:paraId="14370EDC" w14:textId="77777777" w:rsidR="00773F15" w:rsidRPr="0080550A" w:rsidRDefault="00773F15" w:rsidP="00462CB9">
            <w:pPr>
              <w:spacing w:after="0"/>
              <w:rPr>
                <w:rFonts w:cs="Arial"/>
                <w:sz w:val="20"/>
                <w:szCs w:val="20"/>
              </w:rPr>
            </w:pPr>
            <w:r w:rsidRPr="0080550A">
              <w:rPr>
                <w:rFonts w:cs="Arial"/>
                <w:b/>
                <w:color w:val="000000"/>
                <w:sz w:val="20"/>
                <w:szCs w:val="20"/>
              </w:rPr>
              <w:t>4</w:t>
            </w:r>
          </w:p>
        </w:tc>
        <w:tc>
          <w:tcPr>
            <w:tcW w:w="1656" w:type="dxa"/>
          </w:tcPr>
          <w:p w14:paraId="1F41D242" w14:textId="77777777" w:rsidR="00773F15" w:rsidRPr="0080550A" w:rsidRDefault="00773F15" w:rsidP="00462CB9">
            <w:pPr>
              <w:spacing w:after="0"/>
              <w:rPr>
                <w:rFonts w:cs="Arial"/>
                <w:sz w:val="20"/>
                <w:szCs w:val="20"/>
              </w:rPr>
            </w:pPr>
            <w:proofErr w:type="spellStart"/>
            <w:r w:rsidRPr="0080550A">
              <w:rPr>
                <w:rFonts w:cs="Arial"/>
                <w:b/>
                <w:color w:val="000000"/>
                <w:sz w:val="20"/>
                <w:szCs w:val="20"/>
              </w:rPr>
              <w:t>Neuen</w:t>
            </w:r>
            <w:proofErr w:type="spellEnd"/>
            <w:r w:rsidRPr="0080550A">
              <w:rPr>
                <w:rFonts w:cs="Arial"/>
                <w:b/>
                <w:color w:val="000000"/>
                <w:sz w:val="20"/>
                <w:szCs w:val="20"/>
              </w:rPr>
              <w:t xml:space="preserve"> et al. (2021)</w:t>
            </w:r>
          </w:p>
        </w:tc>
        <w:tc>
          <w:tcPr>
            <w:tcW w:w="1800" w:type="dxa"/>
          </w:tcPr>
          <w:p w14:paraId="3B2BFAA1" w14:textId="77777777" w:rsidR="00773F15" w:rsidRPr="0080550A" w:rsidRDefault="00773F15" w:rsidP="00462CB9">
            <w:pPr>
              <w:spacing w:after="0"/>
              <w:rPr>
                <w:rFonts w:cs="Arial"/>
                <w:sz w:val="20"/>
                <w:szCs w:val="20"/>
              </w:rPr>
            </w:pPr>
            <w:r w:rsidRPr="0080550A">
              <w:rPr>
                <w:rFonts w:cs="Arial"/>
                <w:color w:val="000000"/>
                <w:sz w:val="20"/>
                <w:szCs w:val="20"/>
              </w:rPr>
              <w:t>United Kingdom; CPRD primary care</w:t>
            </w:r>
          </w:p>
        </w:tc>
        <w:tc>
          <w:tcPr>
            <w:tcW w:w="1440" w:type="dxa"/>
          </w:tcPr>
          <w:p w14:paraId="213AC55C" w14:textId="77777777" w:rsidR="00773F15" w:rsidRPr="0080550A" w:rsidRDefault="00773F15" w:rsidP="00462CB9">
            <w:pPr>
              <w:spacing w:after="0"/>
              <w:rPr>
                <w:rFonts w:cs="Arial"/>
                <w:sz w:val="20"/>
                <w:szCs w:val="20"/>
              </w:rPr>
            </w:pPr>
            <w:r w:rsidRPr="0080550A">
              <w:rPr>
                <w:rFonts w:cs="Arial"/>
                <w:color w:val="000000"/>
                <w:sz w:val="20"/>
                <w:szCs w:val="20"/>
              </w:rPr>
              <w:t>Observational cohort</w:t>
            </w:r>
          </w:p>
        </w:tc>
        <w:tc>
          <w:tcPr>
            <w:tcW w:w="3384" w:type="dxa"/>
          </w:tcPr>
          <w:p w14:paraId="66B23036" w14:textId="77777777" w:rsidR="00773F15" w:rsidRPr="0080550A" w:rsidRDefault="00773F15" w:rsidP="00462CB9">
            <w:pPr>
              <w:spacing w:after="0"/>
              <w:rPr>
                <w:rFonts w:cs="Arial"/>
                <w:sz w:val="20"/>
                <w:szCs w:val="20"/>
              </w:rPr>
            </w:pPr>
            <w:r w:rsidRPr="0080550A">
              <w:rPr>
                <w:rFonts w:cs="Arial"/>
                <w:color w:val="000000"/>
                <w:sz w:val="20"/>
                <w:szCs w:val="20"/>
              </w:rPr>
              <w:t>91,319 primary-care patients with repeated kidney measures were assembled from the Clinical Practice Research Datalink. Selection required sufficient eGFR and albuminuria information for longitudinal change assessment.</w:t>
            </w:r>
          </w:p>
        </w:tc>
        <w:tc>
          <w:tcPr>
            <w:tcW w:w="3240" w:type="dxa"/>
          </w:tcPr>
          <w:p w14:paraId="5CF086FE" w14:textId="77777777" w:rsidR="00773F15" w:rsidRPr="0080550A" w:rsidRDefault="00773F15" w:rsidP="00462CB9">
            <w:pPr>
              <w:spacing w:after="0"/>
              <w:rPr>
                <w:rFonts w:cs="Arial"/>
                <w:sz w:val="20"/>
                <w:szCs w:val="20"/>
              </w:rPr>
            </w:pPr>
            <w:r w:rsidRPr="0080550A">
              <w:rPr>
                <w:rFonts w:cs="Arial"/>
                <w:color w:val="000000"/>
                <w:sz w:val="20"/>
                <w:szCs w:val="20"/>
              </w:rPr>
              <w:t xml:space="preserve">Routine clinical eGFR and </w:t>
            </w:r>
            <w:proofErr w:type="spellStart"/>
            <w:r w:rsidRPr="0080550A">
              <w:rPr>
                <w:rFonts w:cs="Arial"/>
                <w:color w:val="000000"/>
                <w:sz w:val="20"/>
                <w:szCs w:val="20"/>
              </w:rPr>
              <w:t>uACR</w:t>
            </w:r>
            <w:proofErr w:type="spellEnd"/>
            <w:r w:rsidRPr="0080550A">
              <w:rPr>
                <w:rFonts w:cs="Arial"/>
                <w:color w:val="000000"/>
                <w:sz w:val="20"/>
                <w:szCs w:val="20"/>
              </w:rPr>
              <w:t xml:space="preserve"> measurements over time linked to advanced kidney-disease outcomes; combined and separate change categories were compared.</w:t>
            </w:r>
          </w:p>
        </w:tc>
        <w:tc>
          <w:tcPr>
            <w:tcW w:w="3842" w:type="dxa"/>
          </w:tcPr>
          <w:p w14:paraId="1277B663" w14:textId="77777777" w:rsidR="00773F15" w:rsidRPr="0080550A" w:rsidRDefault="00773F15" w:rsidP="00462CB9">
            <w:pPr>
              <w:spacing w:after="0"/>
              <w:rPr>
                <w:rFonts w:cs="Arial"/>
                <w:sz w:val="20"/>
                <w:szCs w:val="20"/>
              </w:rPr>
            </w:pPr>
            <w:r w:rsidRPr="0080550A">
              <w:rPr>
                <w:rFonts w:cs="Arial"/>
                <w:color w:val="000000"/>
                <w:sz w:val="20"/>
                <w:szCs w:val="20"/>
              </w:rPr>
              <w:t>To determine whether combined changes in eGFR and albuminuria predict kidney-disease progression better than either marker alone. Theme: progression and monitoring.</w:t>
            </w:r>
          </w:p>
        </w:tc>
      </w:tr>
      <w:tr w:rsidR="00773F15" w:rsidRPr="0080550A" w14:paraId="5FB282FA" w14:textId="77777777" w:rsidTr="008E3A72">
        <w:trPr>
          <w:jc w:val="center"/>
        </w:trPr>
        <w:tc>
          <w:tcPr>
            <w:tcW w:w="504" w:type="dxa"/>
          </w:tcPr>
          <w:p w14:paraId="36CA8079" w14:textId="77777777" w:rsidR="00773F15" w:rsidRPr="0080550A" w:rsidRDefault="00773F15" w:rsidP="00462CB9">
            <w:pPr>
              <w:spacing w:after="0"/>
              <w:rPr>
                <w:rFonts w:cs="Arial"/>
                <w:sz w:val="20"/>
                <w:szCs w:val="20"/>
              </w:rPr>
            </w:pPr>
            <w:r w:rsidRPr="0080550A">
              <w:rPr>
                <w:rFonts w:cs="Arial"/>
                <w:b/>
                <w:color w:val="000000"/>
                <w:sz w:val="20"/>
                <w:szCs w:val="20"/>
              </w:rPr>
              <w:t>5</w:t>
            </w:r>
          </w:p>
        </w:tc>
        <w:tc>
          <w:tcPr>
            <w:tcW w:w="1656" w:type="dxa"/>
          </w:tcPr>
          <w:p w14:paraId="11AF6E16" w14:textId="26893F35" w:rsidR="00773F15" w:rsidRPr="0080550A" w:rsidRDefault="00773F15" w:rsidP="00462CB9">
            <w:pPr>
              <w:spacing w:after="0"/>
              <w:rPr>
                <w:rFonts w:cs="Arial"/>
                <w:sz w:val="20"/>
                <w:szCs w:val="20"/>
              </w:rPr>
            </w:pPr>
            <w:r w:rsidRPr="0080550A">
              <w:rPr>
                <w:rFonts w:cs="Arial"/>
                <w:b/>
                <w:color w:val="000000"/>
                <w:sz w:val="20"/>
                <w:szCs w:val="20"/>
              </w:rPr>
              <w:t>Greenwood et al. (2024</w:t>
            </w:r>
            <w:r w:rsidR="00E849E9" w:rsidRPr="0080550A">
              <w:rPr>
                <w:rFonts w:cs="Arial"/>
                <w:b/>
                <w:color w:val="000000"/>
                <w:sz w:val="20"/>
                <w:szCs w:val="20"/>
              </w:rPr>
              <w:t>b</w:t>
            </w:r>
            <w:r w:rsidRPr="0080550A">
              <w:rPr>
                <w:rFonts w:cs="Arial"/>
                <w:b/>
                <w:color w:val="000000"/>
                <w:sz w:val="20"/>
                <w:szCs w:val="20"/>
              </w:rPr>
              <w:t>)</w:t>
            </w:r>
          </w:p>
        </w:tc>
        <w:tc>
          <w:tcPr>
            <w:tcW w:w="1800" w:type="dxa"/>
          </w:tcPr>
          <w:p w14:paraId="121F0A73" w14:textId="77777777" w:rsidR="00773F15" w:rsidRPr="0080550A" w:rsidRDefault="00773F15" w:rsidP="00462CB9">
            <w:pPr>
              <w:spacing w:after="0"/>
              <w:rPr>
                <w:rFonts w:cs="Arial"/>
                <w:sz w:val="20"/>
                <w:szCs w:val="20"/>
              </w:rPr>
            </w:pPr>
            <w:r w:rsidRPr="0080550A">
              <w:rPr>
                <w:rFonts w:cs="Arial"/>
                <w:color w:val="000000"/>
                <w:sz w:val="20"/>
                <w:szCs w:val="20"/>
              </w:rPr>
              <w:t xml:space="preserve">11 </w:t>
            </w:r>
            <w:proofErr w:type="spellStart"/>
            <w:r w:rsidRPr="0080550A">
              <w:rPr>
                <w:rFonts w:cs="Arial"/>
                <w:color w:val="000000"/>
                <w:sz w:val="20"/>
                <w:szCs w:val="20"/>
              </w:rPr>
              <w:t>centres</w:t>
            </w:r>
            <w:proofErr w:type="spellEnd"/>
            <w:r w:rsidRPr="0080550A">
              <w:rPr>
                <w:rFonts w:cs="Arial"/>
                <w:color w:val="000000"/>
                <w:sz w:val="20"/>
                <w:szCs w:val="20"/>
              </w:rPr>
              <w:t xml:space="preserve"> across the UK</w:t>
            </w:r>
          </w:p>
        </w:tc>
        <w:tc>
          <w:tcPr>
            <w:tcW w:w="1440" w:type="dxa"/>
          </w:tcPr>
          <w:p w14:paraId="4BE0AA0E" w14:textId="77777777" w:rsidR="00773F15" w:rsidRPr="0080550A" w:rsidRDefault="00773F15" w:rsidP="00462CB9">
            <w:pPr>
              <w:spacing w:after="0"/>
              <w:rPr>
                <w:rFonts w:cs="Arial"/>
                <w:sz w:val="20"/>
                <w:szCs w:val="20"/>
              </w:rPr>
            </w:pPr>
            <w:r w:rsidRPr="0080550A">
              <w:rPr>
                <w:rFonts w:cs="Arial"/>
                <w:color w:val="000000"/>
                <w:sz w:val="20"/>
                <w:szCs w:val="20"/>
              </w:rPr>
              <w:t xml:space="preserve">Single-blind </w:t>
            </w:r>
            <w:proofErr w:type="spellStart"/>
            <w:r w:rsidRPr="0080550A">
              <w:rPr>
                <w:rFonts w:cs="Arial"/>
                <w:color w:val="000000"/>
                <w:sz w:val="20"/>
                <w:szCs w:val="20"/>
              </w:rPr>
              <w:t>multicentre</w:t>
            </w:r>
            <w:proofErr w:type="spellEnd"/>
            <w:r w:rsidRPr="0080550A">
              <w:rPr>
                <w:rFonts w:cs="Arial"/>
                <w:color w:val="000000"/>
                <w:sz w:val="20"/>
                <w:szCs w:val="20"/>
              </w:rPr>
              <w:t xml:space="preserve"> RCT</w:t>
            </w:r>
          </w:p>
        </w:tc>
        <w:tc>
          <w:tcPr>
            <w:tcW w:w="3384" w:type="dxa"/>
          </w:tcPr>
          <w:p w14:paraId="04E8B17B" w14:textId="67D26660" w:rsidR="00773F15" w:rsidRPr="0080550A" w:rsidRDefault="00773F15" w:rsidP="00462CB9">
            <w:pPr>
              <w:spacing w:after="0"/>
              <w:rPr>
                <w:rFonts w:cs="Arial"/>
                <w:sz w:val="20"/>
                <w:szCs w:val="20"/>
              </w:rPr>
            </w:pPr>
            <w:r w:rsidRPr="0080550A">
              <w:rPr>
                <w:rFonts w:cs="Arial"/>
                <w:color w:val="000000"/>
                <w:sz w:val="20"/>
                <w:szCs w:val="20"/>
              </w:rPr>
              <w:t xml:space="preserve">340 adults with CKD were </w:t>
            </w:r>
            <w:proofErr w:type="spellStart"/>
            <w:r w:rsidRPr="0080550A">
              <w:rPr>
                <w:rFonts w:cs="Arial"/>
                <w:color w:val="000000"/>
                <w:sz w:val="20"/>
                <w:szCs w:val="20"/>
              </w:rPr>
              <w:t>randomised</w:t>
            </w:r>
            <w:proofErr w:type="spellEnd"/>
            <w:r w:rsidRPr="0080550A">
              <w:rPr>
                <w:rFonts w:cs="Arial"/>
                <w:color w:val="000000"/>
                <w:sz w:val="20"/>
                <w:szCs w:val="20"/>
              </w:rPr>
              <w:t xml:space="preserve"> to Kidney BEAM or a waiting-list control. Participants were recruited from</w:t>
            </w:r>
            <w:r w:rsidR="00F64A0E">
              <w:rPr>
                <w:rFonts w:cs="Arial"/>
                <w:color w:val="000000"/>
                <w:sz w:val="20"/>
                <w:szCs w:val="20"/>
              </w:rPr>
              <w:t xml:space="preserve"> the</w:t>
            </w:r>
            <w:r w:rsidRPr="0080550A">
              <w:rPr>
                <w:rFonts w:cs="Arial"/>
                <w:color w:val="000000"/>
                <w:sz w:val="20"/>
                <w:szCs w:val="20"/>
              </w:rPr>
              <w:t xml:space="preserve"> UK renal </w:t>
            </w:r>
            <w:proofErr w:type="spellStart"/>
            <w:r w:rsidRPr="0080550A">
              <w:rPr>
                <w:rFonts w:cs="Arial"/>
                <w:color w:val="000000"/>
                <w:sz w:val="20"/>
                <w:szCs w:val="20"/>
              </w:rPr>
              <w:t>centres</w:t>
            </w:r>
            <w:proofErr w:type="spellEnd"/>
            <w:r w:rsidRPr="0080550A">
              <w:rPr>
                <w:rFonts w:cs="Arial"/>
                <w:color w:val="000000"/>
                <w:sz w:val="20"/>
                <w:szCs w:val="20"/>
              </w:rPr>
              <w:t xml:space="preserve"> and assigned through a web-based </w:t>
            </w:r>
            <w:proofErr w:type="spellStart"/>
            <w:r w:rsidRPr="0080550A">
              <w:rPr>
                <w:rFonts w:cs="Arial"/>
                <w:color w:val="000000"/>
                <w:sz w:val="20"/>
                <w:szCs w:val="20"/>
              </w:rPr>
              <w:t>randomisation</w:t>
            </w:r>
            <w:proofErr w:type="spellEnd"/>
            <w:r w:rsidRPr="0080550A">
              <w:rPr>
                <w:rFonts w:cs="Arial"/>
                <w:color w:val="000000"/>
                <w:sz w:val="20"/>
                <w:szCs w:val="20"/>
              </w:rPr>
              <w:t xml:space="preserve"> system.</w:t>
            </w:r>
          </w:p>
        </w:tc>
        <w:tc>
          <w:tcPr>
            <w:tcW w:w="3240" w:type="dxa"/>
          </w:tcPr>
          <w:p w14:paraId="6DED7FB7" w14:textId="77777777" w:rsidR="00773F15" w:rsidRPr="0080550A" w:rsidRDefault="00773F15" w:rsidP="00462CB9">
            <w:pPr>
              <w:spacing w:after="0"/>
              <w:rPr>
                <w:rFonts w:cs="Arial"/>
                <w:sz w:val="20"/>
                <w:szCs w:val="20"/>
              </w:rPr>
            </w:pPr>
            <w:r w:rsidRPr="0080550A">
              <w:rPr>
                <w:rFonts w:cs="Arial"/>
                <w:color w:val="000000"/>
                <w:sz w:val="20"/>
                <w:szCs w:val="20"/>
              </w:rPr>
              <w:t>Twelve-week digital physical-activity intervention; patient-reported kidney quality-of-life outcomes and activity-related measures; masked outcome assessment and intention-to-treat analysis.</w:t>
            </w:r>
          </w:p>
        </w:tc>
        <w:tc>
          <w:tcPr>
            <w:tcW w:w="3842" w:type="dxa"/>
          </w:tcPr>
          <w:p w14:paraId="4B498CFC" w14:textId="77777777" w:rsidR="00773F15" w:rsidRPr="0080550A" w:rsidRDefault="00773F15" w:rsidP="00462CB9">
            <w:pPr>
              <w:spacing w:after="0"/>
              <w:rPr>
                <w:rFonts w:cs="Arial"/>
                <w:sz w:val="20"/>
                <w:szCs w:val="20"/>
              </w:rPr>
            </w:pPr>
            <w:r w:rsidRPr="0080550A">
              <w:rPr>
                <w:rFonts w:cs="Arial"/>
                <w:color w:val="000000"/>
                <w:sz w:val="20"/>
                <w:szCs w:val="20"/>
              </w:rPr>
              <w:t>To evaluate the clinical effect of Kidney BEAM on health-related quality of life and physical activity. Theme: digital and lifestyle management.</w:t>
            </w:r>
          </w:p>
        </w:tc>
      </w:tr>
      <w:tr w:rsidR="00773F15" w:rsidRPr="0080550A" w14:paraId="15DEDA04" w14:textId="77777777" w:rsidTr="008E3A72">
        <w:trPr>
          <w:jc w:val="center"/>
        </w:trPr>
        <w:tc>
          <w:tcPr>
            <w:tcW w:w="504" w:type="dxa"/>
          </w:tcPr>
          <w:p w14:paraId="5E578C15" w14:textId="77777777" w:rsidR="00773F15" w:rsidRPr="0080550A" w:rsidRDefault="00773F15" w:rsidP="00462CB9">
            <w:pPr>
              <w:spacing w:after="0"/>
              <w:rPr>
                <w:rFonts w:cs="Arial"/>
                <w:sz w:val="20"/>
                <w:szCs w:val="20"/>
              </w:rPr>
            </w:pPr>
            <w:r w:rsidRPr="0080550A">
              <w:rPr>
                <w:rFonts w:cs="Arial"/>
                <w:b/>
                <w:color w:val="000000"/>
                <w:sz w:val="20"/>
                <w:szCs w:val="20"/>
              </w:rPr>
              <w:t>6</w:t>
            </w:r>
          </w:p>
        </w:tc>
        <w:tc>
          <w:tcPr>
            <w:tcW w:w="1656" w:type="dxa"/>
          </w:tcPr>
          <w:p w14:paraId="5FA5E49C" w14:textId="77777777" w:rsidR="00773F15" w:rsidRPr="0080550A" w:rsidRDefault="00773F15" w:rsidP="00462CB9">
            <w:pPr>
              <w:spacing w:after="0"/>
              <w:rPr>
                <w:rFonts w:cs="Arial"/>
                <w:sz w:val="20"/>
                <w:szCs w:val="20"/>
              </w:rPr>
            </w:pPr>
            <w:r w:rsidRPr="0080550A">
              <w:rPr>
                <w:rFonts w:cs="Arial"/>
                <w:b/>
                <w:color w:val="000000"/>
                <w:sz w:val="20"/>
                <w:szCs w:val="20"/>
              </w:rPr>
              <w:t>Heo et al. (2023)</w:t>
            </w:r>
          </w:p>
        </w:tc>
        <w:tc>
          <w:tcPr>
            <w:tcW w:w="1800" w:type="dxa"/>
          </w:tcPr>
          <w:p w14:paraId="7A400C7C" w14:textId="77777777" w:rsidR="00773F15" w:rsidRPr="0080550A" w:rsidRDefault="00773F15" w:rsidP="00462CB9">
            <w:pPr>
              <w:spacing w:after="0"/>
              <w:rPr>
                <w:rFonts w:cs="Arial"/>
                <w:sz w:val="20"/>
                <w:szCs w:val="20"/>
              </w:rPr>
            </w:pPr>
            <w:r w:rsidRPr="0080550A">
              <w:rPr>
                <w:rFonts w:cs="Arial"/>
                <w:color w:val="000000"/>
                <w:sz w:val="20"/>
                <w:szCs w:val="20"/>
              </w:rPr>
              <w:t>UK Biobank; England, Scotland and Wales</w:t>
            </w:r>
          </w:p>
        </w:tc>
        <w:tc>
          <w:tcPr>
            <w:tcW w:w="1440" w:type="dxa"/>
          </w:tcPr>
          <w:p w14:paraId="062BECC2"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5E267DC1" w14:textId="77777777" w:rsidR="00773F15" w:rsidRPr="0080550A" w:rsidRDefault="00773F15" w:rsidP="00462CB9">
            <w:pPr>
              <w:spacing w:after="0"/>
              <w:rPr>
                <w:rFonts w:cs="Arial"/>
                <w:sz w:val="20"/>
                <w:szCs w:val="20"/>
              </w:rPr>
            </w:pPr>
            <w:r w:rsidRPr="0080550A">
              <w:rPr>
                <w:rFonts w:cs="Arial"/>
                <w:color w:val="000000"/>
                <w:sz w:val="20"/>
                <w:szCs w:val="20"/>
              </w:rPr>
              <w:t>110,412 participants without CKD at baseline who completed dietary assessment and met kidney-function criteria were included.</w:t>
            </w:r>
          </w:p>
        </w:tc>
        <w:tc>
          <w:tcPr>
            <w:tcW w:w="3240" w:type="dxa"/>
          </w:tcPr>
          <w:p w14:paraId="05B3468F" w14:textId="77777777" w:rsidR="00773F15" w:rsidRPr="0080550A" w:rsidRDefault="00773F15" w:rsidP="00462CB9">
            <w:pPr>
              <w:spacing w:after="0"/>
              <w:rPr>
                <w:rFonts w:cs="Arial"/>
                <w:sz w:val="20"/>
                <w:szCs w:val="20"/>
              </w:rPr>
            </w:pPr>
            <w:r w:rsidRPr="0080550A">
              <w:rPr>
                <w:rFonts w:cs="Arial"/>
                <w:color w:val="000000"/>
                <w:sz w:val="20"/>
                <w:szCs w:val="20"/>
              </w:rPr>
              <w:t xml:space="preserve">Dietary questionnaire data on </w:t>
            </w:r>
            <w:proofErr w:type="spellStart"/>
            <w:r w:rsidRPr="0080550A">
              <w:rPr>
                <w:rFonts w:cs="Arial"/>
                <w:color w:val="000000"/>
                <w:sz w:val="20"/>
                <w:szCs w:val="20"/>
              </w:rPr>
              <w:t>fibre</w:t>
            </w:r>
            <w:proofErr w:type="spellEnd"/>
            <w:r w:rsidRPr="0080550A">
              <w:rPr>
                <w:rFonts w:cs="Arial"/>
                <w:color w:val="000000"/>
                <w:sz w:val="20"/>
                <w:szCs w:val="20"/>
              </w:rPr>
              <w:t xml:space="preserve"> intake linked prospectively to incident CKD and relevant demographic, clinical and lifestyle covariates.</w:t>
            </w:r>
          </w:p>
        </w:tc>
        <w:tc>
          <w:tcPr>
            <w:tcW w:w="3842" w:type="dxa"/>
          </w:tcPr>
          <w:p w14:paraId="49A68F93" w14:textId="77777777" w:rsidR="00773F15" w:rsidRPr="0080550A" w:rsidRDefault="00773F15" w:rsidP="00462CB9">
            <w:pPr>
              <w:spacing w:after="0"/>
              <w:rPr>
                <w:rFonts w:cs="Arial"/>
                <w:sz w:val="20"/>
                <w:szCs w:val="20"/>
              </w:rPr>
            </w:pPr>
            <w:r w:rsidRPr="0080550A">
              <w:rPr>
                <w:rFonts w:cs="Arial"/>
                <w:color w:val="000000"/>
                <w:sz w:val="20"/>
                <w:szCs w:val="20"/>
              </w:rPr>
              <w:t xml:space="preserve">To examine whether higher dietary </w:t>
            </w:r>
            <w:proofErr w:type="spellStart"/>
            <w:r w:rsidRPr="0080550A">
              <w:rPr>
                <w:rFonts w:cs="Arial"/>
                <w:color w:val="000000"/>
                <w:sz w:val="20"/>
                <w:szCs w:val="20"/>
              </w:rPr>
              <w:t>fibre</w:t>
            </w:r>
            <w:proofErr w:type="spellEnd"/>
            <w:r w:rsidRPr="0080550A">
              <w:rPr>
                <w:rFonts w:cs="Arial"/>
                <w:color w:val="000000"/>
                <w:sz w:val="20"/>
                <w:szCs w:val="20"/>
              </w:rPr>
              <w:t xml:space="preserve"> intake is associated with lower risk of incident CKD. Theme: dietary risk.</w:t>
            </w:r>
          </w:p>
        </w:tc>
      </w:tr>
      <w:tr w:rsidR="00773F15" w:rsidRPr="0080550A" w14:paraId="51C1ADD9" w14:textId="77777777" w:rsidTr="008E3A72">
        <w:trPr>
          <w:jc w:val="center"/>
        </w:trPr>
        <w:tc>
          <w:tcPr>
            <w:tcW w:w="504" w:type="dxa"/>
          </w:tcPr>
          <w:p w14:paraId="215E763D" w14:textId="77777777" w:rsidR="00773F15" w:rsidRPr="0080550A" w:rsidRDefault="00773F15" w:rsidP="00462CB9">
            <w:pPr>
              <w:spacing w:after="0"/>
              <w:rPr>
                <w:rFonts w:cs="Arial"/>
                <w:sz w:val="20"/>
                <w:szCs w:val="20"/>
              </w:rPr>
            </w:pPr>
            <w:r w:rsidRPr="0080550A">
              <w:rPr>
                <w:rFonts w:cs="Arial"/>
                <w:b/>
                <w:color w:val="000000"/>
                <w:sz w:val="20"/>
                <w:szCs w:val="20"/>
              </w:rPr>
              <w:t>7</w:t>
            </w:r>
          </w:p>
        </w:tc>
        <w:tc>
          <w:tcPr>
            <w:tcW w:w="1656" w:type="dxa"/>
          </w:tcPr>
          <w:p w14:paraId="3FEAD123" w14:textId="77777777" w:rsidR="00773F15" w:rsidRPr="0080550A" w:rsidRDefault="00773F15" w:rsidP="00462CB9">
            <w:pPr>
              <w:spacing w:after="0"/>
              <w:rPr>
                <w:rFonts w:cs="Arial"/>
                <w:sz w:val="20"/>
                <w:szCs w:val="20"/>
              </w:rPr>
            </w:pPr>
            <w:r w:rsidRPr="0080550A">
              <w:rPr>
                <w:rFonts w:cs="Arial"/>
                <w:b/>
                <w:color w:val="000000"/>
                <w:sz w:val="20"/>
                <w:szCs w:val="20"/>
              </w:rPr>
              <w:t>Lan et al. (2023)</w:t>
            </w:r>
          </w:p>
        </w:tc>
        <w:tc>
          <w:tcPr>
            <w:tcW w:w="1800" w:type="dxa"/>
          </w:tcPr>
          <w:p w14:paraId="2E65F06D"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17C54EBB"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076A1A34" w14:textId="77777777" w:rsidR="00773F15" w:rsidRPr="0080550A" w:rsidRDefault="00773F15" w:rsidP="00462CB9">
            <w:pPr>
              <w:spacing w:after="0"/>
              <w:rPr>
                <w:rFonts w:cs="Arial"/>
                <w:sz w:val="20"/>
                <w:szCs w:val="20"/>
              </w:rPr>
            </w:pPr>
            <w:r w:rsidRPr="0080550A">
              <w:rPr>
                <w:rFonts w:cs="Arial"/>
                <w:color w:val="000000"/>
                <w:sz w:val="20"/>
                <w:szCs w:val="20"/>
              </w:rPr>
              <w:t>214,244 never-smokers who were initially CKD-free were included after excluding current/former smokers and participants with missing clinical or genetic information.</w:t>
            </w:r>
          </w:p>
        </w:tc>
        <w:tc>
          <w:tcPr>
            <w:tcW w:w="3240" w:type="dxa"/>
          </w:tcPr>
          <w:p w14:paraId="0C7BEE32" w14:textId="77777777" w:rsidR="00773F15" w:rsidRPr="0080550A" w:rsidRDefault="00773F15" w:rsidP="00462CB9">
            <w:pPr>
              <w:spacing w:after="0"/>
              <w:rPr>
                <w:rFonts w:cs="Arial"/>
                <w:sz w:val="20"/>
                <w:szCs w:val="20"/>
              </w:rPr>
            </w:pPr>
            <w:r w:rsidRPr="0080550A">
              <w:rPr>
                <w:rFonts w:cs="Arial"/>
                <w:color w:val="000000"/>
                <w:sz w:val="20"/>
                <w:szCs w:val="20"/>
              </w:rPr>
              <w:t xml:space="preserve">Self-reported secondhand-smoke exposure and exposure duration, weighted genetic risk score and linked incident CKD outcomes </w:t>
            </w:r>
            <w:proofErr w:type="spellStart"/>
            <w:r w:rsidRPr="0080550A">
              <w:rPr>
                <w:rFonts w:cs="Arial"/>
                <w:color w:val="000000"/>
                <w:sz w:val="20"/>
                <w:szCs w:val="20"/>
              </w:rPr>
              <w:t>analysed</w:t>
            </w:r>
            <w:proofErr w:type="spellEnd"/>
            <w:r w:rsidRPr="0080550A">
              <w:rPr>
                <w:rFonts w:cs="Arial"/>
                <w:color w:val="000000"/>
                <w:sz w:val="20"/>
                <w:szCs w:val="20"/>
              </w:rPr>
              <w:t xml:space="preserve"> longitudinally.</w:t>
            </w:r>
          </w:p>
        </w:tc>
        <w:tc>
          <w:tcPr>
            <w:tcW w:w="3842" w:type="dxa"/>
          </w:tcPr>
          <w:p w14:paraId="096DBB93" w14:textId="77777777" w:rsidR="00773F15" w:rsidRPr="0080550A" w:rsidRDefault="00773F15" w:rsidP="00462CB9">
            <w:pPr>
              <w:spacing w:after="0"/>
              <w:rPr>
                <w:rFonts w:cs="Arial"/>
                <w:sz w:val="20"/>
                <w:szCs w:val="20"/>
              </w:rPr>
            </w:pPr>
            <w:r w:rsidRPr="0080550A">
              <w:rPr>
                <w:rFonts w:cs="Arial"/>
                <w:color w:val="000000"/>
                <w:sz w:val="20"/>
                <w:szCs w:val="20"/>
              </w:rPr>
              <w:t>To examine secondhand-smoke exposure and CKD incidence and whether genetic susceptibility modifies the association. Theme: smoke and environmental risk.</w:t>
            </w:r>
          </w:p>
        </w:tc>
      </w:tr>
      <w:tr w:rsidR="00773F15" w:rsidRPr="0080550A" w14:paraId="11D497AE" w14:textId="77777777" w:rsidTr="008E3A72">
        <w:trPr>
          <w:jc w:val="center"/>
        </w:trPr>
        <w:tc>
          <w:tcPr>
            <w:tcW w:w="504" w:type="dxa"/>
          </w:tcPr>
          <w:p w14:paraId="0E37478F" w14:textId="77777777" w:rsidR="00773F15" w:rsidRPr="0080550A" w:rsidRDefault="00773F15" w:rsidP="00462CB9">
            <w:pPr>
              <w:spacing w:after="0"/>
              <w:rPr>
                <w:rFonts w:cs="Arial"/>
                <w:sz w:val="20"/>
                <w:szCs w:val="20"/>
              </w:rPr>
            </w:pPr>
            <w:r w:rsidRPr="0080550A">
              <w:rPr>
                <w:rFonts w:cs="Arial"/>
                <w:b/>
                <w:color w:val="000000"/>
                <w:sz w:val="20"/>
                <w:szCs w:val="20"/>
              </w:rPr>
              <w:t>8</w:t>
            </w:r>
          </w:p>
        </w:tc>
        <w:tc>
          <w:tcPr>
            <w:tcW w:w="1656" w:type="dxa"/>
          </w:tcPr>
          <w:p w14:paraId="79C0F7BC" w14:textId="77777777" w:rsidR="00773F15" w:rsidRPr="0080550A" w:rsidRDefault="00773F15" w:rsidP="00462CB9">
            <w:pPr>
              <w:spacing w:after="0"/>
              <w:rPr>
                <w:rFonts w:cs="Arial"/>
                <w:sz w:val="20"/>
                <w:szCs w:val="20"/>
              </w:rPr>
            </w:pPr>
            <w:r w:rsidRPr="0080550A">
              <w:rPr>
                <w:rFonts w:cs="Arial"/>
                <w:b/>
                <w:color w:val="000000"/>
                <w:sz w:val="20"/>
                <w:szCs w:val="20"/>
              </w:rPr>
              <w:t>Li et al. (2025)</w:t>
            </w:r>
          </w:p>
        </w:tc>
        <w:tc>
          <w:tcPr>
            <w:tcW w:w="1800" w:type="dxa"/>
          </w:tcPr>
          <w:p w14:paraId="7AECEFBD" w14:textId="77777777" w:rsidR="00773F15" w:rsidRPr="0080550A" w:rsidRDefault="00773F15" w:rsidP="00462CB9">
            <w:pPr>
              <w:spacing w:after="0"/>
              <w:rPr>
                <w:rFonts w:cs="Arial"/>
                <w:sz w:val="20"/>
                <w:szCs w:val="20"/>
              </w:rPr>
            </w:pPr>
            <w:r w:rsidRPr="0080550A">
              <w:rPr>
                <w:rFonts w:cs="Arial"/>
                <w:color w:val="000000"/>
                <w:sz w:val="20"/>
                <w:szCs w:val="20"/>
              </w:rPr>
              <w:t>UK Biobank; England, Scotland and Wales</w:t>
            </w:r>
          </w:p>
        </w:tc>
        <w:tc>
          <w:tcPr>
            <w:tcW w:w="1440" w:type="dxa"/>
          </w:tcPr>
          <w:p w14:paraId="6EB61D05"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5B84304B" w14:textId="77777777" w:rsidR="00773F15" w:rsidRPr="0080550A" w:rsidRDefault="00773F15" w:rsidP="00462CB9">
            <w:pPr>
              <w:spacing w:after="0"/>
              <w:rPr>
                <w:rFonts w:cs="Arial"/>
                <w:sz w:val="20"/>
                <w:szCs w:val="20"/>
              </w:rPr>
            </w:pPr>
            <w:r w:rsidRPr="0080550A">
              <w:rPr>
                <w:rFonts w:cs="Arial"/>
                <w:color w:val="000000"/>
                <w:sz w:val="20"/>
                <w:szCs w:val="20"/>
              </w:rPr>
              <w:t xml:space="preserve">441,893 participants free of CKD at baseline formed the primary analytic cohort; a genetic </w:t>
            </w:r>
            <w:proofErr w:type="spellStart"/>
            <w:r w:rsidRPr="0080550A">
              <w:rPr>
                <w:rFonts w:cs="Arial"/>
                <w:color w:val="000000"/>
                <w:sz w:val="20"/>
                <w:szCs w:val="20"/>
              </w:rPr>
              <w:t>subcohort</w:t>
            </w:r>
            <w:proofErr w:type="spellEnd"/>
            <w:r w:rsidRPr="0080550A">
              <w:rPr>
                <w:rFonts w:cs="Arial"/>
                <w:color w:val="000000"/>
                <w:sz w:val="20"/>
                <w:szCs w:val="20"/>
              </w:rPr>
              <w:t xml:space="preserve"> was also derived for susceptibility analyses.</w:t>
            </w:r>
          </w:p>
        </w:tc>
        <w:tc>
          <w:tcPr>
            <w:tcW w:w="3240" w:type="dxa"/>
          </w:tcPr>
          <w:p w14:paraId="793D813D" w14:textId="77777777" w:rsidR="00773F15" w:rsidRPr="0080550A" w:rsidRDefault="00773F15" w:rsidP="00462CB9">
            <w:pPr>
              <w:spacing w:after="0"/>
              <w:rPr>
                <w:rFonts w:cs="Arial"/>
                <w:sz w:val="20"/>
                <w:szCs w:val="20"/>
              </w:rPr>
            </w:pPr>
            <w:r w:rsidRPr="0080550A">
              <w:rPr>
                <w:rFonts w:cs="Arial"/>
                <w:color w:val="000000"/>
                <w:sz w:val="20"/>
                <w:szCs w:val="20"/>
              </w:rPr>
              <w:t>Linked inpatient psychiatric diagnoses, kidney laboratory/diagnostic outcomes, socioeconomic and lifestyle covariates; Cox regression with subgroup analyses.</w:t>
            </w:r>
          </w:p>
        </w:tc>
        <w:tc>
          <w:tcPr>
            <w:tcW w:w="3842" w:type="dxa"/>
          </w:tcPr>
          <w:p w14:paraId="4793F2C0" w14:textId="77777777" w:rsidR="00773F15" w:rsidRPr="0080550A" w:rsidRDefault="00773F15" w:rsidP="00462CB9">
            <w:pPr>
              <w:spacing w:after="0"/>
              <w:rPr>
                <w:rFonts w:cs="Arial"/>
                <w:sz w:val="20"/>
                <w:szCs w:val="20"/>
              </w:rPr>
            </w:pPr>
            <w:r w:rsidRPr="0080550A">
              <w:rPr>
                <w:rFonts w:cs="Arial"/>
                <w:color w:val="000000"/>
                <w:sz w:val="20"/>
                <w:szCs w:val="20"/>
              </w:rPr>
              <w:t>To examine whether psychiatric disorders are associated with subsequent CKD and explore potential modifying pathways. Theme: psychosocial risk.</w:t>
            </w:r>
          </w:p>
        </w:tc>
      </w:tr>
      <w:tr w:rsidR="00773F15" w:rsidRPr="0080550A" w14:paraId="7B875640" w14:textId="77777777" w:rsidTr="008E3A72">
        <w:trPr>
          <w:jc w:val="center"/>
        </w:trPr>
        <w:tc>
          <w:tcPr>
            <w:tcW w:w="504" w:type="dxa"/>
          </w:tcPr>
          <w:p w14:paraId="23CB9F37" w14:textId="77777777" w:rsidR="00773F15" w:rsidRPr="0080550A" w:rsidRDefault="00773F15" w:rsidP="00462CB9">
            <w:pPr>
              <w:spacing w:after="0"/>
              <w:rPr>
                <w:rFonts w:cs="Arial"/>
                <w:sz w:val="20"/>
                <w:szCs w:val="20"/>
              </w:rPr>
            </w:pPr>
            <w:r w:rsidRPr="0080550A">
              <w:rPr>
                <w:rFonts w:cs="Arial"/>
                <w:b/>
                <w:color w:val="000000"/>
                <w:sz w:val="20"/>
                <w:szCs w:val="20"/>
              </w:rPr>
              <w:t>9</w:t>
            </w:r>
          </w:p>
        </w:tc>
        <w:tc>
          <w:tcPr>
            <w:tcW w:w="1656" w:type="dxa"/>
          </w:tcPr>
          <w:p w14:paraId="55A7D2E0" w14:textId="77777777" w:rsidR="00773F15" w:rsidRPr="0080550A" w:rsidRDefault="00773F15" w:rsidP="00462CB9">
            <w:pPr>
              <w:spacing w:after="0"/>
              <w:rPr>
                <w:rFonts w:cs="Arial"/>
                <w:sz w:val="20"/>
                <w:szCs w:val="20"/>
              </w:rPr>
            </w:pPr>
            <w:r w:rsidRPr="0080550A">
              <w:rPr>
                <w:rFonts w:cs="Arial"/>
                <w:b/>
                <w:color w:val="000000"/>
                <w:sz w:val="20"/>
                <w:szCs w:val="20"/>
              </w:rPr>
              <w:t>Lightfoot et al. (2025)</w:t>
            </w:r>
          </w:p>
        </w:tc>
        <w:tc>
          <w:tcPr>
            <w:tcW w:w="1800" w:type="dxa"/>
          </w:tcPr>
          <w:p w14:paraId="2251C9AC" w14:textId="77777777" w:rsidR="00773F15" w:rsidRPr="0080550A" w:rsidRDefault="00773F15" w:rsidP="00462CB9">
            <w:pPr>
              <w:spacing w:after="0"/>
              <w:rPr>
                <w:rFonts w:cs="Arial"/>
                <w:sz w:val="20"/>
                <w:szCs w:val="20"/>
              </w:rPr>
            </w:pPr>
            <w:r w:rsidRPr="0080550A">
              <w:rPr>
                <w:rFonts w:cs="Arial"/>
                <w:color w:val="000000"/>
                <w:sz w:val="20"/>
                <w:szCs w:val="20"/>
              </w:rPr>
              <w:t>Leicester, England; primary and renal care</w:t>
            </w:r>
          </w:p>
        </w:tc>
        <w:tc>
          <w:tcPr>
            <w:tcW w:w="1440" w:type="dxa"/>
          </w:tcPr>
          <w:p w14:paraId="36B28D59" w14:textId="77777777" w:rsidR="00773F15" w:rsidRPr="0080550A" w:rsidRDefault="00773F15" w:rsidP="00462CB9">
            <w:pPr>
              <w:spacing w:after="0"/>
              <w:rPr>
                <w:rFonts w:cs="Arial"/>
                <w:sz w:val="20"/>
                <w:szCs w:val="20"/>
              </w:rPr>
            </w:pPr>
            <w:r w:rsidRPr="0080550A">
              <w:rPr>
                <w:rFonts w:cs="Arial"/>
                <w:color w:val="000000"/>
                <w:sz w:val="20"/>
                <w:szCs w:val="20"/>
              </w:rPr>
              <w:t>Qualitative study</w:t>
            </w:r>
          </w:p>
        </w:tc>
        <w:tc>
          <w:tcPr>
            <w:tcW w:w="3384" w:type="dxa"/>
          </w:tcPr>
          <w:p w14:paraId="7AE55C35" w14:textId="77777777" w:rsidR="00773F15" w:rsidRPr="0080550A" w:rsidRDefault="00773F15" w:rsidP="00462CB9">
            <w:pPr>
              <w:spacing w:after="0"/>
              <w:rPr>
                <w:rFonts w:cs="Arial"/>
                <w:sz w:val="20"/>
                <w:szCs w:val="20"/>
              </w:rPr>
            </w:pPr>
            <w:r w:rsidRPr="0080550A">
              <w:rPr>
                <w:rFonts w:cs="Arial"/>
                <w:color w:val="000000"/>
                <w:sz w:val="20"/>
                <w:szCs w:val="20"/>
              </w:rPr>
              <w:t>22 adults aged 48–88 years living with non-dialysis CKD were recruited from primary-care and hospital settings using CKD eligibility criteria.</w:t>
            </w:r>
          </w:p>
        </w:tc>
        <w:tc>
          <w:tcPr>
            <w:tcW w:w="3240" w:type="dxa"/>
          </w:tcPr>
          <w:p w14:paraId="4C0F4507" w14:textId="77777777" w:rsidR="00773F15" w:rsidRPr="0080550A" w:rsidRDefault="00773F15" w:rsidP="00462CB9">
            <w:pPr>
              <w:spacing w:after="0"/>
              <w:rPr>
                <w:rFonts w:cs="Arial"/>
                <w:sz w:val="20"/>
                <w:szCs w:val="20"/>
              </w:rPr>
            </w:pPr>
            <w:r w:rsidRPr="0080550A">
              <w:rPr>
                <w:rFonts w:cs="Arial"/>
                <w:color w:val="000000"/>
                <w:sz w:val="20"/>
                <w:szCs w:val="20"/>
              </w:rPr>
              <w:t>Individual semi-structured interviews, audio recording, verbatim transcription and thematic analysis of self-management experiences, barriers and facilitators.</w:t>
            </w:r>
          </w:p>
        </w:tc>
        <w:tc>
          <w:tcPr>
            <w:tcW w:w="3842" w:type="dxa"/>
          </w:tcPr>
          <w:p w14:paraId="00D80D6A" w14:textId="77777777" w:rsidR="00773F15" w:rsidRPr="0080550A" w:rsidRDefault="00773F15" w:rsidP="00462CB9">
            <w:pPr>
              <w:spacing w:after="0"/>
              <w:rPr>
                <w:rFonts w:cs="Arial"/>
                <w:sz w:val="20"/>
                <w:szCs w:val="20"/>
              </w:rPr>
            </w:pPr>
            <w:r w:rsidRPr="0080550A">
              <w:rPr>
                <w:rFonts w:cs="Arial"/>
                <w:color w:val="000000"/>
                <w:sz w:val="20"/>
                <w:szCs w:val="20"/>
              </w:rPr>
              <w:t>To understand awareness, attitudes, needs and factors influencing CKD self-management. Theme: patient-</w:t>
            </w:r>
            <w:proofErr w:type="spellStart"/>
            <w:r w:rsidRPr="0080550A">
              <w:rPr>
                <w:rFonts w:cs="Arial"/>
                <w:color w:val="000000"/>
                <w:sz w:val="20"/>
                <w:szCs w:val="20"/>
              </w:rPr>
              <w:t>centred</w:t>
            </w:r>
            <w:proofErr w:type="spellEnd"/>
            <w:r w:rsidRPr="0080550A">
              <w:rPr>
                <w:rFonts w:cs="Arial"/>
                <w:color w:val="000000"/>
                <w:sz w:val="20"/>
                <w:szCs w:val="20"/>
              </w:rPr>
              <w:t xml:space="preserve"> management.</w:t>
            </w:r>
          </w:p>
        </w:tc>
      </w:tr>
      <w:tr w:rsidR="00773F15" w:rsidRPr="0080550A" w14:paraId="03277B3E" w14:textId="77777777" w:rsidTr="008E3A72">
        <w:trPr>
          <w:jc w:val="center"/>
        </w:trPr>
        <w:tc>
          <w:tcPr>
            <w:tcW w:w="504" w:type="dxa"/>
          </w:tcPr>
          <w:p w14:paraId="1204BEAE" w14:textId="77777777" w:rsidR="00773F15" w:rsidRPr="0080550A" w:rsidRDefault="00773F15" w:rsidP="00462CB9">
            <w:pPr>
              <w:spacing w:after="0"/>
              <w:rPr>
                <w:rFonts w:cs="Arial"/>
                <w:sz w:val="20"/>
                <w:szCs w:val="20"/>
              </w:rPr>
            </w:pPr>
            <w:r w:rsidRPr="0080550A">
              <w:rPr>
                <w:rFonts w:cs="Arial"/>
                <w:b/>
                <w:color w:val="000000"/>
                <w:sz w:val="20"/>
                <w:szCs w:val="20"/>
              </w:rPr>
              <w:t>10</w:t>
            </w:r>
          </w:p>
        </w:tc>
        <w:tc>
          <w:tcPr>
            <w:tcW w:w="1656" w:type="dxa"/>
          </w:tcPr>
          <w:p w14:paraId="5B13C7BD" w14:textId="77777777" w:rsidR="00773F15" w:rsidRPr="0080550A" w:rsidRDefault="00773F15" w:rsidP="00462CB9">
            <w:pPr>
              <w:spacing w:after="0"/>
              <w:rPr>
                <w:rFonts w:cs="Arial"/>
                <w:sz w:val="20"/>
                <w:szCs w:val="20"/>
              </w:rPr>
            </w:pPr>
            <w:r w:rsidRPr="0080550A">
              <w:rPr>
                <w:rFonts w:cs="Arial"/>
                <w:b/>
                <w:color w:val="000000"/>
                <w:sz w:val="20"/>
                <w:szCs w:val="20"/>
              </w:rPr>
              <w:t>Maroto-Rodriguez et al. (2025)</w:t>
            </w:r>
          </w:p>
        </w:tc>
        <w:tc>
          <w:tcPr>
            <w:tcW w:w="1800" w:type="dxa"/>
          </w:tcPr>
          <w:p w14:paraId="20E29626" w14:textId="77777777" w:rsidR="00773F15" w:rsidRPr="0080550A" w:rsidRDefault="00773F15" w:rsidP="00462CB9">
            <w:pPr>
              <w:spacing w:after="0"/>
              <w:rPr>
                <w:rFonts w:cs="Arial"/>
                <w:sz w:val="20"/>
                <w:szCs w:val="20"/>
              </w:rPr>
            </w:pPr>
            <w:r w:rsidRPr="0080550A">
              <w:rPr>
                <w:rFonts w:cs="Arial"/>
                <w:color w:val="000000"/>
                <w:sz w:val="20"/>
                <w:szCs w:val="20"/>
              </w:rPr>
              <w:t>UK Biobank; British adults</w:t>
            </w:r>
          </w:p>
        </w:tc>
        <w:tc>
          <w:tcPr>
            <w:tcW w:w="1440" w:type="dxa"/>
          </w:tcPr>
          <w:p w14:paraId="2FA6E647"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30DD0DA8" w14:textId="77777777" w:rsidR="00773F15" w:rsidRPr="0080550A" w:rsidRDefault="00773F15" w:rsidP="00462CB9">
            <w:pPr>
              <w:spacing w:after="0"/>
              <w:rPr>
                <w:rFonts w:cs="Arial"/>
                <w:sz w:val="20"/>
                <w:szCs w:val="20"/>
              </w:rPr>
            </w:pPr>
            <w:r w:rsidRPr="0080550A">
              <w:rPr>
                <w:rFonts w:cs="Arial"/>
                <w:color w:val="000000"/>
                <w:sz w:val="20"/>
                <w:szCs w:val="20"/>
              </w:rPr>
              <w:t>106,870 CKD-free participants with repeated dietary information were included; food consumption was captured through at least two 24-hour dietary assessments.</w:t>
            </w:r>
          </w:p>
        </w:tc>
        <w:tc>
          <w:tcPr>
            <w:tcW w:w="3240" w:type="dxa"/>
          </w:tcPr>
          <w:p w14:paraId="2B61B408" w14:textId="77777777" w:rsidR="00773F15" w:rsidRPr="0080550A" w:rsidRDefault="00773F15" w:rsidP="00462CB9">
            <w:pPr>
              <w:spacing w:after="0"/>
              <w:rPr>
                <w:rFonts w:cs="Arial"/>
                <w:sz w:val="20"/>
                <w:szCs w:val="20"/>
              </w:rPr>
            </w:pPr>
            <w:r w:rsidRPr="0080550A">
              <w:rPr>
                <w:rFonts w:cs="Arial"/>
                <w:color w:val="000000"/>
                <w:sz w:val="20"/>
                <w:szCs w:val="20"/>
              </w:rPr>
              <w:t>Six diet-quality indices derived from dietary assessments and linked prospectively to incident CKD outcomes and covariates.</w:t>
            </w:r>
          </w:p>
        </w:tc>
        <w:tc>
          <w:tcPr>
            <w:tcW w:w="3842" w:type="dxa"/>
          </w:tcPr>
          <w:p w14:paraId="5E44741E" w14:textId="77777777" w:rsidR="00773F15" w:rsidRPr="0080550A" w:rsidRDefault="00773F15" w:rsidP="00462CB9">
            <w:pPr>
              <w:spacing w:after="0"/>
              <w:rPr>
                <w:rFonts w:cs="Arial"/>
                <w:sz w:val="20"/>
                <w:szCs w:val="20"/>
              </w:rPr>
            </w:pPr>
            <w:r w:rsidRPr="0080550A">
              <w:rPr>
                <w:rFonts w:cs="Arial"/>
                <w:color w:val="000000"/>
                <w:sz w:val="20"/>
                <w:szCs w:val="20"/>
              </w:rPr>
              <w:t>To evaluate associations between several diet-quality patterns and incident CKD. Theme: dietary and lifestyle risk.</w:t>
            </w:r>
          </w:p>
        </w:tc>
      </w:tr>
      <w:tr w:rsidR="00773F15" w:rsidRPr="0080550A" w14:paraId="6734F79B" w14:textId="77777777" w:rsidTr="008E3A72">
        <w:trPr>
          <w:jc w:val="center"/>
        </w:trPr>
        <w:tc>
          <w:tcPr>
            <w:tcW w:w="504" w:type="dxa"/>
          </w:tcPr>
          <w:p w14:paraId="1CAFB2EC" w14:textId="77777777" w:rsidR="00773F15" w:rsidRPr="0080550A" w:rsidRDefault="00773F15" w:rsidP="00462CB9">
            <w:pPr>
              <w:spacing w:after="0"/>
              <w:rPr>
                <w:rFonts w:cs="Arial"/>
                <w:sz w:val="20"/>
                <w:szCs w:val="20"/>
              </w:rPr>
            </w:pPr>
            <w:r w:rsidRPr="0080550A">
              <w:rPr>
                <w:rFonts w:cs="Arial"/>
                <w:b/>
                <w:color w:val="000000"/>
                <w:sz w:val="20"/>
                <w:szCs w:val="20"/>
              </w:rPr>
              <w:t>11</w:t>
            </w:r>
          </w:p>
        </w:tc>
        <w:tc>
          <w:tcPr>
            <w:tcW w:w="1656" w:type="dxa"/>
          </w:tcPr>
          <w:p w14:paraId="1B6FC076" w14:textId="77777777" w:rsidR="00773F15" w:rsidRPr="0080550A" w:rsidRDefault="00773F15" w:rsidP="00462CB9">
            <w:pPr>
              <w:spacing w:after="0"/>
              <w:rPr>
                <w:rFonts w:cs="Arial"/>
                <w:sz w:val="20"/>
                <w:szCs w:val="20"/>
              </w:rPr>
            </w:pPr>
            <w:r w:rsidRPr="0080550A">
              <w:rPr>
                <w:rFonts w:cs="Arial"/>
                <w:b/>
                <w:color w:val="000000"/>
                <w:sz w:val="20"/>
                <w:szCs w:val="20"/>
              </w:rPr>
              <w:t>Rizvi et al. (2024)</w:t>
            </w:r>
          </w:p>
        </w:tc>
        <w:tc>
          <w:tcPr>
            <w:tcW w:w="1800" w:type="dxa"/>
          </w:tcPr>
          <w:p w14:paraId="2937263E" w14:textId="77777777" w:rsidR="00773F15" w:rsidRPr="0080550A" w:rsidRDefault="00773F15" w:rsidP="00462CB9">
            <w:pPr>
              <w:spacing w:after="0"/>
              <w:rPr>
                <w:rFonts w:cs="Arial"/>
                <w:sz w:val="20"/>
                <w:szCs w:val="20"/>
              </w:rPr>
            </w:pPr>
            <w:r w:rsidRPr="0080550A">
              <w:rPr>
                <w:rFonts w:cs="Arial"/>
                <w:color w:val="000000"/>
                <w:sz w:val="20"/>
                <w:szCs w:val="20"/>
              </w:rPr>
              <w:t>Willows Primary Care Network, Leicester, England</w:t>
            </w:r>
          </w:p>
        </w:tc>
        <w:tc>
          <w:tcPr>
            <w:tcW w:w="1440" w:type="dxa"/>
          </w:tcPr>
          <w:p w14:paraId="43C2D4EA" w14:textId="77777777" w:rsidR="00773F15" w:rsidRPr="0080550A" w:rsidRDefault="00773F15" w:rsidP="00462CB9">
            <w:pPr>
              <w:spacing w:after="0"/>
              <w:rPr>
                <w:rFonts w:cs="Arial"/>
                <w:sz w:val="20"/>
                <w:szCs w:val="20"/>
              </w:rPr>
            </w:pPr>
            <w:r w:rsidRPr="0080550A">
              <w:rPr>
                <w:rFonts w:cs="Arial"/>
                <w:color w:val="000000"/>
                <w:sz w:val="20"/>
                <w:szCs w:val="20"/>
              </w:rPr>
              <w:t>Quality-improvement clinical evaluation</w:t>
            </w:r>
          </w:p>
        </w:tc>
        <w:tc>
          <w:tcPr>
            <w:tcW w:w="3384" w:type="dxa"/>
          </w:tcPr>
          <w:p w14:paraId="246EFE49" w14:textId="77777777" w:rsidR="00773F15" w:rsidRPr="0080550A" w:rsidRDefault="00773F15" w:rsidP="00462CB9">
            <w:pPr>
              <w:spacing w:after="0"/>
              <w:rPr>
                <w:rFonts w:cs="Arial"/>
                <w:sz w:val="20"/>
                <w:szCs w:val="20"/>
              </w:rPr>
            </w:pPr>
            <w:r w:rsidRPr="0080550A">
              <w:rPr>
                <w:rFonts w:cs="Arial"/>
                <w:color w:val="000000"/>
                <w:sz w:val="20"/>
                <w:szCs w:val="20"/>
              </w:rPr>
              <w:t xml:space="preserve">526 patients with CKD, diabetes and/or heart failure were reviewed within the primary-care CKD improvement </w:t>
            </w:r>
            <w:proofErr w:type="spellStart"/>
            <w:r w:rsidRPr="0080550A">
              <w:rPr>
                <w:rFonts w:cs="Arial"/>
                <w:color w:val="000000"/>
                <w:sz w:val="20"/>
                <w:szCs w:val="20"/>
              </w:rPr>
              <w:t>programme</w:t>
            </w:r>
            <w:proofErr w:type="spellEnd"/>
            <w:r w:rsidRPr="0080550A">
              <w:rPr>
                <w:rFonts w:cs="Arial"/>
                <w:color w:val="000000"/>
                <w:sz w:val="20"/>
                <w:szCs w:val="20"/>
              </w:rPr>
              <w:t xml:space="preserve">; patients suitable for guideline </w:t>
            </w:r>
            <w:proofErr w:type="spellStart"/>
            <w:r w:rsidRPr="0080550A">
              <w:rPr>
                <w:rFonts w:cs="Arial"/>
                <w:color w:val="000000"/>
                <w:sz w:val="20"/>
                <w:szCs w:val="20"/>
              </w:rPr>
              <w:t>optimisation</w:t>
            </w:r>
            <w:proofErr w:type="spellEnd"/>
            <w:r w:rsidRPr="0080550A">
              <w:rPr>
                <w:rFonts w:cs="Arial"/>
                <w:color w:val="000000"/>
                <w:sz w:val="20"/>
                <w:szCs w:val="20"/>
              </w:rPr>
              <w:t xml:space="preserve"> proceeded to intervention.</w:t>
            </w:r>
          </w:p>
        </w:tc>
        <w:tc>
          <w:tcPr>
            <w:tcW w:w="3240" w:type="dxa"/>
          </w:tcPr>
          <w:p w14:paraId="511DF1DD" w14:textId="77777777" w:rsidR="00773F15" w:rsidRPr="0080550A" w:rsidRDefault="00773F15" w:rsidP="00462CB9">
            <w:pPr>
              <w:spacing w:after="0"/>
              <w:rPr>
                <w:rFonts w:cs="Arial"/>
                <w:sz w:val="20"/>
                <w:szCs w:val="20"/>
              </w:rPr>
            </w:pPr>
            <w:r w:rsidRPr="0080550A">
              <w:rPr>
                <w:rFonts w:cs="Arial"/>
                <w:color w:val="000000"/>
                <w:sz w:val="20"/>
                <w:szCs w:val="20"/>
              </w:rPr>
              <w:t xml:space="preserve">Primary-care review supported by nephrology consultants and pharmacists, MDT discussion, guideline-based medicine </w:t>
            </w:r>
            <w:proofErr w:type="spellStart"/>
            <w:r w:rsidRPr="0080550A">
              <w:rPr>
                <w:rFonts w:cs="Arial"/>
                <w:color w:val="000000"/>
                <w:sz w:val="20"/>
                <w:szCs w:val="20"/>
              </w:rPr>
              <w:t>optimisation</w:t>
            </w:r>
            <w:proofErr w:type="spellEnd"/>
            <w:r w:rsidRPr="0080550A">
              <w:rPr>
                <w:rFonts w:cs="Arial"/>
                <w:color w:val="000000"/>
                <w:sz w:val="20"/>
                <w:szCs w:val="20"/>
              </w:rPr>
              <w:t xml:space="preserve"> and referral/service records.</w:t>
            </w:r>
          </w:p>
        </w:tc>
        <w:tc>
          <w:tcPr>
            <w:tcW w:w="3842" w:type="dxa"/>
          </w:tcPr>
          <w:p w14:paraId="04D47FBC" w14:textId="77777777" w:rsidR="00773F15" w:rsidRPr="0080550A" w:rsidRDefault="00773F15" w:rsidP="00462CB9">
            <w:pPr>
              <w:spacing w:after="0"/>
              <w:rPr>
                <w:rFonts w:cs="Arial"/>
                <w:sz w:val="20"/>
                <w:szCs w:val="20"/>
              </w:rPr>
            </w:pPr>
            <w:r w:rsidRPr="0080550A">
              <w:rPr>
                <w:rFonts w:cs="Arial"/>
                <w:color w:val="000000"/>
                <w:sz w:val="20"/>
                <w:szCs w:val="20"/>
              </w:rPr>
              <w:t xml:space="preserve">To evaluate implementation of an integrated CKD </w:t>
            </w:r>
            <w:proofErr w:type="spellStart"/>
            <w:r w:rsidRPr="0080550A">
              <w:rPr>
                <w:rFonts w:cs="Arial"/>
                <w:color w:val="000000"/>
                <w:sz w:val="20"/>
                <w:szCs w:val="20"/>
              </w:rPr>
              <w:t>optimisation</w:t>
            </w:r>
            <w:proofErr w:type="spellEnd"/>
            <w:r w:rsidRPr="0080550A">
              <w:rPr>
                <w:rFonts w:cs="Arial"/>
                <w:color w:val="000000"/>
                <w:sz w:val="20"/>
                <w:szCs w:val="20"/>
              </w:rPr>
              <w:t xml:space="preserve"> model within a primary-care network. Theme: integrated care and medicines </w:t>
            </w:r>
            <w:proofErr w:type="spellStart"/>
            <w:r w:rsidRPr="0080550A">
              <w:rPr>
                <w:rFonts w:cs="Arial"/>
                <w:color w:val="000000"/>
                <w:sz w:val="20"/>
                <w:szCs w:val="20"/>
              </w:rPr>
              <w:t>optimisation</w:t>
            </w:r>
            <w:proofErr w:type="spellEnd"/>
            <w:r w:rsidRPr="0080550A">
              <w:rPr>
                <w:rFonts w:cs="Arial"/>
                <w:color w:val="000000"/>
                <w:sz w:val="20"/>
                <w:szCs w:val="20"/>
              </w:rPr>
              <w:t>.</w:t>
            </w:r>
          </w:p>
        </w:tc>
      </w:tr>
      <w:tr w:rsidR="00773F15" w:rsidRPr="0080550A" w14:paraId="537CD312" w14:textId="77777777" w:rsidTr="008E3A72">
        <w:trPr>
          <w:jc w:val="center"/>
        </w:trPr>
        <w:tc>
          <w:tcPr>
            <w:tcW w:w="504" w:type="dxa"/>
          </w:tcPr>
          <w:p w14:paraId="760BEADE" w14:textId="77777777" w:rsidR="00773F15" w:rsidRPr="0080550A" w:rsidRDefault="00773F15" w:rsidP="00462CB9">
            <w:pPr>
              <w:spacing w:after="0"/>
              <w:rPr>
                <w:rFonts w:cs="Arial"/>
                <w:sz w:val="20"/>
                <w:szCs w:val="20"/>
              </w:rPr>
            </w:pPr>
            <w:r w:rsidRPr="0080550A">
              <w:rPr>
                <w:rFonts w:cs="Arial"/>
                <w:b/>
                <w:color w:val="000000"/>
                <w:sz w:val="20"/>
                <w:szCs w:val="20"/>
              </w:rPr>
              <w:t>12</w:t>
            </w:r>
          </w:p>
        </w:tc>
        <w:tc>
          <w:tcPr>
            <w:tcW w:w="1656" w:type="dxa"/>
          </w:tcPr>
          <w:p w14:paraId="423E46A0" w14:textId="77777777" w:rsidR="00773F15" w:rsidRPr="0080550A" w:rsidRDefault="00773F15" w:rsidP="00462CB9">
            <w:pPr>
              <w:spacing w:after="0"/>
              <w:rPr>
                <w:rFonts w:cs="Arial"/>
                <w:sz w:val="20"/>
                <w:szCs w:val="20"/>
              </w:rPr>
            </w:pPr>
            <w:r w:rsidRPr="0080550A">
              <w:rPr>
                <w:rFonts w:cs="Arial"/>
                <w:b/>
                <w:color w:val="000000"/>
                <w:sz w:val="20"/>
                <w:szCs w:val="20"/>
              </w:rPr>
              <w:t>Sullivan et al. (2023)</w:t>
            </w:r>
          </w:p>
        </w:tc>
        <w:tc>
          <w:tcPr>
            <w:tcW w:w="1800" w:type="dxa"/>
          </w:tcPr>
          <w:p w14:paraId="6A284B41" w14:textId="77777777" w:rsidR="00773F15" w:rsidRPr="0080550A" w:rsidRDefault="00773F15" w:rsidP="00462CB9">
            <w:pPr>
              <w:spacing w:after="0"/>
              <w:rPr>
                <w:rFonts w:cs="Arial"/>
                <w:sz w:val="20"/>
                <w:szCs w:val="20"/>
              </w:rPr>
            </w:pPr>
            <w:r w:rsidRPr="0080550A">
              <w:rPr>
                <w:rFonts w:cs="Arial"/>
                <w:color w:val="000000"/>
                <w:sz w:val="20"/>
                <w:szCs w:val="20"/>
              </w:rPr>
              <w:t>Wales SAIL database plus UK Biobank</w:t>
            </w:r>
          </w:p>
        </w:tc>
        <w:tc>
          <w:tcPr>
            <w:tcW w:w="1440" w:type="dxa"/>
          </w:tcPr>
          <w:p w14:paraId="26DBE25E" w14:textId="77777777" w:rsidR="00773F15" w:rsidRPr="0080550A" w:rsidRDefault="00773F15" w:rsidP="00462CB9">
            <w:pPr>
              <w:spacing w:after="0"/>
              <w:rPr>
                <w:rFonts w:cs="Arial"/>
                <w:sz w:val="20"/>
                <w:szCs w:val="20"/>
              </w:rPr>
            </w:pPr>
            <w:r w:rsidRPr="0080550A">
              <w:rPr>
                <w:rFonts w:cs="Arial"/>
                <w:color w:val="000000"/>
                <w:sz w:val="20"/>
                <w:szCs w:val="20"/>
              </w:rPr>
              <w:t>Primary-care database and prospective cohort analysis</w:t>
            </w:r>
          </w:p>
        </w:tc>
        <w:tc>
          <w:tcPr>
            <w:tcW w:w="3384" w:type="dxa"/>
          </w:tcPr>
          <w:p w14:paraId="5C87FD40" w14:textId="106A927E" w:rsidR="00773F15" w:rsidRPr="0080550A" w:rsidRDefault="00773F15" w:rsidP="00462CB9">
            <w:pPr>
              <w:spacing w:after="0"/>
              <w:rPr>
                <w:rFonts w:cs="Arial"/>
                <w:sz w:val="20"/>
                <w:szCs w:val="20"/>
              </w:rPr>
            </w:pPr>
            <w:r w:rsidRPr="0080550A">
              <w:rPr>
                <w:rFonts w:cs="Arial"/>
                <w:color w:val="000000"/>
                <w:sz w:val="20"/>
                <w:szCs w:val="20"/>
              </w:rPr>
              <w:t>The referral analysis included 61,721 people with eGFR 30–59 mL/min/1.73m² in the 2019 SAIL population, with</w:t>
            </w:r>
            <w:r w:rsidR="002D4B06">
              <w:rPr>
                <w:rFonts w:cs="Arial"/>
                <w:color w:val="000000"/>
                <w:sz w:val="20"/>
                <w:szCs w:val="20"/>
              </w:rPr>
              <w:t xml:space="preserve"> the</w:t>
            </w:r>
            <w:r w:rsidRPr="0080550A">
              <w:rPr>
                <w:rFonts w:cs="Arial"/>
                <w:color w:val="000000"/>
                <w:sz w:val="20"/>
                <w:szCs w:val="20"/>
              </w:rPr>
              <w:t xml:space="preserve"> UK Biobank used for complementary ethnicity analyses.</w:t>
            </w:r>
          </w:p>
        </w:tc>
        <w:tc>
          <w:tcPr>
            <w:tcW w:w="3240" w:type="dxa"/>
          </w:tcPr>
          <w:p w14:paraId="680B5691" w14:textId="77777777" w:rsidR="00773F15" w:rsidRPr="0080550A" w:rsidRDefault="00773F15" w:rsidP="00462CB9">
            <w:pPr>
              <w:spacing w:after="0"/>
              <w:rPr>
                <w:rFonts w:cs="Arial"/>
                <w:sz w:val="20"/>
                <w:szCs w:val="20"/>
              </w:rPr>
            </w:pPr>
            <w:r w:rsidRPr="0080550A">
              <w:rPr>
                <w:rFonts w:cs="Arial"/>
                <w:color w:val="000000"/>
                <w:sz w:val="20"/>
                <w:szCs w:val="20"/>
              </w:rPr>
              <w:t>Routine eGFR and albuminuria records, KFRE calculation, updated eGFR equation and ethnicity-stratified analyses of potential nephrology referral.</w:t>
            </w:r>
          </w:p>
        </w:tc>
        <w:tc>
          <w:tcPr>
            <w:tcW w:w="3842" w:type="dxa"/>
          </w:tcPr>
          <w:p w14:paraId="1604DC1C" w14:textId="77777777" w:rsidR="00773F15" w:rsidRPr="0080550A" w:rsidRDefault="00773F15" w:rsidP="00462CB9">
            <w:pPr>
              <w:spacing w:after="0"/>
              <w:rPr>
                <w:rFonts w:cs="Arial"/>
                <w:sz w:val="20"/>
                <w:szCs w:val="20"/>
              </w:rPr>
            </w:pPr>
            <w:r w:rsidRPr="0080550A">
              <w:rPr>
                <w:rFonts w:cs="Arial"/>
                <w:color w:val="000000"/>
                <w:sz w:val="20"/>
                <w:szCs w:val="20"/>
              </w:rPr>
              <w:t>To assess how NICE 2021 KFRE and eGFR changes could alter CKD diagnosis and referral from primary care. Theme: diagnosis and risk stratification.</w:t>
            </w:r>
          </w:p>
        </w:tc>
      </w:tr>
      <w:tr w:rsidR="00773F15" w:rsidRPr="0080550A" w14:paraId="0C09BBFC" w14:textId="77777777" w:rsidTr="008E3A72">
        <w:trPr>
          <w:jc w:val="center"/>
        </w:trPr>
        <w:tc>
          <w:tcPr>
            <w:tcW w:w="504" w:type="dxa"/>
          </w:tcPr>
          <w:p w14:paraId="76BA3C84" w14:textId="77777777" w:rsidR="00773F15" w:rsidRPr="0080550A" w:rsidRDefault="00773F15" w:rsidP="00462CB9">
            <w:pPr>
              <w:spacing w:after="0"/>
              <w:rPr>
                <w:rFonts w:cs="Arial"/>
                <w:sz w:val="20"/>
                <w:szCs w:val="20"/>
              </w:rPr>
            </w:pPr>
            <w:r w:rsidRPr="0080550A">
              <w:rPr>
                <w:rFonts w:cs="Arial"/>
                <w:b/>
                <w:color w:val="000000"/>
                <w:sz w:val="20"/>
                <w:szCs w:val="20"/>
              </w:rPr>
              <w:t>13</w:t>
            </w:r>
          </w:p>
        </w:tc>
        <w:tc>
          <w:tcPr>
            <w:tcW w:w="1656" w:type="dxa"/>
          </w:tcPr>
          <w:p w14:paraId="61B09221" w14:textId="4C036714" w:rsidR="00773F15" w:rsidRPr="0080550A" w:rsidRDefault="00773F15" w:rsidP="00462CB9">
            <w:pPr>
              <w:spacing w:after="0"/>
              <w:rPr>
                <w:rFonts w:cs="Arial"/>
                <w:sz w:val="20"/>
                <w:szCs w:val="20"/>
              </w:rPr>
            </w:pPr>
            <w:r w:rsidRPr="0080550A">
              <w:rPr>
                <w:rFonts w:cs="Arial"/>
                <w:b/>
                <w:color w:val="000000"/>
                <w:sz w:val="20"/>
                <w:szCs w:val="20"/>
              </w:rPr>
              <w:t>Tang et al. (2024</w:t>
            </w:r>
            <w:r w:rsidR="009259BE" w:rsidRPr="0080550A">
              <w:rPr>
                <w:rFonts w:cs="Arial"/>
                <w:b/>
                <w:color w:val="000000"/>
                <w:sz w:val="20"/>
                <w:szCs w:val="20"/>
              </w:rPr>
              <w:t>a</w:t>
            </w:r>
            <w:r w:rsidRPr="0080550A">
              <w:rPr>
                <w:rFonts w:cs="Arial"/>
                <w:b/>
                <w:color w:val="000000"/>
                <w:sz w:val="20"/>
                <w:szCs w:val="20"/>
              </w:rPr>
              <w:t>)</w:t>
            </w:r>
          </w:p>
        </w:tc>
        <w:tc>
          <w:tcPr>
            <w:tcW w:w="1800" w:type="dxa"/>
          </w:tcPr>
          <w:p w14:paraId="4DE2F7B2"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17453D3C" w14:textId="77777777" w:rsidR="00773F15" w:rsidRPr="0080550A" w:rsidRDefault="00773F15" w:rsidP="00462CB9">
            <w:pPr>
              <w:spacing w:after="0"/>
              <w:rPr>
                <w:rFonts w:cs="Arial"/>
                <w:sz w:val="20"/>
                <w:szCs w:val="20"/>
              </w:rPr>
            </w:pPr>
            <w:r w:rsidRPr="0080550A">
              <w:rPr>
                <w:rFonts w:cs="Arial"/>
                <w:color w:val="000000"/>
                <w:sz w:val="20"/>
                <w:szCs w:val="20"/>
              </w:rPr>
              <w:t>Prospective matched cohort</w:t>
            </w:r>
          </w:p>
        </w:tc>
        <w:tc>
          <w:tcPr>
            <w:tcW w:w="3384" w:type="dxa"/>
          </w:tcPr>
          <w:p w14:paraId="564AEAE8" w14:textId="77777777" w:rsidR="00773F15" w:rsidRPr="0080550A" w:rsidRDefault="00773F15" w:rsidP="00462CB9">
            <w:pPr>
              <w:spacing w:after="0"/>
              <w:rPr>
                <w:rFonts w:cs="Arial"/>
                <w:sz w:val="20"/>
                <w:szCs w:val="20"/>
              </w:rPr>
            </w:pPr>
            <w:r w:rsidRPr="0080550A">
              <w:rPr>
                <w:rFonts w:cs="Arial"/>
                <w:color w:val="000000"/>
                <w:sz w:val="20"/>
                <w:szCs w:val="20"/>
              </w:rPr>
              <w:t>97,538 participants with obesity were matched with 97,538 normal-weight controls. Risk-factor control was assessed among the obesity cohort.</w:t>
            </w:r>
          </w:p>
        </w:tc>
        <w:tc>
          <w:tcPr>
            <w:tcW w:w="3240" w:type="dxa"/>
          </w:tcPr>
          <w:p w14:paraId="1322A465" w14:textId="77777777" w:rsidR="00773F15" w:rsidRPr="0080550A" w:rsidRDefault="00773F15" w:rsidP="00462CB9">
            <w:pPr>
              <w:spacing w:after="0"/>
              <w:rPr>
                <w:rFonts w:cs="Arial"/>
                <w:sz w:val="20"/>
                <w:szCs w:val="20"/>
              </w:rPr>
            </w:pPr>
            <w:r w:rsidRPr="0080550A">
              <w:rPr>
                <w:rFonts w:cs="Arial"/>
                <w:color w:val="000000"/>
                <w:sz w:val="20"/>
                <w:szCs w:val="20"/>
              </w:rPr>
              <w:t>Baseline measures of blood pressure, glycaemia, LDL cholesterol, albuminuria, smoking and physical activity linked to incident CKD during follow-up.</w:t>
            </w:r>
          </w:p>
        </w:tc>
        <w:tc>
          <w:tcPr>
            <w:tcW w:w="3842" w:type="dxa"/>
          </w:tcPr>
          <w:p w14:paraId="33096F90" w14:textId="77777777" w:rsidR="00773F15" w:rsidRPr="0080550A" w:rsidRDefault="00773F15" w:rsidP="00462CB9">
            <w:pPr>
              <w:spacing w:after="0"/>
              <w:rPr>
                <w:rFonts w:cs="Arial"/>
                <w:sz w:val="20"/>
                <w:szCs w:val="20"/>
              </w:rPr>
            </w:pPr>
            <w:r w:rsidRPr="0080550A">
              <w:rPr>
                <w:rFonts w:cs="Arial"/>
                <w:color w:val="000000"/>
                <w:sz w:val="20"/>
                <w:szCs w:val="20"/>
              </w:rPr>
              <w:t>To examine whether joint control of major CKD risk factors attenuates excess CKD risk associated with obesity. Theme: clinical and metabolic risk.</w:t>
            </w:r>
          </w:p>
        </w:tc>
      </w:tr>
      <w:tr w:rsidR="00773F15" w:rsidRPr="0080550A" w14:paraId="77F19FCA" w14:textId="77777777" w:rsidTr="008E3A72">
        <w:trPr>
          <w:jc w:val="center"/>
        </w:trPr>
        <w:tc>
          <w:tcPr>
            <w:tcW w:w="504" w:type="dxa"/>
          </w:tcPr>
          <w:p w14:paraId="6C7D6FC3" w14:textId="77777777" w:rsidR="00773F15" w:rsidRPr="0080550A" w:rsidRDefault="00773F15" w:rsidP="00462CB9">
            <w:pPr>
              <w:spacing w:after="0"/>
              <w:rPr>
                <w:rFonts w:cs="Arial"/>
                <w:sz w:val="20"/>
                <w:szCs w:val="20"/>
              </w:rPr>
            </w:pPr>
            <w:r w:rsidRPr="0080550A">
              <w:rPr>
                <w:rFonts w:cs="Arial"/>
                <w:b/>
                <w:color w:val="000000"/>
                <w:sz w:val="20"/>
                <w:szCs w:val="20"/>
              </w:rPr>
              <w:t>14</w:t>
            </w:r>
          </w:p>
        </w:tc>
        <w:tc>
          <w:tcPr>
            <w:tcW w:w="1656" w:type="dxa"/>
          </w:tcPr>
          <w:p w14:paraId="2335750B" w14:textId="77777777" w:rsidR="00773F15" w:rsidRPr="0080550A" w:rsidRDefault="00773F15" w:rsidP="00462CB9">
            <w:pPr>
              <w:spacing w:after="0"/>
              <w:rPr>
                <w:rFonts w:cs="Arial"/>
                <w:sz w:val="20"/>
                <w:szCs w:val="20"/>
              </w:rPr>
            </w:pPr>
            <w:r w:rsidRPr="0080550A">
              <w:rPr>
                <w:rFonts w:cs="Arial"/>
                <w:b/>
                <w:color w:val="000000"/>
                <w:sz w:val="20"/>
                <w:szCs w:val="20"/>
              </w:rPr>
              <w:t>Wang et al. (2022)</w:t>
            </w:r>
          </w:p>
        </w:tc>
        <w:tc>
          <w:tcPr>
            <w:tcW w:w="1800" w:type="dxa"/>
          </w:tcPr>
          <w:p w14:paraId="54D7DB5F"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7807A413"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582E6191" w14:textId="77777777" w:rsidR="00773F15" w:rsidRPr="0080550A" w:rsidRDefault="00773F15" w:rsidP="00462CB9">
            <w:pPr>
              <w:spacing w:after="0"/>
              <w:rPr>
                <w:rFonts w:cs="Arial"/>
                <w:sz w:val="20"/>
                <w:szCs w:val="20"/>
              </w:rPr>
            </w:pPr>
            <w:r w:rsidRPr="0080550A">
              <w:rPr>
                <w:rFonts w:cs="Arial"/>
                <w:color w:val="000000"/>
                <w:sz w:val="20"/>
                <w:szCs w:val="20"/>
              </w:rPr>
              <w:t>458,968 participants with relevant environmental and health information were included in the air-pollution analysis.</w:t>
            </w:r>
          </w:p>
        </w:tc>
        <w:tc>
          <w:tcPr>
            <w:tcW w:w="3240" w:type="dxa"/>
          </w:tcPr>
          <w:p w14:paraId="0661CA7A" w14:textId="77777777" w:rsidR="00773F15" w:rsidRPr="0080550A" w:rsidRDefault="00773F15" w:rsidP="00462CB9">
            <w:pPr>
              <w:spacing w:after="0"/>
              <w:rPr>
                <w:rFonts w:cs="Arial"/>
                <w:sz w:val="20"/>
                <w:szCs w:val="20"/>
              </w:rPr>
            </w:pPr>
            <w:r w:rsidRPr="0080550A">
              <w:rPr>
                <w:rFonts w:cs="Arial"/>
                <w:color w:val="000000"/>
                <w:sz w:val="20"/>
                <w:szCs w:val="20"/>
              </w:rPr>
              <w:t>Modelled long-term exposure to PM2.5, PM10, NO2 and NOx, genetic susceptibility measures and linked incident CKD outcomes.</w:t>
            </w:r>
          </w:p>
        </w:tc>
        <w:tc>
          <w:tcPr>
            <w:tcW w:w="3842" w:type="dxa"/>
          </w:tcPr>
          <w:p w14:paraId="70A152C7" w14:textId="77777777" w:rsidR="00773F15" w:rsidRPr="0080550A" w:rsidRDefault="00773F15" w:rsidP="00462CB9">
            <w:pPr>
              <w:spacing w:after="0"/>
              <w:rPr>
                <w:rFonts w:cs="Arial"/>
                <w:sz w:val="20"/>
                <w:szCs w:val="20"/>
              </w:rPr>
            </w:pPr>
            <w:r w:rsidRPr="0080550A">
              <w:rPr>
                <w:rFonts w:cs="Arial"/>
                <w:color w:val="000000"/>
                <w:sz w:val="20"/>
                <w:szCs w:val="20"/>
              </w:rPr>
              <w:t>To investigate air-pollution exposure and incident CKD and whether genetic risk modifies the association. Theme: environmental risk.</w:t>
            </w:r>
          </w:p>
        </w:tc>
      </w:tr>
      <w:tr w:rsidR="00773F15" w:rsidRPr="0080550A" w14:paraId="784F2458" w14:textId="77777777" w:rsidTr="008E3A72">
        <w:trPr>
          <w:jc w:val="center"/>
        </w:trPr>
        <w:tc>
          <w:tcPr>
            <w:tcW w:w="504" w:type="dxa"/>
          </w:tcPr>
          <w:p w14:paraId="0B8C0032" w14:textId="77777777" w:rsidR="00773F15" w:rsidRPr="0080550A" w:rsidRDefault="00773F15" w:rsidP="00462CB9">
            <w:pPr>
              <w:spacing w:after="0"/>
              <w:rPr>
                <w:rFonts w:cs="Arial"/>
                <w:sz w:val="20"/>
                <w:szCs w:val="20"/>
              </w:rPr>
            </w:pPr>
            <w:r w:rsidRPr="0080550A">
              <w:rPr>
                <w:rFonts w:cs="Arial"/>
                <w:b/>
                <w:color w:val="000000"/>
                <w:sz w:val="20"/>
                <w:szCs w:val="20"/>
              </w:rPr>
              <w:t>15</w:t>
            </w:r>
          </w:p>
        </w:tc>
        <w:tc>
          <w:tcPr>
            <w:tcW w:w="1656" w:type="dxa"/>
          </w:tcPr>
          <w:p w14:paraId="14F042BA" w14:textId="77777777" w:rsidR="00773F15" w:rsidRPr="0080550A" w:rsidRDefault="00773F15" w:rsidP="00462CB9">
            <w:pPr>
              <w:spacing w:after="0"/>
              <w:rPr>
                <w:rFonts w:cs="Arial"/>
                <w:sz w:val="20"/>
                <w:szCs w:val="20"/>
              </w:rPr>
            </w:pPr>
            <w:r w:rsidRPr="0080550A">
              <w:rPr>
                <w:rFonts w:cs="Arial"/>
                <w:b/>
                <w:color w:val="000000"/>
                <w:sz w:val="20"/>
                <w:szCs w:val="20"/>
              </w:rPr>
              <w:t>Zhang et al. (2023)</w:t>
            </w:r>
          </w:p>
        </w:tc>
        <w:tc>
          <w:tcPr>
            <w:tcW w:w="1800" w:type="dxa"/>
          </w:tcPr>
          <w:p w14:paraId="603C94C3" w14:textId="77777777" w:rsidR="00773F15" w:rsidRPr="0080550A" w:rsidRDefault="00773F15" w:rsidP="00462CB9">
            <w:pPr>
              <w:spacing w:after="0"/>
              <w:rPr>
                <w:rFonts w:cs="Arial"/>
                <w:sz w:val="20"/>
                <w:szCs w:val="20"/>
              </w:rPr>
            </w:pPr>
            <w:r w:rsidRPr="0080550A">
              <w:rPr>
                <w:rFonts w:cs="Arial"/>
                <w:color w:val="000000"/>
                <w:sz w:val="20"/>
                <w:szCs w:val="20"/>
              </w:rPr>
              <w:t>UK Biobank</w:t>
            </w:r>
          </w:p>
        </w:tc>
        <w:tc>
          <w:tcPr>
            <w:tcW w:w="1440" w:type="dxa"/>
          </w:tcPr>
          <w:p w14:paraId="0F23E9B7" w14:textId="77777777" w:rsidR="00773F15" w:rsidRPr="0080550A" w:rsidRDefault="00773F15" w:rsidP="00462CB9">
            <w:pPr>
              <w:spacing w:after="0"/>
              <w:rPr>
                <w:rFonts w:cs="Arial"/>
                <w:sz w:val="20"/>
                <w:szCs w:val="20"/>
              </w:rPr>
            </w:pPr>
            <w:r w:rsidRPr="0080550A">
              <w:rPr>
                <w:rFonts w:cs="Arial"/>
                <w:color w:val="000000"/>
                <w:sz w:val="20"/>
                <w:szCs w:val="20"/>
              </w:rPr>
              <w:t>Prospective cohort</w:t>
            </w:r>
          </w:p>
        </w:tc>
        <w:tc>
          <w:tcPr>
            <w:tcW w:w="3384" w:type="dxa"/>
          </w:tcPr>
          <w:p w14:paraId="6FC9C208" w14:textId="77777777" w:rsidR="00773F15" w:rsidRPr="0080550A" w:rsidRDefault="00773F15" w:rsidP="00462CB9">
            <w:pPr>
              <w:spacing w:after="0"/>
              <w:rPr>
                <w:rFonts w:cs="Arial"/>
                <w:sz w:val="20"/>
                <w:szCs w:val="20"/>
              </w:rPr>
            </w:pPr>
            <w:r w:rsidRPr="0080550A">
              <w:rPr>
                <w:rFonts w:cs="Arial"/>
                <w:color w:val="000000"/>
                <w:sz w:val="20"/>
                <w:szCs w:val="20"/>
              </w:rPr>
              <w:t xml:space="preserve">The questionnaire-based cohort included 448,444 CKD-free participants with genetic data; an accelerometer </w:t>
            </w:r>
            <w:proofErr w:type="spellStart"/>
            <w:r w:rsidRPr="0080550A">
              <w:rPr>
                <w:rFonts w:cs="Arial"/>
                <w:color w:val="000000"/>
                <w:sz w:val="20"/>
                <w:szCs w:val="20"/>
              </w:rPr>
              <w:t>subcohort</w:t>
            </w:r>
            <w:proofErr w:type="spellEnd"/>
            <w:r w:rsidRPr="0080550A">
              <w:rPr>
                <w:rFonts w:cs="Arial"/>
                <w:color w:val="000000"/>
                <w:sz w:val="20"/>
                <w:szCs w:val="20"/>
              </w:rPr>
              <w:t xml:space="preserve"> provided objective activity measurement.</w:t>
            </w:r>
          </w:p>
        </w:tc>
        <w:tc>
          <w:tcPr>
            <w:tcW w:w="3240" w:type="dxa"/>
          </w:tcPr>
          <w:p w14:paraId="2A25A1B9" w14:textId="77777777" w:rsidR="00773F15" w:rsidRPr="0080550A" w:rsidRDefault="00773F15" w:rsidP="00462CB9">
            <w:pPr>
              <w:spacing w:after="0"/>
              <w:rPr>
                <w:rFonts w:cs="Arial"/>
                <w:sz w:val="20"/>
                <w:szCs w:val="20"/>
              </w:rPr>
            </w:pPr>
            <w:r w:rsidRPr="0080550A">
              <w:rPr>
                <w:rFonts w:cs="Arial"/>
                <w:color w:val="000000"/>
                <w:sz w:val="20"/>
                <w:szCs w:val="20"/>
              </w:rPr>
              <w:t>International Physical Activity Questionnaire data, wrist accelerometry, genetic risk information and linked incident CKD outcomes.</w:t>
            </w:r>
          </w:p>
        </w:tc>
        <w:tc>
          <w:tcPr>
            <w:tcW w:w="3842" w:type="dxa"/>
          </w:tcPr>
          <w:p w14:paraId="00B9F095" w14:textId="1BC25F62" w:rsidR="00773F15" w:rsidRPr="0080550A" w:rsidRDefault="00773F15" w:rsidP="00462CB9">
            <w:pPr>
              <w:spacing w:after="0"/>
              <w:rPr>
                <w:rFonts w:cs="Arial"/>
                <w:sz w:val="20"/>
                <w:szCs w:val="20"/>
              </w:rPr>
            </w:pPr>
            <w:r w:rsidRPr="0080550A">
              <w:rPr>
                <w:rFonts w:cs="Arial"/>
                <w:color w:val="000000"/>
                <w:sz w:val="20"/>
                <w:szCs w:val="20"/>
              </w:rPr>
              <w:t>To</w:t>
            </w:r>
            <w:r w:rsidR="00041A40" w:rsidRPr="0080550A">
              <w:rPr>
                <w:rFonts w:cs="Arial"/>
                <w:color w:val="000000"/>
                <w:sz w:val="20"/>
                <w:szCs w:val="20"/>
              </w:rPr>
              <w:t xml:space="preserve"> </w:t>
            </w:r>
            <w:r w:rsidRPr="0080550A">
              <w:rPr>
                <w:rFonts w:cs="Arial"/>
                <w:color w:val="000000"/>
                <w:sz w:val="20"/>
                <w:szCs w:val="20"/>
              </w:rPr>
              <w:t>compare questionnaire- and accelerometer-based physical activity in relation to incident CKD. Theme: lifestyle and physical-activity risk.</w:t>
            </w:r>
          </w:p>
        </w:tc>
      </w:tr>
    </w:tbl>
    <w:p w14:paraId="0F324839" w14:textId="77777777" w:rsidR="00773F15" w:rsidRPr="00C07BB7" w:rsidRDefault="00773F15" w:rsidP="00462CB9">
      <w:pPr>
        <w:rPr>
          <w:rFonts w:cs="Arial"/>
        </w:rPr>
        <w:sectPr w:rsidR="00773F15" w:rsidRPr="00C07BB7" w:rsidSect="00991CD5">
          <w:type w:val="continuous"/>
          <w:pgSz w:w="16838" w:h="11906" w:orient="landscape" w:code="9"/>
          <w:pgMar w:top="1440" w:right="1800" w:bottom="1440" w:left="1800" w:header="720" w:footer="720" w:gutter="0"/>
          <w:cols w:space="720"/>
          <w:docGrid w:linePitch="360"/>
        </w:sectPr>
      </w:pPr>
    </w:p>
    <w:p w14:paraId="626DA7F9" w14:textId="7C6271F3" w:rsidR="00773F15" w:rsidRPr="002151EE" w:rsidRDefault="00773F15" w:rsidP="00462CB9">
      <w:pPr>
        <w:pStyle w:val="Heading2"/>
        <w:rPr>
          <w:rFonts w:cs="Arial"/>
          <w:sz w:val="28"/>
          <w:szCs w:val="28"/>
        </w:rPr>
      </w:pPr>
      <w:bookmarkStart w:id="126" w:name="_Toc240666929"/>
      <w:bookmarkStart w:id="127" w:name="_Toc241011079"/>
      <w:r w:rsidRPr="002151EE">
        <w:rPr>
          <w:rFonts w:cs="Arial"/>
          <w:sz w:val="28"/>
          <w:szCs w:val="28"/>
        </w:rPr>
        <w:t>4.5 Thematic Analysis of Findings</w:t>
      </w:r>
      <w:bookmarkEnd w:id="126"/>
      <w:bookmarkEnd w:id="127"/>
    </w:p>
    <w:p w14:paraId="23D1E4E2" w14:textId="77777777" w:rsidR="00773F15" w:rsidRPr="00C07BB7" w:rsidRDefault="00773F15" w:rsidP="00462CB9">
      <w:pPr>
        <w:rPr>
          <w:rFonts w:cs="Arial"/>
        </w:rPr>
      </w:pPr>
      <w:r w:rsidRPr="00C07BB7">
        <w:rPr>
          <w:rFonts w:cs="Arial"/>
        </w:rPr>
        <w:t xml:space="preserve">Findings from the 15 studies were </w:t>
      </w:r>
      <w:proofErr w:type="spellStart"/>
      <w:r w:rsidRPr="00C07BB7">
        <w:rPr>
          <w:rFonts w:cs="Arial"/>
        </w:rPr>
        <w:t>analysed</w:t>
      </w:r>
      <w:proofErr w:type="spellEnd"/>
      <w:r w:rsidRPr="00C07BB7">
        <w:rPr>
          <w:rFonts w:cs="Arial"/>
        </w:rPr>
        <w:t xml:space="preserve"> for patterns using thematic analysis. The process entailed </w:t>
      </w:r>
      <w:proofErr w:type="spellStart"/>
      <w:r w:rsidRPr="00C07BB7">
        <w:rPr>
          <w:rFonts w:cs="Arial"/>
        </w:rPr>
        <w:t>familiarisation</w:t>
      </w:r>
      <w:proofErr w:type="spellEnd"/>
      <w:r w:rsidRPr="00C07BB7">
        <w:rPr>
          <w:rFonts w:cs="Arial"/>
        </w:rPr>
        <w:t>, initial coding, comparing related concepts, building themes, checking the coherence of themes and final definition. Coding was based on the research aims but flexible enough to allow for the opportunity to capture patterns across different designs. In terms of the burden, metabolic risk, lifestyle and emerging risk, diagnosis and risk stratification, pharmacological management, patient-</w:t>
      </w:r>
      <w:proofErr w:type="spellStart"/>
      <w:r w:rsidRPr="00C07BB7">
        <w:rPr>
          <w:rFonts w:cs="Arial"/>
        </w:rPr>
        <w:t>centred</w:t>
      </w:r>
      <w:proofErr w:type="spellEnd"/>
      <w:r w:rsidRPr="00C07BB7">
        <w:rPr>
          <w:rFonts w:cs="Arial"/>
        </w:rPr>
        <w:t xml:space="preserve"> management, and integrated care, seven themes were identified. CASP findings guided interpretation, and methodological quality was still apparent.</w:t>
      </w:r>
    </w:p>
    <w:p w14:paraId="46467B62" w14:textId="2069805E" w:rsidR="00773F15" w:rsidRPr="002151EE" w:rsidRDefault="00773F15" w:rsidP="00462CB9">
      <w:pPr>
        <w:pStyle w:val="Heading3"/>
        <w:rPr>
          <w:rFonts w:cs="Arial"/>
          <w:color w:val="auto"/>
        </w:rPr>
      </w:pPr>
      <w:bookmarkStart w:id="128" w:name="_Toc240666930"/>
      <w:bookmarkStart w:id="129" w:name="_Toc241011080"/>
      <w:r w:rsidRPr="002151EE">
        <w:rPr>
          <w:rFonts w:cs="Arial"/>
          <w:color w:val="auto"/>
        </w:rPr>
        <w:t>4.5.1 Theme 1: Epidemiology, Prevalence and Burden of CKD in</w:t>
      </w:r>
      <w:r w:rsidR="002D4B06">
        <w:rPr>
          <w:rFonts w:cs="Arial"/>
          <w:color w:val="auto"/>
        </w:rPr>
        <w:t xml:space="preserve"> the</w:t>
      </w:r>
      <w:r w:rsidRPr="002151EE">
        <w:rPr>
          <w:rFonts w:cs="Arial"/>
          <w:color w:val="auto"/>
        </w:rPr>
        <w:t xml:space="preserve"> UK Adults</w:t>
      </w:r>
      <w:bookmarkEnd w:id="128"/>
      <w:bookmarkEnd w:id="129"/>
    </w:p>
    <w:p w14:paraId="18F82ACE" w14:textId="561E9B84" w:rsidR="00773F15" w:rsidRPr="00C07BB7" w:rsidRDefault="00773F15" w:rsidP="00462CB9">
      <w:pPr>
        <w:rPr>
          <w:rFonts w:cs="Arial"/>
        </w:rPr>
      </w:pPr>
      <w:r w:rsidRPr="00C07BB7">
        <w:rPr>
          <w:rFonts w:cs="Arial"/>
        </w:rPr>
        <w:t xml:space="preserve">The first theme related to recognition and monitoring the burden of CKD, not prevalence. </w:t>
      </w:r>
      <w:proofErr w:type="spellStart"/>
      <w:r w:rsidRPr="00C07BB7">
        <w:rPr>
          <w:rFonts w:cs="Arial"/>
        </w:rPr>
        <w:t>Neuen</w:t>
      </w:r>
      <w:proofErr w:type="spellEnd"/>
      <w:r w:rsidRPr="00C07BB7">
        <w:rPr>
          <w:rFonts w:cs="Arial"/>
        </w:rPr>
        <w:t xml:space="preserve"> et al. (2021) noted that eGFR and albuminuria add to each other in predicting progression, and Stewart et al. (2026) found that KFRE was a useful tool for risk stratifying patients who are at greater risk of kidney failure. Sullivan et al. (2023) also suggested that risk-based referral criteria can change who is deemed to be appropriate for nephrology review. </w:t>
      </w:r>
      <w:r w:rsidR="00E616DA" w:rsidRPr="00C07BB7">
        <w:rPr>
          <w:rFonts w:cs="Arial"/>
        </w:rPr>
        <w:t>Collectively, these findings indicate that CKD burden is partly shaped by surveillance and risk stratification within clinical care.</w:t>
      </w:r>
    </w:p>
    <w:p w14:paraId="038EF044" w14:textId="77777777" w:rsidR="00773F15" w:rsidRPr="002151EE" w:rsidRDefault="00773F15" w:rsidP="00462CB9">
      <w:pPr>
        <w:pStyle w:val="Heading3"/>
        <w:rPr>
          <w:rFonts w:cs="Arial"/>
          <w:color w:val="auto"/>
        </w:rPr>
      </w:pPr>
      <w:bookmarkStart w:id="130" w:name="_Toc240666931"/>
      <w:bookmarkStart w:id="131" w:name="_Toc241011081"/>
      <w:r w:rsidRPr="002151EE">
        <w:rPr>
          <w:rFonts w:cs="Arial"/>
          <w:color w:val="auto"/>
        </w:rPr>
        <w:t>4.5.2 Theme 2: Clinical and Metabolic Risk Factors</w:t>
      </w:r>
      <w:bookmarkEnd w:id="130"/>
      <w:bookmarkEnd w:id="131"/>
    </w:p>
    <w:p w14:paraId="1DA40280" w14:textId="5372207B" w:rsidR="00773F15" w:rsidRPr="00C07BB7" w:rsidRDefault="00773F15" w:rsidP="00462CB9">
      <w:pPr>
        <w:rPr>
          <w:rFonts w:cs="Arial"/>
        </w:rPr>
      </w:pPr>
      <w:r w:rsidRPr="00C07BB7">
        <w:rPr>
          <w:rFonts w:cs="Arial"/>
        </w:rPr>
        <w:t>The second theme revealed that the risk of CKD was perceived to be cumulative and interconnected. Tang et al. (2024</w:t>
      </w:r>
      <w:r w:rsidR="009259BE" w:rsidRPr="00C07BB7">
        <w:rPr>
          <w:rFonts w:cs="Arial"/>
        </w:rPr>
        <w:t>a</w:t>
      </w:r>
      <w:r w:rsidRPr="00C07BB7">
        <w:rPr>
          <w:rFonts w:cs="Arial"/>
        </w:rPr>
        <w:t xml:space="preserve">) demonstrated that clustered control of cardiometabolic factors, not single factors, was associated with obesity-related CKD. </w:t>
      </w:r>
      <w:proofErr w:type="spellStart"/>
      <w:r w:rsidRPr="00C07BB7">
        <w:rPr>
          <w:rFonts w:cs="Arial"/>
        </w:rPr>
        <w:t>Neuen</w:t>
      </w:r>
      <w:proofErr w:type="spellEnd"/>
      <w:r w:rsidRPr="00C07BB7">
        <w:rPr>
          <w:rFonts w:cs="Arial"/>
        </w:rPr>
        <w:t xml:space="preserve"> et al. (2021) also showed that the trajectory of kidney function must be viewed in conjunction with the trajectory of albuminuria. Forbes et al. (2024) introduced a management component, with the result that recognition of CKD will decide whether kidney-protective therapy is available. The pattern of the theme then corresponds to metabolic vulnerability, opportunity for monitoring and treatment. However, the relationship between these factors is observed, and the associations do not imply that changing any one of them alone should lead to the prevention of CKD.</w:t>
      </w:r>
    </w:p>
    <w:p w14:paraId="380098E8" w14:textId="77777777" w:rsidR="00773F15" w:rsidRPr="002151EE" w:rsidRDefault="00773F15" w:rsidP="00462CB9">
      <w:pPr>
        <w:pStyle w:val="Heading3"/>
        <w:rPr>
          <w:rFonts w:cs="Arial"/>
          <w:color w:val="auto"/>
        </w:rPr>
      </w:pPr>
      <w:bookmarkStart w:id="132" w:name="_Toc240666932"/>
      <w:bookmarkStart w:id="133" w:name="_Toc241011082"/>
      <w:r w:rsidRPr="002151EE">
        <w:rPr>
          <w:rFonts w:cs="Arial"/>
          <w:color w:val="auto"/>
        </w:rPr>
        <w:t>4.5.3 Theme 3: Lifestyle, Social and Emerging Risk Factors</w:t>
      </w:r>
      <w:bookmarkEnd w:id="132"/>
      <w:bookmarkEnd w:id="133"/>
    </w:p>
    <w:p w14:paraId="09F6BCCC" w14:textId="035E5C6E" w:rsidR="00773F15" w:rsidRPr="00C07BB7" w:rsidRDefault="00773F15" w:rsidP="00462CB9">
      <w:pPr>
        <w:rPr>
          <w:rFonts w:cs="Arial"/>
        </w:rPr>
      </w:pPr>
      <w:r w:rsidRPr="00C07BB7">
        <w:rPr>
          <w:rFonts w:cs="Arial"/>
        </w:rPr>
        <w:t xml:space="preserve">The third theme went beyond metabolic causes and extended to the risks of CKD. Heo et al. (2023) and Maroto-Rodriguez et al. (2025) found dietary patterns to be associated with incident CKD, whereas Zhang et al. (2023) found questionnaire and accelerometer measures of physical activity to be associated with reduced risks of incident CKD. Secondhand smoke was identified as a </w:t>
      </w:r>
      <w:proofErr w:type="spellStart"/>
      <w:r w:rsidRPr="00C07BB7">
        <w:rPr>
          <w:rFonts w:cs="Arial"/>
        </w:rPr>
        <w:t>behavioural</w:t>
      </w:r>
      <w:proofErr w:type="spellEnd"/>
      <w:r w:rsidRPr="00C07BB7">
        <w:rPr>
          <w:rFonts w:cs="Arial"/>
        </w:rPr>
        <w:t xml:space="preserve"> exposure by Lan et al (2023); air pollution was studied by Wang et al (2022); and psychiatric disorders as a psychosocial exposure by Li et al (2025). This convergence suggests that the risk of CKD is contained in the </w:t>
      </w:r>
      <w:proofErr w:type="spellStart"/>
      <w:r w:rsidRPr="00C07BB7">
        <w:rPr>
          <w:rFonts w:cs="Arial"/>
        </w:rPr>
        <w:t>behaviour</w:t>
      </w:r>
      <w:proofErr w:type="spellEnd"/>
      <w:r w:rsidRPr="00C07BB7">
        <w:rPr>
          <w:rFonts w:cs="Arial"/>
        </w:rPr>
        <w:t>, social and environmental setting. Causal findings, however, are limited by the potential for residual confounding and limitations in exposure measurement, as well as by repeated use of</w:t>
      </w:r>
      <w:r w:rsidR="002D4B06">
        <w:rPr>
          <w:rFonts w:cs="Arial"/>
        </w:rPr>
        <w:t xml:space="preserve"> the</w:t>
      </w:r>
      <w:r w:rsidRPr="00C07BB7">
        <w:rPr>
          <w:rFonts w:cs="Arial"/>
        </w:rPr>
        <w:t xml:space="preserve"> UK Biobank data.</w:t>
      </w:r>
    </w:p>
    <w:p w14:paraId="59B5A0A5" w14:textId="77777777" w:rsidR="00773F15" w:rsidRPr="002151EE" w:rsidRDefault="00773F15" w:rsidP="00462CB9">
      <w:pPr>
        <w:pStyle w:val="Heading3"/>
        <w:rPr>
          <w:rFonts w:cs="Arial"/>
          <w:color w:val="auto"/>
        </w:rPr>
      </w:pPr>
      <w:bookmarkStart w:id="134" w:name="_Toc240666933"/>
      <w:bookmarkStart w:id="135" w:name="_Toc241011083"/>
      <w:r w:rsidRPr="002151EE">
        <w:rPr>
          <w:rFonts w:cs="Arial"/>
          <w:color w:val="auto"/>
        </w:rPr>
        <w:t>4.5.4 Theme 4: Diagnosis, Screening and Risk Stratification</w:t>
      </w:r>
      <w:bookmarkEnd w:id="134"/>
      <w:bookmarkEnd w:id="135"/>
    </w:p>
    <w:p w14:paraId="27E0BF2C" w14:textId="77777777" w:rsidR="00773F15" w:rsidRPr="00C07BB7" w:rsidRDefault="00773F15" w:rsidP="00462CB9">
      <w:pPr>
        <w:rPr>
          <w:rFonts w:cs="Arial"/>
        </w:rPr>
      </w:pPr>
      <w:r w:rsidRPr="00C07BB7">
        <w:rPr>
          <w:rFonts w:cs="Arial"/>
        </w:rPr>
        <w:t xml:space="preserve">The fourth theme was diagnosis and risk stratification. Stewart et al. (2026) and Sullivan et al. (2023) demonstrated that KFRE, kidney-function estimates and albuminuria can be useful in </w:t>
      </w:r>
      <w:proofErr w:type="spellStart"/>
      <w:r w:rsidRPr="00C07BB7">
        <w:rPr>
          <w:rFonts w:cs="Arial"/>
        </w:rPr>
        <w:t>prioritising</w:t>
      </w:r>
      <w:proofErr w:type="spellEnd"/>
      <w:r w:rsidRPr="00C07BB7">
        <w:rPr>
          <w:rFonts w:cs="Arial"/>
        </w:rPr>
        <w:t xml:space="preserve"> and referring patients. Forbes et al. (2024) found that accurate recognition also influences treatment eligibility. Major et al. (2025) and Rizvi et al. (2024) demonstrated the action of clinical information on clinical decisions and how case finding and specialist input and multidisciplinary review can translate the clinical information into clinical decisions. It is therefore suggested that the theme simply cannot be about risk tools alone, but rather about the capacity for testing, recording, interpretation and service as tools of risk.</w:t>
      </w:r>
    </w:p>
    <w:p w14:paraId="7412BDAB" w14:textId="77777777" w:rsidR="00773F15" w:rsidRPr="002151EE" w:rsidRDefault="00773F15" w:rsidP="00462CB9">
      <w:pPr>
        <w:pStyle w:val="Heading3"/>
        <w:rPr>
          <w:rFonts w:cs="Arial"/>
          <w:color w:val="auto"/>
        </w:rPr>
      </w:pPr>
      <w:bookmarkStart w:id="136" w:name="_Toc240666934"/>
      <w:bookmarkStart w:id="137" w:name="_Toc241011084"/>
      <w:r w:rsidRPr="002151EE">
        <w:rPr>
          <w:rFonts w:cs="Arial"/>
          <w:color w:val="auto"/>
        </w:rPr>
        <w:t>4.5.5 Theme 5: Pharmacological Management Strategies</w:t>
      </w:r>
      <w:bookmarkEnd w:id="136"/>
      <w:bookmarkEnd w:id="137"/>
    </w:p>
    <w:p w14:paraId="0E033C4A" w14:textId="77777777" w:rsidR="00773F15" w:rsidRPr="00C07BB7" w:rsidRDefault="00773F15" w:rsidP="00462CB9">
      <w:pPr>
        <w:rPr>
          <w:rFonts w:cs="Arial"/>
        </w:rPr>
      </w:pPr>
      <w:r w:rsidRPr="00C07BB7">
        <w:rPr>
          <w:rFonts w:cs="Arial"/>
        </w:rPr>
        <w:t xml:space="preserve">Use of the fifth theme primarily in terms of implementation, rather than comparative drug efficacy. Forbes et al. (2024) found that there is a disconnect between the eligibility criteria for SGLT2 guidelines and their routine use. Medication </w:t>
      </w:r>
      <w:proofErr w:type="spellStart"/>
      <w:r w:rsidRPr="00C07BB7">
        <w:rPr>
          <w:rFonts w:cs="Arial"/>
        </w:rPr>
        <w:t>optimisation</w:t>
      </w:r>
      <w:proofErr w:type="spellEnd"/>
      <w:r w:rsidRPr="00C07BB7">
        <w:rPr>
          <w:rFonts w:cs="Arial"/>
        </w:rPr>
        <w:t xml:space="preserve"> was included in integrated models, with case finding and specialist review and follow-up, by Major et al. (2025) and Rizvi et al. (2024). Pharmacological management will thus rely on evidence-based recommendations as well as systems that can identify and support eligible patients. Long-term comparative renal effectiveness tends to underperform in terms of elucidating barriers to implementation.</w:t>
      </w:r>
    </w:p>
    <w:p w14:paraId="2D2C9D67" w14:textId="77777777" w:rsidR="00773F15" w:rsidRPr="002151EE" w:rsidRDefault="00773F15" w:rsidP="00462CB9">
      <w:pPr>
        <w:pStyle w:val="Heading3"/>
        <w:rPr>
          <w:rFonts w:cs="Arial"/>
          <w:color w:val="auto"/>
        </w:rPr>
      </w:pPr>
      <w:bookmarkStart w:id="138" w:name="_Toc240666935"/>
      <w:bookmarkStart w:id="139" w:name="_Toc241011085"/>
      <w:r w:rsidRPr="002151EE">
        <w:rPr>
          <w:rFonts w:cs="Arial"/>
          <w:color w:val="auto"/>
        </w:rPr>
        <w:t>4.5.6 Theme 6: Lifestyle, Digital and Patient-</w:t>
      </w:r>
      <w:proofErr w:type="spellStart"/>
      <w:r w:rsidRPr="002151EE">
        <w:rPr>
          <w:rFonts w:cs="Arial"/>
          <w:color w:val="auto"/>
        </w:rPr>
        <w:t>Centred</w:t>
      </w:r>
      <w:proofErr w:type="spellEnd"/>
      <w:r w:rsidRPr="002151EE">
        <w:rPr>
          <w:rFonts w:cs="Arial"/>
          <w:color w:val="auto"/>
        </w:rPr>
        <w:t xml:space="preserve"> Management</w:t>
      </w:r>
      <w:bookmarkEnd w:id="138"/>
      <w:bookmarkEnd w:id="139"/>
    </w:p>
    <w:p w14:paraId="239F4CF0" w14:textId="1A064E6F" w:rsidR="00773F15" w:rsidRPr="00C07BB7" w:rsidRDefault="00773F15" w:rsidP="00462CB9">
      <w:pPr>
        <w:rPr>
          <w:rFonts w:cs="Arial"/>
        </w:rPr>
      </w:pPr>
      <w:r w:rsidRPr="00C07BB7">
        <w:rPr>
          <w:rFonts w:cs="Arial"/>
        </w:rPr>
        <w:t>The sixth theme combined intervention evidence with patient experience. The study by Greenwood et al. (2024</w:t>
      </w:r>
      <w:r w:rsidR="00E849E9" w:rsidRPr="00C07BB7">
        <w:rPr>
          <w:rFonts w:cs="Arial"/>
        </w:rPr>
        <w:t>b</w:t>
      </w:r>
      <w:r w:rsidRPr="00C07BB7">
        <w:rPr>
          <w:rFonts w:cs="Arial"/>
        </w:rPr>
        <w:t>) was the best study to suggest a benefit of a structured digital physical-activity intervention to improve patient-</w:t>
      </w:r>
      <w:proofErr w:type="spellStart"/>
      <w:r w:rsidRPr="00C07BB7">
        <w:rPr>
          <w:rFonts w:cs="Arial"/>
        </w:rPr>
        <w:t>centred</w:t>
      </w:r>
      <w:proofErr w:type="spellEnd"/>
      <w:r w:rsidRPr="00C07BB7">
        <w:rPr>
          <w:rFonts w:cs="Arial"/>
        </w:rPr>
        <w:t xml:space="preserve"> outcomes for patients with CKD. Lightfoot et al. (2025) identified knowledge, confidence, symptoms, competing priorities and professional support as factors that underlie self-management. Observational evidence was provided by Zhang et al. (2023) to support the connection between physical activity and reduced risk of CKD, but without this, the effect of treatment cannot be found. In combination, lifestyle management seems most convincing when patient capability is combined with </w:t>
      </w:r>
      <w:proofErr w:type="spellStart"/>
      <w:r w:rsidRPr="00C07BB7">
        <w:rPr>
          <w:rFonts w:cs="Arial"/>
        </w:rPr>
        <w:t>behaviour</w:t>
      </w:r>
      <w:proofErr w:type="spellEnd"/>
      <w:r w:rsidRPr="00C07BB7">
        <w:rPr>
          <w:rFonts w:cs="Arial"/>
        </w:rPr>
        <w:t xml:space="preserve"> support and is embedded in easy-to-reach care, rather than seen only in terms of individual responsibility.</w:t>
      </w:r>
    </w:p>
    <w:p w14:paraId="315768D5" w14:textId="77777777" w:rsidR="00773F15" w:rsidRPr="002151EE" w:rsidRDefault="00773F15" w:rsidP="00462CB9">
      <w:pPr>
        <w:pStyle w:val="Heading3"/>
        <w:rPr>
          <w:rFonts w:cs="Arial"/>
          <w:color w:val="auto"/>
        </w:rPr>
      </w:pPr>
      <w:bookmarkStart w:id="140" w:name="_Toc240666936"/>
      <w:bookmarkStart w:id="141" w:name="_Toc241011086"/>
      <w:r w:rsidRPr="002151EE">
        <w:rPr>
          <w:rFonts w:cs="Arial"/>
          <w:color w:val="auto"/>
        </w:rPr>
        <w:t>4.5.7 Theme 7: Integrated Care and Health-System Management</w:t>
      </w:r>
      <w:bookmarkEnd w:id="140"/>
      <w:bookmarkEnd w:id="141"/>
    </w:p>
    <w:p w14:paraId="015D7E76" w14:textId="77777777" w:rsidR="00773F15" w:rsidRPr="00C07BB7" w:rsidRDefault="00773F15" w:rsidP="00462CB9">
      <w:pPr>
        <w:rPr>
          <w:rFonts w:cs="Arial"/>
        </w:rPr>
      </w:pPr>
      <w:r w:rsidRPr="00C07BB7">
        <w:rPr>
          <w:rFonts w:cs="Arial"/>
        </w:rPr>
        <w:t xml:space="preserve">The final theme was integrated care. Major et al. (2025) outlined a pathway where the stages of case finding, risk stratification, education, multidisciplinary review and medicines </w:t>
      </w:r>
      <w:proofErr w:type="spellStart"/>
      <w:r w:rsidRPr="00C07BB7">
        <w:rPr>
          <w:rFonts w:cs="Arial"/>
        </w:rPr>
        <w:t>optimisation</w:t>
      </w:r>
      <w:proofErr w:type="spellEnd"/>
      <w:r w:rsidRPr="00C07BB7">
        <w:rPr>
          <w:rFonts w:cs="Arial"/>
        </w:rPr>
        <w:t xml:space="preserve"> are linked between primary and secondary care. A similar primary-care-based model with nephrology and pharmacist support was demonstrated by Rizvi et al. (2024). Forbes et al. (2024) and Sullivan et al. (2023) demonstrated that this is essential, as treatment and referral require accurate identification and interpretation of clinical information. These service evaluations were not nationally representative or </w:t>
      </w:r>
      <w:proofErr w:type="spellStart"/>
      <w:r w:rsidRPr="00C07BB7">
        <w:rPr>
          <w:rFonts w:cs="Arial"/>
        </w:rPr>
        <w:t>randomised</w:t>
      </w:r>
      <w:proofErr w:type="spellEnd"/>
      <w:r w:rsidRPr="00C07BB7">
        <w:rPr>
          <w:rFonts w:cs="Arial"/>
        </w:rPr>
        <w:t xml:space="preserve">, however, and so cannot be assumed to be transferable to the NHS. The theme highlights the potential of integrated care as an </w:t>
      </w:r>
      <w:proofErr w:type="spellStart"/>
      <w:r w:rsidRPr="00C07BB7">
        <w:rPr>
          <w:rFonts w:cs="Arial"/>
        </w:rPr>
        <w:t>organisational</w:t>
      </w:r>
      <w:proofErr w:type="spellEnd"/>
      <w:r w:rsidRPr="00C07BB7">
        <w:rPr>
          <w:rFonts w:cs="Arial"/>
        </w:rPr>
        <w:t xml:space="preserve"> response, and context, implementation capacity and equity.</w:t>
      </w:r>
    </w:p>
    <w:p w14:paraId="7AC9287D" w14:textId="77777777" w:rsidR="00773F15" w:rsidRPr="002151EE" w:rsidRDefault="00773F15" w:rsidP="00462CB9">
      <w:pPr>
        <w:pStyle w:val="Heading2"/>
        <w:rPr>
          <w:rFonts w:cs="Arial"/>
          <w:sz w:val="28"/>
          <w:szCs w:val="28"/>
        </w:rPr>
      </w:pPr>
      <w:bookmarkStart w:id="142" w:name="_Toc240666937"/>
      <w:bookmarkStart w:id="143" w:name="_Toc241011087"/>
      <w:r w:rsidRPr="002151EE">
        <w:rPr>
          <w:rFonts w:cs="Arial"/>
          <w:sz w:val="28"/>
          <w:szCs w:val="28"/>
        </w:rPr>
        <w:t>4.6 Summary of Findings Against the Research Objectives</w:t>
      </w:r>
      <w:bookmarkEnd w:id="142"/>
      <w:bookmarkEnd w:id="143"/>
    </w:p>
    <w:p w14:paraId="12234963" w14:textId="66AC0F54" w:rsidR="00773F15" w:rsidRPr="00C07BB7" w:rsidRDefault="00A55CDB" w:rsidP="00462CB9">
      <w:pPr>
        <w:rPr>
          <w:rFonts w:cs="Arial"/>
        </w:rPr>
      </w:pPr>
      <w:r w:rsidRPr="00C07BB7">
        <w:rPr>
          <w:rFonts w:cs="Arial"/>
          <w:color w:val="000000" w:themeColor="text1"/>
        </w:rPr>
        <w:t>The thematic analysis tackled the first objective by identifying that the burden of CKD among</w:t>
      </w:r>
      <w:r w:rsidR="002D4B06">
        <w:rPr>
          <w:rFonts w:cs="Arial"/>
          <w:color w:val="000000" w:themeColor="text1"/>
        </w:rPr>
        <w:t xml:space="preserve"> the</w:t>
      </w:r>
      <w:r w:rsidRPr="00C07BB7">
        <w:rPr>
          <w:rFonts w:cs="Arial"/>
          <w:color w:val="000000" w:themeColor="text1"/>
        </w:rPr>
        <w:t xml:space="preserve"> UK adults is not only in terms of prevalence, but also in terms of disease progression, kidney-function assessment, monitoring of albuminuria and risk stratification. </w:t>
      </w:r>
      <w:proofErr w:type="spellStart"/>
      <w:r w:rsidR="00773F15" w:rsidRPr="00C07BB7">
        <w:rPr>
          <w:rFonts w:cs="Arial"/>
          <w:color w:val="000000" w:themeColor="text1"/>
        </w:rPr>
        <w:t>Neuen</w:t>
      </w:r>
      <w:proofErr w:type="spellEnd"/>
      <w:r w:rsidR="00773F15" w:rsidRPr="00C07BB7">
        <w:rPr>
          <w:rFonts w:cs="Arial"/>
          <w:color w:val="000000" w:themeColor="text1"/>
        </w:rPr>
        <w:t xml:space="preserve"> </w:t>
      </w:r>
      <w:r w:rsidR="00773F15" w:rsidRPr="00C07BB7">
        <w:rPr>
          <w:rFonts w:cs="Arial"/>
        </w:rPr>
        <w:t xml:space="preserve">et al. (2021), Stewart et al. (2026) and Sullivan et al. (2023) demonstrate that progression, kidney-function assessment, measurement of albuminuria and risk stratification are all key elements to identifying higher-risk patients. </w:t>
      </w:r>
      <w:r w:rsidR="00A84AF7" w:rsidRPr="00C07BB7">
        <w:rPr>
          <w:rFonts w:cs="Arial"/>
        </w:rPr>
        <w:t>No nationally representative prevalence study was included in the final evidence set</w:t>
      </w:r>
      <w:r w:rsidR="00773F15" w:rsidRPr="00C07BB7">
        <w:rPr>
          <w:rFonts w:cs="Arial"/>
        </w:rPr>
        <w:t>, which makes conclusions based on the population difficult.</w:t>
      </w:r>
    </w:p>
    <w:p w14:paraId="6EC31149" w14:textId="0259E982" w:rsidR="00773F15" w:rsidRPr="00C07BB7" w:rsidRDefault="00A55CDB" w:rsidP="00462CB9">
      <w:pPr>
        <w:rPr>
          <w:rFonts w:cs="Arial"/>
        </w:rPr>
      </w:pPr>
      <w:r w:rsidRPr="00C07BB7">
        <w:rPr>
          <w:rFonts w:cs="Arial"/>
          <w:color w:val="000000" w:themeColor="text1"/>
        </w:rPr>
        <w:t xml:space="preserve">The second research objective was fulfilled as thematic analysis highlighted the multidimensional nature of CKD risk, which aimed to identify cardiometabolic, dietary, </w:t>
      </w:r>
      <w:proofErr w:type="spellStart"/>
      <w:r w:rsidRPr="00C07BB7">
        <w:rPr>
          <w:rFonts w:cs="Arial"/>
          <w:color w:val="000000" w:themeColor="text1"/>
        </w:rPr>
        <w:t>behavioural</w:t>
      </w:r>
      <w:proofErr w:type="spellEnd"/>
      <w:r w:rsidRPr="00C07BB7">
        <w:rPr>
          <w:rFonts w:cs="Arial"/>
          <w:color w:val="000000" w:themeColor="text1"/>
        </w:rPr>
        <w:t xml:space="preserve">, psychosocial and environmental determinants. </w:t>
      </w:r>
      <w:r w:rsidR="00773F15" w:rsidRPr="00C07BB7">
        <w:rPr>
          <w:rFonts w:cs="Arial"/>
          <w:color w:val="000000" w:themeColor="text1"/>
        </w:rPr>
        <w:t>However</w:t>
      </w:r>
      <w:r w:rsidR="00773F15" w:rsidRPr="00C07BB7">
        <w:rPr>
          <w:rFonts w:cs="Arial"/>
        </w:rPr>
        <w:t>, the associations are based on the majority of observational UK Biobank data and cannot prove causality.</w:t>
      </w:r>
    </w:p>
    <w:p w14:paraId="4C7B11CF" w14:textId="5B72B1CD" w:rsidR="00773F15" w:rsidRPr="00C07BB7" w:rsidRDefault="00773F15" w:rsidP="00462CB9">
      <w:pPr>
        <w:rPr>
          <w:rFonts w:cs="Arial"/>
        </w:rPr>
      </w:pPr>
      <w:r w:rsidRPr="00C07BB7">
        <w:rPr>
          <w:rFonts w:cs="Arial"/>
        </w:rPr>
        <w:t>Linking the identification of risk, treatment, self-management and service integration are key to effective CKD management for Objective 3. The recommendations for digital intervention, patient-</w:t>
      </w:r>
      <w:proofErr w:type="spellStart"/>
      <w:r w:rsidRPr="00C07BB7">
        <w:rPr>
          <w:rFonts w:cs="Arial"/>
        </w:rPr>
        <w:t>centred</w:t>
      </w:r>
      <w:proofErr w:type="spellEnd"/>
      <w:r w:rsidRPr="00C07BB7">
        <w:rPr>
          <w:rFonts w:cs="Arial"/>
        </w:rPr>
        <w:t xml:space="preserve"> support, medicines </w:t>
      </w:r>
      <w:proofErr w:type="spellStart"/>
      <w:r w:rsidRPr="00C07BB7">
        <w:rPr>
          <w:rFonts w:cs="Arial"/>
        </w:rPr>
        <w:t>optimisation</w:t>
      </w:r>
      <w:proofErr w:type="spellEnd"/>
      <w:r w:rsidRPr="00C07BB7">
        <w:rPr>
          <w:rFonts w:cs="Arial"/>
        </w:rPr>
        <w:t xml:space="preserve"> and integrated care are supported by the following: Greenwood et al. (2024</w:t>
      </w:r>
      <w:r w:rsidR="00096A82" w:rsidRPr="00C07BB7">
        <w:rPr>
          <w:rFonts w:cs="Arial"/>
        </w:rPr>
        <w:t>b</w:t>
      </w:r>
      <w:r w:rsidRPr="00C07BB7">
        <w:rPr>
          <w:rFonts w:cs="Arial"/>
        </w:rPr>
        <w:t>); Lightfoot et al. (2025); Forbes et al. (2024); Major et al. (2025); Rizvi et al. (2024). There are few trials in the UK that evaluate long-term effectiveness.</w:t>
      </w:r>
    </w:p>
    <w:p w14:paraId="28670872" w14:textId="77777777" w:rsidR="00773F15" w:rsidRPr="00E832C8" w:rsidRDefault="00773F15" w:rsidP="00462CB9">
      <w:pPr>
        <w:rPr>
          <w:rFonts w:cs="Arial"/>
          <w:sz w:val="24"/>
          <w:szCs w:val="24"/>
        </w:rPr>
      </w:pPr>
      <w:r w:rsidRPr="00E832C8">
        <w:rPr>
          <w:rFonts w:cs="Arial"/>
          <w:b/>
          <w:bCs/>
          <w:sz w:val="24"/>
          <w:szCs w:val="24"/>
        </w:rPr>
        <w:t>Table 4.3.</w:t>
      </w:r>
      <w:r w:rsidRPr="00E832C8">
        <w:rPr>
          <w:rFonts w:cs="Arial"/>
          <w:sz w:val="24"/>
          <w:szCs w:val="24"/>
        </w:rPr>
        <w:t xml:space="preserve"> Summary of Thematic Findings Against the Research Objectives</w:t>
      </w:r>
    </w:p>
    <w:tbl>
      <w:tblPr>
        <w:tblStyle w:val="TableGrid"/>
        <w:tblW w:w="0" w:type="auto"/>
        <w:tblLook w:val="04A0" w:firstRow="1" w:lastRow="0" w:firstColumn="1" w:lastColumn="0" w:noHBand="0" w:noVBand="1"/>
      </w:tblPr>
      <w:tblGrid>
        <w:gridCol w:w="1655"/>
        <w:gridCol w:w="1909"/>
        <w:gridCol w:w="2217"/>
        <w:gridCol w:w="1149"/>
        <w:gridCol w:w="1592"/>
      </w:tblGrid>
      <w:tr w:rsidR="00773F15" w:rsidRPr="00212C0F" w14:paraId="7CF94DCE" w14:textId="77777777" w:rsidTr="00334B0F">
        <w:tc>
          <w:tcPr>
            <w:tcW w:w="0" w:type="auto"/>
            <w:hideMark/>
          </w:tcPr>
          <w:p w14:paraId="13BBB384" w14:textId="77777777" w:rsidR="00773F15" w:rsidRPr="00212C0F" w:rsidRDefault="00773F15" w:rsidP="00462CB9">
            <w:pPr>
              <w:rPr>
                <w:rFonts w:cs="Arial"/>
                <w:b/>
                <w:bCs/>
                <w:sz w:val="20"/>
                <w:szCs w:val="20"/>
              </w:rPr>
            </w:pPr>
            <w:r w:rsidRPr="00212C0F">
              <w:rPr>
                <w:rFonts w:cs="Arial"/>
                <w:b/>
                <w:bCs/>
                <w:sz w:val="20"/>
                <w:szCs w:val="20"/>
              </w:rPr>
              <w:t>Research objective</w:t>
            </w:r>
          </w:p>
        </w:tc>
        <w:tc>
          <w:tcPr>
            <w:tcW w:w="0" w:type="auto"/>
            <w:hideMark/>
          </w:tcPr>
          <w:p w14:paraId="22E287FA" w14:textId="77777777" w:rsidR="00773F15" w:rsidRPr="00212C0F" w:rsidRDefault="00773F15" w:rsidP="00462CB9">
            <w:pPr>
              <w:rPr>
                <w:rFonts w:cs="Arial"/>
                <w:b/>
                <w:bCs/>
                <w:sz w:val="20"/>
                <w:szCs w:val="20"/>
              </w:rPr>
            </w:pPr>
            <w:r w:rsidRPr="00212C0F">
              <w:rPr>
                <w:rFonts w:cs="Arial"/>
                <w:b/>
                <w:bCs/>
                <w:sz w:val="20"/>
                <w:szCs w:val="20"/>
              </w:rPr>
              <w:t>Principal studies</w:t>
            </w:r>
          </w:p>
        </w:tc>
        <w:tc>
          <w:tcPr>
            <w:tcW w:w="0" w:type="auto"/>
            <w:hideMark/>
          </w:tcPr>
          <w:p w14:paraId="67873E10" w14:textId="77777777" w:rsidR="00773F15" w:rsidRPr="00212C0F" w:rsidRDefault="00773F15" w:rsidP="00462CB9">
            <w:pPr>
              <w:rPr>
                <w:rFonts w:cs="Arial"/>
                <w:b/>
                <w:bCs/>
                <w:sz w:val="20"/>
                <w:szCs w:val="20"/>
              </w:rPr>
            </w:pPr>
            <w:r w:rsidRPr="00212C0F">
              <w:rPr>
                <w:rFonts w:cs="Arial"/>
                <w:b/>
                <w:bCs/>
                <w:sz w:val="20"/>
                <w:szCs w:val="20"/>
              </w:rPr>
              <w:t>Key thematic finding</w:t>
            </w:r>
          </w:p>
        </w:tc>
        <w:tc>
          <w:tcPr>
            <w:tcW w:w="0" w:type="auto"/>
            <w:hideMark/>
          </w:tcPr>
          <w:p w14:paraId="4A64C726" w14:textId="77777777" w:rsidR="00773F15" w:rsidRPr="00212C0F" w:rsidRDefault="00773F15" w:rsidP="00462CB9">
            <w:pPr>
              <w:rPr>
                <w:rFonts w:cs="Arial"/>
                <w:b/>
                <w:bCs/>
                <w:sz w:val="20"/>
                <w:szCs w:val="20"/>
              </w:rPr>
            </w:pPr>
            <w:r w:rsidRPr="00212C0F">
              <w:rPr>
                <w:rFonts w:cs="Arial"/>
                <w:b/>
                <w:bCs/>
                <w:sz w:val="20"/>
                <w:szCs w:val="20"/>
              </w:rPr>
              <w:t>Strength</w:t>
            </w:r>
          </w:p>
        </w:tc>
        <w:tc>
          <w:tcPr>
            <w:tcW w:w="0" w:type="auto"/>
            <w:hideMark/>
          </w:tcPr>
          <w:p w14:paraId="1738E6C2" w14:textId="77777777" w:rsidR="00773F15" w:rsidRPr="00212C0F" w:rsidRDefault="00773F15" w:rsidP="00462CB9">
            <w:pPr>
              <w:rPr>
                <w:rFonts w:cs="Arial"/>
                <w:b/>
                <w:bCs/>
                <w:sz w:val="20"/>
                <w:szCs w:val="20"/>
              </w:rPr>
            </w:pPr>
            <w:r w:rsidRPr="00212C0F">
              <w:rPr>
                <w:rFonts w:cs="Arial"/>
                <w:b/>
                <w:bCs/>
                <w:sz w:val="20"/>
                <w:szCs w:val="20"/>
              </w:rPr>
              <w:t>Main limitation</w:t>
            </w:r>
          </w:p>
        </w:tc>
      </w:tr>
      <w:tr w:rsidR="00773F15" w:rsidRPr="00212C0F" w14:paraId="53F1EAD7" w14:textId="77777777" w:rsidTr="00334B0F">
        <w:tc>
          <w:tcPr>
            <w:tcW w:w="0" w:type="auto"/>
            <w:hideMark/>
          </w:tcPr>
          <w:p w14:paraId="032AD3EC" w14:textId="45AD7230" w:rsidR="00773F15" w:rsidRPr="00212C0F" w:rsidRDefault="00773F15" w:rsidP="00462CB9">
            <w:pPr>
              <w:rPr>
                <w:rFonts w:cs="Arial"/>
                <w:sz w:val="20"/>
                <w:szCs w:val="20"/>
              </w:rPr>
            </w:pPr>
            <w:r w:rsidRPr="00212C0F">
              <w:rPr>
                <w:rFonts w:cs="Arial"/>
                <w:sz w:val="20"/>
                <w:szCs w:val="20"/>
              </w:rPr>
              <w:t>Objective</w:t>
            </w:r>
            <w:r w:rsidR="00DE232F">
              <w:rPr>
                <w:rFonts w:cs="Arial"/>
                <w:sz w:val="20"/>
                <w:szCs w:val="20"/>
              </w:rPr>
              <w:t xml:space="preserve"> </w:t>
            </w:r>
            <w:r w:rsidRPr="00212C0F">
              <w:rPr>
                <w:rFonts w:cs="Arial"/>
                <w:sz w:val="20"/>
                <w:szCs w:val="20"/>
              </w:rPr>
              <w:t>1: Epidemiology, distribution and burden</w:t>
            </w:r>
          </w:p>
        </w:tc>
        <w:tc>
          <w:tcPr>
            <w:tcW w:w="0" w:type="auto"/>
            <w:hideMark/>
          </w:tcPr>
          <w:p w14:paraId="1D10B06C" w14:textId="77777777" w:rsidR="00773F15" w:rsidRPr="00212C0F" w:rsidRDefault="00773F15" w:rsidP="00462CB9">
            <w:pPr>
              <w:jc w:val="center"/>
              <w:rPr>
                <w:rFonts w:cs="Arial"/>
                <w:sz w:val="20"/>
                <w:szCs w:val="20"/>
              </w:rPr>
            </w:pPr>
            <w:proofErr w:type="spellStart"/>
            <w:r w:rsidRPr="00212C0F">
              <w:rPr>
                <w:rFonts w:cs="Arial"/>
                <w:sz w:val="20"/>
                <w:szCs w:val="20"/>
              </w:rPr>
              <w:t>Neuen</w:t>
            </w:r>
            <w:proofErr w:type="spellEnd"/>
            <w:r w:rsidRPr="00212C0F">
              <w:rPr>
                <w:rFonts w:cs="Arial"/>
                <w:sz w:val="20"/>
                <w:szCs w:val="20"/>
              </w:rPr>
              <w:t xml:space="preserve"> et al. (2021); Stewart et al. (2026); Sullivan et al. (2023)</w:t>
            </w:r>
          </w:p>
        </w:tc>
        <w:tc>
          <w:tcPr>
            <w:tcW w:w="0" w:type="auto"/>
            <w:hideMark/>
          </w:tcPr>
          <w:p w14:paraId="244CCEBE" w14:textId="77777777" w:rsidR="00773F15" w:rsidRPr="00212C0F" w:rsidRDefault="00773F15" w:rsidP="00462CB9">
            <w:pPr>
              <w:jc w:val="center"/>
              <w:rPr>
                <w:rFonts w:cs="Arial"/>
                <w:sz w:val="20"/>
                <w:szCs w:val="20"/>
              </w:rPr>
            </w:pPr>
            <w:r w:rsidRPr="00212C0F">
              <w:rPr>
                <w:rFonts w:cs="Arial"/>
                <w:sz w:val="20"/>
                <w:szCs w:val="20"/>
              </w:rPr>
              <w:t>Progression, monitoring and risk stratification define burden.</w:t>
            </w:r>
          </w:p>
        </w:tc>
        <w:tc>
          <w:tcPr>
            <w:tcW w:w="0" w:type="auto"/>
            <w:hideMark/>
          </w:tcPr>
          <w:p w14:paraId="31A41FA6" w14:textId="77777777" w:rsidR="00773F15" w:rsidRPr="00212C0F" w:rsidRDefault="00773F15" w:rsidP="00462CB9">
            <w:pPr>
              <w:jc w:val="center"/>
              <w:rPr>
                <w:rFonts w:cs="Arial"/>
                <w:sz w:val="20"/>
                <w:szCs w:val="20"/>
              </w:rPr>
            </w:pPr>
            <w:r w:rsidRPr="00212C0F">
              <w:rPr>
                <w:rFonts w:cs="Arial"/>
                <w:sz w:val="20"/>
                <w:szCs w:val="20"/>
              </w:rPr>
              <w:t>Moderate-high</w:t>
            </w:r>
          </w:p>
        </w:tc>
        <w:tc>
          <w:tcPr>
            <w:tcW w:w="0" w:type="auto"/>
            <w:hideMark/>
          </w:tcPr>
          <w:p w14:paraId="005EE7DE" w14:textId="77777777" w:rsidR="00773F15" w:rsidRPr="00212C0F" w:rsidRDefault="00773F15" w:rsidP="00462CB9">
            <w:pPr>
              <w:jc w:val="center"/>
              <w:rPr>
                <w:rFonts w:cs="Arial"/>
                <w:sz w:val="20"/>
                <w:szCs w:val="20"/>
              </w:rPr>
            </w:pPr>
            <w:r w:rsidRPr="00212C0F">
              <w:rPr>
                <w:rFonts w:cs="Arial"/>
                <w:sz w:val="20"/>
                <w:szCs w:val="20"/>
              </w:rPr>
              <w:t>No national prevalence study.</w:t>
            </w:r>
          </w:p>
        </w:tc>
      </w:tr>
      <w:tr w:rsidR="00773F15" w:rsidRPr="00212C0F" w14:paraId="230AE96F" w14:textId="77777777" w:rsidTr="00334B0F">
        <w:tc>
          <w:tcPr>
            <w:tcW w:w="0" w:type="auto"/>
            <w:hideMark/>
          </w:tcPr>
          <w:p w14:paraId="02CB26FB" w14:textId="77777777" w:rsidR="00773F15" w:rsidRPr="00212C0F" w:rsidRDefault="00773F15" w:rsidP="00462CB9">
            <w:pPr>
              <w:rPr>
                <w:rFonts w:cs="Arial"/>
                <w:sz w:val="20"/>
                <w:szCs w:val="20"/>
              </w:rPr>
            </w:pPr>
            <w:r w:rsidRPr="00212C0F">
              <w:rPr>
                <w:rFonts w:cs="Arial"/>
                <w:sz w:val="20"/>
                <w:szCs w:val="20"/>
              </w:rPr>
              <w:t>Objective 2: Risk factors</w:t>
            </w:r>
          </w:p>
        </w:tc>
        <w:tc>
          <w:tcPr>
            <w:tcW w:w="0" w:type="auto"/>
            <w:hideMark/>
          </w:tcPr>
          <w:p w14:paraId="46A32A20" w14:textId="5C54F9C1" w:rsidR="00773F15" w:rsidRPr="00212C0F" w:rsidRDefault="00773F15" w:rsidP="00462CB9">
            <w:pPr>
              <w:jc w:val="center"/>
              <w:rPr>
                <w:rFonts w:cs="Arial"/>
                <w:sz w:val="20"/>
                <w:szCs w:val="20"/>
              </w:rPr>
            </w:pPr>
            <w:r w:rsidRPr="00212C0F">
              <w:rPr>
                <w:rFonts w:cs="Arial"/>
                <w:sz w:val="20"/>
                <w:szCs w:val="20"/>
              </w:rPr>
              <w:t>Tang et al. (2024</w:t>
            </w:r>
            <w:r w:rsidR="009259BE" w:rsidRPr="00212C0F">
              <w:rPr>
                <w:rFonts w:cs="Arial"/>
                <w:sz w:val="20"/>
                <w:szCs w:val="20"/>
              </w:rPr>
              <w:t>a</w:t>
            </w:r>
            <w:r w:rsidRPr="00212C0F">
              <w:rPr>
                <w:rFonts w:cs="Arial"/>
                <w:sz w:val="20"/>
                <w:szCs w:val="20"/>
              </w:rPr>
              <w:t>); Heo et al. (2023); Maroto-Rodriguez et al. (2025); Lan et al. (2023); Li et al. (2025); Wang et al. (2022); Zhang et al. (2023)</w:t>
            </w:r>
          </w:p>
        </w:tc>
        <w:tc>
          <w:tcPr>
            <w:tcW w:w="0" w:type="auto"/>
            <w:hideMark/>
          </w:tcPr>
          <w:p w14:paraId="7C93D747" w14:textId="77777777" w:rsidR="00773F15" w:rsidRPr="00212C0F" w:rsidRDefault="00773F15" w:rsidP="00462CB9">
            <w:pPr>
              <w:jc w:val="center"/>
              <w:rPr>
                <w:rFonts w:cs="Arial"/>
                <w:sz w:val="20"/>
                <w:szCs w:val="20"/>
              </w:rPr>
            </w:pPr>
            <w:r w:rsidRPr="00212C0F">
              <w:rPr>
                <w:rFonts w:cs="Arial"/>
                <w:sz w:val="20"/>
                <w:szCs w:val="20"/>
              </w:rPr>
              <w:t>Risk is multidimensional.</w:t>
            </w:r>
          </w:p>
        </w:tc>
        <w:tc>
          <w:tcPr>
            <w:tcW w:w="0" w:type="auto"/>
            <w:hideMark/>
          </w:tcPr>
          <w:p w14:paraId="4EB6C4D7" w14:textId="77777777" w:rsidR="00773F15" w:rsidRPr="00212C0F" w:rsidRDefault="00773F15" w:rsidP="00462CB9">
            <w:pPr>
              <w:jc w:val="center"/>
              <w:rPr>
                <w:rFonts w:cs="Arial"/>
                <w:sz w:val="20"/>
                <w:szCs w:val="20"/>
              </w:rPr>
            </w:pPr>
            <w:r w:rsidRPr="00212C0F">
              <w:rPr>
                <w:rFonts w:cs="Arial"/>
                <w:sz w:val="20"/>
                <w:szCs w:val="20"/>
              </w:rPr>
              <w:t>Moderate</w:t>
            </w:r>
          </w:p>
        </w:tc>
        <w:tc>
          <w:tcPr>
            <w:tcW w:w="0" w:type="auto"/>
            <w:hideMark/>
          </w:tcPr>
          <w:p w14:paraId="54AA444C" w14:textId="77777777" w:rsidR="00773F15" w:rsidRPr="00212C0F" w:rsidRDefault="00773F15" w:rsidP="00462CB9">
            <w:pPr>
              <w:jc w:val="center"/>
              <w:rPr>
                <w:rFonts w:cs="Arial"/>
                <w:sz w:val="20"/>
                <w:szCs w:val="20"/>
              </w:rPr>
            </w:pPr>
            <w:r w:rsidRPr="00212C0F">
              <w:rPr>
                <w:rFonts w:cs="Arial"/>
                <w:sz w:val="20"/>
                <w:szCs w:val="20"/>
              </w:rPr>
              <w:t>Observational evidence restricts causality.</w:t>
            </w:r>
          </w:p>
        </w:tc>
      </w:tr>
      <w:tr w:rsidR="00773F15" w:rsidRPr="00212C0F" w14:paraId="25BD5C5B" w14:textId="77777777" w:rsidTr="00334B0F">
        <w:tc>
          <w:tcPr>
            <w:tcW w:w="0" w:type="auto"/>
            <w:hideMark/>
          </w:tcPr>
          <w:p w14:paraId="74AA0849" w14:textId="77777777" w:rsidR="00773F15" w:rsidRPr="00212C0F" w:rsidRDefault="00773F15" w:rsidP="00462CB9">
            <w:pPr>
              <w:rPr>
                <w:rFonts w:cs="Arial"/>
                <w:sz w:val="20"/>
                <w:szCs w:val="20"/>
              </w:rPr>
            </w:pPr>
            <w:r w:rsidRPr="00212C0F">
              <w:rPr>
                <w:rFonts w:cs="Arial"/>
                <w:sz w:val="20"/>
                <w:szCs w:val="20"/>
              </w:rPr>
              <w:t>Objective 3: Management strategies</w:t>
            </w:r>
          </w:p>
        </w:tc>
        <w:tc>
          <w:tcPr>
            <w:tcW w:w="0" w:type="auto"/>
            <w:hideMark/>
          </w:tcPr>
          <w:p w14:paraId="3A0CC4DE" w14:textId="267F7191" w:rsidR="00773F15" w:rsidRPr="00212C0F" w:rsidRDefault="00773F15" w:rsidP="00462CB9">
            <w:pPr>
              <w:jc w:val="center"/>
              <w:rPr>
                <w:rFonts w:cs="Arial"/>
                <w:sz w:val="20"/>
                <w:szCs w:val="20"/>
              </w:rPr>
            </w:pPr>
            <w:r w:rsidRPr="00212C0F">
              <w:rPr>
                <w:rFonts w:cs="Arial"/>
                <w:sz w:val="20"/>
                <w:szCs w:val="20"/>
              </w:rPr>
              <w:t>Forbes et al. (2024); Greenwood et al. (2024</w:t>
            </w:r>
            <w:r w:rsidR="007E3213" w:rsidRPr="00212C0F">
              <w:rPr>
                <w:rFonts w:cs="Arial"/>
                <w:sz w:val="20"/>
                <w:szCs w:val="20"/>
              </w:rPr>
              <w:t>b</w:t>
            </w:r>
            <w:r w:rsidRPr="00212C0F">
              <w:rPr>
                <w:rFonts w:cs="Arial"/>
                <w:sz w:val="20"/>
                <w:szCs w:val="20"/>
              </w:rPr>
              <w:t>); Lightfoot et al. (2025); Major et al. (2025); Rizvi et al. (2024)</w:t>
            </w:r>
          </w:p>
        </w:tc>
        <w:tc>
          <w:tcPr>
            <w:tcW w:w="0" w:type="auto"/>
            <w:hideMark/>
          </w:tcPr>
          <w:p w14:paraId="16E9454E" w14:textId="77777777" w:rsidR="00773F15" w:rsidRPr="00212C0F" w:rsidRDefault="00773F15" w:rsidP="00462CB9">
            <w:pPr>
              <w:jc w:val="center"/>
              <w:rPr>
                <w:rFonts w:cs="Arial"/>
                <w:sz w:val="20"/>
                <w:szCs w:val="20"/>
              </w:rPr>
            </w:pPr>
            <w:r w:rsidRPr="00212C0F">
              <w:rPr>
                <w:rFonts w:cs="Arial"/>
                <w:sz w:val="20"/>
                <w:szCs w:val="20"/>
              </w:rPr>
              <w:t xml:space="preserve">Management combines identification, education, digital support, medicines </w:t>
            </w:r>
            <w:proofErr w:type="spellStart"/>
            <w:r w:rsidRPr="00212C0F">
              <w:rPr>
                <w:rFonts w:cs="Arial"/>
                <w:sz w:val="20"/>
                <w:szCs w:val="20"/>
              </w:rPr>
              <w:t>optimisation</w:t>
            </w:r>
            <w:proofErr w:type="spellEnd"/>
            <w:r w:rsidRPr="00212C0F">
              <w:rPr>
                <w:rFonts w:cs="Arial"/>
                <w:sz w:val="20"/>
                <w:szCs w:val="20"/>
              </w:rPr>
              <w:t xml:space="preserve"> and integrated care.</w:t>
            </w:r>
          </w:p>
        </w:tc>
        <w:tc>
          <w:tcPr>
            <w:tcW w:w="0" w:type="auto"/>
            <w:hideMark/>
          </w:tcPr>
          <w:p w14:paraId="0E146DD9" w14:textId="77777777" w:rsidR="00773F15" w:rsidRPr="00212C0F" w:rsidRDefault="00773F15" w:rsidP="00462CB9">
            <w:pPr>
              <w:jc w:val="center"/>
              <w:rPr>
                <w:rFonts w:cs="Arial"/>
                <w:sz w:val="20"/>
                <w:szCs w:val="20"/>
              </w:rPr>
            </w:pPr>
            <w:r w:rsidRPr="00212C0F">
              <w:rPr>
                <w:rFonts w:cs="Arial"/>
                <w:sz w:val="20"/>
                <w:szCs w:val="20"/>
              </w:rPr>
              <w:t>Mixed</w:t>
            </w:r>
          </w:p>
        </w:tc>
        <w:tc>
          <w:tcPr>
            <w:tcW w:w="0" w:type="auto"/>
            <w:hideMark/>
          </w:tcPr>
          <w:p w14:paraId="40C6CD43" w14:textId="77777777" w:rsidR="00773F15" w:rsidRPr="00212C0F" w:rsidRDefault="00773F15" w:rsidP="00462CB9">
            <w:pPr>
              <w:jc w:val="center"/>
              <w:rPr>
                <w:rFonts w:cs="Arial"/>
                <w:sz w:val="20"/>
                <w:szCs w:val="20"/>
              </w:rPr>
            </w:pPr>
            <w:r w:rsidRPr="00212C0F">
              <w:rPr>
                <w:rFonts w:cs="Arial"/>
                <w:sz w:val="20"/>
                <w:szCs w:val="20"/>
              </w:rPr>
              <w:t>Limited comparative trials.</w:t>
            </w:r>
          </w:p>
        </w:tc>
      </w:tr>
    </w:tbl>
    <w:p w14:paraId="0FB5263F" w14:textId="77777777" w:rsidR="00E832C8" w:rsidRPr="00E832C8" w:rsidRDefault="00E832C8" w:rsidP="00E832C8"/>
    <w:p w14:paraId="6C8CE0CE" w14:textId="71B03383" w:rsidR="00773F15" w:rsidRPr="00C07BB7" w:rsidRDefault="00773F15" w:rsidP="00C875E5">
      <w:pPr>
        <w:pStyle w:val="Heading2"/>
        <w:spacing w:before="0"/>
        <w:rPr>
          <w:rFonts w:cs="Arial"/>
        </w:rPr>
      </w:pPr>
      <w:bookmarkStart w:id="144" w:name="_Toc241011088"/>
      <w:r w:rsidRPr="00C07BB7">
        <w:rPr>
          <w:rFonts w:cs="Arial"/>
        </w:rPr>
        <w:t xml:space="preserve">4.7 Chapter </w:t>
      </w:r>
      <w:r w:rsidRPr="002A6DBB">
        <w:rPr>
          <w:rFonts w:cs="Arial"/>
          <w:sz w:val="28"/>
          <w:szCs w:val="28"/>
        </w:rPr>
        <w:t>Summary</w:t>
      </w:r>
      <w:bookmarkEnd w:id="144"/>
    </w:p>
    <w:p w14:paraId="41610C79" w14:textId="462C070B" w:rsidR="00E40F61" w:rsidRDefault="00773F15" w:rsidP="00462CB9">
      <w:pPr>
        <w:rPr>
          <w:rFonts w:cs="Arial"/>
        </w:rPr>
      </w:pPr>
      <w:r w:rsidRPr="00C07BB7">
        <w:rPr>
          <w:rFonts w:cs="Arial"/>
        </w:rPr>
        <w:t xml:space="preserve">Chapter Four shows that there are interdependent clinical, </w:t>
      </w:r>
      <w:proofErr w:type="spellStart"/>
      <w:r w:rsidRPr="00C07BB7">
        <w:rPr>
          <w:rFonts w:cs="Arial"/>
        </w:rPr>
        <w:t>behavioural</w:t>
      </w:r>
      <w:proofErr w:type="spellEnd"/>
      <w:r w:rsidRPr="00C07BB7">
        <w:rPr>
          <w:rFonts w:cs="Arial"/>
        </w:rPr>
        <w:t xml:space="preserve">, psychosocial, environmental and </w:t>
      </w:r>
      <w:proofErr w:type="spellStart"/>
      <w:r w:rsidRPr="00C07BB7">
        <w:rPr>
          <w:rFonts w:cs="Arial"/>
        </w:rPr>
        <w:t>organisational</w:t>
      </w:r>
      <w:proofErr w:type="spellEnd"/>
      <w:r w:rsidRPr="00C07BB7">
        <w:rPr>
          <w:rFonts w:cs="Arial"/>
        </w:rPr>
        <w:t xml:space="preserve"> factors that influence the risk of CKD and how it is managed in adults in the UK. Themes were identified through patterns in the data that recognition, monitoring and management are dependent upon each other. There is still a lack of intervention evidence on lifestyle and environmental findings apart, where they used a </w:t>
      </w:r>
      <w:proofErr w:type="spellStart"/>
      <w:r w:rsidRPr="00C07BB7">
        <w:rPr>
          <w:rFonts w:cs="Arial"/>
        </w:rPr>
        <w:t>randomised</w:t>
      </w:r>
      <w:proofErr w:type="spellEnd"/>
      <w:r w:rsidRPr="00C07BB7">
        <w:rPr>
          <w:rFonts w:cs="Arial"/>
        </w:rPr>
        <w:t xml:space="preserve"> design. Without being able to identify the accurate treatment, patient support, and coordinated services, treatment recommendations do not constitute a treatment. The results are used to interpret the themes within existing literature, the Health Belief Model and implications for UK public health and NHS practice, as presented in Chapter Five.</w:t>
      </w:r>
      <w:r w:rsidR="002A6DBB">
        <w:rPr>
          <w:rFonts w:cs="Arial"/>
        </w:rPr>
        <w:t xml:space="preserve"> </w:t>
      </w:r>
    </w:p>
    <w:p w14:paraId="66868240" w14:textId="2C7CC00D" w:rsidR="002A6DBB" w:rsidRDefault="002A6DBB">
      <w:pPr>
        <w:spacing w:after="200" w:line="276" w:lineRule="auto"/>
        <w:jc w:val="left"/>
        <w:rPr>
          <w:rFonts w:cs="Arial"/>
        </w:rPr>
      </w:pPr>
      <w:r>
        <w:rPr>
          <w:rFonts w:cs="Arial"/>
        </w:rPr>
        <w:br w:type="page"/>
      </w:r>
    </w:p>
    <w:p w14:paraId="13AD395E" w14:textId="1EFFE655" w:rsidR="00E40F61" w:rsidRPr="00C07BB7" w:rsidRDefault="00E40F61" w:rsidP="002A6DBB">
      <w:pPr>
        <w:pStyle w:val="Heading1"/>
        <w:rPr>
          <w:rFonts w:cs="Arial"/>
        </w:rPr>
      </w:pPr>
      <w:bookmarkStart w:id="145" w:name="_Toc240666938"/>
      <w:bookmarkStart w:id="146" w:name="_Toc241011089"/>
      <w:r w:rsidRPr="00C07BB7">
        <w:rPr>
          <w:rFonts w:cs="Arial"/>
        </w:rPr>
        <w:t xml:space="preserve">Chapter </w:t>
      </w:r>
      <w:r w:rsidR="00ED5ADF">
        <w:rPr>
          <w:rFonts w:cs="Arial"/>
        </w:rPr>
        <w:t>Five</w:t>
      </w:r>
      <w:r w:rsidRPr="00C07BB7">
        <w:rPr>
          <w:rFonts w:cs="Arial"/>
        </w:rPr>
        <w:t>: Discussion</w:t>
      </w:r>
      <w:bookmarkEnd w:id="145"/>
      <w:bookmarkEnd w:id="146"/>
    </w:p>
    <w:p w14:paraId="777E8A4F" w14:textId="77777777" w:rsidR="00E40F61" w:rsidRPr="00574EFA" w:rsidRDefault="00E40F61" w:rsidP="00462CB9">
      <w:pPr>
        <w:pStyle w:val="Heading2"/>
        <w:rPr>
          <w:rFonts w:cs="Arial"/>
          <w:sz w:val="28"/>
          <w:szCs w:val="28"/>
        </w:rPr>
      </w:pPr>
      <w:bookmarkStart w:id="147" w:name="_Toc240666939"/>
      <w:bookmarkStart w:id="148" w:name="_Toc241011090"/>
      <w:r w:rsidRPr="00574EFA">
        <w:rPr>
          <w:rFonts w:cs="Arial"/>
          <w:sz w:val="28"/>
          <w:szCs w:val="28"/>
        </w:rPr>
        <w:t>5.1 Interpretation of CKD Burden and Risk</w:t>
      </w:r>
      <w:bookmarkEnd w:id="147"/>
      <w:bookmarkEnd w:id="148"/>
    </w:p>
    <w:p w14:paraId="4C8CFD9F" w14:textId="06D2C41E" w:rsidR="00E40F61" w:rsidRPr="00C07BB7" w:rsidRDefault="00E40F61" w:rsidP="00462CB9">
      <w:pPr>
        <w:rPr>
          <w:rFonts w:cs="Arial"/>
        </w:rPr>
      </w:pPr>
      <w:r w:rsidRPr="00C07BB7">
        <w:rPr>
          <w:rFonts w:cs="Arial"/>
        </w:rPr>
        <w:t xml:space="preserve">The results suggest chronic kidney disease in adults in the UK is a </w:t>
      </w:r>
      <w:r w:rsidR="00574EFA" w:rsidRPr="00C07BB7">
        <w:rPr>
          <w:rFonts w:cs="Arial"/>
        </w:rPr>
        <w:t>dynamic public-health</w:t>
      </w:r>
      <w:r w:rsidRPr="00C07BB7">
        <w:rPr>
          <w:rFonts w:cs="Arial"/>
        </w:rPr>
        <w:t xml:space="preserve"> issue, rather than a prevalence issue. Progression, lack of recognition and albuminuria testing/risk stratification were common themes in the review. </w:t>
      </w:r>
      <w:proofErr w:type="spellStart"/>
      <w:r w:rsidRPr="00C07BB7">
        <w:rPr>
          <w:rFonts w:cs="Arial"/>
        </w:rPr>
        <w:t>Neuen</w:t>
      </w:r>
      <w:proofErr w:type="spellEnd"/>
      <w:r w:rsidRPr="00C07BB7">
        <w:rPr>
          <w:rFonts w:cs="Arial"/>
        </w:rPr>
        <w:t xml:space="preserve"> et al. (2021) demonstrated that the combination of eGFR and albuminuria is more informative for assessing progression, whereas Stewart et al. (2026) demonstrated that KFRE is a clinical tool that could be used to identify higher-risk individuals for kidney failure progression. Similarly, Sullivan et al. (2023) demonstrated that risk-based referral criteria modifications can impact the pathway that patients go down. These results corroborate previous literature that suggests that coding and recognition do not necessarily capture clinically important CKD and limit access to monitoring and intervention (Sisk et al., 2024; Dolan et al., 2025). There was no dedicated national prevalence study within the final evidence set; however, the review was able to discuss how the burden is </w:t>
      </w:r>
      <w:proofErr w:type="spellStart"/>
      <w:r w:rsidRPr="00C07BB7">
        <w:rPr>
          <w:rFonts w:cs="Arial"/>
        </w:rPr>
        <w:t>recognised</w:t>
      </w:r>
      <w:proofErr w:type="spellEnd"/>
      <w:r w:rsidRPr="00C07BB7">
        <w:rPr>
          <w:rFonts w:cs="Arial"/>
        </w:rPr>
        <w:t xml:space="preserve"> and managed with a greater degree of confidence than estimating the UK prevalence in contemporary times. This distinction is significant as it can affect the apparent burden of disease due to the quality of </w:t>
      </w:r>
      <w:r w:rsidR="002872FB" w:rsidRPr="00C07BB7">
        <w:rPr>
          <w:rFonts w:cs="Arial"/>
        </w:rPr>
        <w:t>surveillance</w:t>
      </w:r>
      <w:r w:rsidRPr="00C07BB7">
        <w:rPr>
          <w:rFonts w:cs="Arial"/>
        </w:rPr>
        <w:t>.</w:t>
      </w:r>
    </w:p>
    <w:p w14:paraId="57EA9F97" w14:textId="77777777" w:rsidR="00E40F61" w:rsidRPr="00574EFA" w:rsidRDefault="00E40F61" w:rsidP="00462CB9">
      <w:pPr>
        <w:pStyle w:val="Heading2"/>
        <w:rPr>
          <w:rFonts w:cs="Arial"/>
          <w:sz w:val="28"/>
          <w:szCs w:val="28"/>
        </w:rPr>
      </w:pPr>
      <w:bookmarkStart w:id="149" w:name="_Toc240666940"/>
      <w:bookmarkStart w:id="150" w:name="_Toc241011091"/>
      <w:r w:rsidRPr="00574EFA">
        <w:rPr>
          <w:rFonts w:cs="Arial"/>
          <w:sz w:val="28"/>
          <w:szCs w:val="28"/>
        </w:rPr>
        <w:t xml:space="preserve">5.2 Risk Factors, </w:t>
      </w:r>
      <w:proofErr w:type="spellStart"/>
      <w:r w:rsidRPr="00574EFA">
        <w:rPr>
          <w:rFonts w:cs="Arial"/>
          <w:sz w:val="28"/>
          <w:szCs w:val="28"/>
        </w:rPr>
        <w:t>Behaviour</w:t>
      </w:r>
      <w:proofErr w:type="spellEnd"/>
      <w:r w:rsidRPr="00574EFA">
        <w:rPr>
          <w:rFonts w:cs="Arial"/>
          <w:sz w:val="28"/>
          <w:szCs w:val="28"/>
        </w:rPr>
        <w:t xml:space="preserve"> and Inequality</w:t>
      </w:r>
      <w:bookmarkEnd w:id="149"/>
      <w:bookmarkEnd w:id="150"/>
    </w:p>
    <w:p w14:paraId="5EF95419" w14:textId="34255D56" w:rsidR="00E40F61" w:rsidRPr="00C07BB7" w:rsidRDefault="00E40F61" w:rsidP="00462CB9">
      <w:pPr>
        <w:rPr>
          <w:rFonts w:cs="Arial"/>
        </w:rPr>
      </w:pPr>
      <w:r w:rsidRPr="00C07BB7">
        <w:rPr>
          <w:rFonts w:cs="Arial"/>
        </w:rPr>
        <w:t xml:space="preserve">The findings from the themes help to </w:t>
      </w:r>
      <w:r w:rsidR="00574EFA" w:rsidRPr="00C07BB7">
        <w:rPr>
          <w:rFonts w:cs="Arial"/>
        </w:rPr>
        <w:t>provide</w:t>
      </w:r>
      <w:r w:rsidRPr="00C07BB7">
        <w:rPr>
          <w:rFonts w:cs="Arial"/>
        </w:rPr>
        <w:t xml:space="preserve"> a multi-dimensional understanding of the risk for CKD. However, Tang et al. (2024</w:t>
      </w:r>
      <w:r w:rsidR="009259BE" w:rsidRPr="00C07BB7">
        <w:rPr>
          <w:rFonts w:cs="Arial"/>
        </w:rPr>
        <w:t>b</w:t>
      </w:r>
      <w:r w:rsidRPr="00C07BB7">
        <w:rPr>
          <w:rFonts w:cs="Arial"/>
        </w:rPr>
        <w:t xml:space="preserve">) found that joint control of the cardiometabolic factors was associated with reduced excess risk of CKD among adult patients with obesity, indicating that preventing CKD should be done through multiple risk factors rather than individual risk factors. There are potentially modifiable </w:t>
      </w:r>
      <w:proofErr w:type="spellStart"/>
      <w:r w:rsidRPr="00C07BB7">
        <w:rPr>
          <w:rFonts w:cs="Arial"/>
        </w:rPr>
        <w:t>behavioural</w:t>
      </w:r>
      <w:proofErr w:type="spellEnd"/>
      <w:r w:rsidRPr="00C07BB7">
        <w:rPr>
          <w:rFonts w:cs="Arial"/>
        </w:rPr>
        <w:t xml:space="preserve"> pathways suggested by the dietary evidence from Heo et al. (2023) and Maroto-Rodriguez et al. (2025) and physical-activity evidence from Zhang et al. (2023). However, most of these relationships are only descriptive in nature and are thus subject to the limitations of unobserved confounding, measurement error and selection bias. This restriction is especially significant as several studies in this publication used data from</w:t>
      </w:r>
      <w:r w:rsidR="002D4B06">
        <w:rPr>
          <w:rFonts w:cs="Arial"/>
        </w:rPr>
        <w:t xml:space="preserve"> the</w:t>
      </w:r>
      <w:r w:rsidRPr="00C07BB7">
        <w:rPr>
          <w:rFonts w:cs="Arial"/>
        </w:rPr>
        <w:t xml:space="preserve"> UK Biobank, which may have a healthier volunteer population, limiting representativeness.</w:t>
      </w:r>
    </w:p>
    <w:p w14:paraId="1E1C20AB" w14:textId="2D104AC4" w:rsidR="00E40F61" w:rsidRPr="00C07BB7" w:rsidRDefault="00E40F61" w:rsidP="00462CB9">
      <w:pPr>
        <w:rPr>
          <w:rFonts w:cs="Arial"/>
        </w:rPr>
      </w:pPr>
      <w:r w:rsidRPr="00C07BB7">
        <w:rPr>
          <w:rFonts w:cs="Arial"/>
        </w:rPr>
        <w:t xml:space="preserve">In addition, the evidence </w:t>
      </w:r>
      <w:r w:rsidR="002872FB" w:rsidRPr="00C07BB7">
        <w:rPr>
          <w:rFonts w:cs="Arial"/>
        </w:rPr>
        <w:t>extends to</w:t>
      </w:r>
      <w:r w:rsidRPr="00C07BB7">
        <w:rPr>
          <w:rFonts w:cs="Arial"/>
        </w:rPr>
        <w:t xml:space="preserve"> the conventional clinical model. Lan et al. (2023) linked secondhand smoke with CKD, while psychiatric disorders and air pollution were linked with CKD by Li et al (2025) and Wang et al (2022), respectively. These are consistent with findings in Chapter Two, which found deprivation and </w:t>
      </w:r>
      <w:proofErr w:type="spellStart"/>
      <w:r w:rsidRPr="00C07BB7">
        <w:rPr>
          <w:rFonts w:cs="Arial"/>
        </w:rPr>
        <w:t>neighbourhood</w:t>
      </w:r>
      <w:proofErr w:type="spellEnd"/>
      <w:r w:rsidRPr="00C07BB7">
        <w:rPr>
          <w:rFonts w:cs="Arial"/>
        </w:rPr>
        <w:t xml:space="preserve"> conditions to be relevant to kidney health (Sawhney et al., 2024). The suggestion is not that each of the exposures observed is a causal risk individually, but that the risk of CKD is socially patterned, and is socially located within the </w:t>
      </w:r>
      <w:proofErr w:type="spellStart"/>
      <w:r w:rsidRPr="00C07BB7">
        <w:rPr>
          <w:rFonts w:cs="Arial"/>
        </w:rPr>
        <w:t>behavioural</w:t>
      </w:r>
      <w:proofErr w:type="spellEnd"/>
      <w:r w:rsidRPr="00C07BB7">
        <w:rPr>
          <w:rFonts w:cs="Arial"/>
        </w:rPr>
        <w:t xml:space="preserve"> and environmental context. Food affordability, health literacy, the lack of digital access, and lack of service availability may, therefore, limit the choices that can be made for prevention, making public-health approaches that focus on individual responsibility less effective.</w:t>
      </w:r>
    </w:p>
    <w:p w14:paraId="381E14F1" w14:textId="77777777" w:rsidR="00E40F61" w:rsidRPr="00574EFA" w:rsidRDefault="00E40F61" w:rsidP="00462CB9">
      <w:pPr>
        <w:pStyle w:val="Heading2"/>
        <w:rPr>
          <w:rFonts w:cs="Arial"/>
          <w:sz w:val="28"/>
          <w:szCs w:val="28"/>
        </w:rPr>
      </w:pPr>
      <w:bookmarkStart w:id="151" w:name="_Toc240666941"/>
      <w:bookmarkStart w:id="152" w:name="_Toc241011092"/>
      <w:r w:rsidRPr="00574EFA">
        <w:rPr>
          <w:rFonts w:cs="Arial"/>
          <w:sz w:val="28"/>
          <w:szCs w:val="28"/>
        </w:rPr>
        <w:t>5.3 Management Strategies and the Health Belief Model</w:t>
      </w:r>
      <w:bookmarkEnd w:id="151"/>
      <w:bookmarkEnd w:id="152"/>
    </w:p>
    <w:p w14:paraId="75162CB3" w14:textId="72E77202" w:rsidR="00E40F61" w:rsidRPr="00C07BB7" w:rsidRDefault="00E40F61" w:rsidP="00462CB9">
      <w:pPr>
        <w:rPr>
          <w:rFonts w:cs="Arial"/>
        </w:rPr>
      </w:pPr>
      <w:r w:rsidRPr="00C07BB7">
        <w:rPr>
          <w:rFonts w:cs="Arial"/>
        </w:rPr>
        <w:t xml:space="preserve">Management evidence indicates that the successful management of CKD requires connecting </w:t>
      </w:r>
      <w:r w:rsidR="00C35449" w:rsidRPr="00C07BB7">
        <w:rPr>
          <w:rFonts w:cs="Arial"/>
        </w:rPr>
        <w:t>diagnosis</w:t>
      </w:r>
      <w:r w:rsidRPr="00C07BB7">
        <w:rPr>
          <w:rFonts w:cs="Arial"/>
        </w:rPr>
        <w:t xml:space="preserve">, treatment, self-management and service </w:t>
      </w:r>
      <w:proofErr w:type="spellStart"/>
      <w:r w:rsidRPr="00C07BB7">
        <w:rPr>
          <w:rFonts w:cs="Arial"/>
        </w:rPr>
        <w:t>organisation</w:t>
      </w:r>
      <w:proofErr w:type="spellEnd"/>
      <w:r w:rsidRPr="00C07BB7">
        <w:rPr>
          <w:rFonts w:cs="Arial"/>
        </w:rPr>
        <w:t xml:space="preserve">. Few studies have been designed to understand the relationship between SGLT2 eligibility and prescribing, but Forbes et al. (2024) have done just this, and found that the evidence-based guidance does not necessarily lead to practice. The use of integrated pathways, specialist input, and medicines </w:t>
      </w:r>
      <w:proofErr w:type="spellStart"/>
      <w:r w:rsidRPr="00C07BB7">
        <w:rPr>
          <w:rFonts w:cs="Arial"/>
        </w:rPr>
        <w:t>optimisation</w:t>
      </w:r>
      <w:proofErr w:type="spellEnd"/>
      <w:r w:rsidRPr="00C07BB7">
        <w:rPr>
          <w:rFonts w:cs="Arial"/>
        </w:rPr>
        <w:t xml:space="preserve"> to improve the </w:t>
      </w:r>
      <w:proofErr w:type="spellStart"/>
      <w:r w:rsidRPr="00C07BB7">
        <w:rPr>
          <w:rFonts w:cs="Arial"/>
        </w:rPr>
        <w:t>organisation</w:t>
      </w:r>
      <w:proofErr w:type="spellEnd"/>
      <w:r w:rsidRPr="00C07BB7">
        <w:rPr>
          <w:rFonts w:cs="Arial"/>
        </w:rPr>
        <w:t xml:space="preserve"> of care was demonstrated by Major et al. (2025) and Rizvi et al. (2024), but with the use of local service-evaluation designs in these studies, they made assumptions about the transferability at a national level that were limited. Greenwood et al. (2024</w:t>
      </w:r>
      <w:r w:rsidR="00096A82" w:rsidRPr="00C07BB7">
        <w:rPr>
          <w:rFonts w:cs="Arial"/>
        </w:rPr>
        <w:t>b</w:t>
      </w:r>
      <w:r w:rsidRPr="00C07BB7">
        <w:rPr>
          <w:rFonts w:cs="Arial"/>
        </w:rPr>
        <w:t xml:space="preserve">) offer more convincing evidence for interventions, given that the Kidney BEAM trial was a </w:t>
      </w:r>
      <w:proofErr w:type="spellStart"/>
      <w:r w:rsidRPr="00C07BB7">
        <w:rPr>
          <w:rFonts w:cs="Arial"/>
        </w:rPr>
        <w:t>randomised</w:t>
      </w:r>
      <w:proofErr w:type="spellEnd"/>
      <w:r w:rsidRPr="00C07BB7">
        <w:rPr>
          <w:rFonts w:cs="Arial"/>
        </w:rPr>
        <w:t xml:space="preserve"> trial which showed that structured digital physical-activity support is beneficial. Lightfoot et al. (2025) demonstrated, however, that there are factors that could influence self-management such as knowledge, confidence, symptoms, competing priorities, and professional supports. These results support a joint approach to treatment, over separate pharmacologic and </w:t>
      </w:r>
      <w:proofErr w:type="spellStart"/>
      <w:r w:rsidRPr="00C07BB7">
        <w:rPr>
          <w:rFonts w:cs="Arial"/>
        </w:rPr>
        <w:t>behavioural</w:t>
      </w:r>
      <w:proofErr w:type="spellEnd"/>
      <w:r w:rsidRPr="00C07BB7">
        <w:rPr>
          <w:rFonts w:cs="Arial"/>
        </w:rPr>
        <w:t xml:space="preserve"> therapies.</w:t>
      </w:r>
    </w:p>
    <w:p w14:paraId="6EBDD658" w14:textId="77777777" w:rsidR="00E40F61" w:rsidRPr="00C07BB7" w:rsidRDefault="00E40F61" w:rsidP="00462CB9">
      <w:pPr>
        <w:rPr>
          <w:rFonts w:cs="Arial"/>
        </w:rPr>
      </w:pPr>
      <w:r w:rsidRPr="00C07BB7">
        <w:rPr>
          <w:rFonts w:cs="Arial"/>
        </w:rPr>
        <w:t>The Health Belief Model can shed light on why clinical management that is appropriate may not lead to action. Risk prediction, abnormal eGFR or albuminuria results and medical advice can serve as cues to action, and an improved understanding of the severity of kidney failure and cardiovascular complications can help to raise perceived severity. Access to kidney-protective medications, physical activity and monitoring, and barriers of limited awareness, treatment burden and digital exclusion are indicative of perceived benefits. The results of Lightfoot et al. (2025) are of particular interest in the context of self-efficacy, as patients need to have confidence in and practical support for putting the advice into practice. However, HBM can't be the entirety of the explanation. Deprivation and NHS workload are structural factors that are beyond the scope of individual beliefs, as they were highlighted in Chapter Two, as is unequal access. The results thus support the use of HBM on top of a broader public health perspective of inequality and capacity of services.</w:t>
      </w:r>
    </w:p>
    <w:p w14:paraId="03D4EFF9" w14:textId="77777777" w:rsidR="00E40F61" w:rsidRPr="00C07BB7" w:rsidRDefault="00E40F61" w:rsidP="00462CB9">
      <w:pPr>
        <w:rPr>
          <w:rFonts w:cs="Arial"/>
        </w:rPr>
      </w:pPr>
      <w:r w:rsidRPr="00C07BB7">
        <w:rPr>
          <w:rFonts w:cs="Arial"/>
        </w:rPr>
        <w:t>Important to focus on is the fact that prevention and management are not mutually exclusive phases of a thematic pattern. The first step in risk identification is eligibility for monitoring and treatment; the next is the success of treatment, which relies on patient understanding, adherence and continuity of treatment. This interdependence further supports the pathway approach to the management of CKD. It also makes clear how key enhancements can be provided to one aspect of care (e.g. the prescription of guidance) with little overall effect if there is a lack of consistency for access or follow-up or diagnosis between services.</w:t>
      </w:r>
    </w:p>
    <w:p w14:paraId="1B06DCA1" w14:textId="08E4B5DD" w:rsidR="00E40F61" w:rsidRPr="00574EFA" w:rsidRDefault="00E40F61" w:rsidP="00462CB9">
      <w:pPr>
        <w:pStyle w:val="Heading2"/>
        <w:rPr>
          <w:rFonts w:cs="Arial"/>
          <w:sz w:val="28"/>
          <w:szCs w:val="28"/>
        </w:rPr>
      </w:pPr>
      <w:bookmarkStart w:id="153" w:name="_Toc240666942"/>
      <w:bookmarkStart w:id="154" w:name="_Toc241011093"/>
      <w:r w:rsidRPr="00574EFA">
        <w:rPr>
          <w:rFonts w:cs="Arial"/>
          <w:sz w:val="28"/>
          <w:szCs w:val="28"/>
        </w:rPr>
        <w:t xml:space="preserve">5.4 Implications for </w:t>
      </w:r>
      <w:r w:rsidR="00DE232F">
        <w:rPr>
          <w:rFonts w:cs="Arial"/>
          <w:sz w:val="28"/>
          <w:szCs w:val="28"/>
        </w:rPr>
        <w:t xml:space="preserve">the </w:t>
      </w:r>
      <w:r w:rsidRPr="00574EFA">
        <w:rPr>
          <w:rFonts w:cs="Arial"/>
          <w:sz w:val="28"/>
          <w:szCs w:val="28"/>
        </w:rPr>
        <w:t>UK Public Health and Evidence Limitations</w:t>
      </w:r>
      <w:bookmarkEnd w:id="153"/>
      <w:bookmarkEnd w:id="154"/>
    </w:p>
    <w:p w14:paraId="714AD6AA" w14:textId="36CDA4DA" w:rsidR="00E40F61" w:rsidRPr="00C07BB7" w:rsidRDefault="00E40F61" w:rsidP="00462CB9">
      <w:pPr>
        <w:rPr>
          <w:rFonts w:cs="Arial"/>
        </w:rPr>
      </w:pPr>
      <w:r w:rsidRPr="00C07BB7">
        <w:rPr>
          <w:rFonts w:cs="Arial"/>
        </w:rPr>
        <w:t xml:space="preserve">There are </w:t>
      </w:r>
      <w:r w:rsidR="002872FB" w:rsidRPr="00C07BB7">
        <w:rPr>
          <w:rFonts w:cs="Arial"/>
        </w:rPr>
        <w:t>several</w:t>
      </w:r>
      <w:r w:rsidRPr="00C07BB7">
        <w:rPr>
          <w:rFonts w:cs="Arial"/>
        </w:rPr>
        <w:t xml:space="preserve"> implications for</w:t>
      </w:r>
      <w:r w:rsidR="002D4B06">
        <w:rPr>
          <w:rFonts w:cs="Arial"/>
        </w:rPr>
        <w:t xml:space="preserve"> the</w:t>
      </w:r>
      <w:r w:rsidRPr="00C07BB7">
        <w:rPr>
          <w:rFonts w:cs="Arial"/>
        </w:rPr>
        <w:t xml:space="preserve"> UK practice that can be gleaned from the review. Case </w:t>
      </w:r>
      <w:r w:rsidR="002872FB" w:rsidRPr="00C07BB7">
        <w:rPr>
          <w:rFonts w:cs="Arial"/>
        </w:rPr>
        <w:t>findings</w:t>
      </w:r>
      <w:r w:rsidRPr="00C07BB7">
        <w:rPr>
          <w:rFonts w:cs="Arial"/>
        </w:rPr>
        <w:t xml:space="preserve"> should focus on adults with known cardiometabolic risk, while at the same time ensuring appropriate eGFR and </w:t>
      </w:r>
      <w:proofErr w:type="spellStart"/>
      <w:r w:rsidRPr="00C07BB7">
        <w:rPr>
          <w:rFonts w:cs="Arial"/>
        </w:rPr>
        <w:t>uACR</w:t>
      </w:r>
      <w:proofErr w:type="spellEnd"/>
      <w:r w:rsidRPr="00C07BB7">
        <w:rPr>
          <w:rFonts w:cs="Arial"/>
        </w:rPr>
        <w:t xml:space="preserve"> testing to ensure treatment and referral are done correctly. Second, the use of risk stratification supported by the KFRE could be used to guide the allocation of specialists to patients who are at a higher risk, but only if there is complete laboratory data and there is follow-up capacity. Third, medicines </w:t>
      </w:r>
      <w:proofErr w:type="spellStart"/>
      <w:r w:rsidRPr="00C07BB7">
        <w:rPr>
          <w:rFonts w:cs="Arial"/>
        </w:rPr>
        <w:t>optimisation</w:t>
      </w:r>
      <w:proofErr w:type="spellEnd"/>
      <w:r w:rsidRPr="00C07BB7">
        <w:rPr>
          <w:rFonts w:cs="Arial"/>
        </w:rPr>
        <w:t xml:space="preserve"> must be delivered together with education/</w:t>
      </w:r>
      <w:proofErr w:type="spellStart"/>
      <w:r w:rsidRPr="00C07BB7">
        <w:rPr>
          <w:rFonts w:cs="Arial"/>
        </w:rPr>
        <w:t>behavioural</w:t>
      </w:r>
      <w:proofErr w:type="spellEnd"/>
      <w:r w:rsidRPr="00C07BB7">
        <w:rPr>
          <w:rFonts w:cs="Arial"/>
        </w:rPr>
        <w:t xml:space="preserve"> support services and not be a separate service. Digital </w:t>
      </w:r>
      <w:proofErr w:type="spellStart"/>
      <w:r w:rsidRPr="00C07BB7">
        <w:rPr>
          <w:rFonts w:cs="Arial"/>
        </w:rPr>
        <w:t>programmes</w:t>
      </w:r>
      <w:proofErr w:type="spellEnd"/>
      <w:r w:rsidRPr="00C07BB7">
        <w:rPr>
          <w:rFonts w:cs="Arial"/>
        </w:rPr>
        <w:t xml:space="preserve"> like Kidney BEAM have potential but need to consider the following when implementing: Age, digital literacy, socioeconomic </w:t>
      </w:r>
      <w:r w:rsidR="002872FB" w:rsidRPr="00C07BB7">
        <w:rPr>
          <w:rFonts w:cs="Arial"/>
        </w:rPr>
        <w:t>disadvantages</w:t>
      </w:r>
      <w:r w:rsidRPr="00C07BB7">
        <w:rPr>
          <w:rFonts w:cs="Arial"/>
        </w:rPr>
        <w:t xml:space="preserve"> and access to technology. Lastly, there is potential for integrated pathways for primary-secondary care to enhance continuity between identification, referral, treatment and surveillance.</w:t>
      </w:r>
    </w:p>
    <w:p w14:paraId="5F1A3137" w14:textId="6E24EAE0" w:rsidR="00E40F61" w:rsidRPr="00C07BB7" w:rsidRDefault="00E40F61" w:rsidP="00462CB9">
      <w:pPr>
        <w:rPr>
          <w:rFonts w:cs="Arial"/>
        </w:rPr>
      </w:pPr>
      <w:r w:rsidRPr="00C07BB7">
        <w:rPr>
          <w:rFonts w:cs="Arial"/>
        </w:rPr>
        <w:t xml:space="preserve">The conclusions should be taken within the evidence base. The breadth of the review is wide, with one good UK RCT, several large prospective cohorts and routine-care studies, as well as qualitative evidence and service evaluations, to provide a review covering the areas of risk and management. But repeated use of the same research population in </w:t>
      </w:r>
      <w:r w:rsidR="002872FB">
        <w:rPr>
          <w:rFonts w:cs="Arial"/>
        </w:rPr>
        <w:t xml:space="preserve">the </w:t>
      </w:r>
      <w:r w:rsidRPr="00C07BB7">
        <w:rPr>
          <w:rFonts w:cs="Arial"/>
        </w:rPr>
        <w:t xml:space="preserve">UK Biobank leads to dependency, and observational designs provide the majority of the risk factor evidence. With regard to effectiveness, local service evaluations are helpful for giving insight into implementation, but are not able to draw conclusions about effectiveness in other NHS systems. It is particularly significant that there are a limited number of comparative </w:t>
      </w:r>
      <w:r w:rsidR="002D4B06">
        <w:rPr>
          <w:rFonts w:cs="Arial"/>
        </w:rPr>
        <w:t>UK</w:t>
      </w:r>
      <w:r w:rsidRPr="00C07BB7">
        <w:rPr>
          <w:rFonts w:cs="Arial"/>
        </w:rPr>
        <w:t xml:space="preserve"> management trials, as success in implementation does not necessarily equate to better long-term renal outcome. The best overall conclusion is thus that the coordinated identification, risk reduction, patient support and integrated management of CKD should be a priority for prevention and management, and that causal claims for new risk factors and general statements of the effectiveness of national service should be taken with a pinch of salt.</w:t>
      </w:r>
    </w:p>
    <w:p w14:paraId="6E8A31D0" w14:textId="77777777" w:rsidR="00E40F61" w:rsidRPr="00C07BB7" w:rsidRDefault="00E40F61" w:rsidP="00462CB9">
      <w:pPr>
        <w:spacing w:after="200"/>
        <w:jc w:val="left"/>
        <w:rPr>
          <w:rFonts w:cs="Arial"/>
        </w:rPr>
      </w:pPr>
      <w:r w:rsidRPr="00C07BB7">
        <w:rPr>
          <w:rFonts w:cs="Arial"/>
        </w:rPr>
        <w:br w:type="page"/>
      </w:r>
    </w:p>
    <w:p w14:paraId="0ADEF5C2" w14:textId="02BC169D" w:rsidR="00E40F61" w:rsidRPr="00C07BB7" w:rsidRDefault="00E40F61" w:rsidP="00462CB9">
      <w:pPr>
        <w:pStyle w:val="Heading1"/>
        <w:rPr>
          <w:rFonts w:cs="Arial"/>
        </w:rPr>
      </w:pPr>
      <w:bookmarkStart w:id="155" w:name="_Toc240666943"/>
      <w:bookmarkStart w:id="156" w:name="_Toc241011094"/>
      <w:r w:rsidRPr="00C07BB7">
        <w:rPr>
          <w:rFonts w:cs="Arial"/>
        </w:rPr>
        <w:t xml:space="preserve">Chapter </w:t>
      </w:r>
      <w:r w:rsidR="00574EFA">
        <w:rPr>
          <w:rFonts w:cs="Arial"/>
        </w:rPr>
        <w:t>Six</w:t>
      </w:r>
      <w:r w:rsidRPr="00C07BB7">
        <w:rPr>
          <w:rFonts w:cs="Arial"/>
        </w:rPr>
        <w:t>: Conclusion and Recommendations</w:t>
      </w:r>
      <w:bookmarkEnd w:id="155"/>
      <w:bookmarkEnd w:id="156"/>
    </w:p>
    <w:p w14:paraId="2686C0BC" w14:textId="77777777" w:rsidR="00E40F61" w:rsidRPr="00574EFA" w:rsidRDefault="00E40F61" w:rsidP="00462CB9">
      <w:pPr>
        <w:pStyle w:val="Heading2"/>
        <w:rPr>
          <w:rFonts w:cs="Arial"/>
          <w:sz w:val="28"/>
          <w:szCs w:val="28"/>
        </w:rPr>
      </w:pPr>
      <w:bookmarkStart w:id="157" w:name="_Toc240666944"/>
      <w:bookmarkStart w:id="158" w:name="_Toc241011095"/>
      <w:r w:rsidRPr="00574EFA">
        <w:rPr>
          <w:rFonts w:cs="Arial"/>
          <w:sz w:val="28"/>
          <w:szCs w:val="28"/>
        </w:rPr>
        <w:t>6.1 Conclusion</w:t>
      </w:r>
      <w:bookmarkEnd w:id="157"/>
      <w:bookmarkEnd w:id="158"/>
    </w:p>
    <w:p w14:paraId="1A9CBB0D" w14:textId="79275F49" w:rsidR="00E40F61" w:rsidRPr="00C07BB7" w:rsidRDefault="00E40F61" w:rsidP="00462CB9">
      <w:pPr>
        <w:rPr>
          <w:rFonts w:cs="Arial"/>
        </w:rPr>
      </w:pPr>
      <w:r w:rsidRPr="00C07BB7">
        <w:rPr>
          <w:rFonts w:cs="Arial"/>
        </w:rPr>
        <w:t xml:space="preserve">This systematic review aimed to identify the main risk factors and successful management of chronic kidney disease (CKD) in adults (18 years and older) in the UK. The results have shown that clinical, </w:t>
      </w:r>
      <w:proofErr w:type="spellStart"/>
      <w:r w:rsidRPr="00C07BB7">
        <w:rPr>
          <w:rFonts w:cs="Arial"/>
        </w:rPr>
        <w:t>behavioural</w:t>
      </w:r>
      <w:proofErr w:type="spellEnd"/>
      <w:r w:rsidRPr="00C07BB7">
        <w:rPr>
          <w:rFonts w:cs="Arial"/>
        </w:rPr>
        <w:t xml:space="preserve">, psychosocial, environmental and </w:t>
      </w:r>
      <w:proofErr w:type="spellStart"/>
      <w:r w:rsidRPr="00C07BB7">
        <w:rPr>
          <w:rFonts w:cs="Arial"/>
        </w:rPr>
        <w:t>organisational</w:t>
      </w:r>
      <w:proofErr w:type="spellEnd"/>
      <w:r w:rsidRPr="00C07BB7">
        <w:rPr>
          <w:rFonts w:cs="Arial"/>
        </w:rPr>
        <w:t xml:space="preserve"> factors play a complex role in shaping CKD. </w:t>
      </w:r>
      <w:r w:rsidR="00C61FFD" w:rsidRPr="00C07BB7">
        <w:rPr>
          <w:rFonts w:cs="Arial"/>
        </w:rPr>
        <w:t>C</w:t>
      </w:r>
      <w:r w:rsidRPr="00C07BB7">
        <w:rPr>
          <w:rFonts w:cs="Arial"/>
        </w:rPr>
        <w:t xml:space="preserve">ardiometabolic factors continue to be important, diet, physical activity, secondhand smoke, psychiatric disorders and air pollution are also </w:t>
      </w:r>
      <w:r w:rsidR="002A55E6" w:rsidRPr="00C07BB7">
        <w:rPr>
          <w:rFonts w:cs="Arial"/>
        </w:rPr>
        <w:t>components of the contemporary CKD risk profile</w:t>
      </w:r>
      <w:r w:rsidRPr="00C07BB7">
        <w:rPr>
          <w:rFonts w:cs="Arial"/>
        </w:rPr>
        <w:t xml:space="preserve">. Much of this evidence is descriptive, however, so “correlation is not necessarily causation.” The best management occurs when effective identification, risk stratification, medicines </w:t>
      </w:r>
      <w:proofErr w:type="spellStart"/>
      <w:r w:rsidRPr="00C07BB7">
        <w:rPr>
          <w:rFonts w:cs="Arial"/>
        </w:rPr>
        <w:t>optimisation</w:t>
      </w:r>
      <w:proofErr w:type="spellEnd"/>
      <w:r w:rsidRPr="00C07BB7">
        <w:rPr>
          <w:rFonts w:cs="Arial"/>
        </w:rPr>
        <w:t xml:space="preserve">, patient education, self-management support and integrated care are all linked. The review thus addresses its research question through the demonstration that CKD prevention and management needs to be a team effort, </w:t>
      </w:r>
      <w:r w:rsidR="000D1428" w:rsidRPr="00C07BB7">
        <w:rPr>
          <w:rFonts w:cs="Arial"/>
        </w:rPr>
        <w:t>rather than focusing solely on individual risk factors</w:t>
      </w:r>
      <w:r w:rsidRPr="00C07BB7">
        <w:rPr>
          <w:rFonts w:cs="Arial"/>
        </w:rPr>
        <w:t>.</w:t>
      </w:r>
    </w:p>
    <w:p w14:paraId="09C09188" w14:textId="4D15E161" w:rsidR="00E40F61" w:rsidRPr="00574EFA" w:rsidRDefault="00E40F61" w:rsidP="00462CB9">
      <w:pPr>
        <w:pStyle w:val="Heading2"/>
        <w:rPr>
          <w:rFonts w:cs="Arial"/>
          <w:sz w:val="28"/>
          <w:szCs w:val="28"/>
        </w:rPr>
      </w:pPr>
      <w:bookmarkStart w:id="159" w:name="_Toc240666945"/>
      <w:bookmarkStart w:id="160" w:name="_Toc241011096"/>
      <w:r w:rsidRPr="00574EFA">
        <w:rPr>
          <w:rFonts w:cs="Arial"/>
          <w:sz w:val="28"/>
          <w:szCs w:val="28"/>
        </w:rPr>
        <w:t>6.2 Recommendations for</w:t>
      </w:r>
      <w:r w:rsidR="002D4B06">
        <w:rPr>
          <w:rFonts w:cs="Arial"/>
          <w:sz w:val="28"/>
          <w:szCs w:val="28"/>
        </w:rPr>
        <w:t xml:space="preserve"> </w:t>
      </w:r>
      <w:r w:rsidR="008E3A72">
        <w:rPr>
          <w:rFonts w:cs="Arial"/>
          <w:sz w:val="28"/>
          <w:szCs w:val="28"/>
        </w:rPr>
        <w:t>UK</w:t>
      </w:r>
      <w:r w:rsidRPr="00574EFA">
        <w:rPr>
          <w:rFonts w:cs="Arial"/>
          <w:sz w:val="28"/>
          <w:szCs w:val="28"/>
        </w:rPr>
        <w:t xml:space="preserve"> </w:t>
      </w:r>
      <w:r w:rsidR="00A17325">
        <w:rPr>
          <w:rFonts w:cs="Arial"/>
          <w:sz w:val="28"/>
          <w:szCs w:val="28"/>
        </w:rPr>
        <w:t xml:space="preserve"> </w:t>
      </w:r>
      <w:r w:rsidRPr="00574EFA">
        <w:rPr>
          <w:rFonts w:cs="Arial"/>
          <w:sz w:val="28"/>
          <w:szCs w:val="28"/>
        </w:rPr>
        <w:t>Practice and Policy</w:t>
      </w:r>
      <w:bookmarkEnd w:id="159"/>
      <w:bookmarkEnd w:id="160"/>
    </w:p>
    <w:p w14:paraId="3B9BBD89" w14:textId="77777777" w:rsidR="00E40F61" w:rsidRPr="00C07BB7" w:rsidRDefault="00E40F61" w:rsidP="00462CB9">
      <w:pPr>
        <w:rPr>
          <w:rFonts w:cs="Arial"/>
        </w:rPr>
      </w:pPr>
      <w:r w:rsidRPr="00C07BB7">
        <w:rPr>
          <w:rFonts w:cs="Arial"/>
        </w:rPr>
        <w:t xml:space="preserve">Targeted case finding within services for adults with diabetes, hypertension, obesity and other cardiometabolic risks should be enhanced, with the help of suitable eGFR and </w:t>
      </w:r>
      <w:proofErr w:type="spellStart"/>
      <w:r w:rsidRPr="00C07BB7">
        <w:rPr>
          <w:rFonts w:cs="Arial"/>
        </w:rPr>
        <w:t>uACR</w:t>
      </w:r>
      <w:proofErr w:type="spellEnd"/>
      <w:r w:rsidRPr="00C07BB7">
        <w:rPr>
          <w:rFonts w:cs="Arial"/>
        </w:rPr>
        <w:t xml:space="preserve"> testing. Where clinically appropriate, KFRE should be used to </w:t>
      </w:r>
      <w:proofErr w:type="spellStart"/>
      <w:r w:rsidRPr="00C07BB7">
        <w:rPr>
          <w:rFonts w:cs="Arial"/>
        </w:rPr>
        <w:t>prioritise</w:t>
      </w:r>
      <w:proofErr w:type="spellEnd"/>
      <w:r w:rsidRPr="00C07BB7">
        <w:rPr>
          <w:rFonts w:cs="Arial"/>
        </w:rPr>
        <w:t xml:space="preserve"> follow-up and referral, but the use of KFRE must include complete laboratory data and adequate service capacity. Primary care needs to be better at identifying people who could benefit from kidney-protective treatment and to decrease the disparity between the recommendations in guidelines and treatment. Medication </w:t>
      </w:r>
      <w:proofErr w:type="spellStart"/>
      <w:r w:rsidRPr="00C07BB7">
        <w:rPr>
          <w:rFonts w:cs="Arial"/>
        </w:rPr>
        <w:t>optimisation</w:t>
      </w:r>
      <w:proofErr w:type="spellEnd"/>
      <w:r w:rsidRPr="00C07BB7">
        <w:rPr>
          <w:rFonts w:cs="Arial"/>
        </w:rPr>
        <w:t xml:space="preserve"> should be incorporated within education, lifestyle support and shared decision making. Digital interventions can be used to help people be physically active and to help manage their physical activity, but alternatives should be provided for those for whom digital exclusion is an issue. Primary-secondary pathways should be integrated as well and evaluated locally to ensure that successful models are adopted, not assumed to be transferable between NHS systems.</w:t>
      </w:r>
    </w:p>
    <w:p w14:paraId="60C31446" w14:textId="77777777" w:rsidR="00E40F61" w:rsidRPr="00574EFA" w:rsidRDefault="00E40F61" w:rsidP="00462CB9">
      <w:pPr>
        <w:pStyle w:val="Heading2"/>
        <w:rPr>
          <w:rFonts w:cs="Arial"/>
          <w:sz w:val="28"/>
          <w:szCs w:val="28"/>
        </w:rPr>
      </w:pPr>
      <w:bookmarkStart w:id="161" w:name="_Toc240666946"/>
      <w:bookmarkStart w:id="162" w:name="_Toc241011097"/>
      <w:r w:rsidRPr="00574EFA">
        <w:rPr>
          <w:rFonts w:cs="Arial"/>
          <w:sz w:val="28"/>
          <w:szCs w:val="28"/>
        </w:rPr>
        <w:t>6.3 Limitations and Future Research</w:t>
      </w:r>
      <w:bookmarkEnd w:id="161"/>
      <w:bookmarkEnd w:id="162"/>
    </w:p>
    <w:p w14:paraId="36EDA3A9" w14:textId="23742CBC" w:rsidR="00E40F61" w:rsidRPr="00C07BB7" w:rsidRDefault="00E40F61" w:rsidP="00462CB9">
      <w:pPr>
        <w:rPr>
          <w:rFonts w:cs="Arial"/>
        </w:rPr>
      </w:pPr>
      <w:r w:rsidRPr="00C07BB7">
        <w:rPr>
          <w:rFonts w:cs="Arial"/>
        </w:rPr>
        <w:t xml:space="preserve">The conclusions are constrained by the characteristics of the evidence base. A number of studies on risk factors employed the UK Biobank and that has caused concern over the selection of healthy volunteers and residual confounding and repeated dependence of one population. The evidence of management was relatively </w:t>
      </w:r>
      <w:r w:rsidR="002D4B06" w:rsidRPr="00C07BB7">
        <w:rPr>
          <w:rFonts w:cs="Arial"/>
        </w:rPr>
        <w:t>scarce and</w:t>
      </w:r>
      <w:r w:rsidRPr="00C07BB7">
        <w:rPr>
          <w:rFonts w:cs="Arial"/>
        </w:rPr>
        <w:t xml:space="preserve"> included a single well-known</w:t>
      </w:r>
      <w:r w:rsidR="002D4B06">
        <w:rPr>
          <w:rFonts w:cs="Arial"/>
        </w:rPr>
        <w:t xml:space="preserve"> in the</w:t>
      </w:r>
      <w:r w:rsidRPr="00C07BB7">
        <w:rPr>
          <w:rFonts w:cs="Arial"/>
        </w:rPr>
        <w:t xml:space="preserve"> UK </w:t>
      </w:r>
      <w:proofErr w:type="spellStart"/>
      <w:r w:rsidRPr="00C07BB7">
        <w:rPr>
          <w:rFonts w:cs="Arial"/>
        </w:rPr>
        <w:t>randomised</w:t>
      </w:r>
      <w:proofErr w:type="spellEnd"/>
      <w:r w:rsidRPr="00C07BB7">
        <w:rPr>
          <w:rFonts w:cs="Arial"/>
        </w:rPr>
        <w:t xml:space="preserve"> digital intervention and a number of local, non-</w:t>
      </w:r>
      <w:proofErr w:type="spellStart"/>
      <w:r w:rsidRPr="00C07BB7">
        <w:rPr>
          <w:rFonts w:cs="Arial"/>
        </w:rPr>
        <w:t>randomised</w:t>
      </w:r>
      <w:proofErr w:type="spellEnd"/>
      <w:r w:rsidRPr="00C07BB7">
        <w:rPr>
          <w:rFonts w:cs="Arial"/>
        </w:rPr>
        <w:t xml:space="preserve"> service evaluations. The review was also limited in that there </w:t>
      </w:r>
      <w:r w:rsidR="002D4B06" w:rsidRPr="00C07BB7">
        <w:rPr>
          <w:rFonts w:cs="Arial"/>
        </w:rPr>
        <w:t>was</w:t>
      </w:r>
      <w:r w:rsidRPr="00C07BB7">
        <w:rPr>
          <w:rFonts w:cs="Arial"/>
        </w:rPr>
        <w:t xml:space="preserve"> no specific national prevalence studies in the final evidence set. Therefore, future studies should focus on nationally representative longitudinal studies, comparative trials of integrated management of CKD, and long-term renal outcomes, in addition to indicators of implementation. Further research is also needed to explore whether digital, pharmacological and integrated-care interventions are equally accessible to deprived, ethnically diverse and digitally excluded groups. Increased focus on patient experience, health literacy and structural barriers would further the understanding of why evidence-based care is not always implemented. Further research should also evaluate the effectiveness of risk prediction and the pathways to treatment in various service contexts and across different nations within the UK.</w:t>
      </w:r>
    </w:p>
    <w:p w14:paraId="55AC6941" w14:textId="77777777" w:rsidR="00E40F61" w:rsidRPr="00C07BB7" w:rsidRDefault="00E40F61" w:rsidP="00462CB9">
      <w:pPr>
        <w:rPr>
          <w:rFonts w:cs="Arial"/>
        </w:rPr>
      </w:pPr>
      <w:r w:rsidRPr="00C07BB7">
        <w:rPr>
          <w:rFonts w:cs="Arial"/>
        </w:rPr>
        <w:t>Overall, future work should link epidemiological risk, implementation, and patient-</w:t>
      </w:r>
      <w:proofErr w:type="spellStart"/>
      <w:r w:rsidRPr="00C07BB7">
        <w:rPr>
          <w:rFonts w:cs="Arial"/>
        </w:rPr>
        <w:t>centred</w:t>
      </w:r>
      <w:proofErr w:type="spellEnd"/>
      <w:r w:rsidRPr="00C07BB7">
        <w:rPr>
          <w:rFonts w:cs="Arial"/>
        </w:rPr>
        <w:t xml:space="preserve"> outcomes within the framework. This would enable researchers and decision-makers to identify effective interventions, as well as whom they benefit, when and how, and with what equity implications.</w:t>
      </w:r>
    </w:p>
    <w:p w14:paraId="4B0569E6" w14:textId="77777777" w:rsidR="00773F15" w:rsidRPr="00C07BB7" w:rsidRDefault="00773F15" w:rsidP="00462CB9">
      <w:pPr>
        <w:rPr>
          <w:rFonts w:cs="Arial"/>
        </w:rPr>
      </w:pPr>
    </w:p>
    <w:p w14:paraId="49A65651" w14:textId="77777777" w:rsidR="0038603C" w:rsidRPr="00C07BB7" w:rsidRDefault="0038603C" w:rsidP="00462CB9">
      <w:pPr>
        <w:rPr>
          <w:rFonts w:cs="Arial"/>
        </w:rPr>
      </w:pPr>
    </w:p>
    <w:p w14:paraId="001A3976" w14:textId="77777777" w:rsidR="00613093" w:rsidRPr="00C07BB7" w:rsidRDefault="00613093" w:rsidP="00462CB9">
      <w:pPr>
        <w:rPr>
          <w:rFonts w:cs="Arial"/>
          <w:color w:val="000000" w:themeColor="text1"/>
        </w:rPr>
      </w:pPr>
    </w:p>
    <w:p w14:paraId="34FAD121" w14:textId="77777777" w:rsidR="00613093" w:rsidRPr="00C07BB7" w:rsidRDefault="00613093" w:rsidP="00462CB9">
      <w:pPr>
        <w:rPr>
          <w:rFonts w:eastAsiaTheme="majorEastAsia" w:cs="Arial"/>
          <w:color w:val="000000" w:themeColor="text1"/>
          <w:sz w:val="28"/>
        </w:rPr>
      </w:pPr>
      <w:r w:rsidRPr="00C07BB7">
        <w:rPr>
          <w:rFonts w:cs="Arial"/>
          <w:color w:val="000000" w:themeColor="text1"/>
        </w:rPr>
        <w:br w:type="page"/>
      </w:r>
    </w:p>
    <w:p w14:paraId="237A7FA3" w14:textId="31481282" w:rsidR="007748AF" w:rsidRPr="00C07BB7" w:rsidRDefault="00061744" w:rsidP="00462CB9">
      <w:pPr>
        <w:pStyle w:val="Heading1"/>
        <w:rPr>
          <w:rFonts w:cs="Arial"/>
        </w:rPr>
      </w:pPr>
      <w:bookmarkStart w:id="163" w:name="_Toc240666947"/>
      <w:bookmarkStart w:id="164" w:name="_Toc241011098"/>
      <w:r w:rsidRPr="00C07BB7">
        <w:rPr>
          <w:rFonts w:cs="Arial"/>
        </w:rPr>
        <w:t>References</w:t>
      </w:r>
      <w:bookmarkEnd w:id="163"/>
      <w:bookmarkEnd w:id="164"/>
    </w:p>
    <w:p w14:paraId="5140275A" w14:textId="77777777" w:rsidR="000E117B" w:rsidRPr="00C07BB7" w:rsidRDefault="000E117B" w:rsidP="00574EFA">
      <w:pPr>
        <w:pStyle w:val="TOC2"/>
        <w:numPr>
          <w:ilvl w:val="0"/>
          <w:numId w:val="14"/>
        </w:numPr>
        <w:rPr>
          <w:rFonts w:cs="Arial"/>
        </w:rPr>
      </w:pPr>
      <w:r w:rsidRPr="00C07BB7">
        <w:rPr>
          <w:rFonts w:cs="Arial"/>
        </w:rPr>
        <w:t xml:space="preserve">Agathangelou, G., Graham-Brown, M., McMahon, A.C., </w:t>
      </w:r>
      <w:proofErr w:type="spellStart"/>
      <w:r w:rsidRPr="00C07BB7">
        <w:rPr>
          <w:rFonts w:cs="Arial"/>
        </w:rPr>
        <w:t>Xydopoulos</w:t>
      </w:r>
      <w:proofErr w:type="spellEnd"/>
      <w:r w:rsidRPr="00C07BB7">
        <w:rPr>
          <w:rFonts w:cs="Arial"/>
        </w:rPr>
        <w:t xml:space="preserve">, G., Gofman, L. and Jaffe, J. (2025) ‘Economic evaluation of population-level chronic kidney disease interventions in the UK National Health Service’, </w:t>
      </w:r>
      <w:r w:rsidRPr="00C07BB7">
        <w:rPr>
          <w:rFonts w:cs="Arial"/>
          <w:i/>
        </w:rPr>
        <w:t>Journal of Health Economics and Outcomes Research</w:t>
      </w:r>
      <w:r w:rsidRPr="00C07BB7">
        <w:rPr>
          <w:rFonts w:cs="Arial"/>
        </w:rPr>
        <w:t xml:space="preserve">, 12(1). </w:t>
      </w:r>
      <w:proofErr w:type="spellStart"/>
      <w:r w:rsidRPr="00C07BB7">
        <w:rPr>
          <w:rFonts w:cs="Arial"/>
        </w:rPr>
        <w:t>doi</w:t>
      </w:r>
      <w:proofErr w:type="spellEnd"/>
      <w:r w:rsidRPr="00C07BB7">
        <w:rPr>
          <w:rFonts w:cs="Arial"/>
        </w:rPr>
        <w:t>: https://doi.org/10.36469/001c.134075.</w:t>
      </w:r>
    </w:p>
    <w:p w14:paraId="2532911F" w14:textId="77777777" w:rsidR="000E117B" w:rsidRPr="00C07BB7" w:rsidRDefault="000E117B" w:rsidP="00574EFA">
      <w:pPr>
        <w:pStyle w:val="TOC2"/>
        <w:numPr>
          <w:ilvl w:val="0"/>
          <w:numId w:val="14"/>
        </w:numPr>
        <w:rPr>
          <w:rFonts w:cs="Arial"/>
        </w:rPr>
      </w:pPr>
      <w:r w:rsidRPr="00C07BB7">
        <w:rPr>
          <w:rFonts w:cs="Arial"/>
        </w:rPr>
        <w:t xml:space="preserve">Bhandari, S., Spencer, S., Oliveira, B., Mikhail, A., Brooks, O., Bryant, G., </w:t>
      </w:r>
      <w:proofErr w:type="spellStart"/>
      <w:r w:rsidRPr="00C07BB7">
        <w:rPr>
          <w:rFonts w:cs="Arial"/>
        </w:rPr>
        <w:t>Willicombe</w:t>
      </w:r>
      <w:proofErr w:type="spellEnd"/>
      <w:r w:rsidRPr="00C07BB7">
        <w:rPr>
          <w:rFonts w:cs="Arial"/>
        </w:rPr>
        <w:t xml:space="preserve">, M., Baines, R., Alldridge, L. and Haslam-England, S. (2025) ‘UK kidney association clinical practice guideline: update of </w:t>
      </w:r>
      <w:proofErr w:type="spellStart"/>
      <w:r w:rsidRPr="00C07BB7">
        <w:rPr>
          <w:rFonts w:cs="Arial"/>
        </w:rPr>
        <w:t>anaemia</w:t>
      </w:r>
      <w:proofErr w:type="spellEnd"/>
      <w:r w:rsidRPr="00C07BB7">
        <w:rPr>
          <w:rFonts w:cs="Arial"/>
        </w:rPr>
        <w:t xml:space="preserve"> of chronic kidney disease’, </w:t>
      </w:r>
      <w:r w:rsidRPr="00C07BB7">
        <w:rPr>
          <w:rFonts w:cs="Arial"/>
          <w:i/>
        </w:rPr>
        <w:t>BMC Nephrology</w:t>
      </w:r>
      <w:r w:rsidRPr="00C07BB7">
        <w:rPr>
          <w:rFonts w:cs="Arial"/>
        </w:rPr>
        <w:t xml:space="preserve">, 26, 193. </w:t>
      </w:r>
      <w:proofErr w:type="spellStart"/>
      <w:r w:rsidRPr="00C07BB7">
        <w:rPr>
          <w:rFonts w:cs="Arial"/>
        </w:rPr>
        <w:t>doi</w:t>
      </w:r>
      <w:proofErr w:type="spellEnd"/>
      <w:r w:rsidRPr="00C07BB7">
        <w:rPr>
          <w:rFonts w:cs="Arial"/>
        </w:rPr>
        <w:t>: https://doi.org/10.1186/s12882-025-04115-1.</w:t>
      </w:r>
    </w:p>
    <w:p w14:paraId="1FF61B8B" w14:textId="77777777" w:rsidR="000E117B" w:rsidRPr="00574EFA" w:rsidRDefault="000E117B" w:rsidP="00574EFA">
      <w:pPr>
        <w:pStyle w:val="ListParagraph"/>
        <w:numPr>
          <w:ilvl w:val="0"/>
          <w:numId w:val="14"/>
        </w:numPr>
        <w:rPr>
          <w:rFonts w:cs="Arial"/>
        </w:rPr>
      </w:pPr>
      <w:r w:rsidRPr="00574EFA">
        <w:rPr>
          <w:rFonts w:cs="Arial"/>
        </w:rPr>
        <w:t xml:space="preserve">Boateng, I., Phillips, T., Harris, S., </w:t>
      </w:r>
      <w:proofErr w:type="spellStart"/>
      <w:r w:rsidRPr="00574EFA">
        <w:rPr>
          <w:rFonts w:cs="Arial"/>
        </w:rPr>
        <w:t>Aiyegbusi</w:t>
      </w:r>
      <w:proofErr w:type="spellEnd"/>
      <w:r w:rsidRPr="00574EFA">
        <w:rPr>
          <w:rFonts w:cs="Arial"/>
        </w:rPr>
        <w:t xml:space="preserve">, O.L., Cockwell, P., Kalra, P.A., McDonnell, T., Lucas, B., Roderick, P.J., Wheeler, D.C., Taal, M.W. and Fraser, S.D.S. (2026) ‘The impact of multiple long-term conditions on mortality, progression to kidney failure and health-related quality of life among people with chronic kidney disease: a </w:t>
      </w:r>
      <w:proofErr w:type="spellStart"/>
      <w:r w:rsidRPr="00574EFA">
        <w:rPr>
          <w:rFonts w:cs="Arial"/>
        </w:rPr>
        <w:t>multicentre</w:t>
      </w:r>
      <w:proofErr w:type="spellEnd"/>
      <w:r w:rsidRPr="00574EFA">
        <w:rPr>
          <w:rFonts w:cs="Arial"/>
        </w:rPr>
        <w:t xml:space="preserve"> cohort study (</w:t>
      </w:r>
      <w:proofErr w:type="spellStart"/>
      <w:r w:rsidRPr="00574EFA">
        <w:rPr>
          <w:rFonts w:cs="Arial"/>
        </w:rPr>
        <w:t>NURTuRE</w:t>
      </w:r>
      <w:proofErr w:type="spellEnd"/>
      <w:r w:rsidRPr="00574EFA">
        <w:rPr>
          <w:rFonts w:cs="Arial"/>
        </w:rPr>
        <w:t xml:space="preserve">-CKD)’, </w:t>
      </w:r>
      <w:r w:rsidRPr="00574EFA">
        <w:rPr>
          <w:rFonts w:cs="Arial"/>
          <w:i/>
          <w:iCs/>
        </w:rPr>
        <w:t>Annals of Medicine</w:t>
      </w:r>
      <w:r w:rsidRPr="00574EFA">
        <w:rPr>
          <w:rFonts w:cs="Arial"/>
        </w:rPr>
        <w:t xml:space="preserve">, 58(1), 2692812. doi:10.1080/07853890.2026.2692812. </w:t>
      </w:r>
    </w:p>
    <w:p w14:paraId="3F8B6FB3" w14:textId="77777777" w:rsidR="000E117B" w:rsidRPr="00C07BB7" w:rsidRDefault="000E117B" w:rsidP="00574EFA">
      <w:pPr>
        <w:pStyle w:val="TOC2"/>
        <w:numPr>
          <w:ilvl w:val="0"/>
          <w:numId w:val="14"/>
        </w:numPr>
        <w:rPr>
          <w:rFonts w:cs="Arial"/>
        </w:rPr>
      </w:pPr>
      <w:r w:rsidRPr="00C07BB7">
        <w:rPr>
          <w:rFonts w:cs="Arial"/>
        </w:rPr>
        <w:t>Campbell, M. et al. (2020) ‘Synthesis without meta-analysis (</w:t>
      </w:r>
      <w:proofErr w:type="spellStart"/>
      <w:r w:rsidRPr="00C07BB7">
        <w:rPr>
          <w:rFonts w:cs="Arial"/>
        </w:rPr>
        <w:t>SWiM</w:t>
      </w:r>
      <w:proofErr w:type="spellEnd"/>
      <w:r w:rsidRPr="00C07BB7">
        <w:rPr>
          <w:rFonts w:cs="Arial"/>
        </w:rPr>
        <w:t xml:space="preserve">) in systematic reviews: Reporting guideline’, </w:t>
      </w:r>
      <w:r w:rsidRPr="00C07BB7">
        <w:rPr>
          <w:rFonts w:cs="Arial"/>
          <w:i/>
        </w:rPr>
        <w:t>BMJ</w:t>
      </w:r>
      <w:r w:rsidRPr="00C07BB7">
        <w:rPr>
          <w:rFonts w:cs="Arial"/>
        </w:rPr>
        <w:t>, 368, l6890. doi:10.1136/bmj.l6890.</w:t>
      </w:r>
    </w:p>
    <w:p w14:paraId="6348F573" w14:textId="77777777" w:rsidR="000E117B" w:rsidRPr="00C07BB7" w:rsidRDefault="000E117B" w:rsidP="00574EFA">
      <w:pPr>
        <w:pStyle w:val="TOC2"/>
        <w:numPr>
          <w:ilvl w:val="0"/>
          <w:numId w:val="14"/>
        </w:numPr>
        <w:rPr>
          <w:rFonts w:cs="Arial"/>
        </w:rPr>
      </w:pPr>
      <w:r w:rsidRPr="00C07BB7">
        <w:rPr>
          <w:rFonts w:cs="Arial"/>
        </w:rPr>
        <w:t xml:space="preserve">Cao, Z., Xu, C., Zhang, P. and Wang, Y. (2022) 'Associations of sedentary time and physical activity with adverse health conditions: outcome-wide analyses using </w:t>
      </w:r>
      <w:proofErr w:type="spellStart"/>
      <w:r w:rsidRPr="00C07BB7">
        <w:rPr>
          <w:rFonts w:cs="Arial"/>
        </w:rPr>
        <w:t>isotemporal</w:t>
      </w:r>
      <w:proofErr w:type="spellEnd"/>
      <w:r w:rsidRPr="00C07BB7">
        <w:rPr>
          <w:rFonts w:cs="Arial"/>
        </w:rPr>
        <w:t xml:space="preserve"> substitution model', </w:t>
      </w:r>
      <w:proofErr w:type="spellStart"/>
      <w:r w:rsidRPr="00C07BB7">
        <w:rPr>
          <w:rFonts w:cs="Arial"/>
          <w:i/>
        </w:rPr>
        <w:t>EClinicalMedicine</w:t>
      </w:r>
      <w:proofErr w:type="spellEnd"/>
      <w:r w:rsidRPr="00C07BB7">
        <w:rPr>
          <w:rFonts w:cs="Arial"/>
        </w:rPr>
        <w:t xml:space="preserve">, 48, 101424. </w:t>
      </w:r>
      <w:proofErr w:type="spellStart"/>
      <w:r w:rsidRPr="00C07BB7">
        <w:rPr>
          <w:rFonts w:cs="Arial"/>
        </w:rPr>
        <w:t>doi</w:t>
      </w:r>
      <w:proofErr w:type="spellEnd"/>
      <w:r w:rsidRPr="00C07BB7">
        <w:rPr>
          <w:rFonts w:cs="Arial"/>
        </w:rPr>
        <w:t>: https://doi.org/10.1016/j.eclinm.2022.101424.</w:t>
      </w:r>
    </w:p>
    <w:p w14:paraId="00FD2B4D" w14:textId="77777777" w:rsidR="000E117B" w:rsidRPr="00C07BB7" w:rsidRDefault="000E117B" w:rsidP="00574EFA">
      <w:pPr>
        <w:pStyle w:val="TOC2"/>
        <w:numPr>
          <w:ilvl w:val="0"/>
          <w:numId w:val="14"/>
        </w:numPr>
        <w:rPr>
          <w:rFonts w:cs="Arial"/>
        </w:rPr>
      </w:pPr>
      <w:r w:rsidRPr="00C07BB7">
        <w:rPr>
          <w:rFonts w:cs="Arial"/>
        </w:rPr>
        <w:t>CASP (2024) Critical appraisal checklists. Available at: https://casp-uk.net/casp-tools-checklists/ (Accessed: 16 July 2026).</w:t>
      </w:r>
    </w:p>
    <w:p w14:paraId="0B72D961" w14:textId="77777777" w:rsidR="000E117B" w:rsidRPr="00C07BB7" w:rsidRDefault="000E117B" w:rsidP="00574EFA">
      <w:pPr>
        <w:pStyle w:val="TOC2"/>
        <w:numPr>
          <w:ilvl w:val="0"/>
          <w:numId w:val="14"/>
        </w:numPr>
        <w:rPr>
          <w:rFonts w:cs="Arial"/>
        </w:rPr>
      </w:pPr>
      <w:r w:rsidRPr="00C07BB7">
        <w:rPr>
          <w:rFonts w:cs="Arial"/>
        </w:rPr>
        <w:t xml:space="preserve">Castle, E.M., Billany, R.E., Young, H.M.L., </w:t>
      </w:r>
      <w:proofErr w:type="spellStart"/>
      <w:r w:rsidRPr="00C07BB7">
        <w:rPr>
          <w:rFonts w:cs="Arial"/>
        </w:rPr>
        <w:t>Walklin</w:t>
      </w:r>
      <w:proofErr w:type="spellEnd"/>
      <w:r w:rsidRPr="00C07BB7">
        <w:rPr>
          <w:rFonts w:cs="Arial"/>
        </w:rPr>
        <w:t xml:space="preserve">, C., Briggs, J., Asgari, E., Bhandari, S., Burton, J.O., Bramham, K., </w:t>
      </w:r>
      <w:proofErr w:type="spellStart"/>
      <w:r w:rsidRPr="00C07BB7">
        <w:rPr>
          <w:rFonts w:cs="Arial"/>
        </w:rPr>
        <w:t>Deelchand</w:t>
      </w:r>
      <w:proofErr w:type="spellEnd"/>
      <w:r w:rsidRPr="00C07BB7">
        <w:rPr>
          <w:rFonts w:cs="Arial"/>
        </w:rPr>
        <w:t xml:space="preserve">, V., Hamilton, A., Jesky, M., Kalra, P.A., McCafferty, K., Nixon, A.C., Taal, M.W., Tollit, J., Wheeler, D.C., Macdonald, J. and Greenwood, S.A. (2024) ‘Exploring how the Kidney BEAM physical activity digital health intervention improved mental health-related quality of life for people living with kidney disease’, </w:t>
      </w:r>
      <w:r w:rsidRPr="00C07BB7">
        <w:rPr>
          <w:rFonts w:cs="Arial"/>
          <w:i/>
        </w:rPr>
        <w:t>Kidney International Reports</w:t>
      </w:r>
      <w:r w:rsidRPr="00C07BB7">
        <w:rPr>
          <w:rFonts w:cs="Arial"/>
        </w:rPr>
        <w:t>, 9(12), pp.3517–3531. doi:10.1016/j.ekir.2024.09.029.</w:t>
      </w:r>
    </w:p>
    <w:p w14:paraId="500A1EC1" w14:textId="77777777" w:rsidR="000E117B" w:rsidRPr="00C07BB7" w:rsidRDefault="000E117B" w:rsidP="00574EFA">
      <w:pPr>
        <w:pStyle w:val="TOC2"/>
        <w:numPr>
          <w:ilvl w:val="0"/>
          <w:numId w:val="14"/>
        </w:numPr>
        <w:rPr>
          <w:rFonts w:cs="Arial"/>
        </w:rPr>
      </w:pPr>
      <w:r w:rsidRPr="00C07BB7">
        <w:rPr>
          <w:rFonts w:cs="Arial"/>
        </w:rPr>
        <w:t xml:space="preserve">Champion, V.L. and Skinner, C.S. (2008) ‘The Health Belief Model’, in Glanz, K., Rimer, B.K. and Viswanath, K. (eds.) Health Behavior and Health Education: Theory, Research, and Practice. 4th </w:t>
      </w:r>
      <w:proofErr w:type="spellStart"/>
      <w:r w:rsidRPr="00C07BB7">
        <w:rPr>
          <w:rFonts w:cs="Arial"/>
        </w:rPr>
        <w:t>edn</w:t>
      </w:r>
      <w:proofErr w:type="spellEnd"/>
      <w:r w:rsidRPr="00C07BB7">
        <w:rPr>
          <w:rFonts w:cs="Arial"/>
        </w:rPr>
        <w:t>. San Francisco: Jossey-Bass, pp.45–65.</w:t>
      </w:r>
    </w:p>
    <w:p w14:paraId="2F4AA027" w14:textId="77777777" w:rsidR="000E117B" w:rsidRPr="00C07BB7" w:rsidRDefault="000E117B" w:rsidP="00574EFA">
      <w:pPr>
        <w:pStyle w:val="TOC2"/>
        <w:numPr>
          <w:ilvl w:val="0"/>
          <w:numId w:val="14"/>
        </w:numPr>
        <w:rPr>
          <w:rFonts w:cs="Arial"/>
        </w:rPr>
      </w:pPr>
      <w:r w:rsidRPr="00C07BB7">
        <w:rPr>
          <w:rFonts w:cs="Arial"/>
        </w:rPr>
        <w:t xml:space="preserve">Cherney, D., Drzewiecka, A., Folkerts, K., Levy, P., Millier, A., Morris, S., </w:t>
      </w:r>
      <w:proofErr w:type="spellStart"/>
      <w:r w:rsidRPr="00C07BB7">
        <w:rPr>
          <w:rFonts w:cs="Arial"/>
        </w:rPr>
        <w:t>Pochopień</w:t>
      </w:r>
      <w:proofErr w:type="spellEnd"/>
      <w:r w:rsidRPr="00C07BB7">
        <w:rPr>
          <w:rFonts w:cs="Arial"/>
        </w:rPr>
        <w:t xml:space="preserve">, M., Roy-Chaudhury, P., Sullivan, S.D. and </w:t>
      </w:r>
      <w:proofErr w:type="spellStart"/>
      <w:r w:rsidRPr="00C07BB7">
        <w:rPr>
          <w:rFonts w:cs="Arial"/>
        </w:rPr>
        <w:t>Mernagh</w:t>
      </w:r>
      <w:proofErr w:type="spellEnd"/>
      <w:r w:rsidRPr="00C07BB7">
        <w:rPr>
          <w:rFonts w:cs="Arial"/>
        </w:rPr>
        <w:t xml:space="preserve">, P. (2025) ‘Cost-effectiveness of </w:t>
      </w:r>
      <w:proofErr w:type="spellStart"/>
      <w:r w:rsidRPr="00C07BB7">
        <w:rPr>
          <w:rFonts w:cs="Arial"/>
        </w:rPr>
        <w:t>finerenone</w:t>
      </w:r>
      <w:proofErr w:type="spellEnd"/>
      <w:r w:rsidRPr="00C07BB7">
        <w:rPr>
          <w:rFonts w:cs="Arial"/>
        </w:rPr>
        <w:t xml:space="preserve"> therapy for patients with chronic kidney disease and type 2 diabetes in England and Wales: results of the FINE-CKD model’, </w:t>
      </w:r>
      <w:r w:rsidRPr="00C07BB7">
        <w:rPr>
          <w:rFonts w:cs="Arial"/>
          <w:i/>
        </w:rPr>
        <w:t>Journal of Medical Economics</w:t>
      </w:r>
      <w:r w:rsidRPr="00C07BB7">
        <w:rPr>
          <w:rFonts w:cs="Arial"/>
        </w:rPr>
        <w:t>, 28(1), pp.196–206. doi:10.1080/13696998.2025.2451526.</w:t>
      </w:r>
    </w:p>
    <w:p w14:paraId="5CEEC5A4" w14:textId="77777777" w:rsidR="000E117B" w:rsidRPr="00C07BB7" w:rsidRDefault="000E117B" w:rsidP="00574EFA">
      <w:pPr>
        <w:pStyle w:val="TOC2"/>
        <w:numPr>
          <w:ilvl w:val="0"/>
          <w:numId w:val="14"/>
        </w:numPr>
        <w:rPr>
          <w:rFonts w:cs="Arial"/>
        </w:rPr>
      </w:pPr>
      <w:r w:rsidRPr="00C07BB7">
        <w:rPr>
          <w:rFonts w:cs="Arial"/>
        </w:rPr>
        <w:t>Cherry, G., Boland, A. and Dickson, R. (2023) Doing a Systematic Review. London: SAGE.</w:t>
      </w:r>
    </w:p>
    <w:p w14:paraId="4F211DBD" w14:textId="77777777" w:rsidR="000E117B" w:rsidRPr="00C07BB7" w:rsidRDefault="000E117B" w:rsidP="00574EFA">
      <w:pPr>
        <w:pStyle w:val="TOC2"/>
        <w:numPr>
          <w:ilvl w:val="0"/>
          <w:numId w:val="14"/>
        </w:numPr>
        <w:rPr>
          <w:rFonts w:cs="Arial"/>
        </w:rPr>
      </w:pPr>
      <w:r w:rsidRPr="00C07BB7">
        <w:rPr>
          <w:rFonts w:cs="Arial"/>
        </w:rPr>
        <w:t xml:space="preserve">Crombie, I.K. (2022) Pocket Guide to Critical Appraisal. 2nd </w:t>
      </w:r>
      <w:proofErr w:type="spellStart"/>
      <w:r w:rsidRPr="00C07BB7">
        <w:rPr>
          <w:rFonts w:cs="Arial"/>
        </w:rPr>
        <w:t>edn</w:t>
      </w:r>
      <w:proofErr w:type="spellEnd"/>
      <w:r w:rsidRPr="00C07BB7">
        <w:rPr>
          <w:rFonts w:cs="Arial"/>
        </w:rPr>
        <w:t>. Chichester: Wiley-Blackwell.</w:t>
      </w:r>
    </w:p>
    <w:p w14:paraId="447EAA7C" w14:textId="77777777" w:rsidR="000E117B" w:rsidRPr="00574EFA" w:rsidRDefault="000E117B" w:rsidP="00574EFA">
      <w:pPr>
        <w:pStyle w:val="ListParagraph"/>
        <w:numPr>
          <w:ilvl w:val="0"/>
          <w:numId w:val="14"/>
        </w:numPr>
        <w:rPr>
          <w:rFonts w:cs="Arial"/>
        </w:rPr>
      </w:pPr>
      <w:r w:rsidRPr="00574EFA">
        <w:rPr>
          <w:rFonts w:cs="Arial"/>
        </w:rPr>
        <w:t xml:space="preserve">Croucher, C., Bramham, K., Clark, S.G., Dreyer, G., Nitsch, D., O’Keeffe, H. and Sinha, S. (2026) ‘Health inequalities and kidney disease: assessing equity across the renal care pathway using routinely collected data’, </w:t>
      </w:r>
      <w:r w:rsidRPr="00574EFA">
        <w:rPr>
          <w:rFonts w:cs="Arial"/>
          <w:i/>
          <w:iCs/>
        </w:rPr>
        <w:t>Journal of Nephrology</w:t>
      </w:r>
      <w:r w:rsidRPr="00574EFA">
        <w:rPr>
          <w:rFonts w:cs="Arial"/>
        </w:rPr>
        <w:t>, 39(3), pp. 505–511. doi:10.1093/</w:t>
      </w:r>
      <w:proofErr w:type="spellStart"/>
      <w:r w:rsidRPr="00574EFA">
        <w:rPr>
          <w:rFonts w:cs="Arial"/>
        </w:rPr>
        <w:t>joneph</w:t>
      </w:r>
      <w:proofErr w:type="spellEnd"/>
      <w:r w:rsidRPr="00574EFA">
        <w:rPr>
          <w:rFonts w:cs="Arial"/>
        </w:rPr>
        <w:t xml:space="preserve">/aajaf063. </w:t>
      </w:r>
    </w:p>
    <w:p w14:paraId="4A5F342F" w14:textId="77777777" w:rsidR="000E117B" w:rsidRPr="00C07BB7" w:rsidRDefault="000E117B" w:rsidP="00574EFA">
      <w:pPr>
        <w:pStyle w:val="TOC2"/>
        <w:numPr>
          <w:ilvl w:val="0"/>
          <w:numId w:val="14"/>
        </w:numPr>
        <w:rPr>
          <w:rFonts w:cs="Arial"/>
        </w:rPr>
      </w:pPr>
      <w:r w:rsidRPr="00C07BB7">
        <w:rPr>
          <w:rFonts w:cs="Arial"/>
        </w:rPr>
        <w:t xml:space="preserve">Dasgupta, I., Zac-Varghese, S., Chaudhry, K., McCafferty, K., </w:t>
      </w:r>
      <w:proofErr w:type="spellStart"/>
      <w:r w:rsidRPr="00C07BB7">
        <w:rPr>
          <w:rFonts w:cs="Arial"/>
        </w:rPr>
        <w:t>Winocour</w:t>
      </w:r>
      <w:proofErr w:type="spellEnd"/>
      <w:r w:rsidRPr="00C07BB7">
        <w:rPr>
          <w:rFonts w:cs="Arial"/>
        </w:rPr>
        <w:t xml:space="preserve">, P. and others (2024) ‘Current management of chronic kidney disease in type-2 diabetes: a tiered approach’, </w:t>
      </w:r>
      <w:r w:rsidRPr="00C07BB7">
        <w:rPr>
          <w:rFonts w:cs="Arial"/>
          <w:i/>
        </w:rPr>
        <w:t>Diabetic Medicine</w:t>
      </w:r>
      <w:r w:rsidRPr="00C07BB7">
        <w:rPr>
          <w:rFonts w:cs="Arial"/>
        </w:rPr>
        <w:t xml:space="preserve">. </w:t>
      </w:r>
      <w:proofErr w:type="spellStart"/>
      <w:r w:rsidRPr="00C07BB7">
        <w:rPr>
          <w:rFonts w:cs="Arial"/>
        </w:rPr>
        <w:t>doi</w:t>
      </w:r>
      <w:proofErr w:type="spellEnd"/>
      <w:r w:rsidRPr="00C07BB7">
        <w:rPr>
          <w:rFonts w:cs="Arial"/>
        </w:rPr>
        <w:t>: https://doi.org/10.1111/dme.15450.</w:t>
      </w:r>
    </w:p>
    <w:p w14:paraId="4161C072" w14:textId="77777777" w:rsidR="000E117B" w:rsidRPr="00C07BB7" w:rsidRDefault="000E117B" w:rsidP="00574EFA">
      <w:pPr>
        <w:pStyle w:val="TOC2"/>
        <w:numPr>
          <w:ilvl w:val="0"/>
          <w:numId w:val="14"/>
        </w:numPr>
        <w:rPr>
          <w:rFonts w:cs="Arial"/>
        </w:rPr>
      </w:pPr>
      <w:r w:rsidRPr="00C07BB7">
        <w:rPr>
          <w:rFonts w:cs="Arial"/>
        </w:rPr>
        <w:t xml:space="preserve">Dolan, S., Anand, A., Kalra, P.A. and Stewart, S. (2025) ‘Uncoded chronic kidney disease prevalence in secondary care: a retrospective audit with population health implications’, </w:t>
      </w:r>
      <w:r w:rsidRPr="00C07BB7">
        <w:rPr>
          <w:rFonts w:cs="Arial"/>
          <w:i/>
        </w:rPr>
        <w:t>BMC Nephrology</w:t>
      </w:r>
      <w:r w:rsidRPr="00C07BB7">
        <w:rPr>
          <w:rFonts w:cs="Arial"/>
        </w:rPr>
        <w:t>, 26(1), p.39. doi:10.1186/s12882-025-03967-x.</w:t>
      </w:r>
    </w:p>
    <w:p w14:paraId="5E20B94B" w14:textId="77777777" w:rsidR="000E117B" w:rsidRPr="00C07BB7" w:rsidRDefault="000E117B" w:rsidP="00574EFA">
      <w:pPr>
        <w:pStyle w:val="TOC2"/>
        <w:numPr>
          <w:ilvl w:val="0"/>
          <w:numId w:val="14"/>
        </w:numPr>
        <w:rPr>
          <w:rFonts w:cs="Arial"/>
        </w:rPr>
      </w:pPr>
      <w:r w:rsidRPr="00C07BB7">
        <w:rPr>
          <w:rFonts w:cs="Arial"/>
        </w:rPr>
        <w:t xml:space="preserve">Forbes, A.K., Hinton, W., Feher, M.D., Elson, W., Joy, M., Ordóñez-Mena, J.M., Fan, X., Cole, N.I., Banerjee, D., Suckling, R.J. and Swift, P.A. (2024) ‘Implementation of chronic kidney disease guidelines for sodium-glucose co-transporter-2 inhibitor use in primary care in the UK’, </w:t>
      </w:r>
      <w:proofErr w:type="spellStart"/>
      <w:r w:rsidRPr="00C07BB7">
        <w:rPr>
          <w:rFonts w:cs="Arial"/>
          <w:i/>
        </w:rPr>
        <w:t>EClinicalMedicine</w:t>
      </w:r>
      <w:proofErr w:type="spellEnd"/>
      <w:r w:rsidRPr="00C07BB7">
        <w:rPr>
          <w:rFonts w:cs="Arial"/>
        </w:rPr>
        <w:t xml:space="preserve">, 68, 102426. </w:t>
      </w:r>
      <w:proofErr w:type="spellStart"/>
      <w:r w:rsidRPr="00C07BB7">
        <w:rPr>
          <w:rFonts w:cs="Arial"/>
        </w:rPr>
        <w:t>doi</w:t>
      </w:r>
      <w:proofErr w:type="spellEnd"/>
      <w:r w:rsidRPr="00C07BB7">
        <w:rPr>
          <w:rFonts w:cs="Arial"/>
        </w:rPr>
        <w:t>: https://doi.org/10.1016/j.eclinm.2024.102426.</w:t>
      </w:r>
    </w:p>
    <w:p w14:paraId="287150F5" w14:textId="77777777" w:rsidR="000E117B" w:rsidRPr="00C07BB7" w:rsidRDefault="000E117B" w:rsidP="00574EFA">
      <w:pPr>
        <w:pStyle w:val="TOC2"/>
        <w:numPr>
          <w:ilvl w:val="0"/>
          <w:numId w:val="14"/>
        </w:numPr>
        <w:rPr>
          <w:rFonts w:cs="Arial"/>
        </w:rPr>
      </w:pPr>
      <w:r w:rsidRPr="00C07BB7">
        <w:rPr>
          <w:rFonts w:cs="Arial"/>
        </w:rPr>
        <w:t xml:space="preserve">Gama, R.M., Griffiths, K., Beencke, N., Dalrymple, K., Mitchell, S., Ravi, P., Mayhew, J., Greenwood, S. and Bramham, K. (2025) ‘A pilot point-of-care kidney disease clinic in primary care to pharmacologically </w:t>
      </w:r>
      <w:proofErr w:type="spellStart"/>
      <w:r w:rsidRPr="00C07BB7">
        <w:rPr>
          <w:rFonts w:cs="Arial"/>
        </w:rPr>
        <w:t>optimise</w:t>
      </w:r>
      <w:proofErr w:type="spellEnd"/>
      <w:r w:rsidRPr="00C07BB7">
        <w:rPr>
          <w:rFonts w:cs="Arial"/>
        </w:rPr>
        <w:t xml:space="preserve"> people with chronic kidney disease (PROTECT KIDNEY)’, </w:t>
      </w:r>
      <w:r w:rsidRPr="00C07BB7">
        <w:rPr>
          <w:rFonts w:cs="Arial"/>
          <w:i/>
        </w:rPr>
        <w:t>Family Practice</w:t>
      </w:r>
      <w:r w:rsidRPr="00C07BB7">
        <w:rPr>
          <w:rFonts w:cs="Arial"/>
        </w:rPr>
        <w:t>, 42(6), p.cmaf083. doi:10.1093/</w:t>
      </w:r>
      <w:proofErr w:type="spellStart"/>
      <w:r w:rsidRPr="00C07BB7">
        <w:rPr>
          <w:rFonts w:cs="Arial"/>
        </w:rPr>
        <w:t>fampra</w:t>
      </w:r>
      <w:proofErr w:type="spellEnd"/>
      <w:r w:rsidRPr="00C07BB7">
        <w:rPr>
          <w:rFonts w:cs="Arial"/>
        </w:rPr>
        <w:t>/cmaf083.</w:t>
      </w:r>
    </w:p>
    <w:p w14:paraId="1E3B9143" w14:textId="77777777" w:rsidR="000E117B" w:rsidRPr="00C07BB7" w:rsidRDefault="000E117B" w:rsidP="00574EFA">
      <w:pPr>
        <w:pStyle w:val="TOC2"/>
        <w:numPr>
          <w:ilvl w:val="0"/>
          <w:numId w:val="14"/>
        </w:numPr>
        <w:rPr>
          <w:rFonts w:cs="Arial"/>
        </w:rPr>
      </w:pPr>
      <w:r w:rsidRPr="00C07BB7">
        <w:rPr>
          <w:rFonts w:cs="Arial"/>
        </w:rPr>
        <w:t xml:space="preserve">Gao, S., Liu, Y., Liu, H., Lin, Y., Bai, P., Hou, F., Lu, S., Zhou, S., Sun, H., Ma, G., Liu, H., Zhang, M., Cui, Z. and Yu, P. (2025) ‘Association between obesity indexes and chronic kidney disease risk: a double-cohort prospective study in the Binhai and UK Biobank’, </w:t>
      </w:r>
      <w:r w:rsidRPr="00C07BB7">
        <w:rPr>
          <w:rFonts w:cs="Arial"/>
          <w:i/>
        </w:rPr>
        <w:t>Frontiers in Endocrinology</w:t>
      </w:r>
      <w:r w:rsidRPr="00C07BB7">
        <w:rPr>
          <w:rFonts w:cs="Arial"/>
        </w:rPr>
        <w:t xml:space="preserve">, 16. </w:t>
      </w:r>
      <w:proofErr w:type="spellStart"/>
      <w:r w:rsidRPr="00C07BB7">
        <w:rPr>
          <w:rFonts w:cs="Arial"/>
        </w:rPr>
        <w:t>doi</w:t>
      </w:r>
      <w:proofErr w:type="spellEnd"/>
      <w:r w:rsidRPr="00C07BB7">
        <w:rPr>
          <w:rFonts w:cs="Arial"/>
        </w:rPr>
        <w:t>: https://doi.org/10.3389/fendo.2025.1566011.</w:t>
      </w:r>
    </w:p>
    <w:p w14:paraId="6E406B0A" w14:textId="77777777" w:rsidR="000E117B" w:rsidRPr="00574EFA" w:rsidRDefault="000E117B" w:rsidP="00574EFA">
      <w:pPr>
        <w:pStyle w:val="ListParagraph"/>
        <w:numPr>
          <w:ilvl w:val="0"/>
          <w:numId w:val="14"/>
        </w:numPr>
        <w:rPr>
          <w:rFonts w:cs="Arial"/>
        </w:rPr>
      </w:pPr>
      <w:r w:rsidRPr="00574EFA">
        <w:rPr>
          <w:rFonts w:cs="Arial"/>
        </w:rPr>
        <w:t xml:space="preserve">Goubar, A., </w:t>
      </w:r>
      <w:proofErr w:type="spellStart"/>
      <w:r w:rsidRPr="00574EFA">
        <w:rPr>
          <w:rFonts w:cs="Arial"/>
        </w:rPr>
        <w:t>Mangelis</w:t>
      </w:r>
      <w:proofErr w:type="spellEnd"/>
      <w:r w:rsidRPr="00574EFA">
        <w:rPr>
          <w:rFonts w:cs="Arial"/>
        </w:rPr>
        <w:t xml:space="preserve">, A., Thomas, S., </w:t>
      </w:r>
      <w:proofErr w:type="spellStart"/>
      <w:r w:rsidRPr="00574EFA">
        <w:rPr>
          <w:rFonts w:cs="Arial"/>
        </w:rPr>
        <w:t>Fountoulakis</w:t>
      </w:r>
      <w:proofErr w:type="spellEnd"/>
      <w:r w:rsidRPr="00574EFA">
        <w:rPr>
          <w:rFonts w:cs="Arial"/>
        </w:rPr>
        <w:t xml:space="preserve">, N., Collins, J., </w:t>
      </w:r>
      <w:proofErr w:type="spellStart"/>
      <w:r w:rsidRPr="00574EFA">
        <w:rPr>
          <w:rFonts w:cs="Arial"/>
        </w:rPr>
        <w:t>Ayis</w:t>
      </w:r>
      <w:proofErr w:type="spellEnd"/>
      <w:r w:rsidRPr="00574EFA">
        <w:rPr>
          <w:rFonts w:cs="Arial"/>
        </w:rPr>
        <w:t xml:space="preserve">, S. and </w:t>
      </w:r>
      <w:proofErr w:type="spellStart"/>
      <w:r w:rsidRPr="00574EFA">
        <w:rPr>
          <w:rFonts w:cs="Arial"/>
        </w:rPr>
        <w:t>Karalliedde</w:t>
      </w:r>
      <w:proofErr w:type="spellEnd"/>
      <w:r w:rsidRPr="00574EFA">
        <w:rPr>
          <w:rFonts w:cs="Arial"/>
        </w:rPr>
        <w:t xml:space="preserve">, J. (2024) ‘Investigation of end-stage kidney disease risk prediction in an ethnically diverse cohort of people with type 2 diabetes: use of kidney failure risk equation’, </w:t>
      </w:r>
      <w:r w:rsidRPr="00574EFA">
        <w:rPr>
          <w:rFonts w:cs="Arial"/>
          <w:i/>
          <w:iCs/>
        </w:rPr>
        <w:t>BMJ Open Diabetes Research &amp; Care</w:t>
      </w:r>
      <w:r w:rsidRPr="00574EFA">
        <w:rPr>
          <w:rFonts w:cs="Arial"/>
        </w:rPr>
        <w:t xml:space="preserve">, 12(4), e004282. doi:10.1136/bmjdrc-2024-004282. </w:t>
      </w:r>
    </w:p>
    <w:p w14:paraId="38574536" w14:textId="77777777" w:rsidR="000E117B" w:rsidRPr="00C07BB7" w:rsidRDefault="000E117B" w:rsidP="00574EFA">
      <w:pPr>
        <w:pStyle w:val="TOC2"/>
        <w:numPr>
          <w:ilvl w:val="0"/>
          <w:numId w:val="14"/>
        </w:numPr>
        <w:rPr>
          <w:rFonts w:cs="Arial"/>
        </w:rPr>
      </w:pPr>
      <w:r w:rsidRPr="00C07BB7">
        <w:rPr>
          <w:rFonts w:cs="Arial"/>
        </w:rPr>
        <w:t xml:space="preserve">Greenwood, S.A., Briggs, J., </w:t>
      </w:r>
      <w:proofErr w:type="spellStart"/>
      <w:r w:rsidRPr="00C07BB7">
        <w:rPr>
          <w:rFonts w:cs="Arial"/>
        </w:rPr>
        <w:t>Walklin</w:t>
      </w:r>
      <w:proofErr w:type="spellEnd"/>
      <w:r w:rsidRPr="00C07BB7">
        <w:rPr>
          <w:rFonts w:cs="Arial"/>
        </w:rPr>
        <w:t xml:space="preserve">, C., </w:t>
      </w:r>
      <w:proofErr w:type="spellStart"/>
      <w:r w:rsidRPr="00C07BB7">
        <w:rPr>
          <w:rFonts w:cs="Arial"/>
        </w:rPr>
        <w:t>Mangahis</w:t>
      </w:r>
      <w:proofErr w:type="spellEnd"/>
      <w:r w:rsidRPr="00C07BB7">
        <w:rPr>
          <w:rFonts w:cs="Arial"/>
        </w:rPr>
        <w:t xml:space="preserve">, E., Young, H.M.L., Castle, E.M., Billany, R.E., Asgari, E., Bhandari, S., Bishop, N., Bramham, K., Burton, J.O., Campbell, J., Chilcot, J., Cooper, N., </w:t>
      </w:r>
      <w:proofErr w:type="spellStart"/>
      <w:r w:rsidRPr="00C07BB7">
        <w:rPr>
          <w:rFonts w:cs="Arial"/>
        </w:rPr>
        <w:t>Deelchand</w:t>
      </w:r>
      <w:proofErr w:type="spellEnd"/>
      <w:r w:rsidRPr="00C07BB7">
        <w:rPr>
          <w:rFonts w:cs="Arial"/>
        </w:rPr>
        <w:t xml:space="preserve">, V., Graham-Brown, M.P.M., Haggis, L., Hamilton, A., Jesky, M., Kalra, P.A., </w:t>
      </w:r>
      <w:proofErr w:type="spellStart"/>
      <w:r w:rsidRPr="00C07BB7">
        <w:rPr>
          <w:rFonts w:cs="Arial"/>
        </w:rPr>
        <w:t>Koufaki</w:t>
      </w:r>
      <w:proofErr w:type="spellEnd"/>
      <w:r w:rsidRPr="00C07BB7">
        <w:rPr>
          <w:rFonts w:cs="Arial"/>
        </w:rPr>
        <w:t xml:space="preserve">, P., McCafferty, K., Nixon, A.C., Noble, H., Saynor, Z.L., Taal, M.W., Tollitt, J., Wheeler, D.C., Wilkinson, T.J., Worboys, H. and Macdonald, J. (2024a) ‘Kidney BEAM: a cost-effective digital intervention to improve mental health’, </w:t>
      </w:r>
      <w:r w:rsidRPr="00C07BB7">
        <w:rPr>
          <w:rFonts w:cs="Arial"/>
          <w:i/>
        </w:rPr>
        <w:t>Kidney International Reports</w:t>
      </w:r>
      <w:r w:rsidRPr="00C07BB7">
        <w:rPr>
          <w:rFonts w:cs="Arial"/>
        </w:rPr>
        <w:t>, 9(11), pp.3204–3217. doi:10.1016/j.ekir.2024.08.030.</w:t>
      </w:r>
    </w:p>
    <w:p w14:paraId="0706F5B9" w14:textId="77777777" w:rsidR="000E117B" w:rsidRPr="00C07BB7" w:rsidRDefault="000E117B" w:rsidP="00574EFA">
      <w:pPr>
        <w:pStyle w:val="TOC2"/>
        <w:numPr>
          <w:ilvl w:val="0"/>
          <w:numId w:val="14"/>
        </w:numPr>
        <w:rPr>
          <w:rFonts w:cs="Arial"/>
        </w:rPr>
      </w:pPr>
      <w:r w:rsidRPr="00C07BB7">
        <w:rPr>
          <w:rFonts w:cs="Arial"/>
        </w:rPr>
        <w:t xml:space="preserve">Greenwood, S.A., Young, H.M.L., Briggs, J., Castle, E.M., </w:t>
      </w:r>
      <w:proofErr w:type="spellStart"/>
      <w:r w:rsidRPr="00C07BB7">
        <w:rPr>
          <w:rFonts w:cs="Arial"/>
        </w:rPr>
        <w:t>Walklin</w:t>
      </w:r>
      <w:proofErr w:type="spellEnd"/>
      <w:r w:rsidRPr="00C07BB7">
        <w:rPr>
          <w:rFonts w:cs="Arial"/>
        </w:rPr>
        <w:t xml:space="preserve">, C., Haggis, L., Balkin, C., Asgari, E., Bhandari, S., Burton, J.O., Billany, R.E., Bishop, N.C., Bramham, K., Campbell, J., Chilcot, J., Cooper, N.J., </w:t>
      </w:r>
      <w:proofErr w:type="spellStart"/>
      <w:r w:rsidRPr="00C07BB7">
        <w:rPr>
          <w:rFonts w:cs="Arial"/>
        </w:rPr>
        <w:t>Deelchand</w:t>
      </w:r>
      <w:proofErr w:type="spellEnd"/>
      <w:r w:rsidRPr="00C07BB7">
        <w:rPr>
          <w:rFonts w:cs="Arial"/>
        </w:rPr>
        <w:t xml:space="preserve">, V., Graham-Brown, M.P.M., Hamilton, A., Jesky, M., Kalra, P.A., </w:t>
      </w:r>
      <w:proofErr w:type="spellStart"/>
      <w:r w:rsidRPr="00C07BB7">
        <w:rPr>
          <w:rFonts w:cs="Arial"/>
        </w:rPr>
        <w:t>Koufaki</w:t>
      </w:r>
      <w:proofErr w:type="spellEnd"/>
      <w:r w:rsidRPr="00C07BB7">
        <w:rPr>
          <w:rFonts w:cs="Arial"/>
        </w:rPr>
        <w:t xml:space="preserve">, P., McCafferty, K., Nixon, A.C., Noble, H., Saynor, Z., Taal, M.W., Tollit, J., Wheeler, D.C., Wilkinson, T.J., Worboys, H. and Macdonald, J.H. (2024b) ‘Evaluating the effect of a digital health intervention to enhance physical activity in people with chronic kidney disease (Kidney BEAM): a </w:t>
      </w:r>
      <w:proofErr w:type="spellStart"/>
      <w:r w:rsidRPr="00C07BB7">
        <w:rPr>
          <w:rFonts w:cs="Arial"/>
        </w:rPr>
        <w:t>multicentre</w:t>
      </w:r>
      <w:proofErr w:type="spellEnd"/>
      <w:r w:rsidRPr="00C07BB7">
        <w:rPr>
          <w:rFonts w:cs="Arial"/>
        </w:rPr>
        <w:t xml:space="preserve">, </w:t>
      </w:r>
      <w:proofErr w:type="spellStart"/>
      <w:r w:rsidRPr="00C07BB7">
        <w:rPr>
          <w:rFonts w:cs="Arial"/>
        </w:rPr>
        <w:t>randomised</w:t>
      </w:r>
      <w:proofErr w:type="spellEnd"/>
      <w:r w:rsidRPr="00C07BB7">
        <w:rPr>
          <w:rFonts w:cs="Arial"/>
        </w:rPr>
        <w:t xml:space="preserve"> controlled trial in the UK’, </w:t>
      </w:r>
      <w:r w:rsidRPr="00C07BB7">
        <w:rPr>
          <w:rFonts w:cs="Arial"/>
          <w:i/>
        </w:rPr>
        <w:t>The Lancet Digital Health</w:t>
      </w:r>
      <w:r w:rsidRPr="00C07BB7">
        <w:rPr>
          <w:rFonts w:cs="Arial"/>
        </w:rPr>
        <w:t>, 6(1), pp.e23–e32. doi:10.1016/S2589-7500(23)00204-2.</w:t>
      </w:r>
    </w:p>
    <w:p w14:paraId="310D6A2A" w14:textId="77777777" w:rsidR="000E117B" w:rsidRPr="00574EFA" w:rsidRDefault="000E117B" w:rsidP="00574EFA">
      <w:pPr>
        <w:pStyle w:val="ListParagraph"/>
        <w:numPr>
          <w:ilvl w:val="0"/>
          <w:numId w:val="14"/>
        </w:numPr>
        <w:rPr>
          <w:rFonts w:cs="Arial"/>
        </w:rPr>
      </w:pPr>
      <w:r w:rsidRPr="00574EFA">
        <w:rPr>
          <w:rFonts w:cs="Arial"/>
        </w:rPr>
        <w:t xml:space="preserve">Griffiths, K., Taylor, S., Bramham, K. and </w:t>
      </w:r>
      <w:proofErr w:type="spellStart"/>
      <w:r w:rsidRPr="00574EFA">
        <w:rPr>
          <w:rFonts w:cs="Arial"/>
        </w:rPr>
        <w:t>Molokhia</w:t>
      </w:r>
      <w:proofErr w:type="spellEnd"/>
      <w:r w:rsidRPr="00574EFA">
        <w:rPr>
          <w:rFonts w:cs="Arial"/>
        </w:rPr>
        <w:t xml:space="preserve">, M. (2024) ‘Can remote testing for chronic kidney disease improve outcomes without widening existing health inequalities? A collaborative quality improvement project in primary care’, </w:t>
      </w:r>
      <w:r w:rsidRPr="00574EFA">
        <w:rPr>
          <w:rFonts w:cs="Arial"/>
          <w:i/>
          <w:iCs/>
        </w:rPr>
        <w:t>British Journal of General Practice</w:t>
      </w:r>
      <w:r w:rsidRPr="00574EFA">
        <w:rPr>
          <w:rFonts w:cs="Arial"/>
        </w:rPr>
        <w:t xml:space="preserve">, 74(Suppl 1), bjgp24X737997. doi:10.3399/bjgp24X737997. </w:t>
      </w:r>
    </w:p>
    <w:p w14:paraId="6AAE8A52" w14:textId="77777777" w:rsidR="000E117B" w:rsidRPr="00C07BB7" w:rsidRDefault="000E117B" w:rsidP="00574EFA">
      <w:pPr>
        <w:pStyle w:val="TOC2"/>
        <w:numPr>
          <w:ilvl w:val="0"/>
          <w:numId w:val="14"/>
        </w:numPr>
        <w:rPr>
          <w:rFonts w:cs="Arial"/>
        </w:rPr>
      </w:pPr>
      <w:r w:rsidRPr="00C07BB7">
        <w:rPr>
          <w:rFonts w:cs="Arial"/>
        </w:rPr>
        <w:t xml:space="preserve">Gu, Y., Li, H., Ma, H., Zhang, S., Meng, G., Zhang, Q., Liu, L., Wu, H., Zhang, T., Wang, X., Zhang, J., Sun, S., Wang, X., Zhou, M., Jia, Q., Song, K., Liu, Q., Huang, T., Borne, Y., Wang, Y., Qi, L. and Niu, K. (2023) 'Consumption of </w:t>
      </w:r>
      <w:proofErr w:type="spellStart"/>
      <w:r w:rsidRPr="00C07BB7">
        <w:rPr>
          <w:rFonts w:cs="Arial"/>
        </w:rPr>
        <w:t>ultraprocessed</w:t>
      </w:r>
      <w:proofErr w:type="spellEnd"/>
      <w:r w:rsidRPr="00C07BB7">
        <w:rPr>
          <w:rFonts w:cs="Arial"/>
        </w:rPr>
        <w:t xml:space="preserve"> food and development of chronic kidney disease: the Tianjin Chronic Low-Grade Systemic Inflammation and Health and UK Biobank cohort studies', </w:t>
      </w:r>
      <w:r w:rsidRPr="00C07BB7">
        <w:rPr>
          <w:rFonts w:cs="Arial"/>
          <w:i/>
        </w:rPr>
        <w:t>The American Journal of Clinical Nutrition</w:t>
      </w:r>
      <w:r w:rsidRPr="00C07BB7">
        <w:rPr>
          <w:rFonts w:cs="Arial"/>
        </w:rPr>
        <w:t xml:space="preserve">, 117(2), pp. 373-382. </w:t>
      </w:r>
      <w:proofErr w:type="spellStart"/>
      <w:r w:rsidRPr="00C07BB7">
        <w:rPr>
          <w:rFonts w:cs="Arial"/>
        </w:rPr>
        <w:t>doi</w:t>
      </w:r>
      <w:proofErr w:type="spellEnd"/>
      <w:r w:rsidRPr="00C07BB7">
        <w:rPr>
          <w:rFonts w:cs="Arial"/>
        </w:rPr>
        <w:t>: https://doi.org/10.1016/j.ajcnut.2022.11.005.</w:t>
      </w:r>
    </w:p>
    <w:p w14:paraId="44FD6D6A" w14:textId="77777777" w:rsidR="000E117B" w:rsidRPr="00574EFA" w:rsidRDefault="000E117B" w:rsidP="00574EFA">
      <w:pPr>
        <w:pStyle w:val="ListParagraph"/>
        <w:numPr>
          <w:ilvl w:val="0"/>
          <w:numId w:val="14"/>
        </w:numPr>
        <w:rPr>
          <w:rFonts w:cs="Arial"/>
        </w:rPr>
      </w:pPr>
      <w:r w:rsidRPr="00574EFA">
        <w:rPr>
          <w:rFonts w:cs="Arial"/>
        </w:rPr>
        <w:t xml:space="preserve">Gunnarsson, S., Karlsson, C., Prasad, R.B. and Hansson, S.F. (2026) ‘Adiposity-based obesity classification and cardiometabolic and kidney outcomes: a longitudinal UK Biobank analysis’, </w:t>
      </w:r>
      <w:proofErr w:type="spellStart"/>
      <w:r w:rsidRPr="00574EFA">
        <w:rPr>
          <w:rFonts w:cs="Arial"/>
          <w:i/>
          <w:iCs/>
        </w:rPr>
        <w:t>EBioMedicine</w:t>
      </w:r>
      <w:proofErr w:type="spellEnd"/>
      <w:r w:rsidRPr="00574EFA">
        <w:rPr>
          <w:rFonts w:cs="Arial"/>
        </w:rPr>
        <w:t xml:space="preserve">, 128, 106272. doi:10.1016/j.ebiom.2026.106272. </w:t>
      </w:r>
    </w:p>
    <w:p w14:paraId="495B5E7D" w14:textId="77777777" w:rsidR="000E117B" w:rsidRPr="00C07BB7" w:rsidRDefault="000E117B" w:rsidP="00574EFA">
      <w:pPr>
        <w:pStyle w:val="TOC2"/>
        <w:numPr>
          <w:ilvl w:val="0"/>
          <w:numId w:val="14"/>
        </w:numPr>
        <w:rPr>
          <w:rFonts w:cs="Arial"/>
        </w:rPr>
      </w:pPr>
      <w:r w:rsidRPr="00C07BB7">
        <w:rPr>
          <w:rFonts w:cs="Arial"/>
        </w:rPr>
        <w:t xml:space="preserve">Hawthorne, G., Lightfoot, C.J., Smith, A.C., </w:t>
      </w:r>
      <w:proofErr w:type="spellStart"/>
      <w:r w:rsidRPr="00C07BB7">
        <w:rPr>
          <w:rFonts w:cs="Arial"/>
        </w:rPr>
        <w:t>Khunti</w:t>
      </w:r>
      <w:proofErr w:type="spellEnd"/>
      <w:r w:rsidRPr="00C07BB7">
        <w:rPr>
          <w:rFonts w:cs="Arial"/>
        </w:rPr>
        <w:t xml:space="preserve">, K. and Wilkinson, T.J. (2023) ‘Multimorbidity prevalence and patterns in chronic kidney disease: findings from an observational </w:t>
      </w:r>
      <w:proofErr w:type="spellStart"/>
      <w:r w:rsidRPr="00C07BB7">
        <w:rPr>
          <w:rFonts w:cs="Arial"/>
        </w:rPr>
        <w:t>multicentre</w:t>
      </w:r>
      <w:proofErr w:type="spellEnd"/>
      <w:r w:rsidRPr="00C07BB7">
        <w:rPr>
          <w:rFonts w:cs="Arial"/>
        </w:rPr>
        <w:t xml:space="preserve"> UK cohort study’, </w:t>
      </w:r>
      <w:r w:rsidRPr="00C07BB7">
        <w:rPr>
          <w:rFonts w:cs="Arial"/>
          <w:i/>
        </w:rPr>
        <w:t>International Urology and Nephrology</w:t>
      </w:r>
      <w:r w:rsidRPr="00C07BB7">
        <w:rPr>
          <w:rFonts w:cs="Arial"/>
        </w:rPr>
        <w:t>, 55(8), pp.2047–2057. doi:10.1007/s11255-023-03516-1.</w:t>
      </w:r>
    </w:p>
    <w:p w14:paraId="5144B93A" w14:textId="77777777" w:rsidR="000E117B" w:rsidRPr="00C07BB7" w:rsidRDefault="000E117B" w:rsidP="00574EFA">
      <w:pPr>
        <w:pStyle w:val="TOC2"/>
        <w:numPr>
          <w:ilvl w:val="0"/>
          <w:numId w:val="14"/>
        </w:numPr>
        <w:rPr>
          <w:rFonts w:cs="Arial"/>
        </w:rPr>
      </w:pPr>
      <w:r w:rsidRPr="00C07BB7">
        <w:rPr>
          <w:rFonts w:cs="Arial"/>
        </w:rPr>
        <w:t xml:space="preserve">He, P., Ye, Z., Liu, M., Li, H., Zhang, Y., Zhou, C., Wu, Q., Zhang, Y., Yang, S., Liu, C. and Qin, X. (2023) 'Association of handgrip strength and/or walking pace with incident chronic kidney disease: a UK Biobank observational study', </w:t>
      </w:r>
      <w:r w:rsidRPr="00C07BB7">
        <w:rPr>
          <w:rFonts w:cs="Arial"/>
          <w:i/>
        </w:rPr>
        <w:t>Journal of Cachexia, Sarcopenia and Muscle</w:t>
      </w:r>
      <w:r w:rsidRPr="00C07BB7">
        <w:rPr>
          <w:rFonts w:cs="Arial"/>
        </w:rPr>
        <w:t xml:space="preserve">, 14(2), pp. 805-814. </w:t>
      </w:r>
      <w:proofErr w:type="spellStart"/>
      <w:r w:rsidRPr="00C07BB7">
        <w:rPr>
          <w:rFonts w:cs="Arial"/>
        </w:rPr>
        <w:t>doi</w:t>
      </w:r>
      <w:proofErr w:type="spellEnd"/>
      <w:r w:rsidRPr="00C07BB7">
        <w:rPr>
          <w:rFonts w:cs="Arial"/>
        </w:rPr>
        <w:t>: https://doi.org/10.1002/jcsm.13180.</w:t>
      </w:r>
    </w:p>
    <w:p w14:paraId="5482BB6A" w14:textId="77777777" w:rsidR="000E117B" w:rsidRPr="00C07BB7" w:rsidRDefault="000E117B" w:rsidP="00574EFA">
      <w:pPr>
        <w:pStyle w:val="TOC2"/>
        <w:numPr>
          <w:ilvl w:val="0"/>
          <w:numId w:val="14"/>
        </w:numPr>
        <w:rPr>
          <w:rFonts w:cs="Arial"/>
        </w:rPr>
      </w:pPr>
      <w:r w:rsidRPr="00C07BB7">
        <w:rPr>
          <w:rFonts w:cs="Arial"/>
        </w:rPr>
        <w:t>Health Technology Wales (2024) Digital rehabilitation and self-management interventions for chronic kidney disease. Available at: https://healthtechnology.wales/wp-content/uploads/TER555-Digital-rehabilitation-and-self-management-interventions-for-CKD.pdf.</w:t>
      </w:r>
    </w:p>
    <w:p w14:paraId="365CA714" w14:textId="77777777" w:rsidR="000E117B" w:rsidRPr="00C07BB7" w:rsidRDefault="000E117B" w:rsidP="00574EFA">
      <w:pPr>
        <w:pStyle w:val="TOC2"/>
        <w:numPr>
          <w:ilvl w:val="0"/>
          <w:numId w:val="14"/>
        </w:numPr>
        <w:rPr>
          <w:rFonts w:cs="Arial"/>
        </w:rPr>
      </w:pPr>
      <w:proofErr w:type="spellStart"/>
      <w:r w:rsidRPr="00C07BB7">
        <w:rPr>
          <w:rFonts w:cs="Arial"/>
        </w:rPr>
        <w:t>Healthdata</w:t>
      </w:r>
      <w:proofErr w:type="spellEnd"/>
      <w:r w:rsidRPr="00C07BB7">
        <w:rPr>
          <w:rFonts w:cs="Arial"/>
        </w:rPr>
        <w:t xml:space="preserve"> (2023). Global, regional, and national burden of chronic kidney disease in adults, 1990–2023, and its attributable risk factors: A systematic analysis for the global burden of Disease study 2023. [online] Institute for Health Metrics and Evaluation. Available at: https://www.healthdata.org/research-analysis/library/global-regional-and-national-burden-chronic-kidney-disease-adults-1990 [Accessed 20 July 2026].</w:t>
      </w:r>
    </w:p>
    <w:p w14:paraId="1B826E61" w14:textId="77777777" w:rsidR="000E117B" w:rsidRPr="00C07BB7" w:rsidRDefault="000E117B" w:rsidP="00574EFA">
      <w:pPr>
        <w:pStyle w:val="TOC2"/>
        <w:numPr>
          <w:ilvl w:val="0"/>
          <w:numId w:val="14"/>
        </w:numPr>
        <w:rPr>
          <w:rFonts w:cs="Arial"/>
        </w:rPr>
      </w:pPr>
      <w:r w:rsidRPr="00C07BB7">
        <w:rPr>
          <w:rFonts w:cs="Arial"/>
        </w:rPr>
        <w:t xml:space="preserve">Heo, G.Y. et al. (2023) ‘Association between fiber intake and risk of incident chronic kidney disease: The UK Biobank Study’, </w:t>
      </w:r>
      <w:r w:rsidRPr="00C07BB7">
        <w:rPr>
          <w:rFonts w:cs="Arial"/>
          <w:i/>
        </w:rPr>
        <w:t>The Journal of Nutrition, Health and Aging</w:t>
      </w:r>
      <w:r w:rsidRPr="00C07BB7">
        <w:rPr>
          <w:rFonts w:cs="Arial"/>
        </w:rPr>
        <w:t>, 27(11), pp. 1018–1027. doi:10.1007/s12603-023-1998-6.</w:t>
      </w:r>
    </w:p>
    <w:p w14:paraId="75D136FB" w14:textId="77777777" w:rsidR="000E117B" w:rsidRPr="00C07BB7" w:rsidRDefault="000E117B" w:rsidP="00574EFA">
      <w:pPr>
        <w:pStyle w:val="TOC2"/>
        <w:numPr>
          <w:ilvl w:val="0"/>
          <w:numId w:val="14"/>
        </w:numPr>
        <w:rPr>
          <w:rFonts w:cs="Arial"/>
        </w:rPr>
      </w:pPr>
      <w:r w:rsidRPr="00C07BB7">
        <w:rPr>
          <w:rFonts w:cs="Arial"/>
        </w:rPr>
        <w:t xml:space="preserve">Heo, G.Y., Koh, H.B., Kim, H.J., Kim, K.W., Jung, C.Y., Kim, H.W., Chang, T.I., Park, J.T., Yoo, T.H., Kang, S.W. and Han, S.H. (2023) 'Association of plant protein intake with risk of incident CKD: a UK Biobank study', </w:t>
      </w:r>
      <w:r w:rsidRPr="00C07BB7">
        <w:rPr>
          <w:rFonts w:cs="Arial"/>
          <w:i/>
        </w:rPr>
        <w:t>American Journal of Kidney Diseases</w:t>
      </w:r>
      <w:r w:rsidRPr="00C07BB7">
        <w:rPr>
          <w:rFonts w:cs="Arial"/>
        </w:rPr>
        <w:t xml:space="preserve">, 82(6), pp. 687-697.e1. </w:t>
      </w:r>
      <w:proofErr w:type="spellStart"/>
      <w:r w:rsidRPr="00C07BB7">
        <w:rPr>
          <w:rFonts w:cs="Arial"/>
        </w:rPr>
        <w:t>doi</w:t>
      </w:r>
      <w:proofErr w:type="spellEnd"/>
      <w:r w:rsidRPr="00C07BB7">
        <w:rPr>
          <w:rFonts w:cs="Arial"/>
        </w:rPr>
        <w:t>: https://doi.org/10.1053/j.ajkd.2023.05.007.</w:t>
      </w:r>
    </w:p>
    <w:p w14:paraId="763740C7" w14:textId="77777777" w:rsidR="000E117B" w:rsidRPr="00C07BB7" w:rsidRDefault="000E117B" w:rsidP="00574EFA">
      <w:pPr>
        <w:pStyle w:val="TOC2"/>
        <w:numPr>
          <w:ilvl w:val="0"/>
          <w:numId w:val="14"/>
        </w:numPr>
        <w:rPr>
          <w:rFonts w:cs="Arial"/>
        </w:rPr>
      </w:pPr>
      <w:r w:rsidRPr="00C07BB7">
        <w:rPr>
          <w:rFonts w:cs="Arial"/>
        </w:rPr>
        <w:t xml:space="preserve">Heo, G.Y., Koh, H.B., Park, J.T., Han, S.H., Kang, S.-W. and Kim, H.W. (2024) ‘Sweetened beverage intake and incident chronic kidney disease in the UK Biobank Study’, </w:t>
      </w:r>
      <w:r w:rsidRPr="00C07BB7">
        <w:rPr>
          <w:rFonts w:cs="Arial"/>
          <w:i/>
        </w:rPr>
        <w:t>JAMA Network Open</w:t>
      </w:r>
      <w:r w:rsidRPr="00C07BB7">
        <w:rPr>
          <w:rFonts w:cs="Arial"/>
        </w:rPr>
        <w:t xml:space="preserve">, 7(2), e2356885. </w:t>
      </w:r>
      <w:proofErr w:type="spellStart"/>
      <w:r w:rsidRPr="00C07BB7">
        <w:rPr>
          <w:rFonts w:cs="Arial"/>
        </w:rPr>
        <w:t>doi</w:t>
      </w:r>
      <w:proofErr w:type="spellEnd"/>
      <w:r w:rsidRPr="00C07BB7">
        <w:rPr>
          <w:rFonts w:cs="Arial"/>
        </w:rPr>
        <w:t>: https://doi.org/10.1001/jamanetworkopen.2023.56885.</w:t>
      </w:r>
    </w:p>
    <w:p w14:paraId="40BD0D67" w14:textId="77777777" w:rsidR="000E117B" w:rsidRPr="00C07BB7" w:rsidRDefault="000E117B" w:rsidP="00574EFA">
      <w:pPr>
        <w:pStyle w:val="TOC2"/>
        <w:numPr>
          <w:ilvl w:val="0"/>
          <w:numId w:val="14"/>
        </w:numPr>
        <w:rPr>
          <w:rFonts w:cs="Arial"/>
        </w:rPr>
      </w:pPr>
      <w:r w:rsidRPr="00C07BB7">
        <w:rPr>
          <w:rFonts w:cs="Arial"/>
        </w:rPr>
        <w:t xml:space="preserve">Hirst, J.A., Hill, N., O'Callaghan, C.A., </w:t>
      </w:r>
      <w:proofErr w:type="spellStart"/>
      <w:r w:rsidRPr="00C07BB7">
        <w:rPr>
          <w:rFonts w:cs="Arial"/>
        </w:rPr>
        <w:t>Lasserson</w:t>
      </w:r>
      <w:proofErr w:type="spellEnd"/>
      <w:r w:rsidRPr="00C07BB7">
        <w:rPr>
          <w:rFonts w:cs="Arial"/>
        </w:rPr>
        <w:t xml:space="preserve">, D., McManus, R.J., Ogburn, E., Ordonez-Mena, J.M., Shine, B., Taylor, C.J., Vazquez-Montes, M.D., Yang, Y. and Hobbs, F.D.R. (2020) 'Prevalence of chronic kidney disease in the community using data from </w:t>
      </w:r>
      <w:proofErr w:type="spellStart"/>
      <w:r w:rsidRPr="00C07BB7">
        <w:rPr>
          <w:rFonts w:cs="Arial"/>
        </w:rPr>
        <w:t>OxRen</w:t>
      </w:r>
      <w:proofErr w:type="spellEnd"/>
      <w:r w:rsidRPr="00C07BB7">
        <w:rPr>
          <w:rFonts w:cs="Arial"/>
        </w:rPr>
        <w:t xml:space="preserve">: a UK population-based cohort study', </w:t>
      </w:r>
      <w:r w:rsidRPr="00C07BB7">
        <w:rPr>
          <w:rFonts w:cs="Arial"/>
          <w:i/>
        </w:rPr>
        <w:t>British Journal of General Practice</w:t>
      </w:r>
      <w:r w:rsidRPr="00C07BB7">
        <w:rPr>
          <w:rFonts w:cs="Arial"/>
        </w:rPr>
        <w:t xml:space="preserve">, 70(693), pp. e285-e293. </w:t>
      </w:r>
      <w:proofErr w:type="spellStart"/>
      <w:r w:rsidRPr="00C07BB7">
        <w:rPr>
          <w:rFonts w:cs="Arial"/>
        </w:rPr>
        <w:t>doi</w:t>
      </w:r>
      <w:proofErr w:type="spellEnd"/>
      <w:r w:rsidRPr="00C07BB7">
        <w:rPr>
          <w:rFonts w:cs="Arial"/>
        </w:rPr>
        <w:t>: https://doi.org/10.3399/bjgp20X708245.</w:t>
      </w:r>
    </w:p>
    <w:p w14:paraId="2FB7ECAE" w14:textId="77777777" w:rsidR="000E117B" w:rsidRPr="00C07BB7" w:rsidRDefault="000E117B" w:rsidP="00574EFA">
      <w:pPr>
        <w:pStyle w:val="TOC2"/>
        <w:numPr>
          <w:ilvl w:val="0"/>
          <w:numId w:val="14"/>
        </w:numPr>
        <w:rPr>
          <w:rFonts w:cs="Arial"/>
        </w:rPr>
      </w:pPr>
      <w:proofErr w:type="spellStart"/>
      <w:r w:rsidRPr="00C07BB7">
        <w:rPr>
          <w:rFonts w:cs="Arial"/>
        </w:rPr>
        <w:t>Honigberg</w:t>
      </w:r>
      <w:proofErr w:type="spellEnd"/>
      <w:r w:rsidRPr="00C07BB7">
        <w:rPr>
          <w:rFonts w:cs="Arial"/>
        </w:rPr>
        <w:t xml:space="preserve">, M.C., </w:t>
      </w:r>
      <w:proofErr w:type="spellStart"/>
      <w:r w:rsidRPr="00C07BB7">
        <w:rPr>
          <w:rFonts w:cs="Arial"/>
        </w:rPr>
        <w:t>Zekavat</w:t>
      </w:r>
      <w:proofErr w:type="spellEnd"/>
      <w:r w:rsidRPr="00C07BB7">
        <w:rPr>
          <w:rFonts w:cs="Arial"/>
        </w:rPr>
        <w:t xml:space="preserve">, S.M., Pirruccello, J.P., Natarajan, P. and Vaduganathan, M. (2021) 'Cardiovascular and kidney outcomes across the glycemic spectrum: insights from the UK Biobank', </w:t>
      </w:r>
      <w:r w:rsidRPr="00C07BB7">
        <w:rPr>
          <w:rFonts w:cs="Arial"/>
          <w:i/>
        </w:rPr>
        <w:t>Journal of the American College of Cardiology</w:t>
      </w:r>
      <w:r w:rsidRPr="00C07BB7">
        <w:rPr>
          <w:rFonts w:cs="Arial"/>
        </w:rPr>
        <w:t xml:space="preserve">, 78(5), pp. 453-464. </w:t>
      </w:r>
      <w:proofErr w:type="spellStart"/>
      <w:r w:rsidRPr="00C07BB7">
        <w:rPr>
          <w:rFonts w:cs="Arial"/>
        </w:rPr>
        <w:t>doi</w:t>
      </w:r>
      <w:proofErr w:type="spellEnd"/>
      <w:r w:rsidRPr="00C07BB7">
        <w:rPr>
          <w:rFonts w:cs="Arial"/>
        </w:rPr>
        <w:t>: https://doi.org/10.1016/j.jacc.2021.05.004.</w:t>
      </w:r>
    </w:p>
    <w:p w14:paraId="3DFF94E5" w14:textId="77777777" w:rsidR="000E117B" w:rsidRPr="00C07BB7" w:rsidRDefault="000E117B" w:rsidP="00574EFA">
      <w:pPr>
        <w:pStyle w:val="TOC2"/>
        <w:numPr>
          <w:ilvl w:val="0"/>
          <w:numId w:val="14"/>
        </w:numPr>
        <w:rPr>
          <w:rFonts w:cs="Arial"/>
        </w:rPr>
      </w:pPr>
      <w:r w:rsidRPr="00C07BB7">
        <w:rPr>
          <w:rFonts w:cs="Arial"/>
        </w:rPr>
        <w:t xml:space="preserve">Hull, K.L., </w:t>
      </w:r>
      <w:proofErr w:type="spellStart"/>
      <w:r w:rsidRPr="00C07BB7">
        <w:rPr>
          <w:rFonts w:cs="Arial"/>
        </w:rPr>
        <w:t>Reast</w:t>
      </w:r>
      <w:proofErr w:type="spellEnd"/>
      <w:r w:rsidRPr="00C07BB7">
        <w:rPr>
          <w:rFonts w:cs="Arial"/>
        </w:rPr>
        <w:t xml:space="preserve">, J., Clair, C., Kent, J., Moore, M., Pittaway, S., Revell, P. and Burton, J.O. (2024) ‘UK survey of patient and caregiver perspectives on the impact of chronic kidney disease-associated </w:t>
      </w:r>
      <w:proofErr w:type="spellStart"/>
      <w:r w:rsidRPr="00C07BB7">
        <w:rPr>
          <w:rFonts w:cs="Arial"/>
        </w:rPr>
        <w:t>anaemia</w:t>
      </w:r>
      <w:proofErr w:type="spellEnd"/>
      <w:r w:rsidRPr="00C07BB7">
        <w:rPr>
          <w:rFonts w:cs="Arial"/>
        </w:rPr>
        <w:t xml:space="preserve">’, </w:t>
      </w:r>
      <w:r w:rsidRPr="00C07BB7">
        <w:rPr>
          <w:rFonts w:cs="Arial"/>
          <w:i/>
        </w:rPr>
        <w:t>BMJ Open</w:t>
      </w:r>
      <w:r w:rsidRPr="00C07BB7">
        <w:rPr>
          <w:rFonts w:cs="Arial"/>
        </w:rPr>
        <w:t xml:space="preserve">, 14(8), e087802. </w:t>
      </w:r>
      <w:proofErr w:type="spellStart"/>
      <w:r w:rsidRPr="00C07BB7">
        <w:rPr>
          <w:rFonts w:cs="Arial"/>
        </w:rPr>
        <w:t>doi</w:t>
      </w:r>
      <w:proofErr w:type="spellEnd"/>
      <w:r w:rsidRPr="00C07BB7">
        <w:rPr>
          <w:rFonts w:cs="Arial"/>
        </w:rPr>
        <w:t>: https://doi.org/10.1136/bmjopen-2024-087802.</w:t>
      </w:r>
    </w:p>
    <w:p w14:paraId="10FFEC30" w14:textId="77777777" w:rsidR="000E117B" w:rsidRPr="00C07BB7" w:rsidRDefault="000E117B" w:rsidP="00574EFA">
      <w:pPr>
        <w:pStyle w:val="TOC2"/>
        <w:numPr>
          <w:ilvl w:val="0"/>
          <w:numId w:val="14"/>
        </w:numPr>
        <w:rPr>
          <w:rFonts w:cs="Arial"/>
        </w:rPr>
      </w:pPr>
      <w:r w:rsidRPr="00C07BB7">
        <w:rPr>
          <w:rFonts w:cs="Arial"/>
        </w:rPr>
        <w:t xml:space="preserve">Jani, B.D., Hanlon, P., Nicholl, B.I., </w:t>
      </w:r>
      <w:proofErr w:type="spellStart"/>
      <w:r w:rsidRPr="00C07BB7">
        <w:rPr>
          <w:rFonts w:cs="Arial"/>
        </w:rPr>
        <w:t>McQueenie</w:t>
      </w:r>
      <w:proofErr w:type="spellEnd"/>
      <w:r w:rsidRPr="00C07BB7">
        <w:rPr>
          <w:rFonts w:cs="Arial"/>
        </w:rPr>
        <w:t xml:space="preserve">, R., Gallacher, K.I., Lee, D. and Mair, F.S. (2019) 'Relationship between multimorbidity, demographic factors and mortality: findings from the UK Biobank cohort', </w:t>
      </w:r>
      <w:r w:rsidRPr="00C07BB7">
        <w:rPr>
          <w:rFonts w:cs="Arial"/>
          <w:i/>
        </w:rPr>
        <w:t>BMC Medicine</w:t>
      </w:r>
      <w:r w:rsidRPr="00C07BB7">
        <w:rPr>
          <w:rFonts w:cs="Arial"/>
        </w:rPr>
        <w:t xml:space="preserve">, 17(1), 74. </w:t>
      </w:r>
      <w:proofErr w:type="spellStart"/>
      <w:r w:rsidRPr="00C07BB7">
        <w:rPr>
          <w:rFonts w:cs="Arial"/>
        </w:rPr>
        <w:t>doi</w:t>
      </w:r>
      <w:proofErr w:type="spellEnd"/>
      <w:r w:rsidRPr="00C07BB7">
        <w:rPr>
          <w:rFonts w:cs="Arial"/>
        </w:rPr>
        <w:t>: https://doi.org/10.1186/s12916-019-1305-x.</w:t>
      </w:r>
    </w:p>
    <w:p w14:paraId="45149C7E" w14:textId="77777777" w:rsidR="000E117B" w:rsidRPr="00C07BB7" w:rsidRDefault="000E117B" w:rsidP="00574EFA">
      <w:pPr>
        <w:pStyle w:val="TOC2"/>
        <w:numPr>
          <w:ilvl w:val="0"/>
          <w:numId w:val="14"/>
        </w:numPr>
        <w:rPr>
          <w:rFonts w:cs="Arial"/>
        </w:rPr>
      </w:pPr>
      <w:r w:rsidRPr="00C07BB7">
        <w:rPr>
          <w:rFonts w:cs="Arial"/>
        </w:rPr>
        <w:t xml:space="preserve">Jansz, T.T., Young, K.G., Hopkins, R., McGovern, A.P., Shields, B.M., Hattersley, A.T., Jones, A.G., Pearson, E.R., Bingham, C., Oram, R.A., Dennis, J.M. and MASTERMIND Consortium (2026) ‘Precision medicine in type 2 diabetes: targeting SGLT2 inhibitor treatment for kidney protection’, </w:t>
      </w:r>
      <w:proofErr w:type="spellStart"/>
      <w:r w:rsidRPr="00C07BB7">
        <w:rPr>
          <w:rFonts w:cs="Arial"/>
          <w:i/>
        </w:rPr>
        <w:t>Diabetologia</w:t>
      </w:r>
      <w:proofErr w:type="spellEnd"/>
      <w:r w:rsidRPr="00C07BB7">
        <w:rPr>
          <w:rFonts w:cs="Arial"/>
        </w:rPr>
        <w:t>, 69(2), pp.374–385. doi:10.1007/s00125-025-06577-2.</w:t>
      </w:r>
    </w:p>
    <w:p w14:paraId="42C46A4F" w14:textId="77777777" w:rsidR="000E117B" w:rsidRPr="00574EFA" w:rsidRDefault="000E117B" w:rsidP="00574EFA">
      <w:pPr>
        <w:pStyle w:val="ListParagraph"/>
        <w:numPr>
          <w:ilvl w:val="0"/>
          <w:numId w:val="14"/>
        </w:numPr>
        <w:rPr>
          <w:rFonts w:cs="Arial"/>
        </w:rPr>
      </w:pPr>
      <w:r w:rsidRPr="00574EFA">
        <w:rPr>
          <w:rFonts w:cs="Arial"/>
        </w:rPr>
        <w:t xml:space="preserve">Jin, T., Wu, Y., Zhang, S., Peng, Y., Lin, Y., Zhou, S., Liu, H. and Yu, P. (2025) ‘The association between metabolomic profiles of lifestyle and the latent phase of incident chronic kidney disease in the UK population’, </w:t>
      </w:r>
      <w:r w:rsidRPr="00574EFA">
        <w:rPr>
          <w:rFonts w:cs="Arial"/>
          <w:i/>
          <w:iCs/>
        </w:rPr>
        <w:t>Scientific Reports</w:t>
      </w:r>
      <w:r w:rsidRPr="00574EFA">
        <w:rPr>
          <w:rFonts w:cs="Arial"/>
        </w:rPr>
        <w:t xml:space="preserve">, 15(1), 2299. doi:10.1038/s41598-025-86030-x. </w:t>
      </w:r>
    </w:p>
    <w:p w14:paraId="042F3F0E" w14:textId="77777777" w:rsidR="000E117B" w:rsidRPr="00C07BB7" w:rsidRDefault="000E117B" w:rsidP="00574EFA">
      <w:pPr>
        <w:pStyle w:val="TOC2"/>
        <w:numPr>
          <w:ilvl w:val="0"/>
          <w:numId w:val="14"/>
        </w:numPr>
        <w:rPr>
          <w:rFonts w:cs="Arial"/>
        </w:rPr>
      </w:pPr>
      <w:r w:rsidRPr="00C07BB7">
        <w:rPr>
          <w:rFonts w:cs="Arial"/>
        </w:rPr>
        <w:t xml:space="preserve">Jones, P., O’Keeffe, H., Major, R.W., Ritchie, J., Sanganee, N., Sinha, S. and Burton, J.O. (2025) ‘Implementing a model of integrated CKD management between primary and secondary care’, </w:t>
      </w:r>
      <w:r w:rsidRPr="00C07BB7">
        <w:rPr>
          <w:rFonts w:cs="Arial"/>
          <w:i/>
        </w:rPr>
        <w:t>Clinical Kidney Journal</w:t>
      </w:r>
      <w:r w:rsidRPr="00C07BB7">
        <w:rPr>
          <w:rFonts w:cs="Arial"/>
        </w:rPr>
        <w:t>, 19(1), p.sfaf335. doi:10.1093/</w:t>
      </w:r>
      <w:proofErr w:type="spellStart"/>
      <w:r w:rsidRPr="00C07BB7">
        <w:rPr>
          <w:rFonts w:cs="Arial"/>
        </w:rPr>
        <w:t>ckj</w:t>
      </w:r>
      <w:proofErr w:type="spellEnd"/>
      <w:r w:rsidRPr="00C07BB7">
        <w:rPr>
          <w:rFonts w:cs="Arial"/>
        </w:rPr>
        <w:t>/sfaf335.</w:t>
      </w:r>
    </w:p>
    <w:p w14:paraId="2392B436" w14:textId="77777777" w:rsidR="000E117B" w:rsidRPr="00C07BB7" w:rsidRDefault="000E117B" w:rsidP="00574EFA">
      <w:pPr>
        <w:pStyle w:val="TOC2"/>
        <w:numPr>
          <w:ilvl w:val="0"/>
          <w:numId w:val="14"/>
        </w:numPr>
        <w:rPr>
          <w:rFonts w:cs="Arial"/>
        </w:rPr>
      </w:pPr>
      <w:proofErr w:type="spellStart"/>
      <w:r w:rsidRPr="00C07BB7">
        <w:rPr>
          <w:rFonts w:cs="Arial"/>
        </w:rPr>
        <w:t>Kaklamanou</w:t>
      </w:r>
      <w:proofErr w:type="spellEnd"/>
      <w:r w:rsidRPr="00C07BB7">
        <w:rPr>
          <w:rFonts w:cs="Arial"/>
        </w:rPr>
        <w:t>, D., Nguyen, L., Al-</w:t>
      </w:r>
      <w:proofErr w:type="spellStart"/>
      <w:r w:rsidRPr="00C07BB7">
        <w:rPr>
          <w:rFonts w:cs="Arial"/>
        </w:rPr>
        <w:t>Abbadey</w:t>
      </w:r>
      <w:proofErr w:type="spellEnd"/>
      <w:r w:rsidRPr="00C07BB7">
        <w:rPr>
          <w:rFonts w:cs="Arial"/>
        </w:rPr>
        <w:t xml:space="preserve">, M., </w:t>
      </w:r>
      <w:proofErr w:type="spellStart"/>
      <w:r w:rsidRPr="00C07BB7">
        <w:rPr>
          <w:rFonts w:cs="Arial"/>
        </w:rPr>
        <w:t>Sangala</w:t>
      </w:r>
      <w:proofErr w:type="spellEnd"/>
      <w:r w:rsidRPr="00C07BB7">
        <w:rPr>
          <w:rFonts w:cs="Arial"/>
        </w:rPr>
        <w:t xml:space="preserve">, N. and Lewis, R. (2024) ‘Attitudes towards digital health technology for the care of people with chronic kidney disease: a technology acceptance model exploration’, </w:t>
      </w:r>
      <w:r w:rsidRPr="00C07BB7">
        <w:rPr>
          <w:rFonts w:cs="Arial"/>
          <w:i/>
        </w:rPr>
        <w:t>PLOS Digital Health</w:t>
      </w:r>
      <w:r w:rsidRPr="00C07BB7">
        <w:rPr>
          <w:rFonts w:cs="Arial"/>
        </w:rPr>
        <w:t xml:space="preserve">, 3(10), e0000614. </w:t>
      </w:r>
      <w:proofErr w:type="spellStart"/>
      <w:r w:rsidRPr="00C07BB7">
        <w:rPr>
          <w:rFonts w:cs="Arial"/>
        </w:rPr>
        <w:t>doi</w:t>
      </w:r>
      <w:proofErr w:type="spellEnd"/>
      <w:r w:rsidRPr="00C07BB7">
        <w:rPr>
          <w:rFonts w:cs="Arial"/>
        </w:rPr>
        <w:t>: https://doi.org/10.1371/journal.pdig.0000614.</w:t>
      </w:r>
    </w:p>
    <w:p w14:paraId="4E1830F7" w14:textId="77777777" w:rsidR="000E117B" w:rsidRPr="00C07BB7" w:rsidRDefault="000E117B" w:rsidP="00574EFA">
      <w:pPr>
        <w:pStyle w:val="TOC2"/>
        <w:numPr>
          <w:ilvl w:val="0"/>
          <w:numId w:val="14"/>
        </w:numPr>
        <w:rPr>
          <w:rFonts w:cs="Arial"/>
        </w:rPr>
      </w:pPr>
      <w:r w:rsidRPr="00C07BB7">
        <w:rPr>
          <w:rFonts w:cs="Arial"/>
        </w:rPr>
        <w:t>Kidney Research UK (2023) Kidney disease: a UK public health emergency. Available at: https://www.kidneyresearchuk.org/wp-content/uploads/2023/06/Economics-of-Kidney-Disease-full-report_accessible.pdf.</w:t>
      </w:r>
    </w:p>
    <w:p w14:paraId="111B5A29" w14:textId="77777777" w:rsidR="000E117B" w:rsidRPr="00C07BB7" w:rsidRDefault="000E117B" w:rsidP="00574EFA">
      <w:pPr>
        <w:pStyle w:val="TOC2"/>
        <w:numPr>
          <w:ilvl w:val="0"/>
          <w:numId w:val="14"/>
        </w:numPr>
        <w:rPr>
          <w:rFonts w:cs="Arial"/>
        </w:rPr>
      </w:pPr>
      <w:r w:rsidRPr="00C07BB7">
        <w:rPr>
          <w:rFonts w:cs="Arial"/>
        </w:rPr>
        <w:t xml:space="preserve">Kim, H.J., Koh, H.B., Jung, C.-Y., Kim, H.W., Park, J.T., Chang, T.I., Yoo, T.-H., Kang, S.-W. and Han, S.H. (2026) ‘Association between Mediterranean lifestyle and lower risk of chronic kidney disease: a population-based prospective study’, </w:t>
      </w:r>
      <w:r w:rsidRPr="00C07BB7">
        <w:rPr>
          <w:rFonts w:cs="Arial"/>
          <w:i/>
        </w:rPr>
        <w:t>Mayo Clinic Proceedings</w:t>
      </w:r>
      <w:r w:rsidRPr="00C07BB7">
        <w:rPr>
          <w:rFonts w:cs="Arial"/>
        </w:rPr>
        <w:t>, 101(1), pp.49–62. doi:10.1016/j.mayocp.2025.05.031.</w:t>
      </w:r>
    </w:p>
    <w:p w14:paraId="615E95FC" w14:textId="77777777" w:rsidR="000E117B" w:rsidRPr="00C07BB7" w:rsidRDefault="000E117B" w:rsidP="00574EFA">
      <w:pPr>
        <w:pStyle w:val="TOC2"/>
        <w:numPr>
          <w:ilvl w:val="0"/>
          <w:numId w:val="14"/>
        </w:numPr>
        <w:rPr>
          <w:rFonts w:cs="Arial"/>
        </w:rPr>
      </w:pPr>
      <w:r w:rsidRPr="00C07BB7">
        <w:rPr>
          <w:rFonts w:cs="Arial"/>
        </w:rPr>
        <w:t xml:space="preserve">Kim, K., Cho, W.-H., Hwang, S.D., Lee, S.W. and Song, J.H. (2024) ‘Association between constipation and incident chronic kidney disease in the UK Biobank study’, </w:t>
      </w:r>
      <w:r w:rsidRPr="00C07BB7">
        <w:rPr>
          <w:rFonts w:cs="Arial"/>
          <w:i/>
        </w:rPr>
        <w:t>Scientific Reports</w:t>
      </w:r>
      <w:r w:rsidRPr="00C07BB7">
        <w:rPr>
          <w:rFonts w:cs="Arial"/>
        </w:rPr>
        <w:t xml:space="preserve">, 14. </w:t>
      </w:r>
      <w:proofErr w:type="spellStart"/>
      <w:r w:rsidRPr="00C07BB7">
        <w:rPr>
          <w:rFonts w:cs="Arial"/>
        </w:rPr>
        <w:t>doi</w:t>
      </w:r>
      <w:proofErr w:type="spellEnd"/>
      <w:r w:rsidRPr="00C07BB7">
        <w:rPr>
          <w:rFonts w:cs="Arial"/>
        </w:rPr>
        <w:t>: https://doi.org/10.1038/s41598-024-83855-w.</w:t>
      </w:r>
    </w:p>
    <w:p w14:paraId="04ACBC24" w14:textId="77777777" w:rsidR="000E117B" w:rsidRPr="00C07BB7" w:rsidRDefault="000E117B" w:rsidP="00574EFA">
      <w:pPr>
        <w:pStyle w:val="TOC2"/>
        <w:numPr>
          <w:ilvl w:val="0"/>
          <w:numId w:val="14"/>
        </w:numPr>
        <w:rPr>
          <w:rFonts w:cs="Arial"/>
        </w:rPr>
      </w:pPr>
      <w:r w:rsidRPr="00C07BB7">
        <w:rPr>
          <w:rFonts w:cs="Arial"/>
        </w:rPr>
        <w:t xml:space="preserve">Kim, L.G., Cleary, F., Wheeler, D.C., Caplin, B., Nitsch, D., Hull, S.A. and UK National Chronic Kidney Disease Audit (2018) 'How do primary care doctors in England and Wales code and manage people with chronic kidney disease? Results from the National Chronic Kidney Disease Audit', </w:t>
      </w:r>
      <w:r w:rsidRPr="00C07BB7">
        <w:rPr>
          <w:rFonts w:cs="Arial"/>
          <w:i/>
        </w:rPr>
        <w:t>Nephrology Dialysis Transplantation</w:t>
      </w:r>
      <w:r w:rsidRPr="00C07BB7">
        <w:rPr>
          <w:rFonts w:cs="Arial"/>
        </w:rPr>
        <w:t xml:space="preserve">, 33(8), pp. 1373-1379. </w:t>
      </w:r>
      <w:proofErr w:type="spellStart"/>
      <w:r w:rsidRPr="00C07BB7">
        <w:rPr>
          <w:rFonts w:cs="Arial"/>
        </w:rPr>
        <w:t>doi</w:t>
      </w:r>
      <w:proofErr w:type="spellEnd"/>
      <w:r w:rsidRPr="00C07BB7">
        <w:rPr>
          <w:rFonts w:cs="Arial"/>
        </w:rPr>
        <w:t>: https://doi.org/10.1093/ndt/gfx280.</w:t>
      </w:r>
    </w:p>
    <w:p w14:paraId="71BA7184" w14:textId="77777777" w:rsidR="000E117B" w:rsidRPr="00C07BB7" w:rsidRDefault="000E117B" w:rsidP="00574EFA">
      <w:pPr>
        <w:pStyle w:val="TOC2"/>
        <w:numPr>
          <w:ilvl w:val="0"/>
          <w:numId w:val="14"/>
        </w:numPr>
        <w:rPr>
          <w:rFonts w:cs="Arial"/>
        </w:rPr>
      </w:pPr>
      <w:r w:rsidRPr="00C07BB7">
        <w:rPr>
          <w:rFonts w:cs="Arial"/>
        </w:rPr>
        <w:t xml:space="preserve">Koh, H.B., Kim, H.J., Heo, G.Y., Kim, H.W., Jung, C.-Y., Han, S.H., Yoo, T.-H., Kang, S.-W. and Park, J.T. (2024) ‘Association between dietary magnesium intake and incident chronic kidney disease: a prospective observational cohort study’, </w:t>
      </w:r>
      <w:r w:rsidRPr="00C07BB7">
        <w:rPr>
          <w:rFonts w:cs="Arial"/>
          <w:i/>
        </w:rPr>
        <w:t>The American Journal of Clinical Nutrition</w:t>
      </w:r>
      <w:r w:rsidRPr="00C07BB7">
        <w:rPr>
          <w:rFonts w:cs="Arial"/>
        </w:rPr>
        <w:t>, 120(4), pp.964–972. doi:10.1016/j.ajcnut.2024.08.009.</w:t>
      </w:r>
    </w:p>
    <w:p w14:paraId="18A1B6E3" w14:textId="77777777" w:rsidR="000E117B" w:rsidRPr="00C07BB7" w:rsidRDefault="000E117B" w:rsidP="00574EFA">
      <w:pPr>
        <w:pStyle w:val="TOC2"/>
        <w:numPr>
          <w:ilvl w:val="0"/>
          <w:numId w:val="14"/>
        </w:numPr>
        <w:rPr>
          <w:rFonts w:cs="Arial"/>
        </w:rPr>
      </w:pPr>
      <w:proofErr w:type="spellStart"/>
      <w:r w:rsidRPr="00C07BB7">
        <w:rPr>
          <w:rFonts w:cs="Arial"/>
        </w:rPr>
        <w:t>Korsa</w:t>
      </w:r>
      <w:proofErr w:type="spellEnd"/>
      <w:r w:rsidRPr="00C07BB7">
        <w:rPr>
          <w:rFonts w:cs="Arial"/>
        </w:rPr>
        <w:t xml:space="preserve">, A., Tesfaye, W., Sud, K., Krass, I. and Castelino, R. (2025) ‘Risk factor-based screening for early detection of chronic kidney disease in primary care settings: a systematic review’, </w:t>
      </w:r>
      <w:r w:rsidRPr="00C07BB7">
        <w:rPr>
          <w:rFonts w:cs="Arial"/>
          <w:i/>
        </w:rPr>
        <w:t>Kidney Medicine</w:t>
      </w:r>
      <w:r w:rsidRPr="00C07BB7">
        <w:rPr>
          <w:rFonts w:cs="Arial"/>
        </w:rPr>
        <w:t xml:space="preserve">, 7(4), 100979. </w:t>
      </w:r>
      <w:proofErr w:type="spellStart"/>
      <w:r w:rsidRPr="00C07BB7">
        <w:rPr>
          <w:rFonts w:cs="Arial"/>
        </w:rPr>
        <w:t>doi</w:t>
      </w:r>
      <w:proofErr w:type="spellEnd"/>
      <w:r w:rsidRPr="00C07BB7">
        <w:rPr>
          <w:rFonts w:cs="Arial"/>
        </w:rPr>
        <w:t>: https://doi.org/10.1016/j.xkme.2025.100979.</w:t>
      </w:r>
    </w:p>
    <w:p w14:paraId="0EF1E587" w14:textId="77777777" w:rsidR="000E117B" w:rsidRPr="00C07BB7" w:rsidRDefault="000E117B" w:rsidP="00574EFA">
      <w:pPr>
        <w:pStyle w:val="TOC2"/>
        <w:numPr>
          <w:ilvl w:val="0"/>
          <w:numId w:val="14"/>
        </w:numPr>
        <w:rPr>
          <w:rFonts w:cs="Arial"/>
        </w:rPr>
      </w:pPr>
      <w:r w:rsidRPr="00C07BB7">
        <w:rPr>
          <w:rFonts w:cs="Arial"/>
        </w:rPr>
        <w:t xml:space="preserve">Lan, R. et al. (2023) ‘Secondhand smoke, genetic susceptibility, and incident chronic kidney disease in never smokers: a prospective study of a selected population from the UK Biobank’, </w:t>
      </w:r>
      <w:r w:rsidRPr="00C07BB7">
        <w:rPr>
          <w:rFonts w:cs="Arial"/>
          <w:i/>
        </w:rPr>
        <w:t>Tobacco Induced Diseases</w:t>
      </w:r>
      <w:r w:rsidRPr="00C07BB7">
        <w:rPr>
          <w:rFonts w:cs="Arial"/>
        </w:rPr>
        <w:t>, 21, 58. doi:10.18332/</w:t>
      </w:r>
      <w:proofErr w:type="spellStart"/>
      <w:r w:rsidRPr="00C07BB7">
        <w:rPr>
          <w:rFonts w:cs="Arial"/>
        </w:rPr>
        <w:t>tid</w:t>
      </w:r>
      <w:proofErr w:type="spellEnd"/>
      <w:r w:rsidRPr="00C07BB7">
        <w:rPr>
          <w:rFonts w:cs="Arial"/>
        </w:rPr>
        <w:t>/162607.</w:t>
      </w:r>
    </w:p>
    <w:p w14:paraId="70FF3552" w14:textId="77777777" w:rsidR="000E117B" w:rsidRPr="00C07BB7" w:rsidRDefault="000E117B" w:rsidP="00574EFA">
      <w:pPr>
        <w:pStyle w:val="TOC2"/>
        <w:numPr>
          <w:ilvl w:val="0"/>
          <w:numId w:val="14"/>
        </w:numPr>
        <w:rPr>
          <w:rFonts w:cs="Arial"/>
        </w:rPr>
      </w:pPr>
      <w:r w:rsidRPr="00C07BB7">
        <w:rPr>
          <w:rFonts w:cs="Arial"/>
        </w:rPr>
        <w:t xml:space="preserve">Lees, J.S., Rutherford, E., Stevens, K.I., Chen, D.C., Scherzer, R., Estrella, M.M., Sullivan, M.K., Ebert, N., Mark, P.B. and Shlipak, M.G. (2022) 'Assessment of cystatin C level for risk stratification in adults with chronic kidney disease', </w:t>
      </w:r>
      <w:r w:rsidRPr="00C07BB7">
        <w:rPr>
          <w:rFonts w:cs="Arial"/>
          <w:i/>
        </w:rPr>
        <w:t>JAMA Network Open</w:t>
      </w:r>
      <w:r w:rsidRPr="00C07BB7">
        <w:rPr>
          <w:rFonts w:cs="Arial"/>
        </w:rPr>
        <w:t xml:space="preserve">, 5(10), e2238300. </w:t>
      </w:r>
      <w:proofErr w:type="spellStart"/>
      <w:r w:rsidRPr="00C07BB7">
        <w:rPr>
          <w:rFonts w:cs="Arial"/>
        </w:rPr>
        <w:t>doi</w:t>
      </w:r>
      <w:proofErr w:type="spellEnd"/>
      <w:r w:rsidRPr="00C07BB7">
        <w:rPr>
          <w:rFonts w:cs="Arial"/>
        </w:rPr>
        <w:t>: https://doi.org/10.1001/jamanetworkopen.2022.38300.</w:t>
      </w:r>
    </w:p>
    <w:p w14:paraId="09AD7D5C" w14:textId="77777777" w:rsidR="000E117B" w:rsidRPr="00C07BB7" w:rsidRDefault="000E117B" w:rsidP="00574EFA">
      <w:pPr>
        <w:pStyle w:val="TOC2"/>
        <w:numPr>
          <w:ilvl w:val="0"/>
          <w:numId w:val="14"/>
        </w:numPr>
        <w:rPr>
          <w:rFonts w:cs="Arial"/>
        </w:rPr>
      </w:pPr>
      <w:r w:rsidRPr="00C07BB7">
        <w:rPr>
          <w:rFonts w:cs="Arial"/>
        </w:rPr>
        <w:t xml:space="preserve">Lees, J.S., Welsh, C.E., Celis-Morales, C.A., Mackay, D., Lewsey, J., Gray, S.R., Lyall, D.M., Cleland, J.G., Gill, J.M.R., </w:t>
      </w:r>
      <w:proofErr w:type="spellStart"/>
      <w:r w:rsidRPr="00C07BB7">
        <w:rPr>
          <w:rFonts w:cs="Arial"/>
        </w:rPr>
        <w:t>Jhund</w:t>
      </w:r>
      <w:proofErr w:type="spellEnd"/>
      <w:r w:rsidRPr="00C07BB7">
        <w:rPr>
          <w:rFonts w:cs="Arial"/>
        </w:rPr>
        <w:t xml:space="preserve">, P.S., Pell, J., Sattar, N., Welsh, P. and Mark, P.B. (2019) 'Glomerular filtration rate by differing measures, albuminuria and prediction of cardiovascular disease, mortality and end-stage kidney disease', </w:t>
      </w:r>
      <w:r w:rsidRPr="00C07BB7">
        <w:rPr>
          <w:rFonts w:cs="Arial"/>
          <w:i/>
        </w:rPr>
        <w:t>Nature Medicine</w:t>
      </w:r>
      <w:r w:rsidRPr="00C07BB7">
        <w:rPr>
          <w:rFonts w:cs="Arial"/>
        </w:rPr>
        <w:t xml:space="preserve">, 25(11), pp. 1753-1760. </w:t>
      </w:r>
      <w:proofErr w:type="spellStart"/>
      <w:r w:rsidRPr="00C07BB7">
        <w:rPr>
          <w:rFonts w:cs="Arial"/>
        </w:rPr>
        <w:t>doi</w:t>
      </w:r>
      <w:proofErr w:type="spellEnd"/>
      <w:r w:rsidRPr="00C07BB7">
        <w:rPr>
          <w:rFonts w:cs="Arial"/>
        </w:rPr>
        <w:t>: https://doi.org/10.1038/s41591-019-0627-8.</w:t>
      </w:r>
    </w:p>
    <w:p w14:paraId="5FAEDB8E" w14:textId="77777777" w:rsidR="000E117B" w:rsidRPr="00C07BB7" w:rsidRDefault="000E117B" w:rsidP="00574EFA">
      <w:pPr>
        <w:pStyle w:val="TOC2"/>
        <w:numPr>
          <w:ilvl w:val="0"/>
          <w:numId w:val="14"/>
        </w:numPr>
        <w:rPr>
          <w:rFonts w:cs="Arial"/>
        </w:rPr>
      </w:pPr>
      <w:r w:rsidRPr="00C07BB7">
        <w:rPr>
          <w:rFonts w:cs="Arial"/>
        </w:rPr>
        <w:t xml:space="preserve">Levin, A., Ahmed, S.B., Carrero, J.J., Foster, B., Francis, A., Hall, R.K., Herrington, W.G., Hill, G., Inker, L.A., </w:t>
      </w:r>
      <w:proofErr w:type="spellStart"/>
      <w:r w:rsidRPr="00C07BB7">
        <w:rPr>
          <w:rFonts w:cs="Arial"/>
        </w:rPr>
        <w:t>Kazancıoğlu</w:t>
      </w:r>
      <w:proofErr w:type="spellEnd"/>
      <w:r w:rsidRPr="00C07BB7">
        <w:rPr>
          <w:rFonts w:cs="Arial"/>
        </w:rPr>
        <w:t xml:space="preserve">, R. and others (2024) ‘Executive summary of the KDIGO 2024 clinical practice guideline for the evaluation and management of chronic kidney disease’, </w:t>
      </w:r>
      <w:r w:rsidRPr="00C07BB7">
        <w:rPr>
          <w:rFonts w:cs="Arial"/>
          <w:i/>
        </w:rPr>
        <w:t>Kidney International</w:t>
      </w:r>
      <w:r w:rsidRPr="00C07BB7">
        <w:rPr>
          <w:rFonts w:cs="Arial"/>
        </w:rPr>
        <w:t xml:space="preserve">, 105(4), pp. 684–701. </w:t>
      </w:r>
      <w:proofErr w:type="spellStart"/>
      <w:r w:rsidRPr="00C07BB7">
        <w:rPr>
          <w:rFonts w:cs="Arial"/>
        </w:rPr>
        <w:t>doi</w:t>
      </w:r>
      <w:proofErr w:type="spellEnd"/>
      <w:r w:rsidRPr="00C07BB7">
        <w:rPr>
          <w:rFonts w:cs="Arial"/>
        </w:rPr>
        <w:t>: https://doi.org/10.1016/j.kint.2023.10.016.</w:t>
      </w:r>
    </w:p>
    <w:p w14:paraId="5229CC13" w14:textId="77777777" w:rsidR="000E117B" w:rsidRPr="00C07BB7" w:rsidRDefault="000E117B" w:rsidP="00574EFA">
      <w:pPr>
        <w:pStyle w:val="TOC2"/>
        <w:numPr>
          <w:ilvl w:val="0"/>
          <w:numId w:val="14"/>
        </w:numPr>
        <w:rPr>
          <w:rFonts w:cs="Arial"/>
        </w:rPr>
      </w:pPr>
      <w:r w:rsidRPr="00C07BB7">
        <w:rPr>
          <w:rFonts w:cs="Arial"/>
        </w:rPr>
        <w:t xml:space="preserve">Li, H., Li, C., Zhang, C., Ying, Z., Wu, C., Zeng, X. and Bao, J. (2025) ‘Psychiatric disorders and following risk of chronic kidney disease: a prospective cohort study from UK Biobank’, </w:t>
      </w:r>
      <w:r w:rsidRPr="00C07BB7">
        <w:rPr>
          <w:rFonts w:cs="Arial"/>
          <w:i/>
        </w:rPr>
        <w:t>BMC Psychiatry</w:t>
      </w:r>
      <w:r w:rsidRPr="00C07BB7">
        <w:rPr>
          <w:rFonts w:cs="Arial"/>
        </w:rPr>
        <w:t xml:space="preserve">, 25(1). </w:t>
      </w:r>
      <w:proofErr w:type="spellStart"/>
      <w:r w:rsidRPr="00C07BB7">
        <w:rPr>
          <w:rFonts w:cs="Arial"/>
        </w:rPr>
        <w:t>doi</w:t>
      </w:r>
      <w:proofErr w:type="spellEnd"/>
      <w:r w:rsidRPr="00C07BB7">
        <w:rPr>
          <w:rFonts w:cs="Arial"/>
        </w:rPr>
        <w:t>: https://doi.org/10.1186/s12888-024-06461-0.</w:t>
      </w:r>
    </w:p>
    <w:p w14:paraId="2886C78D" w14:textId="77777777" w:rsidR="000E117B" w:rsidRPr="00C07BB7" w:rsidRDefault="000E117B" w:rsidP="00574EFA">
      <w:pPr>
        <w:pStyle w:val="TOC2"/>
        <w:numPr>
          <w:ilvl w:val="0"/>
          <w:numId w:val="14"/>
        </w:numPr>
        <w:rPr>
          <w:rFonts w:cs="Arial"/>
        </w:rPr>
      </w:pPr>
      <w:r w:rsidRPr="00C07BB7">
        <w:rPr>
          <w:rFonts w:cs="Arial"/>
        </w:rPr>
        <w:t xml:space="preserve">Li, H., Li, C., Zhang, C., Ying, Z., Wu, C., Zeng, X. and Bao, J. (2025) ‘Psychiatric disorders and following risk of chronic kidney disease: a prospective cohort study from UK Biobank’, </w:t>
      </w:r>
      <w:r w:rsidRPr="00C07BB7">
        <w:rPr>
          <w:rFonts w:cs="Arial"/>
          <w:i/>
        </w:rPr>
        <w:t>BMC Psychiatry</w:t>
      </w:r>
      <w:r w:rsidRPr="00C07BB7">
        <w:rPr>
          <w:rFonts w:cs="Arial"/>
        </w:rPr>
        <w:t>, 25, 109. doi:10.1186/s12888-024-06461-0.</w:t>
      </w:r>
    </w:p>
    <w:p w14:paraId="55A22D1C" w14:textId="77777777" w:rsidR="000E117B" w:rsidRPr="00C07BB7" w:rsidRDefault="000E117B" w:rsidP="00574EFA">
      <w:pPr>
        <w:pStyle w:val="TOC2"/>
        <w:numPr>
          <w:ilvl w:val="0"/>
          <w:numId w:val="14"/>
        </w:numPr>
        <w:rPr>
          <w:rFonts w:cs="Arial"/>
        </w:rPr>
      </w:pPr>
      <w:r w:rsidRPr="00C07BB7">
        <w:rPr>
          <w:rFonts w:cs="Arial"/>
        </w:rPr>
        <w:t xml:space="preserve">Lightfoot, C.J., Wilkinson, T.J., Graham-Brown, M.P.M. and Smith, A.C. (2025) ‘Supporting people with chronic kidney disease to self-manage their condition: understanding the lived experiences, needs and requirements, and barriers and facilitators’, </w:t>
      </w:r>
      <w:r w:rsidRPr="00C07BB7">
        <w:rPr>
          <w:rFonts w:cs="Arial"/>
          <w:i/>
        </w:rPr>
        <w:t>Journal of Nephrology</w:t>
      </w:r>
      <w:r w:rsidRPr="00C07BB7">
        <w:rPr>
          <w:rFonts w:cs="Arial"/>
        </w:rPr>
        <w:t>, 38(7), pp. 1969–1984. doi:10.1007/s40620-025-02349-8.</w:t>
      </w:r>
    </w:p>
    <w:p w14:paraId="49A9708D" w14:textId="77777777" w:rsidR="000E117B" w:rsidRPr="00574EFA" w:rsidRDefault="000E117B" w:rsidP="00574EFA">
      <w:pPr>
        <w:pStyle w:val="ListParagraph"/>
        <w:numPr>
          <w:ilvl w:val="0"/>
          <w:numId w:val="14"/>
        </w:numPr>
        <w:rPr>
          <w:rFonts w:cs="Arial"/>
        </w:rPr>
      </w:pPr>
      <w:r w:rsidRPr="00574EFA">
        <w:rPr>
          <w:rFonts w:cs="Arial"/>
        </w:rPr>
        <w:t xml:space="preserve">Lin, X., </w:t>
      </w:r>
      <w:proofErr w:type="spellStart"/>
      <w:r w:rsidRPr="00574EFA">
        <w:rPr>
          <w:rFonts w:cs="Arial"/>
        </w:rPr>
        <w:t>Lv</w:t>
      </w:r>
      <w:proofErr w:type="spellEnd"/>
      <w:r w:rsidRPr="00574EFA">
        <w:rPr>
          <w:rFonts w:cs="Arial"/>
        </w:rPr>
        <w:t xml:space="preserve">, J., Zhang, S., Ma, X., Zhang, X., Wang, C. and Zhang, T. (2024) ‘Healthy lifestyle behaviors attenuate the effect of poor sleep patterns on chronic kidney disease risk: a prospective study from the UK Biobank’, </w:t>
      </w:r>
      <w:r w:rsidRPr="00574EFA">
        <w:rPr>
          <w:rFonts w:cs="Arial"/>
          <w:i/>
          <w:iCs/>
        </w:rPr>
        <w:t>Nutrients</w:t>
      </w:r>
      <w:r w:rsidRPr="00574EFA">
        <w:rPr>
          <w:rFonts w:cs="Arial"/>
        </w:rPr>
        <w:t xml:space="preserve">, 16(23), 4238. doi:10.3390/nu16234238. </w:t>
      </w:r>
    </w:p>
    <w:p w14:paraId="044FA1D9" w14:textId="77777777" w:rsidR="000E117B" w:rsidRPr="00C07BB7" w:rsidRDefault="000E117B" w:rsidP="00574EFA">
      <w:pPr>
        <w:pStyle w:val="TOC2"/>
        <w:numPr>
          <w:ilvl w:val="0"/>
          <w:numId w:val="14"/>
        </w:numPr>
        <w:rPr>
          <w:rFonts w:cs="Arial"/>
        </w:rPr>
      </w:pPr>
      <w:r w:rsidRPr="00C07BB7">
        <w:rPr>
          <w:rFonts w:cs="Arial"/>
        </w:rPr>
        <w:t xml:space="preserve">Lindemann, C.H., Medcalf, J., Hollinshead, J. and Nitsch, D. (2025) ‘The association between coding for chronic kidney disease and kidney replacement therapy incidence at CCG-level in England: an ecological study’, </w:t>
      </w:r>
      <w:r w:rsidRPr="00C07BB7">
        <w:rPr>
          <w:rFonts w:cs="Arial"/>
          <w:i/>
        </w:rPr>
        <w:t>BJGP Open</w:t>
      </w:r>
      <w:r w:rsidRPr="00C07BB7">
        <w:rPr>
          <w:rFonts w:cs="Arial"/>
        </w:rPr>
        <w:t>, 9(3), p.BJGPO.2024.0171. doi:10.3399/BJGPO.2024.0171.</w:t>
      </w:r>
    </w:p>
    <w:p w14:paraId="7E00C663" w14:textId="77777777" w:rsidR="000E117B" w:rsidRPr="00C07BB7" w:rsidRDefault="000E117B" w:rsidP="00574EFA">
      <w:pPr>
        <w:pStyle w:val="TOC2"/>
        <w:numPr>
          <w:ilvl w:val="0"/>
          <w:numId w:val="14"/>
        </w:numPr>
        <w:rPr>
          <w:rFonts w:cs="Arial"/>
        </w:rPr>
      </w:pPr>
      <w:r w:rsidRPr="00C07BB7">
        <w:rPr>
          <w:rFonts w:cs="Arial"/>
        </w:rPr>
        <w:t xml:space="preserve">Liu, H., Wang, Z., Zhou, S., Lin, Y., Ma, G., Zhang, R. and Yu, P. (2026) ‘Association of physical activity with incident chronic kidney disease in patients with cardiovascular metabolic disease: a UK Biobank observational study’, </w:t>
      </w:r>
      <w:r w:rsidRPr="00C07BB7">
        <w:rPr>
          <w:rFonts w:cs="Arial"/>
          <w:i/>
        </w:rPr>
        <w:t>Journal of Science and Medicine in Sport</w:t>
      </w:r>
      <w:r w:rsidRPr="00C07BB7">
        <w:rPr>
          <w:rFonts w:cs="Arial"/>
        </w:rPr>
        <w:t>, 29(1), pp.69–78. doi:10.1016/j.jsams.2025.08.020.</w:t>
      </w:r>
    </w:p>
    <w:p w14:paraId="7EC7CBE2" w14:textId="77777777" w:rsidR="000E117B" w:rsidRPr="00C07BB7" w:rsidRDefault="000E117B" w:rsidP="00574EFA">
      <w:pPr>
        <w:pStyle w:val="TOC2"/>
        <w:numPr>
          <w:ilvl w:val="0"/>
          <w:numId w:val="14"/>
        </w:numPr>
        <w:rPr>
          <w:rFonts w:cs="Arial"/>
        </w:rPr>
      </w:pPr>
      <w:r w:rsidRPr="00C07BB7">
        <w:rPr>
          <w:rFonts w:cs="Arial"/>
        </w:rPr>
        <w:t xml:space="preserve">Liu, M., Ye, Z., He, P., Yang, S., Zhang, Y., Zhou, C., Zhang, Y., Gan, X. and Qin, X. (2023) 'Relations of residential green and blue spaces with new-onset chronic kidney disease', </w:t>
      </w:r>
      <w:r w:rsidRPr="00C07BB7">
        <w:rPr>
          <w:rFonts w:cs="Arial"/>
          <w:i/>
        </w:rPr>
        <w:t>Science of the Total Environment</w:t>
      </w:r>
      <w:r w:rsidRPr="00C07BB7">
        <w:rPr>
          <w:rFonts w:cs="Arial"/>
        </w:rPr>
        <w:t xml:space="preserve">, 869, 161788. </w:t>
      </w:r>
      <w:proofErr w:type="spellStart"/>
      <w:r w:rsidRPr="00C07BB7">
        <w:rPr>
          <w:rFonts w:cs="Arial"/>
        </w:rPr>
        <w:t>doi</w:t>
      </w:r>
      <w:proofErr w:type="spellEnd"/>
      <w:r w:rsidRPr="00C07BB7">
        <w:rPr>
          <w:rFonts w:cs="Arial"/>
        </w:rPr>
        <w:t>: https://doi.org/10.1016/j.scitotenv.2023.161788.</w:t>
      </w:r>
    </w:p>
    <w:p w14:paraId="51E58A1F" w14:textId="77777777" w:rsidR="000E117B" w:rsidRPr="00574EFA" w:rsidRDefault="000E117B" w:rsidP="00574EFA">
      <w:pPr>
        <w:pStyle w:val="ListParagraph"/>
        <w:numPr>
          <w:ilvl w:val="0"/>
          <w:numId w:val="14"/>
        </w:numPr>
        <w:rPr>
          <w:rFonts w:cs="Arial"/>
        </w:rPr>
      </w:pPr>
      <w:r w:rsidRPr="00574EFA">
        <w:rPr>
          <w:rFonts w:cs="Arial"/>
        </w:rPr>
        <w:t xml:space="preserve">Liu, Q., Celis-Morales, C., Lees, J.S., Sattar, N., Ho, F.K., Pell, J.P., Mark, P.B. and Welsh, P. (2024) ‘Change in physical activity and its association with decline in kidney function: a UK Biobank-based cohort study’, </w:t>
      </w:r>
      <w:r w:rsidRPr="00574EFA">
        <w:rPr>
          <w:rFonts w:cs="Arial"/>
          <w:i/>
          <w:iCs/>
        </w:rPr>
        <w:t>Journal of Cachexia, Sarcopenia and Muscle</w:t>
      </w:r>
      <w:r w:rsidRPr="00574EFA">
        <w:rPr>
          <w:rFonts w:cs="Arial"/>
        </w:rPr>
        <w:t xml:space="preserve">, 15(5), pp. 2046–2055. doi:10.1002/jcsm.13551. </w:t>
      </w:r>
    </w:p>
    <w:p w14:paraId="6DF0AC30" w14:textId="77777777" w:rsidR="000E117B" w:rsidRPr="00C07BB7" w:rsidRDefault="000E117B" w:rsidP="00574EFA">
      <w:pPr>
        <w:pStyle w:val="TOC2"/>
        <w:numPr>
          <w:ilvl w:val="0"/>
          <w:numId w:val="14"/>
        </w:numPr>
        <w:rPr>
          <w:rFonts w:cs="Arial"/>
        </w:rPr>
      </w:pPr>
      <w:proofErr w:type="spellStart"/>
      <w:r w:rsidRPr="00C07BB7">
        <w:rPr>
          <w:rFonts w:cs="Arial"/>
        </w:rPr>
        <w:t>Lv</w:t>
      </w:r>
      <w:proofErr w:type="spellEnd"/>
      <w:r w:rsidRPr="00C07BB7">
        <w:rPr>
          <w:rFonts w:cs="Arial"/>
        </w:rPr>
        <w:t xml:space="preserve">, D., Wang, T., Fan, J., Hong, D., Chen, Z., Xu, Q., Zhou, D. and Xie, X. (2026) ‘Planetary health diet index, genetic susceptibility and incident chronic kidney disease: a cohort study from the UK Biobank’, </w:t>
      </w:r>
      <w:r w:rsidRPr="00C07BB7">
        <w:rPr>
          <w:rFonts w:cs="Arial"/>
          <w:i/>
        </w:rPr>
        <w:t>The Journal of Nutrition, Health and Aging</w:t>
      </w:r>
      <w:r w:rsidRPr="00C07BB7">
        <w:rPr>
          <w:rFonts w:cs="Arial"/>
        </w:rPr>
        <w:t>, 30(3), p.100777. doi:10.1016/j.jnha.2026.100777.</w:t>
      </w:r>
    </w:p>
    <w:p w14:paraId="450AA0FA" w14:textId="77777777" w:rsidR="000E117B" w:rsidRPr="00C07BB7" w:rsidRDefault="000E117B" w:rsidP="00574EFA">
      <w:pPr>
        <w:pStyle w:val="TOC2"/>
        <w:numPr>
          <w:ilvl w:val="0"/>
          <w:numId w:val="14"/>
        </w:numPr>
        <w:rPr>
          <w:rFonts w:cs="Arial"/>
        </w:rPr>
      </w:pPr>
      <w:r w:rsidRPr="00C07BB7">
        <w:rPr>
          <w:rFonts w:cs="Arial"/>
        </w:rPr>
        <w:t xml:space="preserve">MacRae, C., Mercer, S.W., Guthrie, B. and Henderson, D. (2021) 'Comorbidity in chronic kidney disease: a large cross-sectional study of prevalence in Scottish primary care', </w:t>
      </w:r>
      <w:r w:rsidRPr="00C07BB7">
        <w:rPr>
          <w:rFonts w:cs="Arial"/>
          <w:i/>
        </w:rPr>
        <w:t>British Journal of General Practice</w:t>
      </w:r>
      <w:r w:rsidRPr="00C07BB7">
        <w:rPr>
          <w:rFonts w:cs="Arial"/>
        </w:rPr>
        <w:t xml:space="preserve">, 71(704), pp. e243-e249. </w:t>
      </w:r>
      <w:proofErr w:type="spellStart"/>
      <w:r w:rsidRPr="00C07BB7">
        <w:rPr>
          <w:rFonts w:cs="Arial"/>
        </w:rPr>
        <w:t>doi</w:t>
      </w:r>
      <w:proofErr w:type="spellEnd"/>
      <w:r w:rsidRPr="00C07BB7">
        <w:rPr>
          <w:rFonts w:cs="Arial"/>
        </w:rPr>
        <w:t>: https://doi.org/10.3399/bjgp20X714125.</w:t>
      </w:r>
    </w:p>
    <w:p w14:paraId="43CE7442" w14:textId="77777777" w:rsidR="000E117B" w:rsidRPr="00C07BB7" w:rsidRDefault="000E117B" w:rsidP="00574EFA">
      <w:pPr>
        <w:pStyle w:val="TOC2"/>
        <w:numPr>
          <w:ilvl w:val="0"/>
          <w:numId w:val="14"/>
        </w:numPr>
        <w:rPr>
          <w:rFonts w:cs="Arial"/>
        </w:rPr>
      </w:pPr>
      <w:r w:rsidRPr="00C07BB7">
        <w:rPr>
          <w:rFonts w:cs="Arial"/>
        </w:rPr>
        <w:t xml:space="preserve">Major, R.W. et al. (2025) ‘Integrated primary and secondary care optimizes the management of people with CKD—the LUCID project’, </w:t>
      </w:r>
      <w:r w:rsidRPr="00C07BB7">
        <w:rPr>
          <w:rFonts w:cs="Arial"/>
          <w:i/>
        </w:rPr>
        <w:t>Clinical Kidney Journal</w:t>
      </w:r>
      <w:r w:rsidRPr="00C07BB7">
        <w:rPr>
          <w:rFonts w:cs="Arial"/>
        </w:rPr>
        <w:t>, 18(4), sfaf049. doi:10.1093/</w:t>
      </w:r>
      <w:proofErr w:type="spellStart"/>
      <w:r w:rsidRPr="00C07BB7">
        <w:rPr>
          <w:rFonts w:cs="Arial"/>
        </w:rPr>
        <w:t>ckj</w:t>
      </w:r>
      <w:proofErr w:type="spellEnd"/>
      <w:r w:rsidRPr="00C07BB7">
        <w:rPr>
          <w:rFonts w:cs="Arial"/>
        </w:rPr>
        <w:t>/sfaf049.</w:t>
      </w:r>
    </w:p>
    <w:p w14:paraId="624ECEDB" w14:textId="77777777" w:rsidR="000E117B" w:rsidRPr="00C07BB7" w:rsidRDefault="000E117B" w:rsidP="00574EFA">
      <w:pPr>
        <w:pStyle w:val="TOC2"/>
        <w:numPr>
          <w:ilvl w:val="0"/>
          <w:numId w:val="14"/>
        </w:numPr>
        <w:rPr>
          <w:rFonts w:cs="Arial"/>
        </w:rPr>
      </w:pPr>
      <w:r w:rsidRPr="00C07BB7">
        <w:rPr>
          <w:rFonts w:cs="Arial"/>
        </w:rPr>
        <w:t xml:space="preserve">Major, R.W., Shepherd, D., Medcalf, J.F., Xu, G., Gray, L.J. and Brunskill, N.J. (2019) 'The Kidney Failure Risk Equation for prediction of end stage renal disease in UK primary care: an external validation and clinical impact projection cohort study', </w:t>
      </w:r>
      <w:r w:rsidRPr="00C07BB7">
        <w:rPr>
          <w:rFonts w:cs="Arial"/>
          <w:i/>
        </w:rPr>
        <w:t>PLOS Medicine</w:t>
      </w:r>
      <w:r w:rsidRPr="00C07BB7">
        <w:rPr>
          <w:rFonts w:cs="Arial"/>
        </w:rPr>
        <w:t xml:space="preserve">, 16(11), e1002955. </w:t>
      </w:r>
      <w:proofErr w:type="spellStart"/>
      <w:r w:rsidRPr="00C07BB7">
        <w:rPr>
          <w:rFonts w:cs="Arial"/>
        </w:rPr>
        <w:t>doi</w:t>
      </w:r>
      <w:proofErr w:type="spellEnd"/>
      <w:r w:rsidRPr="00C07BB7">
        <w:rPr>
          <w:rFonts w:cs="Arial"/>
        </w:rPr>
        <w:t>: https://doi.org/10.1371/journal.pmed.1002955.</w:t>
      </w:r>
    </w:p>
    <w:p w14:paraId="0462A152" w14:textId="77777777" w:rsidR="000E117B" w:rsidRPr="00C07BB7" w:rsidRDefault="000E117B" w:rsidP="00574EFA">
      <w:pPr>
        <w:pStyle w:val="TOC2"/>
        <w:numPr>
          <w:ilvl w:val="0"/>
          <w:numId w:val="14"/>
        </w:numPr>
        <w:rPr>
          <w:rFonts w:cs="Arial"/>
        </w:rPr>
      </w:pPr>
      <w:r w:rsidRPr="00C07BB7">
        <w:rPr>
          <w:rFonts w:cs="Arial"/>
        </w:rPr>
        <w:t xml:space="preserve">Mallamaci, F. and </w:t>
      </w:r>
      <w:proofErr w:type="spellStart"/>
      <w:r w:rsidRPr="00C07BB7">
        <w:rPr>
          <w:rFonts w:cs="Arial"/>
        </w:rPr>
        <w:t>Tripepi</w:t>
      </w:r>
      <w:proofErr w:type="spellEnd"/>
      <w:r w:rsidRPr="00C07BB7">
        <w:rPr>
          <w:rFonts w:cs="Arial"/>
        </w:rPr>
        <w:t xml:space="preserve">, G. (2024) ‘Risk factors of chronic kidney disease progression: between old and new concepts’, </w:t>
      </w:r>
      <w:r w:rsidRPr="00C07BB7">
        <w:rPr>
          <w:rFonts w:cs="Arial"/>
          <w:i/>
        </w:rPr>
        <w:t>Journal of Clinical Medicine</w:t>
      </w:r>
      <w:r w:rsidRPr="00C07BB7">
        <w:rPr>
          <w:rFonts w:cs="Arial"/>
        </w:rPr>
        <w:t xml:space="preserve">, 13(3), 678. </w:t>
      </w:r>
      <w:proofErr w:type="spellStart"/>
      <w:r w:rsidRPr="00C07BB7">
        <w:rPr>
          <w:rFonts w:cs="Arial"/>
        </w:rPr>
        <w:t>doi</w:t>
      </w:r>
      <w:proofErr w:type="spellEnd"/>
      <w:r w:rsidRPr="00C07BB7">
        <w:rPr>
          <w:rFonts w:cs="Arial"/>
        </w:rPr>
        <w:t>: https://doi.org/10.3390/jcm13030678.</w:t>
      </w:r>
    </w:p>
    <w:p w14:paraId="56D380A2" w14:textId="77777777" w:rsidR="000E117B" w:rsidRPr="00C07BB7" w:rsidRDefault="000E117B" w:rsidP="00574EFA">
      <w:pPr>
        <w:pStyle w:val="TOC2"/>
        <w:numPr>
          <w:ilvl w:val="0"/>
          <w:numId w:val="14"/>
        </w:numPr>
        <w:rPr>
          <w:rFonts w:cs="Arial"/>
        </w:rPr>
      </w:pPr>
      <w:r w:rsidRPr="00C07BB7">
        <w:rPr>
          <w:rFonts w:cs="Arial"/>
        </w:rPr>
        <w:t xml:space="preserve">Maroto-Rodriguez, J., </w:t>
      </w:r>
      <w:proofErr w:type="spellStart"/>
      <w:r w:rsidRPr="00C07BB7">
        <w:rPr>
          <w:rFonts w:cs="Arial"/>
        </w:rPr>
        <w:t>Ortolá</w:t>
      </w:r>
      <w:proofErr w:type="spellEnd"/>
      <w:r w:rsidRPr="00C07BB7">
        <w:rPr>
          <w:rFonts w:cs="Arial"/>
        </w:rPr>
        <w:t xml:space="preserve">, R., Cabanas-Sanchez, V., Martinez-Gomez, D., Rodriguez-Artalejo, F. and Sotos-Prieto, M. (2025) ‘Diet quality patterns and chronic kidney disease incidence: a UK Biobank cohort study’, </w:t>
      </w:r>
      <w:r w:rsidRPr="00C07BB7">
        <w:rPr>
          <w:rFonts w:cs="Arial"/>
          <w:i/>
        </w:rPr>
        <w:t>The American Journal of Clinical Nutrition</w:t>
      </w:r>
      <w:r w:rsidRPr="00C07BB7">
        <w:rPr>
          <w:rFonts w:cs="Arial"/>
        </w:rPr>
        <w:t xml:space="preserve">, 121(2), pp. 445–453. </w:t>
      </w:r>
      <w:proofErr w:type="spellStart"/>
      <w:r w:rsidRPr="00C07BB7">
        <w:rPr>
          <w:rFonts w:cs="Arial"/>
        </w:rPr>
        <w:t>doi</w:t>
      </w:r>
      <w:proofErr w:type="spellEnd"/>
      <w:r w:rsidRPr="00C07BB7">
        <w:rPr>
          <w:rFonts w:cs="Arial"/>
        </w:rPr>
        <w:t>: https://doi.org/10.1016/j.ajcnut.2024.12.005.</w:t>
      </w:r>
    </w:p>
    <w:p w14:paraId="0AFAA963" w14:textId="77777777" w:rsidR="000E117B" w:rsidRPr="00C07BB7" w:rsidRDefault="000E117B" w:rsidP="00574EFA">
      <w:pPr>
        <w:pStyle w:val="TOC2"/>
        <w:numPr>
          <w:ilvl w:val="0"/>
          <w:numId w:val="14"/>
        </w:numPr>
        <w:rPr>
          <w:rFonts w:cs="Arial"/>
        </w:rPr>
      </w:pPr>
      <w:r w:rsidRPr="00C07BB7">
        <w:rPr>
          <w:rFonts w:cs="Arial"/>
        </w:rPr>
        <w:t xml:space="preserve">Mathur, R., Dreyer, G., Yaqoob, M.M. and Hull, S.A. (2018) 'Ethnic differences in the progression of chronic kidney disease and risk of death in a UK diabetic population: an observational cohort study', </w:t>
      </w:r>
      <w:r w:rsidRPr="00C07BB7">
        <w:rPr>
          <w:rFonts w:cs="Arial"/>
          <w:i/>
        </w:rPr>
        <w:t>BMJ Open</w:t>
      </w:r>
      <w:r w:rsidRPr="00C07BB7">
        <w:rPr>
          <w:rFonts w:cs="Arial"/>
        </w:rPr>
        <w:t xml:space="preserve">, 8(3), e020145. </w:t>
      </w:r>
      <w:proofErr w:type="spellStart"/>
      <w:r w:rsidRPr="00C07BB7">
        <w:rPr>
          <w:rFonts w:cs="Arial"/>
        </w:rPr>
        <w:t>doi</w:t>
      </w:r>
      <w:proofErr w:type="spellEnd"/>
      <w:r w:rsidRPr="00C07BB7">
        <w:rPr>
          <w:rFonts w:cs="Arial"/>
        </w:rPr>
        <w:t>: https://doi.org/10.1136/bmjopen-2017-020145.</w:t>
      </w:r>
    </w:p>
    <w:p w14:paraId="4D40E8F8" w14:textId="77777777" w:rsidR="000E117B" w:rsidRPr="00C07BB7" w:rsidRDefault="000E117B" w:rsidP="00574EFA">
      <w:pPr>
        <w:pStyle w:val="TOC2"/>
        <w:numPr>
          <w:ilvl w:val="0"/>
          <w:numId w:val="14"/>
        </w:numPr>
        <w:rPr>
          <w:rFonts w:cs="Arial"/>
        </w:rPr>
      </w:pPr>
      <w:r w:rsidRPr="00C07BB7">
        <w:rPr>
          <w:rFonts w:cs="Arial"/>
        </w:rPr>
        <w:t xml:space="preserve">Mayne, K.J., Sullivan, M.K. and Lees, J.S. (2023) ‘Sex and gender differences in the management of chronic kidney disease and hypertension’, </w:t>
      </w:r>
      <w:r w:rsidRPr="00C07BB7">
        <w:rPr>
          <w:rFonts w:cs="Arial"/>
          <w:i/>
        </w:rPr>
        <w:t>Journal of Human Hypertension</w:t>
      </w:r>
      <w:r w:rsidRPr="00C07BB7">
        <w:rPr>
          <w:rFonts w:cs="Arial"/>
        </w:rPr>
        <w:t>, 37(8), pp.649–653. doi:10.1038/s41371-023-00843-9.</w:t>
      </w:r>
    </w:p>
    <w:p w14:paraId="4E36602A" w14:textId="77777777" w:rsidR="000E117B" w:rsidRPr="00C07BB7" w:rsidRDefault="000E117B" w:rsidP="00574EFA">
      <w:pPr>
        <w:pStyle w:val="TOC2"/>
        <w:numPr>
          <w:ilvl w:val="0"/>
          <w:numId w:val="14"/>
        </w:numPr>
        <w:rPr>
          <w:rFonts w:cs="Arial"/>
        </w:rPr>
      </w:pPr>
      <w:proofErr w:type="spellStart"/>
      <w:r w:rsidRPr="00C07BB7">
        <w:rPr>
          <w:rFonts w:cs="Arial"/>
        </w:rPr>
        <w:t>Neuen</w:t>
      </w:r>
      <w:proofErr w:type="spellEnd"/>
      <w:r w:rsidRPr="00C07BB7">
        <w:rPr>
          <w:rFonts w:cs="Arial"/>
        </w:rPr>
        <w:t xml:space="preserve">, B.L., </w:t>
      </w:r>
      <w:proofErr w:type="spellStart"/>
      <w:r w:rsidRPr="00C07BB7">
        <w:rPr>
          <w:rFonts w:cs="Arial"/>
        </w:rPr>
        <w:t>Weldegiorgis</w:t>
      </w:r>
      <w:proofErr w:type="spellEnd"/>
      <w:r w:rsidRPr="00C07BB7">
        <w:rPr>
          <w:rFonts w:cs="Arial"/>
        </w:rPr>
        <w:t xml:space="preserve">, M., Herrington, W.G., </w:t>
      </w:r>
      <w:proofErr w:type="spellStart"/>
      <w:r w:rsidRPr="00C07BB7">
        <w:rPr>
          <w:rFonts w:cs="Arial"/>
        </w:rPr>
        <w:t>Ohkuma</w:t>
      </w:r>
      <w:proofErr w:type="spellEnd"/>
      <w:r w:rsidRPr="00C07BB7">
        <w:rPr>
          <w:rFonts w:cs="Arial"/>
        </w:rPr>
        <w:t xml:space="preserve">, T., Smith, M. and Woodward, M. (2021) ‘Changes in GFR and albuminuria in routine clinical practice and the risk of kidney disease progression’, </w:t>
      </w:r>
      <w:r w:rsidRPr="00C07BB7">
        <w:rPr>
          <w:rFonts w:cs="Arial"/>
          <w:i/>
        </w:rPr>
        <w:t>American Journal of Kidney Diseases</w:t>
      </w:r>
      <w:r w:rsidRPr="00C07BB7">
        <w:rPr>
          <w:rFonts w:cs="Arial"/>
        </w:rPr>
        <w:t>, 78(3), pp. 350–360.e1. doi:10.1053/j.ajkd.2021.02.335.</w:t>
      </w:r>
    </w:p>
    <w:p w14:paraId="1713FE95" w14:textId="77777777" w:rsidR="000E117B" w:rsidRPr="00C07BB7" w:rsidRDefault="000E117B" w:rsidP="00574EFA">
      <w:pPr>
        <w:pStyle w:val="TOC2"/>
        <w:numPr>
          <w:ilvl w:val="0"/>
          <w:numId w:val="14"/>
        </w:numPr>
        <w:rPr>
          <w:rFonts w:cs="Arial"/>
        </w:rPr>
      </w:pPr>
      <w:r w:rsidRPr="00C07BB7">
        <w:rPr>
          <w:rFonts w:cs="Arial"/>
        </w:rPr>
        <w:t>NHS Digital (2024) Health Survey for England 2022, Part 2: Kidney disease. Available at: https://digital.nhs.uk/data-and-information/publications/statistical/health-survey-for-england/2022-part-2/kidney-disease.</w:t>
      </w:r>
    </w:p>
    <w:p w14:paraId="751A4D01" w14:textId="77777777" w:rsidR="000E117B" w:rsidRPr="00C07BB7" w:rsidRDefault="000E117B" w:rsidP="00574EFA">
      <w:pPr>
        <w:pStyle w:val="TOC2"/>
        <w:numPr>
          <w:ilvl w:val="0"/>
          <w:numId w:val="14"/>
        </w:numPr>
        <w:rPr>
          <w:rFonts w:cs="Arial"/>
        </w:rPr>
      </w:pPr>
      <w:r w:rsidRPr="00C07BB7">
        <w:rPr>
          <w:rFonts w:cs="Arial"/>
        </w:rPr>
        <w:t xml:space="preserve">Page, M.J. et al. (2021a) ‘The PRISMA 2020 statement: An updated guideline for reporting systematic reviews’, </w:t>
      </w:r>
      <w:r w:rsidRPr="00C07BB7">
        <w:rPr>
          <w:rFonts w:cs="Arial"/>
          <w:i/>
        </w:rPr>
        <w:t>BMJ</w:t>
      </w:r>
      <w:r w:rsidRPr="00C07BB7">
        <w:rPr>
          <w:rFonts w:cs="Arial"/>
        </w:rPr>
        <w:t>, 372, n71. doi:10.1136/bmj.n71.</w:t>
      </w:r>
    </w:p>
    <w:p w14:paraId="0D090605" w14:textId="77777777" w:rsidR="000E117B" w:rsidRPr="00C07BB7" w:rsidRDefault="000E117B" w:rsidP="00574EFA">
      <w:pPr>
        <w:pStyle w:val="TOC2"/>
        <w:numPr>
          <w:ilvl w:val="0"/>
          <w:numId w:val="14"/>
        </w:numPr>
        <w:rPr>
          <w:rFonts w:cs="Arial"/>
        </w:rPr>
      </w:pPr>
      <w:r w:rsidRPr="00C07BB7">
        <w:rPr>
          <w:rFonts w:cs="Arial"/>
        </w:rPr>
        <w:t xml:space="preserve">Park, S., Lee, S., Kim, Y., Lee, Y., Kang, M.W., Kim, K., Kim, Y.C., Han, S.S., Lee, H., Lee, J.P., Joo, K.W., Lim, C.S., Kim, Y.S. and Kim, D.K. (2022) 'Causal effects of physical activity or sedentary </w:t>
      </w:r>
      <w:proofErr w:type="spellStart"/>
      <w:r w:rsidRPr="00C07BB7">
        <w:rPr>
          <w:rFonts w:cs="Arial"/>
        </w:rPr>
        <w:t>behaviours</w:t>
      </w:r>
      <w:proofErr w:type="spellEnd"/>
      <w:r w:rsidRPr="00C07BB7">
        <w:rPr>
          <w:rFonts w:cs="Arial"/>
        </w:rPr>
        <w:t xml:space="preserve"> on kidney function: an integrated population-scale observational analysis and Mendelian </w:t>
      </w:r>
      <w:proofErr w:type="spellStart"/>
      <w:r w:rsidRPr="00C07BB7">
        <w:rPr>
          <w:rFonts w:cs="Arial"/>
        </w:rPr>
        <w:t>randomisation</w:t>
      </w:r>
      <w:proofErr w:type="spellEnd"/>
      <w:r w:rsidRPr="00C07BB7">
        <w:rPr>
          <w:rFonts w:cs="Arial"/>
        </w:rPr>
        <w:t xml:space="preserve"> study', </w:t>
      </w:r>
      <w:r w:rsidRPr="00C07BB7">
        <w:rPr>
          <w:rFonts w:cs="Arial"/>
          <w:i/>
        </w:rPr>
        <w:t>Nephrology Dialysis Transplantation</w:t>
      </w:r>
      <w:r w:rsidRPr="00C07BB7">
        <w:rPr>
          <w:rFonts w:cs="Arial"/>
        </w:rPr>
        <w:t xml:space="preserve">, 37(6), pp. 1059-1068. </w:t>
      </w:r>
      <w:proofErr w:type="spellStart"/>
      <w:r w:rsidRPr="00C07BB7">
        <w:rPr>
          <w:rFonts w:cs="Arial"/>
        </w:rPr>
        <w:t>doi</w:t>
      </w:r>
      <w:proofErr w:type="spellEnd"/>
      <w:r w:rsidRPr="00C07BB7">
        <w:rPr>
          <w:rFonts w:cs="Arial"/>
        </w:rPr>
        <w:t>: https://doi.org/10.1093/ndt/gfab153.</w:t>
      </w:r>
    </w:p>
    <w:p w14:paraId="2E389B99" w14:textId="77777777" w:rsidR="000E117B" w:rsidRPr="00C07BB7" w:rsidRDefault="000E117B" w:rsidP="00574EFA">
      <w:pPr>
        <w:pStyle w:val="TOC2"/>
        <w:numPr>
          <w:ilvl w:val="0"/>
          <w:numId w:val="14"/>
        </w:numPr>
        <w:rPr>
          <w:rFonts w:cs="Arial"/>
        </w:rPr>
      </w:pPr>
      <w:proofErr w:type="spellStart"/>
      <w:r w:rsidRPr="00C07BB7">
        <w:rPr>
          <w:rFonts w:cs="Arial"/>
        </w:rPr>
        <w:t>Pasea</w:t>
      </w:r>
      <w:proofErr w:type="spellEnd"/>
      <w:r w:rsidRPr="00C07BB7">
        <w:rPr>
          <w:rFonts w:cs="Arial"/>
        </w:rPr>
        <w:t xml:space="preserve">, L., Mohamed, M., </w:t>
      </w:r>
      <w:proofErr w:type="spellStart"/>
      <w:r w:rsidRPr="00C07BB7">
        <w:rPr>
          <w:rFonts w:cs="Arial"/>
        </w:rPr>
        <w:t>Dashtban</w:t>
      </w:r>
      <w:proofErr w:type="spellEnd"/>
      <w:r w:rsidRPr="00C07BB7">
        <w:rPr>
          <w:rFonts w:cs="Arial"/>
        </w:rPr>
        <w:t xml:space="preserve">, A., Bhuva, A., Mizani, M.A., Ali, S., Oates, T., Mamas, M.A., Morris, T., Gao, H., </w:t>
      </w:r>
      <w:proofErr w:type="spellStart"/>
      <w:r w:rsidRPr="00C07BB7">
        <w:rPr>
          <w:rFonts w:cs="Arial"/>
        </w:rPr>
        <w:t>Mamza</w:t>
      </w:r>
      <w:proofErr w:type="spellEnd"/>
      <w:r w:rsidRPr="00C07BB7">
        <w:rPr>
          <w:rFonts w:cs="Arial"/>
        </w:rPr>
        <w:t xml:space="preserve">, J.B. and Banerjee, A. (2025) ‘Missed opportunities to manage complex comorbidity of heart failure, type 2 diabetes mellitus and chronic kidney disease: a retrospective cohort study’, </w:t>
      </w:r>
      <w:r w:rsidRPr="00C07BB7">
        <w:rPr>
          <w:rFonts w:cs="Arial"/>
          <w:i/>
        </w:rPr>
        <w:t>Heart</w:t>
      </w:r>
      <w:r w:rsidRPr="00C07BB7">
        <w:rPr>
          <w:rFonts w:cs="Arial"/>
        </w:rPr>
        <w:t>, 111(16), pp.776–785. doi:10.1136/heartjnl-2024-325046.</w:t>
      </w:r>
    </w:p>
    <w:p w14:paraId="4CB615BF" w14:textId="77777777" w:rsidR="000E117B" w:rsidRPr="00574EFA" w:rsidRDefault="000E117B" w:rsidP="00574EFA">
      <w:pPr>
        <w:pStyle w:val="ListParagraph"/>
        <w:numPr>
          <w:ilvl w:val="0"/>
          <w:numId w:val="14"/>
        </w:numPr>
        <w:rPr>
          <w:rFonts w:cs="Arial"/>
        </w:rPr>
      </w:pPr>
      <w:r w:rsidRPr="00574EFA">
        <w:rPr>
          <w:rFonts w:cs="Arial"/>
        </w:rPr>
        <w:t xml:space="preserve">Phillips, T., Harris, S., </w:t>
      </w:r>
      <w:proofErr w:type="spellStart"/>
      <w:r w:rsidRPr="00574EFA">
        <w:rPr>
          <w:rFonts w:cs="Arial"/>
        </w:rPr>
        <w:t>Aiyegbusi</w:t>
      </w:r>
      <w:proofErr w:type="spellEnd"/>
      <w:r w:rsidRPr="00574EFA">
        <w:rPr>
          <w:rFonts w:cs="Arial"/>
        </w:rPr>
        <w:t xml:space="preserve">, O.L., Lucas, B., Benavente, M., Roderick, P.J., </w:t>
      </w:r>
      <w:proofErr w:type="spellStart"/>
      <w:r w:rsidRPr="00574EFA">
        <w:rPr>
          <w:rFonts w:cs="Arial"/>
        </w:rPr>
        <w:t>Cockwell</w:t>
      </w:r>
      <w:proofErr w:type="spellEnd"/>
      <w:r w:rsidRPr="00574EFA">
        <w:rPr>
          <w:rFonts w:cs="Arial"/>
        </w:rPr>
        <w:t>, P., Kalra, P.A., Wheeler, D.C., Taal, M.W. and Fraser, S.D.S. (2024) ‘Potentially modifiable factors associated with health-related quality of life among people with chronic kidney disease: baseline findings from the National Unified Renal Translational Research Enterprise CKD (</w:t>
      </w:r>
      <w:proofErr w:type="spellStart"/>
      <w:r w:rsidRPr="00574EFA">
        <w:rPr>
          <w:rFonts w:cs="Arial"/>
        </w:rPr>
        <w:t>NURTuRE</w:t>
      </w:r>
      <w:proofErr w:type="spellEnd"/>
      <w:r w:rsidRPr="00574EFA">
        <w:rPr>
          <w:rFonts w:cs="Arial"/>
        </w:rPr>
        <w:t xml:space="preserve">-CKD) cohort’, </w:t>
      </w:r>
      <w:r w:rsidRPr="00574EFA">
        <w:rPr>
          <w:rFonts w:cs="Arial"/>
          <w:i/>
          <w:iCs/>
        </w:rPr>
        <w:t>Clinical Kidney Journal</w:t>
      </w:r>
      <w:r w:rsidRPr="00574EFA">
        <w:rPr>
          <w:rFonts w:cs="Arial"/>
        </w:rPr>
        <w:t>, 17(2), sfae010. doi:10.1093/</w:t>
      </w:r>
      <w:proofErr w:type="spellStart"/>
      <w:r w:rsidRPr="00574EFA">
        <w:rPr>
          <w:rFonts w:cs="Arial"/>
        </w:rPr>
        <w:t>ckj</w:t>
      </w:r>
      <w:proofErr w:type="spellEnd"/>
      <w:r w:rsidRPr="00574EFA">
        <w:rPr>
          <w:rFonts w:cs="Arial"/>
        </w:rPr>
        <w:t xml:space="preserve">/sfae010. </w:t>
      </w:r>
    </w:p>
    <w:p w14:paraId="006D2013" w14:textId="77777777" w:rsidR="000E117B" w:rsidRPr="00C07BB7" w:rsidRDefault="000E117B" w:rsidP="00574EFA">
      <w:pPr>
        <w:pStyle w:val="TOC2"/>
        <w:numPr>
          <w:ilvl w:val="0"/>
          <w:numId w:val="14"/>
        </w:numPr>
        <w:rPr>
          <w:rFonts w:cs="Arial"/>
        </w:rPr>
      </w:pPr>
      <w:r w:rsidRPr="00C07BB7">
        <w:rPr>
          <w:rFonts w:cs="Arial"/>
        </w:rPr>
        <w:t>Public Health Scotland (2025) Scottish Renal Registry annual report 2025. Available at: https://publichealthscotland.scot/publications/scottish-renal-registry/scottish-renal-registry-annual-report-2025/.</w:t>
      </w:r>
    </w:p>
    <w:p w14:paraId="75742AA7" w14:textId="77777777" w:rsidR="000E117B" w:rsidRPr="00C07BB7" w:rsidRDefault="000E117B" w:rsidP="00574EFA">
      <w:pPr>
        <w:pStyle w:val="TOC2"/>
        <w:numPr>
          <w:ilvl w:val="0"/>
          <w:numId w:val="14"/>
        </w:numPr>
        <w:rPr>
          <w:rFonts w:cs="Arial"/>
        </w:rPr>
      </w:pPr>
      <w:proofErr w:type="spellStart"/>
      <w:r w:rsidRPr="00C07BB7">
        <w:rPr>
          <w:rFonts w:cs="Arial"/>
        </w:rPr>
        <w:t>Purssell</w:t>
      </w:r>
      <w:proofErr w:type="spellEnd"/>
      <w:r w:rsidRPr="00C07BB7">
        <w:rPr>
          <w:rFonts w:cs="Arial"/>
        </w:rPr>
        <w:t xml:space="preserve">, E. and McCrae, N. (2024) How to Perform a Systematic Literature Review. 2nd </w:t>
      </w:r>
      <w:proofErr w:type="spellStart"/>
      <w:r w:rsidRPr="00C07BB7">
        <w:rPr>
          <w:rFonts w:cs="Arial"/>
        </w:rPr>
        <w:t>edn</w:t>
      </w:r>
      <w:proofErr w:type="spellEnd"/>
      <w:r w:rsidRPr="00C07BB7">
        <w:rPr>
          <w:rFonts w:cs="Arial"/>
        </w:rPr>
        <w:t>. Cham: Springer Nature.</w:t>
      </w:r>
    </w:p>
    <w:p w14:paraId="049539E4" w14:textId="77777777" w:rsidR="000E117B" w:rsidRPr="00C07BB7" w:rsidRDefault="000E117B" w:rsidP="00574EFA">
      <w:pPr>
        <w:pStyle w:val="TOC2"/>
        <w:numPr>
          <w:ilvl w:val="0"/>
          <w:numId w:val="14"/>
        </w:numPr>
        <w:rPr>
          <w:rFonts w:cs="Arial"/>
        </w:rPr>
      </w:pPr>
      <w:r w:rsidRPr="00C07BB7">
        <w:rPr>
          <w:rFonts w:cs="Arial"/>
        </w:rPr>
        <w:t xml:space="preserve">Qu, C., Zhao, J., Lai, J., Wu, X., Huang, P., Zhu, T., Li, Y., Liu, T., Yuan, J., Wang, N., </w:t>
      </w:r>
      <w:proofErr w:type="spellStart"/>
      <w:r w:rsidRPr="00C07BB7">
        <w:rPr>
          <w:rFonts w:cs="Arial"/>
        </w:rPr>
        <w:t>Peppelenbosch</w:t>
      </w:r>
      <w:proofErr w:type="spellEnd"/>
      <w:r w:rsidRPr="00C07BB7">
        <w:rPr>
          <w:rFonts w:cs="Arial"/>
        </w:rPr>
        <w:t xml:space="preserve">, M.P., Chen, H., Xia, B. and Qin, J. (2024) ‘Adherence to a Mediterranean diet is associated with a lower risk of diabetic kidney disease among individuals with hyperglycemia: a prospective cohort study’, </w:t>
      </w:r>
      <w:r w:rsidRPr="00C07BB7">
        <w:rPr>
          <w:rFonts w:cs="Arial"/>
          <w:i/>
        </w:rPr>
        <w:t>BMC Medicine</w:t>
      </w:r>
      <w:r w:rsidRPr="00C07BB7">
        <w:rPr>
          <w:rFonts w:cs="Arial"/>
        </w:rPr>
        <w:t>, 22(1), p.224. doi:10.1186/s12916-024-03455-3.</w:t>
      </w:r>
    </w:p>
    <w:p w14:paraId="6BDA8A29" w14:textId="77777777" w:rsidR="000E117B" w:rsidRPr="00C07BB7" w:rsidRDefault="000E117B" w:rsidP="00574EFA">
      <w:pPr>
        <w:pStyle w:val="TOC2"/>
        <w:numPr>
          <w:ilvl w:val="0"/>
          <w:numId w:val="14"/>
        </w:numPr>
        <w:rPr>
          <w:rFonts w:cs="Arial"/>
        </w:rPr>
      </w:pPr>
      <w:r w:rsidRPr="00C07BB7">
        <w:rPr>
          <w:rFonts w:cs="Arial"/>
        </w:rPr>
        <w:t xml:space="preserve">Ramos, M., Gerlier, L., Uster, A., </w:t>
      </w:r>
      <w:proofErr w:type="spellStart"/>
      <w:r w:rsidRPr="00C07BB7">
        <w:rPr>
          <w:rFonts w:cs="Arial"/>
        </w:rPr>
        <w:t>Muttram</w:t>
      </w:r>
      <w:proofErr w:type="spellEnd"/>
      <w:r w:rsidRPr="00C07BB7">
        <w:rPr>
          <w:rFonts w:cs="Arial"/>
        </w:rPr>
        <w:t xml:space="preserve">, L., Frankel, A.H. and Lamotte, M. (2024) ‘Cost-effectiveness of empagliflozin as add-on to standard of care for chronic kidney disease management in the United Kingdom’, </w:t>
      </w:r>
      <w:r w:rsidRPr="00C07BB7">
        <w:rPr>
          <w:rFonts w:cs="Arial"/>
          <w:i/>
        </w:rPr>
        <w:t>Journal of Medical Economics</w:t>
      </w:r>
      <w:r w:rsidRPr="00C07BB7">
        <w:rPr>
          <w:rFonts w:cs="Arial"/>
        </w:rPr>
        <w:t>, 27(1), pp.777–785. doi:10.1080/13696998.2024.2357041.</w:t>
      </w:r>
    </w:p>
    <w:p w14:paraId="39F338C9" w14:textId="77777777" w:rsidR="000E117B" w:rsidRPr="00C07BB7" w:rsidRDefault="000E117B" w:rsidP="00574EFA">
      <w:pPr>
        <w:pStyle w:val="TOC2"/>
        <w:numPr>
          <w:ilvl w:val="0"/>
          <w:numId w:val="14"/>
        </w:numPr>
        <w:rPr>
          <w:rFonts w:cs="Arial"/>
        </w:rPr>
      </w:pPr>
      <w:proofErr w:type="spellStart"/>
      <w:r w:rsidRPr="00C07BB7">
        <w:rPr>
          <w:rFonts w:cs="Arial"/>
        </w:rPr>
        <w:t>Rethlefsen</w:t>
      </w:r>
      <w:proofErr w:type="spellEnd"/>
      <w:r w:rsidRPr="00C07BB7">
        <w:rPr>
          <w:rFonts w:cs="Arial"/>
        </w:rPr>
        <w:t xml:space="preserve">, M.L. et al. (2021) ‘PRISMA-S: An extension to the PRISMA statement for reporting literature searches in systematic reviews’, </w:t>
      </w:r>
      <w:r w:rsidRPr="00C07BB7">
        <w:rPr>
          <w:rFonts w:cs="Arial"/>
          <w:i/>
        </w:rPr>
        <w:t>Systematic Reviews</w:t>
      </w:r>
      <w:r w:rsidRPr="00C07BB7">
        <w:rPr>
          <w:rFonts w:cs="Arial"/>
        </w:rPr>
        <w:t>, 10(1). doi:10.1186/s13643-020-01542-z.</w:t>
      </w:r>
    </w:p>
    <w:p w14:paraId="42D65475" w14:textId="77777777" w:rsidR="000E117B" w:rsidRPr="00C07BB7" w:rsidRDefault="000E117B" w:rsidP="00574EFA">
      <w:pPr>
        <w:pStyle w:val="TOC2"/>
        <w:numPr>
          <w:ilvl w:val="0"/>
          <w:numId w:val="14"/>
        </w:numPr>
        <w:rPr>
          <w:rFonts w:cs="Arial"/>
        </w:rPr>
      </w:pPr>
      <w:r w:rsidRPr="00C07BB7">
        <w:rPr>
          <w:rFonts w:cs="Arial"/>
        </w:rPr>
        <w:t xml:space="preserve">Rizvi, F. et al. (2024) ‘The Leicester, Leicestershire and Rutland quality improvement project and integrated chronic kidney disease system: implementation within a primary care network’, </w:t>
      </w:r>
      <w:r w:rsidRPr="00C07BB7">
        <w:rPr>
          <w:rFonts w:cs="Arial"/>
          <w:i/>
        </w:rPr>
        <w:t>BMC Nephrology</w:t>
      </w:r>
      <w:r w:rsidRPr="00C07BB7">
        <w:rPr>
          <w:rFonts w:cs="Arial"/>
        </w:rPr>
        <w:t>, 25, 255. doi:10.1186/s12882-024-03668-x.</w:t>
      </w:r>
    </w:p>
    <w:p w14:paraId="3372D363" w14:textId="77777777" w:rsidR="000E117B" w:rsidRPr="00C07BB7" w:rsidRDefault="000E117B" w:rsidP="00574EFA">
      <w:pPr>
        <w:pStyle w:val="TOC2"/>
        <w:numPr>
          <w:ilvl w:val="0"/>
          <w:numId w:val="14"/>
        </w:numPr>
        <w:rPr>
          <w:rFonts w:cs="Arial"/>
        </w:rPr>
      </w:pPr>
      <w:r w:rsidRPr="00C07BB7">
        <w:rPr>
          <w:rFonts w:cs="Arial"/>
        </w:rPr>
        <w:t xml:space="preserve">Rosenstock, I.M. (1974) ‘Historical origins of the Health Belief Model’, </w:t>
      </w:r>
      <w:r w:rsidRPr="00C07BB7">
        <w:rPr>
          <w:rFonts w:cs="Arial"/>
          <w:i/>
        </w:rPr>
        <w:t>Health Education Monographs</w:t>
      </w:r>
      <w:r w:rsidRPr="00C07BB7">
        <w:rPr>
          <w:rFonts w:cs="Arial"/>
        </w:rPr>
        <w:t>, 2(4), pp.328–335.</w:t>
      </w:r>
    </w:p>
    <w:p w14:paraId="5724505C" w14:textId="77777777" w:rsidR="000E117B" w:rsidRPr="00C07BB7" w:rsidRDefault="000E117B" w:rsidP="00574EFA">
      <w:pPr>
        <w:pStyle w:val="TOC2"/>
        <w:numPr>
          <w:ilvl w:val="0"/>
          <w:numId w:val="14"/>
        </w:numPr>
        <w:rPr>
          <w:rFonts w:cs="Arial"/>
        </w:rPr>
      </w:pPr>
      <w:r w:rsidRPr="00C07BB7">
        <w:rPr>
          <w:rFonts w:cs="Arial"/>
        </w:rPr>
        <w:t xml:space="preserve">Sawhney, S., Atherton, I., Blakeman, T., Black, C., Cowan, E., Croucher, C., Fraser, S.D.S., Hughes, A., Nath, M., Nitsch, D., Scholes-Robertson, N. and Diaz, M.R. (2024) ‘Individual and neighborhood-level social and deprivation factors impact kidney health in the GLOMMS-CORE study’, </w:t>
      </w:r>
      <w:r w:rsidRPr="00C07BB7">
        <w:rPr>
          <w:rFonts w:cs="Arial"/>
          <w:i/>
        </w:rPr>
        <w:t>Kidney International</w:t>
      </w:r>
      <w:r w:rsidRPr="00C07BB7">
        <w:rPr>
          <w:rFonts w:cs="Arial"/>
        </w:rPr>
        <w:t>, 106(5), pp.928–942. doi:10.1016/j.kint.2024.07.021.</w:t>
      </w:r>
    </w:p>
    <w:p w14:paraId="272BB9A2" w14:textId="77777777" w:rsidR="000E117B" w:rsidRPr="00C07BB7" w:rsidRDefault="000E117B" w:rsidP="00574EFA">
      <w:pPr>
        <w:pStyle w:val="TOC2"/>
        <w:numPr>
          <w:ilvl w:val="0"/>
          <w:numId w:val="14"/>
        </w:numPr>
        <w:rPr>
          <w:rFonts w:cs="Arial"/>
        </w:rPr>
      </w:pPr>
      <w:r w:rsidRPr="00C07BB7">
        <w:rPr>
          <w:rFonts w:cs="Arial"/>
        </w:rPr>
        <w:t xml:space="preserve">Schmidt, L., </w:t>
      </w:r>
      <w:proofErr w:type="spellStart"/>
      <w:r w:rsidRPr="00C07BB7">
        <w:rPr>
          <w:rFonts w:cs="Arial"/>
        </w:rPr>
        <w:t>Olorisade</w:t>
      </w:r>
      <w:proofErr w:type="spellEnd"/>
      <w:r w:rsidRPr="00C07BB7">
        <w:rPr>
          <w:rFonts w:cs="Arial"/>
        </w:rPr>
        <w:t xml:space="preserve">, B.K., McGuinness, L.A. and Higgins, J.P.T. (2020) ‘Data extraction methods for systematic review (semi)automation: A living review protocol’, </w:t>
      </w:r>
      <w:r w:rsidRPr="00C07BB7">
        <w:rPr>
          <w:rFonts w:cs="Arial"/>
          <w:i/>
        </w:rPr>
        <w:t>F1000Research</w:t>
      </w:r>
      <w:r w:rsidRPr="00C07BB7">
        <w:rPr>
          <w:rFonts w:cs="Arial"/>
        </w:rPr>
        <w:t>, 9, 210. doi:10.12688/f1000research.22781.1.</w:t>
      </w:r>
    </w:p>
    <w:p w14:paraId="537D3805" w14:textId="77777777" w:rsidR="000E117B" w:rsidRPr="00C07BB7" w:rsidRDefault="000E117B" w:rsidP="00574EFA">
      <w:pPr>
        <w:pStyle w:val="TOC2"/>
        <w:numPr>
          <w:ilvl w:val="0"/>
          <w:numId w:val="14"/>
        </w:numPr>
        <w:rPr>
          <w:rFonts w:cs="Arial"/>
        </w:rPr>
      </w:pPr>
      <w:r w:rsidRPr="00C07BB7">
        <w:rPr>
          <w:rFonts w:cs="Arial"/>
        </w:rPr>
        <w:t xml:space="preserve">Sisk, R., Cameron, R., Tahir, W. and Sammut-Powell, C. (2024) ‘Diagnosis codes underestimate chronic kidney disease incidence compared with eGFR-based evidence: a retrospective observational study of patients with type 2 diabetes in UK primary care’, </w:t>
      </w:r>
      <w:r w:rsidRPr="00C07BB7">
        <w:rPr>
          <w:rFonts w:cs="Arial"/>
          <w:i/>
        </w:rPr>
        <w:t>BJGP Open</w:t>
      </w:r>
      <w:r w:rsidRPr="00C07BB7">
        <w:rPr>
          <w:rFonts w:cs="Arial"/>
        </w:rPr>
        <w:t>, 8(1), p.BJGPO.2023.0079. doi:10.3399/BJGPO.2023.0079.</w:t>
      </w:r>
    </w:p>
    <w:p w14:paraId="05DAEC31" w14:textId="77777777" w:rsidR="000E117B" w:rsidRPr="00C07BB7" w:rsidRDefault="000E117B" w:rsidP="00574EFA">
      <w:pPr>
        <w:pStyle w:val="TOC2"/>
        <w:numPr>
          <w:ilvl w:val="0"/>
          <w:numId w:val="14"/>
        </w:numPr>
        <w:rPr>
          <w:rFonts w:cs="Arial"/>
        </w:rPr>
      </w:pPr>
      <w:proofErr w:type="spellStart"/>
      <w:r w:rsidRPr="00C07BB7">
        <w:rPr>
          <w:rFonts w:cs="Arial"/>
        </w:rPr>
        <w:t>Staplin</w:t>
      </w:r>
      <w:proofErr w:type="spellEnd"/>
      <w:r w:rsidRPr="00C07BB7">
        <w:rPr>
          <w:rFonts w:cs="Arial"/>
        </w:rPr>
        <w:t xml:space="preserve">, N., Herrington, W.G., Murgia, F., Ibrahim, M., Bull, K.R., Judge, P.K., Ng, S.Y.A., Turner, M., Zhu, D., Emberson, J., </w:t>
      </w:r>
      <w:proofErr w:type="spellStart"/>
      <w:r w:rsidRPr="00C07BB7">
        <w:rPr>
          <w:rFonts w:cs="Arial"/>
        </w:rPr>
        <w:t>Landray</w:t>
      </w:r>
      <w:proofErr w:type="spellEnd"/>
      <w:r w:rsidRPr="00C07BB7">
        <w:rPr>
          <w:rFonts w:cs="Arial"/>
        </w:rPr>
        <w:t xml:space="preserve">, M.J., Baigent, C., Haynes, R. and Hopewell, J.C. (2022) 'Determining the relationship between blood pressure, kidney function, and chronic kidney disease: insights from genetic epidemiology', </w:t>
      </w:r>
      <w:r w:rsidRPr="00C07BB7">
        <w:rPr>
          <w:rFonts w:cs="Arial"/>
          <w:i/>
        </w:rPr>
        <w:t>Hypertension</w:t>
      </w:r>
      <w:r w:rsidRPr="00C07BB7">
        <w:rPr>
          <w:rFonts w:cs="Arial"/>
        </w:rPr>
        <w:t xml:space="preserve">, 79(12), pp. 2671-2681. </w:t>
      </w:r>
      <w:proofErr w:type="spellStart"/>
      <w:r w:rsidRPr="00C07BB7">
        <w:rPr>
          <w:rFonts w:cs="Arial"/>
        </w:rPr>
        <w:t>doi</w:t>
      </w:r>
      <w:proofErr w:type="spellEnd"/>
      <w:r w:rsidRPr="00C07BB7">
        <w:rPr>
          <w:rFonts w:cs="Arial"/>
        </w:rPr>
        <w:t>: https://doi.org/10.1161/HYPERTENSIONAHA.122.19354.</w:t>
      </w:r>
    </w:p>
    <w:p w14:paraId="3AA3B525" w14:textId="77777777" w:rsidR="000E117B" w:rsidRPr="00C07BB7" w:rsidRDefault="000E117B" w:rsidP="00574EFA">
      <w:pPr>
        <w:pStyle w:val="TOC2"/>
        <w:numPr>
          <w:ilvl w:val="0"/>
          <w:numId w:val="14"/>
        </w:numPr>
        <w:rPr>
          <w:rFonts w:cs="Arial"/>
        </w:rPr>
      </w:pPr>
      <w:r w:rsidRPr="00C07BB7">
        <w:rPr>
          <w:rFonts w:cs="Arial"/>
        </w:rPr>
        <w:t xml:space="preserve">Stevens, P.E., Ahmed, S.B., Carrero, J.J., Foster, B., Francis, A., Hall, R.K., Herrington, W.G., Hill, G., Inker, L.A., </w:t>
      </w:r>
      <w:proofErr w:type="spellStart"/>
      <w:r w:rsidRPr="00C07BB7">
        <w:rPr>
          <w:rFonts w:cs="Arial"/>
        </w:rPr>
        <w:t>Kazancıoğlu</w:t>
      </w:r>
      <w:proofErr w:type="spellEnd"/>
      <w:r w:rsidRPr="00C07BB7">
        <w:rPr>
          <w:rFonts w:cs="Arial"/>
        </w:rPr>
        <w:t xml:space="preserve">, R. and others (2024) ‘KDIGO 2024 clinical practice guideline for the evaluation and management of chronic kidney disease’, </w:t>
      </w:r>
      <w:r w:rsidRPr="00C07BB7">
        <w:rPr>
          <w:rFonts w:cs="Arial"/>
          <w:i/>
        </w:rPr>
        <w:t>Kidney International</w:t>
      </w:r>
      <w:r w:rsidRPr="00C07BB7">
        <w:rPr>
          <w:rFonts w:cs="Arial"/>
        </w:rPr>
        <w:t xml:space="preserve">, 105(4S), pp. S117–S314. </w:t>
      </w:r>
      <w:proofErr w:type="spellStart"/>
      <w:r w:rsidRPr="00C07BB7">
        <w:rPr>
          <w:rFonts w:cs="Arial"/>
        </w:rPr>
        <w:t>doi</w:t>
      </w:r>
      <w:proofErr w:type="spellEnd"/>
      <w:r w:rsidRPr="00C07BB7">
        <w:rPr>
          <w:rFonts w:cs="Arial"/>
        </w:rPr>
        <w:t>: https://doi.org/10.1016/j.kint.2023.10.018.</w:t>
      </w:r>
    </w:p>
    <w:p w14:paraId="35691FC3" w14:textId="77777777" w:rsidR="000E117B" w:rsidRPr="00C07BB7" w:rsidRDefault="000E117B" w:rsidP="00574EFA">
      <w:pPr>
        <w:pStyle w:val="TOC2"/>
        <w:numPr>
          <w:ilvl w:val="0"/>
          <w:numId w:val="14"/>
        </w:numPr>
        <w:rPr>
          <w:rFonts w:cs="Arial"/>
        </w:rPr>
      </w:pPr>
      <w:r w:rsidRPr="00C07BB7">
        <w:rPr>
          <w:rFonts w:cs="Arial"/>
        </w:rPr>
        <w:t xml:space="preserve">Stewart, S., Kalra, P.A., Blakeman, T., </w:t>
      </w:r>
      <w:proofErr w:type="spellStart"/>
      <w:r w:rsidRPr="00C07BB7">
        <w:rPr>
          <w:rFonts w:cs="Arial"/>
        </w:rPr>
        <w:t>Kontopantelis</w:t>
      </w:r>
      <w:proofErr w:type="spellEnd"/>
      <w:r w:rsidRPr="00C07BB7">
        <w:rPr>
          <w:rFonts w:cs="Arial"/>
        </w:rPr>
        <w:t xml:space="preserve">, E., Cranmer-Gordon, H. and Sinha, S. (2024) ‘Chronic kidney disease: detect, diagnose, disclose—a UK primary care perspective of barriers and enablers to effective kidney care’, </w:t>
      </w:r>
      <w:r w:rsidRPr="00C07BB7">
        <w:rPr>
          <w:rFonts w:cs="Arial"/>
          <w:i/>
        </w:rPr>
        <w:t>BMC Medicine</w:t>
      </w:r>
      <w:r w:rsidRPr="00C07BB7">
        <w:rPr>
          <w:rFonts w:cs="Arial"/>
        </w:rPr>
        <w:t xml:space="preserve">, 22(1). </w:t>
      </w:r>
      <w:proofErr w:type="spellStart"/>
      <w:r w:rsidRPr="00C07BB7">
        <w:rPr>
          <w:rFonts w:cs="Arial"/>
        </w:rPr>
        <w:t>doi</w:t>
      </w:r>
      <w:proofErr w:type="spellEnd"/>
      <w:r w:rsidRPr="00C07BB7">
        <w:rPr>
          <w:rFonts w:cs="Arial"/>
        </w:rPr>
        <w:t>: https://doi.org/10.1186/s12916-024-03555-0.</w:t>
      </w:r>
    </w:p>
    <w:p w14:paraId="1CF45515" w14:textId="77777777" w:rsidR="000E117B" w:rsidRPr="00C07BB7" w:rsidRDefault="000E117B" w:rsidP="00574EFA">
      <w:pPr>
        <w:pStyle w:val="TOC2"/>
        <w:numPr>
          <w:ilvl w:val="0"/>
          <w:numId w:val="14"/>
        </w:numPr>
        <w:rPr>
          <w:rFonts w:cs="Arial"/>
        </w:rPr>
      </w:pPr>
      <w:r w:rsidRPr="00C07BB7">
        <w:rPr>
          <w:rFonts w:cs="Arial"/>
        </w:rPr>
        <w:t xml:space="preserve">Stewart, S., Kalra, P.A., </w:t>
      </w:r>
      <w:proofErr w:type="spellStart"/>
      <w:r w:rsidRPr="00C07BB7">
        <w:rPr>
          <w:rFonts w:cs="Arial"/>
        </w:rPr>
        <w:t>Kontopantelis</w:t>
      </w:r>
      <w:proofErr w:type="spellEnd"/>
      <w:r w:rsidRPr="00C07BB7">
        <w:rPr>
          <w:rFonts w:cs="Arial"/>
        </w:rPr>
        <w:t xml:space="preserve">, E., Blakeman, T. and Sinha, S. (2025) ‘Coded and uncoded chronic kidney disease: an explainer’, </w:t>
      </w:r>
      <w:r w:rsidRPr="00C07BB7">
        <w:rPr>
          <w:rFonts w:cs="Arial"/>
          <w:i/>
        </w:rPr>
        <w:t>British Journal of General Practice</w:t>
      </w:r>
      <w:r w:rsidRPr="00C07BB7">
        <w:rPr>
          <w:rFonts w:cs="Arial"/>
        </w:rPr>
        <w:t>, 75(758), pp.425–428. doi:10.3399/BJGP.2025.0228.</w:t>
      </w:r>
    </w:p>
    <w:p w14:paraId="6470C6EA" w14:textId="77777777" w:rsidR="000E117B" w:rsidRPr="00C07BB7" w:rsidRDefault="000E117B" w:rsidP="00574EFA">
      <w:pPr>
        <w:pStyle w:val="TOC2"/>
        <w:numPr>
          <w:ilvl w:val="0"/>
          <w:numId w:val="14"/>
        </w:numPr>
        <w:rPr>
          <w:rFonts w:cs="Arial"/>
        </w:rPr>
      </w:pPr>
      <w:r w:rsidRPr="00C07BB7">
        <w:rPr>
          <w:rFonts w:cs="Arial"/>
        </w:rPr>
        <w:t xml:space="preserve">Stewart, S., Kalra, P.A., </w:t>
      </w:r>
      <w:proofErr w:type="spellStart"/>
      <w:r w:rsidRPr="00C07BB7">
        <w:rPr>
          <w:rFonts w:cs="Arial"/>
        </w:rPr>
        <w:t>Kontopantelis</w:t>
      </w:r>
      <w:proofErr w:type="spellEnd"/>
      <w:r w:rsidRPr="00C07BB7">
        <w:rPr>
          <w:rFonts w:cs="Arial"/>
        </w:rPr>
        <w:t xml:space="preserve">, E., Blakeman, T., Tilston, G. and Sinha, S. (2026) ‘Use of the kidney failure risk equation: a regional retrospective primary care cohort study in England’, </w:t>
      </w:r>
      <w:r w:rsidRPr="00C07BB7">
        <w:rPr>
          <w:rFonts w:cs="Arial"/>
          <w:i/>
        </w:rPr>
        <w:t>British Journal of General Practice</w:t>
      </w:r>
      <w:r w:rsidRPr="00C07BB7">
        <w:rPr>
          <w:rFonts w:cs="Arial"/>
        </w:rPr>
        <w:t>, 76(766), pp. e356–e365. doi:10.3399/BJGP.2025.0490.</w:t>
      </w:r>
    </w:p>
    <w:p w14:paraId="558BF95D" w14:textId="77777777" w:rsidR="000E117B" w:rsidRPr="00C07BB7" w:rsidRDefault="000E117B" w:rsidP="00574EFA">
      <w:pPr>
        <w:pStyle w:val="TOC2"/>
        <w:numPr>
          <w:ilvl w:val="0"/>
          <w:numId w:val="14"/>
        </w:numPr>
        <w:rPr>
          <w:rFonts w:cs="Arial"/>
        </w:rPr>
      </w:pPr>
      <w:r w:rsidRPr="00C07BB7">
        <w:rPr>
          <w:rFonts w:cs="Arial"/>
        </w:rPr>
        <w:t xml:space="preserve">Sullivan, M.K., Jani, B.D., Rutherford, E., Welsh, P., McConnachie, A., Major, R.W., McAllister, D., Nitsch, D., Mair, F.S., Mark, P.B. and Lees, J.S. (2023) ‘Potential impact of NICE guidelines on referrals from primary care to nephrology: a primary care database and prospective research study’, </w:t>
      </w:r>
      <w:r w:rsidRPr="00C07BB7">
        <w:rPr>
          <w:rFonts w:cs="Arial"/>
          <w:i/>
        </w:rPr>
        <w:t>British Journal of General Practice</w:t>
      </w:r>
      <w:r w:rsidRPr="00C07BB7">
        <w:rPr>
          <w:rFonts w:cs="Arial"/>
        </w:rPr>
        <w:t>, 73(727), pp.e141–e147. doi:10.3399/BJGP.2022.0145.</w:t>
      </w:r>
    </w:p>
    <w:p w14:paraId="75EA5660" w14:textId="77777777" w:rsidR="000E117B" w:rsidRPr="00574EFA" w:rsidRDefault="000E117B" w:rsidP="00574EFA">
      <w:pPr>
        <w:pStyle w:val="ListParagraph"/>
        <w:numPr>
          <w:ilvl w:val="0"/>
          <w:numId w:val="14"/>
        </w:numPr>
        <w:rPr>
          <w:rFonts w:cs="Arial"/>
        </w:rPr>
      </w:pPr>
      <w:r w:rsidRPr="00574EFA">
        <w:rPr>
          <w:rFonts w:cs="Arial"/>
        </w:rPr>
        <w:t xml:space="preserve">Sullivan, M.K., Lees, J.S., Rosales, B.M., Cutting, R., Wyld, M.L., Woodward, M., Webster, A.C., Mark, P.B. and De La Mata, N. (2024) ‘Sex and the relationship between cardiometabolic risk factors and estimated GFR decline: a population-based cohort study’, </w:t>
      </w:r>
      <w:r w:rsidRPr="00574EFA">
        <w:rPr>
          <w:rFonts w:cs="Arial"/>
          <w:i/>
          <w:iCs/>
        </w:rPr>
        <w:t>American Journal of Kidney Diseases</w:t>
      </w:r>
      <w:r w:rsidRPr="00574EFA">
        <w:rPr>
          <w:rFonts w:cs="Arial"/>
        </w:rPr>
        <w:t xml:space="preserve">, 84(6), pp. 731–741.e1. doi:10.1053/j.ajkd.2024.05.007. </w:t>
      </w:r>
    </w:p>
    <w:p w14:paraId="3A0088CD" w14:textId="77777777" w:rsidR="000E117B" w:rsidRPr="00C07BB7" w:rsidRDefault="000E117B" w:rsidP="00574EFA">
      <w:pPr>
        <w:pStyle w:val="TOC2"/>
        <w:numPr>
          <w:ilvl w:val="0"/>
          <w:numId w:val="14"/>
        </w:numPr>
        <w:rPr>
          <w:rFonts w:cs="Arial"/>
        </w:rPr>
      </w:pPr>
      <w:r w:rsidRPr="00C07BB7">
        <w:rPr>
          <w:rFonts w:cs="Arial"/>
        </w:rPr>
        <w:t xml:space="preserve">Tang, R., Kou, M., Li, X., Wang, X., Ma, H., </w:t>
      </w:r>
      <w:proofErr w:type="spellStart"/>
      <w:r w:rsidRPr="00C07BB7">
        <w:rPr>
          <w:rFonts w:cs="Arial"/>
        </w:rPr>
        <w:t>Heianza</w:t>
      </w:r>
      <w:proofErr w:type="spellEnd"/>
      <w:r w:rsidRPr="00C07BB7">
        <w:rPr>
          <w:rFonts w:cs="Arial"/>
        </w:rPr>
        <w:t xml:space="preserve">, Y. and Qi, L. (2024a) ‘Degree of joint risk factor control and incident chronic kidney disease among individuals with obesity’, </w:t>
      </w:r>
      <w:r w:rsidRPr="00C07BB7">
        <w:rPr>
          <w:rFonts w:cs="Arial"/>
          <w:i/>
        </w:rPr>
        <w:t>Diabetes, Obesity and Metabolism</w:t>
      </w:r>
      <w:r w:rsidRPr="00C07BB7">
        <w:rPr>
          <w:rFonts w:cs="Arial"/>
        </w:rPr>
        <w:t>, 26(11), pp.4864–4874. doi:10.1111/dom.15874.</w:t>
      </w:r>
    </w:p>
    <w:p w14:paraId="418CF7EA" w14:textId="77777777" w:rsidR="000E117B" w:rsidRPr="00C07BB7" w:rsidRDefault="000E117B" w:rsidP="00574EFA">
      <w:pPr>
        <w:pStyle w:val="TOC2"/>
        <w:numPr>
          <w:ilvl w:val="0"/>
          <w:numId w:val="14"/>
        </w:numPr>
        <w:rPr>
          <w:rFonts w:cs="Arial"/>
        </w:rPr>
      </w:pPr>
      <w:r w:rsidRPr="00C07BB7">
        <w:rPr>
          <w:rFonts w:cs="Arial"/>
        </w:rPr>
        <w:t xml:space="preserve">Tang, R., Kou, M., Wang, X., Ma, H., Li, X., Heianza, Y. and Qi, L. (2023) 'Self-reported frequency of adding salt to food and risk of incident chronic kidney disease', </w:t>
      </w:r>
      <w:r w:rsidRPr="00C07BB7">
        <w:rPr>
          <w:rFonts w:cs="Arial"/>
          <w:i/>
        </w:rPr>
        <w:t>JAMA Network Open</w:t>
      </w:r>
      <w:r w:rsidRPr="00C07BB7">
        <w:rPr>
          <w:rFonts w:cs="Arial"/>
        </w:rPr>
        <w:t xml:space="preserve">, 6(12), e2349930. </w:t>
      </w:r>
      <w:proofErr w:type="spellStart"/>
      <w:r w:rsidRPr="00C07BB7">
        <w:rPr>
          <w:rFonts w:cs="Arial"/>
        </w:rPr>
        <w:t>doi</w:t>
      </w:r>
      <w:proofErr w:type="spellEnd"/>
      <w:r w:rsidRPr="00C07BB7">
        <w:rPr>
          <w:rFonts w:cs="Arial"/>
        </w:rPr>
        <w:t>: https://doi.org/10.1001/jamanetworkopen.2023.49930.</w:t>
      </w:r>
    </w:p>
    <w:p w14:paraId="580FA4DF" w14:textId="77777777" w:rsidR="000E117B" w:rsidRPr="00C07BB7" w:rsidRDefault="000E117B" w:rsidP="00574EFA">
      <w:pPr>
        <w:pStyle w:val="TOC2"/>
        <w:numPr>
          <w:ilvl w:val="0"/>
          <w:numId w:val="14"/>
        </w:numPr>
        <w:rPr>
          <w:rFonts w:cs="Arial"/>
        </w:rPr>
      </w:pPr>
      <w:r w:rsidRPr="00C07BB7">
        <w:rPr>
          <w:rFonts w:cs="Arial"/>
        </w:rPr>
        <w:t xml:space="preserve">Tang, R., Zhou, J., Wang, X., Ma, H., Li, X., Heianza, Y. and Qi, L. (2024b) ‘Loneliness, social isolation and incident chronic kidney disease among patients with diabetes’, </w:t>
      </w:r>
      <w:r w:rsidRPr="00C07BB7">
        <w:rPr>
          <w:rFonts w:cs="Arial"/>
          <w:i/>
        </w:rPr>
        <w:t>General Psychiatry</w:t>
      </w:r>
      <w:r w:rsidRPr="00C07BB7">
        <w:rPr>
          <w:rFonts w:cs="Arial"/>
        </w:rPr>
        <w:t>, 37(3), p.e101298. doi:10.1136/gpsych-2023-101298.</w:t>
      </w:r>
    </w:p>
    <w:p w14:paraId="6B34E92F" w14:textId="77777777" w:rsidR="000E117B" w:rsidRPr="00C07BB7" w:rsidRDefault="000E117B" w:rsidP="00574EFA">
      <w:pPr>
        <w:pStyle w:val="TOC2"/>
        <w:numPr>
          <w:ilvl w:val="0"/>
          <w:numId w:val="14"/>
        </w:numPr>
        <w:rPr>
          <w:rFonts w:cs="Arial"/>
        </w:rPr>
      </w:pPr>
      <w:r w:rsidRPr="00C07BB7">
        <w:rPr>
          <w:rFonts w:cs="Arial"/>
        </w:rPr>
        <w:t>UK Data Service (2024) Research data management. Available at: https://ukdataservice.ac.uk/learning-hub/research-data-management/ (Accessed: 16 July 2026).</w:t>
      </w:r>
    </w:p>
    <w:p w14:paraId="67E298AC" w14:textId="77777777" w:rsidR="000E117B" w:rsidRPr="00C07BB7" w:rsidRDefault="000E117B" w:rsidP="00574EFA">
      <w:pPr>
        <w:pStyle w:val="TOC2"/>
        <w:numPr>
          <w:ilvl w:val="0"/>
          <w:numId w:val="14"/>
        </w:numPr>
        <w:rPr>
          <w:rFonts w:cs="Arial"/>
        </w:rPr>
      </w:pPr>
      <w:r w:rsidRPr="00C07BB7">
        <w:rPr>
          <w:rFonts w:cs="Arial"/>
        </w:rPr>
        <w:t>UKRI (2026) Integrity of research. Available at: https://www.ukri.org/what-we-do/supporting-healthy-research-and-innovation-culture/research-integrity/ (Accessed: 16 July 2026).</w:t>
      </w:r>
    </w:p>
    <w:p w14:paraId="7B07EE33" w14:textId="77777777" w:rsidR="000E117B" w:rsidRPr="00C07BB7" w:rsidRDefault="000E117B" w:rsidP="00574EFA">
      <w:pPr>
        <w:pStyle w:val="TOC2"/>
        <w:numPr>
          <w:ilvl w:val="0"/>
          <w:numId w:val="14"/>
        </w:numPr>
        <w:rPr>
          <w:rFonts w:cs="Arial"/>
        </w:rPr>
      </w:pPr>
      <w:r w:rsidRPr="00C07BB7">
        <w:rPr>
          <w:rFonts w:cs="Arial"/>
        </w:rPr>
        <w:t>UKRIO (2025) Code of Practice for Research. Available at: https://ukrio.org/ukrio-resources/publications/code-of-practice-for-research/ (Accessed: 16 July 2026).</w:t>
      </w:r>
    </w:p>
    <w:p w14:paraId="7A4A140F" w14:textId="77777777" w:rsidR="000E117B" w:rsidRPr="00C07BB7" w:rsidRDefault="000E117B" w:rsidP="00574EFA">
      <w:pPr>
        <w:pStyle w:val="TOC2"/>
        <w:numPr>
          <w:ilvl w:val="0"/>
          <w:numId w:val="14"/>
        </w:numPr>
        <w:rPr>
          <w:rFonts w:cs="Arial"/>
        </w:rPr>
      </w:pPr>
      <w:r w:rsidRPr="00C07BB7">
        <w:rPr>
          <w:rFonts w:cs="Arial"/>
        </w:rPr>
        <w:t>Ulster University (2024) Research breakthrough in early diagnosis of chronic kidney disease and COVID-19. Available at: https://www.ulster.ac.uk/news/2024/november/ulster-university-research-breakthrough-in-early-diagnosis-of-chronic-kidney-disease-and-covid-19.</w:t>
      </w:r>
    </w:p>
    <w:p w14:paraId="06F07545" w14:textId="77777777" w:rsidR="000E117B" w:rsidRPr="00C07BB7" w:rsidRDefault="000E117B" w:rsidP="00574EFA">
      <w:pPr>
        <w:pStyle w:val="TOC2"/>
        <w:numPr>
          <w:ilvl w:val="0"/>
          <w:numId w:val="14"/>
        </w:numPr>
        <w:rPr>
          <w:rFonts w:cs="Arial"/>
        </w:rPr>
      </w:pPr>
      <w:r w:rsidRPr="00C07BB7">
        <w:rPr>
          <w:rFonts w:cs="Arial"/>
        </w:rPr>
        <w:t xml:space="preserve">Walker, H., Khan, S., Padmanabhan, S., Pell, J.P., Lewsey, J., Mackay, D., Dundas, R., Friday, J.M., Tran, T.Q.B., Brown, D., Ho, F., Hastie, C.E., Fleming, M., Geue, C., Stevenson, A., Du Toit, C., Jani, B.D., Gallacher, K., Mark, P.B. and Sullivan, M.K. (2025) ‘Analysis of the kidney failure risk equation implementation in routine clinical practice and health inequalities in chronic kidney disease care: a retrospective cohort study’, </w:t>
      </w:r>
      <w:r w:rsidRPr="00C07BB7">
        <w:rPr>
          <w:rFonts w:cs="Arial"/>
          <w:i/>
        </w:rPr>
        <w:t>BMC Nephrology</w:t>
      </w:r>
      <w:r w:rsidRPr="00C07BB7">
        <w:rPr>
          <w:rFonts w:cs="Arial"/>
        </w:rPr>
        <w:t>, 26(1), p.113. doi:10.1186/s12882-025-04043-0.</w:t>
      </w:r>
    </w:p>
    <w:p w14:paraId="51CF883F" w14:textId="77777777" w:rsidR="000E117B" w:rsidRPr="00C07BB7" w:rsidRDefault="000E117B" w:rsidP="00574EFA">
      <w:pPr>
        <w:pStyle w:val="TOC2"/>
        <w:numPr>
          <w:ilvl w:val="0"/>
          <w:numId w:val="14"/>
        </w:numPr>
        <w:rPr>
          <w:rFonts w:cs="Arial"/>
        </w:rPr>
      </w:pPr>
      <w:r w:rsidRPr="00C07BB7">
        <w:rPr>
          <w:rFonts w:cs="Arial"/>
        </w:rPr>
        <w:t xml:space="preserve">Wang, J., Li, D., Sun, Y. and Tian, Y. (2022) ‘Air pollutants, genetic factors, and risk of chronic kidney disease: findings from the UK Biobank’, </w:t>
      </w:r>
      <w:r w:rsidRPr="00C07BB7">
        <w:rPr>
          <w:rFonts w:cs="Arial"/>
          <w:i/>
        </w:rPr>
        <w:t>Ecotoxicology and Environmental Safety</w:t>
      </w:r>
      <w:r w:rsidRPr="00C07BB7">
        <w:rPr>
          <w:rFonts w:cs="Arial"/>
        </w:rPr>
        <w:t>, 247, 114219. doi:10.1016/j.ecoenv.2022.114219.</w:t>
      </w:r>
    </w:p>
    <w:p w14:paraId="21AAAADC" w14:textId="77777777" w:rsidR="000E117B" w:rsidRPr="00C07BB7" w:rsidRDefault="000E117B" w:rsidP="00574EFA">
      <w:pPr>
        <w:pStyle w:val="TOC2"/>
        <w:numPr>
          <w:ilvl w:val="0"/>
          <w:numId w:val="14"/>
        </w:numPr>
        <w:rPr>
          <w:rFonts w:cs="Arial"/>
        </w:rPr>
      </w:pPr>
      <w:r w:rsidRPr="00C07BB7">
        <w:rPr>
          <w:rFonts w:cs="Arial"/>
        </w:rPr>
        <w:t xml:space="preserve">Wang, J., </w:t>
      </w:r>
      <w:proofErr w:type="spellStart"/>
      <w:r w:rsidRPr="00C07BB7">
        <w:rPr>
          <w:rFonts w:cs="Arial"/>
        </w:rPr>
        <w:t>Nirantharakumar</w:t>
      </w:r>
      <w:proofErr w:type="spellEnd"/>
      <w:r w:rsidRPr="00C07BB7">
        <w:rPr>
          <w:rFonts w:cs="Arial"/>
        </w:rPr>
        <w:t xml:space="preserve">, K., Gokhale, K., </w:t>
      </w:r>
      <w:proofErr w:type="spellStart"/>
      <w:r w:rsidRPr="00C07BB7">
        <w:rPr>
          <w:rFonts w:cs="Arial"/>
        </w:rPr>
        <w:t>Tahrani</w:t>
      </w:r>
      <w:proofErr w:type="spellEnd"/>
      <w:r w:rsidRPr="00C07BB7">
        <w:rPr>
          <w:rFonts w:cs="Arial"/>
        </w:rPr>
        <w:t xml:space="preserve">, A.A., Taverner, T., Thomas, G.N. and Dasgupta, I. (2022) 'Obesity without metabolic abnormality and incident CKD: a population-based British cohort study', </w:t>
      </w:r>
      <w:r w:rsidRPr="00C07BB7">
        <w:rPr>
          <w:rFonts w:cs="Arial"/>
          <w:i/>
        </w:rPr>
        <w:t>American Journal of Kidney Diseases</w:t>
      </w:r>
      <w:r w:rsidRPr="00C07BB7">
        <w:rPr>
          <w:rFonts w:cs="Arial"/>
        </w:rPr>
        <w:t xml:space="preserve">, 79(1), pp. 24-35.e1. </w:t>
      </w:r>
      <w:proofErr w:type="spellStart"/>
      <w:r w:rsidRPr="00C07BB7">
        <w:rPr>
          <w:rFonts w:cs="Arial"/>
        </w:rPr>
        <w:t>doi</w:t>
      </w:r>
      <w:proofErr w:type="spellEnd"/>
      <w:r w:rsidRPr="00C07BB7">
        <w:rPr>
          <w:rFonts w:cs="Arial"/>
        </w:rPr>
        <w:t>: https://doi.org/10.1053/j.ajkd.2021.05.008.</w:t>
      </w:r>
    </w:p>
    <w:p w14:paraId="2B6988D3" w14:textId="77777777" w:rsidR="000E117B" w:rsidRPr="00C07BB7" w:rsidRDefault="000E117B" w:rsidP="00574EFA">
      <w:pPr>
        <w:pStyle w:val="TOC2"/>
        <w:numPr>
          <w:ilvl w:val="0"/>
          <w:numId w:val="14"/>
        </w:numPr>
        <w:rPr>
          <w:rFonts w:cs="Arial"/>
        </w:rPr>
      </w:pPr>
      <w:r w:rsidRPr="00C07BB7">
        <w:rPr>
          <w:rFonts w:cs="Arial"/>
        </w:rPr>
        <w:t xml:space="preserve">Weon, B., Jang, Y., Jo, J., Jin, W., Ha, S., Ko, A., Oh, Y.K., Lim, C.S., Lee, J.P., Won, S. and Lee, J. (2024) ‘Association between dyslipidemia and the risk of incident chronic kidney disease affected by genetic susceptibility: polygenic risk score analysis’, </w:t>
      </w:r>
      <w:r w:rsidRPr="00C07BB7">
        <w:rPr>
          <w:rFonts w:cs="Arial"/>
          <w:i/>
        </w:rPr>
        <w:t>PLOS ONE</w:t>
      </w:r>
      <w:r w:rsidRPr="00C07BB7">
        <w:rPr>
          <w:rFonts w:cs="Arial"/>
        </w:rPr>
        <w:t>, 19(4), p.e0299605. doi:10.1371/journal.pone.0299605.</w:t>
      </w:r>
    </w:p>
    <w:p w14:paraId="0AB2C466" w14:textId="77777777" w:rsidR="000E117B" w:rsidRPr="00C07BB7" w:rsidRDefault="000E117B" w:rsidP="00574EFA">
      <w:pPr>
        <w:pStyle w:val="TOC2"/>
        <w:numPr>
          <w:ilvl w:val="0"/>
          <w:numId w:val="14"/>
        </w:numPr>
        <w:rPr>
          <w:rFonts w:cs="Arial"/>
        </w:rPr>
      </w:pPr>
      <w:r w:rsidRPr="00C07BB7">
        <w:rPr>
          <w:rFonts w:cs="Arial"/>
        </w:rPr>
        <w:t>World Health Organization (WHO) (2026) Kidney disease. Available at: https://www.who.int/news-room/fact-sheets/detail/kidney-disease.</w:t>
      </w:r>
    </w:p>
    <w:p w14:paraId="072523F2" w14:textId="77777777" w:rsidR="000E117B" w:rsidRPr="00C07BB7" w:rsidRDefault="000E117B" w:rsidP="00574EFA">
      <w:pPr>
        <w:pStyle w:val="TOC2"/>
        <w:numPr>
          <w:ilvl w:val="0"/>
          <w:numId w:val="14"/>
        </w:numPr>
        <w:rPr>
          <w:rFonts w:cs="Arial"/>
        </w:rPr>
      </w:pPr>
      <w:r w:rsidRPr="00C07BB7">
        <w:rPr>
          <w:rFonts w:cs="Arial"/>
        </w:rPr>
        <w:t xml:space="preserve">Wu, G., Cai, M., Wang, C., Zou, H., Wang, X., Hua, J. and Lin, H. (2023) 'Ambient air pollution and incidence, progression to multimorbidity and death of hypertension, diabetes, and chronic kidney disease: a national prospective cohort', </w:t>
      </w:r>
      <w:r w:rsidRPr="00C07BB7">
        <w:rPr>
          <w:rFonts w:cs="Arial"/>
          <w:i/>
        </w:rPr>
        <w:t>Science of the Total Environment</w:t>
      </w:r>
      <w:r w:rsidRPr="00C07BB7">
        <w:rPr>
          <w:rFonts w:cs="Arial"/>
        </w:rPr>
        <w:t xml:space="preserve">, 881, 163406. </w:t>
      </w:r>
      <w:proofErr w:type="spellStart"/>
      <w:r w:rsidRPr="00C07BB7">
        <w:rPr>
          <w:rFonts w:cs="Arial"/>
        </w:rPr>
        <w:t>doi</w:t>
      </w:r>
      <w:proofErr w:type="spellEnd"/>
      <w:r w:rsidRPr="00C07BB7">
        <w:rPr>
          <w:rFonts w:cs="Arial"/>
        </w:rPr>
        <w:t>: https://doi.org/10.1016/j.scitotenv.2023.163406.</w:t>
      </w:r>
    </w:p>
    <w:p w14:paraId="36E0B8CE" w14:textId="77777777" w:rsidR="000E117B" w:rsidRPr="00C07BB7" w:rsidRDefault="000E117B" w:rsidP="00574EFA">
      <w:pPr>
        <w:pStyle w:val="TOC2"/>
        <w:numPr>
          <w:ilvl w:val="0"/>
          <w:numId w:val="14"/>
        </w:numPr>
        <w:rPr>
          <w:rFonts w:cs="Arial"/>
        </w:rPr>
      </w:pPr>
      <w:r w:rsidRPr="00C07BB7">
        <w:rPr>
          <w:rFonts w:cs="Arial"/>
        </w:rPr>
        <w:t xml:space="preserve">Zac-Varghese, S., Mark, P., Bain, S., Banerjee, D., Chowdhury, T.A., Dasgupta, I., De, P., Fogarty, D., Frankel, A., </w:t>
      </w:r>
      <w:proofErr w:type="spellStart"/>
      <w:r w:rsidRPr="00C07BB7">
        <w:rPr>
          <w:rFonts w:cs="Arial"/>
        </w:rPr>
        <w:t>Goldet</w:t>
      </w:r>
      <w:proofErr w:type="spellEnd"/>
      <w:r w:rsidRPr="00C07BB7">
        <w:rPr>
          <w:rFonts w:cs="Arial"/>
        </w:rPr>
        <w:t xml:space="preserve">, G., </w:t>
      </w:r>
      <w:proofErr w:type="spellStart"/>
      <w:r w:rsidRPr="00C07BB7">
        <w:rPr>
          <w:rFonts w:cs="Arial"/>
        </w:rPr>
        <w:t>Karalliedde</w:t>
      </w:r>
      <w:proofErr w:type="spellEnd"/>
      <w:r w:rsidRPr="00C07BB7">
        <w:rPr>
          <w:rFonts w:cs="Arial"/>
        </w:rPr>
        <w:t xml:space="preserve">, J., Mallik, R., Montero, R., Sharif, A., Wahba, M., McCafferty, K., </w:t>
      </w:r>
      <w:proofErr w:type="spellStart"/>
      <w:r w:rsidRPr="00C07BB7">
        <w:rPr>
          <w:rFonts w:cs="Arial"/>
        </w:rPr>
        <w:t>Lioudaki</w:t>
      </w:r>
      <w:proofErr w:type="spellEnd"/>
      <w:r w:rsidRPr="00C07BB7">
        <w:rPr>
          <w:rFonts w:cs="Arial"/>
        </w:rPr>
        <w:t xml:space="preserve">, E. and </w:t>
      </w:r>
      <w:proofErr w:type="spellStart"/>
      <w:r w:rsidRPr="00C07BB7">
        <w:rPr>
          <w:rFonts w:cs="Arial"/>
        </w:rPr>
        <w:t>Winocour</w:t>
      </w:r>
      <w:proofErr w:type="spellEnd"/>
      <w:r w:rsidRPr="00C07BB7">
        <w:rPr>
          <w:rFonts w:cs="Arial"/>
        </w:rPr>
        <w:t xml:space="preserve">, P. (2024) ‘Clinical practice guideline for the management of lipids in adults with diabetic kidney disease: abbreviated summary of the Joint Association of British Clinical Diabetologists and UK Kidney Association guideline 2024’, </w:t>
      </w:r>
      <w:r w:rsidRPr="00C07BB7">
        <w:rPr>
          <w:rFonts w:cs="Arial"/>
          <w:i/>
        </w:rPr>
        <w:t>BMC Nephrology</w:t>
      </w:r>
      <w:r w:rsidRPr="00C07BB7">
        <w:rPr>
          <w:rFonts w:cs="Arial"/>
        </w:rPr>
        <w:t xml:space="preserve">, 25(1). </w:t>
      </w:r>
      <w:proofErr w:type="spellStart"/>
      <w:r w:rsidRPr="00C07BB7">
        <w:rPr>
          <w:rFonts w:cs="Arial"/>
        </w:rPr>
        <w:t>doi</w:t>
      </w:r>
      <w:proofErr w:type="spellEnd"/>
      <w:r w:rsidRPr="00C07BB7">
        <w:rPr>
          <w:rFonts w:cs="Arial"/>
        </w:rPr>
        <w:t>: https://doi.org/10.1186/s12882-024-03664-1.</w:t>
      </w:r>
    </w:p>
    <w:p w14:paraId="661E9206" w14:textId="77777777" w:rsidR="000E117B" w:rsidRPr="00C07BB7" w:rsidRDefault="000E117B" w:rsidP="00574EFA">
      <w:pPr>
        <w:pStyle w:val="TOC2"/>
        <w:numPr>
          <w:ilvl w:val="0"/>
          <w:numId w:val="14"/>
        </w:numPr>
        <w:rPr>
          <w:rFonts w:cs="Arial"/>
        </w:rPr>
      </w:pPr>
      <w:proofErr w:type="spellStart"/>
      <w:r w:rsidRPr="00C07BB7">
        <w:rPr>
          <w:rFonts w:cs="Arial"/>
        </w:rPr>
        <w:t>Zemedikun</w:t>
      </w:r>
      <w:proofErr w:type="spellEnd"/>
      <w:r w:rsidRPr="00C07BB7">
        <w:rPr>
          <w:rFonts w:cs="Arial"/>
        </w:rPr>
        <w:t xml:space="preserve">, D.T., Gray, L.J., </w:t>
      </w:r>
      <w:proofErr w:type="spellStart"/>
      <w:r w:rsidRPr="00C07BB7">
        <w:rPr>
          <w:rFonts w:cs="Arial"/>
        </w:rPr>
        <w:t>Khunti</w:t>
      </w:r>
      <w:proofErr w:type="spellEnd"/>
      <w:r w:rsidRPr="00C07BB7">
        <w:rPr>
          <w:rFonts w:cs="Arial"/>
        </w:rPr>
        <w:t xml:space="preserve">, K., Davies, M.J. and </w:t>
      </w:r>
      <w:proofErr w:type="spellStart"/>
      <w:r w:rsidRPr="00C07BB7">
        <w:rPr>
          <w:rFonts w:cs="Arial"/>
        </w:rPr>
        <w:t>Dhalwani</w:t>
      </w:r>
      <w:proofErr w:type="spellEnd"/>
      <w:r w:rsidRPr="00C07BB7">
        <w:rPr>
          <w:rFonts w:cs="Arial"/>
        </w:rPr>
        <w:t xml:space="preserve">, N.N. (2018) 'Patterns of multimorbidity in middle-aged and older adults: an analysis of the UK Biobank data', </w:t>
      </w:r>
      <w:r w:rsidRPr="00C07BB7">
        <w:rPr>
          <w:rFonts w:cs="Arial"/>
          <w:i/>
        </w:rPr>
        <w:t>Mayo Clinic Proceedings</w:t>
      </w:r>
      <w:r w:rsidRPr="00C07BB7">
        <w:rPr>
          <w:rFonts w:cs="Arial"/>
        </w:rPr>
        <w:t xml:space="preserve">, 93(7), pp. 857-866. </w:t>
      </w:r>
      <w:proofErr w:type="spellStart"/>
      <w:r w:rsidRPr="00C07BB7">
        <w:rPr>
          <w:rFonts w:cs="Arial"/>
        </w:rPr>
        <w:t>doi</w:t>
      </w:r>
      <w:proofErr w:type="spellEnd"/>
      <w:r w:rsidRPr="00C07BB7">
        <w:rPr>
          <w:rFonts w:cs="Arial"/>
        </w:rPr>
        <w:t>: https://doi.org/10.1016/j.mayocp.2018.02.012.</w:t>
      </w:r>
    </w:p>
    <w:p w14:paraId="3DD4CC31" w14:textId="77777777" w:rsidR="000E117B" w:rsidRPr="00C07BB7" w:rsidRDefault="000E117B" w:rsidP="00574EFA">
      <w:pPr>
        <w:pStyle w:val="TOC2"/>
        <w:numPr>
          <w:ilvl w:val="0"/>
          <w:numId w:val="14"/>
        </w:numPr>
        <w:rPr>
          <w:rFonts w:cs="Arial"/>
        </w:rPr>
      </w:pPr>
      <w:r w:rsidRPr="00C07BB7">
        <w:rPr>
          <w:rFonts w:cs="Arial"/>
        </w:rPr>
        <w:t xml:space="preserve">Zhang, F., Yang, C., Wang, F., Liu, Y., Guo, C.-G., Li, P. and Zhang, L. (2024) ‘Air pollution and the risk of incident chronic kidney disease in patients with diabetes: an exposure-response analysis’, </w:t>
      </w:r>
      <w:r w:rsidRPr="00C07BB7">
        <w:rPr>
          <w:rFonts w:cs="Arial"/>
          <w:i/>
        </w:rPr>
        <w:t>Ecotoxicology and Environmental Safety</w:t>
      </w:r>
      <w:r w:rsidRPr="00C07BB7">
        <w:rPr>
          <w:rFonts w:cs="Arial"/>
        </w:rPr>
        <w:t>, 270, p.115829. doi:10.1016/j.ecoenv.2023.115829.</w:t>
      </w:r>
    </w:p>
    <w:p w14:paraId="049E64DC" w14:textId="77777777" w:rsidR="00DE232F" w:rsidRDefault="000E117B" w:rsidP="00DE232F">
      <w:pPr>
        <w:pStyle w:val="TOC2"/>
        <w:numPr>
          <w:ilvl w:val="0"/>
          <w:numId w:val="14"/>
        </w:numPr>
        <w:rPr>
          <w:rFonts w:cs="Arial"/>
        </w:rPr>
      </w:pPr>
      <w:r w:rsidRPr="00C07BB7">
        <w:rPr>
          <w:rFonts w:cs="Arial"/>
        </w:rPr>
        <w:t xml:space="preserve">Zhang, X. et al. (2023) ‘Association between questionnaire-based and accelerometer-based physical activity and the incidence of chronic kidney disease using data from UK Biobank: a prospective cohort study’, </w:t>
      </w:r>
      <w:proofErr w:type="spellStart"/>
      <w:r w:rsidRPr="00C07BB7">
        <w:rPr>
          <w:rFonts w:cs="Arial"/>
          <w:i/>
        </w:rPr>
        <w:t>EClinicalMedicine</w:t>
      </w:r>
      <w:proofErr w:type="spellEnd"/>
      <w:r w:rsidRPr="00C07BB7">
        <w:rPr>
          <w:rFonts w:cs="Arial"/>
        </w:rPr>
        <w:t>, 66, 102323. doi:10.1016/j.eclinm.2023.102323.</w:t>
      </w:r>
    </w:p>
    <w:p w14:paraId="619A9951" w14:textId="0DB8CF02" w:rsidR="00DE232F" w:rsidRPr="00DE232F" w:rsidRDefault="00DE232F" w:rsidP="00DE232F">
      <w:pPr>
        <w:sectPr w:rsidR="00DE232F" w:rsidRPr="00DE232F" w:rsidSect="00041A40">
          <w:pgSz w:w="11906" w:h="16838" w:code="9"/>
          <w:pgMar w:top="1440" w:right="1800" w:bottom="1440" w:left="1800" w:header="720" w:footer="720" w:gutter="0"/>
          <w:cols w:space="720"/>
          <w:docGrid w:linePitch="360"/>
        </w:sectPr>
      </w:pPr>
    </w:p>
    <w:p w14:paraId="457890B9" w14:textId="77777777" w:rsidR="00041A40" w:rsidRPr="00041A40" w:rsidRDefault="00041A40" w:rsidP="0076203E">
      <w:pPr>
        <w:keepNext/>
        <w:keepLines/>
        <w:spacing w:before="480" w:after="0"/>
        <w:jc w:val="center"/>
        <w:outlineLvl w:val="0"/>
        <w:rPr>
          <w:rFonts w:eastAsiaTheme="majorEastAsia" w:cs="Arial"/>
          <w:b/>
          <w:bCs/>
          <w:color w:val="000000" w:themeColor="text1"/>
          <w:sz w:val="32"/>
          <w:szCs w:val="32"/>
        </w:rPr>
      </w:pPr>
      <w:bookmarkStart w:id="165" w:name="_Toc241011099"/>
      <w:r w:rsidRPr="00041A40">
        <w:rPr>
          <w:rFonts w:eastAsiaTheme="majorEastAsia" w:cs="Arial"/>
          <w:b/>
          <w:bCs/>
          <w:color w:val="000000" w:themeColor="text1"/>
          <w:sz w:val="32"/>
          <w:szCs w:val="32"/>
        </w:rPr>
        <w:t>Appendices</w:t>
      </w:r>
      <w:bookmarkEnd w:id="165"/>
    </w:p>
    <w:p w14:paraId="3D54F03C"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66" w:name="_Toc241011100"/>
      <w:r w:rsidRPr="00041A40">
        <w:rPr>
          <w:rFonts w:eastAsiaTheme="majorEastAsia" w:cs="Arial"/>
          <w:b/>
          <w:bCs/>
          <w:color w:val="000000" w:themeColor="text1"/>
          <w:sz w:val="28"/>
          <w:szCs w:val="28"/>
        </w:rPr>
        <w:t>Appendix 1 – Search Strategy and Eligibility Criteria</w:t>
      </w:r>
      <w:bookmarkEnd w:id="166"/>
    </w:p>
    <w:p w14:paraId="7E90FE44" w14:textId="77777777" w:rsidR="00041A40" w:rsidRPr="00041A40" w:rsidRDefault="00041A40" w:rsidP="00DE232F">
      <w:pPr>
        <w:keepNext/>
        <w:spacing w:before="60" w:after="60"/>
        <w:jc w:val="left"/>
        <w:rPr>
          <w:rFonts w:cs="Arial"/>
          <w:sz w:val="32"/>
          <w:szCs w:val="32"/>
        </w:rPr>
      </w:pPr>
      <w:r w:rsidRPr="00041A40">
        <w:rPr>
          <w:rFonts w:cs="Arial"/>
          <w:b/>
          <w:sz w:val="24"/>
          <w:szCs w:val="32"/>
        </w:rPr>
        <w:t>Table A1. Database search record</w:t>
      </w:r>
    </w:p>
    <w:tbl>
      <w:tblPr>
        <w:tblStyle w:val="TableGrid"/>
        <w:tblW w:w="0" w:type="auto"/>
        <w:tblLayout w:type="fixed"/>
        <w:tblLook w:val="04A0" w:firstRow="1" w:lastRow="0" w:firstColumn="1" w:lastColumn="0" w:noHBand="0" w:noVBand="1"/>
      </w:tblPr>
      <w:tblGrid>
        <w:gridCol w:w="4248"/>
        <w:gridCol w:w="2610"/>
        <w:gridCol w:w="4140"/>
        <w:gridCol w:w="2250"/>
      </w:tblGrid>
      <w:tr w:rsidR="00041A40" w:rsidRPr="0076203E" w14:paraId="48635FE1" w14:textId="77777777" w:rsidTr="00C70E5B">
        <w:tc>
          <w:tcPr>
            <w:tcW w:w="4248" w:type="dxa"/>
          </w:tcPr>
          <w:p w14:paraId="1B777A0E" w14:textId="77777777" w:rsidR="00041A40" w:rsidRPr="0076203E" w:rsidRDefault="00041A40" w:rsidP="00910E39">
            <w:pPr>
              <w:jc w:val="center"/>
              <w:rPr>
                <w:rFonts w:cs="Arial"/>
                <w:sz w:val="20"/>
                <w:szCs w:val="28"/>
              </w:rPr>
            </w:pPr>
            <w:r w:rsidRPr="0076203E">
              <w:rPr>
                <w:rFonts w:cs="Arial"/>
                <w:b/>
                <w:sz w:val="20"/>
                <w:szCs w:val="28"/>
              </w:rPr>
              <w:t>Database / platform</w:t>
            </w:r>
          </w:p>
        </w:tc>
        <w:tc>
          <w:tcPr>
            <w:tcW w:w="2610" w:type="dxa"/>
          </w:tcPr>
          <w:p w14:paraId="51922E98" w14:textId="77777777" w:rsidR="00041A40" w:rsidRPr="0076203E" w:rsidRDefault="00041A40" w:rsidP="00910E39">
            <w:pPr>
              <w:jc w:val="center"/>
              <w:rPr>
                <w:rFonts w:cs="Arial"/>
                <w:sz w:val="20"/>
                <w:szCs w:val="28"/>
              </w:rPr>
            </w:pPr>
            <w:r w:rsidRPr="0076203E">
              <w:rPr>
                <w:rFonts w:cs="Arial"/>
                <w:b/>
                <w:sz w:val="20"/>
                <w:szCs w:val="28"/>
              </w:rPr>
              <w:t>Search date</w:t>
            </w:r>
          </w:p>
        </w:tc>
        <w:tc>
          <w:tcPr>
            <w:tcW w:w="4140" w:type="dxa"/>
          </w:tcPr>
          <w:p w14:paraId="7012704E" w14:textId="77777777" w:rsidR="00041A40" w:rsidRPr="0076203E" w:rsidRDefault="00041A40" w:rsidP="00910E39">
            <w:pPr>
              <w:jc w:val="center"/>
              <w:rPr>
                <w:rFonts w:cs="Arial"/>
                <w:sz w:val="20"/>
                <w:szCs w:val="28"/>
              </w:rPr>
            </w:pPr>
            <w:r w:rsidRPr="0076203E">
              <w:rPr>
                <w:rFonts w:cs="Arial"/>
                <w:b/>
                <w:sz w:val="20"/>
                <w:szCs w:val="28"/>
              </w:rPr>
              <w:t>Limits</w:t>
            </w:r>
          </w:p>
        </w:tc>
        <w:tc>
          <w:tcPr>
            <w:tcW w:w="2250" w:type="dxa"/>
          </w:tcPr>
          <w:p w14:paraId="0E6B608B" w14:textId="77777777" w:rsidR="00041A40" w:rsidRPr="0076203E" w:rsidRDefault="00041A40" w:rsidP="00910E39">
            <w:pPr>
              <w:jc w:val="center"/>
              <w:rPr>
                <w:rFonts w:cs="Arial"/>
                <w:sz w:val="20"/>
                <w:szCs w:val="28"/>
              </w:rPr>
            </w:pPr>
            <w:r w:rsidRPr="0076203E">
              <w:rPr>
                <w:rFonts w:cs="Arial"/>
                <w:b/>
                <w:sz w:val="20"/>
                <w:szCs w:val="28"/>
              </w:rPr>
              <w:t>Records identified</w:t>
            </w:r>
          </w:p>
        </w:tc>
      </w:tr>
      <w:tr w:rsidR="00041A40" w:rsidRPr="0076203E" w14:paraId="3AD7D8A1" w14:textId="77777777" w:rsidTr="00C70E5B">
        <w:tc>
          <w:tcPr>
            <w:tcW w:w="4248" w:type="dxa"/>
          </w:tcPr>
          <w:p w14:paraId="27621B19" w14:textId="77777777" w:rsidR="00041A40" w:rsidRPr="0076203E" w:rsidRDefault="00041A40" w:rsidP="00910E39">
            <w:pPr>
              <w:rPr>
                <w:rFonts w:cs="Arial"/>
                <w:sz w:val="20"/>
                <w:szCs w:val="28"/>
              </w:rPr>
            </w:pPr>
            <w:r w:rsidRPr="0076203E">
              <w:rPr>
                <w:rFonts w:cs="Arial"/>
                <w:sz w:val="20"/>
                <w:szCs w:val="28"/>
              </w:rPr>
              <w:t>MEDLINE via PubMed</w:t>
            </w:r>
          </w:p>
        </w:tc>
        <w:tc>
          <w:tcPr>
            <w:tcW w:w="2610" w:type="dxa"/>
          </w:tcPr>
          <w:p w14:paraId="79B6582F" w14:textId="77777777" w:rsidR="00041A40" w:rsidRPr="0076203E" w:rsidRDefault="00041A40" w:rsidP="00910E39">
            <w:pPr>
              <w:rPr>
                <w:rFonts w:cs="Arial"/>
                <w:sz w:val="20"/>
                <w:szCs w:val="28"/>
              </w:rPr>
            </w:pPr>
            <w:r w:rsidRPr="0076203E">
              <w:rPr>
                <w:rFonts w:cs="Arial"/>
                <w:sz w:val="20"/>
                <w:szCs w:val="28"/>
              </w:rPr>
              <w:t>16 July 2026</w:t>
            </w:r>
          </w:p>
        </w:tc>
        <w:tc>
          <w:tcPr>
            <w:tcW w:w="4140" w:type="dxa"/>
          </w:tcPr>
          <w:p w14:paraId="6361F590" w14:textId="77777777" w:rsidR="00041A40" w:rsidRPr="0076203E" w:rsidRDefault="00041A40" w:rsidP="00910E39">
            <w:pPr>
              <w:rPr>
                <w:rFonts w:cs="Arial"/>
                <w:sz w:val="20"/>
                <w:szCs w:val="28"/>
              </w:rPr>
            </w:pPr>
            <w:r w:rsidRPr="0076203E">
              <w:rPr>
                <w:rFonts w:cs="Arial"/>
                <w:sz w:val="20"/>
                <w:szCs w:val="28"/>
              </w:rPr>
              <w:t>2020–2026; English; humans; adults</w:t>
            </w:r>
          </w:p>
        </w:tc>
        <w:tc>
          <w:tcPr>
            <w:tcW w:w="2250" w:type="dxa"/>
          </w:tcPr>
          <w:p w14:paraId="40168422" w14:textId="77777777" w:rsidR="00041A40" w:rsidRPr="0076203E" w:rsidRDefault="00041A40" w:rsidP="00910E39">
            <w:pPr>
              <w:jc w:val="center"/>
              <w:rPr>
                <w:rFonts w:cs="Arial"/>
                <w:sz w:val="20"/>
                <w:szCs w:val="28"/>
              </w:rPr>
            </w:pPr>
            <w:r w:rsidRPr="0076203E">
              <w:rPr>
                <w:rFonts w:cs="Arial"/>
                <w:sz w:val="20"/>
                <w:szCs w:val="28"/>
              </w:rPr>
              <w:t>128</w:t>
            </w:r>
          </w:p>
        </w:tc>
      </w:tr>
      <w:tr w:rsidR="00041A40" w:rsidRPr="0076203E" w14:paraId="1A48BE4E" w14:textId="77777777" w:rsidTr="00C70E5B">
        <w:tc>
          <w:tcPr>
            <w:tcW w:w="4248" w:type="dxa"/>
          </w:tcPr>
          <w:p w14:paraId="059E6EE2" w14:textId="77777777" w:rsidR="00041A40" w:rsidRPr="0076203E" w:rsidRDefault="00041A40" w:rsidP="00910E39">
            <w:pPr>
              <w:rPr>
                <w:rFonts w:cs="Arial"/>
                <w:sz w:val="20"/>
                <w:szCs w:val="28"/>
              </w:rPr>
            </w:pPr>
            <w:r w:rsidRPr="0076203E">
              <w:rPr>
                <w:rFonts w:cs="Arial"/>
                <w:sz w:val="20"/>
                <w:szCs w:val="28"/>
              </w:rPr>
              <w:t>CINAHL via EBSCOhost</w:t>
            </w:r>
          </w:p>
        </w:tc>
        <w:tc>
          <w:tcPr>
            <w:tcW w:w="2610" w:type="dxa"/>
          </w:tcPr>
          <w:p w14:paraId="2A109823" w14:textId="77777777" w:rsidR="00041A40" w:rsidRPr="0076203E" w:rsidRDefault="00041A40" w:rsidP="00910E39">
            <w:pPr>
              <w:rPr>
                <w:rFonts w:cs="Arial"/>
                <w:sz w:val="20"/>
                <w:szCs w:val="28"/>
              </w:rPr>
            </w:pPr>
            <w:r w:rsidRPr="0076203E">
              <w:rPr>
                <w:rFonts w:cs="Arial"/>
                <w:sz w:val="20"/>
                <w:szCs w:val="28"/>
              </w:rPr>
              <w:t>20 July 2026</w:t>
            </w:r>
          </w:p>
        </w:tc>
        <w:tc>
          <w:tcPr>
            <w:tcW w:w="4140" w:type="dxa"/>
          </w:tcPr>
          <w:p w14:paraId="59A94DDB" w14:textId="77777777" w:rsidR="00041A40" w:rsidRPr="0076203E" w:rsidRDefault="00041A40" w:rsidP="00910E39">
            <w:pPr>
              <w:rPr>
                <w:rFonts w:cs="Arial"/>
                <w:sz w:val="20"/>
                <w:szCs w:val="28"/>
              </w:rPr>
            </w:pPr>
            <w:r w:rsidRPr="0076203E">
              <w:rPr>
                <w:rFonts w:cs="Arial"/>
                <w:sz w:val="20"/>
                <w:szCs w:val="28"/>
              </w:rPr>
              <w:t>2020–2026; English; adults; peer reviewed</w:t>
            </w:r>
          </w:p>
        </w:tc>
        <w:tc>
          <w:tcPr>
            <w:tcW w:w="2250" w:type="dxa"/>
          </w:tcPr>
          <w:p w14:paraId="4F1CADEA" w14:textId="77777777" w:rsidR="00041A40" w:rsidRPr="0076203E" w:rsidRDefault="00041A40" w:rsidP="00910E39">
            <w:pPr>
              <w:jc w:val="center"/>
              <w:rPr>
                <w:rFonts w:cs="Arial"/>
                <w:sz w:val="20"/>
                <w:szCs w:val="28"/>
              </w:rPr>
            </w:pPr>
            <w:r w:rsidRPr="0076203E">
              <w:rPr>
                <w:rFonts w:cs="Arial"/>
                <w:sz w:val="20"/>
                <w:szCs w:val="28"/>
              </w:rPr>
              <w:t>74</w:t>
            </w:r>
          </w:p>
        </w:tc>
      </w:tr>
      <w:tr w:rsidR="00041A40" w:rsidRPr="0076203E" w14:paraId="59C1B3B6" w14:textId="77777777" w:rsidTr="00C70E5B">
        <w:tc>
          <w:tcPr>
            <w:tcW w:w="4248" w:type="dxa"/>
          </w:tcPr>
          <w:p w14:paraId="73B97712" w14:textId="77777777" w:rsidR="00041A40" w:rsidRPr="0076203E" w:rsidRDefault="00041A40" w:rsidP="00910E39">
            <w:pPr>
              <w:rPr>
                <w:rFonts w:cs="Arial"/>
                <w:sz w:val="20"/>
                <w:szCs w:val="28"/>
              </w:rPr>
            </w:pPr>
            <w:r w:rsidRPr="0076203E">
              <w:rPr>
                <w:rFonts w:cs="Arial"/>
                <w:sz w:val="20"/>
                <w:szCs w:val="28"/>
              </w:rPr>
              <w:t>Academic Search Complete via EBSCOhost</w:t>
            </w:r>
          </w:p>
        </w:tc>
        <w:tc>
          <w:tcPr>
            <w:tcW w:w="2610" w:type="dxa"/>
          </w:tcPr>
          <w:p w14:paraId="2D19EB58" w14:textId="77777777" w:rsidR="00041A40" w:rsidRPr="0076203E" w:rsidRDefault="00041A40" w:rsidP="00910E39">
            <w:pPr>
              <w:rPr>
                <w:rFonts w:cs="Arial"/>
                <w:sz w:val="20"/>
                <w:szCs w:val="28"/>
              </w:rPr>
            </w:pPr>
            <w:r w:rsidRPr="0076203E">
              <w:rPr>
                <w:rFonts w:cs="Arial"/>
                <w:sz w:val="20"/>
                <w:szCs w:val="28"/>
              </w:rPr>
              <w:t>29 July 2026</w:t>
            </w:r>
          </w:p>
        </w:tc>
        <w:tc>
          <w:tcPr>
            <w:tcW w:w="4140" w:type="dxa"/>
          </w:tcPr>
          <w:p w14:paraId="566667E8" w14:textId="77777777" w:rsidR="00041A40" w:rsidRPr="0076203E" w:rsidRDefault="00041A40" w:rsidP="00910E39">
            <w:pPr>
              <w:rPr>
                <w:rFonts w:cs="Arial"/>
                <w:sz w:val="20"/>
                <w:szCs w:val="28"/>
              </w:rPr>
            </w:pPr>
            <w:r w:rsidRPr="0076203E">
              <w:rPr>
                <w:rFonts w:cs="Arial"/>
                <w:sz w:val="20"/>
                <w:szCs w:val="28"/>
              </w:rPr>
              <w:t>2020–2026; English; peer reviewed</w:t>
            </w:r>
          </w:p>
        </w:tc>
        <w:tc>
          <w:tcPr>
            <w:tcW w:w="2250" w:type="dxa"/>
          </w:tcPr>
          <w:p w14:paraId="31AD206D" w14:textId="77777777" w:rsidR="00041A40" w:rsidRPr="0076203E" w:rsidRDefault="00041A40" w:rsidP="00910E39">
            <w:pPr>
              <w:jc w:val="center"/>
              <w:rPr>
                <w:rFonts w:cs="Arial"/>
                <w:sz w:val="20"/>
                <w:szCs w:val="28"/>
              </w:rPr>
            </w:pPr>
            <w:r w:rsidRPr="0076203E">
              <w:rPr>
                <w:rFonts w:cs="Arial"/>
                <w:sz w:val="20"/>
                <w:szCs w:val="28"/>
              </w:rPr>
              <w:t>69</w:t>
            </w:r>
          </w:p>
        </w:tc>
      </w:tr>
      <w:tr w:rsidR="00041A40" w:rsidRPr="0076203E" w14:paraId="02BBD626" w14:textId="77777777" w:rsidTr="00C70E5B">
        <w:tc>
          <w:tcPr>
            <w:tcW w:w="4248" w:type="dxa"/>
          </w:tcPr>
          <w:p w14:paraId="77183D35" w14:textId="77777777" w:rsidR="00041A40" w:rsidRPr="0076203E" w:rsidRDefault="00041A40" w:rsidP="00910E39">
            <w:pPr>
              <w:rPr>
                <w:rFonts w:cs="Arial"/>
                <w:sz w:val="20"/>
                <w:szCs w:val="28"/>
              </w:rPr>
            </w:pPr>
            <w:r w:rsidRPr="0076203E">
              <w:rPr>
                <w:rFonts w:cs="Arial"/>
                <w:sz w:val="20"/>
                <w:szCs w:val="28"/>
              </w:rPr>
              <w:t>Web of Science Core Collection</w:t>
            </w:r>
          </w:p>
        </w:tc>
        <w:tc>
          <w:tcPr>
            <w:tcW w:w="2610" w:type="dxa"/>
          </w:tcPr>
          <w:p w14:paraId="77F11043" w14:textId="77777777" w:rsidR="00041A40" w:rsidRPr="0076203E" w:rsidRDefault="00041A40" w:rsidP="00910E39">
            <w:pPr>
              <w:rPr>
                <w:rFonts w:cs="Arial"/>
                <w:sz w:val="20"/>
                <w:szCs w:val="28"/>
              </w:rPr>
            </w:pPr>
            <w:r w:rsidRPr="0076203E">
              <w:rPr>
                <w:rFonts w:cs="Arial"/>
                <w:sz w:val="20"/>
                <w:szCs w:val="28"/>
              </w:rPr>
              <w:t>5 August 2026</w:t>
            </w:r>
          </w:p>
        </w:tc>
        <w:tc>
          <w:tcPr>
            <w:tcW w:w="4140" w:type="dxa"/>
          </w:tcPr>
          <w:p w14:paraId="7609DDD6" w14:textId="77777777" w:rsidR="00041A40" w:rsidRPr="0076203E" w:rsidRDefault="00041A40" w:rsidP="00910E39">
            <w:pPr>
              <w:rPr>
                <w:rFonts w:cs="Arial"/>
                <w:sz w:val="20"/>
                <w:szCs w:val="28"/>
              </w:rPr>
            </w:pPr>
            <w:r w:rsidRPr="0076203E">
              <w:rPr>
                <w:rFonts w:cs="Arial"/>
                <w:sz w:val="20"/>
                <w:szCs w:val="28"/>
              </w:rPr>
              <w:t>2020–2026; English; article</w:t>
            </w:r>
          </w:p>
        </w:tc>
        <w:tc>
          <w:tcPr>
            <w:tcW w:w="2250" w:type="dxa"/>
          </w:tcPr>
          <w:p w14:paraId="7390528D" w14:textId="77777777" w:rsidR="00041A40" w:rsidRPr="0076203E" w:rsidRDefault="00041A40" w:rsidP="00910E39">
            <w:pPr>
              <w:jc w:val="center"/>
              <w:rPr>
                <w:rFonts w:cs="Arial"/>
                <w:sz w:val="20"/>
                <w:szCs w:val="28"/>
              </w:rPr>
            </w:pPr>
            <w:r w:rsidRPr="0076203E">
              <w:rPr>
                <w:rFonts w:cs="Arial"/>
                <w:sz w:val="20"/>
                <w:szCs w:val="28"/>
              </w:rPr>
              <w:t>94</w:t>
            </w:r>
          </w:p>
        </w:tc>
      </w:tr>
      <w:tr w:rsidR="00041A40" w:rsidRPr="0076203E" w14:paraId="7934F92D" w14:textId="77777777" w:rsidTr="00C70E5B">
        <w:tc>
          <w:tcPr>
            <w:tcW w:w="4248" w:type="dxa"/>
          </w:tcPr>
          <w:p w14:paraId="7B132B12" w14:textId="77777777" w:rsidR="00041A40" w:rsidRPr="0076203E" w:rsidRDefault="00041A40" w:rsidP="00910E39">
            <w:pPr>
              <w:rPr>
                <w:rFonts w:cs="Arial"/>
                <w:sz w:val="20"/>
                <w:szCs w:val="28"/>
              </w:rPr>
            </w:pPr>
            <w:r w:rsidRPr="0076203E">
              <w:rPr>
                <w:rFonts w:cs="Arial"/>
                <w:sz w:val="20"/>
                <w:szCs w:val="28"/>
              </w:rPr>
              <w:t>Reference-list and forward-citation searching</w:t>
            </w:r>
          </w:p>
        </w:tc>
        <w:tc>
          <w:tcPr>
            <w:tcW w:w="2610" w:type="dxa"/>
          </w:tcPr>
          <w:p w14:paraId="29684562" w14:textId="77777777" w:rsidR="00041A40" w:rsidRPr="0076203E" w:rsidRDefault="00041A40" w:rsidP="00910E39">
            <w:pPr>
              <w:rPr>
                <w:rFonts w:cs="Arial"/>
                <w:sz w:val="20"/>
                <w:szCs w:val="28"/>
              </w:rPr>
            </w:pPr>
            <w:r w:rsidRPr="0076203E">
              <w:rPr>
                <w:rFonts w:cs="Arial"/>
                <w:sz w:val="20"/>
                <w:szCs w:val="28"/>
              </w:rPr>
              <w:t>Completed by 5 August 2026</w:t>
            </w:r>
          </w:p>
        </w:tc>
        <w:tc>
          <w:tcPr>
            <w:tcW w:w="4140" w:type="dxa"/>
          </w:tcPr>
          <w:p w14:paraId="203A841D" w14:textId="454DD790" w:rsidR="00041A40" w:rsidRPr="0076203E" w:rsidRDefault="00041A40" w:rsidP="00910E39">
            <w:pPr>
              <w:rPr>
                <w:rFonts w:cs="Arial"/>
                <w:sz w:val="20"/>
                <w:szCs w:val="28"/>
              </w:rPr>
            </w:pPr>
            <w:r w:rsidRPr="0076203E">
              <w:rPr>
                <w:rFonts w:cs="Arial"/>
                <w:sz w:val="20"/>
                <w:szCs w:val="28"/>
              </w:rPr>
              <w:t>Relevant</w:t>
            </w:r>
            <w:r w:rsidR="002D4B06">
              <w:rPr>
                <w:rFonts w:cs="Arial"/>
                <w:sz w:val="20"/>
                <w:szCs w:val="28"/>
              </w:rPr>
              <w:t xml:space="preserve"> in the</w:t>
            </w:r>
            <w:r w:rsidRPr="0076203E">
              <w:rPr>
                <w:rFonts w:cs="Arial"/>
                <w:sz w:val="20"/>
                <w:szCs w:val="28"/>
              </w:rPr>
              <w:t xml:space="preserve"> UK empirical evidence</w:t>
            </w:r>
          </w:p>
        </w:tc>
        <w:tc>
          <w:tcPr>
            <w:tcW w:w="2250" w:type="dxa"/>
          </w:tcPr>
          <w:p w14:paraId="7FEB1942" w14:textId="77777777" w:rsidR="00041A40" w:rsidRPr="0076203E" w:rsidRDefault="00041A40" w:rsidP="00910E39">
            <w:pPr>
              <w:jc w:val="center"/>
              <w:rPr>
                <w:rFonts w:cs="Arial"/>
                <w:sz w:val="20"/>
                <w:szCs w:val="28"/>
              </w:rPr>
            </w:pPr>
            <w:r w:rsidRPr="0076203E">
              <w:rPr>
                <w:rFonts w:cs="Arial"/>
                <w:sz w:val="20"/>
                <w:szCs w:val="28"/>
              </w:rPr>
              <w:t>15</w:t>
            </w:r>
          </w:p>
        </w:tc>
      </w:tr>
      <w:tr w:rsidR="00041A40" w:rsidRPr="0076203E" w14:paraId="11BD7B56" w14:textId="77777777" w:rsidTr="00C70E5B">
        <w:tc>
          <w:tcPr>
            <w:tcW w:w="4248" w:type="dxa"/>
          </w:tcPr>
          <w:p w14:paraId="00482B76" w14:textId="77777777" w:rsidR="00041A40" w:rsidRPr="0076203E" w:rsidRDefault="00041A40" w:rsidP="00910E39">
            <w:pPr>
              <w:rPr>
                <w:rFonts w:cs="Arial"/>
                <w:sz w:val="20"/>
                <w:szCs w:val="28"/>
              </w:rPr>
            </w:pPr>
            <w:r w:rsidRPr="0076203E">
              <w:rPr>
                <w:rFonts w:cs="Arial"/>
                <w:sz w:val="20"/>
                <w:szCs w:val="28"/>
              </w:rPr>
              <w:t>Total before deduplication</w:t>
            </w:r>
          </w:p>
        </w:tc>
        <w:tc>
          <w:tcPr>
            <w:tcW w:w="2610" w:type="dxa"/>
          </w:tcPr>
          <w:p w14:paraId="6BB807EF" w14:textId="77777777" w:rsidR="00041A40" w:rsidRPr="0076203E" w:rsidRDefault="00041A40" w:rsidP="00910E39">
            <w:pPr>
              <w:rPr>
                <w:rFonts w:cs="Arial"/>
                <w:sz w:val="20"/>
                <w:szCs w:val="28"/>
              </w:rPr>
            </w:pPr>
            <w:r w:rsidRPr="0076203E">
              <w:rPr>
                <w:rFonts w:cs="Arial"/>
                <w:sz w:val="20"/>
                <w:szCs w:val="28"/>
              </w:rPr>
              <w:t>—</w:t>
            </w:r>
          </w:p>
        </w:tc>
        <w:tc>
          <w:tcPr>
            <w:tcW w:w="4140" w:type="dxa"/>
          </w:tcPr>
          <w:p w14:paraId="0E155344" w14:textId="77777777" w:rsidR="00041A40" w:rsidRPr="0076203E" w:rsidRDefault="00041A40" w:rsidP="00910E39">
            <w:pPr>
              <w:rPr>
                <w:rFonts w:cs="Arial"/>
                <w:sz w:val="20"/>
                <w:szCs w:val="28"/>
              </w:rPr>
            </w:pPr>
            <w:r w:rsidRPr="0076203E">
              <w:rPr>
                <w:rFonts w:cs="Arial"/>
                <w:sz w:val="20"/>
                <w:szCs w:val="28"/>
              </w:rPr>
              <w:t>—</w:t>
            </w:r>
          </w:p>
        </w:tc>
        <w:tc>
          <w:tcPr>
            <w:tcW w:w="2250" w:type="dxa"/>
          </w:tcPr>
          <w:p w14:paraId="632807BB" w14:textId="77777777" w:rsidR="00041A40" w:rsidRPr="0076203E" w:rsidRDefault="00041A40" w:rsidP="00910E39">
            <w:pPr>
              <w:jc w:val="center"/>
              <w:rPr>
                <w:rFonts w:cs="Arial"/>
                <w:sz w:val="20"/>
                <w:szCs w:val="28"/>
              </w:rPr>
            </w:pPr>
            <w:r w:rsidRPr="0076203E">
              <w:rPr>
                <w:rFonts w:cs="Arial"/>
                <w:sz w:val="20"/>
                <w:szCs w:val="28"/>
              </w:rPr>
              <w:t>380</w:t>
            </w:r>
          </w:p>
        </w:tc>
      </w:tr>
    </w:tbl>
    <w:p w14:paraId="4C4F7217" w14:textId="77777777" w:rsidR="00C70E5B" w:rsidRDefault="00C70E5B" w:rsidP="00041A40">
      <w:pPr>
        <w:keepNext/>
        <w:spacing w:before="60" w:after="60"/>
        <w:rPr>
          <w:rFonts w:cs="Arial"/>
          <w:b/>
          <w:sz w:val="24"/>
          <w:szCs w:val="32"/>
        </w:rPr>
      </w:pPr>
    </w:p>
    <w:p w14:paraId="2D314306" w14:textId="46B68C6C" w:rsidR="00041A40" w:rsidRPr="00041A40" w:rsidRDefault="00041A40" w:rsidP="00041A40">
      <w:pPr>
        <w:keepNext/>
        <w:spacing w:before="60" w:after="60"/>
        <w:rPr>
          <w:rFonts w:cs="Arial"/>
          <w:sz w:val="32"/>
          <w:szCs w:val="32"/>
        </w:rPr>
      </w:pPr>
      <w:r w:rsidRPr="00041A40">
        <w:rPr>
          <w:rFonts w:cs="Arial"/>
          <w:b/>
          <w:sz w:val="24"/>
          <w:szCs w:val="32"/>
        </w:rPr>
        <w:t>Table A2. Database-specific search strings</w:t>
      </w:r>
    </w:p>
    <w:tbl>
      <w:tblPr>
        <w:tblStyle w:val="TableGrid"/>
        <w:tblW w:w="0" w:type="auto"/>
        <w:tblLayout w:type="fixed"/>
        <w:tblLook w:val="04A0" w:firstRow="1" w:lastRow="0" w:firstColumn="1" w:lastColumn="0" w:noHBand="0" w:noVBand="1"/>
      </w:tblPr>
      <w:tblGrid>
        <w:gridCol w:w="1458"/>
        <w:gridCol w:w="11790"/>
      </w:tblGrid>
      <w:tr w:rsidR="00041A40" w:rsidRPr="00182FE1" w14:paraId="568810E5" w14:textId="77777777" w:rsidTr="00184C42">
        <w:tc>
          <w:tcPr>
            <w:tcW w:w="1458" w:type="dxa"/>
          </w:tcPr>
          <w:p w14:paraId="55E4FA2C" w14:textId="77777777" w:rsidR="00041A40" w:rsidRPr="00182FE1" w:rsidRDefault="00041A40" w:rsidP="00041A40">
            <w:pPr>
              <w:spacing w:after="0"/>
              <w:jc w:val="center"/>
              <w:rPr>
                <w:rFonts w:cs="Arial"/>
                <w:sz w:val="20"/>
                <w:szCs w:val="32"/>
              </w:rPr>
            </w:pPr>
            <w:r w:rsidRPr="00182FE1">
              <w:rPr>
                <w:rFonts w:cs="Arial"/>
                <w:b/>
                <w:sz w:val="20"/>
                <w:szCs w:val="32"/>
              </w:rPr>
              <w:t>Database</w:t>
            </w:r>
          </w:p>
        </w:tc>
        <w:tc>
          <w:tcPr>
            <w:tcW w:w="11790" w:type="dxa"/>
          </w:tcPr>
          <w:p w14:paraId="4C5E3E47" w14:textId="77777777" w:rsidR="00041A40" w:rsidRPr="00182FE1" w:rsidRDefault="00041A40" w:rsidP="00041A40">
            <w:pPr>
              <w:spacing w:after="0"/>
              <w:jc w:val="center"/>
              <w:rPr>
                <w:rFonts w:cs="Arial"/>
                <w:sz w:val="20"/>
                <w:szCs w:val="32"/>
              </w:rPr>
            </w:pPr>
            <w:r w:rsidRPr="00182FE1">
              <w:rPr>
                <w:rFonts w:cs="Arial"/>
                <w:b/>
                <w:sz w:val="20"/>
                <w:szCs w:val="32"/>
              </w:rPr>
              <w:t>Search string</w:t>
            </w:r>
          </w:p>
        </w:tc>
      </w:tr>
      <w:tr w:rsidR="00041A40" w:rsidRPr="00182FE1" w14:paraId="27F551A8" w14:textId="77777777" w:rsidTr="00184C42">
        <w:tc>
          <w:tcPr>
            <w:tcW w:w="1458" w:type="dxa"/>
          </w:tcPr>
          <w:p w14:paraId="3CFCF8A2" w14:textId="77777777" w:rsidR="00041A40" w:rsidRPr="00182FE1" w:rsidRDefault="00041A40" w:rsidP="00041A40">
            <w:pPr>
              <w:spacing w:after="0"/>
              <w:rPr>
                <w:rFonts w:cs="Arial"/>
                <w:sz w:val="20"/>
                <w:szCs w:val="32"/>
              </w:rPr>
            </w:pPr>
            <w:r w:rsidRPr="00182FE1">
              <w:rPr>
                <w:rFonts w:cs="Arial"/>
                <w:sz w:val="20"/>
                <w:szCs w:val="32"/>
              </w:rPr>
              <w:t>MEDLINE via PubMed</w:t>
            </w:r>
          </w:p>
        </w:tc>
        <w:tc>
          <w:tcPr>
            <w:tcW w:w="11790" w:type="dxa"/>
          </w:tcPr>
          <w:p w14:paraId="4FDB37B7" w14:textId="77777777" w:rsidR="00041A40" w:rsidRPr="00182FE1" w:rsidRDefault="00041A40" w:rsidP="00041A40">
            <w:pPr>
              <w:spacing w:after="0"/>
              <w:rPr>
                <w:rFonts w:cs="Arial"/>
                <w:sz w:val="20"/>
                <w:szCs w:val="32"/>
              </w:rPr>
            </w:pPr>
            <w:r w:rsidRPr="00182FE1">
              <w:rPr>
                <w:rFonts w:cs="Arial"/>
                <w:sz w:val="20"/>
                <w:szCs w:val="32"/>
              </w:rPr>
              <w:t xml:space="preserve">((“chronic kidney disease”[Title/Abstract] OR CKD[Title/Abstract] OR “chronic renal disease”[Title/Abstract] OR “kidney function decline”[Title/Abstract] OR “renal insufficiency”[Title/Abstract]) AND (adult*[Title/Abstract]) AND (“United Kingdom”[Title/Abstract] OR UK[Title/Abstract] OR England[Title/Abstract] OR Scotland[Title/Abstract] OR Wales[Title/Abstract] OR “Northern Ireland”[Title/Abstract] OR British[Title/Abstract]) AND (“risk factor*”[Title/Abstract] OR prevalence[Title/Abstract] OR incidence[Title/Abstract] OR progression[Title/Abstract] OR diabetes[Title/Abstract] OR hypertension[Title/Abstract] OR </w:t>
            </w:r>
            <w:proofErr w:type="spellStart"/>
            <w:r w:rsidRPr="00182FE1">
              <w:rPr>
                <w:rFonts w:cs="Arial"/>
                <w:sz w:val="20"/>
                <w:szCs w:val="32"/>
              </w:rPr>
              <w:t>obes</w:t>
            </w:r>
            <w:proofErr w:type="spellEnd"/>
            <w:r w:rsidRPr="00182FE1">
              <w:rPr>
                <w:rFonts w:cs="Arial"/>
                <w:sz w:val="20"/>
                <w:szCs w:val="32"/>
              </w:rPr>
              <w:t>*[Title/Abstract] OR smoking[Title/Abstract] OR ethnicity[Title/Abstract] OR deprivation[Title/Abstract] OR diet[Title/Abstract] OR “physical activity”[Title/Abstract] OR management[Title/Abstract] OR treatment[Title/Abstract] OR intervention*[Title/Abstract] OR screening[Title/Abstract] OR “SGLT2 inhibitor*”[Title/Abstract] OR lifestyle[Title/Abstract] OR “digital health”[Title/Abstract] OR “self-management”[Title/Abstract] OR “integrated care”[Title/Abstract]))</w:t>
            </w:r>
          </w:p>
        </w:tc>
      </w:tr>
      <w:tr w:rsidR="00041A40" w:rsidRPr="00182FE1" w14:paraId="3691DE68" w14:textId="77777777" w:rsidTr="00184C42">
        <w:tc>
          <w:tcPr>
            <w:tcW w:w="1458" w:type="dxa"/>
          </w:tcPr>
          <w:p w14:paraId="094A5C46" w14:textId="77777777" w:rsidR="00041A40" w:rsidRPr="00182FE1" w:rsidRDefault="00041A40" w:rsidP="00041A40">
            <w:pPr>
              <w:spacing w:after="0"/>
              <w:rPr>
                <w:rFonts w:cs="Arial"/>
                <w:sz w:val="20"/>
                <w:szCs w:val="32"/>
              </w:rPr>
            </w:pPr>
            <w:r w:rsidRPr="00182FE1">
              <w:rPr>
                <w:rFonts w:cs="Arial"/>
                <w:sz w:val="20"/>
                <w:szCs w:val="32"/>
              </w:rPr>
              <w:t>CINAHL via EBSCOhost</w:t>
            </w:r>
          </w:p>
        </w:tc>
        <w:tc>
          <w:tcPr>
            <w:tcW w:w="11790" w:type="dxa"/>
          </w:tcPr>
          <w:p w14:paraId="04C28C6D" w14:textId="77777777" w:rsidR="00041A40" w:rsidRPr="00182FE1" w:rsidRDefault="00041A40" w:rsidP="00041A40">
            <w:pPr>
              <w:spacing w:after="0"/>
              <w:rPr>
                <w:rFonts w:cs="Arial"/>
                <w:sz w:val="20"/>
                <w:szCs w:val="32"/>
              </w:rPr>
            </w:pPr>
            <w:r w:rsidRPr="00182FE1">
              <w:rPr>
                <w:rFonts w:cs="Arial"/>
                <w:sz w:val="20"/>
                <w:szCs w:val="32"/>
              </w:rPr>
              <w:t xml:space="preserve">(TX (“chronic kidney disease” OR CKD OR “chronic renal disease” OR “kidney function decline” OR “renal insufficiency”)) AND (TX adult*) AND (TX (“United Kingdom” OR UK OR England OR Scotland OR Wales OR “Northern Ireland” OR British)) AND (TX (“risk factor*” OR prevalence OR incidence OR progression OR diabetes OR hypertension OR </w:t>
            </w:r>
            <w:proofErr w:type="spellStart"/>
            <w:r w:rsidRPr="00182FE1">
              <w:rPr>
                <w:rFonts w:cs="Arial"/>
                <w:sz w:val="20"/>
                <w:szCs w:val="32"/>
              </w:rPr>
              <w:t>obes</w:t>
            </w:r>
            <w:proofErr w:type="spellEnd"/>
            <w:r w:rsidRPr="00182FE1">
              <w:rPr>
                <w:rFonts w:cs="Arial"/>
                <w:sz w:val="20"/>
                <w:szCs w:val="32"/>
              </w:rPr>
              <w:t>* OR smoking OR ethnicity OR deprivation OR diet OR “physical activity” OR management OR treatment OR intervention* OR screening OR “SGLT2 inhibitor*” OR lifestyle OR “digital health” OR “self-management” OR “integrated care”))</w:t>
            </w:r>
          </w:p>
        </w:tc>
      </w:tr>
      <w:tr w:rsidR="00041A40" w:rsidRPr="00182FE1" w14:paraId="6F1EAAEC" w14:textId="77777777" w:rsidTr="00184C42">
        <w:tc>
          <w:tcPr>
            <w:tcW w:w="1458" w:type="dxa"/>
          </w:tcPr>
          <w:p w14:paraId="150E0716" w14:textId="77777777" w:rsidR="00041A40" w:rsidRPr="00182FE1" w:rsidRDefault="00041A40" w:rsidP="00041A40">
            <w:pPr>
              <w:spacing w:after="0"/>
              <w:rPr>
                <w:rFonts w:cs="Arial"/>
                <w:sz w:val="20"/>
                <w:szCs w:val="32"/>
              </w:rPr>
            </w:pPr>
            <w:r w:rsidRPr="00182FE1">
              <w:rPr>
                <w:rFonts w:cs="Arial"/>
                <w:sz w:val="20"/>
                <w:szCs w:val="32"/>
              </w:rPr>
              <w:t>Academic Search Complete via EBSCOhost</w:t>
            </w:r>
          </w:p>
        </w:tc>
        <w:tc>
          <w:tcPr>
            <w:tcW w:w="11790" w:type="dxa"/>
          </w:tcPr>
          <w:p w14:paraId="56329F86" w14:textId="77777777" w:rsidR="00041A40" w:rsidRPr="00182FE1" w:rsidRDefault="00041A40" w:rsidP="00041A40">
            <w:pPr>
              <w:spacing w:after="0"/>
              <w:rPr>
                <w:rFonts w:cs="Arial"/>
                <w:sz w:val="20"/>
                <w:szCs w:val="32"/>
              </w:rPr>
            </w:pPr>
            <w:r w:rsidRPr="00182FE1">
              <w:rPr>
                <w:rFonts w:cs="Arial"/>
                <w:sz w:val="20"/>
                <w:szCs w:val="32"/>
              </w:rPr>
              <w:t xml:space="preserve">(TX (“chronic kidney disease” OR CKD OR “chronic renal disease” OR “kidney function decline” OR “renal insufficiency”)) AND (TX adult*) AND (TX (“United Kingdom” OR UK OR England OR Scotland OR Wales OR “Northern Ireland” OR British)) AND (TX (“risk factor*” OR prevalence OR incidence OR progression OR diabetes OR hypertension OR </w:t>
            </w:r>
            <w:proofErr w:type="spellStart"/>
            <w:r w:rsidRPr="00182FE1">
              <w:rPr>
                <w:rFonts w:cs="Arial"/>
                <w:sz w:val="20"/>
                <w:szCs w:val="32"/>
              </w:rPr>
              <w:t>obes</w:t>
            </w:r>
            <w:proofErr w:type="spellEnd"/>
            <w:r w:rsidRPr="00182FE1">
              <w:rPr>
                <w:rFonts w:cs="Arial"/>
                <w:sz w:val="20"/>
                <w:szCs w:val="32"/>
              </w:rPr>
              <w:t>* OR smoking OR ethnicity OR deprivation OR diet OR “physical activity” OR management OR treatment OR intervention* OR screening OR “SGLT2 inhibitor*” OR lifestyle OR “digital health” OR “self-management” OR “integrated care”))</w:t>
            </w:r>
          </w:p>
        </w:tc>
      </w:tr>
      <w:tr w:rsidR="00041A40" w:rsidRPr="00182FE1" w14:paraId="66DFC918" w14:textId="77777777" w:rsidTr="00184C42">
        <w:tc>
          <w:tcPr>
            <w:tcW w:w="1458" w:type="dxa"/>
          </w:tcPr>
          <w:p w14:paraId="0690185F" w14:textId="77777777" w:rsidR="00041A40" w:rsidRPr="00182FE1" w:rsidRDefault="00041A40" w:rsidP="00041A40">
            <w:pPr>
              <w:spacing w:after="0"/>
              <w:rPr>
                <w:rFonts w:cs="Arial"/>
                <w:sz w:val="20"/>
                <w:szCs w:val="32"/>
              </w:rPr>
            </w:pPr>
            <w:r w:rsidRPr="00182FE1">
              <w:rPr>
                <w:rFonts w:cs="Arial"/>
                <w:sz w:val="20"/>
                <w:szCs w:val="32"/>
              </w:rPr>
              <w:t>Web of Science Core Collection</w:t>
            </w:r>
          </w:p>
        </w:tc>
        <w:tc>
          <w:tcPr>
            <w:tcW w:w="11790" w:type="dxa"/>
          </w:tcPr>
          <w:p w14:paraId="6103B912" w14:textId="77777777" w:rsidR="00041A40" w:rsidRPr="00182FE1" w:rsidRDefault="00041A40" w:rsidP="00041A40">
            <w:pPr>
              <w:spacing w:after="0"/>
              <w:rPr>
                <w:rFonts w:cs="Arial"/>
                <w:sz w:val="20"/>
                <w:szCs w:val="32"/>
              </w:rPr>
            </w:pPr>
            <w:r w:rsidRPr="00182FE1">
              <w:rPr>
                <w:rFonts w:cs="Arial"/>
                <w:sz w:val="20"/>
                <w:szCs w:val="32"/>
              </w:rPr>
              <w:t xml:space="preserve">TS=((“chronic kidney disease” OR CKD OR “chronic renal disease” OR “kidney function decline” OR “renal insufficiency”) AND adult* AND (“United Kingdom” OR UK OR England OR Scotland OR Wales OR “Northern Ireland” OR British) AND (“risk factor*” OR prevalence OR incidence OR progression OR diabetes OR hypertension OR </w:t>
            </w:r>
            <w:proofErr w:type="spellStart"/>
            <w:r w:rsidRPr="00182FE1">
              <w:rPr>
                <w:rFonts w:cs="Arial"/>
                <w:sz w:val="20"/>
                <w:szCs w:val="32"/>
              </w:rPr>
              <w:t>obes</w:t>
            </w:r>
            <w:proofErr w:type="spellEnd"/>
            <w:r w:rsidRPr="00182FE1">
              <w:rPr>
                <w:rFonts w:cs="Arial"/>
                <w:sz w:val="20"/>
                <w:szCs w:val="32"/>
              </w:rPr>
              <w:t>* OR smoking OR ethnicity OR deprivation OR diet OR “physical activity” OR management OR treatment OR intervention* OR screening OR “SGLT2 inhibitor*” OR lifestyle OR “digital health” OR “self-management” OR “integrated care”))</w:t>
            </w:r>
          </w:p>
        </w:tc>
      </w:tr>
    </w:tbl>
    <w:p w14:paraId="7DAEBA90" w14:textId="77777777" w:rsidR="00184C42" w:rsidRDefault="00184C42" w:rsidP="00041A40">
      <w:pPr>
        <w:keepNext/>
        <w:spacing w:before="60" w:after="60"/>
        <w:rPr>
          <w:rFonts w:cs="Arial"/>
          <w:b/>
          <w:sz w:val="24"/>
          <w:szCs w:val="32"/>
        </w:rPr>
      </w:pPr>
    </w:p>
    <w:p w14:paraId="32328A97" w14:textId="7126EF14" w:rsidR="00041A40" w:rsidRPr="00041A40" w:rsidRDefault="00041A40" w:rsidP="00041A40">
      <w:pPr>
        <w:keepNext/>
        <w:spacing w:before="60" w:after="60"/>
        <w:rPr>
          <w:rFonts w:cs="Arial"/>
          <w:sz w:val="32"/>
          <w:szCs w:val="32"/>
        </w:rPr>
      </w:pPr>
      <w:r w:rsidRPr="00041A40">
        <w:rPr>
          <w:rFonts w:cs="Arial"/>
          <w:b/>
          <w:sz w:val="24"/>
          <w:szCs w:val="32"/>
        </w:rPr>
        <w:t>Table A3. Inclusion and exclusion criteria</w:t>
      </w:r>
    </w:p>
    <w:tbl>
      <w:tblPr>
        <w:tblStyle w:val="TableGrid"/>
        <w:tblW w:w="0" w:type="auto"/>
        <w:tblLayout w:type="fixed"/>
        <w:tblLook w:val="04A0" w:firstRow="1" w:lastRow="0" w:firstColumn="1" w:lastColumn="0" w:noHBand="0" w:noVBand="1"/>
      </w:tblPr>
      <w:tblGrid>
        <w:gridCol w:w="1928"/>
        <w:gridCol w:w="5020"/>
        <w:gridCol w:w="6300"/>
      </w:tblGrid>
      <w:tr w:rsidR="00041A40" w:rsidRPr="00CD4B2C" w14:paraId="1E98232C" w14:textId="77777777" w:rsidTr="00184C42">
        <w:tc>
          <w:tcPr>
            <w:tcW w:w="1928" w:type="dxa"/>
          </w:tcPr>
          <w:p w14:paraId="57FB99C5" w14:textId="77777777" w:rsidR="00041A40" w:rsidRPr="00CD4B2C" w:rsidRDefault="00041A40" w:rsidP="00041A40">
            <w:pPr>
              <w:spacing w:after="0"/>
              <w:jc w:val="center"/>
              <w:rPr>
                <w:rFonts w:cs="Arial"/>
                <w:sz w:val="20"/>
                <w:szCs w:val="28"/>
              </w:rPr>
            </w:pPr>
            <w:r w:rsidRPr="00CD4B2C">
              <w:rPr>
                <w:rFonts w:cs="Arial"/>
                <w:b/>
                <w:sz w:val="20"/>
                <w:szCs w:val="28"/>
              </w:rPr>
              <w:t>Criterion</w:t>
            </w:r>
          </w:p>
        </w:tc>
        <w:tc>
          <w:tcPr>
            <w:tcW w:w="5020" w:type="dxa"/>
          </w:tcPr>
          <w:p w14:paraId="6A470F61" w14:textId="77777777" w:rsidR="00041A40" w:rsidRPr="00CD4B2C" w:rsidRDefault="00041A40" w:rsidP="00041A40">
            <w:pPr>
              <w:spacing w:after="0"/>
              <w:jc w:val="center"/>
              <w:rPr>
                <w:rFonts w:cs="Arial"/>
                <w:sz w:val="20"/>
                <w:szCs w:val="28"/>
              </w:rPr>
            </w:pPr>
            <w:r w:rsidRPr="00CD4B2C">
              <w:rPr>
                <w:rFonts w:cs="Arial"/>
                <w:b/>
                <w:sz w:val="20"/>
                <w:szCs w:val="28"/>
              </w:rPr>
              <w:t>Include</w:t>
            </w:r>
          </w:p>
        </w:tc>
        <w:tc>
          <w:tcPr>
            <w:tcW w:w="6300" w:type="dxa"/>
          </w:tcPr>
          <w:p w14:paraId="4325DCE5" w14:textId="77777777" w:rsidR="00041A40" w:rsidRPr="00CD4B2C" w:rsidRDefault="00041A40" w:rsidP="00041A40">
            <w:pPr>
              <w:spacing w:after="0"/>
              <w:jc w:val="center"/>
              <w:rPr>
                <w:rFonts w:cs="Arial"/>
                <w:sz w:val="20"/>
                <w:szCs w:val="28"/>
              </w:rPr>
            </w:pPr>
            <w:r w:rsidRPr="00CD4B2C">
              <w:rPr>
                <w:rFonts w:cs="Arial"/>
                <w:b/>
                <w:sz w:val="20"/>
                <w:szCs w:val="28"/>
              </w:rPr>
              <w:t>Exclude</w:t>
            </w:r>
          </w:p>
        </w:tc>
      </w:tr>
      <w:tr w:rsidR="00041A40" w:rsidRPr="00CD4B2C" w14:paraId="228B9E02" w14:textId="77777777" w:rsidTr="00184C42">
        <w:tc>
          <w:tcPr>
            <w:tcW w:w="1928" w:type="dxa"/>
          </w:tcPr>
          <w:p w14:paraId="4D8A0AA0" w14:textId="77777777" w:rsidR="00041A40" w:rsidRPr="00CD4B2C" w:rsidRDefault="00041A40" w:rsidP="00041A40">
            <w:pPr>
              <w:spacing w:after="0"/>
              <w:rPr>
                <w:rFonts w:cs="Arial"/>
                <w:sz w:val="20"/>
                <w:szCs w:val="28"/>
              </w:rPr>
            </w:pPr>
            <w:r w:rsidRPr="00CD4B2C">
              <w:rPr>
                <w:rFonts w:cs="Arial"/>
                <w:sz w:val="20"/>
                <w:szCs w:val="28"/>
              </w:rPr>
              <w:t>Population</w:t>
            </w:r>
          </w:p>
        </w:tc>
        <w:tc>
          <w:tcPr>
            <w:tcW w:w="5020" w:type="dxa"/>
          </w:tcPr>
          <w:p w14:paraId="43C68C71" w14:textId="77777777" w:rsidR="00041A40" w:rsidRPr="00CD4B2C" w:rsidRDefault="00041A40" w:rsidP="00041A40">
            <w:pPr>
              <w:spacing w:after="0"/>
              <w:rPr>
                <w:rFonts w:cs="Arial"/>
                <w:sz w:val="20"/>
                <w:szCs w:val="28"/>
              </w:rPr>
            </w:pPr>
            <w:r w:rsidRPr="00CD4B2C">
              <w:rPr>
                <w:rFonts w:cs="Arial"/>
                <w:sz w:val="20"/>
                <w:szCs w:val="28"/>
              </w:rPr>
              <w:t>Adults aged ≥18 years</w:t>
            </w:r>
          </w:p>
        </w:tc>
        <w:tc>
          <w:tcPr>
            <w:tcW w:w="6300" w:type="dxa"/>
          </w:tcPr>
          <w:p w14:paraId="3306AF9B" w14:textId="77777777" w:rsidR="00041A40" w:rsidRPr="00CD4B2C" w:rsidRDefault="00041A40" w:rsidP="00041A40">
            <w:pPr>
              <w:spacing w:after="0"/>
              <w:rPr>
                <w:rFonts w:cs="Arial"/>
                <w:sz w:val="20"/>
                <w:szCs w:val="28"/>
              </w:rPr>
            </w:pPr>
            <w:r w:rsidRPr="00CD4B2C">
              <w:rPr>
                <w:rFonts w:cs="Arial"/>
                <w:sz w:val="20"/>
                <w:szCs w:val="28"/>
              </w:rPr>
              <w:t>Child/adolescent-only samples</w:t>
            </w:r>
          </w:p>
        </w:tc>
      </w:tr>
      <w:tr w:rsidR="00041A40" w:rsidRPr="00CD4B2C" w14:paraId="63B16BDA" w14:textId="77777777" w:rsidTr="00184C42">
        <w:tc>
          <w:tcPr>
            <w:tcW w:w="1928" w:type="dxa"/>
          </w:tcPr>
          <w:p w14:paraId="61397E41" w14:textId="77777777" w:rsidR="00041A40" w:rsidRPr="00CD4B2C" w:rsidRDefault="00041A40" w:rsidP="00041A40">
            <w:pPr>
              <w:spacing w:after="0"/>
              <w:rPr>
                <w:rFonts w:cs="Arial"/>
                <w:sz w:val="20"/>
                <w:szCs w:val="28"/>
              </w:rPr>
            </w:pPr>
            <w:r w:rsidRPr="00CD4B2C">
              <w:rPr>
                <w:rFonts w:cs="Arial"/>
                <w:sz w:val="20"/>
                <w:szCs w:val="28"/>
              </w:rPr>
              <w:t>Geography</w:t>
            </w:r>
          </w:p>
        </w:tc>
        <w:tc>
          <w:tcPr>
            <w:tcW w:w="5020" w:type="dxa"/>
          </w:tcPr>
          <w:p w14:paraId="75AD610C" w14:textId="77777777" w:rsidR="00041A40" w:rsidRPr="00CD4B2C" w:rsidRDefault="00041A40" w:rsidP="00041A40">
            <w:pPr>
              <w:spacing w:after="0"/>
              <w:rPr>
                <w:rFonts w:cs="Arial"/>
                <w:sz w:val="20"/>
                <w:szCs w:val="28"/>
              </w:rPr>
            </w:pPr>
            <w:r w:rsidRPr="00CD4B2C">
              <w:rPr>
                <w:rFonts w:cs="Arial"/>
                <w:sz w:val="20"/>
                <w:szCs w:val="28"/>
              </w:rPr>
              <w:t>UK or constituent nations; separable UK data</w:t>
            </w:r>
          </w:p>
        </w:tc>
        <w:tc>
          <w:tcPr>
            <w:tcW w:w="6300" w:type="dxa"/>
          </w:tcPr>
          <w:p w14:paraId="1770F69C" w14:textId="77777777" w:rsidR="00041A40" w:rsidRPr="00CD4B2C" w:rsidRDefault="00041A40" w:rsidP="00041A40">
            <w:pPr>
              <w:spacing w:after="0"/>
              <w:rPr>
                <w:rFonts w:cs="Arial"/>
                <w:sz w:val="20"/>
                <w:szCs w:val="28"/>
              </w:rPr>
            </w:pPr>
            <w:r w:rsidRPr="00CD4B2C">
              <w:rPr>
                <w:rFonts w:cs="Arial"/>
                <w:sz w:val="20"/>
                <w:szCs w:val="28"/>
              </w:rPr>
              <w:t>Non-UK evidence without separable UK results</w:t>
            </w:r>
          </w:p>
        </w:tc>
      </w:tr>
      <w:tr w:rsidR="00041A40" w:rsidRPr="00CD4B2C" w14:paraId="24191EBA" w14:textId="77777777" w:rsidTr="00184C42">
        <w:tc>
          <w:tcPr>
            <w:tcW w:w="1928" w:type="dxa"/>
          </w:tcPr>
          <w:p w14:paraId="28837857" w14:textId="77777777" w:rsidR="00041A40" w:rsidRPr="00CD4B2C" w:rsidRDefault="00041A40" w:rsidP="00041A40">
            <w:pPr>
              <w:spacing w:after="0"/>
              <w:rPr>
                <w:rFonts w:cs="Arial"/>
                <w:sz w:val="20"/>
                <w:szCs w:val="28"/>
              </w:rPr>
            </w:pPr>
            <w:r w:rsidRPr="00CD4B2C">
              <w:rPr>
                <w:rFonts w:cs="Arial"/>
                <w:sz w:val="20"/>
                <w:szCs w:val="28"/>
              </w:rPr>
              <w:t>Condition</w:t>
            </w:r>
          </w:p>
        </w:tc>
        <w:tc>
          <w:tcPr>
            <w:tcW w:w="5020" w:type="dxa"/>
          </w:tcPr>
          <w:p w14:paraId="56AC7BE5" w14:textId="77777777" w:rsidR="00041A40" w:rsidRPr="00CD4B2C" w:rsidRDefault="00041A40" w:rsidP="00041A40">
            <w:pPr>
              <w:spacing w:after="0"/>
              <w:rPr>
                <w:rFonts w:cs="Arial"/>
                <w:sz w:val="20"/>
                <w:szCs w:val="28"/>
              </w:rPr>
            </w:pPr>
            <w:r w:rsidRPr="00CD4B2C">
              <w:rPr>
                <w:rFonts w:cs="Arial"/>
                <w:sz w:val="20"/>
                <w:szCs w:val="28"/>
              </w:rPr>
              <w:t>Defined CKD or CKD-risk population</w:t>
            </w:r>
          </w:p>
        </w:tc>
        <w:tc>
          <w:tcPr>
            <w:tcW w:w="6300" w:type="dxa"/>
          </w:tcPr>
          <w:p w14:paraId="3219D550" w14:textId="77777777" w:rsidR="00041A40" w:rsidRPr="00CD4B2C" w:rsidRDefault="00041A40" w:rsidP="00041A40">
            <w:pPr>
              <w:spacing w:after="0"/>
              <w:rPr>
                <w:rFonts w:cs="Arial"/>
                <w:sz w:val="20"/>
                <w:szCs w:val="28"/>
              </w:rPr>
            </w:pPr>
            <w:r w:rsidRPr="00CD4B2C">
              <w:rPr>
                <w:rFonts w:cs="Arial"/>
                <w:sz w:val="20"/>
                <w:szCs w:val="28"/>
              </w:rPr>
              <w:t>Acute kidney injury without a CKD outcome</w:t>
            </w:r>
          </w:p>
        </w:tc>
      </w:tr>
      <w:tr w:rsidR="00041A40" w:rsidRPr="00CD4B2C" w14:paraId="23B1172E" w14:textId="77777777" w:rsidTr="00184C42">
        <w:tc>
          <w:tcPr>
            <w:tcW w:w="1928" w:type="dxa"/>
          </w:tcPr>
          <w:p w14:paraId="72BC960A" w14:textId="77777777" w:rsidR="00041A40" w:rsidRPr="00CD4B2C" w:rsidRDefault="00041A40" w:rsidP="00041A40">
            <w:pPr>
              <w:spacing w:after="0"/>
              <w:rPr>
                <w:rFonts w:cs="Arial"/>
                <w:sz w:val="20"/>
                <w:szCs w:val="28"/>
              </w:rPr>
            </w:pPr>
            <w:r w:rsidRPr="00CD4B2C">
              <w:rPr>
                <w:rFonts w:cs="Arial"/>
                <w:sz w:val="20"/>
                <w:szCs w:val="28"/>
              </w:rPr>
              <w:t>Focus</w:t>
            </w:r>
          </w:p>
        </w:tc>
        <w:tc>
          <w:tcPr>
            <w:tcW w:w="5020" w:type="dxa"/>
          </w:tcPr>
          <w:p w14:paraId="47D500FB" w14:textId="77777777" w:rsidR="00041A40" w:rsidRPr="00CD4B2C" w:rsidRDefault="00041A40" w:rsidP="00041A40">
            <w:pPr>
              <w:spacing w:after="0"/>
              <w:rPr>
                <w:rFonts w:cs="Arial"/>
                <w:sz w:val="20"/>
                <w:szCs w:val="28"/>
              </w:rPr>
            </w:pPr>
            <w:r w:rsidRPr="00CD4B2C">
              <w:rPr>
                <w:rFonts w:cs="Arial"/>
                <w:sz w:val="20"/>
                <w:szCs w:val="28"/>
              </w:rPr>
              <w:t>Prevalence, risk, progression or management</w:t>
            </w:r>
          </w:p>
        </w:tc>
        <w:tc>
          <w:tcPr>
            <w:tcW w:w="6300" w:type="dxa"/>
          </w:tcPr>
          <w:p w14:paraId="5193870E" w14:textId="77777777" w:rsidR="00041A40" w:rsidRPr="00CD4B2C" w:rsidRDefault="00041A40" w:rsidP="00041A40">
            <w:pPr>
              <w:spacing w:after="0"/>
              <w:rPr>
                <w:rFonts w:cs="Arial"/>
                <w:sz w:val="20"/>
                <w:szCs w:val="28"/>
              </w:rPr>
            </w:pPr>
            <w:r w:rsidRPr="00CD4B2C">
              <w:rPr>
                <w:rFonts w:cs="Arial"/>
                <w:sz w:val="20"/>
                <w:szCs w:val="28"/>
              </w:rPr>
              <w:t>Unrelated to the research objectives</w:t>
            </w:r>
          </w:p>
        </w:tc>
      </w:tr>
      <w:tr w:rsidR="00041A40" w:rsidRPr="00CD4B2C" w14:paraId="1FD97B8A" w14:textId="77777777" w:rsidTr="00184C42">
        <w:tc>
          <w:tcPr>
            <w:tcW w:w="1928" w:type="dxa"/>
          </w:tcPr>
          <w:p w14:paraId="5BD2F32F" w14:textId="77777777" w:rsidR="00041A40" w:rsidRPr="00CD4B2C" w:rsidRDefault="00041A40" w:rsidP="00041A40">
            <w:pPr>
              <w:spacing w:after="0"/>
              <w:rPr>
                <w:rFonts w:cs="Arial"/>
                <w:sz w:val="20"/>
                <w:szCs w:val="28"/>
              </w:rPr>
            </w:pPr>
            <w:r w:rsidRPr="00CD4B2C">
              <w:rPr>
                <w:rFonts w:cs="Arial"/>
                <w:sz w:val="20"/>
                <w:szCs w:val="28"/>
              </w:rPr>
              <w:t>Evidence</w:t>
            </w:r>
          </w:p>
        </w:tc>
        <w:tc>
          <w:tcPr>
            <w:tcW w:w="5020" w:type="dxa"/>
          </w:tcPr>
          <w:p w14:paraId="46C84A1C" w14:textId="77777777" w:rsidR="00041A40" w:rsidRPr="00CD4B2C" w:rsidRDefault="00041A40" w:rsidP="00041A40">
            <w:pPr>
              <w:spacing w:after="0"/>
              <w:rPr>
                <w:rFonts w:cs="Arial"/>
                <w:sz w:val="20"/>
                <w:szCs w:val="28"/>
              </w:rPr>
            </w:pPr>
            <w:r w:rsidRPr="00CD4B2C">
              <w:rPr>
                <w:rFonts w:cs="Arial"/>
                <w:sz w:val="20"/>
                <w:szCs w:val="28"/>
              </w:rPr>
              <w:t>Peer-reviewed empirical human research</w:t>
            </w:r>
          </w:p>
        </w:tc>
        <w:tc>
          <w:tcPr>
            <w:tcW w:w="6300" w:type="dxa"/>
          </w:tcPr>
          <w:p w14:paraId="0CCFED91" w14:textId="77777777" w:rsidR="00041A40" w:rsidRPr="00CD4B2C" w:rsidRDefault="00041A40" w:rsidP="00041A40">
            <w:pPr>
              <w:spacing w:after="0"/>
              <w:rPr>
                <w:rFonts w:cs="Arial"/>
                <w:sz w:val="20"/>
                <w:szCs w:val="28"/>
              </w:rPr>
            </w:pPr>
            <w:r w:rsidRPr="00CD4B2C">
              <w:rPr>
                <w:rFonts w:cs="Arial"/>
                <w:sz w:val="20"/>
                <w:szCs w:val="28"/>
              </w:rPr>
              <w:t>Editorials, letters, protocols, commentaries, animal/laboratory studies</w:t>
            </w:r>
          </w:p>
        </w:tc>
      </w:tr>
      <w:tr w:rsidR="00041A40" w:rsidRPr="00CD4B2C" w14:paraId="434FB016" w14:textId="77777777" w:rsidTr="00184C42">
        <w:tc>
          <w:tcPr>
            <w:tcW w:w="1928" w:type="dxa"/>
          </w:tcPr>
          <w:p w14:paraId="756528E2" w14:textId="77777777" w:rsidR="00041A40" w:rsidRPr="00CD4B2C" w:rsidRDefault="00041A40" w:rsidP="00041A40">
            <w:pPr>
              <w:spacing w:after="0"/>
              <w:rPr>
                <w:rFonts w:cs="Arial"/>
                <w:sz w:val="20"/>
                <w:szCs w:val="28"/>
              </w:rPr>
            </w:pPr>
            <w:r w:rsidRPr="00CD4B2C">
              <w:rPr>
                <w:rFonts w:cs="Arial"/>
                <w:sz w:val="20"/>
                <w:szCs w:val="28"/>
              </w:rPr>
              <w:t>Date/language</w:t>
            </w:r>
          </w:p>
        </w:tc>
        <w:tc>
          <w:tcPr>
            <w:tcW w:w="5020" w:type="dxa"/>
          </w:tcPr>
          <w:p w14:paraId="44DE5871" w14:textId="77777777" w:rsidR="00041A40" w:rsidRPr="00CD4B2C" w:rsidRDefault="00041A40" w:rsidP="00041A40">
            <w:pPr>
              <w:spacing w:after="0"/>
              <w:rPr>
                <w:rFonts w:cs="Arial"/>
                <w:sz w:val="20"/>
                <w:szCs w:val="28"/>
              </w:rPr>
            </w:pPr>
            <w:r w:rsidRPr="00CD4B2C">
              <w:rPr>
                <w:rFonts w:cs="Arial"/>
                <w:sz w:val="20"/>
                <w:szCs w:val="28"/>
              </w:rPr>
              <w:t>2020–2026; English</w:t>
            </w:r>
          </w:p>
        </w:tc>
        <w:tc>
          <w:tcPr>
            <w:tcW w:w="6300" w:type="dxa"/>
          </w:tcPr>
          <w:p w14:paraId="20F3C816" w14:textId="77777777" w:rsidR="00041A40" w:rsidRPr="00CD4B2C" w:rsidRDefault="00041A40" w:rsidP="00041A40">
            <w:pPr>
              <w:spacing w:after="0"/>
              <w:rPr>
                <w:rFonts w:cs="Arial"/>
                <w:sz w:val="20"/>
                <w:szCs w:val="28"/>
              </w:rPr>
            </w:pPr>
            <w:r w:rsidRPr="00CD4B2C">
              <w:rPr>
                <w:rFonts w:cs="Arial"/>
                <w:sz w:val="20"/>
                <w:szCs w:val="28"/>
              </w:rPr>
              <w:t>Pre-2020; non-English</w:t>
            </w:r>
          </w:p>
        </w:tc>
      </w:tr>
      <w:tr w:rsidR="00041A40" w:rsidRPr="00CD4B2C" w14:paraId="05FE0F1B" w14:textId="77777777" w:rsidTr="00184C42">
        <w:tc>
          <w:tcPr>
            <w:tcW w:w="1928" w:type="dxa"/>
          </w:tcPr>
          <w:p w14:paraId="63230964" w14:textId="77777777" w:rsidR="00041A40" w:rsidRPr="00CD4B2C" w:rsidRDefault="00041A40" w:rsidP="00041A40">
            <w:pPr>
              <w:spacing w:after="0"/>
              <w:rPr>
                <w:rFonts w:cs="Arial"/>
                <w:sz w:val="20"/>
                <w:szCs w:val="28"/>
              </w:rPr>
            </w:pPr>
            <w:r w:rsidRPr="00CD4B2C">
              <w:rPr>
                <w:rFonts w:cs="Arial"/>
                <w:sz w:val="20"/>
                <w:szCs w:val="28"/>
              </w:rPr>
              <w:t>Availability</w:t>
            </w:r>
          </w:p>
        </w:tc>
        <w:tc>
          <w:tcPr>
            <w:tcW w:w="5020" w:type="dxa"/>
          </w:tcPr>
          <w:p w14:paraId="522C3385" w14:textId="77777777" w:rsidR="00041A40" w:rsidRPr="00CD4B2C" w:rsidRDefault="00041A40" w:rsidP="00041A40">
            <w:pPr>
              <w:spacing w:after="0"/>
              <w:rPr>
                <w:rFonts w:cs="Arial"/>
                <w:sz w:val="20"/>
                <w:szCs w:val="28"/>
              </w:rPr>
            </w:pPr>
            <w:r w:rsidRPr="00CD4B2C">
              <w:rPr>
                <w:rFonts w:cs="Arial"/>
                <w:sz w:val="20"/>
                <w:szCs w:val="28"/>
              </w:rPr>
              <w:t>Accessible full text</w:t>
            </w:r>
          </w:p>
        </w:tc>
        <w:tc>
          <w:tcPr>
            <w:tcW w:w="6300" w:type="dxa"/>
          </w:tcPr>
          <w:p w14:paraId="04C14844" w14:textId="77777777" w:rsidR="00041A40" w:rsidRPr="00CD4B2C" w:rsidRDefault="00041A40" w:rsidP="00041A40">
            <w:pPr>
              <w:spacing w:after="0"/>
              <w:rPr>
                <w:rFonts w:cs="Arial"/>
                <w:sz w:val="20"/>
                <w:szCs w:val="28"/>
              </w:rPr>
            </w:pPr>
            <w:r w:rsidRPr="00CD4B2C">
              <w:rPr>
                <w:rFonts w:cs="Arial"/>
                <w:sz w:val="20"/>
                <w:szCs w:val="28"/>
              </w:rPr>
              <w:t>Abstract only or insufficient full-text information</w:t>
            </w:r>
          </w:p>
        </w:tc>
      </w:tr>
      <w:tr w:rsidR="00041A40" w:rsidRPr="00CD4B2C" w14:paraId="2AE391A5" w14:textId="77777777" w:rsidTr="00184C42">
        <w:tc>
          <w:tcPr>
            <w:tcW w:w="1928" w:type="dxa"/>
          </w:tcPr>
          <w:p w14:paraId="7E962D56" w14:textId="77777777" w:rsidR="00041A40" w:rsidRPr="00CD4B2C" w:rsidRDefault="00041A40" w:rsidP="00041A40">
            <w:pPr>
              <w:spacing w:after="0"/>
              <w:rPr>
                <w:rFonts w:cs="Arial"/>
                <w:sz w:val="20"/>
                <w:szCs w:val="28"/>
              </w:rPr>
            </w:pPr>
            <w:r w:rsidRPr="00CD4B2C">
              <w:rPr>
                <w:rFonts w:cs="Arial"/>
                <w:sz w:val="20"/>
                <w:szCs w:val="28"/>
              </w:rPr>
              <w:t>Design</w:t>
            </w:r>
          </w:p>
        </w:tc>
        <w:tc>
          <w:tcPr>
            <w:tcW w:w="5020" w:type="dxa"/>
          </w:tcPr>
          <w:p w14:paraId="625634BA" w14:textId="77777777" w:rsidR="00041A40" w:rsidRPr="00CD4B2C" w:rsidRDefault="00041A40" w:rsidP="00041A40">
            <w:pPr>
              <w:spacing w:after="0"/>
              <w:rPr>
                <w:rFonts w:cs="Arial"/>
                <w:sz w:val="20"/>
                <w:szCs w:val="28"/>
              </w:rPr>
            </w:pPr>
            <w:r w:rsidRPr="00CD4B2C">
              <w:rPr>
                <w:rFonts w:cs="Arial"/>
                <w:sz w:val="20"/>
                <w:szCs w:val="28"/>
              </w:rPr>
              <w:t>Observational, intervention, qualitative or mixed methods</w:t>
            </w:r>
          </w:p>
        </w:tc>
        <w:tc>
          <w:tcPr>
            <w:tcW w:w="6300" w:type="dxa"/>
          </w:tcPr>
          <w:p w14:paraId="2031A069" w14:textId="77777777" w:rsidR="00041A40" w:rsidRPr="00CD4B2C" w:rsidRDefault="00041A40" w:rsidP="00041A40">
            <w:pPr>
              <w:spacing w:after="0"/>
              <w:rPr>
                <w:rFonts w:cs="Arial"/>
                <w:sz w:val="20"/>
                <w:szCs w:val="28"/>
              </w:rPr>
            </w:pPr>
            <w:r w:rsidRPr="00CD4B2C">
              <w:rPr>
                <w:rFonts w:cs="Arial"/>
                <w:sz w:val="20"/>
                <w:szCs w:val="28"/>
              </w:rPr>
              <w:t>Non-empirical work</w:t>
            </w:r>
          </w:p>
        </w:tc>
      </w:tr>
    </w:tbl>
    <w:p w14:paraId="775734F0" w14:textId="77777777" w:rsidR="00041A40" w:rsidRPr="00041A40" w:rsidRDefault="00041A40" w:rsidP="00041A40">
      <w:pPr>
        <w:spacing w:after="20"/>
        <w:rPr>
          <w:rFonts w:cs="Arial"/>
        </w:rPr>
      </w:pPr>
    </w:p>
    <w:p w14:paraId="6796DEC2" w14:textId="77777777" w:rsidR="00041A40" w:rsidRPr="00041A40" w:rsidRDefault="00041A40" w:rsidP="00041A40">
      <w:pPr>
        <w:keepNext/>
        <w:keepLines/>
        <w:spacing w:before="200" w:after="0"/>
        <w:outlineLvl w:val="1"/>
        <w:rPr>
          <w:rFonts w:eastAsiaTheme="majorEastAsia" w:cs="Arial"/>
          <w:b/>
          <w:bCs/>
          <w:color w:val="000000" w:themeColor="text1"/>
          <w:sz w:val="26"/>
          <w:szCs w:val="26"/>
        </w:rPr>
      </w:pPr>
      <w:bookmarkStart w:id="167" w:name="_Toc241011101"/>
      <w:r w:rsidRPr="00041A40">
        <w:rPr>
          <w:rFonts w:eastAsiaTheme="majorEastAsia" w:cs="Arial"/>
          <w:b/>
          <w:bCs/>
          <w:color w:val="000000" w:themeColor="text1"/>
          <w:sz w:val="26"/>
          <w:szCs w:val="26"/>
        </w:rPr>
        <w:t>Appendix 2 – PRISMA Study-Selection Evidence</w:t>
      </w:r>
      <w:bookmarkEnd w:id="167"/>
    </w:p>
    <w:p w14:paraId="21ECB72F" w14:textId="77777777" w:rsidR="00041A40" w:rsidRPr="00041A40" w:rsidRDefault="00041A40" w:rsidP="00041A40">
      <w:pPr>
        <w:keepNext/>
        <w:spacing w:before="60" w:after="60"/>
        <w:rPr>
          <w:rFonts w:cs="Arial"/>
          <w:sz w:val="32"/>
          <w:szCs w:val="32"/>
        </w:rPr>
      </w:pPr>
      <w:r w:rsidRPr="00041A40">
        <w:rPr>
          <w:rFonts w:cs="Arial"/>
          <w:b/>
          <w:sz w:val="24"/>
          <w:szCs w:val="32"/>
        </w:rPr>
        <w:t>Figure B1. PRISMA 2020 study-selection flow</w:t>
      </w:r>
    </w:p>
    <w:tbl>
      <w:tblPr>
        <w:tblStyle w:val="TableGrid"/>
        <w:tblW w:w="0" w:type="auto"/>
        <w:tblLayout w:type="fixed"/>
        <w:tblLook w:val="04A0" w:firstRow="1" w:lastRow="0" w:firstColumn="1" w:lastColumn="0" w:noHBand="0" w:noVBand="1"/>
      </w:tblPr>
      <w:tblGrid>
        <w:gridCol w:w="2358"/>
        <w:gridCol w:w="10890"/>
      </w:tblGrid>
      <w:tr w:rsidR="00041A40" w:rsidRPr="00CD4B2C" w14:paraId="0D8882F2" w14:textId="77777777" w:rsidTr="00184C42">
        <w:tc>
          <w:tcPr>
            <w:tcW w:w="2358" w:type="dxa"/>
          </w:tcPr>
          <w:p w14:paraId="113C3F79" w14:textId="77777777" w:rsidR="00041A40" w:rsidRPr="00CD4B2C" w:rsidRDefault="00041A40" w:rsidP="00041A40">
            <w:pPr>
              <w:spacing w:after="0"/>
              <w:jc w:val="center"/>
              <w:rPr>
                <w:rFonts w:cs="Arial"/>
                <w:sz w:val="20"/>
                <w:szCs w:val="28"/>
              </w:rPr>
            </w:pPr>
            <w:r w:rsidRPr="00CD4B2C">
              <w:rPr>
                <w:rFonts w:cs="Arial"/>
                <w:b/>
                <w:sz w:val="20"/>
                <w:szCs w:val="28"/>
              </w:rPr>
              <w:t>Stage</w:t>
            </w:r>
          </w:p>
        </w:tc>
        <w:tc>
          <w:tcPr>
            <w:tcW w:w="10890" w:type="dxa"/>
          </w:tcPr>
          <w:p w14:paraId="4F5BBDAD" w14:textId="77777777" w:rsidR="00041A40" w:rsidRPr="00CD4B2C" w:rsidRDefault="00041A40" w:rsidP="00041A40">
            <w:pPr>
              <w:spacing w:after="0"/>
              <w:jc w:val="center"/>
              <w:rPr>
                <w:rFonts w:cs="Arial"/>
                <w:sz w:val="20"/>
                <w:szCs w:val="28"/>
              </w:rPr>
            </w:pPr>
            <w:r w:rsidRPr="00CD4B2C">
              <w:rPr>
                <w:rFonts w:cs="Arial"/>
                <w:b/>
                <w:sz w:val="20"/>
                <w:szCs w:val="28"/>
              </w:rPr>
              <w:t>Study-selection record</w:t>
            </w:r>
          </w:p>
        </w:tc>
      </w:tr>
      <w:tr w:rsidR="00041A40" w:rsidRPr="00CD4B2C" w14:paraId="4EC56E26" w14:textId="77777777" w:rsidTr="00184C42">
        <w:tc>
          <w:tcPr>
            <w:tcW w:w="2358" w:type="dxa"/>
          </w:tcPr>
          <w:p w14:paraId="4914435F" w14:textId="77777777" w:rsidR="00041A40" w:rsidRPr="00CD4B2C" w:rsidRDefault="00041A40" w:rsidP="00041A40">
            <w:pPr>
              <w:spacing w:after="0"/>
              <w:rPr>
                <w:rFonts w:cs="Arial"/>
                <w:sz w:val="20"/>
                <w:szCs w:val="28"/>
              </w:rPr>
            </w:pPr>
            <w:r w:rsidRPr="00CD4B2C">
              <w:rPr>
                <w:rFonts w:cs="Arial"/>
                <w:sz w:val="20"/>
                <w:szCs w:val="28"/>
              </w:rPr>
              <w:t>Identification</w:t>
            </w:r>
          </w:p>
        </w:tc>
        <w:tc>
          <w:tcPr>
            <w:tcW w:w="10890" w:type="dxa"/>
          </w:tcPr>
          <w:p w14:paraId="29697BF7" w14:textId="77777777" w:rsidR="00041A40" w:rsidRPr="00CD4B2C" w:rsidRDefault="00041A40" w:rsidP="00041A40">
            <w:pPr>
              <w:spacing w:after="0"/>
              <w:rPr>
                <w:rFonts w:cs="Arial"/>
                <w:sz w:val="20"/>
                <w:szCs w:val="28"/>
              </w:rPr>
            </w:pPr>
            <w:r w:rsidRPr="00CD4B2C">
              <w:rPr>
                <w:rFonts w:cs="Arial"/>
                <w:sz w:val="20"/>
                <w:szCs w:val="28"/>
              </w:rPr>
              <w:t>Databases: MEDLINE via PubMed (n = 128), CINAHL via EBSCOhost (n = 74), Academic Search Complete (n = 69), Web of Science Core Collection (n = 94). Database records (n = 365). Hand searches (n = 15). Total records identified (n = 380).</w:t>
            </w:r>
          </w:p>
        </w:tc>
      </w:tr>
      <w:tr w:rsidR="00041A40" w:rsidRPr="00CD4B2C" w14:paraId="2F29D821" w14:textId="77777777" w:rsidTr="00184C42">
        <w:tc>
          <w:tcPr>
            <w:tcW w:w="2358" w:type="dxa"/>
          </w:tcPr>
          <w:p w14:paraId="071F8339" w14:textId="77777777" w:rsidR="00041A40" w:rsidRPr="00CD4B2C" w:rsidRDefault="00041A40" w:rsidP="00041A40">
            <w:pPr>
              <w:spacing w:after="0"/>
              <w:rPr>
                <w:rFonts w:cs="Arial"/>
                <w:sz w:val="20"/>
                <w:szCs w:val="28"/>
              </w:rPr>
            </w:pPr>
            <w:r w:rsidRPr="00CD4B2C">
              <w:rPr>
                <w:rFonts w:cs="Arial"/>
                <w:sz w:val="20"/>
                <w:szCs w:val="28"/>
              </w:rPr>
              <w:t>Records removed before screening</w:t>
            </w:r>
          </w:p>
        </w:tc>
        <w:tc>
          <w:tcPr>
            <w:tcW w:w="10890" w:type="dxa"/>
          </w:tcPr>
          <w:p w14:paraId="5EF9C5E5" w14:textId="77777777" w:rsidR="00041A40" w:rsidRPr="00CD4B2C" w:rsidRDefault="00041A40" w:rsidP="00041A40">
            <w:pPr>
              <w:spacing w:after="0"/>
              <w:rPr>
                <w:rFonts w:cs="Arial"/>
                <w:sz w:val="20"/>
                <w:szCs w:val="28"/>
              </w:rPr>
            </w:pPr>
            <w:r w:rsidRPr="00CD4B2C">
              <w:rPr>
                <w:rFonts w:cs="Arial"/>
                <w:sz w:val="20"/>
                <w:szCs w:val="28"/>
              </w:rPr>
              <w:t>Duplicate records removed (n = 80).</w:t>
            </w:r>
          </w:p>
        </w:tc>
      </w:tr>
      <w:tr w:rsidR="00041A40" w:rsidRPr="00CD4B2C" w14:paraId="0C45A3CC" w14:textId="77777777" w:rsidTr="00184C42">
        <w:tc>
          <w:tcPr>
            <w:tcW w:w="2358" w:type="dxa"/>
          </w:tcPr>
          <w:p w14:paraId="73554014" w14:textId="77777777" w:rsidR="00041A40" w:rsidRPr="00CD4B2C" w:rsidRDefault="00041A40" w:rsidP="00041A40">
            <w:pPr>
              <w:spacing w:after="0"/>
              <w:rPr>
                <w:rFonts w:cs="Arial"/>
                <w:sz w:val="20"/>
                <w:szCs w:val="28"/>
              </w:rPr>
            </w:pPr>
            <w:r w:rsidRPr="00CD4B2C">
              <w:rPr>
                <w:rFonts w:cs="Arial"/>
                <w:sz w:val="20"/>
                <w:szCs w:val="28"/>
              </w:rPr>
              <w:t>Screening</w:t>
            </w:r>
          </w:p>
        </w:tc>
        <w:tc>
          <w:tcPr>
            <w:tcW w:w="10890" w:type="dxa"/>
          </w:tcPr>
          <w:p w14:paraId="28883428" w14:textId="77777777" w:rsidR="00041A40" w:rsidRPr="00CD4B2C" w:rsidRDefault="00041A40" w:rsidP="00041A40">
            <w:pPr>
              <w:spacing w:after="0"/>
              <w:rPr>
                <w:rFonts w:cs="Arial"/>
                <w:sz w:val="20"/>
                <w:szCs w:val="28"/>
              </w:rPr>
            </w:pPr>
            <w:r w:rsidRPr="00CD4B2C">
              <w:rPr>
                <w:rFonts w:cs="Arial"/>
                <w:sz w:val="20"/>
                <w:szCs w:val="28"/>
              </w:rPr>
              <w:t>Records screened by title and abstract (n = 300). Records excluded (n = 240).</w:t>
            </w:r>
          </w:p>
        </w:tc>
      </w:tr>
      <w:tr w:rsidR="00041A40" w:rsidRPr="00CD4B2C" w14:paraId="0B3A5EF4" w14:textId="77777777" w:rsidTr="00184C42">
        <w:tc>
          <w:tcPr>
            <w:tcW w:w="2358" w:type="dxa"/>
          </w:tcPr>
          <w:p w14:paraId="66A9849A" w14:textId="77777777" w:rsidR="00041A40" w:rsidRPr="00CD4B2C" w:rsidRDefault="00041A40" w:rsidP="00041A40">
            <w:pPr>
              <w:spacing w:after="0"/>
              <w:rPr>
                <w:rFonts w:cs="Arial"/>
                <w:sz w:val="20"/>
                <w:szCs w:val="28"/>
              </w:rPr>
            </w:pPr>
            <w:r w:rsidRPr="00CD4B2C">
              <w:rPr>
                <w:rFonts w:cs="Arial"/>
                <w:sz w:val="20"/>
                <w:szCs w:val="28"/>
              </w:rPr>
              <w:t>Eligibility</w:t>
            </w:r>
          </w:p>
        </w:tc>
        <w:tc>
          <w:tcPr>
            <w:tcW w:w="10890" w:type="dxa"/>
          </w:tcPr>
          <w:p w14:paraId="1050EA54" w14:textId="77777777" w:rsidR="00041A40" w:rsidRPr="00CD4B2C" w:rsidRDefault="00041A40" w:rsidP="00041A40">
            <w:pPr>
              <w:spacing w:after="0"/>
              <w:rPr>
                <w:rFonts w:cs="Arial"/>
                <w:sz w:val="20"/>
                <w:szCs w:val="28"/>
              </w:rPr>
            </w:pPr>
            <w:r w:rsidRPr="00CD4B2C">
              <w:rPr>
                <w:rFonts w:cs="Arial"/>
                <w:sz w:val="20"/>
                <w:szCs w:val="28"/>
              </w:rPr>
              <w:t>Full-text research articles assessed (n = 60). Full-text articles excluded (n = 45).</w:t>
            </w:r>
          </w:p>
        </w:tc>
      </w:tr>
      <w:tr w:rsidR="00041A40" w:rsidRPr="00CD4B2C" w14:paraId="66746ADC" w14:textId="77777777" w:rsidTr="00184C42">
        <w:tc>
          <w:tcPr>
            <w:tcW w:w="2358" w:type="dxa"/>
          </w:tcPr>
          <w:p w14:paraId="5959603A" w14:textId="77777777" w:rsidR="00041A40" w:rsidRPr="00CD4B2C" w:rsidRDefault="00041A40" w:rsidP="00041A40">
            <w:pPr>
              <w:spacing w:after="0"/>
              <w:rPr>
                <w:rFonts w:cs="Arial"/>
                <w:sz w:val="20"/>
                <w:szCs w:val="28"/>
              </w:rPr>
            </w:pPr>
            <w:r w:rsidRPr="00CD4B2C">
              <w:rPr>
                <w:rFonts w:cs="Arial"/>
                <w:sz w:val="20"/>
                <w:szCs w:val="28"/>
              </w:rPr>
              <w:t>Included</w:t>
            </w:r>
          </w:p>
        </w:tc>
        <w:tc>
          <w:tcPr>
            <w:tcW w:w="10890" w:type="dxa"/>
          </w:tcPr>
          <w:p w14:paraId="54CD63A4" w14:textId="77777777" w:rsidR="00041A40" w:rsidRPr="00CD4B2C" w:rsidRDefault="00041A40" w:rsidP="00041A40">
            <w:pPr>
              <w:spacing w:after="0"/>
              <w:rPr>
                <w:rFonts w:cs="Arial"/>
                <w:sz w:val="20"/>
                <w:szCs w:val="28"/>
              </w:rPr>
            </w:pPr>
            <w:r w:rsidRPr="00CD4B2C">
              <w:rPr>
                <w:rFonts w:cs="Arial"/>
                <w:sz w:val="20"/>
                <w:szCs w:val="28"/>
              </w:rPr>
              <w:t xml:space="preserve">Studies included in the systematic synthesis (n = 15): cohort studies (n = 10), cross-sectional studies (n = 1), </w:t>
            </w:r>
            <w:proofErr w:type="spellStart"/>
            <w:r w:rsidRPr="00CD4B2C">
              <w:rPr>
                <w:rFonts w:cs="Arial"/>
                <w:sz w:val="20"/>
                <w:szCs w:val="28"/>
              </w:rPr>
              <w:t>randomised</w:t>
            </w:r>
            <w:proofErr w:type="spellEnd"/>
            <w:r w:rsidRPr="00CD4B2C">
              <w:rPr>
                <w:rFonts w:cs="Arial"/>
                <w:sz w:val="20"/>
                <w:szCs w:val="28"/>
              </w:rPr>
              <w:t xml:space="preserve"> controlled trial (n = 1), qualitative study (n = 1), and service/quality-improvement evaluations (n = 2).</w:t>
            </w:r>
          </w:p>
        </w:tc>
      </w:tr>
    </w:tbl>
    <w:p w14:paraId="47ECF7D7" w14:textId="77777777" w:rsidR="00184C42" w:rsidRDefault="00184C42" w:rsidP="00041A40">
      <w:pPr>
        <w:keepNext/>
        <w:spacing w:before="60" w:after="60"/>
        <w:rPr>
          <w:rFonts w:cs="Arial"/>
          <w:b/>
          <w:sz w:val="24"/>
          <w:szCs w:val="32"/>
        </w:rPr>
      </w:pPr>
    </w:p>
    <w:p w14:paraId="1B34636C" w14:textId="477E00AE" w:rsidR="00041A40" w:rsidRPr="00041A40" w:rsidRDefault="00041A40" w:rsidP="00041A40">
      <w:pPr>
        <w:keepNext/>
        <w:spacing w:before="60" w:after="60"/>
        <w:rPr>
          <w:rFonts w:cs="Arial"/>
          <w:sz w:val="32"/>
          <w:szCs w:val="32"/>
        </w:rPr>
      </w:pPr>
      <w:r w:rsidRPr="00041A40">
        <w:rPr>
          <w:rFonts w:cs="Arial"/>
          <w:b/>
          <w:sz w:val="24"/>
          <w:szCs w:val="32"/>
        </w:rPr>
        <w:t>Table B1. Full-text exclusion record</w:t>
      </w:r>
    </w:p>
    <w:tbl>
      <w:tblPr>
        <w:tblStyle w:val="TableGrid"/>
        <w:tblW w:w="0" w:type="auto"/>
        <w:tblLayout w:type="fixed"/>
        <w:tblLook w:val="04A0" w:firstRow="1" w:lastRow="0" w:firstColumn="1" w:lastColumn="0" w:noHBand="0" w:noVBand="1"/>
      </w:tblPr>
      <w:tblGrid>
        <w:gridCol w:w="2948"/>
        <w:gridCol w:w="1474"/>
        <w:gridCol w:w="8826"/>
      </w:tblGrid>
      <w:tr w:rsidR="00041A40" w:rsidRPr="00C341DB" w14:paraId="6EEFFA04" w14:textId="77777777" w:rsidTr="00184C42">
        <w:tc>
          <w:tcPr>
            <w:tcW w:w="2948" w:type="dxa"/>
          </w:tcPr>
          <w:p w14:paraId="43D6F67C" w14:textId="77777777" w:rsidR="00041A40" w:rsidRPr="00C341DB" w:rsidRDefault="00041A40" w:rsidP="00041A40">
            <w:pPr>
              <w:spacing w:after="0"/>
              <w:jc w:val="center"/>
              <w:rPr>
                <w:rFonts w:cs="Arial"/>
                <w:sz w:val="20"/>
                <w:szCs w:val="28"/>
              </w:rPr>
            </w:pPr>
            <w:r w:rsidRPr="00C341DB">
              <w:rPr>
                <w:rFonts w:cs="Arial"/>
                <w:b/>
                <w:sz w:val="20"/>
                <w:szCs w:val="28"/>
              </w:rPr>
              <w:t>Reason for exclusion</w:t>
            </w:r>
          </w:p>
        </w:tc>
        <w:tc>
          <w:tcPr>
            <w:tcW w:w="1474" w:type="dxa"/>
          </w:tcPr>
          <w:p w14:paraId="28BABB21" w14:textId="77777777" w:rsidR="00041A40" w:rsidRPr="00C341DB" w:rsidRDefault="00041A40" w:rsidP="00041A40">
            <w:pPr>
              <w:spacing w:after="0"/>
              <w:jc w:val="center"/>
              <w:rPr>
                <w:rFonts w:cs="Arial"/>
                <w:sz w:val="20"/>
                <w:szCs w:val="28"/>
              </w:rPr>
            </w:pPr>
            <w:r w:rsidRPr="00C341DB">
              <w:rPr>
                <w:rFonts w:cs="Arial"/>
                <w:b/>
                <w:sz w:val="20"/>
                <w:szCs w:val="28"/>
              </w:rPr>
              <w:t>Number excluded</w:t>
            </w:r>
          </w:p>
        </w:tc>
        <w:tc>
          <w:tcPr>
            <w:tcW w:w="8826" w:type="dxa"/>
          </w:tcPr>
          <w:p w14:paraId="1EA9B0CA" w14:textId="77777777" w:rsidR="00041A40" w:rsidRPr="00C341DB" w:rsidRDefault="00041A40" w:rsidP="00041A40">
            <w:pPr>
              <w:spacing w:after="0"/>
              <w:jc w:val="center"/>
              <w:rPr>
                <w:rFonts w:cs="Arial"/>
                <w:sz w:val="20"/>
                <w:szCs w:val="28"/>
              </w:rPr>
            </w:pPr>
            <w:r w:rsidRPr="00C341DB">
              <w:rPr>
                <w:rFonts w:cs="Arial"/>
                <w:b/>
                <w:sz w:val="20"/>
                <w:szCs w:val="28"/>
              </w:rPr>
              <w:t>Decision rule</w:t>
            </w:r>
          </w:p>
        </w:tc>
      </w:tr>
      <w:tr w:rsidR="00041A40" w:rsidRPr="00C341DB" w14:paraId="3E88FFB3" w14:textId="77777777" w:rsidTr="00184C42">
        <w:tc>
          <w:tcPr>
            <w:tcW w:w="2948" w:type="dxa"/>
          </w:tcPr>
          <w:p w14:paraId="075753FB" w14:textId="77777777" w:rsidR="00041A40" w:rsidRPr="00C341DB" w:rsidRDefault="00041A40" w:rsidP="00041A40">
            <w:pPr>
              <w:spacing w:after="0"/>
              <w:rPr>
                <w:rFonts w:cs="Arial"/>
                <w:sz w:val="20"/>
                <w:szCs w:val="28"/>
              </w:rPr>
            </w:pPr>
            <w:r w:rsidRPr="00C341DB">
              <w:rPr>
                <w:rFonts w:cs="Arial"/>
                <w:sz w:val="20"/>
                <w:szCs w:val="28"/>
              </w:rPr>
              <w:t>Incorrect population or setting</w:t>
            </w:r>
          </w:p>
        </w:tc>
        <w:tc>
          <w:tcPr>
            <w:tcW w:w="1474" w:type="dxa"/>
          </w:tcPr>
          <w:p w14:paraId="3C3D86A5" w14:textId="77777777" w:rsidR="00041A40" w:rsidRPr="00C341DB" w:rsidRDefault="00041A40" w:rsidP="00041A40">
            <w:pPr>
              <w:spacing w:after="0"/>
              <w:jc w:val="center"/>
              <w:rPr>
                <w:rFonts w:cs="Arial"/>
                <w:sz w:val="20"/>
                <w:szCs w:val="28"/>
              </w:rPr>
            </w:pPr>
            <w:r w:rsidRPr="00C341DB">
              <w:rPr>
                <w:rFonts w:cs="Arial"/>
                <w:sz w:val="20"/>
                <w:szCs w:val="28"/>
              </w:rPr>
              <w:t>16</w:t>
            </w:r>
          </w:p>
        </w:tc>
        <w:tc>
          <w:tcPr>
            <w:tcW w:w="8826" w:type="dxa"/>
          </w:tcPr>
          <w:p w14:paraId="1F634634" w14:textId="77777777" w:rsidR="00041A40" w:rsidRPr="00C341DB" w:rsidRDefault="00041A40" w:rsidP="00041A40">
            <w:pPr>
              <w:spacing w:after="0"/>
              <w:rPr>
                <w:rFonts w:cs="Arial"/>
                <w:sz w:val="20"/>
                <w:szCs w:val="28"/>
              </w:rPr>
            </w:pPr>
            <w:r w:rsidRPr="00C341DB">
              <w:rPr>
                <w:rFonts w:cs="Arial"/>
                <w:sz w:val="20"/>
                <w:szCs w:val="28"/>
              </w:rPr>
              <w:t>Population was not composed of eligible adults, or UK findings were unavailable or inseparable.</w:t>
            </w:r>
          </w:p>
        </w:tc>
      </w:tr>
      <w:tr w:rsidR="00041A40" w:rsidRPr="00C341DB" w14:paraId="7E1026A3" w14:textId="77777777" w:rsidTr="00184C42">
        <w:tc>
          <w:tcPr>
            <w:tcW w:w="2948" w:type="dxa"/>
          </w:tcPr>
          <w:p w14:paraId="28C64275" w14:textId="77777777" w:rsidR="00041A40" w:rsidRPr="00C341DB" w:rsidRDefault="00041A40" w:rsidP="00041A40">
            <w:pPr>
              <w:spacing w:after="0"/>
              <w:rPr>
                <w:rFonts w:cs="Arial"/>
                <w:sz w:val="20"/>
                <w:szCs w:val="28"/>
              </w:rPr>
            </w:pPr>
            <w:r w:rsidRPr="00C341DB">
              <w:rPr>
                <w:rFonts w:cs="Arial"/>
                <w:sz w:val="20"/>
                <w:szCs w:val="28"/>
              </w:rPr>
              <w:t>Incorrect focus or outcome</w:t>
            </w:r>
          </w:p>
        </w:tc>
        <w:tc>
          <w:tcPr>
            <w:tcW w:w="1474" w:type="dxa"/>
          </w:tcPr>
          <w:p w14:paraId="58F04078" w14:textId="77777777" w:rsidR="00041A40" w:rsidRPr="00C341DB" w:rsidRDefault="00041A40" w:rsidP="00041A40">
            <w:pPr>
              <w:spacing w:after="0"/>
              <w:jc w:val="center"/>
              <w:rPr>
                <w:rFonts w:cs="Arial"/>
                <w:sz w:val="20"/>
                <w:szCs w:val="28"/>
              </w:rPr>
            </w:pPr>
            <w:r w:rsidRPr="00C341DB">
              <w:rPr>
                <w:rFonts w:cs="Arial"/>
                <w:sz w:val="20"/>
                <w:szCs w:val="28"/>
              </w:rPr>
              <w:t>14</w:t>
            </w:r>
          </w:p>
        </w:tc>
        <w:tc>
          <w:tcPr>
            <w:tcW w:w="8826" w:type="dxa"/>
          </w:tcPr>
          <w:p w14:paraId="13E61DC1" w14:textId="77777777" w:rsidR="00041A40" w:rsidRPr="00C341DB" w:rsidRDefault="00041A40" w:rsidP="00041A40">
            <w:pPr>
              <w:spacing w:after="0"/>
              <w:rPr>
                <w:rFonts w:cs="Arial"/>
                <w:sz w:val="20"/>
                <w:szCs w:val="28"/>
              </w:rPr>
            </w:pPr>
            <w:r w:rsidRPr="00C341DB">
              <w:rPr>
                <w:rFonts w:cs="Arial"/>
                <w:sz w:val="20"/>
                <w:szCs w:val="28"/>
              </w:rPr>
              <w:t>Study did not address CKD prevalence, risk, progression or management outcomes.</w:t>
            </w:r>
          </w:p>
        </w:tc>
      </w:tr>
      <w:tr w:rsidR="00041A40" w:rsidRPr="00C341DB" w14:paraId="65E45361" w14:textId="77777777" w:rsidTr="00184C42">
        <w:tc>
          <w:tcPr>
            <w:tcW w:w="2948" w:type="dxa"/>
          </w:tcPr>
          <w:p w14:paraId="4CA73DE4" w14:textId="77777777" w:rsidR="00041A40" w:rsidRPr="00C341DB" w:rsidRDefault="00041A40" w:rsidP="00041A40">
            <w:pPr>
              <w:spacing w:after="0"/>
              <w:rPr>
                <w:rFonts w:cs="Arial"/>
                <w:sz w:val="20"/>
                <w:szCs w:val="28"/>
              </w:rPr>
            </w:pPr>
            <w:r w:rsidRPr="00C341DB">
              <w:rPr>
                <w:rFonts w:cs="Arial"/>
                <w:sz w:val="20"/>
                <w:szCs w:val="28"/>
              </w:rPr>
              <w:t>Incorrect study design</w:t>
            </w:r>
          </w:p>
        </w:tc>
        <w:tc>
          <w:tcPr>
            <w:tcW w:w="1474" w:type="dxa"/>
          </w:tcPr>
          <w:p w14:paraId="46FE2546" w14:textId="77777777" w:rsidR="00041A40" w:rsidRPr="00C341DB" w:rsidRDefault="00041A40" w:rsidP="00041A40">
            <w:pPr>
              <w:spacing w:after="0"/>
              <w:jc w:val="center"/>
              <w:rPr>
                <w:rFonts w:cs="Arial"/>
                <w:sz w:val="20"/>
                <w:szCs w:val="28"/>
              </w:rPr>
            </w:pPr>
            <w:r w:rsidRPr="00C341DB">
              <w:rPr>
                <w:rFonts w:cs="Arial"/>
                <w:sz w:val="20"/>
                <w:szCs w:val="28"/>
              </w:rPr>
              <w:t>9</w:t>
            </w:r>
          </w:p>
        </w:tc>
        <w:tc>
          <w:tcPr>
            <w:tcW w:w="8826" w:type="dxa"/>
          </w:tcPr>
          <w:p w14:paraId="1EE8D948" w14:textId="77777777" w:rsidR="00041A40" w:rsidRPr="00C341DB" w:rsidRDefault="00041A40" w:rsidP="00041A40">
            <w:pPr>
              <w:spacing w:after="0"/>
              <w:rPr>
                <w:rFonts w:cs="Arial"/>
                <w:sz w:val="20"/>
                <w:szCs w:val="28"/>
              </w:rPr>
            </w:pPr>
            <w:r w:rsidRPr="00C341DB">
              <w:rPr>
                <w:rFonts w:cs="Arial"/>
                <w:sz w:val="20"/>
                <w:szCs w:val="28"/>
              </w:rPr>
              <w:t>Publication was non-empirical or did not meet the eligible design criteria.</w:t>
            </w:r>
          </w:p>
        </w:tc>
      </w:tr>
      <w:tr w:rsidR="00041A40" w:rsidRPr="00C341DB" w14:paraId="44835CA5" w14:textId="77777777" w:rsidTr="00184C42">
        <w:tc>
          <w:tcPr>
            <w:tcW w:w="2948" w:type="dxa"/>
          </w:tcPr>
          <w:p w14:paraId="035FA13C" w14:textId="77777777" w:rsidR="00041A40" w:rsidRPr="00C341DB" w:rsidRDefault="00041A40" w:rsidP="00041A40">
            <w:pPr>
              <w:spacing w:after="0"/>
              <w:rPr>
                <w:rFonts w:cs="Arial"/>
                <w:sz w:val="20"/>
                <w:szCs w:val="28"/>
              </w:rPr>
            </w:pPr>
            <w:r w:rsidRPr="00C341DB">
              <w:rPr>
                <w:rFonts w:cs="Arial"/>
                <w:sz w:val="20"/>
                <w:szCs w:val="28"/>
              </w:rPr>
              <w:t>Outside date limits or full text unavailable</w:t>
            </w:r>
          </w:p>
        </w:tc>
        <w:tc>
          <w:tcPr>
            <w:tcW w:w="1474" w:type="dxa"/>
          </w:tcPr>
          <w:p w14:paraId="06B92AFB" w14:textId="77777777" w:rsidR="00041A40" w:rsidRPr="00C341DB" w:rsidRDefault="00041A40" w:rsidP="00041A40">
            <w:pPr>
              <w:spacing w:after="0"/>
              <w:jc w:val="center"/>
              <w:rPr>
                <w:rFonts w:cs="Arial"/>
                <w:sz w:val="20"/>
                <w:szCs w:val="28"/>
              </w:rPr>
            </w:pPr>
            <w:r w:rsidRPr="00C341DB">
              <w:rPr>
                <w:rFonts w:cs="Arial"/>
                <w:sz w:val="20"/>
                <w:szCs w:val="28"/>
              </w:rPr>
              <w:t>6</w:t>
            </w:r>
          </w:p>
        </w:tc>
        <w:tc>
          <w:tcPr>
            <w:tcW w:w="8826" w:type="dxa"/>
          </w:tcPr>
          <w:p w14:paraId="08B28ACC" w14:textId="77777777" w:rsidR="00041A40" w:rsidRPr="00C341DB" w:rsidRDefault="00041A40" w:rsidP="00041A40">
            <w:pPr>
              <w:spacing w:after="0"/>
              <w:rPr>
                <w:rFonts w:cs="Arial"/>
                <w:sz w:val="20"/>
                <w:szCs w:val="28"/>
              </w:rPr>
            </w:pPr>
            <w:r w:rsidRPr="00C341DB">
              <w:rPr>
                <w:rFonts w:cs="Arial"/>
                <w:sz w:val="20"/>
                <w:szCs w:val="28"/>
              </w:rPr>
              <w:t>Study was published before 2020 or sufficient full-text information was unavailable.</w:t>
            </w:r>
          </w:p>
        </w:tc>
      </w:tr>
      <w:tr w:rsidR="00041A40" w:rsidRPr="00C341DB" w14:paraId="7451463A" w14:textId="77777777" w:rsidTr="00184C42">
        <w:tc>
          <w:tcPr>
            <w:tcW w:w="2948" w:type="dxa"/>
          </w:tcPr>
          <w:p w14:paraId="7E860A0B" w14:textId="77777777" w:rsidR="00041A40" w:rsidRPr="00C341DB" w:rsidRDefault="00041A40" w:rsidP="00041A40">
            <w:pPr>
              <w:spacing w:after="0"/>
              <w:rPr>
                <w:rFonts w:cs="Arial"/>
                <w:sz w:val="20"/>
                <w:szCs w:val="28"/>
              </w:rPr>
            </w:pPr>
            <w:r w:rsidRPr="00C341DB">
              <w:rPr>
                <w:rFonts w:cs="Arial"/>
                <w:sz w:val="20"/>
                <w:szCs w:val="28"/>
              </w:rPr>
              <w:t>Total</w:t>
            </w:r>
          </w:p>
        </w:tc>
        <w:tc>
          <w:tcPr>
            <w:tcW w:w="1474" w:type="dxa"/>
          </w:tcPr>
          <w:p w14:paraId="773C3B9B" w14:textId="77777777" w:rsidR="00041A40" w:rsidRPr="00C341DB" w:rsidRDefault="00041A40" w:rsidP="00041A40">
            <w:pPr>
              <w:spacing w:after="0"/>
              <w:jc w:val="center"/>
              <w:rPr>
                <w:rFonts w:cs="Arial"/>
                <w:sz w:val="20"/>
                <w:szCs w:val="28"/>
              </w:rPr>
            </w:pPr>
            <w:r w:rsidRPr="00C341DB">
              <w:rPr>
                <w:rFonts w:cs="Arial"/>
                <w:sz w:val="20"/>
                <w:szCs w:val="28"/>
              </w:rPr>
              <w:t>45</w:t>
            </w:r>
          </w:p>
        </w:tc>
        <w:tc>
          <w:tcPr>
            <w:tcW w:w="8826" w:type="dxa"/>
          </w:tcPr>
          <w:p w14:paraId="5CC7B400" w14:textId="77777777" w:rsidR="00041A40" w:rsidRPr="00C341DB" w:rsidRDefault="00041A40" w:rsidP="00041A40">
            <w:pPr>
              <w:spacing w:after="0"/>
              <w:rPr>
                <w:rFonts w:cs="Arial"/>
                <w:sz w:val="20"/>
                <w:szCs w:val="28"/>
              </w:rPr>
            </w:pPr>
            <w:r w:rsidRPr="00C341DB">
              <w:rPr>
                <w:rFonts w:cs="Arial"/>
                <w:sz w:val="20"/>
                <w:szCs w:val="28"/>
              </w:rPr>
              <w:t>—</w:t>
            </w:r>
          </w:p>
        </w:tc>
      </w:tr>
    </w:tbl>
    <w:p w14:paraId="6D00244A"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68" w:name="_Toc241011102"/>
      <w:r w:rsidRPr="00041A40">
        <w:rPr>
          <w:rFonts w:eastAsiaTheme="majorEastAsia" w:cs="Arial"/>
          <w:b/>
          <w:bCs/>
          <w:color w:val="000000" w:themeColor="text1"/>
          <w:sz w:val="28"/>
          <w:szCs w:val="28"/>
        </w:rPr>
        <w:t>Appendix 3 – Critical Appraisal Summary</w:t>
      </w:r>
      <w:bookmarkEnd w:id="168"/>
    </w:p>
    <w:p w14:paraId="397D2996" w14:textId="77777777" w:rsidR="00041A40" w:rsidRPr="00532809" w:rsidRDefault="00041A40" w:rsidP="00041A40">
      <w:pPr>
        <w:spacing w:after="40"/>
        <w:rPr>
          <w:rFonts w:cs="Arial"/>
          <w:sz w:val="32"/>
          <w:szCs w:val="32"/>
        </w:rPr>
      </w:pPr>
      <w:r w:rsidRPr="00532809">
        <w:rPr>
          <w:rFonts w:cs="Arial"/>
          <w:szCs w:val="32"/>
        </w:rPr>
        <w:t>Key: Y = Yes; P = Partial; N = No; U = Unclear; N/A = Not applicable. Appraisal informed the weighting and interpretation of evidence; studies were not excluded solely on the basis of an overall judgement.</w:t>
      </w:r>
    </w:p>
    <w:p w14:paraId="11B13F54" w14:textId="2762043C" w:rsidR="00041A40" w:rsidRPr="00041A40" w:rsidRDefault="00041A40" w:rsidP="00041A40">
      <w:pPr>
        <w:keepNext/>
        <w:spacing w:before="60" w:after="60"/>
        <w:rPr>
          <w:rFonts w:cs="Arial"/>
          <w:sz w:val="32"/>
          <w:szCs w:val="32"/>
        </w:rPr>
      </w:pPr>
      <w:r w:rsidRPr="00041A40">
        <w:rPr>
          <w:rFonts w:cs="Arial"/>
          <w:b/>
          <w:sz w:val="24"/>
          <w:szCs w:val="32"/>
        </w:rPr>
        <w:t xml:space="preserve">Table C1. Overall </w:t>
      </w:r>
      <w:r w:rsidR="00AE3768" w:rsidRPr="00041A40">
        <w:rPr>
          <w:rFonts w:cs="Arial"/>
          <w:b/>
          <w:sz w:val="24"/>
          <w:szCs w:val="32"/>
        </w:rPr>
        <w:t xml:space="preserve">Critical-Appraisal Summary </w:t>
      </w:r>
      <w:r w:rsidRPr="00041A40">
        <w:rPr>
          <w:rFonts w:cs="Arial"/>
          <w:b/>
          <w:sz w:val="24"/>
          <w:szCs w:val="32"/>
        </w:rPr>
        <w:t>of the 15 included studies</w:t>
      </w:r>
    </w:p>
    <w:tbl>
      <w:tblPr>
        <w:tblStyle w:val="TableGrid"/>
        <w:tblW w:w="0" w:type="auto"/>
        <w:tblLayout w:type="fixed"/>
        <w:tblLook w:val="04A0" w:firstRow="1" w:lastRow="0" w:firstColumn="1" w:lastColumn="0" w:noHBand="0" w:noVBand="1"/>
      </w:tblPr>
      <w:tblGrid>
        <w:gridCol w:w="1928"/>
        <w:gridCol w:w="3580"/>
        <w:gridCol w:w="5940"/>
        <w:gridCol w:w="1800"/>
      </w:tblGrid>
      <w:tr w:rsidR="00041A40" w:rsidRPr="00AE3768" w14:paraId="11435D37" w14:textId="77777777" w:rsidTr="00184C42">
        <w:tc>
          <w:tcPr>
            <w:tcW w:w="1928" w:type="dxa"/>
          </w:tcPr>
          <w:p w14:paraId="57D73934" w14:textId="77777777" w:rsidR="00041A40" w:rsidRPr="00AE3768" w:rsidRDefault="00041A40" w:rsidP="00184C42">
            <w:pPr>
              <w:spacing w:after="0"/>
              <w:jc w:val="center"/>
              <w:rPr>
                <w:rFonts w:cs="Arial"/>
                <w:sz w:val="20"/>
                <w:szCs w:val="20"/>
              </w:rPr>
            </w:pPr>
            <w:r w:rsidRPr="00AE3768">
              <w:rPr>
                <w:rFonts w:cs="Arial"/>
                <w:b/>
                <w:sz w:val="20"/>
                <w:szCs w:val="20"/>
              </w:rPr>
              <w:t>Study</w:t>
            </w:r>
          </w:p>
        </w:tc>
        <w:tc>
          <w:tcPr>
            <w:tcW w:w="3580" w:type="dxa"/>
          </w:tcPr>
          <w:p w14:paraId="76BA68DD" w14:textId="77777777" w:rsidR="00041A40" w:rsidRPr="00AE3768" w:rsidRDefault="00041A40" w:rsidP="00184C42">
            <w:pPr>
              <w:spacing w:after="0"/>
              <w:jc w:val="center"/>
              <w:rPr>
                <w:rFonts w:cs="Arial"/>
                <w:sz w:val="20"/>
                <w:szCs w:val="20"/>
              </w:rPr>
            </w:pPr>
            <w:r w:rsidRPr="00AE3768">
              <w:rPr>
                <w:rFonts w:cs="Arial"/>
                <w:b/>
                <w:sz w:val="20"/>
                <w:szCs w:val="20"/>
              </w:rPr>
              <w:t>Principal strengths</w:t>
            </w:r>
          </w:p>
        </w:tc>
        <w:tc>
          <w:tcPr>
            <w:tcW w:w="5940" w:type="dxa"/>
          </w:tcPr>
          <w:p w14:paraId="6855D27B" w14:textId="77777777" w:rsidR="00041A40" w:rsidRPr="00AE3768" w:rsidRDefault="00041A40" w:rsidP="00184C42">
            <w:pPr>
              <w:spacing w:after="0"/>
              <w:jc w:val="center"/>
              <w:rPr>
                <w:rFonts w:cs="Arial"/>
                <w:sz w:val="20"/>
                <w:szCs w:val="20"/>
              </w:rPr>
            </w:pPr>
            <w:r w:rsidRPr="00AE3768">
              <w:rPr>
                <w:rFonts w:cs="Arial"/>
                <w:b/>
                <w:sz w:val="20"/>
                <w:szCs w:val="20"/>
              </w:rPr>
              <w:t>Principal limitations</w:t>
            </w:r>
          </w:p>
        </w:tc>
        <w:tc>
          <w:tcPr>
            <w:tcW w:w="1800" w:type="dxa"/>
          </w:tcPr>
          <w:p w14:paraId="3F789D9D" w14:textId="77777777" w:rsidR="00041A40" w:rsidRPr="00AE3768" w:rsidRDefault="00041A40" w:rsidP="00184C42">
            <w:pPr>
              <w:spacing w:after="0"/>
              <w:jc w:val="center"/>
              <w:rPr>
                <w:rFonts w:cs="Arial"/>
                <w:sz w:val="20"/>
                <w:szCs w:val="20"/>
              </w:rPr>
            </w:pPr>
            <w:r w:rsidRPr="00AE3768">
              <w:rPr>
                <w:rFonts w:cs="Arial"/>
                <w:b/>
                <w:sz w:val="20"/>
                <w:szCs w:val="20"/>
              </w:rPr>
              <w:t>Overall</w:t>
            </w:r>
          </w:p>
        </w:tc>
      </w:tr>
      <w:tr w:rsidR="00041A40" w:rsidRPr="00AE3768" w14:paraId="65434E57" w14:textId="77777777" w:rsidTr="00184C42">
        <w:tc>
          <w:tcPr>
            <w:tcW w:w="1928" w:type="dxa"/>
          </w:tcPr>
          <w:p w14:paraId="605BBDE7" w14:textId="77777777" w:rsidR="00041A40" w:rsidRPr="00AE3768" w:rsidRDefault="00041A40" w:rsidP="00184C42">
            <w:pPr>
              <w:spacing w:after="0"/>
              <w:rPr>
                <w:rFonts w:cs="Arial"/>
                <w:sz w:val="20"/>
                <w:szCs w:val="20"/>
              </w:rPr>
            </w:pPr>
            <w:r w:rsidRPr="00AE3768">
              <w:rPr>
                <w:rFonts w:cs="Arial"/>
                <w:sz w:val="20"/>
                <w:szCs w:val="20"/>
              </w:rPr>
              <w:t>Stewart et al. (2026)</w:t>
            </w:r>
          </w:p>
        </w:tc>
        <w:tc>
          <w:tcPr>
            <w:tcW w:w="3580" w:type="dxa"/>
          </w:tcPr>
          <w:p w14:paraId="3A91263A" w14:textId="77777777" w:rsidR="00041A40" w:rsidRPr="00AE3768" w:rsidRDefault="00041A40" w:rsidP="00184C42">
            <w:pPr>
              <w:spacing w:after="0"/>
              <w:rPr>
                <w:rFonts w:cs="Arial"/>
                <w:sz w:val="20"/>
                <w:szCs w:val="20"/>
              </w:rPr>
            </w:pPr>
            <w:r w:rsidRPr="00AE3768">
              <w:rPr>
                <w:rFonts w:cs="Arial"/>
                <w:sz w:val="20"/>
                <w:szCs w:val="20"/>
              </w:rPr>
              <w:t>Large primary-care cohort; clinically relevant KFRE outcomes</w:t>
            </w:r>
          </w:p>
        </w:tc>
        <w:tc>
          <w:tcPr>
            <w:tcW w:w="5940" w:type="dxa"/>
          </w:tcPr>
          <w:p w14:paraId="6D745AB5" w14:textId="77777777" w:rsidR="00041A40" w:rsidRPr="00AE3768" w:rsidRDefault="00041A40" w:rsidP="00184C42">
            <w:pPr>
              <w:spacing w:after="0"/>
              <w:rPr>
                <w:rFonts w:cs="Arial"/>
                <w:sz w:val="20"/>
                <w:szCs w:val="20"/>
              </w:rPr>
            </w:pPr>
            <w:r w:rsidRPr="00AE3768">
              <w:rPr>
                <w:rFonts w:cs="Arial"/>
                <w:sz w:val="20"/>
                <w:szCs w:val="20"/>
              </w:rPr>
              <w:t>Retrospective records; missing data; regional setting</w:t>
            </w:r>
          </w:p>
        </w:tc>
        <w:tc>
          <w:tcPr>
            <w:tcW w:w="1800" w:type="dxa"/>
          </w:tcPr>
          <w:p w14:paraId="23C8B137"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1BB01B7D" w14:textId="77777777" w:rsidTr="00184C42">
        <w:tc>
          <w:tcPr>
            <w:tcW w:w="1928" w:type="dxa"/>
          </w:tcPr>
          <w:p w14:paraId="622144C2" w14:textId="77777777" w:rsidR="00041A40" w:rsidRPr="00AE3768" w:rsidRDefault="00041A40" w:rsidP="00184C42">
            <w:pPr>
              <w:spacing w:after="0"/>
              <w:rPr>
                <w:rFonts w:cs="Arial"/>
                <w:sz w:val="20"/>
                <w:szCs w:val="20"/>
              </w:rPr>
            </w:pPr>
            <w:r w:rsidRPr="00AE3768">
              <w:rPr>
                <w:rFonts w:cs="Arial"/>
                <w:sz w:val="20"/>
                <w:szCs w:val="20"/>
              </w:rPr>
              <w:t>Forbes et al. (2024)</w:t>
            </w:r>
          </w:p>
        </w:tc>
        <w:tc>
          <w:tcPr>
            <w:tcW w:w="3580" w:type="dxa"/>
          </w:tcPr>
          <w:p w14:paraId="3157A88F" w14:textId="77777777" w:rsidR="00041A40" w:rsidRPr="00AE3768" w:rsidRDefault="00041A40" w:rsidP="00184C42">
            <w:pPr>
              <w:spacing w:after="0"/>
              <w:rPr>
                <w:rFonts w:cs="Arial"/>
                <w:sz w:val="20"/>
                <w:szCs w:val="20"/>
              </w:rPr>
            </w:pPr>
            <w:r w:rsidRPr="00AE3768">
              <w:rPr>
                <w:rFonts w:cs="Arial"/>
                <w:sz w:val="20"/>
                <w:szCs w:val="20"/>
              </w:rPr>
              <w:t>Very large English EHR dataset; explicit guideline mapping</w:t>
            </w:r>
          </w:p>
        </w:tc>
        <w:tc>
          <w:tcPr>
            <w:tcW w:w="5940" w:type="dxa"/>
          </w:tcPr>
          <w:p w14:paraId="0AEA46E0" w14:textId="77777777" w:rsidR="00041A40" w:rsidRPr="00AE3768" w:rsidRDefault="00041A40" w:rsidP="00184C42">
            <w:pPr>
              <w:spacing w:after="0"/>
              <w:rPr>
                <w:rFonts w:cs="Arial"/>
                <w:sz w:val="20"/>
                <w:szCs w:val="20"/>
              </w:rPr>
            </w:pPr>
            <w:r w:rsidRPr="00AE3768">
              <w:rPr>
                <w:rFonts w:cs="Arial"/>
                <w:sz w:val="20"/>
                <w:szCs w:val="20"/>
              </w:rPr>
              <w:t>Cross-sectional design; coding and prescribing data limitations</w:t>
            </w:r>
          </w:p>
        </w:tc>
        <w:tc>
          <w:tcPr>
            <w:tcW w:w="1800" w:type="dxa"/>
          </w:tcPr>
          <w:p w14:paraId="58ADB971"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687EAD20" w14:textId="77777777" w:rsidTr="00184C42">
        <w:tc>
          <w:tcPr>
            <w:tcW w:w="1928" w:type="dxa"/>
          </w:tcPr>
          <w:p w14:paraId="4E1B526A" w14:textId="77777777" w:rsidR="00041A40" w:rsidRPr="00AE3768" w:rsidRDefault="00041A40" w:rsidP="00184C42">
            <w:pPr>
              <w:spacing w:after="0"/>
              <w:rPr>
                <w:rFonts w:cs="Arial"/>
                <w:sz w:val="20"/>
                <w:szCs w:val="20"/>
              </w:rPr>
            </w:pPr>
            <w:r w:rsidRPr="00AE3768">
              <w:rPr>
                <w:rFonts w:cs="Arial"/>
                <w:sz w:val="20"/>
                <w:szCs w:val="20"/>
              </w:rPr>
              <w:t>Major et al. (2025)</w:t>
            </w:r>
          </w:p>
        </w:tc>
        <w:tc>
          <w:tcPr>
            <w:tcW w:w="3580" w:type="dxa"/>
          </w:tcPr>
          <w:p w14:paraId="09359BB4" w14:textId="77777777" w:rsidR="00041A40" w:rsidRPr="00AE3768" w:rsidRDefault="00041A40" w:rsidP="00184C42">
            <w:pPr>
              <w:spacing w:after="0"/>
              <w:rPr>
                <w:rFonts w:cs="Arial"/>
                <w:sz w:val="20"/>
                <w:szCs w:val="20"/>
              </w:rPr>
            </w:pPr>
            <w:r w:rsidRPr="00AE3768">
              <w:rPr>
                <w:rFonts w:cs="Arial"/>
                <w:sz w:val="20"/>
                <w:szCs w:val="20"/>
              </w:rPr>
              <w:t xml:space="preserve">Real-world integrated pathway; MDT and medicines </w:t>
            </w:r>
            <w:proofErr w:type="spellStart"/>
            <w:r w:rsidRPr="00AE3768">
              <w:rPr>
                <w:rFonts w:cs="Arial"/>
                <w:sz w:val="20"/>
                <w:szCs w:val="20"/>
              </w:rPr>
              <w:t>optimisation</w:t>
            </w:r>
            <w:proofErr w:type="spellEnd"/>
          </w:p>
        </w:tc>
        <w:tc>
          <w:tcPr>
            <w:tcW w:w="5940" w:type="dxa"/>
          </w:tcPr>
          <w:p w14:paraId="68A31125" w14:textId="77777777" w:rsidR="00041A40" w:rsidRPr="00AE3768" w:rsidRDefault="00041A40" w:rsidP="00184C42">
            <w:pPr>
              <w:spacing w:after="0"/>
              <w:rPr>
                <w:rFonts w:cs="Arial"/>
                <w:sz w:val="20"/>
                <w:szCs w:val="20"/>
              </w:rPr>
            </w:pPr>
            <w:r w:rsidRPr="00AE3768">
              <w:rPr>
                <w:rFonts w:cs="Arial"/>
                <w:sz w:val="20"/>
                <w:szCs w:val="20"/>
              </w:rPr>
              <w:t>Local service evaluation; no concurrent comparator</w:t>
            </w:r>
          </w:p>
        </w:tc>
        <w:tc>
          <w:tcPr>
            <w:tcW w:w="1800" w:type="dxa"/>
          </w:tcPr>
          <w:p w14:paraId="52D5A097" w14:textId="77777777" w:rsidR="00041A40" w:rsidRPr="00AE3768" w:rsidRDefault="00041A40" w:rsidP="00184C42">
            <w:pPr>
              <w:spacing w:after="0"/>
              <w:rPr>
                <w:rFonts w:cs="Arial"/>
                <w:sz w:val="20"/>
                <w:szCs w:val="20"/>
              </w:rPr>
            </w:pPr>
            <w:r w:rsidRPr="00AE3768">
              <w:rPr>
                <w:rFonts w:cs="Arial"/>
                <w:sz w:val="20"/>
                <w:szCs w:val="20"/>
              </w:rPr>
              <w:t>Moderate</w:t>
            </w:r>
          </w:p>
        </w:tc>
      </w:tr>
      <w:tr w:rsidR="00041A40" w:rsidRPr="00AE3768" w14:paraId="7D6C2EC6" w14:textId="77777777" w:rsidTr="00184C42">
        <w:tc>
          <w:tcPr>
            <w:tcW w:w="1928" w:type="dxa"/>
          </w:tcPr>
          <w:p w14:paraId="5EC49085" w14:textId="77777777" w:rsidR="00041A40" w:rsidRPr="00AE3768" w:rsidRDefault="00041A40" w:rsidP="00184C42">
            <w:pPr>
              <w:spacing w:after="0"/>
              <w:rPr>
                <w:rFonts w:cs="Arial"/>
                <w:sz w:val="20"/>
                <w:szCs w:val="20"/>
              </w:rPr>
            </w:pPr>
            <w:proofErr w:type="spellStart"/>
            <w:r w:rsidRPr="00AE3768">
              <w:rPr>
                <w:rFonts w:cs="Arial"/>
                <w:sz w:val="20"/>
                <w:szCs w:val="20"/>
              </w:rPr>
              <w:t>Neuen</w:t>
            </w:r>
            <w:proofErr w:type="spellEnd"/>
            <w:r w:rsidRPr="00AE3768">
              <w:rPr>
                <w:rFonts w:cs="Arial"/>
                <w:sz w:val="20"/>
                <w:szCs w:val="20"/>
              </w:rPr>
              <w:t xml:space="preserve"> et al. (2021)</w:t>
            </w:r>
          </w:p>
        </w:tc>
        <w:tc>
          <w:tcPr>
            <w:tcW w:w="3580" w:type="dxa"/>
          </w:tcPr>
          <w:p w14:paraId="35E92DBC" w14:textId="77777777" w:rsidR="00041A40" w:rsidRPr="00AE3768" w:rsidRDefault="00041A40" w:rsidP="00184C42">
            <w:pPr>
              <w:spacing w:after="0"/>
              <w:rPr>
                <w:rFonts w:cs="Arial"/>
                <w:sz w:val="20"/>
                <w:szCs w:val="20"/>
              </w:rPr>
            </w:pPr>
            <w:r w:rsidRPr="00AE3768">
              <w:rPr>
                <w:rFonts w:cs="Arial"/>
                <w:sz w:val="20"/>
                <w:szCs w:val="20"/>
              </w:rPr>
              <w:t>Large CPRD cohort; repeated eGFR and albuminuria</w:t>
            </w:r>
          </w:p>
        </w:tc>
        <w:tc>
          <w:tcPr>
            <w:tcW w:w="5940" w:type="dxa"/>
          </w:tcPr>
          <w:p w14:paraId="4D8C62F5" w14:textId="77777777" w:rsidR="00041A40" w:rsidRPr="00AE3768" w:rsidRDefault="00041A40" w:rsidP="00184C42">
            <w:pPr>
              <w:spacing w:after="0"/>
              <w:rPr>
                <w:rFonts w:cs="Arial"/>
                <w:sz w:val="20"/>
                <w:szCs w:val="20"/>
              </w:rPr>
            </w:pPr>
            <w:r w:rsidRPr="00AE3768">
              <w:rPr>
                <w:rFonts w:cs="Arial"/>
                <w:sz w:val="20"/>
                <w:szCs w:val="20"/>
              </w:rPr>
              <w:t>Routine-data completeness and residual confounding</w:t>
            </w:r>
          </w:p>
        </w:tc>
        <w:tc>
          <w:tcPr>
            <w:tcW w:w="1800" w:type="dxa"/>
          </w:tcPr>
          <w:p w14:paraId="1DBD2CCB" w14:textId="77777777" w:rsidR="00041A40" w:rsidRPr="00AE3768" w:rsidRDefault="00041A40" w:rsidP="00184C42">
            <w:pPr>
              <w:spacing w:after="0"/>
              <w:rPr>
                <w:rFonts w:cs="Arial"/>
                <w:sz w:val="20"/>
                <w:szCs w:val="20"/>
              </w:rPr>
            </w:pPr>
            <w:r w:rsidRPr="00AE3768">
              <w:rPr>
                <w:rFonts w:cs="Arial"/>
                <w:sz w:val="20"/>
                <w:szCs w:val="20"/>
              </w:rPr>
              <w:t>High</w:t>
            </w:r>
          </w:p>
        </w:tc>
      </w:tr>
      <w:tr w:rsidR="00041A40" w:rsidRPr="00AE3768" w14:paraId="2BC14B4D" w14:textId="77777777" w:rsidTr="00184C42">
        <w:tc>
          <w:tcPr>
            <w:tcW w:w="1928" w:type="dxa"/>
          </w:tcPr>
          <w:p w14:paraId="3A4B69A0" w14:textId="77777777" w:rsidR="00041A40" w:rsidRPr="00AE3768" w:rsidRDefault="00041A40" w:rsidP="00184C42">
            <w:pPr>
              <w:spacing w:after="0"/>
              <w:rPr>
                <w:rFonts w:cs="Arial"/>
                <w:sz w:val="20"/>
                <w:szCs w:val="20"/>
              </w:rPr>
            </w:pPr>
            <w:r w:rsidRPr="00AE3768">
              <w:rPr>
                <w:rFonts w:cs="Arial"/>
                <w:sz w:val="20"/>
                <w:szCs w:val="20"/>
              </w:rPr>
              <w:t>Greenwood et al. (2024b)</w:t>
            </w:r>
          </w:p>
        </w:tc>
        <w:tc>
          <w:tcPr>
            <w:tcW w:w="3580" w:type="dxa"/>
          </w:tcPr>
          <w:p w14:paraId="7A1FF72A" w14:textId="77777777" w:rsidR="00041A40" w:rsidRPr="00AE3768" w:rsidRDefault="00041A40" w:rsidP="00184C42">
            <w:pPr>
              <w:spacing w:after="0"/>
              <w:rPr>
                <w:rFonts w:cs="Arial"/>
                <w:sz w:val="20"/>
                <w:szCs w:val="20"/>
              </w:rPr>
            </w:pPr>
            <w:proofErr w:type="spellStart"/>
            <w:r w:rsidRPr="00AE3768">
              <w:rPr>
                <w:rFonts w:cs="Arial"/>
                <w:sz w:val="20"/>
                <w:szCs w:val="20"/>
              </w:rPr>
              <w:t>Multicentre</w:t>
            </w:r>
            <w:proofErr w:type="spellEnd"/>
            <w:r w:rsidRPr="00AE3768">
              <w:rPr>
                <w:rFonts w:cs="Arial"/>
                <w:sz w:val="20"/>
                <w:szCs w:val="20"/>
              </w:rPr>
              <w:t xml:space="preserve"> </w:t>
            </w:r>
            <w:proofErr w:type="spellStart"/>
            <w:r w:rsidRPr="00AE3768">
              <w:rPr>
                <w:rFonts w:cs="Arial"/>
                <w:sz w:val="20"/>
                <w:szCs w:val="20"/>
              </w:rPr>
              <w:t>randomisation</w:t>
            </w:r>
            <w:proofErr w:type="spellEnd"/>
            <w:r w:rsidRPr="00AE3768">
              <w:rPr>
                <w:rFonts w:cs="Arial"/>
                <w:sz w:val="20"/>
                <w:szCs w:val="20"/>
              </w:rPr>
              <w:t>; intention-to-treat analysis</w:t>
            </w:r>
          </w:p>
        </w:tc>
        <w:tc>
          <w:tcPr>
            <w:tcW w:w="5940" w:type="dxa"/>
          </w:tcPr>
          <w:p w14:paraId="3759F082" w14:textId="77777777" w:rsidR="00041A40" w:rsidRPr="00AE3768" w:rsidRDefault="00041A40" w:rsidP="00184C42">
            <w:pPr>
              <w:spacing w:after="0"/>
              <w:rPr>
                <w:rFonts w:cs="Arial"/>
                <w:sz w:val="20"/>
                <w:szCs w:val="20"/>
              </w:rPr>
            </w:pPr>
            <w:r w:rsidRPr="00AE3768">
              <w:rPr>
                <w:rFonts w:cs="Arial"/>
                <w:sz w:val="20"/>
                <w:szCs w:val="20"/>
              </w:rPr>
              <w:t>Participant blinding impossible; limited intervention duration</w:t>
            </w:r>
          </w:p>
        </w:tc>
        <w:tc>
          <w:tcPr>
            <w:tcW w:w="1800" w:type="dxa"/>
          </w:tcPr>
          <w:p w14:paraId="106C7496" w14:textId="77777777" w:rsidR="00041A40" w:rsidRPr="00AE3768" w:rsidRDefault="00041A40" w:rsidP="00184C42">
            <w:pPr>
              <w:spacing w:after="0"/>
              <w:rPr>
                <w:rFonts w:cs="Arial"/>
                <w:sz w:val="20"/>
                <w:szCs w:val="20"/>
              </w:rPr>
            </w:pPr>
            <w:r w:rsidRPr="00AE3768">
              <w:rPr>
                <w:rFonts w:cs="Arial"/>
                <w:sz w:val="20"/>
                <w:szCs w:val="20"/>
              </w:rPr>
              <w:t>High</w:t>
            </w:r>
          </w:p>
        </w:tc>
      </w:tr>
      <w:tr w:rsidR="00041A40" w:rsidRPr="00AE3768" w14:paraId="5A89B4ED" w14:textId="77777777" w:rsidTr="00184C42">
        <w:tc>
          <w:tcPr>
            <w:tcW w:w="1928" w:type="dxa"/>
          </w:tcPr>
          <w:p w14:paraId="31729447" w14:textId="77777777" w:rsidR="00041A40" w:rsidRPr="00AE3768" w:rsidRDefault="00041A40" w:rsidP="00184C42">
            <w:pPr>
              <w:spacing w:after="0"/>
              <w:rPr>
                <w:rFonts w:cs="Arial"/>
                <w:sz w:val="20"/>
                <w:szCs w:val="20"/>
              </w:rPr>
            </w:pPr>
            <w:r w:rsidRPr="00AE3768">
              <w:rPr>
                <w:rFonts w:cs="Arial"/>
                <w:sz w:val="20"/>
                <w:szCs w:val="20"/>
              </w:rPr>
              <w:t>Heo et al. (2023)</w:t>
            </w:r>
          </w:p>
        </w:tc>
        <w:tc>
          <w:tcPr>
            <w:tcW w:w="3580" w:type="dxa"/>
          </w:tcPr>
          <w:p w14:paraId="13AF3054" w14:textId="77777777" w:rsidR="00041A40" w:rsidRPr="00AE3768" w:rsidRDefault="00041A40" w:rsidP="00184C42">
            <w:pPr>
              <w:spacing w:after="0"/>
              <w:rPr>
                <w:rFonts w:cs="Arial"/>
                <w:sz w:val="20"/>
                <w:szCs w:val="20"/>
              </w:rPr>
            </w:pPr>
            <w:r w:rsidRPr="00AE3768">
              <w:rPr>
                <w:rFonts w:cs="Arial"/>
                <w:sz w:val="20"/>
                <w:szCs w:val="20"/>
              </w:rPr>
              <w:t>Large prospective cohort; incident CKD outcome</w:t>
            </w:r>
          </w:p>
        </w:tc>
        <w:tc>
          <w:tcPr>
            <w:tcW w:w="5940" w:type="dxa"/>
          </w:tcPr>
          <w:p w14:paraId="42DDB366" w14:textId="77777777" w:rsidR="00041A40" w:rsidRPr="00AE3768" w:rsidRDefault="00041A40" w:rsidP="00184C42">
            <w:pPr>
              <w:spacing w:after="0"/>
              <w:rPr>
                <w:rFonts w:cs="Arial"/>
                <w:sz w:val="20"/>
                <w:szCs w:val="20"/>
              </w:rPr>
            </w:pPr>
            <w:r w:rsidRPr="00AE3768">
              <w:rPr>
                <w:rFonts w:cs="Arial"/>
                <w:sz w:val="20"/>
                <w:szCs w:val="20"/>
              </w:rPr>
              <w:t>Self-reported diet; UK Biobank selection; residual confounding</w:t>
            </w:r>
          </w:p>
        </w:tc>
        <w:tc>
          <w:tcPr>
            <w:tcW w:w="1800" w:type="dxa"/>
          </w:tcPr>
          <w:p w14:paraId="4E382253"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1068C9E7" w14:textId="77777777" w:rsidTr="00184C42">
        <w:tc>
          <w:tcPr>
            <w:tcW w:w="1928" w:type="dxa"/>
          </w:tcPr>
          <w:p w14:paraId="6FEEBBB7" w14:textId="77777777" w:rsidR="00041A40" w:rsidRPr="00AE3768" w:rsidRDefault="00041A40" w:rsidP="00184C42">
            <w:pPr>
              <w:spacing w:after="0"/>
              <w:rPr>
                <w:rFonts w:cs="Arial"/>
                <w:sz w:val="20"/>
                <w:szCs w:val="20"/>
              </w:rPr>
            </w:pPr>
            <w:r w:rsidRPr="00AE3768">
              <w:rPr>
                <w:rFonts w:cs="Arial"/>
                <w:sz w:val="20"/>
                <w:szCs w:val="20"/>
              </w:rPr>
              <w:t>Lan et al. (2023)</w:t>
            </w:r>
          </w:p>
        </w:tc>
        <w:tc>
          <w:tcPr>
            <w:tcW w:w="3580" w:type="dxa"/>
          </w:tcPr>
          <w:p w14:paraId="34A45098" w14:textId="77777777" w:rsidR="00041A40" w:rsidRPr="00AE3768" w:rsidRDefault="00041A40" w:rsidP="00184C42">
            <w:pPr>
              <w:spacing w:after="0"/>
              <w:rPr>
                <w:rFonts w:cs="Arial"/>
                <w:sz w:val="20"/>
                <w:szCs w:val="20"/>
              </w:rPr>
            </w:pPr>
            <w:r w:rsidRPr="00AE3768">
              <w:rPr>
                <w:rFonts w:cs="Arial"/>
                <w:sz w:val="20"/>
                <w:szCs w:val="20"/>
              </w:rPr>
              <w:t>Large never-smoker cohort; genetic susceptibility analysis</w:t>
            </w:r>
          </w:p>
        </w:tc>
        <w:tc>
          <w:tcPr>
            <w:tcW w:w="5940" w:type="dxa"/>
          </w:tcPr>
          <w:p w14:paraId="1EB4AD77" w14:textId="77777777" w:rsidR="00041A40" w:rsidRPr="00AE3768" w:rsidRDefault="00041A40" w:rsidP="00184C42">
            <w:pPr>
              <w:spacing w:after="0"/>
              <w:rPr>
                <w:rFonts w:cs="Arial"/>
                <w:sz w:val="20"/>
                <w:szCs w:val="20"/>
              </w:rPr>
            </w:pPr>
            <w:r w:rsidRPr="00AE3768">
              <w:rPr>
                <w:rFonts w:cs="Arial"/>
                <w:sz w:val="20"/>
                <w:szCs w:val="20"/>
              </w:rPr>
              <w:t>Self-reported secondhand smoke; residual confounding</w:t>
            </w:r>
          </w:p>
        </w:tc>
        <w:tc>
          <w:tcPr>
            <w:tcW w:w="1800" w:type="dxa"/>
          </w:tcPr>
          <w:p w14:paraId="146F6455"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7CF5E853" w14:textId="77777777" w:rsidTr="00184C42">
        <w:tc>
          <w:tcPr>
            <w:tcW w:w="1928" w:type="dxa"/>
          </w:tcPr>
          <w:p w14:paraId="1F165F2A" w14:textId="77777777" w:rsidR="00041A40" w:rsidRPr="00AE3768" w:rsidRDefault="00041A40" w:rsidP="00184C42">
            <w:pPr>
              <w:spacing w:after="0"/>
              <w:rPr>
                <w:rFonts w:cs="Arial"/>
                <w:sz w:val="20"/>
                <w:szCs w:val="20"/>
              </w:rPr>
            </w:pPr>
            <w:r w:rsidRPr="00AE3768">
              <w:rPr>
                <w:rFonts w:cs="Arial"/>
                <w:sz w:val="20"/>
                <w:szCs w:val="20"/>
              </w:rPr>
              <w:t>Li et al. (2025)</w:t>
            </w:r>
          </w:p>
        </w:tc>
        <w:tc>
          <w:tcPr>
            <w:tcW w:w="3580" w:type="dxa"/>
          </w:tcPr>
          <w:p w14:paraId="384D833C" w14:textId="77777777" w:rsidR="00041A40" w:rsidRPr="00AE3768" w:rsidRDefault="00041A40" w:rsidP="00184C42">
            <w:pPr>
              <w:spacing w:after="0"/>
              <w:rPr>
                <w:rFonts w:cs="Arial"/>
                <w:sz w:val="20"/>
                <w:szCs w:val="20"/>
              </w:rPr>
            </w:pPr>
            <w:r w:rsidRPr="00AE3768">
              <w:rPr>
                <w:rFonts w:cs="Arial"/>
                <w:sz w:val="20"/>
                <w:szCs w:val="20"/>
              </w:rPr>
              <w:t>Large linked cohort; prospective CKD assessment</w:t>
            </w:r>
          </w:p>
        </w:tc>
        <w:tc>
          <w:tcPr>
            <w:tcW w:w="5940" w:type="dxa"/>
          </w:tcPr>
          <w:p w14:paraId="10B05863" w14:textId="77777777" w:rsidR="00041A40" w:rsidRPr="00AE3768" w:rsidRDefault="00041A40" w:rsidP="00184C42">
            <w:pPr>
              <w:spacing w:after="0"/>
              <w:rPr>
                <w:rFonts w:cs="Arial"/>
                <w:sz w:val="20"/>
                <w:szCs w:val="20"/>
              </w:rPr>
            </w:pPr>
            <w:r w:rsidRPr="00AE3768">
              <w:rPr>
                <w:rFonts w:cs="Arial"/>
                <w:sz w:val="20"/>
                <w:szCs w:val="20"/>
              </w:rPr>
              <w:t>Diagnostic-record limitations; UK Biobank selection</w:t>
            </w:r>
          </w:p>
        </w:tc>
        <w:tc>
          <w:tcPr>
            <w:tcW w:w="1800" w:type="dxa"/>
          </w:tcPr>
          <w:p w14:paraId="583B7B4C"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06E4EBFB" w14:textId="77777777" w:rsidTr="00184C42">
        <w:tc>
          <w:tcPr>
            <w:tcW w:w="1928" w:type="dxa"/>
          </w:tcPr>
          <w:p w14:paraId="00DEB091" w14:textId="77777777" w:rsidR="00041A40" w:rsidRPr="00AE3768" w:rsidRDefault="00041A40" w:rsidP="00184C42">
            <w:pPr>
              <w:spacing w:after="0"/>
              <w:rPr>
                <w:rFonts w:cs="Arial"/>
                <w:sz w:val="20"/>
                <w:szCs w:val="20"/>
              </w:rPr>
            </w:pPr>
            <w:r w:rsidRPr="00AE3768">
              <w:rPr>
                <w:rFonts w:cs="Arial"/>
                <w:sz w:val="20"/>
                <w:szCs w:val="20"/>
              </w:rPr>
              <w:t>Lightfoot et al. (2025)</w:t>
            </w:r>
          </w:p>
        </w:tc>
        <w:tc>
          <w:tcPr>
            <w:tcW w:w="3580" w:type="dxa"/>
          </w:tcPr>
          <w:p w14:paraId="7A285A41" w14:textId="77777777" w:rsidR="00041A40" w:rsidRPr="00AE3768" w:rsidRDefault="00041A40" w:rsidP="00184C42">
            <w:pPr>
              <w:spacing w:after="0"/>
              <w:rPr>
                <w:rFonts w:cs="Arial"/>
                <w:sz w:val="20"/>
                <w:szCs w:val="20"/>
              </w:rPr>
            </w:pPr>
            <w:r w:rsidRPr="00AE3768">
              <w:rPr>
                <w:rFonts w:cs="Arial"/>
                <w:sz w:val="20"/>
                <w:szCs w:val="20"/>
              </w:rPr>
              <w:t>Detailed patient experience; rigorous qualitative approach</w:t>
            </w:r>
          </w:p>
        </w:tc>
        <w:tc>
          <w:tcPr>
            <w:tcW w:w="5940" w:type="dxa"/>
          </w:tcPr>
          <w:p w14:paraId="791B5690" w14:textId="77777777" w:rsidR="00041A40" w:rsidRPr="00AE3768" w:rsidRDefault="00041A40" w:rsidP="00184C42">
            <w:pPr>
              <w:spacing w:after="0"/>
              <w:rPr>
                <w:rFonts w:cs="Arial"/>
                <w:sz w:val="20"/>
                <w:szCs w:val="20"/>
              </w:rPr>
            </w:pPr>
            <w:r w:rsidRPr="00AE3768">
              <w:rPr>
                <w:rFonts w:cs="Arial"/>
                <w:sz w:val="20"/>
                <w:szCs w:val="20"/>
              </w:rPr>
              <w:t>Small sample from one English area</w:t>
            </w:r>
          </w:p>
        </w:tc>
        <w:tc>
          <w:tcPr>
            <w:tcW w:w="1800" w:type="dxa"/>
          </w:tcPr>
          <w:p w14:paraId="28D4CDB9"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25711029" w14:textId="77777777" w:rsidTr="00184C42">
        <w:tc>
          <w:tcPr>
            <w:tcW w:w="1928" w:type="dxa"/>
          </w:tcPr>
          <w:p w14:paraId="173DB163" w14:textId="77777777" w:rsidR="00041A40" w:rsidRPr="00AE3768" w:rsidRDefault="00041A40" w:rsidP="00184C42">
            <w:pPr>
              <w:spacing w:after="0"/>
              <w:rPr>
                <w:rFonts w:cs="Arial"/>
                <w:sz w:val="20"/>
                <w:szCs w:val="20"/>
              </w:rPr>
            </w:pPr>
            <w:r w:rsidRPr="00AE3768">
              <w:rPr>
                <w:rFonts w:cs="Arial"/>
                <w:sz w:val="20"/>
                <w:szCs w:val="20"/>
              </w:rPr>
              <w:t>Maroto-Rodriguez et al. (2025)</w:t>
            </w:r>
          </w:p>
        </w:tc>
        <w:tc>
          <w:tcPr>
            <w:tcW w:w="3580" w:type="dxa"/>
          </w:tcPr>
          <w:p w14:paraId="34CAD518" w14:textId="77777777" w:rsidR="00041A40" w:rsidRPr="00AE3768" w:rsidRDefault="00041A40" w:rsidP="00184C42">
            <w:pPr>
              <w:spacing w:after="0"/>
              <w:rPr>
                <w:rFonts w:cs="Arial"/>
                <w:sz w:val="20"/>
                <w:szCs w:val="20"/>
              </w:rPr>
            </w:pPr>
            <w:r w:rsidRPr="00AE3768">
              <w:rPr>
                <w:rFonts w:cs="Arial"/>
                <w:sz w:val="20"/>
                <w:szCs w:val="20"/>
              </w:rPr>
              <w:t>Repeated dietary assessment; multiple diet indices</w:t>
            </w:r>
          </w:p>
        </w:tc>
        <w:tc>
          <w:tcPr>
            <w:tcW w:w="5940" w:type="dxa"/>
          </w:tcPr>
          <w:p w14:paraId="645DC10C" w14:textId="77777777" w:rsidR="00041A40" w:rsidRPr="00AE3768" w:rsidRDefault="00041A40" w:rsidP="00184C42">
            <w:pPr>
              <w:spacing w:after="0"/>
              <w:rPr>
                <w:rFonts w:cs="Arial"/>
                <w:sz w:val="20"/>
                <w:szCs w:val="20"/>
              </w:rPr>
            </w:pPr>
            <w:r w:rsidRPr="00AE3768">
              <w:rPr>
                <w:rFonts w:cs="Arial"/>
                <w:sz w:val="20"/>
                <w:szCs w:val="20"/>
              </w:rPr>
              <w:t>Self-reported diet; observational design</w:t>
            </w:r>
          </w:p>
        </w:tc>
        <w:tc>
          <w:tcPr>
            <w:tcW w:w="1800" w:type="dxa"/>
          </w:tcPr>
          <w:p w14:paraId="7BC3E690"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361A53A6" w14:textId="77777777" w:rsidTr="00184C42">
        <w:tc>
          <w:tcPr>
            <w:tcW w:w="1928" w:type="dxa"/>
          </w:tcPr>
          <w:p w14:paraId="7D85B375" w14:textId="77777777" w:rsidR="00041A40" w:rsidRPr="00AE3768" w:rsidRDefault="00041A40" w:rsidP="00184C42">
            <w:pPr>
              <w:spacing w:after="0"/>
              <w:rPr>
                <w:rFonts w:cs="Arial"/>
                <w:sz w:val="20"/>
                <w:szCs w:val="20"/>
              </w:rPr>
            </w:pPr>
            <w:r w:rsidRPr="00AE3768">
              <w:rPr>
                <w:rFonts w:cs="Arial"/>
                <w:sz w:val="20"/>
                <w:szCs w:val="20"/>
              </w:rPr>
              <w:t>Rizvi et al. (2024)</w:t>
            </w:r>
          </w:p>
        </w:tc>
        <w:tc>
          <w:tcPr>
            <w:tcW w:w="3580" w:type="dxa"/>
          </w:tcPr>
          <w:p w14:paraId="0D42830C" w14:textId="77777777" w:rsidR="00041A40" w:rsidRPr="00AE3768" w:rsidRDefault="00041A40" w:rsidP="00184C42">
            <w:pPr>
              <w:spacing w:after="0"/>
              <w:rPr>
                <w:rFonts w:cs="Arial"/>
                <w:sz w:val="20"/>
                <w:szCs w:val="20"/>
              </w:rPr>
            </w:pPr>
            <w:r w:rsidRPr="00AE3768">
              <w:rPr>
                <w:rFonts w:cs="Arial"/>
                <w:sz w:val="20"/>
                <w:szCs w:val="20"/>
              </w:rPr>
              <w:t>Practical primary-care improvement model</w:t>
            </w:r>
          </w:p>
        </w:tc>
        <w:tc>
          <w:tcPr>
            <w:tcW w:w="5940" w:type="dxa"/>
          </w:tcPr>
          <w:p w14:paraId="4BAA1A6E" w14:textId="77777777" w:rsidR="00041A40" w:rsidRPr="00AE3768" w:rsidRDefault="00041A40" w:rsidP="00184C42">
            <w:pPr>
              <w:spacing w:after="0"/>
              <w:rPr>
                <w:rFonts w:cs="Arial"/>
                <w:sz w:val="20"/>
                <w:szCs w:val="20"/>
              </w:rPr>
            </w:pPr>
            <w:r w:rsidRPr="00AE3768">
              <w:rPr>
                <w:rFonts w:cs="Arial"/>
                <w:sz w:val="20"/>
                <w:szCs w:val="20"/>
              </w:rPr>
              <w:t>Local evaluation; selection bias; no comparator</w:t>
            </w:r>
          </w:p>
        </w:tc>
        <w:tc>
          <w:tcPr>
            <w:tcW w:w="1800" w:type="dxa"/>
          </w:tcPr>
          <w:p w14:paraId="57C4DB35" w14:textId="77777777" w:rsidR="00041A40" w:rsidRPr="00AE3768" w:rsidRDefault="00041A40" w:rsidP="00184C42">
            <w:pPr>
              <w:spacing w:after="0"/>
              <w:rPr>
                <w:rFonts w:cs="Arial"/>
                <w:sz w:val="20"/>
                <w:szCs w:val="20"/>
              </w:rPr>
            </w:pPr>
            <w:r w:rsidRPr="00AE3768">
              <w:rPr>
                <w:rFonts w:cs="Arial"/>
                <w:sz w:val="20"/>
                <w:szCs w:val="20"/>
              </w:rPr>
              <w:t>Moderate</w:t>
            </w:r>
          </w:p>
        </w:tc>
      </w:tr>
      <w:tr w:rsidR="00041A40" w:rsidRPr="00AE3768" w14:paraId="4FE08345" w14:textId="77777777" w:rsidTr="00184C42">
        <w:tc>
          <w:tcPr>
            <w:tcW w:w="1928" w:type="dxa"/>
          </w:tcPr>
          <w:p w14:paraId="2B07E784" w14:textId="77777777" w:rsidR="00041A40" w:rsidRPr="00AE3768" w:rsidRDefault="00041A40" w:rsidP="00184C42">
            <w:pPr>
              <w:spacing w:after="0"/>
              <w:rPr>
                <w:rFonts w:cs="Arial"/>
                <w:sz w:val="20"/>
                <w:szCs w:val="20"/>
              </w:rPr>
            </w:pPr>
            <w:r w:rsidRPr="00AE3768">
              <w:rPr>
                <w:rFonts w:cs="Arial"/>
                <w:sz w:val="20"/>
                <w:szCs w:val="20"/>
              </w:rPr>
              <w:t>Sullivan et al. (2023)</w:t>
            </w:r>
          </w:p>
        </w:tc>
        <w:tc>
          <w:tcPr>
            <w:tcW w:w="3580" w:type="dxa"/>
          </w:tcPr>
          <w:p w14:paraId="69496F1E" w14:textId="77777777" w:rsidR="00041A40" w:rsidRPr="00AE3768" w:rsidRDefault="00041A40" w:rsidP="00184C42">
            <w:pPr>
              <w:spacing w:after="0"/>
              <w:rPr>
                <w:rFonts w:cs="Arial"/>
                <w:sz w:val="20"/>
                <w:szCs w:val="20"/>
              </w:rPr>
            </w:pPr>
            <w:r w:rsidRPr="00AE3768">
              <w:rPr>
                <w:rFonts w:cs="Arial"/>
                <w:sz w:val="20"/>
                <w:szCs w:val="20"/>
              </w:rPr>
              <w:t>Large routine dataset; clinically relevant referral criteria</w:t>
            </w:r>
          </w:p>
        </w:tc>
        <w:tc>
          <w:tcPr>
            <w:tcW w:w="5940" w:type="dxa"/>
          </w:tcPr>
          <w:p w14:paraId="4138CCA2" w14:textId="77777777" w:rsidR="00041A40" w:rsidRPr="00AE3768" w:rsidRDefault="00041A40" w:rsidP="00184C42">
            <w:pPr>
              <w:spacing w:after="0"/>
              <w:rPr>
                <w:rFonts w:cs="Arial"/>
                <w:sz w:val="20"/>
                <w:szCs w:val="20"/>
              </w:rPr>
            </w:pPr>
            <w:r w:rsidRPr="00AE3768">
              <w:rPr>
                <w:rFonts w:cs="Arial"/>
                <w:sz w:val="20"/>
                <w:szCs w:val="20"/>
              </w:rPr>
              <w:t>Modelled referral impact rather than actual long-term outcomes</w:t>
            </w:r>
          </w:p>
        </w:tc>
        <w:tc>
          <w:tcPr>
            <w:tcW w:w="1800" w:type="dxa"/>
          </w:tcPr>
          <w:p w14:paraId="3B0F2A8F" w14:textId="77777777" w:rsidR="00041A40" w:rsidRPr="00AE3768" w:rsidRDefault="00041A40" w:rsidP="00184C42">
            <w:pPr>
              <w:spacing w:after="0"/>
              <w:rPr>
                <w:rFonts w:cs="Arial"/>
                <w:sz w:val="20"/>
                <w:szCs w:val="20"/>
              </w:rPr>
            </w:pPr>
            <w:r w:rsidRPr="00AE3768">
              <w:rPr>
                <w:rFonts w:cs="Arial"/>
                <w:sz w:val="20"/>
                <w:szCs w:val="20"/>
              </w:rPr>
              <w:t>High</w:t>
            </w:r>
          </w:p>
        </w:tc>
      </w:tr>
      <w:tr w:rsidR="00041A40" w:rsidRPr="00AE3768" w14:paraId="6883F3EE" w14:textId="77777777" w:rsidTr="00184C42">
        <w:tc>
          <w:tcPr>
            <w:tcW w:w="1928" w:type="dxa"/>
          </w:tcPr>
          <w:p w14:paraId="7318C74E" w14:textId="77777777" w:rsidR="00041A40" w:rsidRPr="00AE3768" w:rsidRDefault="00041A40" w:rsidP="00184C42">
            <w:pPr>
              <w:spacing w:after="0"/>
              <w:rPr>
                <w:rFonts w:cs="Arial"/>
                <w:sz w:val="20"/>
                <w:szCs w:val="20"/>
              </w:rPr>
            </w:pPr>
            <w:r w:rsidRPr="00AE3768">
              <w:rPr>
                <w:rFonts w:cs="Arial"/>
                <w:sz w:val="20"/>
                <w:szCs w:val="20"/>
              </w:rPr>
              <w:t>Tang et al. (2024a)</w:t>
            </w:r>
          </w:p>
        </w:tc>
        <w:tc>
          <w:tcPr>
            <w:tcW w:w="3580" w:type="dxa"/>
          </w:tcPr>
          <w:p w14:paraId="18A2E1FE" w14:textId="77777777" w:rsidR="00041A40" w:rsidRPr="00AE3768" w:rsidRDefault="00041A40" w:rsidP="00184C42">
            <w:pPr>
              <w:spacing w:after="0"/>
              <w:rPr>
                <w:rFonts w:cs="Arial"/>
                <w:sz w:val="20"/>
                <w:szCs w:val="20"/>
              </w:rPr>
            </w:pPr>
            <w:r w:rsidRPr="00AE3768">
              <w:rPr>
                <w:rFonts w:cs="Arial"/>
                <w:sz w:val="20"/>
                <w:szCs w:val="20"/>
              </w:rPr>
              <w:t>Large matched cohort; joint risk-factor approach</w:t>
            </w:r>
          </w:p>
        </w:tc>
        <w:tc>
          <w:tcPr>
            <w:tcW w:w="5940" w:type="dxa"/>
          </w:tcPr>
          <w:p w14:paraId="3BC47B0E" w14:textId="77777777" w:rsidR="00041A40" w:rsidRPr="00AE3768" w:rsidRDefault="00041A40" w:rsidP="00184C42">
            <w:pPr>
              <w:spacing w:after="0"/>
              <w:rPr>
                <w:rFonts w:cs="Arial"/>
                <w:sz w:val="20"/>
                <w:szCs w:val="20"/>
              </w:rPr>
            </w:pPr>
            <w:r w:rsidRPr="00AE3768">
              <w:rPr>
                <w:rFonts w:cs="Arial"/>
                <w:sz w:val="20"/>
                <w:szCs w:val="20"/>
              </w:rPr>
              <w:t>Observational measurements; residual confounding</w:t>
            </w:r>
          </w:p>
        </w:tc>
        <w:tc>
          <w:tcPr>
            <w:tcW w:w="1800" w:type="dxa"/>
          </w:tcPr>
          <w:p w14:paraId="7BB1A13F"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42C65E3D" w14:textId="77777777" w:rsidTr="00184C42">
        <w:tc>
          <w:tcPr>
            <w:tcW w:w="1928" w:type="dxa"/>
          </w:tcPr>
          <w:p w14:paraId="2931F004" w14:textId="77777777" w:rsidR="00041A40" w:rsidRPr="00AE3768" w:rsidRDefault="00041A40" w:rsidP="00184C42">
            <w:pPr>
              <w:spacing w:after="0"/>
              <w:rPr>
                <w:rFonts w:cs="Arial"/>
                <w:sz w:val="20"/>
                <w:szCs w:val="20"/>
              </w:rPr>
            </w:pPr>
            <w:r w:rsidRPr="00AE3768">
              <w:rPr>
                <w:rFonts w:cs="Arial"/>
                <w:sz w:val="20"/>
                <w:szCs w:val="20"/>
              </w:rPr>
              <w:t>Wang et al. (2022)</w:t>
            </w:r>
          </w:p>
        </w:tc>
        <w:tc>
          <w:tcPr>
            <w:tcW w:w="3580" w:type="dxa"/>
          </w:tcPr>
          <w:p w14:paraId="7BD19B46" w14:textId="77777777" w:rsidR="00041A40" w:rsidRPr="00AE3768" w:rsidRDefault="00041A40" w:rsidP="00184C42">
            <w:pPr>
              <w:spacing w:after="0"/>
              <w:rPr>
                <w:rFonts w:cs="Arial"/>
                <w:sz w:val="20"/>
                <w:szCs w:val="20"/>
              </w:rPr>
            </w:pPr>
            <w:r w:rsidRPr="00AE3768">
              <w:rPr>
                <w:rFonts w:cs="Arial"/>
                <w:sz w:val="20"/>
                <w:szCs w:val="20"/>
              </w:rPr>
              <w:t>Large cohort; environmental and genetic data</w:t>
            </w:r>
          </w:p>
        </w:tc>
        <w:tc>
          <w:tcPr>
            <w:tcW w:w="5940" w:type="dxa"/>
          </w:tcPr>
          <w:p w14:paraId="333EB3C2" w14:textId="77777777" w:rsidR="00041A40" w:rsidRPr="00AE3768" w:rsidRDefault="00041A40" w:rsidP="00184C42">
            <w:pPr>
              <w:spacing w:after="0"/>
              <w:rPr>
                <w:rFonts w:cs="Arial"/>
                <w:sz w:val="20"/>
                <w:szCs w:val="20"/>
              </w:rPr>
            </w:pPr>
            <w:r w:rsidRPr="00AE3768">
              <w:rPr>
                <w:rFonts w:cs="Arial"/>
                <w:sz w:val="20"/>
                <w:szCs w:val="20"/>
              </w:rPr>
              <w:t>Modelled pollution exposure; observational causality limits</w:t>
            </w:r>
          </w:p>
        </w:tc>
        <w:tc>
          <w:tcPr>
            <w:tcW w:w="1800" w:type="dxa"/>
          </w:tcPr>
          <w:p w14:paraId="0782DF8A" w14:textId="77777777" w:rsidR="00041A40" w:rsidRPr="00AE3768" w:rsidRDefault="00041A40" w:rsidP="00184C42">
            <w:pPr>
              <w:spacing w:after="0"/>
              <w:rPr>
                <w:rFonts w:cs="Arial"/>
                <w:sz w:val="20"/>
                <w:szCs w:val="20"/>
              </w:rPr>
            </w:pPr>
            <w:r w:rsidRPr="00AE3768">
              <w:rPr>
                <w:rFonts w:cs="Arial"/>
                <w:sz w:val="20"/>
                <w:szCs w:val="20"/>
              </w:rPr>
              <w:t>Moderate–high</w:t>
            </w:r>
          </w:p>
        </w:tc>
      </w:tr>
      <w:tr w:rsidR="00041A40" w:rsidRPr="00AE3768" w14:paraId="54FD7261" w14:textId="77777777" w:rsidTr="00184C42">
        <w:tc>
          <w:tcPr>
            <w:tcW w:w="1928" w:type="dxa"/>
          </w:tcPr>
          <w:p w14:paraId="4F1A3156" w14:textId="77777777" w:rsidR="00041A40" w:rsidRPr="00AE3768" w:rsidRDefault="00041A40" w:rsidP="00184C42">
            <w:pPr>
              <w:spacing w:after="0"/>
              <w:rPr>
                <w:rFonts w:cs="Arial"/>
                <w:sz w:val="20"/>
                <w:szCs w:val="20"/>
              </w:rPr>
            </w:pPr>
            <w:r w:rsidRPr="00AE3768">
              <w:rPr>
                <w:rFonts w:cs="Arial"/>
                <w:sz w:val="20"/>
                <w:szCs w:val="20"/>
              </w:rPr>
              <w:t>Zhang et al. (2023)</w:t>
            </w:r>
          </w:p>
        </w:tc>
        <w:tc>
          <w:tcPr>
            <w:tcW w:w="3580" w:type="dxa"/>
          </w:tcPr>
          <w:p w14:paraId="3AE38EA7" w14:textId="77777777" w:rsidR="00041A40" w:rsidRPr="00AE3768" w:rsidRDefault="00041A40" w:rsidP="00184C42">
            <w:pPr>
              <w:spacing w:after="0"/>
              <w:rPr>
                <w:rFonts w:cs="Arial"/>
                <w:sz w:val="20"/>
                <w:szCs w:val="20"/>
              </w:rPr>
            </w:pPr>
            <w:r w:rsidRPr="00AE3768">
              <w:rPr>
                <w:rFonts w:cs="Arial"/>
                <w:sz w:val="20"/>
                <w:szCs w:val="20"/>
              </w:rPr>
              <w:t>Questionnaire and accelerometer activity measures</w:t>
            </w:r>
          </w:p>
        </w:tc>
        <w:tc>
          <w:tcPr>
            <w:tcW w:w="5940" w:type="dxa"/>
          </w:tcPr>
          <w:p w14:paraId="46E47169" w14:textId="77777777" w:rsidR="00041A40" w:rsidRPr="00AE3768" w:rsidRDefault="00041A40" w:rsidP="00184C42">
            <w:pPr>
              <w:spacing w:after="0"/>
              <w:rPr>
                <w:rFonts w:cs="Arial"/>
                <w:sz w:val="20"/>
                <w:szCs w:val="20"/>
              </w:rPr>
            </w:pPr>
            <w:r w:rsidRPr="00AE3768">
              <w:rPr>
                <w:rFonts w:cs="Arial"/>
                <w:sz w:val="20"/>
                <w:szCs w:val="20"/>
              </w:rPr>
              <w:t>Accelerometer subgroup; UK Biobank selection</w:t>
            </w:r>
          </w:p>
        </w:tc>
        <w:tc>
          <w:tcPr>
            <w:tcW w:w="1800" w:type="dxa"/>
          </w:tcPr>
          <w:p w14:paraId="44DFB3B1" w14:textId="77777777" w:rsidR="00041A40" w:rsidRPr="00AE3768" w:rsidRDefault="00041A40" w:rsidP="00184C42">
            <w:pPr>
              <w:spacing w:after="0"/>
              <w:rPr>
                <w:rFonts w:cs="Arial"/>
                <w:sz w:val="20"/>
                <w:szCs w:val="20"/>
              </w:rPr>
            </w:pPr>
            <w:r w:rsidRPr="00AE3768">
              <w:rPr>
                <w:rFonts w:cs="Arial"/>
                <w:sz w:val="20"/>
                <w:szCs w:val="20"/>
              </w:rPr>
              <w:t>Moderate–high</w:t>
            </w:r>
          </w:p>
        </w:tc>
      </w:tr>
    </w:tbl>
    <w:p w14:paraId="6B0E27BD" w14:textId="77777777" w:rsidR="00041A40" w:rsidRPr="00041A40" w:rsidRDefault="00041A40" w:rsidP="00041A40">
      <w:pPr>
        <w:rPr>
          <w:rFonts w:cs="Arial"/>
        </w:rPr>
        <w:sectPr w:rsidR="00041A40" w:rsidRPr="00041A40" w:rsidSect="00A00539">
          <w:pgSz w:w="16838" w:h="11906" w:orient="landscape" w:code="9"/>
          <w:pgMar w:top="1440" w:right="1800" w:bottom="1440" w:left="1800" w:header="720" w:footer="720" w:gutter="0"/>
          <w:cols w:space="720"/>
          <w:docGrid w:linePitch="360"/>
        </w:sectPr>
      </w:pPr>
    </w:p>
    <w:p w14:paraId="19175DB9"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69" w:name="_Toc241011103"/>
      <w:r w:rsidRPr="00041A40">
        <w:rPr>
          <w:rFonts w:eastAsiaTheme="majorEastAsia" w:cs="Arial"/>
          <w:b/>
          <w:bCs/>
          <w:color w:val="000000" w:themeColor="text1"/>
          <w:sz w:val="28"/>
          <w:szCs w:val="28"/>
        </w:rPr>
        <w:t>Appendix 4 – Full Data-Extraction Matrix</w:t>
      </w:r>
      <w:bookmarkEnd w:id="169"/>
    </w:p>
    <w:p w14:paraId="30733097" w14:textId="77777777" w:rsidR="00041A40" w:rsidRPr="00041A40" w:rsidRDefault="00041A40" w:rsidP="00041A40">
      <w:pPr>
        <w:keepNext/>
        <w:spacing w:before="60" w:after="60"/>
        <w:rPr>
          <w:rFonts w:cs="Arial"/>
          <w:sz w:val="32"/>
          <w:szCs w:val="32"/>
        </w:rPr>
      </w:pPr>
      <w:r w:rsidRPr="00041A40">
        <w:rPr>
          <w:rFonts w:cs="Arial"/>
          <w:b/>
          <w:sz w:val="24"/>
          <w:szCs w:val="32"/>
        </w:rPr>
        <w:t>Table D1. Full extraction matrix for the 15 included studies</w:t>
      </w:r>
    </w:p>
    <w:tbl>
      <w:tblPr>
        <w:tblStyle w:val="TableGrid"/>
        <w:tblW w:w="0" w:type="auto"/>
        <w:tblLayout w:type="fixed"/>
        <w:tblLook w:val="04A0" w:firstRow="1" w:lastRow="0" w:firstColumn="1" w:lastColumn="0" w:noHBand="0" w:noVBand="1"/>
      </w:tblPr>
      <w:tblGrid>
        <w:gridCol w:w="1345"/>
        <w:gridCol w:w="1659"/>
        <w:gridCol w:w="1659"/>
        <w:gridCol w:w="2286"/>
        <w:gridCol w:w="2331"/>
        <w:gridCol w:w="1883"/>
        <w:gridCol w:w="2085"/>
      </w:tblGrid>
      <w:tr w:rsidR="00041A40" w:rsidRPr="00184C42" w14:paraId="7DF5253A" w14:textId="77777777" w:rsidTr="00184C42">
        <w:trPr>
          <w:trHeight w:val="164"/>
        </w:trPr>
        <w:tc>
          <w:tcPr>
            <w:tcW w:w="1345" w:type="dxa"/>
          </w:tcPr>
          <w:p w14:paraId="4E1BD50A" w14:textId="77777777" w:rsidR="00041A40" w:rsidRPr="00184C42" w:rsidRDefault="00041A40" w:rsidP="00041A40">
            <w:pPr>
              <w:spacing w:after="0"/>
              <w:jc w:val="center"/>
              <w:rPr>
                <w:rFonts w:cs="Arial"/>
                <w:sz w:val="20"/>
                <w:szCs w:val="20"/>
              </w:rPr>
            </w:pPr>
            <w:r w:rsidRPr="00184C42">
              <w:rPr>
                <w:rFonts w:cs="Arial"/>
                <w:b/>
                <w:sz w:val="20"/>
                <w:szCs w:val="20"/>
              </w:rPr>
              <w:t>Study</w:t>
            </w:r>
          </w:p>
        </w:tc>
        <w:tc>
          <w:tcPr>
            <w:tcW w:w="1659" w:type="dxa"/>
          </w:tcPr>
          <w:p w14:paraId="1CC8C5B7" w14:textId="77777777" w:rsidR="00041A40" w:rsidRPr="00184C42" w:rsidRDefault="00041A40" w:rsidP="00041A40">
            <w:pPr>
              <w:spacing w:after="0"/>
              <w:jc w:val="center"/>
              <w:rPr>
                <w:rFonts w:cs="Arial"/>
                <w:sz w:val="20"/>
                <w:szCs w:val="20"/>
              </w:rPr>
            </w:pPr>
            <w:r w:rsidRPr="00184C42">
              <w:rPr>
                <w:rFonts w:cs="Arial"/>
                <w:b/>
                <w:sz w:val="20"/>
                <w:szCs w:val="20"/>
              </w:rPr>
              <w:t>Setting and design</w:t>
            </w:r>
          </w:p>
        </w:tc>
        <w:tc>
          <w:tcPr>
            <w:tcW w:w="1659" w:type="dxa"/>
          </w:tcPr>
          <w:p w14:paraId="5D55B23B" w14:textId="77777777" w:rsidR="00041A40" w:rsidRPr="00184C42" w:rsidRDefault="00041A40" w:rsidP="00041A40">
            <w:pPr>
              <w:spacing w:after="0"/>
              <w:jc w:val="center"/>
              <w:rPr>
                <w:rFonts w:cs="Arial"/>
                <w:sz w:val="20"/>
                <w:szCs w:val="20"/>
              </w:rPr>
            </w:pPr>
            <w:r w:rsidRPr="00184C42">
              <w:rPr>
                <w:rFonts w:cs="Arial"/>
                <w:b/>
                <w:sz w:val="20"/>
                <w:szCs w:val="20"/>
              </w:rPr>
              <w:t>Sample</w:t>
            </w:r>
          </w:p>
        </w:tc>
        <w:tc>
          <w:tcPr>
            <w:tcW w:w="2286" w:type="dxa"/>
          </w:tcPr>
          <w:p w14:paraId="3BA3567A" w14:textId="77777777" w:rsidR="00041A40" w:rsidRPr="00184C42" w:rsidRDefault="00041A40" w:rsidP="00041A40">
            <w:pPr>
              <w:spacing w:after="0"/>
              <w:jc w:val="center"/>
              <w:rPr>
                <w:rFonts w:cs="Arial"/>
                <w:sz w:val="20"/>
                <w:szCs w:val="20"/>
              </w:rPr>
            </w:pPr>
            <w:r w:rsidRPr="00184C42">
              <w:rPr>
                <w:rFonts w:cs="Arial"/>
                <w:b/>
                <w:sz w:val="20"/>
                <w:szCs w:val="20"/>
              </w:rPr>
              <w:t>Data collection / analysis</w:t>
            </w:r>
          </w:p>
        </w:tc>
        <w:tc>
          <w:tcPr>
            <w:tcW w:w="2331" w:type="dxa"/>
          </w:tcPr>
          <w:p w14:paraId="04396662" w14:textId="77777777" w:rsidR="00041A40" w:rsidRPr="00184C42" w:rsidRDefault="00041A40" w:rsidP="00041A40">
            <w:pPr>
              <w:spacing w:after="0"/>
              <w:jc w:val="center"/>
              <w:rPr>
                <w:rFonts w:cs="Arial"/>
                <w:sz w:val="20"/>
                <w:szCs w:val="20"/>
              </w:rPr>
            </w:pPr>
            <w:r w:rsidRPr="00184C42">
              <w:rPr>
                <w:rFonts w:cs="Arial"/>
                <w:b/>
                <w:sz w:val="20"/>
                <w:szCs w:val="20"/>
              </w:rPr>
              <w:t>Principal finding</w:t>
            </w:r>
          </w:p>
        </w:tc>
        <w:tc>
          <w:tcPr>
            <w:tcW w:w="1883" w:type="dxa"/>
          </w:tcPr>
          <w:p w14:paraId="29196BD6" w14:textId="77777777" w:rsidR="00041A40" w:rsidRPr="00184C42" w:rsidRDefault="00041A40" w:rsidP="00041A40">
            <w:pPr>
              <w:spacing w:after="0"/>
              <w:jc w:val="center"/>
              <w:rPr>
                <w:rFonts w:cs="Arial"/>
                <w:sz w:val="20"/>
                <w:szCs w:val="20"/>
              </w:rPr>
            </w:pPr>
            <w:r w:rsidRPr="00184C42">
              <w:rPr>
                <w:rFonts w:cs="Arial"/>
                <w:b/>
                <w:sz w:val="20"/>
                <w:szCs w:val="20"/>
              </w:rPr>
              <w:t>Main limitation</w:t>
            </w:r>
          </w:p>
        </w:tc>
        <w:tc>
          <w:tcPr>
            <w:tcW w:w="2085" w:type="dxa"/>
          </w:tcPr>
          <w:p w14:paraId="4F4AA6FD" w14:textId="77777777" w:rsidR="00041A40" w:rsidRPr="00184C42" w:rsidRDefault="00041A40" w:rsidP="00041A40">
            <w:pPr>
              <w:spacing w:after="0"/>
              <w:jc w:val="center"/>
              <w:rPr>
                <w:rFonts w:cs="Arial"/>
                <w:sz w:val="20"/>
                <w:szCs w:val="20"/>
              </w:rPr>
            </w:pPr>
            <w:r w:rsidRPr="00184C42">
              <w:rPr>
                <w:rFonts w:cs="Arial"/>
                <w:b/>
                <w:sz w:val="20"/>
                <w:szCs w:val="20"/>
              </w:rPr>
              <w:t>Synthesis theme</w:t>
            </w:r>
          </w:p>
        </w:tc>
      </w:tr>
      <w:tr w:rsidR="00041A40" w:rsidRPr="00184C42" w14:paraId="0C67D1EC" w14:textId="77777777" w:rsidTr="00184C42">
        <w:trPr>
          <w:trHeight w:val="492"/>
        </w:trPr>
        <w:tc>
          <w:tcPr>
            <w:tcW w:w="1345" w:type="dxa"/>
          </w:tcPr>
          <w:p w14:paraId="40A222CC" w14:textId="77777777" w:rsidR="00041A40" w:rsidRPr="00184C42" w:rsidRDefault="00041A40" w:rsidP="00041A40">
            <w:pPr>
              <w:spacing w:after="0"/>
              <w:rPr>
                <w:rFonts w:cs="Arial"/>
                <w:sz w:val="20"/>
                <w:szCs w:val="20"/>
              </w:rPr>
            </w:pPr>
            <w:r w:rsidRPr="00184C42">
              <w:rPr>
                <w:rFonts w:cs="Arial"/>
                <w:sz w:val="20"/>
                <w:szCs w:val="20"/>
              </w:rPr>
              <w:t>Stewart et al. (2026)</w:t>
            </w:r>
          </w:p>
        </w:tc>
        <w:tc>
          <w:tcPr>
            <w:tcW w:w="1659" w:type="dxa"/>
          </w:tcPr>
          <w:p w14:paraId="271DC859" w14:textId="77777777" w:rsidR="00041A40" w:rsidRPr="00184C42" w:rsidRDefault="00041A40" w:rsidP="00041A40">
            <w:pPr>
              <w:spacing w:after="0"/>
              <w:rPr>
                <w:rFonts w:cs="Arial"/>
                <w:sz w:val="20"/>
                <w:szCs w:val="20"/>
              </w:rPr>
            </w:pPr>
            <w:r w:rsidRPr="00184C42">
              <w:rPr>
                <w:rFonts w:cs="Arial"/>
                <w:sz w:val="20"/>
                <w:szCs w:val="20"/>
              </w:rPr>
              <w:t>Greater Manchester; retrospective cohort</w:t>
            </w:r>
          </w:p>
        </w:tc>
        <w:tc>
          <w:tcPr>
            <w:tcW w:w="1659" w:type="dxa"/>
          </w:tcPr>
          <w:p w14:paraId="3C9BC8D0" w14:textId="77777777" w:rsidR="00041A40" w:rsidRPr="00184C42" w:rsidRDefault="00041A40" w:rsidP="00041A40">
            <w:pPr>
              <w:spacing w:after="0"/>
              <w:rPr>
                <w:rFonts w:cs="Arial"/>
                <w:sz w:val="20"/>
                <w:szCs w:val="20"/>
              </w:rPr>
            </w:pPr>
            <w:r w:rsidRPr="00184C42">
              <w:rPr>
                <w:rFonts w:cs="Arial"/>
                <w:sz w:val="20"/>
                <w:szCs w:val="20"/>
              </w:rPr>
              <w:t>71,383 adults with CKD stages 3–5</w:t>
            </w:r>
          </w:p>
        </w:tc>
        <w:tc>
          <w:tcPr>
            <w:tcW w:w="2286" w:type="dxa"/>
          </w:tcPr>
          <w:p w14:paraId="3F739C2B" w14:textId="77777777" w:rsidR="00041A40" w:rsidRPr="00184C42" w:rsidRDefault="00041A40" w:rsidP="00041A40">
            <w:pPr>
              <w:spacing w:after="0"/>
              <w:rPr>
                <w:rFonts w:cs="Arial"/>
                <w:sz w:val="20"/>
                <w:szCs w:val="20"/>
              </w:rPr>
            </w:pPr>
            <w:r w:rsidRPr="00184C42">
              <w:rPr>
                <w:rFonts w:cs="Arial"/>
                <w:sz w:val="20"/>
                <w:szCs w:val="20"/>
              </w:rPr>
              <w:t xml:space="preserve">Routine EHR; eGFR, </w:t>
            </w:r>
            <w:proofErr w:type="spellStart"/>
            <w:r w:rsidRPr="00184C42">
              <w:rPr>
                <w:rFonts w:cs="Arial"/>
                <w:sz w:val="20"/>
                <w:szCs w:val="20"/>
              </w:rPr>
              <w:t>uACR</w:t>
            </w:r>
            <w:proofErr w:type="spellEnd"/>
            <w:r w:rsidRPr="00184C42">
              <w:rPr>
                <w:rFonts w:cs="Arial"/>
                <w:sz w:val="20"/>
                <w:szCs w:val="20"/>
              </w:rPr>
              <w:t>, comorbidity, mortality and kidney-replacement outcomes</w:t>
            </w:r>
          </w:p>
        </w:tc>
        <w:tc>
          <w:tcPr>
            <w:tcW w:w="2331" w:type="dxa"/>
          </w:tcPr>
          <w:p w14:paraId="513AF7D6" w14:textId="77777777" w:rsidR="00041A40" w:rsidRPr="00184C42" w:rsidRDefault="00041A40" w:rsidP="00041A40">
            <w:pPr>
              <w:spacing w:after="0"/>
              <w:rPr>
                <w:rFonts w:cs="Arial"/>
                <w:sz w:val="20"/>
                <w:szCs w:val="20"/>
              </w:rPr>
            </w:pPr>
            <w:r w:rsidRPr="00184C42">
              <w:rPr>
                <w:rFonts w:cs="Arial"/>
                <w:sz w:val="20"/>
                <w:szCs w:val="20"/>
              </w:rPr>
              <w:t>Higher KFRE categories identified patients more likely to progress towards kidney failure.</w:t>
            </w:r>
          </w:p>
        </w:tc>
        <w:tc>
          <w:tcPr>
            <w:tcW w:w="1883" w:type="dxa"/>
          </w:tcPr>
          <w:p w14:paraId="5E429AE4" w14:textId="77777777" w:rsidR="00041A40" w:rsidRPr="00184C42" w:rsidRDefault="00041A40" w:rsidP="00041A40">
            <w:pPr>
              <w:spacing w:after="0"/>
              <w:rPr>
                <w:rFonts w:cs="Arial"/>
                <w:sz w:val="20"/>
                <w:szCs w:val="20"/>
              </w:rPr>
            </w:pPr>
            <w:r w:rsidRPr="00184C42">
              <w:rPr>
                <w:rFonts w:cs="Arial"/>
                <w:sz w:val="20"/>
                <w:szCs w:val="20"/>
              </w:rPr>
              <w:t>Retrospective regional data; missing values and selection from complete cases.</w:t>
            </w:r>
          </w:p>
        </w:tc>
        <w:tc>
          <w:tcPr>
            <w:tcW w:w="2085" w:type="dxa"/>
          </w:tcPr>
          <w:p w14:paraId="3C3D07FA" w14:textId="77777777" w:rsidR="00041A40" w:rsidRPr="00184C42" w:rsidRDefault="00041A40" w:rsidP="00041A40">
            <w:pPr>
              <w:spacing w:after="0"/>
              <w:rPr>
                <w:rFonts w:cs="Arial"/>
                <w:sz w:val="20"/>
                <w:szCs w:val="20"/>
              </w:rPr>
            </w:pPr>
            <w:r w:rsidRPr="00184C42">
              <w:rPr>
                <w:rFonts w:cs="Arial"/>
                <w:sz w:val="20"/>
                <w:szCs w:val="20"/>
              </w:rPr>
              <w:t>Diagnosis, screening and risk stratification</w:t>
            </w:r>
          </w:p>
        </w:tc>
      </w:tr>
      <w:tr w:rsidR="00041A40" w:rsidRPr="00184C42" w14:paraId="5F887EBA" w14:textId="77777777" w:rsidTr="00184C42">
        <w:trPr>
          <w:trHeight w:val="313"/>
        </w:trPr>
        <w:tc>
          <w:tcPr>
            <w:tcW w:w="1345" w:type="dxa"/>
          </w:tcPr>
          <w:p w14:paraId="05ED04E2" w14:textId="77777777" w:rsidR="00041A40" w:rsidRPr="00184C42" w:rsidRDefault="00041A40" w:rsidP="00041A40">
            <w:pPr>
              <w:spacing w:after="0"/>
              <w:rPr>
                <w:rFonts w:cs="Arial"/>
                <w:sz w:val="20"/>
                <w:szCs w:val="20"/>
              </w:rPr>
            </w:pPr>
            <w:r w:rsidRPr="00184C42">
              <w:rPr>
                <w:rFonts w:cs="Arial"/>
                <w:sz w:val="20"/>
                <w:szCs w:val="20"/>
              </w:rPr>
              <w:t>Forbes et al. (2024)</w:t>
            </w:r>
          </w:p>
        </w:tc>
        <w:tc>
          <w:tcPr>
            <w:tcW w:w="1659" w:type="dxa"/>
          </w:tcPr>
          <w:p w14:paraId="70E103C7" w14:textId="77777777" w:rsidR="00041A40" w:rsidRPr="00184C42" w:rsidRDefault="00041A40" w:rsidP="00041A40">
            <w:pPr>
              <w:spacing w:after="0"/>
              <w:rPr>
                <w:rFonts w:cs="Arial"/>
                <w:sz w:val="20"/>
                <w:szCs w:val="20"/>
              </w:rPr>
            </w:pPr>
            <w:r w:rsidRPr="00184C42">
              <w:rPr>
                <w:rFonts w:cs="Arial"/>
                <w:sz w:val="20"/>
                <w:szCs w:val="20"/>
              </w:rPr>
              <w:t>England; cross-sectional EHR study</w:t>
            </w:r>
          </w:p>
        </w:tc>
        <w:tc>
          <w:tcPr>
            <w:tcW w:w="1659" w:type="dxa"/>
          </w:tcPr>
          <w:p w14:paraId="035AD38C" w14:textId="77777777" w:rsidR="00041A40" w:rsidRPr="00184C42" w:rsidRDefault="00041A40" w:rsidP="00041A40">
            <w:pPr>
              <w:spacing w:after="0"/>
              <w:rPr>
                <w:rFonts w:cs="Arial"/>
                <w:sz w:val="20"/>
                <w:szCs w:val="20"/>
              </w:rPr>
            </w:pPr>
            <w:r w:rsidRPr="00184C42">
              <w:rPr>
                <w:rFonts w:cs="Arial"/>
                <w:sz w:val="20"/>
                <w:szCs w:val="20"/>
              </w:rPr>
              <w:t>516,491 adults with CKD from 738 practices</w:t>
            </w:r>
          </w:p>
        </w:tc>
        <w:tc>
          <w:tcPr>
            <w:tcW w:w="2286" w:type="dxa"/>
          </w:tcPr>
          <w:p w14:paraId="4E7244DA" w14:textId="77777777" w:rsidR="00041A40" w:rsidRPr="00184C42" w:rsidRDefault="00041A40" w:rsidP="00041A40">
            <w:pPr>
              <w:spacing w:after="0"/>
              <w:rPr>
                <w:rFonts w:cs="Arial"/>
                <w:sz w:val="20"/>
                <w:szCs w:val="20"/>
              </w:rPr>
            </w:pPr>
            <w:r w:rsidRPr="00184C42">
              <w:rPr>
                <w:rFonts w:cs="Arial"/>
                <w:sz w:val="20"/>
                <w:szCs w:val="20"/>
              </w:rPr>
              <w:t>Coded diagnoses, repeated eGFR/proteinuria, prescribing and guideline-eligibility mapping</w:t>
            </w:r>
          </w:p>
        </w:tc>
        <w:tc>
          <w:tcPr>
            <w:tcW w:w="2331" w:type="dxa"/>
          </w:tcPr>
          <w:p w14:paraId="10C8325E" w14:textId="77777777" w:rsidR="00041A40" w:rsidRPr="00184C42" w:rsidRDefault="00041A40" w:rsidP="00041A40">
            <w:pPr>
              <w:spacing w:after="0"/>
              <w:rPr>
                <w:rFonts w:cs="Arial"/>
                <w:sz w:val="20"/>
                <w:szCs w:val="20"/>
              </w:rPr>
            </w:pPr>
            <w:r w:rsidRPr="00184C42">
              <w:rPr>
                <w:rFonts w:cs="Arial"/>
                <w:sz w:val="20"/>
                <w:szCs w:val="20"/>
              </w:rPr>
              <w:t>A substantial gap existed between SGLT2 eligibility and routine prescribing.</w:t>
            </w:r>
          </w:p>
        </w:tc>
        <w:tc>
          <w:tcPr>
            <w:tcW w:w="1883" w:type="dxa"/>
          </w:tcPr>
          <w:p w14:paraId="6B410B73" w14:textId="77777777" w:rsidR="00041A40" w:rsidRPr="00184C42" w:rsidRDefault="00041A40" w:rsidP="00041A40">
            <w:pPr>
              <w:spacing w:after="0"/>
              <w:rPr>
                <w:rFonts w:cs="Arial"/>
                <w:sz w:val="20"/>
                <w:szCs w:val="20"/>
              </w:rPr>
            </w:pPr>
            <w:r w:rsidRPr="00184C42">
              <w:rPr>
                <w:rFonts w:cs="Arial"/>
                <w:sz w:val="20"/>
                <w:szCs w:val="20"/>
              </w:rPr>
              <w:t>Cross-sectional; coding and data-completeness limitations.</w:t>
            </w:r>
          </w:p>
        </w:tc>
        <w:tc>
          <w:tcPr>
            <w:tcW w:w="2085" w:type="dxa"/>
          </w:tcPr>
          <w:p w14:paraId="396129AC" w14:textId="77777777" w:rsidR="00041A40" w:rsidRPr="00184C42" w:rsidRDefault="00041A40" w:rsidP="00041A40">
            <w:pPr>
              <w:spacing w:after="0"/>
              <w:rPr>
                <w:rFonts w:cs="Arial"/>
                <w:sz w:val="20"/>
                <w:szCs w:val="20"/>
              </w:rPr>
            </w:pPr>
            <w:r w:rsidRPr="00184C42">
              <w:rPr>
                <w:rFonts w:cs="Arial"/>
                <w:sz w:val="20"/>
                <w:szCs w:val="20"/>
              </w:rPr>
              <w:t>Pharmacological management</w:t>
            </w:r>
          </w:p>
        </w:tc>
      </w:tr>
      <w:tr w:rsidR="00041A40" w:rsidRPr="00184C42" w14:paraId="2265F0B0" w14:textId="77777777" w:rsidTr="00184C42">
        <w:trPr>
          <w:trHeight w:val="328"/>
        </w:trPr>
        <w:tc>
          <w:tcPr>
            <w:tcW w:w="1345" w:type="dxa"/>
          </w:tcPr>
          <w:p w14:paraId="12729E35" w14:textId="77777777" w:rsidR="00041A40" w:rsidRPr="00184C42" w:rsidRDefault="00041A40" w:rsidP="00041A40">
            <w:pPr>
              <w:spacing w:after="0"/>
              <w:rPr>
                <w:rFonts w:cs="Arial"/>
                <w:sz w:val="20"/>
                <w:szCs w:val="20"/>
              </w:rPr>
            </w:pPr>
            <w:r w:rsidRPr="00184C42">
              <w:rPr>
                <w:rFonts w:cs="Arial"/>
                <w:sz w:val="20"/>
                <w:szCs w:val="20"/>
              </w:rPr>
              <w:t>Major et al. (2025)</w:t>
            </w:r>
          </w:p>
        </w:tc>
        <w:tc>
          <w:tcPr>
            <w:tcW w:w="1659" w:type="dxa"/>
          </w:tcPr>
          <w:p w14:paraId="522C1BAA" w14:textId="77777777" w:rsidR="00041A40" w:rsidRPr="00184C42" w:rsidRDefault="00041A40" w:rsidP="00041A40">
            <w:pPr>
              <w:spacing w:after="0"/>
              <w:rPr>
                <w:rFonts w:cs="Arial"/>
                <w:sz w:val="20"/>
                <w:szCs w:val="20"/>
              </w:rPr>
            </w:pPr>
            <w:r w:rsidRPr="00184C42">
              <w:rPr>
                <w:rFonts w:cs="Arial"/>
                <w:sz w:val="20"/>
                <w:szCs w:val="20"/>
              </w:rPr>
              <w:t>Leicester, Leicestershire and Rutland; service evaluation</w:t>
            </w:r>
          </w:p>
        </w:tc>
        <w:tc>
          <w:tcPr>
            <w:tcW w:w="1659" w:type="dxa"/>
          </w:tcPr>
          <w:p w14:paraId="012E1C62" w14:textId="77777777" w:rsidR="00041A40" w:rsidRPr="00184C42" w:rsidRDefault="00041A40" w:rsidP="00041A40">
            <w:pPr>
              <w:spacing w:after="0"/>
              <w:rPr>
                <w:rFonts w:cs="Arial"/>
                <w:sz w:val="20"/>
                <w:szCs w:val="20"/>
              </w:rPr>
            </w:pPr>
            <w:r w:rsidRPr="00184C42">
              <w:rPr>
                <w:rFonts w:cs="Arial"/>
                <w:sz w:val="20"/>
                <w:szCs w:val="20"/>
              </w:rPr>
              <w:t>821 patients reviewed through virtual MDT</w:t>
            </w:r>
          </w:p>
        </w:tc>
        <w:tc>
          <w:tcPr>
            <w:tcW w:w="2286" w:type="dxa"/>
          </w:tcPr>
          <w:p w14:paraId="610383FC" w14:textId="77777777" w:rsidR="00041A40" w:rsidRPr="00184C42" w:rsidRDefault="00041A40" w:rsidP="00041A40">
            <w:pPr>
              <w:spacing w:after="0"/>
              <w:rPr>
                <w:rFonts w:cs="Arial"/>
                <w:sz w:val="20"/>
                <w:szCs w:val="20"/>
              </w:rPr>
            </w:pPr>
            <w:r w:rsidRPr="00184C42">
              <w:rPr>
                <w:rFonts w:cs="Arial"/>
                <w:sz w:val="20"/>
                <w:szCs w:val="20"/>
              </w:rPr>
              <w:t>Electronic case finding, KFRE triage, virtual MDT and medicines-</w:t>
            </w:r>
            <w:proofErr w:type="spellStart"/>
            <w:r w:rsidRPr="00184C42">
              <w:rPr>
                <w:rFonts w:cs="Arial"/>
                <w:sz w:val="20"/>
                <w:szCs w:val="20"/>
              </w:rPr>
              <w:t>optimisation</w:t>
            </w:r>
            <w:proofErr w:type="spellEnd"/>
            <w:r w:rsidRPr="00184C42">
              <w:rPr>
                <w:rFonts w:cs="Arial"/>
                <w:sz w:val="20"/>
                <w:szCs w:val="20"/>
              </w:rPr>
              <w:t xml:space="preserve"> records</w:t>
            </w:r>
          </w:p>
        </w:tc>
        <w:tc>
          <w:tcPr>
            <w:tcW w:w="2331" w:type="dxa"/>
          </w:tcPr>
          <w:p w14:paraId="5EEB5714" w14:textId="77777777" w:rsidR="00041A40" w:rsidRPr="00184C42" w:rsidRDefault="00041A40" w:rsidP="00041A40">
            <w:pPr>
              <w:spacing w:after="0"/>
              <w:rPr>
                <w:rFonts w:cs="Arial"/>
                <w:sz w:val="20"/>
                <w:szCs w:val="20"/>
              </w:rPr>
            </w:pPr>
            <w:r w:rsidRPr="00184C42">
              <w:rPr>
                <w:rFonts w:cs="Arial"/>
                <w:sz w:val="20"/>
                <w:szCs w:val="20"/>
              </w:rPr>
              <w:t xml:space="preserve">Integrated review supported structured referral, surveillance and medicines </w:t>
            </w:r>
            <w:proofErr w:type="spellStart"/>
            <w:r w:rsidRPr="00184C42">
              <w:rPr>
                <w:rFonts w:cs="Arial"/>
                <w:sz w:val="20"/>
                <w:szCs w:val="20"/>
              </w:rPr>
              <w:t>optimisation</w:t>
            </w:r>
            <w:proofErr w:type="spellEnd"/>
            <w:r w:rsidRPr="00184C42">
              <w:rPr>
                <w:rFonts w:cs="Arial"/>
                <w:sz w:val="20"/>
                <w:szCs w:val="20"/>
              </w:rPr>
              <w:t>.</w:t>
            </w:r>
          </w:p>
        </w:tc>
        <w:tc>
          <w:tcPr>
            <w:tcW w:w="1883" w:type="dxa"/>
          </w:tcPr>
          <w:p w14:paraId="05787B3A" w14:textId="77777777" w:rsidR="00041A40" w:rsidRPr="00184C42" w:rsidRDefault="00041A40" w:rsidP="00041A40">
            <w:pPr>
              <w:spacing w:after="0"/>
              <w:rPr>
                <w:rFonts w:cs="Arial"/>
                <w:sz w:val="20"/>
                <w:szCs w:val="20"/>
              </w:rPr>
            </w:pPr>
            <w:r w:rsidRPr="00184C42">
              <w:rPr>
                <w:rFonts w:cs="Arial"/>
                <w:sz w:val="20"/>
                <w:szCs w:val="20"/>
              </w:rPr>
              <w:t>Local non-</w:t>
            </w:r>
            <w:proofErr w:type="spellStart"/>
            <w:r w:rsidRPr="00184C42">
              <w:rPr>
                <w:rFonts w:cs="Arial"/>
                <w:sz w:val="20"/>
                <w:szCs w:val="20"/>
              </w:rPr>
              <w:t>randomised</w:t>
            </w:r>
            <w:proofErr w:type="spellEnd"/>
            <w:r w:rsidRPr="00184C42">
              <w:rPr>
                <w:rFonts w:cs="Arial"/>
                <w:sz w:val="20"/>
                <w:szCs w:val="20"/>
              </w:rPr>
              <w:t xml:space="preserve"> evaluation; limited transferability.</w:t>
            </w:r>
          </w:p>
        </w:tc>
        <w:tc>
          <w:tcPr>
            <w:tcW w:w="2085" w:type="dxa"/>
          </w:tcPr>
          <w:p w14:paraId="7A1C1531" w14:textId="77777777" w:rsidR="00041A40" w:rsidRPr="00184C42" w:rsidRDefault="00041A40" w:rsidP="00041A40">
            <w:pPr>
              <w:spacing w:after="0"/>
              <w:rPr>
                <w:rFonts w:cs="Arial"/>
                <w:sz w:val="20"/>
                <w:szCs w:val="20"/>
              </w:rPr>
            </w:pPr>
            <w:r w:rsidRPr="00184C42">
              <w:rPr>
                <w:rFonts w:cs="Arial"/>
                <w:sz w:val="20"/>
                <w:szCs w:val="20"/>
              </w:rPr>
              <w:t>Integrated care and health-system management</w:t>
            </w:r>
          </w:p>
        </w:tc>
      </w:tr>
      <w:tr w:rsidR="00041A40" w:rsidRPr="00184C42" w14:paraId="3A56927F" w14:textId="77777777" w:rsidTr="00184C42">
        <w:trPr>
          <w:trHeight w:val="492"/>
        </w:trPr>
        <w:tc>
          <w:tcPr>
            <w:tcW w:w="1345" w:type="dxa"/>
          </w:tcPr>
          <w:p w14:paraId="3BCF5B64" w14:textId="77777777" w:rsidR="00041A40" w:rsidRPr="00184C42" w:rsidRDefault="00041A40" w:rsidP="00041A40">
            <w:pPr>
              <w:spacing w:after="0"/>
              <w:rPr>
                <w:rFonts w:cs="Arial"/>
                <w:sz w:val="20"/>
                <w:szCs w:val="20"/>
              </w:rPr>
            </w:pPr>
            <w:proofErr w:type="spellStart"/>
            <w:r w:rsidRPr="00184C42">
              <w:rPr>
                <w:rFonts w:cs="Arial"/>
                <w:sz w:val="20"/>
                <w:szCs w:val="20"/>
              </w:rPr>
              <w:t>Neuen</w:t>
            </w:r>
            <w:proofErr w:type="spellEnd"/>
            <w:r w:rsidRPr="00184C42">
              <w:rPr>
                <w:rFonts w:cs="Arial"/>
                <w:sz w:val="20"/>
                <w:szCs w:val="20"/>
              </w:rPr>
              <w:t xml:space="preserve"> et al. (2021)</w:t>
            </w:r>
          </w:p>
        </w:tc>
        <w:tc>
          <w:tcPr>
            <w:tcW w:w="1659" w:type="dxa"/>
          </w:tcPr>
          <w:p w14:paraId="1CF1E1CC" w14:textId="77777777" w:rsidR="00041A40" w:rsidRPr="00184C42" w:rsidRDefault="00041A40" w:rsidP="00041A40">
            <w:pPr>
              <w:spacing w:after="0"/>
              <w:rPr>
                <w:rFonts w:cs="Arial"/>
                <w:sz w:val="20"/>
                <w:szCs w:val="20"/>
              </w:rPr>
            </w:pPr>
            <w:r w:rsidRPr="00184C42">
              <w:rPr>
                <w:rFonts w:cs="Arial"/>
                <w:sz w:val="20"/>
                <w:szCs w:val="20"/>
              </w:rPr>
              <w:t>UK CPRD; observational cohort</w:t>
            </w:r>
          </w:p>
        </w:tc>
        <w:tc>
          <w:tcPr>
            <w:tcW w:w="1659" w:type="dxa"/>
          </w:tcPr>
          <w:p w14:paraId="06701A1E" w14:textId="77777777" w:rsidR="00041A40" w:rsidRPr="00184C42" w:rsidRDefault="00041A40" w:rsidP="00041A40">
            <w:pPr>
              <w:spacing w:after="0"/>
              <w:rPr>
                <w:rFonts w:cs="Arial"/>
                <w:sz w:val="20"/>
                <w:szCs w:val="20"/>
              </w:rPr>
            </w:pPr>
            <w:r w:rsidRPr="00184C42">
              <w:rPr>
                <w:rFonts w:cs="Arial"/>
                <w:sz w:val="20"/>
                <w:szCs w:val="20"/>
              </w:rPr>
              <w:t>91,319 primary-care patients</w:t>
            </w:r>
          </w:p>
        </w:tc>
        <w:tc>
          <w:tcPr>
            <w:tcW w:w="2286" w:type="dxa"/>
          </w:tcPr>
          <w:p w14:paraId="15A69D8F" w14:textId="77777777" w:rsidR="00041A40" w:rsidRPr="00184C42" w:rsidRDefault="00041A40" w:rsidP="00041A40">
            <w:pPr>
              <w:spacing w:after="0"/>
              <w:rPr>
                <w:rFonts w:cs="Arial"/>
                <w:sz w:val="20"/>
                <w:szCs w:val="20"/>
              </w:rPr>
            </w:pPr>
            <w:r w:rsidRPr="00184C42">
              <w:rPr>
                <w:rFonts w:cs="Arial"/>
                <w:sz w:val="20"/>
                <w:szCs w:val="20"/>
              </w:rPr>
              <w:t xml:space="preserve">Repeated eGFR and </w:t>
            </w:r>
            <w:proofErr w:type="spellStart"/>
            <w:r w:rsidRPr="00184C42">
              <w:rPr>
                <w:rFonts w:cs="Arial"/>
                <w:sz w:val="20"/>
                <w:szCs w:val="20"/>
              </w:rPr>
              <w:t>uACR</w:t>
            </w:r>
            <w:proofErr w:type="spellEnd"/>
            <w:r w:rsidRPr="00184C42">
              <w:rPr>
                <w:rFonts w:cs="Arial"/>
                <w:sz w:val="20"/>
                <w:szCs w:val="20"/>
              </w:rPr>
              <w:t xml:space="preserve"> linked to advanced kidney-disease outcomes</w:t>
            </w:r>
          </w:p>
        </w:tc>
        <w:tc>
          <w:tcPr>
            <w:tcW w:w="2331" w:type="dxa"/>
          </w:tcPr>
          <w:p w14:paraId="33F73451" w14:textId="77777777" w:rsidR="00041A40" w:rsidRPr="00184C42" w:rsidRDefault="00041A40" w:rsidP="00041A40">
            <w:pPr>
              <w:spacing w:after="0"/>
              <w:rPr>
                <w:rFonts w:cs="Arial"/>
                <w:sz w:val="20"/>
                <w:szCs w:val="20"/>
              </w:rPr>
            </w:pPr>
            <w:r w:rsidRPr="00184C42">
              <w:rPr>
                <w:rFonts w:cs="Arial"/>
                <w:sz w:val="20"/>
                <w:szCs w:val="20"/>
              </w:rPr>
              <w:t>Combined changes in eGFR and albuminuria predicted progression better than either measure alone.</w:t>
            </w:r>
          </w:p>
        </w:tc>
        <w:tc>
          <w:tcPr>
            <w:tcW w:w="1883" w:type="dxa"/>
          </w:tcPr>
          <w:p w14:paraId="2D9ED833" w14:textId="77777777" w:rsidR="00041A40" w:rsidRPr="00184C42" w:rsidRDefault="00041A40" w:rsidP="00041A40">
            <w:pPr>
              <w:spacing w:after="0"/>
              <w:rPr>
                <w:rFonts w:cs="Arial"/>
                <w:sz w:val="20"/>
                <w:szCs w:val="20"/>
              </w:rPr>
            </w:pPr>
            <w:r w:rsidRPr="00184C42">
              <w:rPr>
                <w:rFonts w:cs="Arial"/>
                <w:sz w:val="20"/>
                <w:szCs w:val="20"/>
              </w:rPr>
              <w:t>Routine-data completeness and residual confounding.</w:t>
            </w:r>
          </w:p>
        </w:tc>
        <w:tc>
          <w:tcPr>
            <w:tcW w:w="2085" w:type="dxa"/>
          </w:tcPr>
          <w:p w14:paraId="41D8EF06" w14:textId="77777777" w:rsidR="00041A40" w:rsidRPr="00184C42" w:rsidRDefault="00041A40" w:rsidP="00041A40">
            <w:pPr>
              <w:spacing w:after="0"/>
              <w:rPr>
                <w:rFonts w:cs="Arial"/>
                <w:sz w:val="20"/>
                <w:szCs w:val="20"/>
              </w:rPr>
            </w:pPr>
            <w:r w:rsidRPr="00184C42">
              <w:rPr>
                <w:rFonts w:cs="Arial"/>
                <w:sz w:val="20"/>
                <w:szCs w:val="20"/>
              </w:rPr>
              <w:t>Burden, progression and monitoring</w:t>
            </w:r>
          </w:p>
        </w:tc>
      </w:tr>
      <w:tr w:rsidR="00041A40" w:rsidRPr="00184C42" w14:paraId="37BC29FC" w14:textId="77777777" w:rsidTr="00184C42">
        <w:trPr>
          <w:trHeight w:val="477"/>
        </w:trPr>
        <w:tc>
          <w:tcPr>
            <w:tcW w:w="1345" w:type="dxa"/>
          </w:tcPr>
          <w:p w14:paraId="263ED965" w14:textId="77777777" w:rsidR="00041A40" w:rsidRPr="00184C42" w:rsidRDefault="00041A40" w:rsidP="00041A40">
            <w:pPr>
              <w:spacing w:after="0"/>
              <w:rPr>
                <w:rFonts w:cs="Arial"/>
                <w:sz w:val="20"/>
                <w:szCs w:val="20"/>
              </w:rPr>
            </w:pPr>
            <w:r w:rsidRPr="00184C42">
              <w:rPr>
                <w:rFonts w:cs="Arial"/>
                <w:sz w:val="20"/>
                <w:szCs w:val="20"/>
              </w:rPr>
              <w:t>Greenwood et al. (2024b)</w:t>
            </w:r>
          </w:p>
        </w:tc>
        <w:tc>
          <w:tcPr>
            <w:tcW w:w="1659" w:type="dxa"/>
          </w:tcPr>
          <w:p w14:paraId="5426C790" w14:textId="77777777" w:rsidR="00041A40" w:rsidRPr="00184C42" w:rsidRDefault="00041A40" w:rsidP="00041A40">
            <w:pPr>
              <w:spacing w:after="0"/>
              <w:rPr>
                <w:rFonts w:cs="Arial"/>
                <w:sz w:val="20"/>
                <w:szCs w:val="20"/>
              </w:rPr>
            </w:pPr>
            <w:r w:rsidRPr="00184C42">
              <w:rPr>
                <w:rFonts w:cs="Arial"/>
                <w:sz w:val="20"/>
                <w:szCs w:val="20"/>
              </w:rPr>
              <w:t xml:space="preserve">11 UK renal </w:t>
            </w:r>
            <w:proofErr w:type="spellStart"/>
            <w:r w:rsidRPr="00184C42">
              <w:rPr>
                <w:rFonts w:cs="Arial"/>
                <w:sz w:val="20"/>
                <w:szCs w:val="20"/>
              </w:rPr>
              <w:t>centres</w:t>
            </w:r>
            <w:proofErr w:type="spellEnd"/>
            <w:r w:rsidRPr="00184C42">
              <w:rPr>
                <w:rFonts w:cs="Arial"/>
                <w:sz w:val="20"/>
                <w:szCs w:val="20"/>
              </w:rPr>
              <w:t xml:space="preserve">; </w:t>
            </w:r>
            <w:proofErr w:type="spellStart"/>
            <w:r w:rsidRPr="00184C42">
              <w:rPr>
                <w:rFonts w:cs="Arial"/>
                <w:sz w:val="20"/>
                <w:szCs w:val="20"/>
              </w:rPr>
              <w:t>multicentre</w:t>
            </w:r>
            <w:proofErr w:type="spellEnd"/>
            <w:r w:rsidRPr="00184C42">
              <w:rPr>
                <w:rFonts w:cs="Arial"/>
                <w:sz w:val="20"/>
                <w:szCs w:val="20"/>
              </w:rPr>
              <w:t xml:space="preserve"> RCT</w:t>
            </w:r>
          </w:p>
        </w:tc>
        <w:tc>
          <w:tcPr>
            <w:tcW w:w="1659" w:type="dxa"/>
          </w:tcPr>
          <w:p w14:paraId="6EC2D147" w14:textId="77777777" w:rsidR="00041A40" w:rsidRPr="00184C42" w:rsidRDefault="00041A40" w:rsidP="00041A40">
            <w:pPr>
              <w:spacing w:after="0"/>
              <w:rPr>
                <w:rFonts w:cs="Arial"/>
                <w:sz w:val="20"/>
                <w:szCs w:val="20"/>
              </w:rPr>
            </w:pPr>
            <w:r w:rsidRPr="00184C42">
              <w:rPr>
                <w:rFonts w:cs="Arial"/>
                <w:sz w:val="20"/>
                <w:szCs w:val="20"/>
              </w:rPr>
              <w:t>340 adults with CKD</w:t>
            </w:r>
          </w:p>
        </w:tc>
        <w:tc>
          <w:tcPr>
            <w:tcW w:w="2286" w:type="dxa"/>
          </w:tcPr>
          <w:p w14:paraId="42E37532" w14:textId="77777777" w:rsidR="00041A40" w:rsidRPr="00184C42" w:rsidRDefault="00041A40" w:rsidP="00041A40">
            <w:pPr>
              <w:spacing w:after="0"/>
              <w:rPr>
                <w:rFonts w:cs="Arial"/>
                <w:sz w:val="20"/>
                <w:szCs w:val="20"/>
              </w:rPr>
            </w:pPr>
            <w:r w:rsidRPr="00184C42">
              <w:rPr>
                <w:rFonts w:cs="Arial"/>
                <w:sz w:val="20"/>
                <w:szCs w:val="20"/>
              </w:rPr>
              <w:t>Twelve-week Kidney BEAM intervention; patient-reported and activity outcomes; intention-to-treat analysis</w:t>
            </w:r>
          </w:p>
        </w:tc>
        <w:tc>
          <w:tcPr>
            <w:tcW w:w="2331" w:type="dxa"/>
          </w:tcPr>
          <w:p w14:paraId="2B13E84A" w14:textId="77777777" w:rsidR="00041A40" w:rsidRPr="00184C42" w:rsidRDefault="00041A40" w:rsidP="00041A40">
            <w:pPr>
              <w:spacing w:after="0"/>
              <w:rPr>
                <w:rFonts w:cs="Arial"/>
                <w:sz w:val="20"/>
                <w:szCs w:val="20"/>
              </w:rPr>
            </w:pPr>
            <w:r w:rsidRPr="00184C42">
              <w:rPr>
                <w:rFonts w:cs="Arial"/>
                <w:sz w:val="20"/>
                <w:szCs w:val="20"/>
              </w:rPr>
              <w:t>Kidney BEAM improved patient-</w:t>
            </w:r>
            <w:proofErr w:type="spellStart"/>
            <w:r w:rsidRPr="00184C42">
              <w:rPr>
                <w:rFonts w:cs="Arial"/>
                <w:sz w:val="20"/>
                <w:szCs w:val="20"/>
              </w:rPr>
              <w:t>centred</w:t>
            </w:r>
            <w:proofErr w:type="spellEnd"/>
            <w:r w:rsidRPr="00184C42">
              <w:rPr>
                <w:rFonts w:cs="Arial"/>
                <w:sz w:val="20"/>
                <w:szCs w:val="20"/>
              </w:rPr>
              <w:t xml:space="preserve"> outcomes and supported greater physical activity.</w:t>
            </w:r>
          </w:p>
        </w:tc>
        <w:tc>
          <w:tcPr>
            <w:tcW w:w="1883" w:type="dxa"/>
          </w:tcPr>
          <w:p w14:paraId="35C332A7" w14:textId="77777777" w:rsidR="00041A40" w:rsidRPr="00184C42" w:rsidRDefault="00041A40" w:rsidP="00041A40">
            <w:pPr>
              <w:spacing w:after="0"/>
              <w:rPr>
                <w:rFonts w:cs="Arial"/>
                <w:sz w:val="20"/>
                <w:szCs w:val="20"/>
              </w:rPr>
            </w:pPr>
            <w:r w:rsidRPr="00184C42">
              <w:rPr>
                <w:rFonts w:cs="Arial"/>
                <w:sz w:val="20"/>
                <w:szCs w:val="20"/>
              </w:rPr>
              <w:t>Limited participant blinding and intervention duration.</w:t>
            </w:r>
          </w:p>
        </w:tc>
        <w:tc>
          <w:tcPr>
            <w:tcW w:w="2085" w:type="dxa"/>
          </w:tcPr>
          <w:p w14:paraId="1C7B0D5B" w14:textId="77777777" w:rsidR="00041A40" w:rsidRPr="00184C42" w:rsidRDefault="00041A40" w:rsidP="00041A40">
            <w:pPr>
              <w:spacing w:after="0"/>
              <w:rPr>
                <w:rFonts w:cs="Arial"/>
                <w:sz w:val="20"/>
                <w:szCs w:val="20"/>
              </w:rPr>
            </w:pPr>
            <w:r w:rsidRPr="00184C42">
              <w:rPr>
                <w:rFonts w:cs="Arial"/>
                <w:sz w:val="20"/>
                <w:szCs w:val="20"/>
              </w:rPr>
              <w:t>Lifestyle, digital and patient-</w:t>
            </w:r>
            <w:proofErr w:type="spellStart"/>
            <w:r w:rsidRPr="00184C42">
              <w:rPr>
                <w:rFonts w:cs="Arial"/>
                <w:sz w:val="20"/>
                <w:szCs w:val="20"/>
              </w:rPr>
              <w:t>centred</w:t>
            </w:r>
            <w:proofErr w:type="spellEnd"/>
            <w:r w:rsidRPr="00184C42">
              <w:rPr>
                <w:rFonts w:cs="Arial"/>
                <w:sz w:val="20"/>
                <w:szCs w:val="20"/>
              </w:rPr>
              <w:t xml:space="preserve"> management</w:t>
            </w:r>
          </w:p>
        </w:tc>
      </w:tr>
      <w:tr w:rsidR="00041A40" w:rsidRPr="00184C42" w14:paraId="2C6C6A1C" w14:textId="77777777" w:rsidTr="00184C42">
        <w:trPr>
          <w:trHeight w:val="328"/>
        </w:trPr>
        <w:tc>
          <w:tcPr>
            <w:tcW w:w="1345" w:type="dxa"/>
          </w:tcPr>
          <w:p w14:paraId="48A37ECA" w14:textId="77777777" w:rsidR="00041A40" w:rsidRPr="00184C42" w:rsidRDefault="00041A40" w:rsidP="00041A40">
            <w:pPr>
              <w:spacing w:after="0"/>
              <w:rPr>
                <w:rFonts w:cs="Arial"/>
                <w:sz w:val="20"/>
                <w:szCs w:val="20"/>
              </w:rPr>
            </w:pPr>
            <w:r w:rsidRPr="00184C42">
              <w:rPr>
                <w:rFonts w:cs="Arial"/>
                <w:sz w:val="20"/>
                <w:szCs w:val="20"/>
              </w:rPr>
              <w:t>Heo et al. (2023)</w:t>
            </w:r>
          </w:p>
        </w:tc>
        <w:tc>
          <w:tcPr>
            <w:tcW w:w="1659" w:type="dxa"/>
          </w:tcPr>
          <w:p w14:paraId="4343E7D8"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1F2228DB" w14:textId="77777777" w:rsidR="00041A40" w:rsidRPr="00184C42" w:rsidRDefault="00041A40" w:rsidP="00041A40">
            <w:pPr>
              <w:spacing w:after="0"/>
              <w:rPr>
                <w:rFonts w:cs="Arial"/>
                <w:sz w:val="20"/>
                <w:szCs w:val="20"/>
              </w:rPr>
            </w:pPr>
            <w:r w:rsidRPr="00184C42">
              <w:rPr>
                <w:rFonts w:cs="Arial"/>
                <w:sz w:val="20"/>
                <w:szCs w:val="20"/>
              </w:rPr>
              <w:t>110,412 participants without CKD</w:t>
            </w:r>
          </w:p>
        </w:tc>
        <w:tc>
          <w:tcPr>
            <w:tcW w:w="2286" w:type="dxa"/>
          </w:tcPr>
          <w:p w14:paraId="7C8615CC" w14:textId="77777777" w:rsidR="00041A40" w:rsidRPr="00184C42" w:rsidRDefault="00041A40" w:rsidP="00041A40">
            <w:pPr>
              <w:spacing w:after="0"/>
              <w:rPr>
                <w:rFonts w:cs="Arial"/>
                <w:sz w:val="20"/>
                <w:szCs w:val="20"/>
              </w:rPr>
            </w:pPr>
            <w:r w:rsidRPr="00184C42">
              <w:rPr>
                <w:rFonts w:cs="Arial"/>
                <w:sz w:val="20"/>
                <w:szCs w:val="20"/>
              </w:rPr>
              <w:t xml:space="preserve">Dietary </w:t>
            </w:r>
            <w:proofErr w:type="spellStart"/>
            <w:r w:rsidRPr="00184C42">
              <w:rPr>
                <w:rFonts w:cs="Arial"/>
                <w:sz w:val="20"/>
                <w:szCs w:val="20"/>
              </w:rPr>
              <w:t>fibre</w:t>
            </w:r>
            <w:proofErr w:type="spellEnd"/>
            <w:r w:rsidRPr="00184C42">
              <w:rPr>
                <w:rFonts w:cs="Arial"/>
                <w:sz w:val="20"/>
                <w:szCs w:val="20"/>
              </w:rPr>
              <w:t xml:space="preserve"> assessment linked to incident CKD and clinical/lifestyle covariates</w:t>
            </w:r>
          </w:p>
        </w:tc>
        <w:tc>
          <w:tcPr>
            <w:tcW w:w="2331" w:type="dxa"/>
          </w:tcPr>
          <w:p w14:paraId="3EFF34D0" w14:textId="77777777" w:rsidR="00041A40" w:rsidRPr="00184C42" w:rsidRDefault="00041A40" w:rsidP="00041A40">
            <w:pPr>
              <w:spacing w:after="0"/>
              <w:rPr>
                <w:rFonts w:cs="Arial"/>
                <w:sz w:val="20"/>
                <w:szCs w:val="20"/>
              </w:rPr>
            </w:pPr>
            <w:r w:rsidRPr="00184C42">
              <w:rPr>
                <w:rFonts w:cs="Arial"/>
                <w:sz w:val="20"/>
                <w:szCs w:val="20"/>
              </w:rPr>
              <w:t xml:space="preserve">Higher </w:t>
            </w:r>
            <w:proofErr w:type="spellStart"/>
            <w:r w:rsidRPr="00184C42">
              <w:rPr>
                <w:rFonts w:cs="Arial"/>
                <w:sz w:val="20"/>
                <w:szCs w:val="20"/>
              </w:rPr>
              <w:t>fibre</w:t>
            </w:r>
            <w:proofErr w:type="spellEnd"/>
            <w:r w:rsidRPr="00184C42">
              <w:rPr>
                <w:rFonts w:cs="Arial"/>
                <w:sz w:val="20"/>
                <w:szCs w:val="20"/>
              </w:rPr>
              <w:t xml:space="preserve"> intake was associated with lower incident CKD risk.</w:t>
            </w:r>
          </w:p>
        </w:tc>
        <w:tc>
          <w:tcPr>
            <w:tcW w:w="1883" w:type="dxa"/>
          </w:tcPr>
          <w:p w14:paraId="5F99D339" w14:textId="77777777" w:rsidR="00041A40" w:rsidRPr="00184C42" w:rsidRDefault="00041A40" w:rsidP="00041A40">
            <w:pPr>
              <w:spacing w:after="0"/>
              <w:rPr>
                <w:rFonts w:cs="Arial"/>
                <w:sz w:val="20"/>
                <w:szCs w:val="20"/>
              </w:rPr>
            </w:pPr>
            <w:r w:rsidRPr="00184C42">
              <w:rPr>
                <w:rFonts w:cs="Arial"/>
                <w:sz w:val="20"/>
                <w:szCs w:val="20"/>
              </w:rPr>
              <w:t>Self-reported diet; healthy-volunteer selection; residual confounding.</w:t>
            </w:r>
          </w:p>
        </w:tc>
        <w:tc>
          <w:tcPr>
            <w:tcW w:w="2085" w:type="dxa"/>
          </w:tcPr>
          <w:p w14:paraId="2B490C5F" w14:textId="77777777" w:rsidR="00041A40" w:rsidRPr="00184C42" w:rsidRDefault="00041A40" w:rsidP="00041A40">
            <w:pPr>
              <w:spacing w:after="0"/>
              <w:rPr>
                <w:rFonts w:cs="Arial"/>
                <w:sz w:val="20"/>
                <w:szCs w:val="20"/>
              </w:rPr>
            </w:pPr>
            <w:r w:rsidRPr="00184C42">
              <w:rPr>
                <w:rFonts w:cs="Arial"/>
                <w:sz w:val="20"/>
                <w:szCs w:val="20"/>
              </w:rPr>
              <w:t>Lifestyle and dietary risk</w:t>
            </w:r>
          </w:p>
        </w:tc>
      </w:tr>
      <w:tr w:rsidR="00041A40" w:rsidRPr="00184C42" w14:paraId="1EA7E035" w14:textId="77777777" w:rsidTr="00184C42">
        <w:trPr>
          <w:trHeight w:val="328"/>
        </w:trPr>
        <w:tc>
          <w:tcPr>
            <w:tcW w:w="1345" w:type="dxa"/>
          </w:tcPr>
          <w:p w14:paraId="562F8698" w14:textId="77777777" w:rsidR="00041A40" w:rsidRPr="00184C42" w:rsidRDefault="00041A40" w:rsidP="00041A40">
            <w:pPr>
              <w:spacing w:after="0"/>
              <w:rPr>
                <w:rFonts w:cs="Arial"/>
                <w:sz w:val="20"/>
                <w:szCs w:val="20"/>
              </w:rPr>
            </w:pPr>
            <w:r w:rsidRPr="00184C42">
              <w:rPr>
                <w:rFonts w:cs="Arial"/>
                <w:sz w:val="20"/>
                <w:szCs w:val="20"/>
              </w:rPr>
              <w:t>Lan et al. (2023)</w:t>
            </w:r>
          </w:p>
        </w:tc>
        <w:tc>
          <w:tcPr>
            <w:tcW w:w="1659" w:type="dxa"/>
          </w:tcPr>
          <w:p w14:paraId="784B4790"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7B05510D" w14:textId="77777777" w:rsidR="00041A40" w:rsidRPr="00184C42" w:rsidRDefault="00041A40" w:rsidP="00041A40">
            <w:pPr>
              <w:spacing w:after="0"/>
              <w:rPr>
                <w:rFonts w:cs="Arial"/>
                <w:sz w:val="20"/>
                <w:szCs w:val="20"/>
              </w:rPr>
            </w:pPr>
            <w:r w:rsidRPr="00184C42">
              <w:rPr>
                <w:rFonts w:cs="Arial"/>
                <w:sz w:val="20"/>
                <w:szCs w:val="20"/>
              </w:rPr>
              <w:t>214,244 never-smokers without CKD</w:t>
            </w:r>
          </w:p>
        </w:tc>
        <w:tc>
          <w:tcPr>
            <w:tcW w:w="2286" w:type="dxa"/>
          </w:tcPr>
          <w:p w14:paraId="160355BD" w14:textId="77777777" w:rsidR="00041A40" w:rsidRPr="00184C42" w:rsidRDefault="00041A40" w:rsidP="00041A40">
            <w:pPr>
              <w:spacing w:after="0"/>
              <w:rPr>
                <w:rFonts w:cs="Arial"/>
                <w:sz w:val="20"/>
                <w:szCs w:val="20"/>
              </w:rPr>
            </w:pPr>
            <w:r w:rsidRPr="00184C42">
              <w:rPr>
                <w:rFonts w:cs="Arial"/>
                <w:sz w:val="20"/>
                <w:szCs w:val="20"/>
              </w:rPr>
              <w:t>Secondhand-smoke exposure, genetic-risk score and incident CKD follow-up</w:t>
            </w:r>
          </w:p>
        </w:tc>
        <w:tc>
          <w:tcPr>
            <w:tcW w:w="2331" w:type="dxa"/>
          </w:tcPr>
          <w:p w14:paraId="18FCEA6F" w14:textId="77777777" w:rsidR="00041A40" w:rsidRPr="00184C42" w:rsidRDefault="00041A40" w:rsidP="00041A40">
            <w:pPr>
              <w:spacing w:after="0"/>
              <w:rPr>
                <w:rFonts w:cs="Arial"/>
                <w:sz w:val="20"/>
                <w:szCs w:val="20"/>
              </w:rPr>
            </w:pPr>
            <w:r w:rsidRPr="00184C42">
              <w:rPr>
                <w:rFonts w:cs="Arial"/>
                <w:sz w:val="20"/>
                <w:szCs w:val="20"/>
              </w:rPr>
              <w:t>Greater secondhand-smoke exposure was associated with increased CKD risk.</w:t>
            </w:r>
          </w:p>
        </w:tc>
        <w:tc>
          <w:tcPr>
            <w:tcW w:w="1883" w:type="dxa"/>
          </w:tcPr>
          <w:p w14:paraId="39BA75B2" w14:textId="77777777" w:rsidR="00041A40" w:rsidRPr="00184C42" w:rsidRDefault="00041A40" w:rsidP="00041A40">
            <w:pPr>
              <w:spacing w:after="0"/>
              <w:rPr>
                <w:rFonts w:cs="Arial"/>
                <w:sz w:val="20"/>
                <w:szCs w:val="20"/>
              </w:rPr>
            </w:pPr>
            <w:r w:rsidRPr="00184C42">
              <w:rPr>
                <w:rFonts w:cs="Arial"/>
                <w:sz w:val="20"/>
                <w:szCs w:val="20"/>
              </w:rPr>
              <w:t>Self-reported exposure and observational causality limitations.</w:t>
            </w:r>
          </w:p>
        </w:tc>
        <w:tc>
          <w:tcPr>
            <w:tcW w:w="2085" w:type="dxa"/>
          </w:tcPr>
          <w:p w14:paraId="4142118B" w14:textId="77777777" w:rsidR="00041A40" w:rsidRPr="00184C42" w:rsidRDefault="00041A40" w:rsidP="00041A40">
            <w:pPr>
              <w:spacing w:after="0"/>
              <w:rPr>
                <w:rFonts w:cs="Arial"/>
                <w:sz w:val="20"/>
                <w:szCs w:val="20"/>
              </w:rPr>
            </w:pPr>
            <w:r w:rsidRPr="00184C42">
              <w:rPr>
                <w:rFonts w:cs="Arial"/>
                <w:sz w:val="20"/>
                <w:szCs w:val="20"/>
              </w:rPr>
              <w:t>Lifestyle, social and emerging risk</w:t>
            </w:r>
          </w:p>
        </w:tc>
      </w:tr>
      <w:tr w:rsidR="00041A40" w:rsidRPr="00184C42" w14:paraId="31289E5F" w14:textId="77777777" w:rsidTr="00184C42">
        <w:trPr>
          <w:trHeight w:val="477"/>
        </w:trPr>
        <w:tc>
          <w:tcPr>
            <w:tcW w:w="1345" w:type="dxa"/>
          </w:tcPr>
          <w:p w14:paraId="29511B82" w14:textId="77777777" w:rsidR="00041A40" w:rsidRPr="00184C42" w:rsidRDefault="00041A40" w:rsidP="00041A40">
            <w:pPr>
              <w:spacing w:after="0"/>
              <w:rPr>
                <w:rFonts w:cs="Arial"/>
                <w:sz w:val="20"/>
                <w:szCs w:val="20"/>
              </w:rPr>
            </w:pPr>
            <w:r w:rsidRPr="00184C42">
              <w:rPr>
                <w:rFonts w:cs="Arial"/>
                <w:sz w:val="20"/>
                <w:szCs w:val="20"/>
              </w:rPr>
              <w:t>Li et al. (2025)</w:t>
            </w:r>
          </w:p>
        </w:tc>
        <w:tc>
          <w:tcPr>
            <w:tcW w:w="1659" w:type="dxa"/>
          </w:tcPr>
          <w:p w14:paraId="2799244B"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39121176" w14:textId="77777777" w:rsidR="00041A40" w:rsidRPr="00184C42" w:rsidRDefault="00041A40" w:rsidP="00041A40">
            <w:pPr>
              <w:spacing w:after="0"/>
              <w:rPr>
                <w:rFonts w:cs="Arial"/>
                <w:sz w:val="20"/>
                <w:szCs w:val="20"/>
              </w:rPr>
            </w:pPr>
            <w:r w:rsidRPr="00184C42">
              <w:rPr>
                <w:rFonts w:cs="Arial"/>
                <w:sz w:val="20"/>
                <w:szCs w:val="20"/>
              </w:rPr>
              <w:t>441,893 participants without CKD</w:t>
            </w:r>
          </w:p>
        </w:tc>
        <w:tc>
          <w:tcPr>
            <w:tcW w:w="2286" w:type="dxa"/>
          </w:tcPr>
          <w:p w14:paraId="0534A8E6" w14:textId="77777777" w:rsidR="00041A40" w:rsidRPr="00184C42" w:rsidRDefault="00041A40" w:rsidP="00041A40">
            <w:pPr>
              <w:spacing w:after="0"/>
              <w:rPr>
                <w:rFonts w:cs="Arial"/>
                <w:sz w:val="20"/>
                <w:szCs w:val="20"/>
              </w:rPr>
            </w:pPr>
            <w:r w:rsidRPr="00184C42">
              <w:rPr>
                <w:rFonts w:cs="Arial"/>
                <w:sz w:val="20"/>
                <w:szCs w:val="20"/>
              </w:rPr>
              <w:t>Psychiatric diagnoses, kidney outcomes and socioeconomic/lifestyle covariates; Cox regression</w:t>
            </w:r>
          </w:p>
        </w:tc>
        <w:tc>
          <w:tcPr>
            <w:tcW w:w="2331" w:type="dxa"/>
          </w:tcPr>
          <w:p w14:paraId="5040288A" w14:textId="77777777" w:rsidR="00041A40" w:rsidRPr="00184C42" w:rsidRDefault="00041A40" w:rsidP="00041A40">
            <w:pPr>
              <w:spacing w:after="0"/>
              <w:rPr>
                <w:rFonts w:cs="Arial"/>
                <w:sz w:val="20"/>
                <w:szCs w:val="20"/>
              </w:rPr>
            </w:pPr>
            <w:r w:rsidRPr="00184C42">
              <w:rPr>
                <w:rFonts w:cs="Arial"/>
                <w:sz w:val="20"/>
                <w:szCs w:val="20"/>
              </w:rPr>
              <w:t>Psychiatric disorders were associated with increased subsequent CKD risk.</w:t>
            </w:r>
          </w:p>
        </w:tc>
        <w:tc>
          <w:tcPr>
            <w:tcW w:w="1883" w:type="dxa"/>
          </w:tcPr>
          <w:p w14:paraId="48601DAF" w14:textId="77777777" w:rsidR="00041A40" w:rsidRPr="00184C42" w:rsidRDefault="00041A40" w:rsidP="00041A40">
            <w:pPr>
              <w:spacing w:after="0"/>
              <w:rPr>
                <w:rFonts w:cs="Arial"/>
                <w:sz w:val="20"/>
                <w:szCs w:val="20"/>
              </w:rPr>
            </w:pPr>
            <w:r w:rsidRPr="00184C42">
              <w:rPr>
                <w:rFonts w:cs="Arial"/>
                <w:sz w:val="20"/>
                <w:szCs w:val="20"/>
              </w:rPr>
              <w:t>Linked-diagnosis limitations and UK Biobank selection.</w:t>
            </w:r>
          </w:p>
        </w:tc>
        <w:tc>
          <w:tcPr>
            <w:tcW w:w="2085" w:type="dxa"/>
          </w:tcPr>
          <w:p w14:paraId="2A5F9D77" w14:textId="77777777" w:rsidR="00041A40" w:rsidRPr="00184C42" w:rsidRDefault="00041A40" w:rsidP="00041A40">
            <w:pPr>
              <w:spacing w:after="0"/>
              <w:rPr>
                <w:rFonts w:cs="Arial"/>
                <w:sz w:val="20"/>
                <w:szCs w:val="20"/>
              </w:rPr>
            </w:pPr>
            <w:r w:rsidRPr="00184C42">
              <w:rPr>
                <w:rFonts w:cs="Arial"/>
                <w:sz w:val="20"/>
                <w:szCs w:val="20"/>
              </w:rPr>
              <w:t>Psychosocial and emerging risk</w:t>
            </w:r>
          </w:p>
        </w:tc>
      </w:tr>
      <w:tr w:rsidR="00041A40" w:rsidRPr="00184C42" w14:paraId="2FBA040E" w14:textId="77777777" w:rsidTr="00184C42">
        <w:trPr>
          <w:trHeight w:val="492"/>
        </w:trPr>
        <w:tc>
          <w:tcPr>
            <w:tcW w:w="1345" w:type="dxa"/>
          </w:tcPr>
          <w:p w14:paraId="7E506891" w14:textId="77777777" w:rsidR="00041A40" w:rsidRPr="00184C42" w:rsidRDefault="00041A40" w:rsidP="00041A40">
            <w:pPr>
              <w:spacing w:after="0"/>
              <w:rPr>
                <w:rFonts w:cs="Arial"/>
                <w:sz w:val="20"/>
                <w:szCs w:val="20"/>
              </w:rPr>
            </w:pPr>
            <w:r w:rsidRPr="00184C42">
              <w:rPr>
                <w:rFonts w:cs="Arial"/>
                <w:sz w:val="20"/>
                <w:szCs w:val="20"/>
              </w:rPr>
              <w:t>Lightfoot et al. (2025)</w:t>
            </w:r>
          </w:p>
        </w:tc>
        <w:tc>
          <w:tcPr>
            <w:tcW w:w="1659" w:type="dxa"/>
          </w:tcPr>
          <w:p w14:paraId="6DC87C82" w14:textId="77777777" w:rsidR="00041A40" w:rsidRPr="00184C42" w:rsidRDefault="00041A40" w:rsidP="00041A40">
            <w:pPr>
              <w:spacing w:after="0"/>
              <w:rPr>
                <w:rFonts w:cs="Arial"/>
                <w:sz w:val="20"/>
                <w:szCs w:val="20"/>
              </w:rPr>
            </w:pPr>
            <w:r w:rsidRPr="00184C42">
              <w:rPr>
                <w:rFonts w:cs="Arial"/>
                <w:sz w:val="20"/>
                <w:szCs w:val="20"/>
              </w:rPr>
              <w:t>Leicester; qualitative interviews</w:t>
            </w:r>
          </w:p>
        </w:tc>
        <w:tc>
          <w:tcPr>
            <w:tcW w:w="1659" w:type="dxa"/>
          </w:tcPr>
          <w:p w14:paraId="3F5D6E8E" w14:textId="77777777" w:rsidR="00041A40" w:rsidRPr="00184C42" w:rsidRDefault="00041A40" w:rsidP="00041A40">
            <w:pPr>
              <w:spacing w:after="0"/>
              <w:rPr>
                <w:rFonts w:cs="Arial"/>
                <w:sz w:val="20"/>
                <w:szCs w:val="20"/>
              </w:rPr>
            </w:pPr>
            <w:r w:rsidRPr="00184C42">
              <w:rPr>
                <w:rFonts w:cs="Arial"/>
                <w:sz w:val="20"/>
                <w:szCs w:val="20"/>
              </w:rPr>
              <w:t>22 adults aged 48–88 with non-dialysis CKD</w:t>
            </w:r>
          </w:p>
        </w:tc>
        <w:tc>
          <w:tcPr>
            <w:tcW w:w="2286" w:type="dxa"/>
          </w:tcPr>
          <w:p w14:paraId="7E6703A4" w14:textId="77777777" w:rsidR="00041A40" w:rsidRPr="00184C42" w:rsidRDefault="00041A40" w:rsidP="00041A40">
            <w:pPr>
              <w:spacing w:after="0"/>
              <w:rPr>
                <w:rFonts w:cs="Arial"/>
                <w:sz w:val="20"/>
                <w:szCs w:val="20"/>
              </w:rPr>
            </w:pPr>
            <w:r w:rsidRPr="00184C42">
              <w:rPr>
                <w:rFonts w:cs="Arial"/>
                <w:sz w:val="20"/>
                <w:szCs w:val="20"/>
              </w:rPr>
              <w:t>Semi-structured interviews, transcription and thematic analysis</w:t>
            </w:r>
          </w:p>
        </w:tc>
        <w:tc>
          <w:tcPr>
            <w:tcW w:w="2331" w:type="dxa"/>
          </w:tcPr>
          <w:p w14:paraId="5103A469" w14:textId="77777777" w:rsidR="00041A40" w:rsidRPr="00184C42" w:rsidRDefault="00041A40" w:rsidP="00041A40">
            <w:pPr>
              <w:spacing w:after="0"/>
              <w:rPr>
                <w:rFonts w:cs="Arial"/>
                <w:sz w:val="20"/>
                <w:szCs w:val="20"/>
              </w:rPr>
            </w:pPr>
            <w:r w:rsidRPr="00184C42">
              <w:rPr>
                <w:rFonts w:cs="Arial"/>
                <w:sz w:val="20"/>
                <w:szCs w:val="20"/>
              </w:rPr>
              <w:t>Knowledge, confidence, symptoms, competing priorities and professional support shaped self-management.</w:t>
            </w:r>
          </w:p>
        </w:tc>
        <w:tc>
          <w:tcPr>
            <w:tcW w:w="1883" w:type="dxa"/>
          </w:tcPr>
          <w:p w14:paraId="13C73779" w14:textId="77777777" w:rsidR="00041A40" w:rsidRPr="00184C42" w:rsidRDefault="00041A40" w:rsidP="00041A40">
            <w:pPr>
              <w:spacing w:after="0"/>
              <w:rPr>
                <w:rFonts w:cs="Arial"/>
                <w:sz w:val="20"/>
                <w:szCs w:val="20"/>
              </w:rPr>
            </w:pPr>
            <w:r w:rsidRPr="00184C42">
              <w:rPr>
                <w:rFonts w:cs="Arial"/>
                <w:sz w:val="20"/>
                <w:szCs w:val="20"/>
              </w:rPr>
              <w:t>Small geographically limited sample.</w:t>
            </w:r>
          </w:p>
        </w:tc>
        <w:tc>
          <w:tcPr>
            <w:tcW w:w="2085" w:type="dxa"/>
          </w:tcPr>
          <w:p w14:paraId="5CA7E2F0" w14:textId="77777777" w:rsidR="00041A40" w:rsidRPr="00184C42" w:rsidRDefault="00041A40" w:rsidP="00041A40">
            <w:pPr>
              <w:spacing w:after="0"/>
              <w:rPr>
                <w:rFonts w:cs="Arial"/>
                <w:sz w:val="20"/>
                <w:szCs w:val="20"/>
              </w:rPr>
            </w:pPr>
            <w:r w:rsidRPr="00184C42">
              <w:rPr>
                <w:rFonts w:cs="Arial"/>
                <w:sz w:val="20"/>
                <w:szCs w:val="20"/>
              </w:rPr>
              <w:t>Lifestyle, digital and patient-</w:t>
            </w:r>
            <w:proofErr w:type="spellStart"/>
            <w:r w:rsidRPr="00184C42">
              <w:rPr>
                <w:rFonts w:cs="Arial"/>
                <w:sz w:val="20"/>
                <w:szCs w:val="20"/>
              </w:rPr>
              <w:t>centred</w:t>
            </w:r>
            <w:proofErr w:type="spellEnd"/>
            <w:r w:rsidRPr="00184C42">
              <w:rPr>
                <w:rFonts w:cs="Arial"/>
                <w:sz w:val="20"/>
                <w:szCs w:val="20"/>
              </w:rPr>
              <w:t xml:space="preserve"> management</w:t>
            </w:r>
          </w:p>
        </w:tc>
      </w:tr>
      <w:tr w:rsidR="00041A40" w:rsidRPr="00184C42" w14:paraId="3529FB0A" w14:textId="77777777" w:rsidTr="00184C42">
        <w:trPr>
          <w:trHeight w:val="328"/>
        </w:trPr>
        <w:tc>
          <w:tcPr>
            <w:tcW w:w="1345" w:type="dxa"/>
          </w:tcPr>
          <w:p w14:paraId="0E3A5206" w14:textId="77777777" w:rsidR="00041A40" w:rsidRPr="00184C42" w:rsidRDefault="00041A40" w:rsidP="00041A40">
            <w:pPr>
              <w:spacing w:after="0"/>
              <w:rPr>
                <w:rFonts w:cs="Arial"/>
                <w:sz w:val="20"/>
                <w:szCs w:val="20"/>
              </w:rPr>
            </w:pPr>
            <w:r w:rsidRPr="00184C42">
              <w:rPr>
                <w:rFonts w:cs="Arial"/>
                <w:sz w:val="20"/>
                <w:szCs w:val="20"/>
              </w:rPr>
              <w:t>Maroto-Rodriguez et al. (2025)</w:t>
            </w:r>
          </w:p>
        </w:tc>
        <w:tc>
          <w:tcPr>
            <w:tcW w:w="1659" w:type="dxa"/>
          </w:tcPr>
          <w:p w14:paraId="6E6967D9"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5CC1EE76" w14:textId="77777777" w:rsidR="00041A40" w:rsidRPr="00184C42" w:rsidRDefault="00041A40" w:rsidP="00041A40">
            <w:pPr>
              <w:spacing w:after="0"/>
              <w:rPr>
                <w:rFonts w:cs="Arial"/>
                <w:sz w:val="20"/>
                <w:szCs w:val="20"/>
              </w:rPr>
            </w:pPr>
            <w:r w:rsidRPr="00184C42">
              <w:rPr>
                <w:rFonts w:cs="Arial"/>
                <w:sz w:val="20"/>
                <w:szCs w:val="20"/>
              </w:rPr>
              <w:t>106,870 CKD-free participants</w:t>
            </w:r>
          </w:p>
        </w:tc>
        <w:tc>
          <w:tcPr>
            <w:tcW w:w="2286" w:type="dxa"/>
          </w:tcPr>
          <w:p w14:paraId="16E5FDCF" w14:textId="77777777" w:rsidR="00041A40" w:rsidRPr="00184C42" w:rsidRDefault="00041A40" w:rsidP="00041A40">
            <w:pPr>
              <w:spacing w:after="0"/>
              <w:rPr>
                <w:rFonts w:cs="Arial"/>
                <w:sz w:val="20"/>
                <w:szCs w:val="20"/>
              </w:rPr>
            </w:pPr>
            <w:r w:rsidRPr="00184C42">
              <w:rPr>
                <w:rFonts w:cs="Arial"/>
                <w:sz w:val="20"/>
                <w:szCs w:val="20"/>
              </w:rPr>
              <w:t>Repeated 24-hour dietary assessments; six diet-quality indices linked to incident CKD</w:t>
            </w:r>
          </w:p>
        </w:tc>
        <w:tc>
          <w:tcPr>
            <w:tcW w:w="2331" w:type="dxa"/>
          </w:tcPr>
          <w:p w14:paraId="1046B8FB" w14:textId="77777777" w:rsidR="00041A40" w:rsidRPr="00184C42" w:rsidRDefault="00041A40" w:rsidP="00041A40">
            <w:pPr>
              <w:spacing w:after="0"/>
              <w:rPr>
                <w:rFonts w:cs="Arial"/>
                <w:sz w:val="20"/>
                <w:szCs w:val="20"/>
              </w:rPr>
            </w:pPr>
            <w:r w:rsidRPr="00184C42">
              <w:rPr>
                <w:rFonts w:cs="Arial"/>
                <w:sz w:val="20"/>
                <w:szCs w:val="20"/>
              </w:rPr>
              <w:t>Healthier dietary patterns were associated with lower CKD incidence.</w:t>
            </w:r>
          </w:p>
        </w:tc>
        <w:tc>
          <w:tcPr>
            <w:tcW w:w="1883" w:type="dxa"/>
          </w:tcPr>
          <w:p w14:paraId="0433334E" w14:textId="77777777" w:rsidR="00041A40" w:rsidRPr="00184C42" w:rsidRDefault="00041A40" w:rsidP="00041A40">
            <w:pPr>
              <w:spacing w:after="0"/>
              <w:rPr>
                <w:rFonts w:cs="Arial"/>
                <w:sz w:val="20"/>
                <w:szCs w:val="20"/>
              </w:rPr>
            </w:pPr>
            <w:r w:rsidRPr="00184C42">
              <w:rPr>
                <w:rFonts w:cs="Arial"/>
                <w:sz w:val="20"/>
                <w:szCs w:val="20"/>
              </w:rPr>
              <w:t>Self-reported dietary data and observational design.</w:t>
            </w:r>
          </w:p>
        </w:tc>
        <w:tc>
          <w:tcPr>
            <w:tcW w:w="2085" w:type="dxa"/>
          </w:tcPr>
          <w:p w14:paraId="3B43DAB4" w14:textId="77777777" w:rsidR="00041A40" w:rsidRPr="00184C42" w:rsidRDefault="00041A40" w:rsidP="00041A40">
            <w:pPr>
              <w:spacing w:after="0"/>
              <w:rPr>
                <w:rFonts w:cs="Arial"/>
                <w:sz w:val="20"/>
                <w:szCs w:val="20"/>
              </w:rPr>
            </w:pPr>
            <w:r w:rsidRPr="00184C42">
              <w:rPr>
                <w:rFonts w:cs="Arial"/>
                <w:sz w:val="20"/>
                <w:szCs w:val="20"/>
              </w:rPr>
              <w:t>Lifestyle and dietary risk</w:t>
            </w:r>
          </w:p>
        </w:tc>
      </w:tr>
      <w:tr w:rsidR="00041A40" w:rsidRPr="00184C42" w14:paraId="570AC206" w14:textId="77777777" w:rsidTr="00184C42">
        <w:trPr>
          <w:trHeight w:val="477"/>
        </w:trPr>
        <w:tc>
          <w:tcPr>
            <w:tcW w:w="1345" w:type="dxa"/>
          </w:tcPr>
          <w:p w14:paraId="26908BB2" w14:textId="77777777" w:rsidR="00041A40" w:rsidRPr="00184C42" w:rsidRDefault="00041A40" w:rsidP="00041A40">
            <w:pPr>
              <w:spacing w:after="0"/>
              <w:rPr>
                <w:rFonts w:cs="Arial"/>
                <w:sz w:val="20"/>
                <w:szCs w:val="20"/>
              </w:rPr>
            </w:pPr>
            <w:r w:rsidRPr="00184C42">
              <w:rPr>
                <w:rFonts w:cs="Arial"/>
                <w:sz w:val="20"/>
                <w:szCs w:val="20"/>
              </w:rPr>
              <w:t>Rizvi et al. (2024)</w:t>
            </w:r>
          </w:p>
        </w:tc>
        <w:tc>
          <w:tcPr>
            <w:tcW w:w="1659" w:type="dxa"/>
          </w:tcPr>
          <w:p w14:paraId="124BF612" w14:textId="77777777" w:rsidR="00041A40" w:rsidRPr="00184C42" w:rsidRDefault="00041A40" w:rsidP="00041A40">
            <w:pPr>
              <w:spacing w:after="0"/>
              <w:rPr>
                <w:rFonts w:cs="Arial"/>
                <w:sz w:val="20"/>
                <w:szCs w:val="20"/>
              </w:rPr>
            </w:pPr>
            <w:r w:rsidRPr="00184C42">
              <w:rPr>
                <w:rFonts w:cs="Arial"/>
                <w:sz w:val="20"/>
                <w:szCs w:val="20"/>
              </w:rPr>
              <w:t>Leicester primary care; quality-improvement evaluation</w:t>
            </w:r>
          </w:p>
        </w:tc>
        <w:tc>
          <w:tcPr>
            <w:tcW w:w="1659" w:type="dxa"/>
          </w:tcPr>
          <w:p w14:paraId="072BD22E" w14:textId="77777777" w:rsidR="00041A40" w:rsidRPr="00184C42" w:rsidRDefault="00041A40" w:rsidP="00041A40">
            <w:pPr>
              <w:spacing w:after="0"/>
              <w:rPr>
                <w:rFonts w:cs="Arial"/>
                <w:sz w:val="20"/>
                <w:szCs w:val="20"/>
              </w:rPr>
            </w:pPr>
            <w:r w:rsidRPr="00184C42">
              <w:rPr>
                <w:rFonts w:cs="Arial"/>
                <w:sz w:val="20"/>
                <w:szCs w:val="20"/>
              </w:rPr>
              <w:t>526 patients with CKD, diabetes and/or heart failure</w:t>
            </w:r>
          </w:p>
        </w:tc>
        <w:tc>
          <w:tcPr>
            <w:tcW w:w="2286" w:type="dxa"/>
          </w:tcPr>
          <w:p w14:paraId="372AE6AF" w14:textId="77777777" w:rsidR="00041A40" w:rsidRPr="00184C42" w:rsidRDefault="00041A40" w:rsidP="00041A40">
            <w:pPr>
              <w:spacing w:after="0"/>
              <w:rPr>
                <w:rFonts w:cs="Arial"/>
                <w:sz w:val="20"/>
                <w:szCs w:val="20"/>
              </w:rPr>
            </w:pPr>
            <w:r w:rsidRPr="00184C42">
              <w:rPr>
                <w:rFonts w:cs="Arial"/>
                <w:sz w:val="20"/>
                <w:szCs w:val="20"/>
              </w:rPr>
              <w:t xml:space="preserve">Nephrology/pharmacist-supported review, MDT discussion, medicines </w:t>
            </w:r>
            <w:proofErr w:type="spellStart"/>
            <w:r w:rsidRPr="00184C42">
              <w:rPr>
                <w:rFonts w:cs="Arial"/>
                <w:sz w:val="20"/>
                <w:szCs w:val="20"/>
              </w:rPr>
              <w:t>optimisation</w:t>
            </w:r>
            <w:proofErr w:type="spellEnd"/>
            <w:r w:rsidRPr="00184C42">
              <w:rPr>
                <w:rFonts w:cs="Arial"/>
                <w:sz w:val="20"/>
                <w:szCs w:val="20"/>
              </w:rPr>
              <w:t xml:space="preserve"> and referral records</w:t>
            </w:r>
          </w:p>
        </w:tc>
        <w:tc>
          <w:tcPr>
            <w:tcW w:w="2331" w:type="dxa"/>
          </w:tcPr>
          <w:p w14:paraId="03E0955B" w14:textId="77777777" w:rsidR="00041A40" w:rsidRPr="00184C42" w:rsidRDefault="00041A40" w:rsidP="00041A40">
            <w:pPr>
              <w:spacing w:after="0"/>
              <w:rPr>
                <w:rFonts w:cs="Arial"/>
                <w:sz w:val="20"/>
                <w:szCs w:val="20"/>
              </w:rPr>
            </w:pPr>
            <w:r w:rsidRPr="00184C42">
              <w:rPr>
                <w:rFonts w:cs="Arial"/>
                <w:sz w:val="20"/>
                <w:szCs w:val="20"/>
              </w:rPr>
              <w:t xml:space="preserve">Specialist-supported primary care facilitated guideline-based </w:t>
            </w:r>
            <w:proofErr w:type="spellStart"/>
            <w:r w:rsidRPr="00184C42">
              <w:rPr>
                <w:rFonts w:cs="Arial"/>
                <w:sz w:val="20"/>
                <w:szCs w:val="20"/>
              </w:rPr>
              <w:t>optimisation</w:t>
            </w:r>
            <w:proofErr w:type="spellEnd"/>
            <w:r w:rsidRPr="00184C42">
              <w:rPr>
                <w:rFonts w:cs="Arial"/>
                <w:sz w:val="20"/>
                <w:szCs w:val="20"/>
              </w:rPr>
              <w:t xml:space="preserve"> and referral.</w:t>
            </w:r>
          </w:p>
        </w:tc>
        <w:tc>
          <w:tcPr>
            <w:tcW w:w="1883" w:type="dxa"/>
          </w:tcPr>
          <w:p w14:paraId="59CE6600" w14:textId="77777777" w:rsidR="00041A40" w:rsidRPr="00184C42" w:rsidRDefault="00041A40" w:rsidP="00041A40">
            <w:pPr>
              <w:spacing w:after="0"/>
              <w:rPr>
                <w:rFonts w:cs="Arial"/>
                <w:sz w:val="20"/>
                <w:szCs w:val="20"/>
              </w:rPr>
            </w:pPr>
            <w:r w:rsidRPr="00184C42">
              <w:rPr>
                <w:rFonts w:cs="Arial"/>
                <w:sz w:val="20"/>
                <w:szCs w:val="20"/>
              </w:rPr>
              <w:t xml:space="preserve">Local </w:t>
            </w:r>
            <w:proofErr w:type="spellStart"/>
            <w:r w:rsidRPr="00184C42">
              <w:rPr>
                <w:rFonts w:cs="Arial"/>
                <w:sz w:val="20"/>
                <w:szCs w:val="20"/>
              </w:rPr>
              <w:t>programme</w:t>
            </w:r>
            <w:proofErr w:type="spellEnd"/>
            <w:r w:rsidRPr="00184C42">
              <w:rPr>
                <w:rFonts w:cs="Arial"/>
                <w:sz w:val="20"/>
                <w:szCs w:val="20"/>
              </w:rPr>
              <w:t>; no comparator; implementation selection bias.</w:t>
            </w:r>
          </w:p>
        </w:tc>
        <w:tc>
          <w:tcPr>
            <w:tcW w:w="2085" w:type="dxa"/>
          </w:tcPr>
          <w:p w14:paraId="5E2BF2B4" w14:textId="77777777" w:rsidR="00041A40" w:rsidRPr="00184C42" w:rsidRDefault="00041A40" w:rsidP="00041A40">
            <w:pPr>
              <w:spacing w:after="0"/>
              <w:rPr>
                <w:rFonts w:cs="Arial"/>
                <w:sz w:val="20"/>
                <w:szCs w:val="20"/>
              </w:rPr>
            </w:pPr>
            <w:r w:rsidRPr="00184C42">
              <w:rPr>
                <w:rFonts w:cs="Arial"/>
                <w:sz w:val="20"/>
                <w:szCs w:val="20"/>
              </w:rPr>
              <w:t>Integrated care and pharmacological management</w:t>
            </w:r>
          </w:p>
        </w:tc>
      </w:tr>
      <w:tr w:rsidR="00041A40" w:rsidRPr="00184C42" w14:paraId="23FC99BC" w14:textId="77777777" w:rsidTr="00184C42">
        <w:trPr>
          <w:trHeight w:val="492"/>
        </w:trPr>
        <w:tc>
          <w:tcPr>
            <w:tcW w:w="1345" w:type="dxa"/>
          </w:tcPr>
          <w:p w14:paraId="52C249D4" w14:textId="77777777" w:rsidR="00041A40" w:rsidRPr="00184C42" w:rsidRDefault="00041A40" w:rsidP="00041A40">
            <w:pPr>
              <w:spacing w:after="0"/>
              <w:rPr>
                <w:rFonts w:cs="Arial"/>
                <w:sz w:val="20"/>
                <w:szCs w:val="20"/>
              </w:rPr>
            </w:pPr>
            <w:r w:rsidRPr="00184C42">
              <w:rPr>
                <w:rFonts w:cs="Arial"/>
                <w:sz w:val="20"/>
                <w:szCs w:val="20"/>
              </w:rPr>
              <w:t>Sullivan et al. (2023)</w:t>
            </w:r>
          </w:p>
        </w:tc>
        <w:tc>
          <w:tcPr>
            <w:tcW w:w="1659" w:type="dxa"/>
          </w:tcPr>
          <w:p w14:paraId="02972834" w14:textId="77777777" w:rsidR="00041A40" w:rsidRPr="00184C42" w:rsidRDefault="00041A40" w:rsidP="00041A40">
            <w:pPr>
              <w:spacing w:after="0"/>
              <w:rPr>
                <w:rFonts w:cs="Arial"/>
                <w:sz w:val="20"/>
                <w:szCs w:val="20"/>
              </w:rPr>
            </w:pPr>
            <w:r w:rsidRPr="00184C42">
              <w:rPr>
                <w:rFonts w:cs="Arial"/>
                <w:sz w:val="20"/>
                <w:szCs w:val="20"/>
              </w:rPr>
              <w:t>Wales SAIL plus UK Biobank; database/cohort analysis</w:t>
            </w:r>
          </w:p>
        </w:tc>
        <w:tc>
          <w:tcPr>
            <w:tcW w:w="1659" w:type="dxa"/>
          </w:tcPr>
          <w:p w14:paraId="7BEE12BA" w14:textId="77777777" w:rsidR="00041A40" w:rsidRPr="00184C42" w:rsidRDefault="00041A40" w:rsidP="00041A40">
            <w:pPr>
              <w:spacing w:after="0"/>
              <w:rPr>
                <w:rFonts w:cs="Arial"/>
                <w:sz w:val="20"/>
                <w:szCs w:val="20"/>
              </w:rPr>
            </w:pPr>
            <w:r w:rsidRPr="00184C42">
              <w:rPr>
                <w:rFonts w:cs="Arial"/>
                <w:sz w:val="20"/>
                <w:szCs w:val="20"/>
              </w:rPr>
              <w:t>61,721 people with eGFR 30–59 in SAIL plus complementary UK Biobank analysis</w:t>
            </w:r>
          </w:p>
        </w:tc>
        <w:tc>
          <w:tcPr>
            <w:tcW w:w="2286" w:type="dxa"/>
          </w:tcPr>
          <w:p w14:paraId="7751607B" w14:textId="77777777" w:rsidR="00041A40" w:rsidRPr="00184C42" w:rsidRDefault="00041A40" w:rsidP="00041A40">
            <w:pPr>
              <w:spacing w:after="0"/>
              <w:rPr>
                <w:rFonts w:cs="Arial"/>
                <w:sz w:val="20"/>
                <w:szCs w:val="20"/>
              </w:rPr>
            </w:pPr>
            <w:r w:rsidRPr="00184C42">
              <w:rPr>
                <w:rFonts w:cs="Arial"/>
                <w:sz w:val="20"/>
                <w:szCs w:val="20"/>
              </w:rPr>
              <w:t>eGFR, albuminuria, KFRE calculation and ethnicity-stratified referral analyses</w:t>
            </w:r>
          </w:p>
        </w:tc>
        <w:tc>
          <w:tcPr>
            <w:tcW w:w="2331" w:type="dxa"/>
          </w:tcPr>
          <w:p w14:paraId="07EF49A5" w14:textId="77777777" w:rsidR="00041A40" w:rsidRPr="00184C42" w:rsidRDefault="00041A40" w:rsidP="00041A40">
            <w:pPr>
              <w:spacing w:after="0"/>
              <w:rPr>
                <w:rFonts w:cs="Arial"/>
                <w:sz w:val="20"/>
                <w:szCs w:val="20"/>
              </w:rPr>
            </w:pPr>
            <w:r w:rsidRPr="00184C42">
              <w:rPr>
                <w:rFonts w:cs="Arial"/>
                <w:sz w:val="20"/>
                <w:szCs w:val="20"/>
              </w:rPr>
              <w:t>Updated NICE KFRE and eGFR criteria changed potential referral eligibility.</w:t>
            </w:r>
          </w:p>
        </w:tc>
        <w:tc>
          <w:tcPr>
            <w:tcW w:w="1883" w:type="dxa"/>
          </w:tcPr>
          <w:p w14:paraId="01E8F545" w14:textId="77777777" w:rsidR="00041A40" w:rsidRPr="00184C42" w:rsidRDefault="00041A40" w:rsidP="00041A40">
            <w:pPr>
              <w:spacing w:after="0"/>
              <w:rPr>
                <w:rFonts w:cs="Arial"/>
                <w:sz w:val="20"/>
                <w:szCs w:val="20"/>
              </w:rPr>
            </w:pPr>
            <w:r w:rsidRPr="00184C42">
              <w:rPr>
                <w:rFonts w:cs="Arial"/>
                <w:sz w:val="20"/>
                <w:szCs w:val="20"/>
              </w:rPr>
              <w:t>Modelled referral impact; actual downstream outcomes not established.</w:t>
            </w:r>
          </w:p>
        </w:tc>
        <w:tc>
          <w:tcPr>
            <w:tcW w:w="2085" w:type="dxa"/>
          </w:tcPr>
          <w:p w14:paraId="6115FFA0" w14:textId="77777777" w:rsidR="00041A40" w:rsidRPr="00184C42" w:rsidRDefault="00041A40" w:rsidP="00041A40">
            <w:pPr>
              <w:spacing w:after="0"/>
              <w:rPr>
                <w:rFonts w:cs="Arial"/>
                <w:sz w:val="20"/>
                <w:szCs w:val="20"/>
              </w:rPr>
            </w:pPr>
            <w:r w:rsidRPr="00184C42">
              <w:rPr>
                <w:rFonts w:cs="Arial"/>
                <w:sz w:val="20"/>
                <w:szCs w:val="20"/>
              </w:rPr>
              <w:t>Diagnosis, screening and risk stratification</w:t>
            </w:r>
          </w:p>
        </w:tc>
      </w:tr>
      <w:tr w:rsidR="00041A40" w:rsidRPr="00184C42" w14:paraId="0BDEB6B9" w14:textId="77777777" w:rsidTr="00184C42">
        <w:trPr>
          <w:trHeight w:val="477"/>
        </w:trPr>
        <w:tc>
          <w:tcPr>
            <w:tcW w:w="1345" w:type="dxa"/>
          </w:tcPr>
          <w:p w14:paraId="2CA28E66" w14:textId="77777777" w:rsidR="00041A40" w:rsidRPr="00184C42" w:rsidRDefault="00041A40" w:rsidP="00041A40">
            <w:pPr>
              <w:spacing w:after="0"/>
              <w:rPr>
                <w:rFonts w:cs="Arial"/>
                <w:sz w:val="20"/>
                <w:szCs w:val="20"/>
              </w:rPr>
            </w:pPr>
            <w:r w:rsidRPr="00184C42">
              <w:rPr>
                <w:rFonts w:cs="Arial"/>
                <w:sz w:val="20"/>
                <w:szCs w:val="20"/>
              </w:rPr>
              <w:t>Tang et al. (2024a)</w:t>
            </w:r>
          </w:p>
        </w:tc>
        <w:tc>
          <w:tcPr>
            <w:tcW w:w="1659" w:type="dxa"/>
          </w:tcPr>
          <w:p w14:paraId="733DB55F" w14:textId="77777777" w:rsidR="00041A40" w:rsidRPr="00184C42" w:rsidRDefault="00041A40" w:rsidP="00041A40">
            <w:pPr>
              <w:spacing w:after="0"/>
              <w:rPr>
                <w:rFonts w:cs="Arial"/>
                <w:sz w:val="20"/>
                <w:szCs w:val="20"/>
              </w:rPr>
            </w:pPr>
            <w:r w:rsidRPr="00184C42">
              <w:rPr>
                <w:rFonts w:cs="Arial"/>
                <w:sz w:val="20"/>
                <w:szCs w:val="20"/>
              </w:rPr>
              <w:t>UK Biobank; prospective matched cohort</w:t>
            </w:r>
          </w:p>
        </w:tc>
        <w:tc>
          <w:tcPr>
            <w:tcW w:w="1659" w:type="dxa"/>
          </w:tcPr>
          <w:p w14:paraId="2163E0F2" w14:textId="77777777" w:rsidR="00041A40" w:rsidRPr="00184C42" w:rsidRDefault="00041A40" w:rsidP="00041A40">
            <w:pPr>
              <w:spacing w:after="0"/>
              <w:rPr>
                <w:rFonts w:cs="Arial"/>
                <w:sz w:val="20"/>
                <w:szCs w:val="20"/>
              </w:rPr>
            </w:pPr>
            <w:r w:rsidRPr="00184C42">
              <w:rPr>
                <w:rFonts w:cs="Arial"/>
                <w:sz w:val="20"/>
                <w:szCs w:val="20"/>
              </w:rPr>
              <w:t>97,538 adults with obesity matched with 97,538 controls</w:t>
            </w:r>
          </w:p>
        </w:tc>
        <w:tc>
          <w:tcPr>
            <w:tcW w:w="2286" w:type="dxa"/>
          </w:tcPr>
          <w:p w14:paraId="0FB958E4" w14:textId="77777777" w:rsidR="00041A40" w:rsidRPr="00184C42" w:rsidRDefault="00041A40" w:rsidP="00041A40">
            <w:pPr>
              <w:spacing w:after="0"/>
              <w:rPr>
                <w:rFonts w:cs="Arial"/>
                <w:sz w:val="20"/>
                <w:szCs w:val="20"/>
              </w:rPr>
            </w:pPr>
            <w:r w:rsidRPr="00184C42">
              <w:rPr>
                <w:rFonts w:cs="Arial"/>
                <w:sz w:val="20"/>
                <w:szCs w:val="20"/>
              </w:rPr>
              <w:t>Blood pressure, glycaemia, LDL, albuminuria, smoking and physical activity linked to incident CKD</w:t>
            </w:r>
          </w:p>
        </w:tc>
        <w:tc>
          <w:tcPr>
            <w:tcW w:w="2331" w:type="dxa"/>
          </w:tcPr>
          <w:p w14:paraId="5493E66A" w14:textId="77777777" w:rsidR="00041A40" w:rsidRPr="00184C42" w:rsidRDefault="00041A40" w:rsidP="00041A40">
            <w:pPr>
              <w:spacing w:after="0"/>
              <w:rPr>
                <w:rFonts w:cs="Arial"/>
                <w:sz w:val="20"/>
                <w:szCs w:val="20"/>
              </w:rPr>
            </w:pPr>
            <w:r w:rsidRPr="00184C42">
              <w:rPr>
                <w:rFonts w:cs="Arial"/>
                <w:sz w:val="20"/>
                <w:szCs w:val="20"/>
              </w:rPr>
              <w:t>Better joint risk-factor control attenuated excess obesity-related CKD risk.</w:t>
            </w:r>
          </w:p>
        </w:tc>
        <w:tc>
          <w:tcPr>
            <w:tcW w:w="1883" w:type="dxa"/>
          </w:tcPr>
          <w:p w14:paraId="48FB4434" w14:textId="77777777" w:rsidR="00041A40" w:rsidRPr="00184C42" w:rsidRDefault="00041A40" w:rsidP="00041A40">
            <w:pPr>
              <w:spacing w:after="0"/>
              <w:rPr>
                <w:rFonts w:cs="Arial"/>
                <w:sz w:val="20"/>
                <w:szCs w:val="20"/>
              </w:rPr>
            </w:pPr>
            <w:r w:rsidRPr="00184C42">
              <w:rPr>
                <w:rFonts w:cs="Arial"/>
                <w:sz w:val="20"/>
                <w:szCs w:val="20"/>
              </w:rPr>
              <w:t>Observational measurements and residual confounding.</w:t>
            </w:r>
          </w:p>
        </w:tc>
        <w:tc>
          <w:tcPr>
            <w:tcW w:w="2085" w:type="dxa"/>
          </w:tcPr>
          <w:p w14:paraId="6A74549B" w14:textId="77777777" w:rsidR="00041A40" w:rsidRPr="00184C42" w:rsidRDefault="00041A40" w:rsidP="00041A40">
            <w:pPr>
              <w:spacing w:after="0"/>
              <w:rPr>
                <w:rFonts w:cs="Arial"/>
                <w:sz w:val="20"/>
                <w:szCs w:val="20"/>
              </w:rPr>
            </w:pPr>
            <w:r w:rsidRPr="00184C42">
              <w:rPr>
                <w:rFonts w:cs="Arial"/>
                <w:sz w:val="20"/>
                <w:szCs w:val="20"/>
              </w:rPr>
              <w:t>Clinical and metabolic risk</w:t>
            </w:r>
          </w:p>
        </w:tc>
      </w:tr>
      <w:tr w:rsidR="00041A40" w:rsidRPr="00184C42" w14:paraId="49AEF3C4" w14:textId="77777777" w:rsidTr="00184C42">
        <w:trPr>
          <w:trHeight w:val="492"/>
        </w:trPr>
        <w:tc>
          <w:tcPr>
            <w:tcW w:w="1345" w:type="dxa"/>
          </w:tcPr>
          <w:p w14:paraId="7A1486B5" w14:textId="77777777" w:rsidR="00041A40" w:rsidRPr="00184C42" w:rsidRDefault="00041A40" w:rsidP="00041A40">
            <w:pPr>
              <w:spacing w:after="0"/>
              <w:rPr>
                <w:rFonts w:cs="Arial"/>
                <w:sz w:val="20"/>
                <w:szCs w:val="20"/>
              </w:rPr>
            </w:pPr>
            <w:r w:rsidRPr="00184C42">
              <w:rPr>
                <w:rFonts w:cs="Arial"/>
                <w:sz w:val="20"/>
                <w:szCs w:val="20"/>
              </w:rPr>
              <w:t>Wang et al. (2022)</w:t>
            </w:r>
          </w:p>
        </w:tc>
        <w:tc>
          <w:tcPr>
            <w:tcW w:w="1659" w:type="dxa"/>
          </w:tcPr>
          <w:p w14:paraId="0080D41B"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6955B725" w14:textId="77777777" w:rsidR="00041A40" w:rsidRPr="00184C42" w:rsidRDefault="00041A40" w:rsidP="00041A40">
            <w:pPr>
              <w:spacing w:after="0"/>
              <w:rPr>
                <w:rFonts w:cs="Arial"/>
                <w:sz w:val="20"/>
                <w:szCs w:val="20"/>
              </w:rPr>
            </w:pPr>
            <w:r w:rsidRPr="00184C42">
              <w:rPr>
                <w:rFonts w:cs="Arial"/>
                <w:sz w:val="20"/>
                <w:szCs w:val="20"/>
              </w:rPr>
              <w:t>458,968 participants</w:t>
            </w:r>
          </w:p>
        </w:tc>
        <w:tc>
          <w:tcPr>
            <w:tcW w:w="2286" w:type="dxa"/>
          </w:tcPr>
          <w:p w14:paraId="185FEE25" w14:textId="77777777" w:rsidR="00041A40" w:rsidRPr="00184C42" w:rsidRDefault="00041A40" w:rsidP="00041A40">
            <w:pPr>
              <w:spacing w:after="0"/>
              <w:rPr>
                <w:rFonts w:cs="Arial"/>
                <w:sz w:val="20"/>
                <w:szCs w:val="20"/>
              </w:rPr>
            </w:pPr>
            <w:r w:rsidRPr="00184C42">
              <w:rPr>
                <w:rFonts w:cs="Arial"/>
                <w:sz w:val="20"/>
                <w:szCs w:val="20"/>
              </w:rPr>
              <w:t>Modelled PM2.5, PM10, NO2 and NOx exposure, genetic risk and incident CKD</w:t>
            </w:r>
          </w:p>
        </w:tc>
        <w:tc>
          <w:tcPr>
            <w:tcW w:w="2331" w:type="dxa"/>
          </w:tcPr>
          <w:p w14:paraId="333FCF5E" w14:textId="77777777" w:rsidR="00041A40" w:rsidRPr="00184C42" w:rsidRDefault="00041A40" w:rsidP="00041A40">
            <w:pPr>
              <w:spacing w:after="0"/>
              <w:rPr>
                <w:rFonts w:cs="Arial"/>
                <w:sz w:val="20"/>
                <w:szCs w:val="20"/>
              </w:rPr>
            </w:pPr>
            <w:r w:rsidRPr="00184C42">
              <w:rPr>
                <w:rFonts w:cs="Arial"/>
                <w:sz w:val="20"/>
                <w:szCs w:val="20"/>
              </w:rPr>
              <w:t>Higher air-pollution exposure was associated with increased incident CKD risk.</w:t>
            </w:r>
          </w:p>
        </w:tc>
        <w:tc>
          <w:tcPr>
            <w:tcW w:w="1883" w:type="dxa"/>
          </w:tcPr>
          <w:p w14:paraId="32031F64" w14:textId="77777777" w:rsidR="00041A40" w:rsidRPr="00184C42" w:rsidRDefault="00041A40" w:rsidP="00041A40">
            <w:pPr>
              <w:spacing w:after="0"/>
              <w:rPr>
                <w:rFonts w:cs="Arial"/>
                <w:sz w:val="20"/>
                <w:szCs w:val="20"/>
              </w:rPr>
            </w:pPr>
            <w:r w:rsidRPr="00184C42">
              <w:rPr>
                <w:rFonts w:cs="Arial"/>
                <w:sz w:val="20"/>
                <w:szCs w:val="20"/>
              </w:rPr>
              <w:t>Modelled exposure; residential mobility and observational causality limitations.</w:t>
            </w:r>
          </w:p>
        </w:tc>
        <w:tc>
          <w:tcPr>
            <w:tcW w:w="2085" w:type="dxa"/>
          </w:tcPr>
          <w:p w14:paraId="3CD81BCA" w14:textId="77777777" w:rsidR="00041A40" w:rsidRPr="00184C42" w:rsidRDefault="00041A40" w:rsidP="00041A40">
            <w:pPr>
              <w:spacing w:after="0"/>
              <w:rPr>
                <w:rFonts w:cs="Arial"/>
                <w:sz w:val="20"/>
                <w:szCs w:val="20"/>
              </w:rPr>
            </w:pPr>
            <w:r w:rsidRPr="00184C42">
              <w:rPr>
                <w:rFonts w:cs="Arial"/>
                <w:sz w:val="20"/>
                <w:szCs w:val="20"/>
              </w:rPr>
              <w:t>Environmental and emerging risk</w:t>
            </w:r>
          </w:p>
        </w:tc>
      </w:tr>
      <w:tr w:rsidR="00041A40" w:rsidRPr="00184C42" w14:paraId="21BA1B50" w14:textId="77777777" w:rsidTr="00184C42">
        <w:trPr>
          <w:trHeight w:val="313"/>
        </w:trPr>
        <w:tc>
          <w:tcPr>
            <w:tcW w:w="1345" w:type="dxa"/>
          </w:tcPr>
          <w:p w14:paraId="57CA88CF" w14:textId="77777777" w:rsidR="00041A40" w:rsidRPr="00184C42" w:rsidRDefault="00041A40" w:rsidP="00041A40">
            <w:pPr>
              <w:spacing w:after="0"/>
              <w:rPr>
                <w:rFonts w:cs="Arial"/>
                <w:sz w:val="20"/>
                <w:szCs w:val="20"/>
              </w:rPr>
            </w:pPr>
            <w:r w:rsidRPr="00184C42">
              <w:rPr>
                <w:rFonts w:cs="Arial"/>
                <w:sz w:val="20"/>
                <w:szCs w:val="20"/>
              </w:rPr>
              <w:t>Zhang et al. (2023)</w:t>
            </w:r>
          </w:p>
        </w:tc>
        <w:tc>
          <w:tcPr>
            <w:tcW w:w="1659" w:type="dxa"/>
          </w:tcPr>
          <w:p w14:paraId="0FEF488A" w14:textId="77777777" w:rsidR="00041A40" w:rsidRPr="00184C42" w:rsidRDefault="00041A40" w:rsidP="00041A40">
            <w:pPr>
              <w:spacing w:after="0"/>
              <w:rPr>
                <w:rFonts w:cs="Arial"/>
                <w:sz w:val="20"/>
                <w:szCs w:val="20"/>
              </w:rPr>
            </w:pPr>
            <w:r w:rsidRPr="00184C42">
              <w:rPr>
                <w:rFonts w:cs="Arial"/>
                <w:sz w:val="20"/>
                <w:szCs w:val="20"/>
              </w:rPr>
              <w:t>UK Biobank; prospective cohort</w:t>
            </w:r>
          </w:p>
        </w:tc>
        <w:tc>
          <w:tcPr>
            <w:tcW w:w="1659" w:type="dxa"/>
          </w:tcPr>
          <w:p w14:paraId="69BE99B7" w14:textId="77777777" w:rsidR="00041A40" w:rsidRPr="00184C42" w:rsidRDefault="00041A40" w:rsidP="00041A40">
            <w:pPr>
              <w:spacing w:after="0"/>
              <w:rPr>
                <w:rFonts w:cs="Arial"/>
                <w:sz w:val="20"/>
                <w:szCs w:val="20"/>
              </w:rPr>
            </w:pPr>
            <w:r w:rsidRPr="00184C42">
              <w:rPr>
                <w:rFonts w:cs="Arial"/>
                <w:sz w:val="20"/>
                <w:szCs w:val="20"/>
              </w:rPr>
              <w:t>448,444 CKD-free participants plus accelerometer subgroup</w:t>
            </w:r>
          </w:p>
        </w:tc>
        <w:tc>
          <w:tcPr>
            <w:tcW w:w="2286" w:type="dxa"/>
          </w:tcPr>
          <w:p w14:paraId="501BFB8A" w14:textId="77777777" w:rsidR="00041A40" w:rsidRPr="00184C42" w:rsidRDefault="00041A40" w:rsidP="00041A40">
            <w:pPr>
              <w:spacing w:after="0"/>
              <w:rPr>
                <w:rFonts w:cs="Arial"/>
                <w:sz w:val="20"/>
                <w:szCs w:val="20"/>
              </w:rPr>
            </w:pPr>
            <w:r w:rsidRPr="00184C42">
              <w:rPr>
                <w:rFonts w:cs="Arial"/>
                <w:sz w:val="20"/>
                <w:szCs w:val="20"/>
              </w:rPr>
              <w:t>Questionnaire activity, wrist accelerometry, genetic risk and incident CKD</w:t>
            </w:r>
          </w:p>
        </w:tc>
        <w:tc>
          <w:tcPr>
            <w:tcW w:w="2331" w:type="dxa"/>
          </w:tcPr>
          <w:p w14:paraId="5C8DB2D9" w14:textId="77777777" w:rsidR="00041A40" w:rsidRPr="00184C42" w:rsidRDefault="00041A40" w:rsidP="00041A40">
            <w:pPr>
              <w:spacing w:after="0"/>
              <w:rPr>
                <w:rFonts w:cs="Arial"/>
                <w:sz w:val="20"/>
                <w:szCs w:val="20"/>
              </w:rPr>
            </w:pPr>
            <w:r w:rsidRPr="00184C42">
              <w:rPr>
                <w:rFonts w:cs="Arial"/>
                <w:sz w:val="20"/>
                <w:szCs w:val="20"/>
              </w:rPr>
              <w:t>Higher physical activity was associated with lower CKD incidence across both measures.</w:t>
            </w:r>
          </w:p>
        </w:tc>
        <w:tc>
          <w:tcPr>
            <w:tcW w:w="1883" w:type="dxa"/>
          </w:tcPr>
          <w:p w14:paraId="4313273E" w14:textId="77777777" w:rsidR="00041A40" w:rsidRPr="00184C42" w:rsidRDefault="00041A40" w:rsidP="00041A40">
            <w:pPr>
              <w:spacing w:after="0"/>
              <w:rPr>
                <w:rFonts w:cs="Arial"/>
                <w:sz w:val="20"/>
                <w:szCs w:val="20"/>
              </w:rPr>
            </w:pPr>
            <w:r w:rsidRPr="00184C42">
              <w:rPr>
                <w:rFonts w:cs="Arial"/>
                <w:sz w:val="20"/>
                <w:szCs w:val="20"/>
              </w:rPr>
              <w:t>Accelerometer subgroup and healthy-volunteer selection.</w:t>
            </w:r>
          </w:p>
        </w:tc>
        <w:tc>
          <w:tcPr>
            <w:tcW w:w="2085" w:type="dxa"/>
          </w:tcPr>
          <w:p w14:paraId="50D54B64" w14:textId="77777777" w:rsidR="00041A40" w:rsidRPr="00184C42" w:rsidRDefault="00041A40" w:rsidP="00041A40">
            <w:pPr>
              <w:spacing w:after="0"/>
              <w:rPr>
                <w:rFonts w:cs="Arial"/>
                <w:sz w:val="20"/>
                <w:szCs w:val="20"/>
              </w:rPr>
            </w:pPr>
            <w:r w:rsidRPr="00184C42">
              <w:rPr>
                <w:rFonts w:cs="Arial"/>
                <w:sz w:val="20"/>
                <w:szCs w:val="20"/>
              </w:rPr>
              <w:t>Lifestyle and physical-activity risk</w:t>
            </w:r>
          </w:p>
        </w:tc>
      </w:tr>
    </w:tbl>
    <w:p w14:paraId="7BB699AF" w14:textId="77777777" w:rsidR="00041A40" w:rsidRPr="00041A40" w:rsidRDefault="00041A40" w:rsidP="00041A40">
      <w:pPr>
        <w:spacing w:after="20"/>
        <w:rPr>
          <w:rFonts w:cs="Arial"/>
        </w:rPr>
      </w:pPr>
    </w:p>
    <w:p w14:paraId="2732D5AC" w14:textId="77777777" w:rsidR="00041A40" w:rsidRPr="00041A40" w:rsidRDefault="00041A40" w:rsidP="00041A40">
      <w:pPr>
        <w:keepNext/>
        <w:keepLines/>
        <w:spacing w:before="200" w:after="0"/>
        <w:outlineLvl w:val="1"/>
        <w:rPr>
          <w:rFonts w:eastAsiaTheme="majorEastAsia" w:cs="Arial"/>
          <w:b/>
          <w:bCs/>
          <w:color w:val="000000" w:themeColor="text1"/>
          <w:sz w:val="28"/>
          <w:szCs w:val="28"/>
        </w:rPr>
      </w:pPr>
      <w:bookmarkStart w:id="170" w:name="_Toc241011104"/>
      <w:r w:rsidRPr="00041A40">
        <w:rPr>
          <w:rFonts w:eastAsiaTheme="majorEastAsia" w:cs="Arial"/>
          <w:b/>
          <w:bCs/>
          <w:color w:val="000000" w:themeColor="text1"/>
          <w:sz w:val="28"/>
          <w:szCs w:val="28"/>
        </w:rPr>
        <w:t>Appendix 5 – Thematic Analysis Audit Trail</w:t>
      </w:r>
      <w:bookmarkEnd w:id="170"/>
    </w:p>
    <w:p w14:paraId="643BEE24" w14:textId="77777777" w:rsidR="00041A40" w:rsidRPr="00041A40" w:rsidRDefault="00041A40" w:rsidP="00041A40">
      <w:pPr>
        <w:keepNext/>
        <w:spacing w:before="60" w:after="60"/>
        <w:rPr>
          <w:rFonts w:cs="Arial"/>
          <w:sz w:val="32"/>
          <w:szCs w:val="32"/>
        </w:rPr>
      </w:pPr>
      <w:r w:rsidRPr="00041A40">
        <w:rPr>
          <w:rFonts w:cs="Arial"/>
          <w:b/>
          <w:sz w:val="24"/>
          <w:szCs w:val="32"/>
        </w:rPr>
        <w:t>Table E1. Development from initial codes to final themes</w:t>
      </w:r>
    </w:p>
    <w:tbl>
      <w:tblPr>
        <w:tblStyle w:val="TableGrid"/>
        <w:tblW w:w="13216" w:type="dxa"/>
        <w:tblLayout w:type="fixed"/>
        <w:tblLook w:val="04A0" w:firstRow="1" w:lastRow="0" w:firstColumn="1" w:lastColumn="0" w:noHBand="0" w:noVBand="1"/>
      </w:tblPr>
      <w:tblGrid>
        <w:gridCol w:w="4487"/>
        <w:gridCol w:w="3901"/>
        <w:gridCol w:w="4828"/>
      </w:tblGrid>
      <w:tr w:rsidR="00041A40" w:rsidRPr="00184C42" w14:paraId="14E26A00" w14:textId="77777777" w:rsidTr="00CC7310">
        <w:trPr>
          <w:trHeight w:val="317"/>
        </w:trPr>
        <w:tc>
          <w:tcPr>
            <w:tcW w:w="4487" w:type="dxa"/>
          </w:tcPr>
          <w:p w14:paraId="6A2BBFEE" w14:textId="77777777" w:rsidR="00041A40" w:rsidRPr="00184C42" w:rsidRDefault="00041A40" w:rsidP="00041A40">
            <w:pPr>
              <w:spacing w:after="0"/>
              <w:jc w:val="center"/>
              <w:rPr>
                <w:rFonts w:cs="Arial"/>
                <w:sz w:val="20"/>
                <w:szCs w:val="28"/>
              </w:rPr>
            </w:pPr>
            <w:r w:rsidRPr="00184C42">
              <w:rPr>
                <w:rFonts w:cs="Arial"/>
                <w:b/>
                <w:sz w:val="20"/>
                <w:szCs w:val="28"/>
              </w:rPr>
              <w:t>Initial findings / codes</w:t>
            </w:r>
          </w:p>
        </w:tc>
        <w:tc>
          <w:tcPr>
            <w:tcW w:w="3901" w:type="dxa"/>
          </w:tcPr>
          <w:p w14:paraId="2B6EFA09" w14:textId="77777777" w:rsidR="00041A40" w:rsidRPr="00184C42" w:rsidRDefault="00041A40" w:rsidP="00041A40">
            <w:pPr>
              <w:spacing w:after="0"/>
              <w:jc w:val="center"/>
              <w:rPr>
                <w:rFonts w:cs="Arial"/>
                <w:sz w:val="20"/>
                <w:szCs w:val="28"/>
              </w:rPr>
            </w:pPr>
            <w:r w:rsidRPr="00184C42">
              <w:rPr>
                <w:rFonts w:cs="Arial"/>
                <w:b/>
                <w:sz w:val="20"/>
                <w:szCs w:val="28"/>
              </w:rPr>
              <w:t>Analytic category</w:t>
            </w:r>
          </w:p>
        </w:tc>
        <w:tc>
          <w:tcPr>
            <w:tcW w:w="4828" w:type="dxa"/>
          </w:tcPr>
          <w:p w14:paraId="5B7AE650" w14:textId="77777777" w:rsidR="00041A40" w:rsidRPr="00184C42" w:rsidRDefault="00041A40" w:rsidP="00041A40">
            <w:pPr>
              <w:spacing w:after="0"/>
              <w:jc w:val="center"/>
              <w:rPr>
                <w:rFonts w:cs="Arial"/>
                <w:sz w:val="20"/>
                <w:szCs w:val="28"/>
              </w:rPr>
            </w:pPr>
            <w:r w:rsidRPr="00184C42">
              <w:rPr>
                <w:rFonts w:cs="Arial"/>
                <w:b/>
                <w:sz w:val="20"/>
                <w:szCs w:val="28"/>
              </w:rPr>
              <w:t>Final theme</w:t>
            </w:r>
          </w:p>
        </w:tc>
      </w:tr>
      <w:tr w:rsidR="00041A40" w:rsidRPr="00184C42" w14:paraId="3EDAD561" w14:textId="77777777" w:rsidTr="00CC7310">
        <w:trPr>
          <w:trHeight w:val="293"/>
        </w:trPr>
        <w:tc>
          <w:tcPr>
            <w:tcW w:w="4487" w:type="dxa"/>
          </w:tcPr>
          <w:p w14:paraId="4D093ACC" w14:textId="77777777" w:rsidR="00041A40" w:rsidRPr="00184C42" w:rsidRDefault="00041A40" w:rsidP="00041A40">
            <w:pPr>
              <w:spacing w:after="0"/>
              <w:rPr>
                <w:rFonts w:cs="Arial"/>
                <w:sz w:val="20"/>
                <w:szCs w:val="28"/>
              </w:rPr>
            </w:pPr>
            <w:r w:rsidRPr="00184C42">
              <w:rPr>
                <w:rFonts w:cs="Arial"/>
                <w:sz w:val="20"/>
                <w:szCs w:val="28"/>
              </w:rPr>
              <w:t>CKD progression; eGFR decline; albuminuria; KFRE; referral thresholds</w:t>
            </w:r>
          </w:p>
        </w:tc>
        <w:tc>
          <w:tcPr>
            <w:tcW w:w="3901" w:type="dxa"/>
          </w:tcPr>
          <w:p w14:paraId="762171CF" w14:textId="77777777" w:rsidR="00041A40" w:rsidRPr="00184C42" w:rsidRDefault="00041A40" w:rsidP="00041A40">
            <w:pPr>
              <w:spacing w:after="0"/>
              <w:rPr>
                <w:rFonts w:cs="Arial"/>
                <w:sz w:val="20"/>
                <w:szCs w:val="28"/>
              </w:rPr>
            </w:pPr>
            <w:r w:rsidRPr="00184C42">
              <w:rPr>
                <w:rFonts w:cs="Arial"/>
                <w:sz w:val="20"/>
                <w:szCs w:val="28"/>
              </w:rPr>
              <w:t>Burden expressed through progression, surveillance and risk</w:t>
            </w:r>
          </w:p>
        </w:tc>
        <w:tc>
          <w:tcPr>
            <w:tcW w:w="4828" w:type="dxa"/>
          </w:tcPr>
          <w:p w14:paraId="7C17F9E6" w14:textId="77777777" w:rsidR="00041A40" w:rsidRPr="00184C42" w:rsidRDefault="00041A40" w:rsidP="00041A40">
            <w:pPr>
              <w:spacing w:after="0"/>
              <w:rPr>
                <w:rFonts w:cs="Arial"/>
                <w:sz w:val="20"/>
                <w:szCs w:val="28"/>
              </w:rPr>
            </w:pPr>
            <w:r w:rsidRPr="00184C42">
              <w:rPr>
                <w:rFonts w:cs="Arial"/>
                <w:sz w:val="20"/>
                <w:szCs w:val="28"/>
              </w:rPr>
              <w:t>1. Epidemiology, prevalence and burden of CKD</w:t>
            </w:r>
          </w:p>
        </w:tc>
      </w:tr>
      <w:tr w:rsidR="00041A40" w:rsidRPr="00184C42" w14:paraId="1EDD3BE7" w14:textId="77777777" w:rsidTr="00CC7310">
        <w:trPr>
          <w:trHeight w:val="637"/>
        </w:trPr>
        <w:tc>
          <w:tcPr>
            <w:tcW w:w="4487" w:type="dxa"/>
          </w:tcPr>
          <w:p w14:paraId="6C38C892" w14:textId="77777777" w:rsidR="00041A40" w:rsidRPr="00184C42" w:rsidRDefault="00041A40" w:rsidP="00041A40">
            <w:pPr>
              <w:spacing w:after="0"/>
              <w:rPr>
                <w:rFonts w:cs="Arial"/>
                <w:sz w:val="20"/>
                <w:szCs w:val="28"/>
              </w:rPr>
            </w:pPr>
            <w:r w:rsidRPr="00184C42">
              <w:rPr>
                <w:rFonts w:cs="Arial"/>
                <w:sz w:val="20"/>
                <w:szCs w:val="28"/>
              </w:rPr>
              <w:t>Obesity; glycaemia; blood pressure; LDL cholesterol; albuminuria; multimorbidity</w:t>
            </w:r>
          </w:p>
        </w:tc>
        <w:tc>
          <w:tcPr>
            <w:tcW w:w="3901" w:type="dxa"/>
          </w:tcPr>
          <w:p w14:paraId="59737D2D" w14:textId="77777777" w:rsidR="00041A40" w:rsidRPr="00184C42" w:rsidRDefault="00041A40" w:rsidP="00041A40">
            <w:pPr>
              <w:spacing w:after="0"/>
              <w:rPr>
                <w:rFonts w:cs="Arial"/>
                <w:sz w:val="20"/>
                <w:szCs w:val="28"/>
              </w:rPr>
            </w:pPr>
            <w:r w:rsidRPr="00184C42">
              <w:rPr>
                <w:rFonts w:cs="Arial"/>
                <w:sz w:val="20"/>
                <w:szCs w:val="28"/>
              </w:rPr>
              <w:t>Interconnected cardiometabolic vulnerability</w:t>
            </w:r>
          </w:p>
        </w:tc>
        <w:tc>
          <w:tcPr>
            <w:tcW w:w="4828" w:type="dxa"/>
          </w:tcPr>
          <w:p w14:paraId="3E96162B" w14:textId="77777777" w:rsidR="00041A40" w:rsidRPr="00184C42" w:rsidRDefault="00041A40" w:rsidP="00041A40">
            <w:pPr>
              <w:spacing w:after="0"/>
              <w:rPr>
                <w:rFonts w:cs="Arial"/>
                <w:sz w:val="20"/>
                <w:szCs w:val="28"/>
              </w:rPr>
            </w:pPr>
            <w:r w:rsidRPr="00184C42">
              <w:rPr>
                <w:rFonts w:cs="Arial"/>
                <w:sz w:val="20"/>
                <w:szCs w:val="28"/>
              </w:rPr>
              <w:t>2. Clinical and metabolic risk factors</w:t>
            </w:r>
          </w:p>
        </w:tc>
      </w:tr>
      <w:tr w:rsidR="00041A40" w:rsidRPr="00184C42" w14:paraId="25937C3F" w14:textId="77777777" w:rsidTr="00CC7310">
        <w:trPr>
          <w:trHeight w:val="637"/>
        </w:trPr>
        <w:tc>
          <w:tcPr>
            <w:tcW w:w="4487" w:type="dxa"/>
          </w:tcPr>
          <w:p w14:paraId="284FBCF3" w14:textId="77777777" w:rsidR="00041A40" w:rsidRPr="00184C42" w:rsidRDefault="00041A40" w:rsidP="00041A40">
            <w:pPr>
              <w:spacing w:after="0"/>
              <w:rPr>
                <w:rFonts w:cs="Arial"/>
                <w:sz w:val="20"/>
                <w:szCs w:val="28"/>
              </w:rPr>
            </w:pPr>
            <w:r w:rsidRPr="00184C42">
              <w:rPr>
                <w:rFonts w:cs="Arial"/>
                <w:sz w:val="20"/>
                <w:szCs w:val="28"/>
              </w:rPr>
              <w:t xml:space="preserve">Diet; </w:t>
            </w:r>
            <w:proofErr w:type="spellStart"/>
            <w:r w:rsidRPr="00184C42">
              <w:rPr>
                <w:rFonts w:cs="Arial"/>
                <w:sz w:val="20"/>
                <w:szCs w:val="28"/>
              </w:rPr>
              <w:t>fibre</w:t>
            </w:r>
            <w:proofErr w:type="spellEnd"/>
            <w:r w:rsidRPr="00184C42">
              <w:rPr>
                <w:rFonts w:cs="Arial"/>
                <w:sz w:val="20"/>
                <w:szCs w:val="28"/>
              </w:rPr>
              <w:t>; physical activity; secondhand smoke; psychiatric disorders; air pollution; genetic susceptibility</w:t>
            </w:r>
          </w:p>
        </w:tc>
        <w:tc>
          <w:tcPr>
            <w:tcW w:w="3901" w:type="dxa"/>
          </w:tcPr>
          <w:p w14:paraId="16107A51" w14:textId="77777777" w:rsidR="00041A40" w:rsidRPr="00184C42" w:rsidRDefault="00041A40" w:rsidP="00041A40">
            <w:pPr>
              <w:spacing w:after="0"/>
              <w:rPr>
                <w:rFonts w:cs="Arial"/>
                <w:sz w:val="20"/>
                <w:szCs w:val="28"/>
              </w:rPr>
            </w:pPr>
            <w:proofErr w:type="spellStart"/>
            <w:r w:rsidRPr="00184C42">
              <w:rPr>
                <w:rFonts w:cs="Arial"/>
                <w:sz w:val="20"/>
                <w:szCs w:val="28"/>
              </w:rPr>
              <w:t>Behavioural</w:t>
            </w:r>
            <w:proofErr w:type="spellEnd"/>
            <w:r w:rsidRPr="00184C42">
              <w:rPr>
                <w:rFonts w:cs="Arial"/>
                <w:sz w:val="20"/>
                <w:szCs w:val="28"/>
              </w:rPr>
              <w:t>, psychosocial and environmental exposures</w:t>
            </w:r>
          </w:p>
        </w:tc>
        <w:tc>
          <w:tcPr>
            <w:tcW w:w="4828" w:type="dxa"/>
          </w:tcPr>
          <w:p w14:paraId="11312635" w14:textId="77777777" w:rsidR="00041A40" w:rsidRPr="00184C42" w:rsidRDefault="00041A40" w:rsidP="00041A40">
            <w:pPr>
              <w:spacing w:after="0"/>
              <w:rPr>
                <w:rFonts w:cs="Arial"/>
                <w:sz w:val="20"/>
                <w:szCs w:val="28"/>
              </w:rPr>
            </w:pPr>
            <w:r w:rsidRPr="00184C42">
              <w:rPr>
                <w:rFonts w:cs="Arial"/>
                <w:sz w:val="20"/>
                <w:szCs w:val="28"/>
              </w:rPr>
              <w:t>3. Lifestyle, social and emerging risk factors</w:t>
            </w:r>
          </w:p>
        </w:tc>
      </w:tr>
      <w:tr w:rsidR="00041A40" w:rsidRPr="00184C42" w14:paraId="27890E3B" w14:textId="77777777" w:rsidTr="00CC7310">
        <w:trPr>
          <w:trHeight w:val="611"/>
        </w:trPr>
        <w:tc>
          <w:tcPr>
            <w:tcW w:w="4487" w:type="dxa"/>
          </w:tcPr>
          <w:p w14:paraId="2612512F" w14:textId="77777777" w:rsidR="00041A40" w:rsidRPr="00184C42" w:rsidRDefault="00041A40" w:rsidP="00041A40">
            <w:pPr>
              <w:spacing w:after="0"/>
              <w:rPr>
                <w:rFonts w:cs="Arial"/>
                <w:sz w:val="20"/>
                <w:szCs w:val="28"/>
              </w:rPr>
            </w:pPr>
            <w:r w:rsidRPr="00184C42">
              <w:rPr>
                <w:rFonts w:cs="Arial"/>
                <w:sz w:val="20"/>
                <w:szCs w:val="28"/>
              </w:rPr>
              <w:t xml:space="preserve">Testing; CKD coding; eGFR; </w:t>
            </w:r>
            <w:proofErr w:type="spellStart"/>
            <w:r w:rsidRPr="00184C42">
              <w:rPr>
                <w:rFonts w:cs="Arial"/>
                <w:sz w:val="20"/>
                <w:szCs w:val="28"/>
              </w:rPr>
              <w:t>uACR</w:t>
            </w:r>
            <w:proofErr w:type="spellEnd"/>
            <w:r w:rsidRPr="00184C42">
              <w:rPr>
                <w:rFonts w:cs="Arial"/>
                <w:sz w:val="20"/>
                <w:szCs w:val="28"/>
              </w:rPr>
              <w:t>; KFRE; recognition; treatment eligibility; referral</w:t>
            </w:r>
          </w:p>
        </w:tc>
        <w:tc>
          <w:tcPr>
            <w:tcW w:w="3901" w:type="dxa"/>
          </w:tcPr>
          <w:p w14:paraId="27C138D0" w14:textId="77777777" w:rsidR="00041A40" w:rsidRPr="00184C42" w:rsidRDefault="00041A40" w:rsidP="00041A40">
            <w:pPr>
              <w:spacing w:after="0"/>
              <w:rPr>
                <w:rFonts w:cs="Arial"/>
                <w:sz w:val="20"/>
                <w:szCs w:val="28"/>
              </w:rPr>
            </w:pPr>
            <w:r w:rsidRPr="00184C42">
              <w:rPr>
                <w:rFonts w:cs="Arial"/>
                <w:sz w:val="20"/>
                <w:szCs w:val="28"/>
              </w:rPr>
              <w:t xml:space="preserve">Identification and clinical </w:t>
            </w:r>
            <w:proofErr w:type="spellStart"/>
            <w:r w:rsidRPr="00184C42">
              <w:rPr>
                <w:rFonts w:cs="Arial"/>
                <w:sz w:val="20"/>
                <w:szCs w:val="28"/>
              </w:rPr>
              <w:t>prioritisation</w:t>
            </w:r>
            <w:proofErr w:type="spellEnd"/>
          </w:p>
        </w:tc>
        <w:tc>
          <w:tcPr>
            <w:tcW w:w="4828" w:type="dxa"/>
          </w:tcPr>
          <w:p w14:paraId="3AAD5B01" w14:textId="77777777" w:rsidR="00041A40" w:rsidRPr="00184C42" w:rsidRDefault="00041A40" w:rsidP="00041A40">
            <w:pPr>
              <w:spacing w:after="0"/>
              <w:rPr>
                <w:rFonts w:cs="Arial"/>
                <w:sz w:val="20"/>
                <w:szCs w:val="28"/>
              </w:rPr>
            </w:pPr>
            <w:r w:rsidRPr="00184C42">
              <w:rPr>
                <w:rFonts w:cs="Arial"/>
                <w:sz w:val="20"/>
                <w:szCs w:val="28"/>
              </w:rPr>
              <w:t>4. Diagnosis, screening and risk stratification</w:t>
            </w:r>
          </w:p>
        </w:tc>
      </w:tr>
      <w:tr w:rsidR="00041A40" w:rsidRPr="00184C42" w14:paraId="16ACB45B" w14:textId="77777777" w:rsidTr="00CC7310">
        <w:trPr>
          <w:trHeight w:val="317"/>
        </w:trPr>
        <w:tc>
          <w:tcPr>
            <w:tcW w:w="4487" w:type="dxa"/>
          </w:tcPr>
          <w:p w14:paraId="4FF3B13E" w14:textId="77777777" w:rsidR="00041A40" w:rsidRPr="00184C42" w:rsidRDefault="00041A40" w:rsidP="00041A40">
            <w:pPr>
              <w:spacing w:after="0"/>
              <w:rPr>
                <w:rFonts w:cs="Arial"/>
                <w:sz w:val="20"/>
                <w:szCs w:val="28"/>
              </w:rPr>
            </w:pPr>
            <w:r w:rsidRPr="00184C42">
              <w:rPr>
                <w:rFonts w:cs="Arial"/>
                <w:sz w:val="20"/>
                <w:szCs w:val="28"/>
              </w:rPr>
              <w:t xml:space="preserve">SGLT2 eligibility; prescribing gap; medicines review; medicines </w:t>
            </w:r>
            <w:proofErr w:type="spellStart"/>
            <w:r w:rsidRPr="00184C42">
              <w:rPr>
                <w:rFonts w:cs="Arial"/>
                <w:sz w:val="20"/>
                <w:szCs w:val="28"/>
              </w:rPr>
              <w:t>optimisation</w:t>
            </w:r>
            <w:proofErr w:type="spellEnd"/>
          </w:p>
        </w:tc>
        <w:tc>
          <w:tcPr>
            <w:tcW w:w="3901" w:type="dxa"/>
          </w:tcPr>
          <w:p w14:paraId="52E3801F" w14:textId="77777777" w:rsidR="00041A40" w:rsidRPr="00184C42" w:rsidRDefault="00041A40" w:rsidP="00041A40">
            <w:pPr>
              <w:spacing w:after="0"/>
              <w:rPr>
                <w:rFonts w:cs="Arial"/>
                <w:sz w:val="20"/>
                <w:szCs w:val="28"/>
              </w:rPr>
            </w:pPr>
            <w:r w:rsidRPr="00184C42">
              <w:rPr>
                <w:rFonts w:cs="Arial"/>
                <w:sz w:val="20"/>
                <w:szCs w:val="28"/>
              </w:rPr>
              <w:t>Implementation of kidney-protective treatment</w:t>
            </w:r>
          </w:p>
        </w:tc>
        <w:tc>
          <w:tcPr>
            <w:tcW w:w="4828" w:type="dxa"/>
          </w:tcPr>
          <w:p w14:paraId="7CB714FA" w14:textId="77777777" w:rsidR="00041A40" w:rsidRPr="00184C42" w:rsidRDefault="00041A40" w:rsidP="00041A40">
            <w:pPr>
              <w:spacing w:after="0"/>
              <w:rPr>
                <w:rFonts w:cs="Arial"/>
                <w:sz w:val="20"/>
                <w:szCs w:val="28"/>
              </w:rPr>
            </w:pPr>
            <w:r w:rsidRPr="00184C42">
              <w:rPr>
                <w:rFonts w:cs="Arial"/>
                <w:sz w:val="20"/>
                <w:szCs w:val="28"/>
              </w:rPr>
              <w:t>5. Pharmacological management strategies</w:t>
            </w:r>
          </w:p>
        </w:tc>
      </w:tr>
      <w:tr w:rsidR="00041A40" w:rsidRPr="00184C42" w14:paraId="4F0BE8FA" w14:textId="77777777" w:rsidTr="00CC7310">
        <w:trPr>
          <w:trHeight w:val="637"/>
        </w:trPr>
        <w:tc>
          <w:tcPr>
            <w:tcW w:w="4487" w:type="dxa"/>
          </w:tcPr>
          <w:p w14:paraId="7A8FD282" w14:textId="77777777" w:rsidR="00041A40" w:rsidRPr="00184C42" w:rsidRDefault="00041A40" w:rsidP="00041A40">
            <w:pPr>
              <w:spacing w:after="0"/>
              <w:rPr>
                <w:rFonts w:cs="Arial"/>
                <w:sz w:val="20"/>
                <w:szCs w:val="28"/>
              </w:rPr>
            </w:pPr>
            <w:r w:rsidRPr="00184C42">
              <w:rPr>
                <w:rFonts w:cs="Arial"/>
                <w:sz w:val="20"/>
                <w:szCs w:val="28"/>
              </w:rPr>
              <w:t>Digital exercise; health literacy; confidence; symptoms; competing priorities; professional support</w:t>
            </w:r>
          </w:p>
        </w:tc>
        <w:tc>
          <w:tcPr>
            <w:tcW w:w="3901" w:type="dxa"/>
          </w:tcPr>
          <w:p w14:paraId="7A8BC20E" w14:textId="77777777" w:rsidR="00041A40" w:rsidRPr="00184C42" w:rsidRDefault="00041A40" w:rsidP="00041A40">
            <w:pPr>
              <w:spacing w:after="0"/>
              <w:rPr>
                <w:rFonts w:cs="Arial"/>
                <w:sz w:val="20"/>
                <w:szCs w:val="28"/>
              </w:rPr>
            </w:pPr>
            <w:r w:rsidRPr="00184C42">
              <w:rPr>
                <w:rFonts w:cs="Arial"/>
                <w:sz w:val="20"/>
                <w:szCs w:val="28"/>
              </w:rPr>
              <w:t>Capability and support for self-management</w:t>
            </w:r>
          </w:p>
        </w:tc>
        <w:tc>
          <w:tcPr>
            <w:tcW w:w="4828" w:type="dxa"/>
          </w:tcPr>
          <w:p w14:paraId="5EA0849A" w14:textId="77777777" w:rsidR="00041A40" w:rsidRPr="00184C42" w:rsidRDefault="00041A40" w:rsidP="00041A40">
            <w:pPr>
              <w:spacing w:after="0"/>
              <w:rPr>
                <w:rFonts w:cs="Arial"/>
                <w:sz w:val="20"/>
                <w:szCs w:val="28"/>
              </w:rPr>
            </w:pPr>
            <w:r w:rsidRPr="00184C42">
              <w:rPr>
                <w:rFonts w:cs="Arial"/>
                <w:sz w:val="20"/>
                <w:szCs w:val="28"/>
              </w:rPr>
              <w:t>6. Lifestyle, digital and patient-</w:t>
            </w:r>
            <w:proofErr w:type="spellStart"/>
            <w:r w:rsidRPr="00184C42">
              <w:rPr>
                <w:rFonts w:cs="Arial"/>
                <w:sz w:val="20"/>
                <w:szCs w:val="28"/>
              </w:rPr>
              <w:t>centred</w:t>
            </w:r>
            <w:proofErr w:type="spellEnd"/>
            <w:r w:rsidRPr="00184C42">
              <w:rPr>
                <w:rFonts w:cs="Arial"/>
                <w:sz w:val="20"/>
                <w:szCs w:val="28"/>
              </w:rPr>
              <w:t xml:space="preserve"> management</w:t>
            </w:r>
          </w:p>
        </w:tc>
      </w:tr>
      <w:tr w:rsidR="00041A40" w:rsidRPr="00184C42" w14:paraId="62D04638" w14:textId="77777777" w:rsidTr="00CC7310">
        <w:trPr>
          <w:trHeight w:val="611"/>
        </w:trPr>
        <w:tc>
          <w:tcPr>
            <w:tcW w:w="4487" w:type="dxa"/>
          </w:tcPr>
          <w:p w14:paraId="16F5A147" w14:textId="77777777" w:rsidR="00041A40" w:rsidRPr="00184C42" w:rsidRDefault="00041A40" w:rsidP="00041A40">
            <w:pPr>
              <w:spacing w:after="0"/>
              <w:rPr>
                <w:rFonts w:cs="Arial"/>
                <w:sz w:val="20"/>
                <w:szCs w:val="28"/>
              </w:rPr>
            </w:pPr>
            <w:r w:rsidRPr="00184C42">
              <w:rPr>
                <w:rFonts w:cs="Arial"/>
                <w:sz w:val="20"/>
                <w:szCs w:val="28"/>
              </w:rPr>
              <w:t>Case finding; MDT; primary–secondary care; pharmacist support; surveillance; coordinated referral</w:t>
            </w:r>
          </w:p>
        </w:tc>
        <w:tc>
          <w:tcPr>
            <w:tcW w:w="3901" w:type="dxa"/>
          </w:tcPr>
          <w:p w14:paraId="6838EE31" w14:textId="77777777" w:rsidR="00041A40" w:rsidRPr="00184C42" w:rsidRDefault="00041A40" w:rsidP="00041A40">
            <w:pPr>
              <w:spacing w:after="0"/>
              <w:rPr>
                <w:rFonts w:cs="Arial"/>
                <w:sz w:val="20"/>
                <w:szCs w:val="28"/>
              </w:rPr>
            </w:pPr>
            <w:proofErr w:type="spellStart"/>
            <w:r w:rsidRPr="00184C42">
              <w:rPr>
                <w:rFonts w:cs="Arial"/>
                <w:sz w:val="20"/>
                <w:szCs w:val="28"/>
              </w:rPr>
              <w:t>Organisation</w:t>
            </w:r>
            <w:proofErr w:type="spellEnd"/>
            <w:r w:rsidRPr="00184C42">
              <w:rPr>
                <w:rFonts w:cs="Arial"/>
                <w:sz w:val="20"/>
                <w:szCs w:val="28"/>
              </w:rPr>
              <w:t xml:space="preserve"> and continuity of CKD care</w:t>
            </w:r>
          </w:p>
        </w:tc>
        <w:tc>
          <w:tcPr>
            <w:tcW w:w="4828" w:type="dxa"/>
          </w:tcPr>
          <w:p w14:paraId="6B16BFFD" w14:textId="77777777" w:rsidR="00041A40" w:rsidRPr="00184C42" w:rsidRDefault="00041A40" w:rsidP="00041A40">
            <w:pPr>
              <w:spacing w:after="0"/>
              <w:rPr>
                <w:rFonts w:cs="Arial"/>
                <w:sz w:val="20"/>
                <w:szCs w:val="28"/>
              </w:rPr>
            </w:pPr>
            <w:r w:rsidRPr="00184C42">
              <w:rPr>
                <w:rFonts w:cs="Arial"/>
                <w:sz w:val="20"/>
                <w:szCs w:val="28"/>
              </w:rPr>
              <w:t>7. Integrated care and health-system management</w:t>
            </w:r>
          </w:p>
        </w:tc>
      </w:tr>
    </w:tbl>
    <w:p w14:paraId="6B22AF2D" w14:textId="77777777" w:rsidR="00041A40" w:rsidRPr="00041A40" w:rsidRDefault="00041A40" w:rsidP="00041A40">
      <w:pPr>
        <w:spacing w:after="200"/>
        <w:jc w:val="left"/>
        <w:rPr>
          <w:rFonts w:cs="Arial"/>
        </w:rPr>
      </w:pPr>
    </w:p>
    <w:p w14:paraId="408332C2" w14:textId="77777777" w:rsidR="00041A40" w:rsidRDefault="00041A40" w:rsidP="00462CB9">
      <w:pPr>
        <w:spacing w:after="200"/>
        <w:jc w:val="left"/>
        <w:rPr>
          <w:rFonts w:cs="Arial"/>
        </w:rPr>
      </w:pPr>
    </w:p>
    <w:sectPr w:rsidR="00041A40" w:rsidSect="00A00539">
      <w:pgSz w:w="16838" w:h="11906" w:orient="landscape" w:code="9"/>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82E82" w14:textId="77777777" w:rsidR="009135CF" w:rsidRDefault="009135CF">
      <w:pPr>
        <w:spacing w:after="0" w:line="240" w:lineRule="auto"/>
      </w:pPr>
      <w:r>
        <w:separator/>
      </w:r>
    </w:p>
  </w:endnote>
  <w:endnote w:type="continuationSeparator" w:id="0">
    <w:p w14:paraId="0E2EBA06" w14:textId="77777777" w:rsidR="009135CF" w:rsidRDefault="00913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DejaVu Sans">
    <w:altName w:val="Verdan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E8B6B" w14:textId="77777777" w:rsidR="00773F15" w:rsidRDefault="00773F15" w:rsidP="00AC471E">
    <w:pPr>
      <w:pStyle w:val="Footer"/>
      <w:jc w:val="right"/>
    </w:pP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977F4" w14:textId="77777777" w:rsidR="009135CF" w:rsidRDefault="009135CF">
      <w:pPr>
        <w:spacing w:after="0" w:line="240" w:lineRule="auto"/>
      </w:pPr>
      <w:r>
        <w:separator/>
      </w:r>
    </w:p>
  </w:footnote>
  <w:footnote w:type="continuationSeparator" w:id="0">
    <w:p w14:paraId="77E304B2" w14:textId="77777777" w:rsidR="009135CF" w:rsidRDefault="009135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0F06C8C"/>
    <w:multiLevelType w:val="hybridMultilevel"/>
    <w:tmpl w:val="FACADDA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9B1CA8"/>
    <w:multiLevelType w:val="hybridMultilevel"/>
    <w:tmpl w:val="86E43CCC"/>
    <w:lvl w:ilvl="0" w:tplc="0409000F">
      <w:start w:val="1"/>
      <w:numFmt w:val="decimal"/>
      <w:lvlText w:val="%1."/>
      <w:lvlJc w:val="left"/>
      <w:pPr>
        <w:ind w:left="720" w:hanging="18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1942FC2"/>
    <w:multiLevelType w:val="hybridMultilevel"/>
    <w:tmpl w:val="B0E6E3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1167A3"/>
    <w:multiLevelType w:val="hybridMultilevel"/>
    <w:tmpl w:val="5680DC18"/>
    <w:lvl w:ilvl="0" w:tplc="04090013">
      <w:start w:val="1"/>
      <w:numFmt w:val="upperRoman"/>
      <w:lvlText w:val="%1."/>
      <w:lvlJc w:val="right"/>
      <w:pPr>
        <w:ind w:left="720" w:hanging="18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7697AB3"/>
    <w:multiLevelType w:val="hybridMultilevel"/>
    <w:tmpl w:val="EA6243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82384220">
    <w:abstractNumId w:val="8"/>
  </w:num>
  <w:num w:numId="2" w16cid:durableId="423914357">
    <w:abstractNumId w:val="6"/>
  </w:num>
  <w:num w:numId="3" w16cid:durableId="1344473063">
    <w:abstractNumId w:val="5"/>
  </w:num>
  <w:num w:numId="4" w16cid:durableId="1832526712">
    <w:abstractNumId w:val="4"/>
  </w:num>
  <w:num w:numId="5" w16cid:durableId="1239636060">
    <w:abstractNumId w:val="7"/>
  </w:num>
  <w:num w:numId="6" w16cid:durableId="1359306825">
    <w:abstractNumId w:val="3"/>
  </w:num>
  <w:num w:numId="7" w16cid:durableId="1343967226">
    <w:abstractNumId w:val="2"/>
  </w:num>
  <w:num w:numId="8" w16cid:durableId="1942641641">
    <w:abstractNumId w:val="1"/>
  </w:num>
  <w:num w:numId="9" w16cid:durableId="807741235">
    <w:abstractNumId w:val="0"/>
  </w:num>
  <w:num w:numId="10" w16cid:durableId="512500750">
    <w:abstractNumId w:val="11"/>
  </w:num>
  <w:num w:numId="11" w16cid:durableId="1480658696">
    <w:abstractNumId w:val="9"/>
  </w:num>
  <w:num w:numId="12" w16cid:durableId="739712296">
    <w:abstractNumId w:val="12"/>
  </w:num>
  <w:num w:numId="13" w16cid:durableId="1779989191">
    <w:abstractNumId w:val="10"/>
  </w:num>
  <w:num w:numId="14" w16cid:durableId="142842801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A18"/>
    <w:rsid w:val="00007F95"/>
    <w:rsid w:val="0001316F"/>
    <w:rsid w:val="0001343C"/>
    <w:rsid w:val="00016401"/>
    <w:rsid w:val="00025F84"/>
    <w:rsid w:val="00033B00"/>
    <w:rsid w:val="00034616"/>
    <w:rsid w:val="00041A40"/>
    <w:rsid w:val="0005168B"/>
    <w:rsid w:val="0006063C"/>
    <w:rsid w:val="00061744"/>
    <w:rsid w:val="00062E46"/>
    <w:rsid w:val="000847B9"/>
    <w:rsid w:val="00096A82"/>
    <w:rsid w:val="000A5B3B"/>
    <w:rsid w:val="000B1451"/>
    <w:rsid w:val="000B3C1F"/>
    <w:rsid w:val="000D1428"/>
    <w:rsid w:val="000D4C48"/>
    <w:rsid w:val="000D5753"/>
    <w:rsid w:val="000E117B"/>
    <w:rsid w:val="000E378F"/>
    <w:rsid w:val="000E4EC7"/>
    <w:rsid w:val="000F299E"/>
    <w:rsid w:val="000F7EE2"/>
    <w:rsid w:val="00101472"/>
    <w:rsid w:val="00121841"/>
    <w:rsid w:val="001227C2"/>
    <w:rsid w:val="001277AC"/>
    <w:rsid w:val="00130280"/>
    <w:rsid w:val="001370C4"/>
    <w:rsid w:val="00140DD5"/>
    <w:rsid w:val="00144A96"/>
    <w:rsid w:val="0015074B"/>
    <w:rsid w:val="00152253"/>
    <w:rsid w:val="00162811"/>
    <w:rsid w:val="0016578C"/>
    <w:rsid w:val="00173457"/>
    <w:rsid w:val="00176014"/>
    <w:rsid w:val="00180C76"/>
    <w:rsid w:val="00182FE1"/>
    <w:rsid w:val="00184C42"/>
    <w:rsid w:val="00196A88"/>
    <w:rsid w:val="001A4360"/>
    <w:rsid w:val="001B1E45"/>
    <w:rsid w:val="001C2236"/>
    <w:rsid w:val="001C790E"/>
    <w:rsid w:val="001D1A6A"/>
    <w:rsid w:val="001D464E"/>
    <w:rsid w:val="001D6D6F"/>
    <w:rsid w:val="001E0CCF"/>
    <w:rsid w:val="001E1253"/>
    <w:rsid w:val="001E7DB1"/>
    <w:rsid w:val="00205FE3"/>
    <w:rsid w:val="00212C0F"/>
    <w:rsid w:val="002151EE"/>
    <w:rsid w:val="00223595"/>
    <w:rsid w:val="00233C80"/>
    <w:rsid w:val="002378CB"/>
    <w:rsid w:val="00241390"/>
    <w:rsid w:val="00242C19"/>
    <w:rsid w:val="00251E03"/>
    <w:rsid w:val="00266E10"/>
    <w:rsid w:val="002872FB"/>
    <w:rsid w:val="00287D5E"/>
    <w:rsid w:val="002916F0"/>
    <w:rsid w:val="0029639D"/>
    <w:rsid w:val="002A55E6"/>
    <w:rsid w:val="002A6DBB"/>
    <w:rsid w:val="002B3A78"/>
    <w:rsid w:val="002B7BFD"/>
    <w:rsid w:val="002D2C59"/>
    <w:rsid w:val="002D39E2"/>
    <w:rsid w:val="002D4B06"/>
    <w:rsid w:val="002F4036"/>
    <w:rsid w:val="002F7D28"/>
    <w:rsid w:val="00300F7C"/>
    <w:rsid w:val="0030194D"/>
    <w:rsid w:val="00326F90"/>
    <w:rsid w:val="00327DF0"/>
    <w:rsid w:val="00356B02"/>
    <w:rsid w:val="003712FC"/>
    <w:rsid w:val="003762B7"/>
    <w:rsid w:val="00381087"/>
    <w:rsid w:val="0038603C"/>
    <w:rsid w:val="003910C3"/>
    <w:rsid w:val="00394729"/>
    <w:rsid w:val="00397262"/>
    <w:rsid w:val="003A45A2"/>
    <w:rsid w:val="003B6BA5"/>
    <w:rsid w:val="003C6B20"/>
    <w:rsid w:val="003D0BFD"/>
    <w:rsid w:val="003D279A"/>
    <w:rsid w:val="003F323F"/>
    <w:rsid w:val="00416C8C"/>
    <w:rsid w:val="004210D8"/>
    <w:rsid w:val="004215FB"/>
    <w:rsid w:val="00421807"/>
    <w:rsid w:val="004240BD"/>
    <w:rsid w:val="004321D9"/>
    <w:rsid w:val="004506D3"/>
    <w:rsid w:val="004533D8"/>
    <w:rsid w:val="00455358"/>
    <w:rsid w:val="00462CB9"/>
    <w:rsid w:val="0048707E"/>
    <w:rsid w:val="00490A8B"/>
    <w:rsid w:val="004A4A39"/>
    <w:rsid w:val="004B2B46"/>
    <w:rsid w:val="004B6733"/>
    <w:rsid w:val="004D0B81"/>
    <w:rsid w:val="004D0DB5"/>
    <w:rsid w:val="004E5DFB"/>
    <w:rsid w:val="00500B53"/>
    <w:rsid w:val="005056F6"/>
    <w:rsid w:val="00517E7A"/>
    <w:rsid w:val="00525E97"/>
    <w:rsid w:val="00530A72"/>
    <w:rsid w:val="00531EB9"/>
    <w:rsid w:val="00532809"/>
    <w:rsid w:val="005344D0"/>
    <w:rsid w:val="00544F3D"/>
    <w:rsid w:val="00546FA6"/>
    <w:rsid w:val="0055105F"/>
    <w:rsid w:val="00566BB0"/>
    <w:rsid w:val="005716B4"/>
    <w:rsid w:val="00574EFA"/>
    <w:rsid w:val="00575BD2"/>
    <w:rsid w:val="005823C5"/>
    <w:rsid w:val="00590491"/>
    <w:rsid w:val="005A34CC"/>
    <w:rsid w:val="005B40F9"/>
    <w:rsid w:val="005C65C6"/>
    <w:rsid w:val="005E4261"/>
    <w:rsid w:val="005E43BE"/>
    <w:rsid w:val="005E5F3F"/>
    <w:rsid w:val="005E745C"/>
    <w:rsid w:val="005F7DA1"/>
    <w:rsid w:val="006077D6"/>
    <w:rsid w:val="00613093"/>
    <w:rsid w:val="00613E30"/>
    <w:rsid w:val="00620F6C"/>
    <w:rsid w:val="006218E6"/>
    <w:rsid w:val="00622D61"/>
    <w:rsid w:val="00627883"/>
    <w:rsid w:val="006315DC"/>
    <w:rsid w:val="006329CC"/>
    <w:rsid w:val="00632AAE"/>
    <w:rsid w:val="00641E49"/>
    <w:rsid w:val="00647D94"/>
    <w:rsid w:val="00654BED"/>
    <w:rsid w:val="0065718E"/>
    <w:rsid w:val="0066368D"/>
    <w:rsid w:val="00666600"/>
    <w:rsid w:val="00666D2C"/>
    <w:rsid w:val="006768BE"/>
    <w:rsid w:val="0068245D"/>
    <w:rsid w:val="00683AA5"/>
    <w:rsid w:val="00686096"/>
    <w:rsid w:val="006977C3"/>
    <w:rsid w:val="006A29C4"/>
    <w:rsid w:val="006A4D0E"/>
    <w:rsid w:val="006B23C2"/>
    <w:rsid w:val="006C1FA2"/>
    <w:rsid w:val="006D5A53"/>
    <w:rsid w:val="006D7325"/>
    <w:rsid w:val="006E53A9"/>
    <w:rsid w:val="006E5C51"/>
    <w:rsid w:val="006F0FDA"/>
    <w:rsid w:val="006F16E0"/>
    <w:rsid w:val="006F32C5"/>
    <w:rsid w:val="007213B5"/>
    <w:rsid w:val="00722269"/>
    <w:rsid w:val="00732E98"/>
    <w:rsid w:val="00752242"/>
    <w:rsid w:val="0075241B"/>
    <w:rsid w:val="00757788"/>
    <w:rsid w:val="0076203E"/>
    <w:rsid w:val="00764647"/>
    <w:rsid w:val="00765C27"/>
    <w:rsid w:val="00773F15"/>
    <w:rsid w:val="007748AF"/>
    <w:rsid w:val="00775D10"/>
    <w:rsid w:val="00782606"/>
    <w:rsid w:val="00782FCE"/>
    <w:rsid w:val="0079723E"/>
    <w:rsid w:val="007A17D5"/>
    <w:rsid w:val="007A5192"/>
    <w:rsid w:val="007A60BB"/>
    <w:rsid w:val="007B0A35"/>
    <w:rsid w:val="007B0A55"/>
    <w:rsid w:val="007B5954"/>
    <w:rsid w:val="007C4C33"/>
    <w:rsid w:val="007D2BB5"/>
    <w:rsid w:val="007E032E"/>
    <w:rsid w:val="007E2D19"/>
    <w:rsid w:val="007E3213"/>
    <w:rsid w:val="007F002D"/>
    <w:rsid w:val="007F304E"/>
    <w:rsid w:val="007F6A96"/>
    <w:rsid w:val="008018C1"/>
    <w:rsid w:val="0080550A"/>
    <w:rsid w:val="00810138"/>
    <w:rsid w:val="00811E5D"/>
    <w:rsid w:val="008131AA"/>
    <w:rsid w:val="0082013B"/>
    <w:rsid w:val="00822705"/>
    <w:rsid w:val="00825F2F"/>
    <w:rsid w:val="00826D2E"/>
    <w:rsid w:val="00847840"/>
    <w:rsid w:val="00853DF8"/>
    <w:rsid w:val="00874248"/>
    <w:rsid w:val="008749EB"/>
    <w:rsid w:val="00897818"/>
    <w:rsid w:val="008A3F07"/>
    <w:rsid w:val="008B47CA"/>
    <w:rsid w:val="008B7BF3"/>
    <w:rsid w:val="008C3575"/>
    <w:rsid w:val="008C4D0E"/>
    <w:rsid w:val="008C769D"/>
    <w:rsid w:val="008D0E1A"/>
    <w:rsid w:val="008E07E5"/>
    <w:rsid w:val="008E3A72"/>
    <w:rsid w:val="008F29F8"/>
    <w:rsid w:val="009032BB"/>
    <w:rsid w:val="0090489D"/>
    <w:rsid w:val="00905342"/>
    <w:rsid w:val="00905A35"/>
    <w:rsid w:val="00910E39"/>
    <w:rsid w:val="0091326E"/>
    <w:rsid w:val="009135CF"/>
    <w:rsid w:val="00915EAB"/>
    <w:rsid w:val="00920B59"/>
    <w:rsid w:val="009259BE"/>
    <w:rsid w:val="00932CF8"/>
    <w:rsid w:val="00934448"/>
    <w:rsid w:val="00942CF4"/>
    <w:rsid w:val="00943CFD"/>
    <w:rsid w:val="00953425"/>
    <w:rsid w:val="00961272"/>
    <w:rsid w:val="009642A4"/>
    <w:rsid w:val="00970B21"/>
    <w:rsid w:val="00975B17"/>
    <w:rsid w:val="00982206"/>
    <w:rsid w:val="00991CD5"/>
    <w:rsid w:val="009A0815"/>
    <w:rsid w:val="009A27AE"/>
    <w:rsid w:val="009B1E77"/>
    <w:rsid w:val="009B2C20"/>
    <w:rsid w:val="009C1402"/>
    <w:rsid w:val="009D3822"/>
    <w:rsid w:val="009F139F"/>
    <w:rsid w:val="00A00539"/>
    <w:rsid w:val="00A051CD"/>
    <w:rsid w:val="00A17325"/>
    <w:rsid w:val="00A274E6"/>
    <w:rsid w:val="00A30065"/>
    <w:rsid w:val="00A33369"/>
    <w:rsid w:val="00A3753E"/>
    <w:rsid w:val="00A425C2"/>
    <w:rsid w:val="00A429BD"/>
    <w:rsid w:val="00A50B65"/>
    <w:rsid w:val="00A55552"/>
    <w:rsid w:val="00A55CDB"/>
    <w:rsid w:val="00A624E8"/>
    <w:rsid w:val="00A759DA"/>
    <w:rsid w:val="00A75FFE"/>
    <w:rsid w:val="00A84AF7"/>
    <w:rsid w:val="00A923B1"/>
    <w:rsid w:val="00A934BF"/>
    <w:rsid w:val="00A95F70"/>
    <w:rsid w:val="00AA140B"/>
    <w:rsid w:val="00AA1D8D"/>
    <w:rsid w:val="00AA3D6A"/>
    <w:rsid w:val="00AA5C99"/>
    <w:rsid w:val="00AB3144"/>
    <w:rsid w:val="00AB4007"/>
    <w:rsid w:val="00AC471E"/>
    <w:rsid w:val="00AD3E76"/>
    <w:rsid w:val="00AD5372"/>
    <w:rsid w:val="00AE3768"/>
    <w:rsid w:val="00AE4926"/>
    <w:rsid w:val="00B15158"/>
    <w:rsid w:val="00B2301D"/>
    <w:rsid w:val="00B402A7"/>
    <w:rsid w:val="00B433F6"/>
    <w:rsid w:val="00B47730"/>
    <w:rsid w:val="00B50398"/>
    <w:rsid w:val="00B61699"/>
    <w:rsid w:val="00B72959"/>
    <w:rsid w:val="00B85EEC"/>
    <w:rsid w:val="00B9763B"/>
    <w:rsid w:val="00BB2AA7"/>
    <w:rsid w:val="00BB5DB1"/>
    <w:rsid w:val="00BC7E6B"/>
    <w:rsid w:val="00BD5E61"/>
    <w:rsid w:val="00BD61F7"/>
    <w:rsid w:val="00BE5AD3"/>
    <w:rsid w:val="00BF54FA"/>
    <w:rsid w:val="00C07BB7"/>
    <w:rsid w:val="00C13F03"/>
    <w:rsid w:val="00C20A24"/>
    <w:rsid w:val="00C2328E"/>
    <w:rsid w:val="00C341DB"/>
    <w:rsid w:val="00C35449"/>
    <w:rsid w:val="00C362B7"/>
    <w:rsid w:val="00C52902"/>
    <w:rsid w:val="00C57608"/>
    <w:rsid w:val="00C61FFD"/>
    <w:rsid w:val="00C70E5B"/>
    <w:rsid w:val="00C765C5"/>
    <w:rsid w:val="00C875E5"/>
    <w:rsid w:val="00C92E82"/>
    <w:rsid w:val="00CA753A"/>
    <w:rsid w:val="00CB0664"/>
    <w:rsid w:val="00CC24AA"/>
    <w:rsid w:val="00CC3514"/>
    <w:rsid w:val="00CC4AA2"/>
    <w:rsid w:val="00CD4B2C"/>
    <w:rsid w:val="00CD62E3"/>
    <w:rsid w:val="00CE7276"/>
    <w:rsid w:val="00CF4029"/>
    <w:rsid w:val="00D0049E"/>
    <w:rsid w:val="00D066DD"/>
    <w:rsid w:val="00D06B3F"/>
    <w:rsid w:val="00D11EF4"/>
    <w:rsid w:val="00D134F7"/>
    <w:rsid w:val="00D17E79"/>
    <w:rsid w:val="00D21988"/>
    <w:rsid w:val="00D25364"/>
    <w:rsid w:val="00D27DD4"/>
    <w:rsid w:val="00D31D11"/>
    <w:rsid w:val="00D32B4A"/>
    <w:rsid w:val="00D34803"/>
    <w:rsid w:val="00D405A3"/>
    <w:rsid w:val="00D54E7A"/>
    <w:rsid w:val="00D61BB9"/>
    <w:rsid w:val="00D6571F"/>
    <w:rsid w:val="00D67284"/>
    <w:rsid w:val="00D72031"/>
    <w:rsid w:val="00D83E62"/>
    <w:rsid w:val="00D863A2"/>
    <w:rsid w:val="00DA0055"/>
    <w:rsid w:val="00DB3DD4"/>
    <w:rsid w:val="00DB6745"/>
    <w:rsid w:val="00DD2660"/>
    <w:rsid w:val="00DE232F"/>
    <w:rsid w:val="00DE4C8B"/>
    <w:rsid w:val="00DE66B3"/>
    <w:rsid w:val="00DE7970"/>
    <w:rsid w:val="00DF6227"/>
    <w:rsid w:val="00DF6E77"/>
    <w:rsid w:val="00E14D33"/>
    <w:rsid w:val="00E16A1E"/>
    <w:rsid w:val="00E2368C"/>
    <w:rsid w:val="00E26350"/>
    <w:rsid w:val="00E40F61"/>
    <w:rsid w:val="00E521EE"/>
    <w:rsid w:val="00E602A2"/>
    <w:rsid w:val="00E616DA"/>
    <w:rsid w:val="00E62F99"/>
    <w:rsid w:val="00E63F82"/>
    <w:rsid w:val="00E669EB"/>
    <w:rsid w:val="00E679B7"/>
    <w:rsid w:val="00E7437F"/>
    <w:rsid w:val="00E832C8"/>
    <w:rsid w:val="00E849E9"/>
    <w:rsid w:val="00E94D7A"/>
    <w:rsid w:val="00ED5ADF"/>
    <w:rsid w:val="00EE65A8"/>
    <w:rsid w:val="00EF05FE"/>
    <w:rsid w:val="00EF536E"/>
    <w:rsid w:val="00F25A26"/>
    <w:rsid w:val="00F276B3"/>
    <w:rsid w:val="00F30BA6"/>
    <w:rsid w:val="00F33350"/>
    <w:rsid w:val="00F3604E"/>
    <w:rsid w:val="00F4228A"/>
    <w:rsid w:val="00F64A0E"/>
    <w:rsid w:val="00F71D9E"/>
    <w:rsid w:val="00F740B5"/>
    <w:rsid w:val="00F81F67"/>
    <w:rsid w:val="00F8281F"/>
    <w:rsid w:val="00F868C5"/>
    <w:rsid w:val="00F86E4F"/>
    <w:rsid w:val="00F919C8"/>
    <w:rsid w:val="00F92DEB"/>
    <w:rsid w:val="00F92F56"/>
    <w:rsid w:val="00F9365A"/>
    <w:rsid w:val="00F94D42"/>
    <w:rsid w:val="00F95CDB"/>
    <w:rsid w:val="00FB075D"/>
    <w:rsid w:val="00FB4D98"/>
    <w:rsid w:val="00FB7101"/>
    <w:rsid w:val="00FC1D98"/>
    <w:rsid w:val="00FC5D04"/>
    <w:rsid w:val="00FC693F"/>
    <w:rsid w:val="00FE225E"/>
    <w:rsid w:val="00FE28B3"/>
    <w:rsid w:val="00FE3312"/>
    <w:rsid w:val="00FF3A36"/>
    <w:rsid w:val="00FF5396"/>
    <w:rsid w:val="00FF77A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542CAA"/>
  <w14:defaultImageDpi w14:val="330"/>
  <w15:docId w15:val="{A211D353-1DE8-49F2-9438-591E02A39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A40"/>
    <w:pPr>
      <w:spacing w:after="120" w:line="360" w:lineRule="auto"/>
      <w:jc w:val="both"/>
    </w:pPr>
    <w:rPr>
      <w:rFonts w:ascii="Arial" w:eastAsia="Times New Roman" w:hAnsi="Arial"/>
    </w:rPr>
  </w:style>
  <w:style w:type="paragraph" w:styleId="Heading1">
    <w:name w:val="heading 1"/>
    <w:basedOn w:val="Normal"/>
    <w:next w:val="Normal"/>
    <w:link w:val="Heading1Char"/>
    <w:uiPriority w:val="9"/>
    <w:qFormat/>
    <w:rsid w:val="0038603C"/>
    <w:pPr>
      <w:keepNext/>
      <w:keepLines/>
      <w:spacing w:before="480" w:after="0"/>
      <w:jc w:val="center"/>
      <w:outlineLvl w:val="0"/>
    </w:pPr>
    <w:rPr>
      <w:rFonts w:eastAsiaTheme="majorEastAsia" w:cstheme="majorBidi"/>
      <w:b/>
      <w:bCs/>
      <w:color w:val="000000" w:themeColor="text1"/>
      <w:sz w:val="32"/>
      <w:szCs w:val="32"/>
    </w:rPr>
  </w:style>
  <w:style w:type="paragraph" w:styleId="Heading2">
    <w:name w:val="heading 2"/>
    <w:basedOn w:val="Normal"/>
    <w:next w:val="Normal"/>
    <w:link w:val="Heading2Char"/>
    <w:uiPriority w:val="9"/>
    <w:unhideWhenUsed/>
    <w:qFormat/>
    <w:rsid w:val="0038603C"/>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853DF8"/>
    <w:pPr>
      <w:keepNext/>
      <w:keepLines/>
      <w:spacing w:before="200" w:after="0"/>
      <w:outlineLvl w:val="2"/>
    </w:pPr>
    <w:rPr>
      <w:rFonts w:eastAsiaTheme="majorEastAsia" w:cstheme="majorBidi"/>
      <w:b/>
      <w:bCs/>
      <w:color w:val="4F81BD" w:themeColor="accen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8603C"/>
    <w:rPr>
      <w:rFonts w:ascii="Arial" w:eastAsiaTheme="majorEastAsia" w:hAnsi="Arial" w:cstheme="majorBidi"/>
      <w:b/>
      <w:bCs/>
      <w:color w:val="000000" w:themeColor="text1"/>
      <w:sz w:val="32"/>
      <w:szCs w:val="32"/>
    </w:rPr>
  </w:style>
  <w:style w:type="character" w:customStyle="1" w:styleId="Heading2Char">
    <w:name w:val="Heading 2 Char"/>
    <w:basedOn w:val="DefaultParagraphFont"/>
    <w:link w:val="Heading2"/>
    <w:uiPriority w:val="9"/>
    <w:rsid w:val="0038603C"/>
    <w:rPr>
      <w:rFonts w:ascii="Arial" w:eastAsiaTheme="majorEastAsia" w:hAnsi="Arial" w:cstheme="majorBidi"/>
      <w:b/>
      <w:bCs/>
      <w:color w:val="000000" w:themeColor="text1"/>
      <w:sz w:val="26"/>
      <w:szCs w:val="26"/>
    </w:rPr>
  </w:style>
  <w:style w:type="character" w:customStyle="1" w:styleId="Heading3Char">
    <w:name w:val="Heading 3 Char"/>
    <w:basedOn w:val="DefaultParagraphFont"/>
    <w:link w:val="Heading3"/>
    <w:uiPriority w:val="9"/>
    <w:rsid w:val="00853DF8"/>
    <w:rPr>
      <w:rFonts w:ascii="Arial" w:eastAsiaTheme="majorEastAsia" w:hAnsi="Arial" w:cstheme="majorBidi"/>
      <w:b/>
      <w:bCs/>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151EE"/>
    <w:pPr>
      <w:spacing w:after="100"/>
      <w:jc w:val="left"/>
    </w:pPr>
    <w:rPr>
      <w:rFonts w:cs="Arial"/>
      <w:sz w:val="24"/>
      <w:szCs w:val="24"/>
    </w:rPr>
  </w:style>
  <w:style w:type="paragraph" w:styleId="TOC2">
    <w:name w:val="toc 2"/>
    <w:basedOn w:val="Normal"/>
    <w:next w:val="Normal"/>
    <w:autoRedefine/>
    <w:uiPriority w:val="39"/>
    <w:unhideWhenUsed/>
    <w:rsid w:val="007D2BB5"/>
    <w:pPr>
      <w:spacing w:after="100"/>
    </w:pPr>
  </w:style>
  <w:style w:type="character" w:styleId="Hyperlink">
    <w:name w:val="Hyperlink"/>
    <w:basedOn w:val="DefaultParagraphFont"/>
    <w:uiPriority w:val="99"/>
    <w:unhideWhenUsed/>
    <w:rsid w:val="000D5753"/>
    <w:rPr>
      <w:color w:val="0000FF" w:themeColor="hyperlink"/>
      <w:u w:val="single"/>
    </w:rPr>
  </w:style>
  <w:style w:type="character" w:styleId="UnresolvedMention">
    <w:name w:val="Unresolved Mention"/>
    <w:basedOn w:val="DefaultParagraphFont"/>
    <w:uiPriority w:val="99"/>
    <w:semiHidden/>
    <w:unhideWhenUsed/>
    <w:rsid w:val="00C52902"/>
    <w:rPr>
      <w:color w:val="605E5C"/>
      <w:shd w:val="clear" w:color="auto" w:fill="E1DFDD"/>
    </w:rPr>
  </w:style>
  <w:style w:type="paragraph" w:styleId="TOC3">
    <w:name w:val="toc 3"/>
    <w:basedOn w:val="Normal"/>
    <w:next w:val="Normal"/>
    <w:autoRedefine/>
    <w:uiPriority w:val="39"/>
    <w:unhideWhenUsed/>
    <w:rsid w:val="00F8281F"/>
    <w:pPr>
      <w:spacing w:after="100"/>
      <w:ind w:left="440"/>
    </w:pPr>
  </w:style>
  <w:style w:type="paragraph" w:customStyle="1" w:styleId="TableCaption">
    <w:name w:val="Table Caption"/>
    <w:rsid w:val="00773F15"/>
    <w:pPr>
      <w:spacing w:before="160" w:after="80"/>
    </w:pPr>
    <w:rPr>
      <w:rFonts w:ascii="Arial" w:eastAsia="Arial" w:hAnsi="Arial"/>
      <w:b/>
      <w:sz w:val="20"/>
    </w:rPr>
  </w:style>
  <w:style w:type="paragraph" w:customStyle="1" w:styleId="HarvardReference">
    <w:name w:val="Harvard Reference"/>
    <w:basedOn w:val="Normal"/>
    <w:rsid w:val="007D2BB5"/>
    <w:pPr>
      <w:keepLines/>
      <w:spacing w:line="259" w:lineRule="auto"/>
      <w:ind w:left="490" w:hanging="490"/>
      <w:jc w:val="left"/>
    </w:pPr>
    <w:rPr>
      <w:rFonts w:ascii="Times New Roman" w:hAnsi="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90044">
      <w:bodyDiv w:val="1"/>
      <w:marLeft w:val="0"/>
      <w:marRight w:val="0"/>
      <w:marTop w:val="0"/>
      <w:marBottom w:val="0"/>
      <w:divBdr>
        <w:top w:val="none" w:sz="0" w:space="0" w:color="auto"/>
        <w:left w:val="none" w:sz="0" w:space="0" w:color="auto"/>
        <w:bottom w:val="none" w:sz="0" w:space="0" w:color="auto"/>
        <w:right w:val="none" w:sz="0" w:space="0" w:color="auto"/>
      </w:divBdr>
      <w:divsChild>
        <w:div w:id="2045670438">
          <w:marLeft w:val="0"/>
          <w:marRight w:val="0"/>
          <w:marTop w:val="0"/>
          <w:marBottom w:val="0"/>
          <w:divBdr>
            <w:top w:val="none" w:sz="0" w:space="0" w:color="auto"/>
            <w:left w:val="none" w:sz="0" w:space="0" w:color="auto"/>
            <w:bottom w:val="none" w:sz="0" w:space="0" w:color="auto"/>
            <w:right w:val="none" w:sz="0" w:space="0" w:color="auto"/>
          </w:divBdr>
          <w:divsChild>
            <w:div w:id="2053192241">
              <w:marLeft w:val="0"/>
              <w:marRight w:val="0"/>
              <w:marTop w:val="0"/>
              <w:marBottom w:val="0"/>
              <w:divBdr>
                <w:top w:val="none" w:sz="0" w:space="0" w:color="auto"/>
                <w:left w:val="none" w:sz="0" w:space="0" w:color="auto"/>
                <w:bottom w:val="none" w:sz="0" w:space="0" w:color="auto"/>
                <w:right w:val="none" w:sz="0" w:space="0" w:color="auto"/>
              </w:divBdr>
              <w:divsChild>
                <w:div w:id="29576631">
                  <w:marLeft w:val="0"/>
                  <w:marRight w:val="0"/>
                  <w:marTop w:val="0"/>
                  <w:marBottom w:val="0"/>
                  <w:divBdr>
                    <w:top w:val="none" w:sz="0" w:space="0" w:color="auto"/>
                    <w:left w:val="none" w:sz="0" w:space="0" w:color="auto"/>
                    <w:bottom w:val="none" w:sz="0" w:space="0" w:color="auto"/>
                    <w:right w:val="none" w:sz="0" w:space="0" w:color="auto"/>
                  </w:divBdr>
                  <w:divsChild>
                    <w:div w:id="1382629914">
                      <w:marLeft w:val="0"/>
                      <w:marRight w:val="0"/>
                      <w:marTop w:val="0"/>
                      <w:marBottom w:val="0"/>
                      <w:divBdr>
                        <w:top w:val="none" w:sz="0" w:space="0" w:color="auto"/>
                        <w:left w:val="none" w:sz="0" w:space="0" w:color="auto"/>
                        <w:bottom w:val="none" w:sz="0" w:space="0" w:color="auto"/>
                        <w:right w:val="none" w:sz="0" w:space="0" w:color="auto"/>
                      </w:divBdr>
                      <w:divsChild>
                        <w:div w:id="1685008383">
                          <w:marLeft w:val="0"/>
                          <w:marRight w:val="0"/>
                          <w:marTop w:val="0"/>
                          <w:marBottom w:val="0"/>
                          <w:divBdr>
                            <w:top w:val="none" w:sz="0" w:space="0" w:color="auto"/>
                            <w:left w:val="none" w:sz="0" w:space="0" w:color="auto"/>
                            <w:bottom w:val="none" w:sz="0" w:space="0" w:color="auto"/>
                            <w:right w:val="none" w:sz="0" w:space="0" w:color="auto"/>
                          </w:divBdr>
                          <w:divsChild>
                            <w:div w:id="914126505">
                              <w:marLeft w:val="0"/>
                              <w:marRight w:val="0"/>
                              <w:marTop w:val="0"/>
                              <w:marBottom w:val="0"/>
                              <w:divBdr>
                                <w:top w:val="none" w:sz="0" w:space="0" w:color="auto"/>
                                <w:left w:val="none" w:sz="0" w:space="0" w:color="auto"/>
                                <w:bottom w:val="none" w:sz="0" w:space="0" w:color="auto"/>
                                <w:right w:val="none" w:sz="0" w:space="0" w:color="auto"/>
                              </w:divBdr>
                              <w:divsChild>
                                <w:div w:id="1268196920">
                                  <w:marLeft w:val="0"/>
                                  <w:marRight w:val="0"/>
                                  <w:marTop w:val="0"/>
                                  <w:marBottom w:val="0"/>
                                  <w:divBdr>
                                    <w:top w:val="none" w:sz="0" w:space="0" w:color="auto"/>
                                    <w:left w:val="none" w:sz="0" w:space="0" w:color="auto"/>
                                    <w:bottom w:val="none" w:sz="0" w:space="0" w:color="auto"/>
                                    <w:right w:val="none" w:sz="0" w:space="0" w:color="auto"/>
                                  </w:divBdr>
                                  <w:divsChild>
                                    <w:div w:id="578752041">
                                      <w:marLeft w:val="0"/>
                                      <w:marRight w:val="0"/>
                                      <w:marTop w:val="0"/>
                                      <w:marBottom w:val="0"/>
                                      <w:divBdr>
                                        <w:top w:val="none" w:sz="0" w:space="0" w:color="auto"/>
                                        <w:left w:val="none" w:sz="0" w:space="0" w:color="auto"/>
                                        <w:bottom w:val="none" w:sz="0" w:space="0" w:color="auto"/>
                                        <w:right w:val="none" w:sz="0" w:space="0" w:color="auto"/>
                                      </w:divBdr>
                                      <w:divsChild>
                                        <w:div w:id="957951373">
                                          <w:marLeft w:val="0"/>
                                          <w:marRight w:val="0"/>
                                          <w:marTop w:val="0"/>
                                          <w:marBottom w:val="0"/>
                                          <w:divBdr>
                                            <w:top w:val="none" w:sz="0" w:space="0" w:color="auto"/>
                                            <w:left w:val="none" w:sz="0" w:space="0" w:color="auto"/>
                                            <w:bottom w:val="none" w:sz="0" w:space="0" w:color="auto"/>
                                            <w:right w:val="none" w:sz="0" w:space="0" w:color="auto"/>
                                          </w:divBdr>
                                          <w:divsChild>
                                            <w:div w:id="357580863">
                                              <w:marLeft w:val="0"/>
                                              <w:marRight w:val="0"/>
                                              <w:marTop w:val="0"/>
                                              <w:marBottom w:val="0"/>
                                              <w:divBdr>
                                                <w:top w:val="none" w:sz="0" w:space="0" w:color="auto"/>
                                                <w:left w:val="none" w:sz="0" w:space="0" w:color="auto"/>
                                                <w:bottom w:val="none" w:sz="0" w:space="0" w:color="auto"/>
                                                <w:right w:val="none" w:sz="0" w:space="0" w:color="auto"/>
                                              </w:divBdr>
                                              <w:divsChild>
                                                <w:div w:id="204560684">
                                                  <w:marLeft w:val="0"/>
                                                  <w:marRight w:val="0"/>
                                                  <w:marTop w:val="0"/>
                                                  <w:marBottom w:val="0"/>
                                                  <w:divBdr>
                                                    <w:top w:val="none" w:sz="0" w:space="0" w:color="auto"/>
                                                    <w:left w:val="none" w:sz="0" w:space="0" w:color="auto"/>
                                                    <w:bottom w:val="none" w:sz="0" w:space="0" w:color="auto"/>
                                                    <w:right w:val="none" w:sz="0" w:space="0" w:color="auto"/>
                                                  </w:divBdr>
                                                  <w:divsChild>
                                                    <w:div w:id="447548147">
                                                      <w:marLeft w:val="0"/>
                                                      <w:marRight w:val="0"/>
                                                      <w:marTop w:val="0"/>
                                                      <w:marBottom w:val="0"/>
                                                      <w:divBdr>
                                                        <w:top w:val="none" w:sz="0" w:space="0" w:color="auto"/>
                                                        <w:left w:val="none" w:sz="0" w:space="0" w:color="auto"/>
                                                        <w:bottom w:val="none" w:sz="0" w:space="0" w:color="auto"/>
                                                        <w:right w:val="none" w:sz="0" w:space="0" w:color="auto"/>
                                                      </w:divBdr>
                                                      <w:divsChild>
                                                        <w:div w:id="1609459209">
                                                          <w:marLeft w:val="0"/>
                                                          <w:marRight w:val="0"/>
                                                          <w:marTop w:val="0"/>
                                                          <w:marBottom w:val="0"/>
                                                          <w:divBdr>
                                                            <w:top w:val="none" w:sz="0" w:space="0" w:color="auto"/>
                                                            <w:left w:val="none" w:sz="0" w:space="0" w:color="auto"/>
                                                            <w:bottom w:val="none" w:sz="0" w:space="0" w:color="auto"/>
                                                            <w:right w:val="none" w:sz="0" w:space="0" w:color="auto"/>
                                                          </w:divBdr>
                                                          <w:divsChild>
                                                            <w:div w:id="459493544">
                                                              <w:marLeft w:val="0"/>
                                                              <w:marRight w:val="0"/>
                                                              <w:marTop w:val="0"/>
                                                              <w:marBottom w:val="0"/>
                                                              <w:divBdr>
                                                                <w:top w:val="none" w:sz="0" w:space="0" w:color="auto"/>
                                                                <w:left w:val="none" w:sz="0" w:space="0" w:color="auto"/>
                                                                <w:bottom w:val="none" w:sz="0" w:space="0" w:color="auto"/>
                                                                <w:right w:val="none" w:sz="0" w:space="0" w:color="auto"/>
                                                              </w:divBdr>
                                                              <w:divsChild>
                                                                <w:div w:id="1291739273">
                                                                  <w:marLeft w:val="0"/>
                                                                  <w:marRight w:val="0"/>
                                                                  <w:marTop w:val="0"/>
                                                                  <w:marBottom w:val="0"/>
                                                                  <w:divBdr>
                                                                    <w:top w:val="none" w:sz="0" w:space="0" w:color="auto"/>
                                                                    <w:left w:val="none" w:sz="0" w:space="0" w:color="auto"/>
                                                                    <w:bottom w:val="none" w:sz="0" w:space="0" w:color="auto"/>
                                                                    <w:right w:val="none" w:sz="0" w:space="0" w:color="auto"/>
                                                                  </w:divBdr>
                                                                  <w:divsChild>
                                                                    <w:div w:id="1318652791">
                                                                      <w:marLeft w:val="0"/>
                                                                      <w:marRight w:val="0"/>
                                                                      <w:marTop w:val="0"/>
                                                                      <w:marBottom w:val="0"/>
                                                                      <w:divBdr>
                                                                        <w:top w:val="none" w:sz="0" w:space="0" w:color="auto"/>
                                                                        <w:left w:val="none" w:sz="0" w:space="0" w:color="auto"/>
                                                                        <w:bottom w:val="none" w:sz="0" w:space="0" w:color="auto"/>
                                                                        <w:right w:val="none" w:sz="0" w:space="0" w:color="auto"/>
                                                                      </w:divBdr>
                                                                      <w:divsChild>
                                                                        <w:div w:id="1687557627">
                                                                          <w:marLeft w:val="0"/>
                                                                          <w:marRight w:val="0"/>
                                                                          <w:marTop w:val="0"/>
                                                                          <w:marBottom w:val="0"/>
                                                                          <w:divBdr>
                                                                            <w:top w:val="none" w:sz="0" w:space="0" w:color="auto"/>
                                                                            <w:left w:val="none" w:sz="0" w:space="0" w:color="auto"/>
                                                                            <w:bottom w:val="none" w:sz="0" w:space="0" w:color="auto"/>
                                                                            <w:right w:val="none" w:sz="0" w:space="0" w:color="auto"/>
                                                                          </w:divBdr>
                                                                          <w:divsChild>
                                                                            <w:div w:id="401415793">
                                                                              <w:marLeft w:val="0"/>
                                                                              <w:marRight w:val="0"/>
                                                                              <w:marTop w:val="0"/>
                                                                              <w:marBottom w:val="0"/>
                                                                              <w:divBdr>
                                                                                <w:top w:val="none" w:sz="0" w:space="0" w:color="auto"/>
                                                                                <w:left w:val="none" w:sz="0" w:space="0" w:color="auto"/>
                                                                                <w:bottom w:val="none" w:sz="0" w:space="0" w:color="auto"/>
                                                                                <w:right w:val="none" w:sz="0" w:space="0" w:color="auto"/>
                                                                              </w:divBdr>
                                                                              <w:divsChild>
                                                                                <w:div w:id="1590651141">
                                                                                  <w:marLeft w:val="0"/>
                                                                                  <w:marRight w:val="0"/>
                                                                                  <w:marTop w:val="0"/>
                                                                                  <w:marBottom w:val="0"/>
                                                                                  <w:divBdr>
                                                                                    <w:top w:val="none" w:sz="0" w:space="0" w:color="auto"/>
                                                                                    <w:left w:val="none" w:sz="0" w:space="0" w:color="auto"/>
                                                                                    <w:bottom w:val="none" w:sz="0" w:space="0" w:color="auto"/>
                                                                                    <w:right w:val="none" w:sz="0" w:space="0" w:color="auto"/>
                                                                                  </w:divBdr>
                                                                                  <w:divsChild>
                                                                                    <w:div w:id="1648586876">
                                                                                      <w:marLeft w:val="0"/>
                                                                                      <w:marRight w:val="0"/>
                                                                                      <w:marTop w:val="0"/>
                                                                                      <w:marBottom w:val="0"/>
                                                                                      <w:divBdr>
                                                                                        <w:top w:val="none" w:sz="0" w:space="0" w:color="auto"/>
                                                                                        <w:left w:val="none" w:sz="0" w:space="0" w:color="auto"/>
                                                                                        <w:bottom w:val="none" w:sz="0" w:space="0" w:color="auto"/>
                                                                                        <w:right w:val="none" w:sz="0" w:space="0" w:color="auto"/>
                                                                                      </w:divBdr>
                                                                                      <w:divsChild>
                                                                                        <w:div w:id="1463156995">
                                                                                          <w:marLeft w:val="0"/>
                                                                                          <w:marRight w:val="0"/>
                                                                                          <w:marTop w:val="0"/>
                                                                                          <w:marBottom w:val="0"/>
                                                                                          <w:divBdr>
                                                                                            <w:top w:val="none" w:sz="0" w:space="0" w:color="auto"/>
                                                                                            <w:left w:val="none" w:sz="0" w:space="0" w:color="auto"/>
                                                                                            <w:bottom w:val="none" w:sz="0" w:space="0" w:color="auto"/>
                                                                                            <w:right w:val="none" w:sz="0" w:space="0" w:color="auto"/>
                                                                                          </w:divBdr>
                                                                                          <w:divsChild>
                                                                                            <w:div w:id="1533689857">
                                                                                              <w:marLeft w:val="0"/>
                                                                                              <w:marRight w:val="0"/>
                                                                                              <w:marTop w:val="0"/>
                                                                                              <w:marBottom w:val="0"/>
                                                                                              <w:divBdr>
                                                                                                <w:top w:val="none" w:sz="0" w:space="0" w:color="auto"/>
                                                                                                <w:left w:val="none" w:sz="0" w:space="0" w:color="auto"/>
                                                                                                <w:bottom w:val="none" w:sz="0" w:space="0" w:color="auto"/>
                                                                                                <w:right w:val="none" w:sz="0" w:space="0" w:color="auto"/>
                                                                                              </w:divBdr>
                                                                                              <w:divsChild>
                                                                                                <w:div w:id="429545534">
                                                                                                  <w:marLeft w:val="0"/>
                                                                                                  <w:marRight w:val="0"/>
                                                                                                  <w:marTop w:val="0"/>
                                                                                                  <w:marBottom w:val="0"/>
                                                                                                  <w:divBdr>
                                                                                                    <w:top w:val="none" w:sz="0" w:space="0" w:color="auto"/>
                                                                                                    <w:left w:val="none" w:sz="0" w:space="0" w:color="auto"/>
                                                                                                    <w:bottom w:val="none" w:sz="0" w:space="0" w:color="auto"/>
                                                                                                    <w:right w:val="none" w:sz="0" w:space="0" w:color="auto"/>
                                                                                                  </w:divBdr>
                                                                                                </w:div>
                                                                                              </w:divsChild>
                                                                                            </w:div>
                                                                                            <w:div w:id="451483688">
                                                                                              <w:marLeft w:val="0"/>
                                                                                              <w:marRight w:val="0"/>
                                                                                              <w:marTop w:val="0"/>
                                                                                              <w:marBottom w:val="0"/>
                                                                                              <w:divBdr>
                                                                                                <w:top w:val="none" w:sz="0" w:space="0" w:color="auto"/>
                                                                                                <w:left w:val="none" w:sz="0" w:space="0" w:color="auto"/>
                                                                                                <w:bottom w:val="none" w:sz="0" w:space="0" w:color="auto"/>
                                                                                                <w:right w:val="none" w:sz="0" w:space="0" w:color="auto"/>
                                                                                              </w:divBdr>
                                                                                              <w:divsChild>
                                                                                                <w:div w:id="93227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29549188">
                                                      <w:marLeft w:val="0"/>
                                                      <w:marRight w:val="0"/>
                                                      <w:marTop w:val="0"/>
                                                      <w:marBottom w:val="0"/>
                                                      <w:divBdr>
                                                        <w:top w:val="none" w:sz="0" w:space="0" w:color="auto"/>
                                                        <w:left w:val="none" w:sz="0" w:space="0" w:color="auto"/>
                                                        <w:bottom w:val="none" w:sz="0" w:space="0" w:color="auto"/>
                                                        <w:right w:val="none" w:sz="0" w:space="0" w:color="auto"/>
                                                      </w:divBdr>
                                                      <w:divsChild>
                                                        <w:div w:id="806823042">
                                                          <w:marLeft w:val="0"/>
                                                          <w:marRight w:val="0"/>
                                                          <w:marTop w:val="0"/>
                                                          <w:marBottom w:val="0"/>
                                                          <w:divBdr>
                                                            <w:top w:val="none" w:sz="0" w:space="0" w:color="auto"/>
                                                            <w:left w:val="none" w:sz="0" w:space="0" w:color="auto"/>
                                                            <w:bottom w:val="none" w:sz="0" w:space="0" w:color="auto"/>
                                                            <w:right w:val="none" w:sz="0" w:space="0" w:color="auto"/>
                                                          </w:divBdr>
                                                          <w:divsChild>
                                                            <w:div w:id="181747851">
                                                              <w:marLeft w:val="0"/>
                                                              <w:marRight w:val="0"/>
                                                              <w:marTop w:val="0"/>
                                                              <w:marBottom w:val="0"/>
                                                              <w:divBdr>
                                                                <w:top w:val="none" w:sz="0" w:space="0" w:color="auto"/>
                                                                <w:left w:val="none" w:sz="0" w:space="0" w:color="auto"/>
                                                                <w:bottom w:val="none" w:sz="0" w:space="0" w:color="auto"/>
                                                                <w:right w:val="none" w:sz="0" w:space="0" w:color="auto"/>
                                                              </w:divBdr>
                                                              <w:divsChild>
                                                                <w:div w:id="1227453058">
                                                                  <w:marLeft w:val="0"/>
                                                                  <w:marRight w:val="0"/>
                                                                  <w:marTop w:val="0"/>
                                                                  <w:marBottom w:val="0"/>
                                                                  <w:divBdr>
                                                                    <w:top w:val="none" w:sz="0" w:space="0" w:color="auto"/>
                                                                    <w:left w:val="none" w:sz="0" w:space="0" w:color="auto"/>
                                                                    <w:bottom w:val="none" w:sz="0" w:space="0" w:color="auto"/>
                                                                    <w:right w:val="none" w:sz="0" w:space="0" w:color="auto"/>
                                                                  </w:divBdr>
                                                                  <w:divsChild>
                                                                    <w:div w:id="1528059762">
                                                                      <w:marLeft w:val="0"/>
                                                                      <w:marRight w:val="0"/>
                                                                      <w:marTop w:val="0"/>
                                                                      <w:marBottom w:val="0"/>
                                                                      <w:divBdr>
                                                                        <w:top w:val="none" w:sz="0" w:space="0" w:color="auto"/>
                                                                        <w:left w:val="none" w:sz="0" w:space="0" w:color="auto"/>
                                                                        <w:bottom w:val="none" w:sz="0" w:space="0" w:color="auto"/>
                                                                        <w:right w:val="none" w:sz="0" w:space="0" w:color="auto"/>
                                                                      </w:divBdr>
                                                                      <w:divsChild>
                                                                        <w:div w:id="1449856660">
                                                                          <w:marLeft w:val="0"/>
                                                                          <w:marRight w:val="0"/>
                                                                          <w:marTop w:val="0"/>
                                                                          <w:marBottom w:val="0"/>
                                                                          <w:divBdr>
                                                                            <w:top w:val="none" w:sz="0" w:space="0" w:color="auto"/>
                                                                            <w:left w:val="none" w:sz="0" w:space="0" w:color="auto"/>
                                                                            <w:bottom w:val="none" w:sz="0" w:space="0" w:color="auto"/>
                                                                            <w:right w:val="none" w:sz="0" w:space="0" w:color="auto"/>
                                                                          </w:divBdr>
                                                                          <w:divsChild>
                                                                            <w:div w:id="340008697">
                                                                              <w:marLeft w:val="0"/>
                                                                              <w:marRight w:val="0"/>
                                                                              <w:marTop w:val="0"/>
                                                                              <w:marBottom w:val="0"/>
                                                                              <w:divBdr>
                                                                                <w:top w:val="none" w:sz="0" w:space="0" w:color="auto"/>
                                                                                <w:left w:val="none" w:sz="0" w:space="0" w:color="auto"/>
                                                                                <w:bottom w:val="none" w:sz="0" w:space="0" w:color="auto"/>
                                                                                <w:right w:val="none" w:sz="0" w:space="0" w:color="auto"/>
                                                                              </w:divBdr>
                                                                              <w:divsChild>
                                                                                <w:div w:id="1297300695">
                                                                                  <w:marLeft w:val="0"/>
                                                                                  <w:marRight w:val="0"/>
                                                                                  <w:marTop w:val="0"/>
                                                                                  <w:marBottom w:val="0"/>
                                                                                  <w:divBdr>
                                                                                    <w:top w:val="none" w:sz="0" w:space="0" w:color="auto"/>
                                                                                    <w:left w:val="none" w:sz="0" w:space="0" w:color="auto"/>
                                                                                    <w:bottom w:val="none" w:sz="0" w:space="0" w:color="auto"/>
                                                                                    <w:right w:val="none" w:sz="0" w:space="0" w:color="auto"/>
                                                                                  </w:divBdr>
                                                                                  <w:divsChild>
                                                                                    <w:div w:id="1516458362">
                                                                                      <w:marLeft w:val="0"/>
                                                                                      <w:marRight w:val="0"/>
                                                                                      <w:marTop w:val="0"/>
                                                                                      <w:marBottom w:val="0"/>
                                                                                      <w:divBdr>
                                                                                        <w:top w:val="none" w:sz="0" w:space="0" w:color="auto"/>
                                                                                        <w:left w:val="none" w:sz="0" w:space="0" w:color="auto"/>
                                                                                        <w:bottom w:val="none" w:sz="0" w:space="0" w:color="auto"/>
                                                                                        <w:right w:val="none" w:sz="0" w:space="0" w:color="auto"/>
                                                                                      </w:divBdr>
                                                                                      <w:divsChild>
                                                                                        <w:div w:id="1963000618">
                                                                                          <w:marLeft w:val="0"/>
                                                                                          <w:marRight w:val="0"/>
                                                                                          <w:marTop w:val="0"/>
                                                                                          <w:marBottom w:val="0"/>
                                                                                          <w:divBdr>
                                                                                            <w:top w:val="none" w:sz="0" w:space="0" w:color="auto"/>
                                                                                            <w:left w:val="none" w:sz="0" w:space="0" w:color="auto"/>
                                                                                            <w:bottom w:val="none" w:sz="0" w:space="0" w:color="auto"/>
                                                                                            <w:right w:val="none" w:sz="0" w:space="0" w:color="auto"/>
                                                                                          </w:divBdr>
                                                                                          <w:divsChild>
                                                                                            <w:div w:id="343170371">
                                                                                              <w:marLeft w:val="0"/>
                                                                                              <w:marRight w:val="0"/>
                                                                                              <w:marTop w:val="0"/>
                                                                                              <w:marBottom w:val="0"/>
                                                                                              <w:divBdr>
                                                                                                <w:top w:val="none" w:sz="0" w:space="0" w:color="auto"/>
                                                                                                <w:left w:val="none" w:sz="0" w:space="0" w:color="auto"/>
                                                                                                <w:bottom w:val="none" w:sz="0" w:space="0" w:color="auto"/>
                                                                                                <w:right w:val="none" w:sz="0" w:space="0" w:color="auto"/>
                                                                                              </w:divBdr>
                                                                                              <w:divsChild>
                                                                                                <w:div w:id="1526479847">
                                                                                                  <w:marLeft w:val="0"/>
                                                                                                  <w:marRight w:val="0"/>
                                                                                                  <w:marTop w:val="0"/>
                                                                                                  <w:marBottom w:val="0"/>
                                                                                                  <w:divBdr>
                                                                                                    <w:top w:val="none" w:sz="0" w:space="0" w:color="auto"/>
                                                                                                    <w:left w:val="none" w:sz="0" w:space="0" w:color="auto"/>
                                                                                                    <w:bottom w:val="none" w:sz="0" w:space="0" w:color="auto"/>
                                                                                                    <w:right w:val="none" w:sz="0" w:space="0" w:color="auto"/>
                                                                                                  </w:divBdr>
                                                                                                  <w:divsChild>
                                                                                                    <w:div w:id="1366909908">
                                                                                                      <w:marLeft w:val="0"/>
                                                                                                      <w:marRight w:val="0"/>
                                                                                                      <w:marTop w:val="0"/>
                                                                                                      <w:marBottom w:val="0"/>
                                                                                                      <w:divBdr>
                                                                                                        <w:top w:val="none" w:sz="0" w:space="0" w:color="auto"/>
                                                                                                        <w:left w:val="none" w:sz="0" w:space="0" w:color="auto"/>
                                                                                                        <w:bottom w:val="none" w:sz="0" w:space="0" w:color="auto"/>
                                                                                                        <w:right w:val="none" w:sz="0" w:space="0" w:color="auto"/>
                                                                                                      </w:divBdr>
                                                                                                      <w:divsChild>
                                                                                                        <w:div w:id="1792549726">
                                                                                                          <w:marLeft w:val="0"/>
                                                                                                          <w:marRight w:val="0"/>
                                                                                                          <w:marTop w:val="0"/>
                                                                                                          <w:marBottom w:val="0"/>
                                                                                                          <w:divBdr>
                                                                                                            <w:top w:val="none" w:sz="0" w:space="0" w:color="auto"/>
                                                                                                            <w:left w:val="none" w:sz="0" w:space="0" w:color="auto"/>
                                                                                                            <w:bottom w:val="none" w:sz="0" w:space="0" w:color="auto"/>
                                                                                                            <w:right w:val="none" w:sz="0" w:space="0" w:color="auto"/>
                                                                                                          </w:divBdr>
                                                                                                          <w:divsChild>
                                                                                                            <w:div w:id="880631897">
                                                                                                              <w:marLeft w:val="0"/>
                                                                                                              <w:marRight w:val="0"/>
                                                                                                              <w:marTop w:val="0"/>
                                                                                                              <w:marBottom w:val="0"/>
                                                                                                              <w:divBdr>
                                                                                                                <w:top w:val="none" w:sz="0" w:space="0" w:color="auto"/>
                                                                                                                <w:left w:val="none" w:sz="0" w:space="0" w:color="auto"/>
                                                                                                                <w:bottom w:val="none" w:sz="0" w:space="0" w:color="auto"/>
                                                                                                                <w:right w:val="none" w:sz="0" w:space="0" w:color="auto"/>
                                                                                                              </w:divBdr>
                                                                                                              <w:divsChild>
                                                                                                                <w:div w:id="58900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138778">
      <w:bodyDiv w:val="1"/>
      <w:marLeft w:val="0"/>
      <w:marRight w:val="0"/>
      <w:marTop w:val="0"/>
      <w:marBottom w:val="0"/>
      <w:divBdr>
        <w:top w:val="none" w:sz="0" w:space="0" w:color="auto"/>
        <w:left w:val="none" w:sz="0" w:space="0" w:color="auto"/>
        <w:bottom w:val="none" w:sz="0" w:space="0" w:color="auto"/>
        <w:right w:val="none" w:sz="0" w:space="0" w:color="auto"/>
      </w:divBdr>
    </w:div>
    <w:div w:id="64183315">
      <w:bodyDiv w:val="1"/>
      <w:marLeft w:val="0"/>
      <w:marRight w:val="0"/>
      <w:marTop w:val="0"/>
      <w:marBottom w:val="0"/>
      <w:divBdr>
        <w:top w:val="none" w:sz="0" w:space="0" w:color="auto"/>
        <w:left w:val="none" w:sz="0" w:space="0" w:color="auto"/>
        <w:bottom w:val="none" w:sz="0" w:space="0" w:color="auto"/>
        <w:right w:val="none" w:sz="0" w:space="0" w:color="auto"/>
      </w:divBdr>
    </w:div>
    <w:div w:id="206916290">
      <w:bodyDiv w:val="1"/>
      <w:marLeft w:val="0"/>
      <w:marRight w:val="0"/>
      <w:marTop w:val="0"/>
      <w:marBottom w:val="0"/>
      <w:divBdr>
        <w:top w:val="none" w:sz="0" w:space="0" w:color="auto"/>
        <w:left w:val="none" w:sz="0" w:space="0" w:color="auto"/>
        <w:bottom w:val="none" w:sz="0" w:space="0" w:color="auto"/>
        <w:right w:val="none" w:sz="0" w:space="0" w:color="auto"/>
      </w:divBdr>
    </w:div>
    <w:div w:id="296643580">
      <w:bodyDiv w:val="1"/>
      <w:marLeft w:val="0"/>
      <w:marRight w:val="0"/>
      <w:marTop w:val="0"/>
      <w:marBottom w:val="0"/>
      <w:divBdr>
        <w:top w:val="none" w:sz="0" w:space="0" w:color="auto"/>
        <w:left w:val="none" w:sz="0" w:space="0" w:color="auto"/>
        <w:bottom w:val="none" w:sz="0" w:space="0" w:color="auto"/>
        <w:right w:val="none" w:sz="0" w:space="0" w:color="auto"/>
      </w:divBdr>
    </w:div>
    <w:div w:id="336159352">
      <w:bodyDiv w:val="1"/>
      <w:marLeft w:val="0"/>
      <w:marRight w:val="0"/>
      <w:marTop w:val="0"/>
      <w:marBottom w:val="0"/>
      <w:divBdr>
        <w:top w:val="none" w:sz="0" w:space="0" w:color="auto"/>
        <w:left w:val="none" w:sz="0" w:space="0" w:color="auto"/>
        <w:bottom w:val="none" w:sz="0" w:space="0" w:color="auto"/>
        <w:right w:val="none" w:sz="0" w:space="0" w:color="auto"/>
      </w:divBdr>
    </w:div>
    <w:div w:id="468519843">
      <w:bodyDiv w:val="1"/>
      <w:marLeft w:val="0"/>
      <w:marRight w:val="0"/>
      <w:marTop w:val="0"/>
      <w:marBottom w:val="0"/>
      <w:divBdr>
        <w:top w:val="none" w:sz="0" w:space="0" w:color="auto"/>
        <w:left w:val="none" w:sz="0" w:space="0" w:color="auto"/>
        <w:bottom w:val="none" w:sz="0" w:space="0" w:color="auto"/>
        <w:right w:val="none" w:sz="0" w:space="0" w:color="auto"/>
      </w:divBdr>
      <w:divsChild>
        <w:div w:id="336924366">
          <w:marLeft w:val="274"/>
          <w:marRight w:val="0"/>
          <w:marTop w:val="0"/>
          <w:marBottom w:val="0"/>
          <w:divBdr>
            <w:top w:val="none" w:sz="0" w:space="0" w:color="auto"/>
            <w:left w:val="none" w:sz="0" w:space="0" w:color="auto"/>
            <w:bottom w:val="none" w:sz="0" w:space="0" w:color="auto"/>
            <w:right w:val="none" w:sz="0" w:space="0" w:color="auto"/>
          </w:divBdr>
        </w:div>
        <w:div w:id="1788350422">
          <w:marLeft w:val="274"/>
          <w:marRight w:val="0"/>
          <w:marTop w:val="0"/>
          <w:marBottom w:val="0"/>
          <w:divBdr>
            <w:top w:val="none" w:sz="0" w:space="0" w:color="auto"/>
            <w:left w:val="none" w:sz="0" w:space="0" w:color="auto"/>
            <w:bottom w:val="none" w:sz="0" w:space="0" w:color="auto"/>
            <w:right w:val="none" w:sz="0" w:space="0" w:color="auto"/>
          </w:divBdr>
        </w:div>
        <w:div w:id="1130783964">
          <w:marLeft w:val="274"/>
          <w:marRight w:val="0"/>
          <w:marTop w:val="0"/>
          <w:marBottom w:val="0"/>
          <w:divBdr>
            <w:top w:val="none" w:sz="0" w:space="0" w:color="auto"/>
            <w:left w:val="none" w:sz="0" w:space="0" w:color="auto"/>
            <w:bottom w:val="none" w:sz="0" w:space="0" w:color="auto"/>
            <w:right w:val="none" w:sz="0" w:space="0" w:color="auto"/>
          </w:divBdr>
        </w:div>
        <w:div w:id="2019771788">
          <w:marLeft w:val="274"/>
          <w:marRight w:val="0"/>
          <w:marTop w:val="0"/>
          <w:marBottom w:val="0"/>
          <w:divBdr>
            <w:top w:val="none" w:sz="0" w:space="0" w:color="auto"/>
            <w:left w:val="none" w:sz="0" w:space="0" w:color="auto"/>
            <w:bottom w:val="none" w:sz="0" w:space="0" w:color="auto"/>
            <w:right w:val="none" w:sz="0" w:space="0" w:color="auto"/>
          </w:divBdr>
        </w:div>
        <w:div w:id="371343175">
          <w:marLeft w:val="274"/>
          <w:marRight w:val="0"/>
          <w:marTop w:val="0"/>
          <w:marBottom w:val="0"/>
          <w:divBdr>
            <w:top w:val="none" w:sz="0" w:space="0" w:color="auto"/>
            <w:left w:val="none" w:sz="0" w:space="0" w:color="auto"/>
            <w:bottom w:val="none" w:sz="0" w:space="0" w:color="auto"/>
            <w:right w:val="none" w:sz="0" w:space="0" w:color="auto"/>
          </w:divBdr>
        </w:div>
      </w:divsChild>
    </w:div>
    <w:div w:id="508565660">
      <w:bodyDiv w:val="1"/>
      <w:marLeft w:val="0"/>
      <w:marRight w:val="0"/>
      <w:marTop w:val="0"/>
      <w:marBottom w:val="0"/>
      <w:divBdr>
        <w:top w:val="none" w:sz="0" w:space="0" w:color="auto"/>
        <w:left w:val="none" w:sz="0" w:space="0" w:color="auto"/>
        <w:bottom w:val="none" w:sz="0" w:space="0" w:color="auto"/>
        <w:right w:val="none" w:sz="0" w:space="0" w:color="auto"/>
      </w:divBdr>
    </w:div>
    <w:div w:id="693767900">
      <w:bodyDiv w:val="1"/>
      <w:marLeft w:val="0"/>
      <w:marRight w:val="0"/>
      <w:marTop w:val="0"/>
      <w:marBottom w:val="0"/>
      <w:divBdr>
        <w:top w:val="none" w:sz="0" w:space="0" w:color="auto"/>
        <w:left w:val="none" w:sz="0" w:space="0" w:color="auto"/>
        <w:bottom w:val="none" w:sz="0" w:space="0" w:color="auto"/>
        <w:right w:val="none" w:sz="0" w:space="0" w:color="auto"/>
      </w:divBdr>
    </w:div>
    <w:div w:id="699860701">
      <w:bodyDiv w:val="1"/>
      <w:marLeft w:val="0"/>
      <w:marRight w:val="0"/>
      <w:marTop w:val="0"/>
      <w:marBottom w:val="0"/>
      <w:divBdr>
        <w:top w:val="none" w:sz="0" w:space="0" w:color="auto"/>
        <w:left w:val="none" w:sz="0" w:space="0" w:color="auto"/>
        <w:bottom w:val="none" w:sz="0" w:space="0" w:color="auto"/>
        <w:right w:val="none" w:sz="0" w:space="0" w:color="auto"/>
      </w:divBdr>
      <w:divsChild>
        <w:div w:id="904486376">
          <w:marLeft w:val="0"/>
          <w:marRight w:val="0"/>
          <w:marTop w:val="0"/>
          <w:marBottom w:val="0"/>
          <w:divBdr>
            <w:top w:val="none" w:sz="0" w:space="0" w:color="auto"/>
            <w:left w:val="none" w:sz="0" w:space="0" w:color="auto"/>
            <w:bottom w:val="none" w:sz="0" w:space="0" w:color="auto"/>
            <w:right w:val="none" w:sz="0" w:space="0" w:color="auto"/>
          </w:divBdr>
          <w:divsChild>
            <w:div w:id="25529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63135">
      <w:bodyDiv w:val="1"/>
      <w:marLeft w:val="0"/>
      <w:marRight w:val="0"/>
      <w:marTop w:val="0"/>
      <w:marBottom w:val="0"/>
      <w:divBdr>
        <w:top w:val="none" w:sz="0" w:space="0" w:color="auto"/>
        <w:left w:val="none" w:sz="0" w:space="0" w:color="auto"/>
        <w:bottom w:val="none" w:sz="0" w:space="0" w:color="auto"/>
        <w:right w:val="none" w:sz="0" w:space="0" w:color="auto"/>
      </w:divBdr>
    </w:div>
    <w:div w:id="1083070810">
      <w:bodyDiv w:val="1"/>
      <w:marLeft w:val="0"/>
      <w:marRight w:val="0"/>
      <w:marTop w:val="0"/>
      <w:marBottom w:val="0"/>
      <w:divBdr>
        <w:top w:val="none" w:sz="0" w:space="0" w:color="auto"/>
        <w:left w:val="none" w:sz="0" w:space="0" w:color="auto"/>
        <w:bottom w:val="none" w:sz="0" w:space="0" w:color="auto"/>
        <w:right w:val="none" w:sz="0" w:space="0" w:color="auto"/>
      </w:divBdr>
    </w:div>
    <w:div w:id="1129975419">
      <w:bodyDiv w:val="1"/>
      <w:marLeft w:val="0"/>
      <w:marRight w:val="0"/>
      <w:marTop w:val="0"/>
      <w:marBottom w:val="0"/>
      <w:divBdr>
        <w:top w:val="none" w:sz="0" w:space="0" w:color="auto"/>
        <w:left w:val="none" w:sz="0" w:space="0" w:color="auto"/>
        <w:bottom w:val="none" w:sz="0" w:space="0" w:color="auto"/>
        <w:right w:val="none" w:sz="0" w:space="0" w:color="auto"/>
      </w:divBdr>
    </w:div>
    <w:div w:id="1235506551">
      <w:bodyDiv w:val="1"/>
      <w:marLeft w:val="0"/>
      <w:marRight w:val="0"/>
      <w:marTop w:val="0"/>
      <w:marBottom w:val="0"/>
      <w:divBdr>
        <w:top w:val="none" w:sz="0" w:space="0" w:color="auto"/>
        <w:left w:val="none" w:sz="0" w:space="0" w:color="auto"/>
        <w:bottom w:val="none" w:sz="0" w:space="0" w:color="auto"/>
        <w:right w:val="none" w:sz="0" w:space="0" w:color="auto"/>
      </w:divBdr>
      <w:divsChild>
        <w:div w:id="916480672">
          <w:marLeft w:val="0"/>
          <w:marRight w:val="0"/>
          <w:marTop w:val="0"/>
          <w:marBottom w:val="0"/>
          <w:divBdr>
            <w:top w:val="none" w:sz="0" w:space="0" w:color="auto"/>
            <w:left w:val="none" w:sz="0" w:space="0" w:color="auto"/>
            <w:bottom w:val="none" w:sz="0" w:space="0" w:color="auto"/>
            <w:right w:val="none" w:sz="0" w:space="0" w:color="auto"/>
          </w:divBdr>
          <w:divsChild>
            <w:div w:id="214180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572412">
      <w:bodyDiv w:val="1"/>
      <w:marLeft w:val="0"/>
      <w:marRight w:val="0"/>
      <w:marTop w:val="0"/>
      <w:marBottom w:val="0"/>
      <w:divBdr>
        <w:top w:val="none" w:sz="0" w:space="0" w:color="auto"/>
        <w:left w:val="none" w:sz="0" w:space="0" w:color="auto"/>
        <w:bottom w:val="none" w:sz="0" w:space="0" w:color="auto"/>
        <w:right w:val="none" w:sz="0" w:space="0" w:color="auto"/>
      </w:divBdr>
    </w:div>
    <w:div w:id="1651783429">
      <w:bodyDiv w:val="1"/>
      <w:marLeft w:val="0"/>
      <w:marRight w:val="0"/>
      <w:marTop w:val="0"/>
      <w:marBottom w:val="0"/>
      <w:divBdr>
        <w:top w:val="none" w:sz="0" w:space="0" w:color="auto"/>
        <w:left w:val="none" w:sz="0" w:space="0" w:color="auto"/>
        <w:bottom w:val="none" w:sz="0" w:space="0" w:color="auto"/>
        <w:right w:val="none" w:sz="0" w:space="0" w:color="auto"/>
      </w:divBdr>
    </w:div>
    <w:div w:id="1844079191">
      <w:bodyDiv w:val="1"/>
      <w:marLeft w:val="0"/>
      <w:marRight w:val="0"/>
      <w:marTop w:val="0"/>
      <w:marBottom w:val="0"/>
      <w:divBdr>
        <w:top w:val="none" w:sz="0" w:space="0" w:color="auto"/>
        <w:left w:val="none" w:sz="0" w:space="0" w:color="auto"/>
        <w:bottom w:val="none" w:sz="0" w:space="0" w:color="auto"/>
        <w:right w:val="none" w:sz="0" w:space="0" w:color="auto"/>
      </w:divBdr>
    </w:div>
    <w:div w:id="1890070379">
      <w:bodyDiv w:val="1"/>
      <w:marLeft w:val="0"/>
      <w:marRight w:val="0"/>
      <w:marTop w:val="0"/>
      <w:marBottom w:val="0"/>
      <w:divBdr>
        <w:top w:val="none" w:sz="0" w:space="0" w:color="auto"/>
        <w:left w:val="none" w:sz="0" w:space="0" w:color="auto"/>
        <w:bottom w:val="none" w:sz="0" w:space="0" w:color="auto"/>
        <w:right w:val="none" w:sz="0" w:space="0" w:color="auto"/>
      </w:divBdr>
      <w:divsChild>
        <w:div w:id="1848322454">
          <w:marLeft w:val="0"/>
          <w:marRight w:val="0"/>
          <w:marTop w:val="0"/>
          <w:marBottom w:val="0"/>
          <w:divBdr>
            <w:top w:val="none" w:sz="0" w:space="0" w:color="auto"/>
            <w:left w:val="none" w:sz="0" w:space="0" w:color="auto"/>
            <w:bottom w:val="none" w:sz="0" w:space="0" w:color="auto"/>
            <w:right w:val="none" w:sz="0" w:space="0" w:color="auto"/>
          </w:divBdr>
          <w:divsChild>
            <w:div w:id="108362133">
              <w:marLeft w:val="0"/>
              <w:marRight w:val="0"/>
              <w:marTop w:val="0"/>
              <w:marBottom w:val="0"/>
              <w:divBdr>
                <w:top w:val="none" w:sz="0" w:space="0" w:color="auto"/>
                <w:left w:val="none" w:sz="0" w:space="0" w:color="auto"/>
                <w:bottom w:val="none" w:sz="0" w:space="0" w:color="auto"/>
                <w:right w:val="none" w:sz="0" w:space="0" w:color="auto"/>
              </w:divBdr>
              <w:divsChild>
                <w:div w:id="1610698607">
                  <w:marLeft w:val="0"/>
                  <w:marRight w:val="0"/>
                  <w:marTop w:val="0"/>
                  <w:marBottom w:val="0"/>
                  <w:divBdr>
                    <w:top w:val="none" w:sz="0" w:space="0" w:color="auto"/>
                    <w:left w:val="none" w:sz="0" w:space="0" w:color="auto"/>
                    <w:bottom w:val="none" w:sz="0" w:space="0" w:color="auto"/>
                    <w:right w:val="none" w:sz="0" w:space="0" w:color="auto"/>
                  </w:divBdr>
                  <w:divsChild>
                    <w:div w:id="690113073">
                      <w:marLeft w:val="0"/>
                      <w:marRight w:val="0"/>
                      <w:marTop w:val="0"/>
                      <w:marBottom w:val="0"/>
                      <w:divBdr>
                        <w:top w:val="none" w:sz="0" w:space="0" w:color="auto"/>
                        <w:left w:val="none" w:sz="0" w:space="0" w:color="auto"/>
                        <w:bottom w:val="none" w:sz="0" w:space="0" w:color="auto"/>
                        <w:right w:val="none" w:sz="0" w:space="0" w:color="auto"/>
                      </w:divBdr>
                      <w:divsChild>
                        <w:div w:id="116874237">
                          <w:marLeft w:val="0"/>
                          <w:marRight w:val="0"/>
                          <w:marTop w:val="0"/>
                          <w:marBottom w:val="0"/>
                          <w:divBdr>
                            <w:top w:val="none" w:sz="0" w:space="0" w:color="auto"/>
                            <w:left w:val="none" w:sz="0" w:space="0" w:color="auto"/>
                            <w:bottom w:val="none" w:sz="0" w:space="0" w:color="auto"/>
                            <w:right w:val="none" w:sz="0" w:space="0" w:color="auto"/>
                          </w:divBdr>
                          <w:divsChild>
                            <w:div w:id="798298797">
                              <w:marLeft w:val="0"/>
                              <w:marRight w:val="0"/>
                              <w:marTop w:val="0"/>
                              <w:marBottom w:val="0"/>
                              <w:divBdr>
                                <w:top w:val="none" w:sz="0" w:space="0" w:color="auto"/>
                                <w:left w:val="none" w:sz="0" w:space="0" w:color="auto"/>
                                <w:bottom w:val="none" w:sz="0" w:space="0" w:color="auto"/>
                                <w:right w:val="none" w:sz="0" w:space="0" w:color="auto"/>
                              </w:divBdr>
                              <w:divsChild>
                                <w:div w:id="1881866385">
                                  <w:marLeft w:val="0"/>
                                  <w:marRight w:val="0"/>
                                  <w:marTop w:val="0"/>
                                  <w:marBottom w:val="0"/>
                                  <w:divBdr>
                                    <w:top w:val="none" w:sz="0" w:space="0" w:color="auto"/>
                                    <w:left w:val="none" w:sz="0" w:space="0" w:color="auto"/>
                                    <w:bottom w:val="none" w:sz="0" w:space="0" w:color="auto"/>
                                    <w:right w:val="none" w:sz="0" w:space="0" w:color="auto"/>
                                  </w:divBdr>
                                  <w:divsChild>
                                    <w:div w:id="627468945">
                                      <w:marLeft w:val="0"/>
                                      <w:marRight w:val="0"/>
                                      <w:marTop w:val="0"/>
                                      <w:marBottom w:val="0"/>
                                      <w:divBdr>
                                        <w:top w:val="none" w:sz="0" w:space="0" w:color="auto"/>
                                        <w:left w:val="none" w:sz="0" w:space="0" w:color="auto"/>
                                        <w:bottom w:val="none" w:sz="0" w:space="0" w:color="auto"/>
                                        <w:right w:val="none" w:sz="0" w:space="0" w:color="auto"/>
                                      </w:divBdr>
                                      <w:divsChild>
                                        <w:div w:id="115219389">
                                          <w:marLeft w:val="0"/>
                                          <w:marRight w:val="0"/>
                                          <w:marTop w:val="0"/>
                                          <w:marBottom w:val="0"/>
                                          <w:divBdr>
                                            <w:top w:val="none" w:sz="0" w:space="0" w:color="auto"/>
                                            <w:left w:val="none" w:sz="0" w:space="0" w:color="auto"/>
                                            <w:bottom w:val="none" w:sz="0" w:space="0" w:color="auto"/>
                                            <w:right w:val="none" w:sz="0" w:space="0" w:color="auto"/>
                                          </w:divBdr>
                                          <w:divsChild>
                                            <w:div w:id="1923876541">
                                              <w:marLeft w:val="0"/>
                                              <w:marRight w:val="0"/>
                                              <w:marTop w:val="0"/>
                                              <w:marBottom w:val="0"/>
                                              <w:divBdr>
                                                <w:top w:val="none" w:sz="0" w:space="0" w:color="auto"/>
                                                <w:left w:val="none" w:sz="0" w:space="0" w:color="auto"/>
                                                <w:bottom w:val="none" w:sz="0" w:space="0" w:color="auto"/>
                                                <w:right w:val="none" w:sz="0" w:space="0" w:color="auto"/>
                                              </w:divBdr>
                                              <w:divsChild>
                                                <w:div w:id="1398940551">
                                                  <w:marLeft w:val="0"/>
                                                  <w:marRight w:val="0"/>
                                                  <w:marTop w:val="0"/>
                                                  <w:marBottom w:val="0"/>
                                                  <w:divBdr>
                                                    <w:top w:val="none" w:sz="0" w:space="0" w:color="auto"/>
                                                    <w:left w:val="none" w:sz="0" w:space="0" w:color="auto"/>
                                                    <w:bottom w:val="none" w:sz="0" w:space="0" w:color="auto"/>
                                                    <w:right w:val="none" w:sz="0" w:space="0" w:color="auto"/>
                                                  </w:divBdr>
                                                  <w:divsChild>
                                                    <w:div w:id="1220089434">
                                                      <w:marLeft w:val="0"/>
                                                      <w:marRight w:val="0"/>
                                                      <w:marTop w:val="0"/>
                                                      <w:marBottom w:val="0"/>
                                                      <w:divBdr>
                                                        <w:top w:val="none" w:sz="0" w:space="0" w:color="auto"/>
                                                        <w:left w:val="none" w:sz="0" w:space="0" w:color="auto"/>
                                                        <w:bottom w:val="none" w:sz="0" w:space="0" w:color="auto"/>
                                                        <w:right w:val="none" w:sz="0" w:space="0" w:color="auto"/>
                                                      </w:divBdr>
                                                      <w:divsChild>
                                                        <w:div w:id="1675065694">
                                                          <w:marLeft w:val="0"/>
                                                          <w:marRight w:val="0"/>
                                                          <w:marTop w:val="0"/>
                                                          <w:marBottom w:val="0"/>
                                                          <w:divBdr>
                                                            <w:top w:val="none" w:sz="0" w:space="0" w:color="auto"/>
                                                            <w:left w:val="none" w:sz="0" w:space="0" w:color="auto"/>
                                                            <w:bottom w:val="none" w:sz="0" w:space="0" w:color="auto"/>
                                                            <w:right w:val="none" w:sz="0" w:space="0" w:color="auto"/>
                                                          </w:divBdr>
                                                          <w:divsChild>
                                                            <w:div w:id="717969003">
                                                              <w:marLeft w:val="0"/>
                                                              <w:marRight w:val="0"/>
                                                              <w:marTop w:val="0"/>
                                                              <w:marBottom w:val="0"/>
                                                              <w:divBdr>
                                                                <w:top w:val="none" w:sz="0" w:space="0" w:color="auto"/>
                                                                <w:left w:val="none" w:sz="0" w:space="0" w:color="auto"/>
                                                                <w:bottom w:val="none" w:sz="0" w:space="0" w:color="auto"/>
                                                                <w:right w:val="none" w:sz="0" w:space="0" w:color="auto"/>
                                                              </w:divBdr>
                                                              <w:divsChild>
                                                                <w:div w:id="175577451">
                                                                  <w:marLeft w:val="0"/>
                                                                  <w:marRight w:val="0"/>
                                                                  <w:marTop w:val="0"/>
                                                                  <w:marBottom w:val="0"/>
                                                                  <w:divBdr>
                                                                    <w:top w:val="none" w:sz="0" w:space="0" w:color="auto"/>
                                                                    <w:left w:val="none" w:sz="0" w:space="0" w:color="auto"/>
                                                                    <w:bottom w:val="none" w:sz="0" w:space="0" w:color="auto"/>
                                                                    <w:right w:val="none" w:sz="0" w:space="0" w:color="auto"/>
                                                                  </w:divBdr>
                                                                  <w:divsChild>
                                                                    <w:div w:id="1398475510">
                                                                      <w:marLeft w:val="0"/>
                                                                      <w:marRight w:val="0"/>
                                                                      <w:marTop w:val="0"/>
                                                                      <w:marBottom w:val="0"/>
                                                                      <w:divBdr>
                                                                        <w:top w:val="none" w:sz="0" w:space="0" w:color="auto"/>
                                                                        <w:left w:val="none" w:sz="0" w:space="0" w:color="auto"/>
                                                                        <w:bottom w:val="none" w:sz="0" w:space="0" w:color="auto"/>
                                                                        <w:right w:val="none" w:sz="0" w:space="0" w:color="auto"/>
                                                                      </w:divBdr>
                                                                      <w:divsChild>
                                                                        <w:div w:id="1998220234">
                                                                          <w:marLeft w:val="0"/>
                                                                          <w:marRight w:val="0"/>
                                                                          <w:marTop w:val="0"/>
                                                                          <w:marBottom w:val="0"/>
                                                                          <w:divBdr>
                                                                            <w:top w:val="none" w:sz="0" w:space="0" w:color="auto"/>
                                                                            <w:left w:val="none" w:sz="0" w:space="0" w:color="auto"/>
                                                                            <w:bottom w:val="none" w:sz="0" w:space="0" w:color="auto"/>
                                                                            <w:right w:val="none" w:sz="0" w:space="0" w:color="auto"/>
                                                                          </w:divBdr>
                                                                          <w:divsChild>
                                                                            <w:div w:id="547033192">
                                                                              <w:marLeft w:val="0"/>
                                                                              <w:marRight w:val="0"/>
                                                                              <w:marTop w:val="0"/>
                                                                              <w:marBottom w:val="0"/>
                                                                              <w:divBdr>
                                                                                <w:top w:val="none" w:sz="0" w:space="0" w:color="auto"/>
                                                                                <w:left w:val="none" w:sz="0" w:space="0" w:color="auto"/>
                                                                                <w:bottom w:val="none" w:sz="0" w:space="0" w:color="auto"/>
                                                                                <w:right w:val="none" w:sz="0" w:space="0" w:color="auto"/>
                                                                              </w:divBdr>
                                                                              <w:divsChild>
                                                                                <w:div w:id="1478034456">
                                                                                  <w:marLeft w:val="0"/>
                                                                                  <w:marRight w:val="0"/>
                                                                                  <w:marTop w:val="0"/>
                                                                                  <w:marBottom w:val="0"/>
                                                                                  <w:divBdr>
                                                                                    <w:top w:val="none" w:sz="0" w:space="0" w:color="auto"/>
                                                                                    <w:left w:val="none" w:sz="0" w:space="0" w:color="auto"/>
                                                                                    <w:bottom w:val="none" w:sz="0" w:space="0" w:color="auto"/>
                                                                                    <w:right w:val="none" w:sz="0" w:space="0" w:color="auto"/>
                                                                                  </w:divBdr>
                                                                                  <w:divsChild>
                                                                                    <w:div w:id="596719028">
                                                                                      <w:marLeft w:val="0"/>
                                                                                      <w:marRight w:val="0"/>
                                                                                      <w:marTop w:val="0"/>
                                                                                      <w:marBottom w:val="0"/>
                                                                                      <w:divBdr>
                                                                                        <w:top w:val="none" w:sz="0" w:space="0" w:color="auto"/>
                                                                                        <w:left w:val="none" w:sz="0" w:space="0" w:color="auto"/>
                                                                                        <w:bottom w:val="none" w:sz="0" w:space="0" w:color="auto"/>
                                                                                        <w:right w:val="none" w:sz="0" w:space="0" w:color="auto"/>
                                                                                      </w:divBdr>
                                                                                      <w:divsChild>
                                                                                        <w:div w:id="1467090598">
                                                                                          <w:marLeft w:val="0"/>
                                                                                          <w:marRight w:val="0"/>
                                                                                          <w:marTop w:val="0"/>
                                                                                          <w:marBottom w:val="0"/>
                                                                                          <w:divBdr>
                                                                                            <w:top w:val="none" w:sz="0" w:space="0" w:color="auto"/>
                                                                                            <w:left w:val="none" w:sz="0" w:space="0" w:color="auto"/>
                                                                                            <w:bottom w:val="none" w:sz="0" w:space="0" w:color="auto"/>
                                                                                            <w:right w:val="none" w:sz="0" w:space="0" w:color="auto"/>
                                                                                          </w:divBdr>
                                                                                          <w:divsChild>
                                                                                            <w:div w:id="1627084959">
                                                                                              <w:marLeft w:val="0"/>
                                                                                              <w:marRight w:val="0"/>
                                                                                              <w:marTop w:val="0"/>
                                                                                              <w:marBottom w:val="0"/>
                                                                                              <w:divBdr>
                                                                                                <w:top w:val="none" w:sz="0" w:space="0" w:color="auto"/>
                                                                                                <w:left w:val="none" w:sz="0" w:space="0" w:color="auto"/>
                                                                                                <w:bottom w:val="none" w:sz="0" w:space="0" w:color="auto"/>
                                                                                                <w:right w:val="none" w:sz="0" w:space="0" w:color="auto"/>
                                                                                              </w:divBdr>
                                                                                              <w:divsChild>
                                                                                                <w:div w:id="1036470173">
                                                                                                  <w:marLeft w:val="0"/>
                                                                                                  <w:marRight w:val="0"/>
                                                                                                  <w:marTop w:val="0"/>
                                                                                                  <w:marBottom w:val="0"/>
                                                                                                  <w:divBdr>
                                                                                                    <w:top w:val="none" w:sz="0" w:space="0" w:color="auto"/>
                                                                                                    <w:left w:val="none" w:sz="0" w:space="0" w:color="auto"/>
                                                                                                    <w:bottom w:val="none" w:sz="0" w:space="0" w:color="auto"/>
                                                                                                    <w:right w:val="none" w:sz="0" w:space="0" w:color="auto"/>
                                                                                                  </w:divBdr>
                                                                                                </w:div>
                                                                                              </w:divsChild>
                                                                                            </w:div>
                                                                                            <w:div w:id="1128478199">
                                                                                              <w:marLeft w:val="0"/>
                                                                                              <w:marRight w:val="0"/>
                                                                                              <w:marTop w:val="0"/>
                                                                                              <w:marBottom w:val="0"/>
                                                                                              <w:divBdr>
                                                                                                <w:top w:val="none" w:sz="0" w:space="0" w:color="auto"/>
                                                                                                <w:left w:val="none" w:sz="0" w:space="0" w:color="auto"/>
                                                                                                <w:bottom w:val="none" w:sz="0" w:space="0" w:color="auto"/>
                                                                                                <w:right w:val="none" w:sz="0" w:space="0" w:color="auto"/>
                                                                                              </w:divBdr>
                                                                                              <w:divsChild>
                                                                                                <w:div w:id="144180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05907187">
                                                      <w:marLeft w:val="0"/>
                                                      <w:marRight w:val="0"/>
                                                      <w:marTop w:val="0"/>
                                                      <w:marBottom w:val="0"/>
                                                      <w:divBdr>
                                                        <w:top w:val="none" w:sz="0" w:space="0" w:color="auto"/>
                                                        <w:left w:val="none" w:sz="0" w:space="0" w:color="auto"/>
                                                        <w:bottom w:val="none" w:sz="0" w:space="0" w:color="auto"/>
                                                        <w:right w:val="none" w:sz="0" w:space="0" w:color="auto"/>
                                                      </w:divBdr>
                                                      <w:divsChild>
                                                        <w:div w:id="2041003321">
                                                          <w:marLeft w:val="0"/>
                                                          <w:marRight w:val="0"/>
                                                          <w:marTop w:val="0"/>
                                                          <w:marBottom w:val="0"/>
                                                          <w:divBdr>
                                                            <w:top w:val="none" w:sz="0" w:space="0" w:color="auto"/>
                                                            <w:left w:val="none" w:sz="0" w:space="0" w:color="auto"/>
                                                            <w:bottom w:val="none" w:sz="0" w:space="0" w:color="auto"/>
                                                            <w:right w:val="none" w:sz="0" w:space="0" w:color="auto"/>
                                                          </w:divBdr>
                                                          <w:divsChild>
                                                            <w:div w:id="763261446">
                                                              <w:marLeft w:val="0"/>
                                                              <w:marRight w:val="0"/>
                                                              <w:marTop w:val="0"/>
                                                              <w:marBottom w:val="0"/>
                                                              <w:divBdr>
                                                                <w:top w:val="none" w:sz="0" w:space="0" w:color="auto"/>
                                                                <w:left w:val="none" w:sz="0" w:space="0" w:color="auto"/>
                                                                <w:bottom w:val="none" w:sz="0" w:space="0" w:color="auto"/>
                                                                <w:right w:val="none" w:sz="0" w:space="0" w:color="auto"/>
                                                              </w:divBdr>
                                                              <w:divsChild>
                                                                <w:div w:id="1398239438">
                                                                  <w:marLeft w:val="0"/>
                                                                  <w:marRight w:val="0"/>
                                                                  <w:marTop w:val="0"/>
                                                                  <w:marBottom w:val="0"/>
                                                                  <w:divBdr>
                                                                    <w:top w:val="none" w:sz="0" w:space="0" w:color="auto"/>
                                                                    <w:left w:val="none" w:sz="0" w:space="0" w:color="auto"/>
                                                                    <w:bottom w:val="none" w:sz="0" w:space="0" w:color="auto"/>
                                                                    <w:right w:val="none" w:sz="0" w:space="0" w:color="auto"/>
                                                                  </w:divBdr>
                                                                  <w:divsChild>
                                                                    <w:div w:id="592668528">
                                                                      <w:marLeft w:val="0"/>
                                                                      <w:marRight w:val="0"/>
                                                                      <w:marTop w:val="0"/>
                                                                      <w:marBottom w:val="0"/>
                                                                      <w:divBdr>
                                                                        <w:top w:val="none" w:sz="0" w:space="0" w:color="auto"/>
                                                                        <w:left w:val="none" w:sz="0" w:space="0" w:color="auto"/>
                                                                        <w:bottom w:val="none" w:sz="0" w:space="0" w:color="auto"/>
                                                                        <w:right w:val="none" w:sz="0" w:space="0" w:color="auto"/>
                                                                      </w:divBdr>
                                                                      <w:divsChild>
                                                                        <w:div w:id="570509995">
                                                                          <w:marLeft w:val="0"/>
                                                                          <w:marRight w:val="0"/>
                                                                          <w:marTop w:val="0"/>
                                                                          <w:marBottom w:val="0"/>
                                                                          <w:divBdr>
                                                                            <w:top w:val="none" w:sz="0" w:space="0" w:color="auto"/>
                                                                            <w:left w:val="none" w:sz="0" w:space="0" w:color="auto"/>
                                                                            <w:bottom w:val="none" w:sz="0" w:space="0" w:color="auto"/>
                                                                            <w:right w:val="none" w:sz="0" w:space="0" w:color="auto"/>
                                                                          </w:divBdr>
                                                                          <w:divsChild>
                                                                            <w:div w:id="86005230">
                                                                              <w:marLeft w:val="0"/>
                                                                              <w:marRight w:val="0"/>
                                                                              <w:marTop w:val="0"/>
                                                                              <w:marBottom w:val="0"/>
                                                                              <w:divBdr>
                                                                                <w:top w:val="none" w:sz="0" w:space="0" w:color="auto"/>
                                                                                <w:left w:val="none" w:sz="0" w:space="0" w:color="auto"/>
                                                                                <w:bottom w:val="none" w:sz="0" w:space="0" w:color="auto"/>
                                                                                <w:right w:val="none" w:sz="0" w:space="0" w:color="auto"/>
                                                                              </w:divBdr>
                                                                              <w:divsChild>
                                                                                <w:div w:id="937105860">
                                                                                  <w:marLeft w:val="0"/>
                                                                                  <w:marRight w:val="0"/>
                                                                                  <w:marTop w:val="0"/>
                                                                                  <w:marBottom w:val="0"/>
                                                                                  <w:divBdr>
                                                                                    <w:top w:val="none" w:sz="0" w:space="0" w:color="auto"/>
                                                                                    <w:left w:val="none" w:sz="0" w:space="0" w:color="auto"/>
                                                                                    <w:bottom w:val="none" w:sz="0" w:space="0" w:color="auto"/>
                                                                                    <w:right w:val="none" w:sz="0" w:space="0" w:color="auto"/>
                                                                                  </w:divBdr>
                                                                                  <w:divsChild>
                                                                                    <w:div w:id="1327393657">
                                                                                      <w:marLeft w:val="0"/>
                                                                                      <w:marRight w:val="0"/>
                                                                                      <w:marTop w:val="0"/>
                                                                                      <w:marBottom w:val="0"/>
                                                                                      <w:divBdr>
                                                                                        <w:top w:val="none" w:sz="0" w:space="0" w:color="auto"/>
                                                                                        <w:left w:val="none" w:sz="0" w:space="0" w:color="auto"/>
                                                                                        <w:bottom w:val="none" w:sz="0" w:space="0" w:color="auto"/>
                                                                                        <w:right w:val="none" w:sz="0" w:space="0" w:color="auto"/>
                                                                                      </w:divBdr>
                                                                                      <w:divsChild>
                                                                                        <w:div w:id="2052992956">
                                                                                          <w:marLeft w:val="0"/>
                                                                                          <w:marRight w:val="0"/>
                                                                                          <w:marTop w:val="0"/>
                                                                                          <w:marBottom w:val="0"/>
                                                                                          <w:divBdr>
                                                                                            <w:top w:val="none" w:sz="0" w:space="0" w:color="auto"/>
                                                                                            <w:left w:val="none" w:sz="0" w:space="0" w:color="auto"/>
                                                                                            <w:bottom w:val="none" w:sz="0" w:space="0" w:color="auto"/>
                                                                                            <w:right w:val="none" w:sz="0" w:space="0" w:color="auto"/>
                                                                                          </w:divBdr>
                                                                                          <w:divsChild>
                                                                                            <w:div w:id="516773357">
                                                                                              <w:marLeft w:val="0"/>
                                                                                              <w:marRight w:val="0"/>
                                                                                              <w:marTop w:val="0"/>
                                                                                              <w:marBottom w:val="0"/>
                                                                                              <w:divBdr>
                                                                                                <w:top w:val="none" w:sz="0" w:space="0" w:color="auto"/>
                                                                                                <w:left w:val="none" w:sz="0" w:space="0" w:color="auto"/>
                                                                                                <w:bottom w:val="none" w:sz="0" w:space="0" w:color="auto"/>
                                                                                                <w:right w:val="none" w:sz="0" w:space="0" w:color="auto"/>
                                                                                              </w:divBdr>
                                                                                              <w:divsChild>
                                                                                                <w:div w:id="1274629887">
                                                                                                  <w:marLeft w:val="0"/>
                                                                                                  <w:marRight w:val="0"/>
                                                                                                  <w:marTop w:val="0"/>
                                                                                                  <w:marBottom w:val="0"/>
                                                                                                  <w:divBdr>
                                                                                                    <w:top w:val="none" w:sz="0" w:space="0" w:color="auto"/>
                                                                                                    <w:left w:val="none" w:sz="0" w:space="0" w:color="auto"/>
                                                                                                    <w:bottom w:val="none" w:sz="0" w:space="0" w:color="auto"/>
                                                                                                    <w:right w:val="none" w:sz="0" w:space="0" w:color="auto"/>
                                                                                                  </w:divBdr>
                                                                                                  <w:divsChild>
                                                                                                    <w:div w:id="593704542">
                                                                                                      <w:marLeft w:val="0"/>
                                                                                                      <w:marRight w:val="0"/>
                                                                                                      <w:marTop w:val="0"/>
                                                                                                      <w:marBottom w:val="0"/>
                                                                                                      <w:divBdr>
                                                                                                        <w:top w:val="none" w:sz="0" w:space="0" w:color="auto"/>
                                                                                                        <w:left w:val="none" w:sz="0" w:space="0" w:color="auto"/>
                                                                                                        <w:bottom w:val="none" w:sz="0" w:space="0" w:color="auto"/>
                                                                                                        <w:right w:val="none" w:sz="0" w:space="0" w:color="auto"/>
                                                                                                      </w:divBdr>
                                                                                                      <w:divsChild>
                                                                                                        <w:div w:id="1333025576">
                                                                                                          <w:marLeft w:val="0"/>
                                                                                                          <w:marRight w:val="0"/>
                                                                                                          <w:marTop w:val="0"/>
                                                                                                          <w:marBottom w:val="0"/>
                                                                                                          <w:divBdr>
                                                                                                            <w:top w:val="none" w:sz="0" w:space="0" w:color="auto"/>
                                                                                                            <w:left w:val="none" w:sz="0" w:space="0" w:color="auto"/>
                                                                                                            <w:bottom w:val="none" w:sz="0" w:space="0" w:color="auto"/>
                                                                                                            <w:right w:val="none" w:sz="0" w:space="0" w:color="auto"/>
                                                                                                          </w:divBdr>
                                                                                                          <w:divsChild>
                                                                                                            <w:div w:id="1318192717">
                                                                                                              <w:marLeft w:val="0"/>
                                                                                                              <w:marRight w:val="0"/>
                                                                                                              <w:marTop w:val="0"/>
                                                                                                              <w:marBottom w:val="0"/>
                                                                                                              <w:divBdr>
                                                                                                                <w:top w:val="none" w:sz="0" w:space="0" w:color="auto"/>
                                                                                                                <w:left w:val="none" w:sz="0" w:space="0" w:color="auto"/>
                                                                                                                <w:bottom w:val="none" w:sz="0" w:space="0" w:color="auto"/>
                                                                                                                <w:right w:val="none" w:sz="0" w:space="0" w:color="auto"/>
                                                                                                              </w:divBdr>
                                                                                                              <w:divsChild>
                                                                                                                <w:div w:id="18325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76782748">
      <w:bodyDiv w:val="1"/>
      <w:marLeft w:val="0"/>
      <w:marRight w:val="0"/>
      <w:marTop w:val="0"/>
      <w:marBottom w:val="0"/>
      <w:divBdr>
        <w:top w:val="none" w:sz="0" w:space="0" w:color="auto"/>
        <w:left w:val="none" w:sz="0" w:space="0" w:color="auto"/>
        <w:bottom w:val="none" w:sz="0" w:space="0" w:color="auto"/>
        <w:right w:val="none" w:sz="0" w:space="0" w:color="auto"/>
      </w:divBdr>
    </w:div>
    <w:div w:id="2106489854">
      <w:bodyDiv w:val="1"/>
      <w:marLeft w:val="0"/>
      <w:marRight w:val="0"/>
      <w:marTop w:val="0"/>
      <w:marBottom w:val="0"/>
      <w:divBdr>
        <w:top w:val="none" w:sz="0" w:space="0" w:color="auto"/>
        <w:left w:val="none" w:sz="0" w:space="0" w:color="auto"/>
        <w:bottom w:val="none" w:sz="0" w:space="0" w:color="auto"/>
        <w:right w:val="none" w:sz="0" w:space="0" w:color="auto"/>
      </w:divBdr>
    </w:div>
    <w:div w:id="2135129258">
      <w:bodyDiv w:val="1"/>
      <w:marLeft w:val="0"/>
      <w:marRight w:val="0"/>
      <w:marTop w:val="0"/>
      <w:marBottom w:val="0"/>
      <w:divBdr>
        <w:top w:val="none" w:sz="0" w:space="0" w:color="auto"/>
        <w:left w:val="none" w:sz="0" w:space="0" w:color="auto"/>
        <w:bottom w:val="none" w:sz="0" w:space="0" w:color="auto"/>
        <w:right w:val="none" w:sz="0" w:space="0" w:color="auto"/>
      </w:divBdr>
    </w:div>
    <w:div w:id="21427974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86</Pages>
  <Words>24702</Words>
  <Characters>140806</Characters>
  <Application>Microsoft Office Word</Application>
  <DocSecurity>0</DocSecurity>
  <Lines>1173</Lines>
  <Paragraphs>330</Paragraphs>
  <ScaleCrop>false</ScaleCrop>
  <Manager/>
  <Company/>
  <LinksUpToDate>false</LinksUpToDate>
  <CharactersWithSpaces>165178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keywords/>
  <cp:lastModifiedBy>MD.SAKYF JAWAD</cp:lastModifiedBy>
  <cp:revision>121</cp:revision>
  <dcterms:created xsi:type="dcterms:W3CDTF">2026-09-21T18:44:00Z</dcterms:created>
  <dcterms:modified xsi:type="dcterms:W3CDTF">2026-09-22T22:50:00Z</dcterms:modified>
  <cp:category/>
</cp:coreProperties>
</file>