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5871163"/>
        <w:docPartObj>
          <w:docPartGallery w:val="Cover Pages"/>
          <w:docPartUnique/>
        </w:docPartObj>
      </w:sdtPr>
      <w:sdtContent>
        <w:p w14:paraId="502B8FE5" w14:textId="1E666FE4" w:rsidR="0057216C" w:rsidRPr="00BA6182" w:rsidRDefault="0057216C">
          <w:r w:rsidRPr="00BA6182">
            <mc:AlternateContent>
              <mc:Choice Requires="wps">
                <w:drawing>
                  <wp:anchor distT="0" distB="0" distL="114300" distR="114300" simplePos="0" relativeHeight="251659264" behindDoc="1" locked="0" layoutInCell="1" allowOverlap="0" wp14:anchorId="323C1531" wp14:editId="4605B9D7">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8" w:type="pct"/>
                                  <w:tblCellMar>
                                    <w:left w:w="0" w:type="dxa"/>
                                    <w:right w:w="0" w:type="dxa"/>
                                  </w:tblCellMar>
                                  <w:tblLook w:val="04A0" w:firstRow="1" w:lastRow="0" w:firstColumn="1" w:lastColumn="0" w:noHBand="0" w:noVBand="1"/>
                                  <w:tblDescription w:val="Cover page layout"/>
                                </w:tblPr>
                                <w:tblGrid>
                                  <w:gridCol w:w="10800"/>
                                </w:tblGrid>
                                <w:tr w:rsidR="0057216C" w:rsidRPr="00BA6182" w14:paraId="0682FF11" w14:textId="77777777" w:rsidTr="0057216C">
                                  <w:trPr>
                                    <w:trHeight w:hRule="exact" w:val="9360"/>
                                  </w:trPr>
                                  <w:tc>
                                    <w:tcPr>
                                      <w:tcW w:w="5000" w:type="pct"/>
                                    </w:tcPr>
                                    <w:p w14:paraId="7D00106C" w14:textId="77777777" w:rsidR="0057216C" w:rsidRPr="00BA6182" w:rsidRDefault="0057216C">
                                      <w:r w:rsidRPr="00BA6182">
                                        <w:drawing>
                                          <wp:inline distT="0" distB="0" distL="0" distR="0" wp14:anchorId="41CE7B74" wp14:editId="2962D90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7216C" w:rsidRPr="00BA6182" w14:paraId="63AAFB8E" w14:textId="77777777" w:rsidTr="0057216C">
                                  <w:trPr>
                                    <w:trHeight w:hRule="exact" w:val="4320"/>
                                  </w:trPr>
                                  <w:tc>
                                    <w:tcPr>
                                      <w:tcW w:w="5000" w:type="pct"/>
                                      <w:shd w:val="clear" w:color="auto" w:fill="156082" w:themeFill="accent1"/>
                                      <w:vAlign w:val="center"/>
                                    </w:tcPr>
                                    <w:p w14:paraId="6A7FDE27" w14:textId="6DE71A83" w:rsidR="0057216C" w:rsidRPr="00BA6182" w:rsidRDefault="0057216C">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EB3487" w:rsidRPr="00BA6182">
                                            <w:rPr>
                                              <w:rFonts w:asciiTheme="majorHAnsi" w:hAnsiTheme="majorHAnsi"/>
                                              <w:color w:val="FFFFFF" w:themeColor="background1"/>
                                              <w:sz w:val="96"/>
                                              <w:szCs w:val="96"/>
                                              <w:lang w:val="en-GB"/>
                                            </w:rPr>
                                            <w:t>Student learning log</w:t>
                                          </w:r>
                                        </w:sdtContent>
                                      </w:sdt>
                                    </w:p>
                                    <w:p w14:paraId="69DEA471" w14:textId="77777777" w:rsidR="00743882" w:rsidRPr="00BA6182" w:rsidRDefault="0057216C"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 xml:space="preserve"> </w:t>
                                      </w:r>
                                      <w:r w:rsidR="00743882" w:rsidRPr="00BA6182">
                                        <w:rPr>
                                          <w:color w:val="FFFFFF" w:themeColor="background1"/>
                                          <w:sz w:val="28"/>
                                          <w:szCs w:val="28"/>
                                          <w:lang w:val="en-GB"/>
                                        </w:rPr>
                                        <w:t>Student name: Sonia-Lorena Mocanu</w:t>
                                      </w:r>
                                    </w:p>
                                    <w:p w14:paraId="1D577FF5" w14:textId="77777777" w:rsidR="00743882" w:rsidRPr="00BA6182" w:rsidRDefault="00743882"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Student number: 2233341</w:t>
                                      </w:r>
                                    </w:p>
                                    <w:p w14:paraId="40D4ABFA" w14:textId="20CCB02C" w:rsidR="00743882" w:rsidRPr="00BA6182" w:rsidRDefault="00743882"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 xml:space="preserve">Module: </w:t>
                                      </w:r>
                                      <w:r w:rsidR="00FA6C50" w:rsidRPr="00BA6182">
                                        <w:rPr>
                                          <w:color w:val="FFFFFF" w:themeColor="background1"/>
                                          <w:sz w:val="28"/>
                                          <w:szCs w:val="28"/>
                                          <w:lang w:val="en-GB"/>
                                        </w:rPr>
                                        <w:t xml:space="preserve">Managing Hotel Administration </w:t>
                                      </w:r>
                                    </w:p>
                                    <w:p w14:paraId="39D664B8" w14:textId="276066ED" w:rsidR="00743882" w:rsidRPr="00BA6182" w:rsidRDefault="00743882"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Module code: BMIH600</w:t>
                                      </w:r>
                                      <w:r w:rsidRPr="00BA6182">
                                        <w:rPr>
                                          <w:color w:val="FFFFFF" w:themeColor="background1"/>
                                          <w:sz w:val="28"/>
                                          <w:szCs w:val="28"/>
                                          <w:lang w:val="en-GB"/>
                                        </w:rPr>
                                        <w:t>4</w:t>
                                      </w:r>
                                    </w:p>
                                    <w:p w14:paraId="467A7A19" w14:textId="70E2CAF2" w:rsidR="0057216C" w:rsidRPr="00BA6182" w:rsidRDefault="00743882" w:rsidP="00743882">
                                      <w:pPr>
                                        <w:pStyle w:val="NoSpacing"/>
                                        <w:spacing w:before="240"/>
                                        <w:ind w:left="720" w:right="720"/>
                                        <w:rPr>
                                          <w:color w:val="FFFFFF" w:themeColor="background1"/>
                                          <w:sz w:val="32"/>
                                          <w:szCs w:val="32"/>
                                          <w:lang w:val="en-GB"/>
                                        </w:rPr>
                                      </w:pPr>
                                      <w:r w:rsidRPr="00BA6182">
                                        <w:rPr>
                                          <w:color w:val="FFFFFF" w:themeColor="background1"/>
                                          <w:sz w:val="28"/>
                                          <w:szCs w:val="28"/>
                                          <w:lang w:val="en-GB"/>
                                        </w:rPr>
                                        <w:t>Tutor: Jessica Newport</w:t>
                                      </w:r>
                                    </w:p>
                                  </w:tc>
                                </w:tr>
                              </w:tbl>
                              <w:p w14:paraId="1F0C3BB2" w14:textId="77777777" w:rsidR="0057216C" w:rsidRPr="00BA6182" w:rsidRDefault="0057216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23C1531"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4998" w:type="pct"/>
                            <w:tblCellMar>
                              <w:left w:w="0" w:type="dxa"/>
                              <w:right w:w="0" w:type="dxa"/>
                            </w:tblCellMar>
                            <w:tblLook w:val="04A0" w:firstRow="1" w:lastRow="0" w:firstColumn="1" w:lastColumn="0" w:noHBand="0" w:noVBand="1"/>
                            <w:tblDescription w:val="Cover page layout"/>
                          </w:tblPr>
                          <w:tblGrid>
                            <w:gridCol w:w="10800"/>
                          </w:tblGrid>
                          <w:tr w:rsidR="0057216C" w:rsidRPr="00BA6182" w14:paraId="0682FF11" w14:textId="77777777" w:rsidTr="0057216C">
                            <w:trPr>
                              <w:trHeight w:hRule="exact" w:val="9360"/>
                            </w:trPr>
                            <w:tc>
                              <w:tcPr>
                                <w:tcW w:w="5000" w:type="pct"/>
                              </w:tcPr>
                              <w:p w14:paraId="7D00106C" w14:textId="77777777" w:rsidR="0057216C" w:rsidRPr="00BA6182" w:rsidRDefault="0057216C">
                                <w:r w:rsidRPr="00BA6182">
                                  <w:drawing>
                                    <wp:inline distT="0" distB="0" distL="0" distR="0" wp14:anchorId="41CE7B74" wp14:editId="2962D90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7216C" w:rsidRPr="00BA6182" w14:paraId="63AAFB8E" w14:textId="77777777" w:rsidTr="0057216C">
                            <w:trPr>
                              <w:trHeight w:hRule="exact" w:val="4320"/>
                            </w:trPr>
                            <w:tc>
                              <w:tcPr>
                                <w:tcW w:w="5000" w:type="pct"/>
                                <w:shd w:val="clear" w:color="auto" w:fill="156082" w:themeFill="accent1"/>
                                <w:vAlign w:val="center"/>
                              </w:tcPr>
                              <w:p w14:paraId="6A7FDE27" w14:textId="6DE71A83" w:rsidR="0057216C" w:rsidRPr="00BA6182" w:rsidRDefault="0057216C">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EB3487" w:rsidRPr="00BA6182">
                                      <w:rPr>
                                        <w:rFonts w:asciiTheme="majorHAnsi" w:hAnsiTheme="majorHAnsi"/>
                                        <w:color w:val="FFFFFF" w:themeColor="background1"/>
                                        <w:sz w:val="96"/>
                                        <w:szCs w:val="96"/>
                                        <w:lang w:val="en-GB"/>
                                      </w:rPr>
                                      <w:t>Student learning log</w:t>
                                    </w:r>
                                  </w:sdtContent>
                                </w:sdt>
                              </w:p>
                              <w:p w14:paraId="69DEA471" w14:textId="77777777" w:rsidR="00743882" w:rsidRPr="00BA6182" w:rsidRDefault="0057216C"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 xml:space="preserve"> </w:t>
                                </w:r>
                                <w:r w:rsidR="00743882" w:rsidRPr="00BA6182">
                                  <w:rPr>
                                    <w:color w:val="FFFFFF" w:themeColor="background1"/>
                                    <w:sz w:val="28"/>
                                    <w:szCs w:val="28"/>
                                    <w:lang w:val="en-GB"/>
                                  </w:rPr>
                                  <w:t>Student name: Sonia-Lorena Mocanu</w:t>
                                </w:r>
                              </w:p>
                              <w:p w14:paraId="1D577FF5" w14:textId="77777777" w:rsidR="00743882" w:rsidRPr="00BA6182" w:rsidRDefault="00743882"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Student number: 2233341</w:t>
                                </w:r>
                              </w:p>
                              <w:p w14:paraId="40D4ABFA" w14:textId="20CCB02C" w:rsidR="00743882" w:rsidRPr="00BA6182" w:rsidRDefault="00743882"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 xml:space="preserve">Module: </w:t>
                                </w:r>
                                <w:r w:rsidR="00FA6C50" w:rsidRPr="00BA6182">
                                  <w:rPr>
                                    <w:color w:val="FFFFFF" w:themeColor="background1"/>
                                    <w:sz w:val="28"/>
                                    <w:szCs w:val="28"/>
                                    <w:lang w:val="en-GB"/>
                                  </w:rPr>
                                  <w:t xml:space="preserve">Managing Hotel Administration </w:t>
                                </w:r>
                              </w:p>
                              <w:p w14:paraId="39D664B8" w14:textId="276066ED" w:rsidR="00743882" w:rsidRPr="00BA6182" w:rsidRDefault="00743882" w:rsidP="00743882">
                                <w:pPr>
                                  <w:pStyle w:val="NoSpacing"/>
                                  <w:spacing w:before="240"/>
                                  <w:ind w:left="720" w:right="720"/>
                                  <w:rPr>
                                    <w:color w:val="FFFFFF" w:themeColor="background1"/>
                                    <w:sz w:val="28"/>
                                    <w:szCs w:val="28"/>
                                    <w:lang w:val="en-GB"/>
                                  </w:rPr>
                                </w:pPr>
                                <w:r w:rsidRPr="00BA6182">
                                  <w:rPr>
                                    <w:color w:val="FFFFFF" w:themeColor="background1"/>
                                    <w:sz w:val="28"/>
                                    <w:szCs w:val="28"/>
                                    <w:lang w:val="en-GB"/>
                                  </w:rPr>
                                  <w:t>Module code: BMIH600</w:t>
                                </w:r>
                                <w:r w:rsidRPr="00BA6182">
                                  <w:rPr>
                                    <w:color w:val="FFFFFF" w:themeColor="background1"/>
                                    <w:sz w:val="28"/>
                                    <w:szCs w:val="28"/>
                                    <w:lang w:val="en-GB"/>
                                  </w:rPr>
                                  <w:t>4</w:t>
                                </w:r>
                              </w:p>
                              <w:p w14:paraId="467A7A19" w14:textId="70E2CAF2" w:rsidR="0057216C" w:rsidRPr="00BA6182" w:rsidRDefault="00743882" w:rsidP="00743882">
                                <w:pPr>
                                  <w:pStyle w:val="NoSpacing"/>
                                  <w:spacing w:before="240"/>
                                  <w:ind w:left="720" w:right="720"/>
                                  <w:rPr>
                                    <w:color w:val="FFFFFF" w:themeColor="background1"/>
                                    <w:sz w:val="32"/>
                                    <w:szCs w:val="32"/>
                                    <w:lang w:val="en-GB"/>
                                  </w:rPr>
                                </w:pPr>
                                <w:r w:rsidRPr="00BA6182">
                                  <w:rPr>
                                    <w:color w:val="FFFFFF" w:themeColor="background1"/>
                                    <w:sz w:val="28"/>
                                    <w:szCs w:val="28"/>
                                    <w:lang w:val="en-GB"/>
                                  </w:rPr>
                                  <w:t>Tutor: Jessica Newport</w:t>
                                </w:r>
                              </w:p>
                            </w:tc>
                          </w:tr>
                        </w:tbl>
                        <w:p w14:paraId="1F0C3BB2" w14:textId="77777777" w:rsidR="0057216C" w:rsidRPr="00BA6182" w:rsidRDefault="0057216C"/>
                      </w:txbxContent>
                    </v:textbox>
                    <w10:wrap anchorx="page" anchory="page"/>
                  </v:shape>
                </w:pict>
              </mc:Fallback>
            </mc:AlternateContent>
          </w:r>
        </w:p>
        <w:p w14:paraId="770FF3C6" w14:textId="4A5AC5B0" w:rsidR="0057216C" w:rsidRPr="00BA6182" w:rsidRDefault="0057216C">
          <w:r w:rsidRPr="00BA6182">
            <w:br w:type="page"/>
          </w:r>
        </w:p>
      </w:sdtContent>
    </w:sdt>
    <w:p w14:paraId="779B231F" w14:textId="77777777" w:rsidR="00517C25" w:rsidRPr="00BA6182" w:rsidRDefault="00517C25" w:rsidP="00517C25">
      <w:pPr>
        <w:pStyle w:val="Heading1"/>
      </w:pPr>
      <w:bookmarkStart w:id="0" w:name="_Toc211949955"/>
      <w:bookmarkStart w:id="1" w:name="_Toc212035200"/>
      <w:r w:rsidRPr="00BA6182">
        <w:lastRenderedPageBreak/>
        <w:t>AI Tools</w:t>
      </w:r>
      <w:bookmarkEnd w:id="0"/>
      <w:bookmarkEnd w:id="1"/>
    </w:p>
    <w:p w14:paraId="159F575F" w14:textId="77777777" w:rsidR="00517C25" w:rsidRPr="00BA6182" w:rsidRDefault="00517C25" w:rsidP="00517C25"/>
    <w:p w14:paraId="1CE79BC6" w14:textId="77777777" w:rsidR="00517C25" w:rsidRPr="00BA6182" w:rsidRDefault="00517C25" w:rsidP="00517C25">
      <w:pPr>
        <w:spacing w:line="360" w:lineRule="auto"/>
        <w:jc w:val="both"/>
        <w:rPr>
          <w:rFonts w:ascii="Arial" w:hAnsi="Arial" w:cs="Arial"/>
        </w:rPr>
      </w:pPr>
      <w:r w:rsidRPr="00BA6182">
        <w:rPr>
          <w:rFonts w:ascii="Arial" w:hAnsi="Arial" w:cs="Arial"/>
        </w:rPr>
        <w:t>I acknowledge the use of Grammarly (https://www.grammarly.com/) to check my work using the prompt(s):</w:t>
      </w:r>
    </w:p>
    <w:p w14:paraId="7C4FC09C" w14:textId="77777777" w:rsidR="00517C25" w:rsidRPr="00BA6182" w:rsidRDefault="00517C25" w:rsidP="00517C25">
      <w:pPr>
        <w:spacing w:line="360" w:lineRule="auto"/>
        <w:jc w:val="both"/>
        <w:rPr>
          <w:rFonts w:ascii="Arial" w:hAnsi="Arial" w:cs="Arial"/>
        </w:rPr>
      </w:pPr>
      <w:r w:rsidRPr="00BA6182">
        <w:rPr>
          <w:rFonts w:ascii="Arial" w:hAnsi="Arial" w:cs="Arial"/>
        </w:rPr>
        <w:t>1. Please check the following text for readability, grammar and syntax.</w:t>
      </w:r>
    </w:p>
    <w:p w14:paraId="1A9D1E08" w14:textId="77777777" w:rsidR="00517C25" w:rsidRPr="00BA6182" w:rsidRDefault="00517C25" w:rsidP="00517C25">
      <w:pPr>
        <w:spacing w:line="360" w:lineRule="auto"/>
        <w:jc w:val="both"/>
        <w:rPr>
          <w:rFonts w:ascii="Arial" w:hAnsi="Arial" w:cs="Arial"/>
        </w:rPr>
      </w:pPr>
      <w:r w:rsidRPr="00BA6182">
        <w:rPr>
          <w:rFonts w:ascii="Arial" w:hAnsi="Arial" w:cs="Arial"/>
        </w:rPr>
        <w:t>I confirm that I have not presented any AI-generated text as my work. I confirm I</w:t>
      </w:r>
    </w:p>
    <w:p w14:paraId="1895C80A" w14:textId="77777777" w:rsidR="00517C25" w:rsidRPr="00BA6182" w:rsidRDefault="00517C25" w:rsidP="00517C25">
      <w:pPr>
        <w:spacing w:line="360" w:lineRule="auto"/>
        <w:jc w:val="both"/>
        <w:rPr>
          <w:rFonts w:ascii="Arial" w:hAnsi="Arial" w:cs="Arial"/>
        </w:rPr>
      </w:pPr>
      <w:r w:rsidRPr="00BA6182">
        <w:rPr>
          <w:rFonts w:ascii="Arial" w:hAnsi="Arial" w:cs="Arial"/>
        </w:rPr>
        <w:t>have copies of my drafts, notes, and other resources I used before and after the use of</w:t>
      </w:r>
    </w:p>
    <w:p w14:paraId="4527E4C6" w14:textId="77777777" w:rsidR="00517C25" w:rsidRPr="00BA6182" w:rsidRDefault="00517C25" w:rsidP="00517C25">
      <w:pPr>
        <w:spacing w:line="360" w:lineRule="auto"/>
        <w:jc w:val="both"/>
        <w:rPr>
          <w:rFonts w:ascii="Arial" w:hAnsi="Arial" w:cs="Arial"/>
        </w:rPr>
      </w:pPr>
      <w:r w:rsidRPr="00BA6182">
        <w:rPr>
          <w:rFonts w:ascii="Arial" w:hAnsi="Arial" w:cs="Arial"/>
        </w:rPr>
        <w:t>AI tools which I may be asked to provide in evidence.</w:t>
      </w:r>
    </w:p>
    <w:p w14:paraId="2680622A" w14:textId="77777777" w:rsidR="00517C25" w:rsidRPr="00BA6182" w:rsidRDefault="00517C25" w:rsidP="00517C25">
      <w:pPr>
        <w:spacing w:line="360" w:lineRule="auto"/>
        <w:jc w:val="both"/>
        <w:rPr>
          <w:rFonts w:ascii="Arial" w:hAnsi="Arial" w:cs="Arial"/>
        </w:rPr>
      </w:pPr>
    </w:p>
    <w:p w14:paraId="26429DC1" w14:textId="77777777" w:rsidR="00517C25" w:rsidRPr="00BA6182" w:rsidRDefault="00517C25" w:rsidP="00517C25">
      <w:pPr>
        <w:spacing w:line="360" w:lineRule="auto"/>
        <w:jc w:val="both"/>
        <w:rPr>
          <w:rFonts w:ascii="Arial" w:hAnsi="Arial" w:cs="Arial"/>
        </w:rPr>
      </w:pPr>
      <w:r w:rsidRPr="00BA6182">
        <w:rPr>
          <w:rFonts w:ascii="Arial" w:hAnsi="Arial" w:cs="Arial"/>
        </w:rPr>
        <w:t>I acknowledge the use of Google and Google Scholar to support my research.</w:t>
      </w:r>
    </w:p>
    <w:p w14:paraId="64AACD4D" w14:textId="77777777" w:rsidR="00517C25" w:rsidRPr="00BA6182" w:rsidRDefault="00517C25" w:rsidP="00517C25">
      <w:pPr>
        <w:spacing w:line="360" w:lineRule="auto"/>
        <w:jc w:val="both"/>
        <w:rPr>
          <w:rFonts w:ascii="Arial" w:hAnsi="Arial" w:cs="Arial"/>
        </w:rPr>
      </w:pPr>
      <w:r w:rsidRPr="00BA6182">
        <w:rPr>
          <w:rFonts w:ascii="Arial" w:hAnsi="Arial" w:cs="Arial"/>
        </w:rPr>
        <w:t>I confirm that I have not presented any AI-generated text as my work. I confirm I</w:t>
      </w:r>
    </w:p>
    <w:p w14:paraId="0792FB29" w14:textId="77777777" w:rsidR="00517C25" w:rsidRPr="00BA6182" w:rsidRDefault="00517C25" w:rsidP="00517C25">
      <w:pPr>
        <w:spacing w:line="360" w:lineRule="auto"/>
        <w:jc w:val="both"/>
        <w:rPr>
          <w:rFonts w:ascii="Arial" w:hAnsi="Arial" w:cs="Arial"/>
        </w:rPr>
      </w:pPr>
      <w:r w:rsidRPr="00BA6182">
        <w:rPr>
          <w:rFonts w:ascii="Arial" w:hAnsi="Arial" w:cs="Arial"/>
        </w:rPr>
        <w:t>have copies of my drafts, notes, and other resources I used before and after the use of</w:t>
      </w:r>
    </w:p>
    <w:p w14:paraId="2CBA14DC" w14:textId="77777777" w:rsidR="00517C25" w:rsidRPr="00BA6182" w:rsidRDefault="00517C25" w:rsidP="00517C25">
      <w:pPr>
        <w:spacing w:line="360" w:lineRule="auto"/>
        <w:jc w:val="both"/>
        <w:rPr>
          <w:rFonts w:ascii="Arial" w:hAnsi="Arial" w:cs="Arial"/>
        </w:rPr>
      </w:pPr>
      <w:r w:rsidRPr="00BA6182">
        <w:rPr>
          <w:rFonts w:ascii="Arial" w:hAnsi="Arial" w:cs="Arial"/>
        </w:rPr>
        <w:t>AI tools, which I may be asked to provide in evidence.</w:t>
      </w:r>
    </w:p>
    <w:p w14:paraId="79BF01E7" w14:textId="77777777" w:rsidR="00517C25" w:rsidRPr="00BA6182" w:rsidRDefault="00517C25" w:rsidP="00517C25"/>
    <w:p w14:paraId="2FB8EDC9" w14:textId="77777777" w:rsidR="00517C25" w:rsidRPr="00BA6182" w:rsidRDefault="00517C25" w:rsidP="00517C25"/>
    <w:p w14:paraId="627E0CEC" w14:textId="219F86BB" w:rsidR="00517C25" w:rsidRPr="00BA6182" w:rsidRDefault="00517C25"/>
    <w:p w14:paraId="000065B1" w14:textId="77777777" w:rsidR="00517C25" w:rsidRPr="00BA6182" w:rsidRDefault="00517C25">
      <w:r w:rsidRPr="00BA6182">
        <w:br w:type="page"/>
      </w:r>
    </w:p>
    <w:sdt>
      <w:sdtPr>
        <w:rPr>
          <w:lang w:val="en-GB"/>
        </w:rPr>
        <w:id w:val="-255512760"/>
        <w:docPartObj>
          <w:docPartGallery w:val="Table of Contents"/>
          <w:docPartUnique/>
        </w:docPartObj>
      </w:sdtPr>
      <w:sdtEndPr>
        <w:rPr>
          <w:rFonts w:asciiTheme="minorHAnsi" w:eastAsiaTheme="minorHAnsi" w:hAnsiTheme="minorHAnsi" w:cstheme="minorBidi"/>
          <w:b/>
          <w:bCs/>
          <w:color w:val="auto"/>
          <w:kern w:val="2"/>
          <w:sz w:val="24"/>
          <w:szCs w:val="24"/>
          <w14:ligatures w14:val="standardContextual"/>
        </w:rPr>
      </w:sdtEndPr>
      <w:sdtContent>
        <w:p w14:paraId="4B80E89C" w14:textId="6A9F328E" w:rsidR="00517C25" w:rsidRPr="00BA6182" w:rsidRDefault="00517C25">
          <w:pPr>
            <w:pStyle w:val="TOCHeading"/>
            <w:rPr>
              <w:lang w:val="en-GB"/>
            </w:rPr>
          </w:pPr>
          <w:r w:rsidRPr="00BA6182">
            <w:rPr>
              <w:lang w:val="en-GB"/>
            </w:rPr>
            <w:t>Table of Contents</w:t>
          </w:r>
        </w:p>
        <w:p w14:paraId="0481929D" w14:textId="4C2FB5A3" w:rsidR="003430BB" w:rsidRDefault="00517C25">
          <w:pPr>
            <w:pStyle w:val="TOC1"/>
            <w:tabs>
              <w:tab w:val="right" w:leader="dot" w:pos="9396"/>
            </w:tabs>
            <w:rPr>
              <w:rFonts w:eastAsiaTheme="minorEastAsia"/>
              <w:noProof/>
              <w:lang w:val="en-US"/>
            </w:rPr>
          </w:pPr>
          <w:r w:rsidRPr="00BA6182">
            <w:fldChar w:fldCharType="begin"/>
          </w:r>
          <w:r w:rsidRPr="00BA6182">
            <w:instrText xml:space="preserve"> TOC \o "1-3" \h \z \u </w:instrText>
          </w:r>
          <w:r w:rsidRPr="00BA6182">
            <w:fldChar w:fldCharType="separate"/>
          </w:r>
          <w:hyperlink w:anchor="_Toc212035200" w:history="1">
            <w:r w:rsidR="003430BB" w:rsidRPr="00915608">
              <w:rPr>
                <w:rStyle w:val="Hyperlink"/>
                <w:noProof/>
              </w:rPr>
              <w:t>AI Tools</w:t>
            </w:r>
            <w:r w:rsidR="003430BB">
              <w:rPr>
                <w:noProof/>
                <w:webHidden/>
              </w:rPr>
              <w:tab/>
            </w:r>
            <w:r w:rsidR="003430BB">
              <w:rPr>
                <w:noProof/>
                <w:webHidden/>
              </w:rPr>
              <w:fldChar w:fldCharType="begin"/>
            </w:r>
            <w:r w:rsidR="003430BB">
              <w:rPr>
                <w:noProof/>
                <w:webHidden/>
              </w:rPr>
              <w:instrText xml:space="preserve"> PAGEREF _Toc212035200 \h </w:instrText>
            </w:r>
            <w:r w:rsidR="003430BB">
              <w:rPr>
                <w:noProof/>
                <w:webHidden/>
              </w:rPr>
            </w:r>
            <w:r w:rsidR="003430BB">
              <w:rPr>
                <w:noProof/>
                <w:webHidden/>
              </w:rPr>
              <w:fldChar w:fldCharType="separate"/>
            </w:r>
            <w:r w:rsidR="003430BB">
              <w:rPr>
                <w:noProof/>
                <w:webHidden/>
              </w:rPr>
              <w:t>1</w:t>
            </w:r>
            <w:r w:rsidR="003430BB">
              <w:rPr>
                <w:noProof/>
                <w:webHidden/>
              </w:rPr>
              <w:fldChar w:fldCharType="end"/>
            </w:r>
          </w:hyperlink>
        </w:p>
        <w:p w14:paraId="79E25358" w14:textId="180B524D" w:rsidR="003430BB" w:rsidRDefault="003430BB">
          <w:pPr>
            <w:pStyle w:val="TOC1"/>
            <w:tabs>
              <w:tab w:val="right" w:leader="dot" w:pos="9396"/>
            </w:tabs>
            <w:rPr>
              <w:rFonts w:eastAsiaTheme="minorEastAsia"/>
              <w:noProof/>
              <w:lang w:val="en-US"/>
            </w:rPr>
          </w:pPr>
          <w:hyperlink w:anchor="_Toc212035201" w:history="1">
            <w:r w:rsidRPr="00915608">
              <w:rPr>
                <w:rStyle w:val="Hyperlink"/>
                <w:noProof/>
              </w:rPr>
              <w:t>Introduction</w:t>
            </w:r>
            <w:r>
              <w:rPr>
                <w:noProof/>
                <w:webHidden/>
              </w:rPr>
              <w:tab/>
            </w:r>
            <w:r>
              <w:rPr>
                <w:noProof/>
                <w:webHidden/>
              </w:rPr>
              <w:fldChar w:fldCharType="begin"/>
            </w:r>
            <w:r>
              <w:rPr>
                <w:noProof/>
                <w:webHidden/>
              </w:rPr>
              <w:instrText xml:space="preserve"> PAGEREF _Toc212035201 \h </w:instrText>
            </w:r>
            <w:r>
              <w:rPr>
                <w:noProof/>
                <w:webHidden/>
              </w:rPr>
            </w:r>
            <w:r>
              <w:rPr>
                <w:noProof/>
                <w:webHidden/>
              </w:rPr>
              <w:fldChar w:fldCharType="separate"/>
            </w:r>
            <w:r>
              <w:rPr>
                <w:noProof/>
                <w:webHidden/>
              </w:rPr>
              <w:t>3</w:t>
            </w:r>
            <w:r>
              <w:rPr>
                <w:noProof/>
                <w:webHidden/>
              </w:rPr>
              <w:fldChar w:fldCharType="end"/>
            </w:r>
          </w:hyperlink>
        </w:p>
        <w:p w14:paraId="7AA44DA7" w14:textId="768CF6C4" w:rsidR="003430BB" w:rsidRDefault="003430BB">
          <w:pPr>
            <w:pStyle w:val="TOC1"/>
            <w:tabs>
              <w:tab w:val="right" w:leader="dot" w:pos="9396"/>
            </w:tabs>
            <w:rPr>
              <w:rFonts w:eastAsiaTheme="minorEastAsia"/>
              <w:noProof/>
              <w:lang w:val="en-US"/>
            </w:rPr>
          </w:pPr>
          <w:hyperlink w:anchor="_Toc212035202" w:history="1">
            <w:r w:rsidRPr="00915608">
              <w:rPr>
                <w:rStyle w:val="Hyperlink"/>
                <w:noProof/>
              </w:rPr>
              <w:t>Critical Reflection</w:t>
            </w:r>
            <w:r>
              <w:rPr>
                <w:noProof/>
                <w:webHidden/>
              </w:rPr>
              <w:tab/>
            </w:r>
            <w:r>
              <w:rPr>
                <w:noProof/>
                <w:webHidden/>
              </w:rPr>
              <w:fldChar w:fldCharType="begin"/>
            </w:r>
            <w:r>
              <w:rPr>
                <w:noProof/>
                <w:webHidden/>
              </w:rPr>
              <w:instrText xml:space="preserve"> PAGEREF _Toc212035202 \h </w:instrText>
            </w:r>
            <w:r>
              <w:rPr>
                <w:noProof/>
                <w:webHidden/>
              </w:rPr>
            </w:r>
            <w:r>
              <w:rPr>
                <w:noProof/>
                <w:webHidden/>
              </w:rPr>
              <w:fldChar w:fldCharType="separate"/>
            </w:r>
            <w:r>
              <w:rPr>
                <w:noProof/>
                <w:webHidden/>
              </w:rPr>
              <w:t>3</w:t>
            </w:r>
            <w:r>
              <w:rPr>
                <w:noProof/>
                <w:webHidden/>
              </w:rPr>
              <w:fldChar w:fldCharType="end"/>
            </w:r>
          </w:hyperlink>
        </w:p>
        <w:p w14:paraId="0C43F516" w14:textId="718D4BA1" w:rsidR="003430BB" w:rsidRDefault="003430BB">
          <w:pPr>
            <w:pStyle w:val="TOC3"/>
            <w:tabs>
              <w:tab w:val="right" w:leader="dot" w:pos="9396"/>
            </w:tabs>
            <w:rPr>
              <w:rFonts w:eastAsiaTheme="minorEastAsia"/>
              <w:noProof/>
              <w:lang w:val="en-US"/>
            </w:rPr>
          </w:pPr>
          <w:hyperlink w:anchor="_Toc212035203" w:history="1">
            <w:r w:rsidRPr="00915608">
              <w:rPr>
                <w:rStyle w:val="Hyperlink"/>
                <w:noProof/>
              </w:rPr>
              <w:t>Progression from Level 4 to Level 6</w:t>
            </w:r>
            <w:r>
              <w:rPr>
                <w:noProof/>
                <w:webHidden/>
              </w:rPr>
              <w:tab/>
            </w:r>
            <w:r>
              <w:rPr>
                <w:noProof/>
                <w:webHidden/>
              </w:rPr>
              <w:fldChar w:fldCharType="begin"/>
            </w:r>
            <w:r>
              <w:rPr>
                <w:noProof/>
                <w:webHidden/>
              </w:rPr>
              <w:instrText xml:space="preserve"> PAGEREF _Toc212035203 \h </w:instrText>
            </w:r>
            <w:r>
              <w:rPr>
                <w:noProof/>
                <w:webHidden/>
              </w:rPr>
            </w:r>
            <w:r>
              <w:rPr>
                <w:noProof/>
                <w:webHidden/>
              </w:rPr>
              <w:fldChar w:fldCharType="separate"/>
            </w:r>
            <w:r>
              <w:rPr>
                <w:noProof/>
                <w:webHidden/>
              </w:rPr>
              <w:t>7</w:t>
            </w:r>
            <w:r>
              <w:rPr>
                <w:noProof/>
                <w:webHidden/>
              </w:rPr>
              <w:fldChar w:fldCharType="end"/>
            </w:r>
          </w:hyperlink>
        </w:p>
        <w:p w14:paraId="261DF262" w14:textId="6690882F" w:rsidR="003430BB" w:rsidRDefault="003430BB">
          <w:pPr>
            <w:pStyle w:val="TOC1"/>
            <w:tabs>
              <w:tab w:val="right" w:leader="dot" w:pos="9396"/>
            </w:tabs>
            <w:rPr>
              <w:rFonts w:eastAsiaTheme="minorEastAsia"/>
              <w:noProof/>
              <w:lang w:val="en-US"/>
            </w:rPr>
          </w:pPr>
          <w:hyperlink w:anchor="_Toc212035204" w:history="1">
            <w:r w:rsidRPr="00915608">
              <w:rPr>
                <w:rStyle w:val="Hyperlink"/>
                <w:rFonts w:eastAsia="Times New Roman"/>
                <w:noProof/>
              </w:rPr>
              <w:t>Conclusion and Development Plan</w:t>
            </w:r>
            <w:r>
              <w:rPr>
                <w:noProof/>
                <w:webHidden/>
              </w:rPr>
              <w:tab/>
            </w:r>
            <w:r>
              <w:rPr>
                <w:noProof/>
                <w:webHidden/>
              </w:rPr>
              <w:fldChar w:fldCharType="begin"/>
            </w:r>
            <w:r>
              <w:rPr>
                <w:noProof/>
                <w:webHidden/>
              </w:rPr>
              <w:instrText xml:space="preserve"> PAGEREF _Toc212035204 \h </w:instrText>
            </w:r>
            <w:r>
              <w:rPr>
                <w:noProof/>
                <w:webHidden/>
              </w:rPr>
            </w:r>
            <w:r>
              <w:rPr>
                <w:noProof/>
                <w:webHidden/>
              </w:rPr>
              <w:fldChar w:fldCharType="separate"/>
            </w:r>
            <w:r>
              <w:rPr>
                <w:noProof/>
                <w:webHidden/>
              </w:rPr>
              <w:t>7</w:t>
            </w:r>
            <w:r>
              <w:rPr>
                <w:noProof/>
                <w:webHidden/>
              </w:rPr>
              <w:fldChar w:fldCharType="end"/>
            </w:r>
          </w:hyperlink>
        </w:p>
        <w:p w14:paraId="65E86594" w14:textId="1A4C915D" w:rsidR="003430BB" w:rsidRDefault="003430BB">
          <w:pPr>
            <w:pStyle w:val="TOC1"/>
            <w:tabs>
              <w:tab w:val="right" w:leader="dot" w:pos="9396"/>
            </w:tabs>
            <w:rPr>
              <w:rFonts w:eastAsiaTheme="minorEastAsia"/>
              <w:noProof/>
              <w:lang w:val="en-US"/>
            </w:rPr>
          </w:pPr>
          <w:hyperlink w:anchor="_Toc212035205" w:history="1">
            <w:r w:rsidRPr="00915608">
              <w:rPr>
                <w:rStyle w:val="Hyperlink"/>
                <w:noProof/>
              </w:rPr>
              <w:t>References list</w:t>
            </w:r>
            <w:r>
              <w:rPr>
                <w:noProof/>
                <w:webHidden/>
              </w:rPr>
              <w:tab/>
            </w:r>
            <w:r>
              <w:rPr>
                <w:noProof/>
                <w:webHidden/>
              </w:rPr>
              <w:fldChar w:fldCharType="begin"/>
            </w:r>
            <w:r>
              <w:rPr>
                <w:noProof/>
                <w:webHidden/>
              </w:rPr>
              <w:instrText xml:space="preserve"> PAGEREF _Toc212035205 \h </w:instrText>
            </w:r>
            <w:r>
              <w:rPr>
                <w:noProof/>
                <w:webHidden/>
              </w:rPr>
            </w:r>
            <w:r>
              <w:rPr>
                <w:noProof/>
                <w:webHidden/>
              </w:rPr>
              <w:fldChar w:fldCharType="separate"/>
            </w:r>
            <w:r>
              <w:rPr>
                <w:noProof/>
                <w:webHidden/>
              </w:rPr>
              <w:t>9</w:t>
            </w:r>
            <w:r>
              <w:rPr>
                <w:noProof/>
                <w:webHidden/>
              </w:rPr>
              <w:fldChar w:fldCharType="end"/>
            </w:r>
          </w:hyperlink>
        </w:p>
        <w:p w14:paraId="2B6894A5" w14:textId="1F8DBFA6" w:rsidR="00517C25" w:rsidRPr="00BA6182" w:rsidRDefault="00517C25">
          <w:r w:rsidRPr="00BA6182">
            <w:rPr>
              <w:b/>
              <w:bCs/>
            </w:rPr>
            <w:fldChar w:fldCharType="end"/>
          </w:r>
        </w:p>
      </w:sdtContent>
    </w:sdt>
    <w:p w14:paraId="46395C87" w14:textId="3F6396B1" w:rsidR="00517C25" w:rsidRPr="00BA6182" w:rsidRDefault="00517C25"/>
    <w:p w14:paraId="6A98D1A0" w14:textId="77777777" w:rsidR="00517C25" w:rsidRPr="00BA6182" w:rsidRDefault="00517C25">
      <w:r w:rsidRPr="00BA6182">
        <w:br w:type="page"/>
      </w:r>
    </w:p>
    <w:p w14:paraId="5A24587D" w14:textId="5A18DA98" w:rsidR="0067178D" w:rsidRPr="00BA6182" w:rsidRDefault="00AA5288" w:rsidP="00AA5288">
      <w:pPr>
        <w:pStyle w:val="Heading1"/>
      </w:pPr>
      <w:bookmarkStart w:id="2" w:name="_Toc212035201"/>
      <w:r w:rsidRPr="00BA6182">
        <w:lastRenderedPageBreak/>
        <w:t>Introduction</w:t>
      </w:r>
      <w:bookmarkEnd w:id="2"/>
    </w:p>
    <w:p w14:paraId="62798EC2" w14:textId="77777777" w:rsidR="00AA5288" w:rsidRPr="00BA6182" w:rsidRDefault="00AA5288" w:rsidP="00AA5288"/>
    <w:p w14:paraId="0A87887C" w14:textId="77777777" w:rsidR="00813C57" w:rsidRPr="00813C57" w:rsidRDefault="00813C57" w:rsidP="00813C57">
      <w:pPr>
        <w:spacing w:line="360" w:lineRule="auto"/>
        <w:jc w:val="both"/>
        <w:rPr>
          <w:rFonts w:ascii="Arial" w:hAnsi="Arial" w:cs="Arial"/>
        </w:rPr>
      </w:pPr>
      <w:r w:rsidRPr="00813C57">
        <w:rPr>
          <w:rFonts w:ascii="Arial" w:hAnsi="Arial" w:cs="Arial"/>
        </w:rPr>
        <w:t>This reflective learning log explores my professional growth during my Level 6 placement at Leonardo Hotel East Midlands, a four-star business hotel serving both leisure and corporate travellers near the airport. I worked as a Receptionist in the Front Office Department, responsible for check-ins and check-outs, resolving guest issues, and maintaining high service standards. I collaborated closely with Jayde, who modelled professionalism and composure under pressure, and Sophia, who demonstrated warmth and humour in guest interactions. My manager, Nicole, provided supervisory feedback and encouraged self-reflection.</w:t>
      </w:r>
    </w:p>
    <w:p w14:paraId="0C8BB459" w14:textId="324A80CB" w:rsidR="00813C57" w:rsidRPr="00BA6182" w:rsidRDefault="00813C57" w:rsidP="00813C57">
      <w:pPr>
        <w:spacing w:line="360" w:lineRule="auto"/>
        <w:jc w:val="both"/>
        <w:rPr>
          <w:rFonts w:ascii="Arial" w:hAnsi="Arial" w:cs="Arial"/>
        </w:rPr>
      </w:pPr>
      <w:r w:rsidRPr="00813C57">
        <w:rPr>
          <w:rFonts w:ascii="Arial" w:hAnsi="Arial" w:cs="Arial"/>
        </w:rPr>
        <w:t>This log applies Gibbs’ Reflective Cycle (1988) to analyse two critical experiences: handling a guest complaint and managing a system failure during a busy check-in. The reflection connects these experiences with theoretical learning from Business Skills for the Hospitality Industry and Hospitality and Guest Service Management modules. It also draws on recent literature (2019–2025) regarding emotional labour, service quality, emotional intelligence, and reflective practice in hospitality (Machost et al., 2023; Chen</w:t>
      </w:r>
      <w:r w:rsidR="006039F1" w:rsidRPr="00BA6182">
        <w:rPr>
          <w:rFonts w:ascii="Arial" w:hAnsi="Arial" w:cs="Arial"/>
        </w:rPr>
        <w:t>, Huang and Chu</w:t>
      </w:r>
      <w:r w:rsidRPr="00813C57">
        <w:rPr>
          <w:rFonts w:ascii="Arial" w:hAnsi="Arial" w:cs="Arial"/>
        </w:rPr>
        <w:t>, 2024; Perdomo-Verdecia et al., 2024).</w:t>
      </w:r>
    </w:p>
    <w:p w14:paraId="7BD78747" w14:textId="619F9412" w:rsidR="00D7454F" w:rsidRPr="00BA6182" w:rsidRDefault="00A04651" w:rsidP="00A04651">
      <w:pPr>
        <w:pStyle w:val="Heading1"/>
      </w:pPr>
      <w:bookmarkStart w:id="3" w:name="_Toc212035202"/>
      <w:r w:rsidRPr="00BA6182">
        <w:t>Critical Reflection</w:t>
      </w:r>
      <w:bookmarkEnd w:id="3"/>
    </w:p>
    <w:p w14:paraId="283B9B49" w14:textId="77777777" w:rsidR="00F833D3" w:rsidRPr="00BA6182" w:rsidRDefault="00F833D3" w:rsidP="00F833D3">
      <w:pPr>
        <w:pStyle w:val="Subtitle"/>
      </w:pPr>
      <w:r w:rsidRPr="00BA6182">
        <w:t>Scenario 1: Handling a Guest Complaint</w:t>
      </w:r>
    </w:p>
    <w:p w14:paraId="11C11038" w14:textId="08304E6C" w:rsidR="00F833D3" w:rsidRPr="00F833D3" w:rsidRDefault="00F833D3" w:rsidP="00BB72F1">
      <w:pPr>
        <w:spacing w:line="360" w:lineRule="auto"/>
        <w:jc w:val="both"/>
        <w:rPr>
          <w:rFonts w:ascii="Arial" w:hAnsi="Arial" w:cs="Arial"/>
        </w:rPr>
      </w:pPr>
      <w:r w:rsidRPr="00F833D3">
        <w:rPr>
          <w:rFonts w:ascii="Arial" w:hAnsi="Arial" w:cs="Arial"/>
          <w:b/>
          <w:bCs/>
        </w:rPr>
        <w:t>Description</w:t>
      </w:r>
      <w:r w:rsidRPr="00F833D3">
        <w:rPr>
          <w:rFonts w:ascii="Arial" w:hAnsi="Arial" w:cs="Arial"/>
        </w:rPr>
        <w:br/>
        <w:t xml:space="preserve">During my placement, a guest complained about a delayed check-in caused by overbooking and a slow property-management system. As I was still new, Jayde led the situation, calmly apologising and offering the guest a complimentary drink while the room was </w:t>
      </w:r>
      <w:r w:rsidRPr="00BA6182">
        <w:rPr>
          <w:rFonts w:ascii="Arial" w:hAnsi="Arial" w:cs="Arial"/>
        </w:rPr>
        <w:t xml:space="preserve">being </w:t>
      </w:r>
      <w:r w:rsidRPr="00F833D3">
        <w:rPr>
          <w:rFonts w:ascii="Arial" w:hAnsi="Arial" w:cs="Arial"/>
        </w:rPr>
        <w:t>prepared. I observed her tone, choice of words, and empathetic gestures throughout the exchange.</w:t>
      </w:r>
    </w:p>
    <w:p w14:paraId="3697FFDF" w14:textId="621747B1" w:rsidR="00F833D3" w:rsidRPr="00F833D3" w:rsidRDefault="00F833D3" w:rsidP="00BB72F1">
      <w:pPr>
        <w:spacing w:line="360" w:lineRule="auto"/>
        <w:jc w:val="both"/>
        <w:rPr>
          <w:rFonts w:ascii="Arial" w:hAnsi="Arial" w:cs="Arial"/>
        </w:rPr>
      </w:pPr>
      <w:r w:rsidRPr="00F833D3">
        <w:rPr>
          <w:rFonts w:ascii="Arial" w:hAnsi="Arial" w:cs="Arial"/>
          <w:b/>
          <w:bCs/>
        </w:rPr>
        <w:t>Feelings</w:t>
      </w:r>
      <w:r w:rsidRPr="00F833D3">
        <w:rPr>
          <w:rFonts w:ascii="Arial" w:hAnsi="Arial" w:cs="Arial"/>
        </w:rPr>
        <w:br/>
        <w:t xml:space="preserve">Initially, I felt nervous and underprepared since I had not yet mastered the booking system. At the same time, I admired Jayde’s confidence and emotional control. Research indicates </w:t>
      </w:r>
      <w:r w:rsidRPr="00F833D3">
        <w:rPr>
          <w:rFonts w:ascii="Arial" w:hAnsi="Arial" w:cs="Arial"/>
        </w:rPr>
        <w:lastRenderedPageBreak/>
        <w:t>that early-stage hospitality employees often experience anxiety and low self-efficacy due to limited procedural familiarity (Xiong, Ye &amp; Wang, 2023). However, I recognised that witnessing such professionalism was itself a form of experiential learning.</w:t>
      </w:r>
    </w:p>
    <w:p w14:paraId="003FEB74" w14:textId="59BC95F9" w:rsidR="00F833D3" w:rsidRPr="00F833D3" w:rsidRDefault="00F833D3" w:rsidP="00BB72F1">
      <w:pPr>
        <w:spacing w:line="360" w:lineRule="auto"/>
        <w:jc w:val="both"/>
        <w:rPr>
          <w:rFonts w:ascii="Arial" w:hAnsi="Arial" w:cs="Arial"/>
        </w:rPr>
      </w:pPr>
      <w:r w:rsidRPr="00F833D3">
        <w:rPr>
          <w:rFonts w:ascii="Arial" w:hAnsi="Arial" w:cs="Arial"/>
          <w:b/>
          <w:bCs/>
        </w:rPr>
        <w:t>Evaluation</w:t>
      </w:r>
      <w:r w:rsidRPr="00F833D3">
        <w:rPr>
          <w:rFonts w:ascii="Arial" w:hAnsi="Arial" w:cs="Arial"/>
        </w:rPr>
        <w:br/>
        <w:t>The positive aspect was how empathy and calmness resolved the guest’s frustration—key attributes within the service quality framework (Ayvaz-Çavdaroğlu, 2024). What went less well was my lack of participation. Studies show that service quality outcomes depend on staff empowerment and emotional assurance (Asgeirsson, Gudlaugsson &amp; Jóhannesson, 2024). Without confidence in the system, I contributed little beyond observation, which limited my learning potential.</w:t>
      </w:r>
    </w:p>
    <w:p w14:paraId="2F3861A9" w14:textId="3662E8DD" w:rsidR="00F833D3" w:rsidRPr="00F833D3" w:rsidRDefault="00F833D3" w:rsidP="00BB72F1">
      <w:pPr>
        <w:spacing w:line="360" w:lineRule="auto"/>
        <w:jc w:val="both"/>
        <w:rPr>
          <w:rFonts w:ascii="Arial" w:hAnsi="Arial" w:cs="Arial"/>
        </w:rPr>
      </w:pPr>
      <w:r w:rsidRPr="00F833D3">
        <w:rPr>
          <w:rFonts w:ascii="Arial" w:hAnsi="Arial" w:cs="Arial"/>
          <w:b/>
          <w:bCs/>
        </w:rPr>
        <w:t>Analysis</w:t>
      </w:r>
      <w:r w:rsidRPr="00F833D3">
        <w:rPr>
          <w:rFonts w:ascii="Arial" w:hAnsi="Arial" w:cs="Arial"/>
        </w:rPr>
        <w:br/>
        <w:t>The situation reflected emotional labour in practice—the regulation of feelings to meet organisational expectations (Jones, 2023). Jayde’s deep acting, rather than surface acting, allowed genuine empathy to emerge, enhancing service authenticity. Emotional labour remains central to modern hospitality, but when supported by emotional intelligence (EI), it can reduce burnout and improve satisfaction (Chen, Huang &amp; Ch</w:t>
      </w:r>
      <w:r w:rsidR="006039F1" w:rsidRPr="00BA6182">
        <w:rPr>
          <w:rFonts w:ascii="Arial" w:hAnsi="Arial" w:cs="Arial"/>
        </w:rPr>
        <w:t>u</w:t>
      </w:r>
      <w:r w:rsidRPr="00F833D3">
        <w:rPr>
          <w:rFonts w:ascii="Arial" w:hAnsi="Arial" w:cs="Arial"/>
        </w:rPr>
        <w:t>, 2024).</w:t>
      </w:r>
    </w:p>
    <w:p w14:paraId="210763CB" w14:textId="2DFB8BE0" w:rsidR="00F833D3" w:rsidRPr="00F833D3" w:rsidRDefault="00F833D3" w:rsidP="00BB72F1">
      <w:pPr>
        <w:spacing w:line="360" w:lineRule="auto"/>
        <w:jc w:val="both"/>
        <w:rPr>
          <w:rFonts w:ascii="Arial" w:hAnsi="Arial" w:cs="Arial"/>
        </w:rPr>
      </w:pPr>
      <w:r w:rsidRPr="00F833D3">
        <w:rPr>
          <w:rFonts w:ascii="Arial" w:hAnsi="Arial" w:cs="Arial"/>
        </w:rPr>
        <w:t xml:space="preserve">Through </w:t>
      </w:r>
      <w:r w:rsidRPr="00F833D3">
        <w:rPr>
          <w:rFonts w:ascii="Arial" w:hAnsi="Arial" w:cs="Arial"/>
          <w:i/>
          <w:iCs/>
        </w:rPr>
        <w:t>Business Skills for the Hospitality Industry</w:t>
      </w:r>
      <w:r w:rsidRPr="00F833D3">
        <w:rPr>
          <w:rFonts w:ascii="Arial" w:hAnsi="Arial" w:cs="Arial"/>
        </w:rPr>
        <w:t xml:space="preserve">, I previously studied interpersonal communication and active </w:t>
      </w:r>
      <w:r w:rsidR="00930F2F" w:rsidRPr="00BA6182">
        <w:rPr>
          <w:rFonts w:ascii="Arial" w:hAnsi="Arial" w:cs="Arial"/>
        </w:rPr>
        <w:t>listening, but</w:t>
      </w:r>
      <w:r w:rsidRPr="00F833D3">
        <w:rPr>
          <w:rFonts w:ascii="Arial" w:hAnsi="Arial" w:cs="Arial"/>
        </w:rPr>
        <w:t xml:space="preserve"> seeing them applied in a real context deepened my understanding. Reflective models like Gibbs support this process by converting experiences into professional insight (Ahmadpour et al., 2025). Moreover, my observation echoed experiential learning theory, where reflection follows concrete experience, leading to conceptual understanding and behavioural change (Dhollande et al., 2025).</w:t>
      </w:r>
    </w:p>
    <w:p w14:paraId="338C2AFA" w14:textId="52D5EDBC" w:rsidR="00F833D3" w:rsidRPr="00F833D3" w:rsidRDefault="00F833D3" w:rsidP="00BB72F1">
      <w:pPr>
        <w:spacing w:line="360" w:lineRule="auto"/>
        <w:jc w:val="both"/>
        <w:rPr>
          <w:rFonts w:ascii="Arial" w:hAnsi="Arial" w:cs="Arial"/>
        </w:rPr>
      </w:pPr>
      <w:r w:rsidRPr="00F833D3">
        <w:rPr>
          <w:rFonts w:ascii="Arial" w:hAnsi="Arial" w:cs="Arial"/>
        </w:rPr>
        <w:t>Finally, the incident reinforced the link between employee well-being and customer satisfaction</w:t>
      </w:r>
      <w:r w:rsidR="00930F2F" w:rsidRPr="00BA6182">
        <w:rPr>
          <w:rFonts w:ascii="Arial" w:hAnsi="Arial" w:cs="Arial"/>
        </w:rPr>
        <w:t xml:space="preserve">; </w:t>
      </w:r>
      <w:r w:rsidRPr="00F833D3">
        <w:rPr>
          <w:rFonts w:ascii="Arial" w:hAnsi="Arial" w:cs="Arial"/>
        </w:rPr>
        <w:t>a relationship confirmed in recent literature on hospitality employee happiness and guest loyalty (Saito et al., 2025). When staff feel supported and emotionally capable, their service delivery naturally improves.</w:t>
      </w:r>
    </w:p>
    <w:p w14:paraId="2359968F" w14:textId="2C166E42" w:rsidR="00F833D3" w:rsidRPr="00F833D3" w:rsidRDefault="00F833D3" w:rsidP="00BB72F1">
      <w:pPr>
        <w:spacing w:line="360" w:lineRule="auto"/>
        <w:jc w:val="both"/>
        <w:rPr>
          <w:rFonts w:ascii="Arial" w:hAnsi="Arial" w:cs="Arial"/>
        </w:rPr>
      </w:pPr>
      <w:r w:rsidRPr="00F833D3">
        <w:rPr>
          <w:rFonts w:ascii="Arial" w:hAnsi="Arial" w:cs="Arial"/>
          <w:b/>
          <w:bCs/>
        </w:rPr>
        <w:t>Conclusion</w:t>
      </w:r>
      <w:r w:rsidRPr="00F833D3">
        <w:rPr>
          <w:rFonts w:ascii="Arial" w:hAnsi="Arial" w:cs="Arial"/>
        </w:rPr>
        <w:br/>
        <w:t xml:space="preserve">From this event, I learned that professionalism requires both emotional awareness and </w:t>
      </w:r>
      <w:r w:rsidRPr="00F833D3">
        <w:rPr>
          <w:rFonts w:ascii="Arial" w:hAnsi="Arial" w:cs="Arial"/>
        </w:rPr>
        <w:lastRenderedPageBreak/>
        <w:t>technical skill. I realised that confidence with digital systems strengthens credibility and helps sustain emotional control.</w:t>
      </w:r>
    </w:p>
    <w:p w14:paraId="3EF1A858" w14:textId="45042E99" w:rsidR="00F833D3" w:rsidRPr="00F833D3" w:rsidRDefault="00F833D3" w:rsidP="00930F2F">
      <w:pPr>
        <w:spacing w:line="360" w:lineRule="auto"/>
        <w:rPr>
          <w:rFonts w:ascii="Arial" w:hAnsi="Arial" w:cs="Arial"/>
        </w:rPr>
      </w:pPr>
      <w:r w:rsidRPr="00F833D3">
        <w:rPr>
          <w:rFonts w:ascii="Arial" w:hAnsi="Arial" w:cs="Arial"/>
          <w:b/>
          <w:bCs/>
        </w:rPr>
        <w:t>Action Plan</w:t>
      </w:r>
      <w:r w:rsidRPr="00F833D3">
        <w:rPr>
          <w:rFonts w:ascii="Arial" w:hAnsi="Arial" w:cs="Arial"/>
        </w:rPr>
        <w:br/>
        <w:t>To improve, I plan to:</w:t>
      </w:r>
    </w:p>
    <w:p w14:paraId="57D3FAE1" w14:textId="77777777" w:rsidR="00F833D3" w:rsidRPr="00F833D3" w:rsidRDefault="00F833D3" w:rsidP="00BB72F1">
      <w:pPr>
        <w:numPr>
          <w:ilvl w:val="0"/>
          <w:numId w:val="1"/>
        </w:numPr>
        <w:spacing w:line="360" w:lineRule="auto"/>
        <w:jc w:val="both"/>
        <w:rPr>
          <w:rFonts w:ascii="Arial" w:hAnsi="Arial" w:cs="Arial"/>
        </w:rPr>
      </w:pPr>
      <w:r w:rsidRPr="00F833D3">
        <w:rPr>
          <w:rFonts w:ascii="Arial" w:hAnsi="Arial" w:cs="Arial"/>
        </w:rPr>
        <w:t>Complete the advanced property-management-system (PMS) training to increase efficiency.</w:t>
      </w:r>
    </w:p>
    <w:p w14:paraId="7A4C6B71" w14:textId="77777777" w:rsidR="00F833D3" w:rsidRPr="00F833D3" w:rsidRDefault="00F833D3" w:rsidP="00BB72F1">
      <w:pPr>
        <w:numPr>
          <w:ilvl w:val="0"/>
          <w:numId w:val="1"/>
        </w:numPr>
        <w:spacing w:line="360" w:lineRule="auto"/>
        <w:jc w:val="both"/>
        <w:rPr>
          <w:rFonts w:ascii="Arial" w:hAnsi="Arial" w:cs="Arial"/>
        </w:rPr>
      </w:pPr>
      <w:r w:rsidRPr="00F833D3">
        <w:rPr>
          <w:rFonts w:ascii="Arial" w:hAnsi="Arial" w:cs="Arial"/>
        </w:rPr>
        <w:t>Practise empathetic communication using scenario-based exercises.</w:t>
      </w:r>
    </w:p>
    <w:p w14:paraId="60C2C8DB" w14:textId="77777777" w:rsidR="00F833D3" w:rsidRPr="00BA6182" w:rsidRDefault="00F833D3" w:rsidP="00BB72F1">
      <w:pPr>
        <w:numPr>
          <w:ilvl w:val="0"/>
          <w:numId w:val="1"/>
        </w:numPr>
        <w:spacing w:line="360" w:lineRule="auto"/>
        <w:jc w:val="both"/>
        <w:rPr>
          <w:rFonts w:ascii="Arial" w:hAnsi="Arial" w:cs="Arial"/>
        </w:rPr>
      </w:pPr>
      <w:r w:rsidRPr="00F833D3">
        <w:rPr>
          <w:rFonts w:ascii="Arial" w:hAnsi="Arial" w:cs="Arial"/>
        </w:rPr>
        <w:t>Request post-shift feedback from Jayde and Nicole to assess progress in complaint handling.</w:t>
      </w:r>
    </w:p>
    <w:p w14:paraId="7EC97D03" w14:textId="77777777" w:rsidR="00626BAF" w:rsidRPr="00BA6182" w:rsidRDefault="00626BAF" w:rsidP="00626BAF">
      <w:pPr>
        <w:pStyle w:val="Subtitle"/>
      </w:pPr>
      <w:r w:rsidRPr="00BA6182">
        <w:t>Scenario 2: System Failure During Busy Check-in</w:t>
      </w:r>
    </w:p>
    <w:p w14:paraId="12CDCFC8" w14:textId="55C254A6" w:rsidR="00626BAF" w:rsidRPr="00626BAF" w:rsidRDefault="00626BAF" w:rsidP="00626BAF">
      <w:pPr>
        <w:spacing w:line="360" w:lineRule="auto"/>
        <w:ind w:left="360"/>
        <w:jc w:val="both"/>
        <w:rPr>
          <w:rFonts w:ascii="Arial" w:hAnsi="Arial" w:cs="Arial"/>
        </w:rPr>
      </w:pPr>
      <w:r w:rsidRPr="00626BAF">
        <w:rPr>
          <w:rFonts w:ascii="Arial" w:hAnsi="Arial" w:cs="Arial"/>
          <w:b/>
          <w:bCs/>
        </w:rPr>
        <w:t>Description</w:t>
      </w:r>
      <w:r w:rsidRPr="00626BAF">
        <w:rPr>
          <w:rFonts w:ascii="Arial" w:hAnsi="Arial" w:cs="Arial"/>
        </w:rPr>
        <w:br/>
        <w:t xml:space="preserve">During </w:t>
      </w:r>
      <w:r w:rsidR="002E41FA">
        <w:rPr>
          <w:rFonts w:ascii="Arial" w:hAnsi="Arial" w:cs="Arial"/>
        </w:rPr>
        <w:t>an</w:t>
      </w:r>
      <w:r w:rsidRPr="00626BAF">
        <w:rPr>
          <w:rFonts w:ascii="Arial" w:hAnsi="Arial" w:cs="Arial"/>
        </w:rPr>
        <w:t xml:space="preserve"> evening rush, the hotel’s PMS crashed, creating long queues. Guests grew impatient, but Sophia managed the crowd with </w:t>
      </w:r>
      <w:r w:rsidR="00EE3A50" w:rsidRPr="00BA6182">
        <w:rPr>
          <w:rFonts w:ascii="Arial" w:hAnsi="Arial" w:cs="Arial"/>
        </w:rPr>
        <w:t>humour</w:t>
      </w:r>
      <w:r w:rsidRPr="00626BAF">
        <w:rPr>
          <w:rFonts w:ascii="Arial" w:hAnsi="Arial" w:cs="Arial"/>
        </w:rPr>
        <w:t xml:space="preserve"> and reassurance, repeatedly updating them and maintaining a positive atmosphere while coordinating manually with IT and housekeeping.</w:t>
      </w:r>
    </w:p>
    <w:p w14:paraId="7CA8F083" w14:textId="0B372C22" w:rsidR="00626BAF" w:rsidRPr="00626BAF" w:rsidRDefault="00626BAF" w:rsidP="00626BAF">
      <w:pPr>
        <w:spacing w:line="360" w:lineRule="auto"/>
        <w:ind w:left="360"/>
        <w:jc w:val="both"/>
        <w:rPr>
          <w:rFonts w:ascii="Arial" w:hAnsi="Arial" w:cs="Arial"/>
        </w:rPr>
      </w:pPr>
      <w:r w:rsidRPr="00626BAF">
        <w:rPr>
          <w:rFonts w:ascii="Arial" w:hAnsi="Arial" w:cs="Arial"/>
          <w:b/>
          <w:bCs/>
        </w:rPr>
        <w:t>Feelings</w:t>
      </w:r>
      <w:r w:rsidRPr="00626BAF">
        <w:rPr>
          <w:rFonts w:ascii="Arial" w:hAnsi="Arial" w:cs="Arial"/>
        </w:rPr>
        <w:br/>
        <w:t xml:space="preserve">At first, I felt anxious, aware of guests’ frustration. However, observing Sophia’s composure inspired me to stay calm. Her behaviour exemplified emotional </w:t>
      </w:r>
      <w:r w:rsidR="006D2C63" w:rsidRPr="00626BAF">
        <w:rPr>
          <w:rFonts w:ascii="Arial" w:hAnsi="Arial" w:cs="Arial"/>
        </w:rPr>
        <w:t>intelligence</w:t>
      </w:r>
      <w:r w:rsidR="006D2C63" w:rsidRPr="00BA6182">
        <w:rPr>
          <w:rFonts w:ascii="Arial" w:hAnsi="Arial" w:cs="Arial"/>
        </w:rPr>
        <w:t>,</w:t>
      </w:r>
      <w:r w:rsidR="00EE3A50" w:rsidRPr="00BA6182">
        <w:rPr>
          <w:rFonts w:ascii="Arial" w:hAnsi="Arial" w:cs="Arial"/>
        </w:rPr>
        <w:t xml:space="preserve"> </w:t>
      </w:r>
      <w:r w:rsidRPr="00626BAF">
        <w:rPr>
          <w:rFonts w:ascii="Arial" w:hAnsi="Arial" w:cs="Arial"/>
        </w:rPr>
        <w:t>recognising emotions and adjusting responses appropriately (de Oliveira, 2025).</w:t>
      </w:r>
    </w:p>
    <w:p w14:paraId="781FCF04" w14:textId="1E747F6B" w:rsidR="00626BAF" w:rsidRPr="00626BAF" w:rsidRDefault="00626BAF" w:rsidP="00626BAF">
      <w:pPr>
        <w:spacing w:line="360" w:lineRule="auto"/>
        <w:ind w:left="360"/>
        <w:jc w:val="both"/>
        <w:rPr>
          <w:rFonts w:ascii="Arial" w:hAnsi="Arial" w:cs="Arial"/>
        </w:rPr>
      </w:pPr>
      <w:r w:rsidRPr="00626BAF">
        <w:rPr>
          <w:rFonts w:ascii="Arial" w:hAnsi="Arial" w:cs="Arial"/>
          <w:b/>
          <w:bCs/>
        </w:rPr>
        <w:t>Evaluation</w:t>
      </w:r>
      <w:r w:rsidRPr="00626BAF">
        <w:rPr>
          <w:rFonts w:ascii="Arial" w:hAnsi="Arial" w:cs="Arial"/>
        </w:rPr>
        <w:br/>
        <w:t>Positively, our teamwork and transparency mitigated potential conflict. The negative aspect was the lack of contingency planning, which amplified delays. Recent evidence confirms that service failures can become opportunities if recovery is handled skilfully</w:t>
      </w:r>
      <w:r w:rsidR="00EE3A50" w:rsidRPr="00BA6182">
        <w:rPr>
          <w:rFonts w:ascii="Arial" w:hAnsi="Arial" w:cs="Arial"/>
        </w:rPr>
        <w:t xml:space="preserve">; </w:t>
      </w:r>
      <w:r w:rsidRPr="00626BAF">
        <w:rPr>
          <w:rFonts w:ascii="Arial" w:hAnsi="Arial" w:cs="Arial"/>
        </w:rPr>
        <w:t>a concept known as the Service Recovery Paradox (Lim, 2025). However, over-compensating or under-communicating can reduce trust (Edström et al., 2022).</w:t>
      </w:r>
    </w:p>
    <w:p w14:paraId="7755CF5A" w14:textId="798DB32F" w:rsidR="00626BAF" w:rsidRPr="00626BAF" w:rsidRDefault="00626BAF" w:rsidP="00626BAF">
      <w:pPr>
        <w:spacing w:line="360" w:lineRule="auto"/>
        <w:ind w:left="360"/>
        <w:jc w:val="both"/>
        <w:rPr>
          <w:rFonts w:ascii="Arial" w:hAnsi="Arial" w:cs="Arial"/>
        </w:rPr>
      </w:pPr>
      <w:r w:rsidRPr="00626BAF">
        <w:rPr>
          <w:rFonts w:ascii="Arial" w:hAnsi="Arial" w:cs="Arial"/>
          <w:b/>
          <w:bCs/>
        </w:rPr>
        <w:t>Analysis</w:t>
      </w:r>
      <w:r w:rsidRPr="00626BAF">
        <w:rPr>
          <w:rFonts w:ascii="Arial" w:hAnsi="Arial" w:cs="Arial"/>
        </w:rPr>
        <w:br/>
        <w:t xml:space="preserve">This event exemplified service recovery theory. According to Perdomo-Verdecia et al. (2024), customer satisfaction in hotels depends on combinations of assurance, </w:t>
      </w:r>
      <w:r w:rsidRPr="00626BAF">
        <w:rPr>
          <w:rFonts w:ascii="Arial" w:hAnsi="Arial" w:cs="Arial"/>
        </w:rPr>
        <w:lastRenderedPageBreak/>
        <w:t>responsiveness, and reliability rather than any single dimension. Sophia’s updates and humour addressed all three dimensions.</w:t>
      </w:r>
    </w:p>
    <w:p w14:paraId="32009620" w14:textId="66A26B49" w:rsidR="00626BAF" w:rsidRPr="00626BAF" w:rsidRDefault="00626BAF" w:rsidP="00626BAF">
      <w:pPr>
        <w:spacing w:line="360" w:lineRule="auto"/>
        <w:ind w:left="360"/>
        <w:jc w:val="both"/>
        <w:rPr>
          <w:rFonts w:ascii="Arial" w:hAnsi="Arial" w:cs="Arial"/>
        </w:rPr>
      </w:pPr>
      <w:r w:rsidRPr="00626BAF">
        <w:rPr>
          <w:rFonts w:ascii="Arial" w:hAnsi="Arial" w:cs="Arial"/>
        </w:rPr>
        <w:t xml:space="preserve">Moreover, my learning aligns with the Hospitality and Guest Service Management module, which emphasises adaptability under pressure. Reflection helped me realise </w:t>
      </w:r>
      <w:r w:rsidR="00EE3A50" w:rsidRPr="00BA6182">
        <w:rPr>
          <w:rFonts w:ascii="Arial" w:hAnsi="Arial" w:cs="Arial"/>
        </w:rPr>
        <w:t>that,</w:t>
      </w:r>
      <w:r w:rsidRPr="00626BAF">
        <w:rPr>
          <w:rFonts w:ascii="Arial" w:hAnsi="Arial" w:cs="Arial"/>
        </w:rPr>
        <w:t xml:space="preserve"> unlike at Level 4, I now respond to challenges rather than freeze. This mirrors Schön’s (reflection-in-action) approach, where practitioners adjust spontaneously during events (Machost et al., 2023).</w:t>
      </w:r>
    </w:p>
    <w:p w14:paraId="5B8C08CA" w14:textId="33A56EAD" w:rsidR="00626BAF" w:rsidRPr="00626BAF" w:rsidRDefault="00626BAF" w:rsidP="00626BAF">
      <w:pPr>
        <w:spacing w:line="360" w:lineRule="auto"/>
        <w:ind w:left="360"/>
        <w:jc w:val="both"/>
        <w:rPr>
          <w:rFonts w:ascii="Arial" w:hAnsi="Arial" w:cs="Arial"/>
        </w:rPr>
      </w:pPr>
      <w:r w:rsidRPr="00626BAF">
        <w:rPr>
          <w:rFonts w:ascii="Arial" w:hAnsi="Arial" w:cs="Arial"/>
        </w:rPr>
        <w:t xml:space="preserve">Additionally, Herzberg’s motivational model, revisited in hospitality research, distinguishes between hygiene factors (systems, pay, </w:t>
      </w:r>
      <w:r w:rsidR="00125AD7" w:rsidRPr="00BA6182">
        <w:rPr>
          <w:rFonts w:ascii="Arial" w:hAnsi="Arial" w:cs="Arial"/>
        </w:rPr>
        <w:t>and conditions) and motivators (recognition and</w:t>
      </w:r>
      <w:r w:rsidRPr="00626BAF">
        <w:rPr>
          <w:rFonts w:ascii="Arial" w:hAnsi="Arial" w:cs="Arial"/>
        </w:rPr>
        <w:t xml:space="preserve"> meaningful work). Reliable systems prevent dissatisfaction, while appreciation and supportive leadership enhance motivation (Lee et al., 2022; Al-Badarneh &amp; Malkawi, 2025). Sophia’s interpersonal recognition of my small contributions motivated me to stay engaged despite technical setbacks.</w:t>
      </w:r>
    </w:p>
    <w:p w14:paraId="263A0BF2" w14:textId="794573F0" w:rsidR="00626BAF" w:rsidRPr="00626BAF" w:rsidRDefault="00626BAF" w:rsidP="00626BAF">
      <w:pPr>
        <w:spacing w:line="360" w:lineRule="auto"/>
        <w:ind w:left="360"/>
        <w:jc w:val="both"/>
        <w:rPr>
          <w:rFonts w:ascii="Arial" w:hAnsi="Arial" w:cs="Arial"/>
        </w:rPr>
      </w:pPr>
      <w:r w:rsidRPr="00626BAF">
        <w:rPr>
          <w:rFonts w:ascii="Arial" w:hAnsi="Arial" w:cs="Arial"/>
        </w:rPr>
        <w:t>Emotional intelligence also played a key role. Studies show that EI significantly improves guests’ perceptions after service recovery (Xu, Gursoy &amp; Lau, 2022). By demonstrating optimism and empathy, Sophia maintained trust and diffused frustration—transforming a failure into a loyalty-building opportunity.</w:t>
      </w:r>
    </w:p>
    <w:p w14:paraId="1BE8FF3C" w14:textId="1EF3D8DE" w:rsidR="00626BAF" w:rsidRPr="00626BAF" w:rsidRDefault="00626BAF" w:rsidP="00626BAF">
      <w:pPr>
        <w:spacing w:line="360" w:lineRule="auto"/>
        <w:ind w:left="360"/>
        <w:jc w:val="both"/>
        <w:rPr>
          <w:rFonts w:ascii="Arial" w:hAnsi="Arial" w:cs="Arial"/>
        </w:rPr>
      </w:pPr>
      <w:r w:rsidRPr="00626BAF">
        <w:rPr>
          <w:rFonts w:ascii="Arial" w:hAnsi="Arial" w:cs="Arial"/>
          <w:b/>
          <w:bCs/>
        </w:rPr>
        <w:t>Conclusion</w:t>
      </w:r>
      <w:r w:rsidRPr="00626BAF">
        <w:rPr>
          <w:rFonts w:ascii="Arial" w:hAnsi="Arial" w:cs="Arial"/>
        </w:rPr>
        <w:br/>
        <w:t>This experience strengthened my resilience, teamwork, and appreciation of EI’s value in crisis management. Effective communication and humour are not merely “soft skills” but strategic tools for recovery and guest retention.</w:t>
      </w:r>
    </w:p>
    <w:p w14:paraId="54945CBD" w14:textId="0BD38C87" w:rsidR="00626BAF" w:rsidRPr="00626BAF" w:rsidRDefault="00626BAF" w:rsidP="00EE3A50">
      <w:pPr>
        <w:spacing w:line="360" w:lineRule="auto"/>
        <w:ind w:left="360"/>
        <w:rPr>
          <w:rFonts w:ascii="Arial" w:hAnsi="Arial" w:cs="Arial"/>
        </w:rPr>
      </w:pPr>
      <w:r w:rsidRPr="00626BAF">
        <w:rPr>
          <w:rFonts w:ascii="Arial" w:hAnsi="Arial" w:cs="Arial"/>
          <w:b/>
          <w:bCs/>
        </w:rPr>
        <w:t>Action Plan</w:t>
      </w:r>
      <w:r w:rsidRPr="00626BAF">
        <w:rPr>
          <w:rFonts w:ascii="Arial" w:hAnsi="Arial" w:cs="Arial"/>
        </w:rPr>
        <w:br/>
        <w:t>To build on this:</w:t>
      </w:r>
    </w:p>
    <w:p w14:paraId="5AB6A47D" w14:textId="77777777" w:rsidR="00626BAF" w:rsidRPr="00626BAF" w:rsidRDefault="00626BAF" w:rsidP="00626BAF">
      <w:pPr>
        <w:numPr>
          <w:ilvl w:val="0"/>
          <w:numId w:val="2"/>
        </w:numPr>
        <w:spacing w:line="360" w:lineRule="auto"/>
        <w:jc w:val="both"/>
        <w:rPr>
          <w:rFonts w:ascii="Arial" w:hAnsi="Arial" w:cs="Arial"/>
        </w:rPr>
      </w:pPr>
      <w:r w:rsidRPr="00626BAF">
        <w:rPr>
          <w:rFonts w:ascii="Arial" w:hAnsi="Arial" w:cs="Arial"/>
        </w:rPr>
        <w:t>Attend refresher training on manual check-in procedures.</w:t>
      </w:r>
    </w:p>
    <w:p w14:paraId="2BD1237B" w14:textId="77777777" w:rsidR="00626BAF" w:rsidRPr="00626BAF" w:rsidRDefault="00626BAF" w:rsidP="00626BAF">
      <w:pPr>
        <w:numPr>
          <w:ilvl w:val="0"/>
          <w:numId w:val="2"/>
        </w:numPr>
        <w:spacing w:line="360" w:lineRule="auto"/>
        <w:jc w:val="both"/>
        <w:rPr>
          <w:rFonts w:ascii="Arial" w:hAnsi="Arial" w:cs="Arial"/>
        </w:rPr>
      </w:pPr>
      <w:r w:rsidRPr="00626BAF">
        <w:rPr>
          <w:rFonts w:ascii="Arial" w:hAnsi="Arial" w:cs="Arial"/>
        </w:rPr>
        <w:t>Practise stress-management techniques (e.g., breathing and micro-pauses).</w:t>
      </w:r>
    </w:p>
    <w:p w14:paraId="114AF7E2" w14:textId="77777777" w:rsidR="00626BAF" w:rsidRPr="00BA6182" w:rsidRDefault="00626BAF" w:rsidP="00626BAF">
      <w:pPr>
        <w:numPr>
          <w:ilvl w:val="0"/>
          <w:numId w:val="2"/>
        </w:numPr>
        <w:spacing w:line="360" w:lineRule="auto"/>
        <w:jc w:val="both"/>
        <w:rPr>
          <w:rFonts w:ascii="Arial" w:hAnsi="Arial" w:cs="Arial"/>
        </w:rPr>
      </w:pPr>
      <w:r w:rsidRPr="00626BAF">
        <w:rPr>
          <w:rFonts w:ascii="Arial" w:hAnsi="Arial" w:cs="Arial"/>
        </w:rPr>
        <w:t>Review post-incident debriefs with Nicole to identify areas for operational improvement.</w:t>
      </w:r>
    </w:p>
    <w:p w14:paraId="1FA27121" w14:textId="77777777" w:rsidR="00D93B22" w:rsidRPr="00BA6182" w:rsidRDefault="00D93B22" w:rsidP="00D93B22">
      <w:pPr>
        <w:pStyle w:val="Heading3"/>
      </w:pPr>
      <w:bookmarkStart w:id="4" w:name="_Toc212035203"/>
      <w:r w:rsidRPr="00BA6182">
        <w:rPr>
          <w:rStyle w:val="Strong"/>
          <w:b w:val="0"/>
          <w:bCs w:val="0"/>
        </w:rPr>
        <w:lastRenderedPageBreak/>
        <w:t>Progression from Level 4 to Level 6</w:t>
      </w:r>
      <w:bookmarkEnd w:id="4"/>
    </w:p>
    <w:p w14:paraId="35DAD30F" w14:textId="77777777" w:rsidR="00D93B22" w:rsidRPr="00BA6182" w:rsidRDefault="00D93B22" w:rsidP="00593518">
      <w:pPr>
        <w:pStyle w:val="NormalWeb"/>
        <w:spacing w:line="360" w:lineRule="auto"/>
        <w:jc w:val="both"/>
        <w:rPr>
          <w:rFonts w:ascii="Arial" w:hAnsi="Arial" w:cs="Arial"/>
          <w:lang w:val="en-GB"/>
        </w:rPr>
      </w:pPr>
      <w:r w:rsidRPr="00BA6182">
        <w:rPr>
          <w:rFonts w:ascii="Arial" w:hAnsi="Arial" w:cs="Arial"/>
          <w:lang w:val="en-GB"/>
        </w:rPr>
        <w:t xml:space="preserve">Comparing both placements, I recognise substantial development. At </w:t>
      </w:r>
      <w:r w:rsidRPr="00BA6182">
        <w:rPr>
          <w:rStyle w:val="Strong"/>
          <w:rFonts w:ascii="Arial" w:eastAsiaTheme="majorEastAsia" w:hAnsi="Arial" w:cs="Arial"/>
          <w:b w:val="0"/>
          <w:bCs w:val="0"/>
          <w:lang w:val="en-GB"/>
        </w:rPr>
        <w:t>Level 4 (Ibis Styles Birmingham)</w:t>
      </w:r>
      <w:r w:rsidRPr="00BA6182">
        <w:rPr>
          <w:rFonts w:ascii="Arial" w:hAnsi="Arial" w:cs="Arial"/>
          <w:b/>
          <w:bCs/>
          <w:lang w:val="en-GB"/>
        </w:rPr>
        <w:t>,</w:t>
      </w:r>
      <w:r w:rsidRPr="00BA6182">
        <w:rPr>
          <w:rFonts w:ascii="Arial" w:hAnsi="Arial" w:cs="Arial"/>
          <w:lang w:val="en-GB"/>
        </w:rPr>
        <w:t xml:space="preserve"> my role was largely observational; I focused on greeting guests and learning front-desk routines. At </w:t>
      </w:r>
      <w:r w:rsidRPr="00BA6182">
        <w:rPr>
          <w:rStyle w:val="Strong"/>
          <w:rFonts w:ascii="Arial" w:eastAsiaTheme="majorEastAsia" w:hAnsi="Arial" w:cs="Arial"/>
          <w:b w:val="0"/>
          <w:bCs w:val="0"/>
          <w:lang w:val="en-GB"/>
        </w:rPr>
        <w:t>Level 6</w:t>
      </w:r>
      <w:r w:rsidRPr="00BA6182">
        <w:rPr>
          <w:rFonts w:ascii="Arial" w:hAnsi="Arial" w:cs="Arial"/>
          <w:lang w:val="en-GB"/>
        </w:rPr>
        <w:t>, I applied theoretical frameworks in unpredictable conditions, combining service quality, reflection, and emotional regulation.</w:t>
      </w:r>
    </w:p>
    <w:p w14:paraId="26DFB8A6" w14:textId="36514A07" w:rsidR="00D93B22" w:rsidRPr="00BA6182" w:rsidRDefault="00D93B22" w:rsidP="00593518">
      <w:pPr>
        <w:pStyle w:val="NormalWeb"/>
        <w:spacing w:line="360" w:lineRule="auto"/>
        <w:jc w:val="both"/>
        <w:rPr>
          <w:rFonts w:ascii="Arial" w:hAnsi="Arial" w:cs="Arial"/>
          <w:lang w:val="en-GB"/>
        </w:rPr>
      </w:pPr>
      <w:r w:rsidRPr="00BA6182">
        <w:rPr>
          <w:rFonts w:ascii="Arial" w:hAnsi="Arial" w:cs="Arial"/>
          <w:lang w:val="en-GB"/>
        </w:rPr>
        <w:t>This mirrors broader trends in hospitality research</w:t>
      </w:r>
      <w:r w:rsidR="00593518" w:rsidRPr="00BA6182">
        <w:rPr>
          <w:rFonts w:ascii="Arial" w:hAnsi="Arial" w:cs="Arial"/>
          <w:lang w:val="en-GB"/>
        </w:rPr>
        <w:t>,</w:t>
      </w:r>
      <w:r w:rsidRPr="00BA6182">
        <w:rPr>
          <w:rFonts w:ascii="Arial" w:hAnsi="Arial" w:cs="Arial"/>
          <w:lang w:val="en-GB"/>
        </w:rPr>
        <w:t xml:space="preserve"> highlighting reflective practice as key to transforming experience into professional competence (Machost et al., 2023). My ability to self-regulate under pressure improved alongside my communication fluency and teamwork. Furthermore, engaging with emotional labour consciously—rather than reactively—has allowed me to sustain motivation and composure, consistent with current findings on employee well-being and performance (Saito et al., 2025).</w:t>
      </w:r>
    </w:p>
    <w:p w14:paraId="013DEF0F" w14:textId="294F26D1" w:rsidR="005F3E62" w:rsidRPr="00BA6182" w:rsidRDefault="005F3E62" w:rsidP="005F3E62">
      <w:pPr>
        <w:pStyle w:val="Heading1"/>
        <w:rPr>
          <w:rFonts w:eastAsia="Times New Roman"/>
        </w:rPr>
      </w:pPr>
      <w:r w:rsidRPr="00BA6182">
        <w:rPr>
          <w:rFonts w:eastAsia="Times New Roman"/>
        </w:rPr>
        <w:t xml:space="preserve"> </w:t>
      </w:r>
      <w:bookmarkStart w:id="5" w:name="_Toc212035204"/>
      <w:r w:rsidRPr="00BA6182">
        <w:rPr>
          <w:rFonts w:eastAsia="Times New Roman"/>
        </w:rPr>
        <w:t>Conclusion and Development Plan</w:t>
      </w:r>
      <w:bookmarkEnd w:id="5"/>
      <w:r w:rsidRPr="00BA6182">
        <w:rPr>
          <w:rFonts w:eastAsia="Times New Roman"/>
        </w:rPr>
        <w:t xml:space="preserve"> </w:t>
      </w:r>
    </w:p>
    <w:p w14:paraId="4008BFC8" w14:textId="53D15311" w:rsidR="005F3E62" w:rsidRPr="005F3E62" w:rsidRDefault="005F3E62" w:rsidP="005F3E62">
      <w:pPr>
        <w:pStyle w:val="NormalWeb"/>
        <w:spacing w:line="360" w:lineRule="auto"/>
        <w:jc w:val="both"/>
        <w:rPr>
          <w:rFonts w:ascii="Arial" w:hAnsi="Arial" w:cs="Arial"/>
          <w:lang w:val="en-GB"/>
        </w:rPr>
      </w:pPr>
      <w:r w:rsidRPr="005F3E62">
        <w:rPr>
          <w:rFonts w:ascii="Arial" w:hAnsi="Arial" w:cs="Arial"/>
          <w:lang w:val="en-GB"/>
        </w:rPr>
        <w:t>This reflection confirmed that modern hospitality success requires more than technical expertise: it demands emotional intelligence, composure, and structured reflection. Using Gibbs’ model provided a logical framework to examine emotions, decisions, and outcomes, aligning with contemporary best practice in experiential learning (Ahmadpour et al., 2025).</w:t>
      </w:r>
    </w:p>
    <w:p w14:paraId="2AB23161" w14:textId="77777777" w:rsidR="005F3E62" w:rsidRPr="005F3E62" w:rsidRDefault="005F3E62" w:rsidP="005F3E62">
      <w:pPr>
        <w:pStyle w:val="NormalWeb"/>
        <w:spacing w:line="360" w:lineRule="auto"/>
        <w:jc w:val="both"/>
        <w:rPr>
          <w:rFonts w:ascii="Arial" w:hAnsi="Arial" w:cs="Arial"/>
          <w:lang w:val="en-GB"/>
        </w:rPr>
      </w:pPr>
      <w:r w:rsidRPr="005F3E62">
        <w:rPr>
          <w:rFonts w:ascii="Arial" w:hAnsi="Arial" w:cs="Arial"/>
          <w:lang w:val="en-GB"/>
        </w:rPr>
        <w:t>In the short term, I plan to:</w:t>
      </w:r>
    </w:p>
    <w:p w14:paraId="111D0D64" w14:textId="77777777" w:rsidR="005F3E62" w:rsidRPr="005F3E62" w:rsidRDefault="005F3E62" w:rsidP="005F3E62">
      <w:pPr>
        <w:pStyle w:val="NormalWeb"/>
        <w:numPr>
          <w:ilvl w:val="0"/>
          <w:numId w:val="3"/>
        </w:numPr>
        <w:spacing w:line="360" w:lineRule="auto"/>
        <w:jc w:val="both"/>
        <w:rPr>
          <w:rFonts w:ascii="Arial" w:hAnsi="Arial" w:cs="Arial"/>
          <w:lang w:val="en-GB"/>
        </w:rPr>
      </w:pPr>
      <w:r w:rsidRPr="005F3E62">
        <w:rPr>
          <w:rFonts w:ascii="Arial" w:hAnsi="Arial" w:cs="Arial"/>
          <w:lang w:val="en-GB"/>
        </w:rPr>
        <w:t>Master operational systems by completing PMS training and leading one mock check-in drill.</w:t>
      </w:r>
    </w:p>
    <w:p w14:paraId="22975CD1" w14:textId="77777777" w:rsidR="005F3E62" w:rsidRPr="005F3E62" w:rsidRDefault="005F3E62" w:rsidP="005F3E62">
      <w:pPr>
        <w:pStyle w:val="NormalWeb"/>
        <w:numPr>
          <w:ilvl w:val="0"/>
          <w:numId w:val="3"/>
        </w:numPr>
        <w:spacing w:line="360" w:lineRule="auto"/>
        <w:jc w:val="both"/>
        <w:rPr>
          <w:rFonts w:ascii="Arial" w:hAnsi="Arial" w:cs="Arial"/>
          <w:lang w:val="en-GB"/>
        </w:rPr>
      </w:pPr>
      <w:r w:rsidRPr="005F3E62">
        <w:rPr>
          <w:rFonts w:ascii="Arial" w:hAnsi="Arial" w:cs="Arial"/>
          <w:lang w:val="en-GB"/>
        </w:rPr>
        <w:t>Enhance emotional regulation through mindfulness techniques and feedback journaling.</w:t>
      </w:r>
    </w:p>
    <w:p w14:paraId="23D08D34" w14:textId="77777777" w:rsidR="005F3E62" w:rsidRPr="005F3E62" w:rsidRDefault="005F3E62" w:rsidP="005F3E62">
      <w:pPr>
        <w:pStyle w:val="NormalWeb"/>
        <w:numPr>
          <w:ilvl w:val="0"/>
          <w:numId w:val="3"/>
        </w:numPr>
        <w:spacing w:line="360" w:lineRule="auto"/>
        <w:jc w:val="both"/>
        <w:rPr>
          <w:rFonts w:ascii="Arial" w:hAnsi="Arial" w:cs="Arial"/>
          <w:lang w:val="en-GB"/>
        </w:rPr>
      </w:pPr>
      <w:r w:rsidRPr="005F3E62">
        <w:rPr>
          <w:rFonts w:ascii="Arial" w:hAnsi="Arial" w:cs="Arial"/>
          <w:lang w:val="en-GB"/>
        </w:rPr>
        <w:t>Support peers by sharing lessons learned in short team huddles, promoting a reflective culture.</w:t>
      </w:r>
    </w:p>
    <w:p w14:paraId="12C5BE1D" w14:textId="1774AAD3" w:rsidR="005F3E62" w:rsidRPr="005F3E62" w:rsidRDefault="005F3E62" w:rsidP="005F3E62">
      <w:pPr>
        <w:pStyle w:val="NormalWeb"/>
        <w:spacing w:line="360" w:lineRule="auto"/>
        <w:jc w:val="both"/>
        <w:rPr>
          <w:rFonts w:ascii="Arial" w:hAnsi="Arial" w:cs="Arial"/>
          <w:lang w:val="en-GB"/>
        </w:rPr>
      </w:pPr>
      <w:r w:rsidRPr="005F3E62">
        <w:rPr>
          <w:rFonts w:ascii="Arial" w:hAnsi="Arial" w:cs="Arial"/>
          <w:lang w:val="en-GB"/>
        </w:rPr>
        <w:lastRenderedPageBreak/>
        <w:t>These steps align with current recommendations that encourage reflective communities of practice to sustain employee well-being and consistent service excellence in hospitality (Saito et al., 2025).</w:t>
      </w:r>
    </w:p>
    <w:p w14:paraId="30B17B08" w14:textId="77777777" w:rsidR="005F3E62" w:rsidRPr="00BA6182" w:rsidRDefault="005F3E62" w:rsidP="00593518">
      <w:pPr>
        <w:pStyle w:val="NormalWeb"/>
        <w:spacing w:line="360" w:lineRule="auto"/>
        <w:jc w:val="both"/>
        <w:rPr>
          <w:rFonts w:ascii="Arial" w:hAnsi="Arial" w:cs="Arial"/>
          <w:lang w:val="en-GB"/>
        </w:rPr>
      </w:pPr>
    </w:p>
    <w:p w14:paraId="77C86DBA" w14:textId="77777777" w:rsidR="00D93B22" w:rsidRPr="00626BAF" w:rsidRDefault="00D93B22" w:rsidP="00D93B22">
      <w:pPr>
        <w:spacing w:line="360" w:lineRule="auto"/>
        <w:ind w:left="360"/>
        <w:jc w:val="both"/>
        <w:rPr>
          <w:rFonts w:ascii="Arial" w:hAnsi="Arial" w:cs="Arial"/>
        </w:rPr>
      </w:pPr>
    </w:p>
    <w:p w14:paraId="368A3024" w14:textId="77777777" w:rsidR="00626BAF" w:rsidRPr="00F833D3" w:rsidRDefault="00626BAF" w:rsidP="00626BAF">
      <w:pPr>
        <w:spacing w:line="360" w:lineRule="auto"/>
        <w:ind w:left="360"/>
        <w:jc w:val="both"/>
        <w:rPr>
          <w:rFonts w:ascii="Arial" w:hAnsi="Arial" w:cs="Arial"/>
        </w:rPr>
      </w:pPr>
    </w:p>
    <w:p w14:paraId="13E891BF" w14:textId="77777777" w:rsidR="00A04651" w:rsidRPr="00BA6182" w:rsidRDefault="00A04651" w:rsidP="00A04651"/>
    <w:p w14:paraId="38FA718A" w14:textId="77777777" w:rsidR="00AA5288" w:rsidRPr="00BA6182" w:rsidRDefault="00AA5288" w:rsidP="00AA5288"/>
    <w:p w14:paraId="7E670C17" w14:textId="6939CC54" w:rsidR="00B12CD4" w:rsidRPr="00BA6182" w:rsidRDefault="00B12CD4"/>
    <w:p w14:paraId="69609FFC" w14:textId="77777777" w:rsidR="00B12CD4" w:rsidRPr="00BA6182" w:rsidRDefault="00B12CD4">
      <w:r w:rsidRPr="00BA6182">
        <w:br w:type="page"/>
      </w:r>
    </w:p>
    <w:p w14:paraId="3AFF24F6" w14:textId="2DCCC124" w:rsidR="00AA5288" w:rsidRPr="00BA6182" w:rsidRDefault="00B12CD4" w:rsidP="00B12CD4">
      <w:pPr>
        <w:pStyle w:val="Heading1"/>
      </w:pPr>
      <w:bookmarkStart w:id="6" w:name="_Toc212035205"/>
      <w:r w:rsidRPr="00BA6182">
        <w:lastRenderedPageBreak/>
        <w:t>References list</w:t>
      </w:r>
      <w:bookmarkEnd w:id="6"/>
    </w:p>
    <w:p w14:paraId="01FFBBF9" w14:textId="77777777" w:rsidR="00E94BB9" w:rsidRPr="00BA6182" w:rsidRDefault="00E94BB9" w:rsidP="00E94BB9"/>
    <w:p w14:paraId="3F2FEBBC" w14:textId="613B5CEF" w:rsidR="007F39EC" w:rsidRPr="003430BB" w:rsidRDefault="007F39EC" w:rsidP="003430BB">
      <w:pPr>
        <w:spacing w:line="360" w:lineRule="auto"/>
        <w:jc w:val="both"/>
        <w:rPr>
          <w:rFonts w:ascii="Arial" w:hAnsi="Arial" w:cs="Arial"/>
        </w:rPr>
      </w:pPr>
      <w:r w:rsidRPr="003430BB">
        <w:rPr>
          <w:rFonts w:ascii="Arial" w:hAnsi="Arial" w:cs="Arial"/>
        </w:rPr>
        <w:t>Ahmadpour, N., Shariati, A. and Moghadam, M.P. (2025) ‘Effect of narrative writing based on Gibbs’ reflective model on the empathy and communication skills of nursing students’, </w:t>
      </w:r>
      <w:r w:rsidRPr="003430BB">
        <w:rPr>
          <w:rFonts w:ascii="Arial" w:hAnsi="Arial" w:cs="Arial"/>
          <w:i/>
          <w:iCs/>
        </w:rPr>
        <w:t>BMC medical education</w:t>
      </w:r>
      <w:r w:rsidRPr="003430BB">
        <w:rPr>
          <w:rFonts w:ascii="Arial" w:hAnsi="Arial" w:cs="Arial"/>
        </w:rPr>
        <w:t xml:space="preserve">, 25(1). Available at: </w:t>
      </w:r>
      <w:hyperlink r:id="rId10" w:history="1">
        <w:r w:rsidR="0019373D" w:rsidRPr="003430BB">
          <w:rPr>
            <w:rStyle w:val="Hyperlink"/>
            <w:rFonts w:ascii="Arial" w:hAnsi="Arial" w:cs="Arial"/>
          </w:rPr>
          <w:t>https://doi.org/10.1186/s12909-024-06593-7</w:t>
        </w:r>
      </w:hyperlink>
      <w:r w:rsidRPr="003430BB">
        <w:rPr>
          <w:rFonts w:ascii="Arial" w:hAnsi="Arial" w:cs="Arial"/>
        </w:rPr>
        <w:t>.</w:t>
      </w:r>
    </w:p>
    <w:p w14:paraId="5797700D" w14:textId="21C33D38" w:rsidR="0019373D" w:rsidRPr="003430BB" w:rsidRDefault="0019373D" w:rsidP="003430BB">
      <w:pPr>
        <w:spacing w:line="360" w:lineRule="auto"/>
        <w:jc w:val="both"/>
        <w:rPr>
          <w:rFonts w:ascii="Arial" w:hAnsi="Arial" w:cs="Arial"/>
        </w:rPr>
      </w:pPr>
      <w:r w:rsidRPr="003430BB">
        <w:rPr>
          <w:rFonts w:ascii="Arial" w:hAnsi="Arial" w:cs="Arial"/>
        </w:rPr>
        <w:t>Al-Badarneh, M. B. and Malkawi, S. A. (2025) “Hotel Employees’ Job Satisfaction and Performance: A Developed Herzberg’s Theory-Based Model”, </w:t>
      </w:r>
      <w:r w:rsidRPr="003430BB">
        <w:rPr>
          <w:rFonts w:ascii="Arial" w:hAnsi="Arial" w:cs="Arial"/>
          <w:i/>
          <w:iCs/>
        </w:rPr>
        <w:t>Journal of Lifestyle and SDGs Review</w:t>
      </w:r>
      <w:r w:rsidRPr="003430BB">
        <w:rPr>
          <w:rFonts w:ascii="Arial" w:hAnsi="Arial" w:cs="Arial"/>
        </w:rPr>
        <w:t>, 5(4), p. e3677.</w:t>
      </w:r>
      <w:r w:rsidR="007E7EC4" w:rsidRPr="003430BB">
        <w:rPr>
          <w:rFonts w:ascii="Arial" w:hAnsi="Arial" w:cs="Arial"/>
        </w:rPr>
        <w:t xml:space="preserve"> Available at: </w:t>
      </w:r>
      <w:hyperlink r:id="rId11" w:history="1">
        <w:r w:rsidR="00E94BB9" w:rsidRPr="003430BB">
          <w:rPr>
            <w:rStyle w:val="Hyperlink"/>
            <w:rFonts w:ascii="Arial" w:hAnsi="Arial" w:cs="Arial"/>
          </w:rPr>
          <w:t>https://doi.org/10.47172/2965-730X</w:t>
        </w:r>
        <w:r w:rsidR="00E94BB9" w:rsidRPr="003430BB">
          <w:rPr>
            <w:rStyle w:val="Hyperlink"/>
            <w:rFonts w:ascii="Arial" w:hAnsi="Arial" w:cs="Arial"/>
          </w:rPr>
          <w:t>.SDGsReview.v5.n04.pe03677</w:t>
        </w:r>
      </w:hyperlink>
      <w:r w:rsidR="00E94BB9" w:rsidRPr="003430BB">
        <w:rPr>
          <w:rFonts w:ascii="Arial" w:hAnsi="Arial" w:cs="Arial"/>
        </w:rPr>
        <w:t>.</w:t>
      </w:r>
    </w:p>
    <w:p w14:paraId="794842AC" w14:textId="3F34FC98" w:rsidR="002779B5" w:rsidRPr="003430BB" w:rsidRDefault="002779B5" w:rsidP="003430BB">
      <w:pPr>
        <w:spacing w:line="360" w:lineRule="auto"/>
        <w:jc w:val="both"/>
        <w:rPr>
          <w:rFonts w:ascii="Arial" w:hAnsi="Arial" w:cs="Arial"/>
        </w:rPr>
      </w:pPr>
      <w:r w:rsidRPr="003430BB">
        <w:rPr>
          <w:rFonts w:ascii="Arial" w:hAnsi="Arial" w:cs="Arial"/>
        </w:rPr>
        <w:t>Asgeirsson, M.H., Gudlaugsson, T. and Jóhannesson, G.T. (2024) ‘The Relationships between Service Quality, Reputation, and Performance in Hospitality’, </w:t>
      </w:r>
      <w:r w:rsidRPr="003430BB">
        <w:rPr>
          <w:rFonts w:ascii="Arial" w:hAnsi="Arial" w:cs="Arial"/>
          <w:i/>
          <w:iCs/>
        </w:rPr>
        <w:t xml:space="preserve">Tourism and </w:t>
      </w:r>
      <w:r w:rsidR="00E94BB9" w:rsidRPr="003430BB">
        <w:rPr>
          <w:rFonts w:ascii="Arial" w:hAnsi="Arial" w:cs="Arial"/>
          <w:i/>
          <w:iCs/>
        </w:rPr>
        <w:t>H</w:t>
      </w:r>
      <w:r w:rsidRPr="003430BB">
        <w:rPr>
          <w:rFonts w:ascii="Arial" w:hAnsi="Arial" w:cs="Arial"/>
          <w:i/>
          <w:iCs/>
        </w:rPr>
        <w:t>ospitality (Basel)</w:t>
      </w:r>
      <w:r w:rsidRPr="003430BB">
        <w:rPr>
          <w:rFonts w:ascii="Arial" w:hAnsi="Arial" w:cs="Arial"/>
        </w:rPr>
        <w:t xml:space="preserve">, 5(3), pp. 736–752. Available at: </w:t>
      </w:r>
      <w:hyperlink r:id="rId12" w:history="1">
        <w:r w:rsidR="00BF24E3" w:rsidRPr="003430BB">
          <w:rPr>
            <w:rStyle w:val="Hyperlink"/>
            <w:rFonts w:ascii="Arial" w:hAnsi="Arial" w:cs="Arial"/>
          </w:rPr>
          <w:t>https://doi.org/10.3390/tourhosp5030043</w:t>
        </w:r>
      </w:hyperlink>
      <w:r w:rsidRPr="003430BB">
        <w:rPr>
          <w:rFonts w:ascii="Arial" w:hAnsi="Arial" w:cs="Arial"/>
        </w:rPr>
        <w:t>.</w:t>
      </w:r>
    </w:p>
    <w:p w14:paraId="70B1C1E4" w14:textId="7BCAA47A" w:rsidR="00BF24E3" w:rsidRPr="003430BB" w:rsidRDefault="00BF24E3" w:rsidP="003430BB">
      <w:pPr>
        <w:spacing w:line="360" w:lineRule="auto"/>
        <w:jc w:val="both"/>
        <w:rPr>
          <w:rFonts w:ascii="Arial" w:hAnsi="Arial" w:cs="Arial"/>
        </w:rPr>
      </w:pPr>
      <w:r w:rsidRPr="003430BB">
        <w:rPr>
          <w:rFonts w:ascii="Arial" w:hAnsi="Arial" w:cs="Arial"/>
        </w:rPr>
        <w:t>Ayvaz-Çavdaroğlu, N., Iyanna, S. and Foster, M. (2024) ‘Smart service quality in hospitality – A quantitative assessment using MCDM and clustering methods’, </w:t>
      </w:r>
      <w:r w:rsidRPr="003430BB">
        <w:rPr>
          <w:rFonts w:ascii="Arial" w:hAnsi="Arial" w:cs="Arial"/>
          <w:i/>
          <w:iCs/>
        </w:rPr>
        <w:t xml:space="preserve">International </w:t>
      </w:r>
      <w:r w:rsidR="00E94BB9" w:rsidRPr="003430BB">
        <w:rPr>
          <w:rFonts w:ascii="Arial" w:hAnsi="Arial" w:cs="Arial"/>
          <w:i/>
          <w:iCs/>
        </w:rPr>
        <w:t>Journal</w:t>
      </w:r>
      <w:r w:rsidRPr="003430BB">
        <w:rPr>
          <w:rFonts w:ascii="Arial" w:hAnsi="Arial" w:cs="Arial"/>
          <w:i/>
          <w:iCs/>
        </w:rPr>
        <w:t xml:space="preserve"> of </w:t>
      </w:r>
      <w:r w:rsidR="00E94BB9" w:rsidRPr="003430BB">
        <w:rPr>
          <w:rFonts w:ascii="Arial" w:hAnsi="Arial" w:cs="Arial"/>
          <w:i/>
          <w:iCs/>
        </w:rPr>
        <w:t>Hospitality Management</w:t>
      </w:r>
      <w:r w:rsidRPr="003430BB">
        <w:rPr>
          <w:rFonts w:ascii="Arial" w:hAnsi="Arial" w:cs="Arial"/>
        </w:rPr>
        <w:t xml:space="preserve">, 123. Available at: </w:t>
      </w:r>
      <w:hyperlink r:id="rId13" w:history="1">
        <w:r w:rsidR="000A1F52" w:rsidRPr="003430BB">
          <w:rPr>
            <w:rStyle w:val="Hyperlink"/>
            <w:rFonts w:ascii="Arial" w:hAnsi="Arial" w:cs="Arial"/>
          </w:rPr>
          <w:t>https://doi.org/10.1016/j.ijhm.2024.103931</w:t>
        </w:r>
      </w:hyperlink>
      <w:r w:rsidRPr="003430BB">
        <w:rPr>
          <w:rFonts w:ascii="Arial" w:hAnsi="Arial" w:cs="Arial"/>
        </w:rPr>
        <w:t>.</w:t>
      </w:r>
    </w:p>
    <w:p w14:paraId="123F4D17" w14:textId="00ECE229" w:rsidR="00997730" w:rsidRPr="003430BB" w:rsidRDefault="00997730" w:rsidP="003430BB">
      <w:pPr>
        <w:spacing w:line="360" w:lineRule="auto"/>
        <w:jc w:val="both"/>
        <w:rPr>
          <w:rFonts w:ascii="Arial" w:hAnsi="Arial" w:cs="Arial"/>
        </w:rPr>
      </w:pPr>
      <w:r w:rsidRPr="003430BB">
        <w:rPr>
          <w:rFonts w:ascii="Arial" w:hAnsi="Arial" w:cs="Arial"/>
        </w:rPr>
        <w:t xml:space="preserve">Chen, Y.-C., Huang, Z.-L. and Chu, H.-C. (2024) ‘Relationships between emotional </w:t>
      </w:r>
      <w:r w:rsidR="00651E35">
        <w:rPr>
          <w:rFonts w:ascii="Arial" w:hAnsi="Arial" w:cs="Arial"/>
        </w:rPr>
        <w:t>labour</w:t>
      </w:r>
      <w:r w:rsidRPr="003430BB">
        <w:rPr>
          <w:rFonts w:ascii="Arial" w:hAnsi="Arial" w:cs="Arial"/>
        </w:rPr>
        <w:t xml:space="preserve">, job burnout, and emotional intelligence: an analysis combining meta-analysis and structural equation </w:t>
      </w:r>
      <w:r w:rsidR="00BA6182" w:rsidRPr="003430BB">
        <w:rPr>
          <w:rFonts w:ascii="Arial" w:hAnsi="Arial" w:cs="Arial"/>
        </w:rPr>
        <w:t>modelling</w:t>
      </w:r>
      <w:r w:rsidRPr="003430BB">
        <w:rPr>
          <w:rFonts w:ascii="Arial" w:hAnsi="Arial" w:cs="Arial"/>
        </w:rPr>
        <w:t>’, </w:t>
      </w:r>
      <w:r w:rsidRPr="003430BB">
        <w:rPr>
          <w:rFonts w:ascii="Arial" w:hAnsi="Arial" w:cs="Arial"/>
          <w:i/>
          <w:iCs/>
        </w:rPr>
        <w:t>BMC Psychology</w:t>
      </w:r>
      <w:r w:rsidRPr="003430BB">
        <w:rPr>
          <w:rFonts w:ascii="Arial" w:hAnsi="Arial" w:cs="Arial"/>
        </w:rPr>
        <w:t>, 12(1). Available at: https://doi.org/10.1186/s40359-024-02167-w.</w:t>
      </w:r>
    </w:p>
    <w:p w14:paraId="3663E276" w14:textId="1BA264D3" w:rsidR="000A1F52" w:rsidRPr="003430BB" w:rsidRDefault="00651E35" w:rsidP="003430BB">
      <w:pPr>
        <w:spacing w:line="360" w:lineRule="auto"/>
        <w:jc w:val="both"/>
        <w:rPr>
          <w:rFonts w:ascii="Arial" w:hAnsi="Arial" w:cs="Arial"/>
        </w:rPr>
      </w:pPr>
      <w:r>
        <w:rPr>
          <w:rFonts w:ascii="Arial" w:hAnsi="Arial" w:cs="Arial"/>
        </w:rPr>
        <w:t>De</w:t>
      </w:r>
      <w:r w:rsidR="000A1F52" w:rsidRPr="003430BB">
        <w:rPr>
          <w:rFonts w:ascii="Arial" w:hAnsi="Arial" w:cs="Arial"/>
        </w:rPr>
        <w:t xml:space="preserve"> Oliveira, B.S. and Sohn, A.P.L. (2025) ‘Emotional intelligence in tourism and hospitality: A bibliometric analysis’, </w:t>
      </w:r>
      <w:r w:rsidR="000A1F52" w:rsidRPr="003430BB">
        <w:rPr>
          <w:rFonts w:ascii="Arial" w:hAnsi="Arial" w:cs="Arial"/>
          <w:i/>
          <w:iCs/>
        </w:rPr>
        <w:t xml:space="preserve">International </w:t>
      </w:r>
      <w:r w:rsidR="000A1F52" w:rsidRPr="003430BB">
        <w:rPr>
          <w:rFonts w:ascii="Arial" w:hAnsi="Arial" w:cs="Arial"/>
          <w:i/>
          <w:iCs/>
        </w:rPr>
        <w:t>Journal</w:t>
      </w:r>
      <w:r w:rsidR="000A1F52" w:rsidRPr="003430BB">
        <w:rPr>
          <w:rFonts w:ascii="Arial" w:hAnsi="Arial" w:cs="Arial"/>
          <w:i/>
          <w:iCs/>
        </w:rPr>
        <w:t xml:space="preserve"> of </w:t>
      </w:r>
      <w:r w:rsidR="000A1F52" w:rsidRPr="003430BB">
        <w:rPr>
          <w:rFonts w:ascii="Arial" w:hAnsi="Arial" w:cs="Arial"/>
          <w:i/>
          <w:iCs/>
        </w:rPr>
        <w:t>Hospitality Management</w:t>
      </w:r>
      <w:r w:rsidR="000A1F52" w:rsidRPr="003430BB">
        <w:rPr>
          <w:rFonts w:ascii="Arial" w:hAnsi="Arial" w:cs="Arial"/>
        </w:rPr>
        <w:t xml:space="preserve">, 128. Available at: </w:t>
      </w:r>
      <w:hyperlink r:id="rId14" w:history="1">
        <w:r w:rsidR="000A1F52" w:rsidRPr="003430BB">
          <w:rPr>
            <w:rStyle w:val="Hyperlink"/>
            <w:rFonts w:ascii="Arial" w:hAnsi="Arial" w:cs="Arial"/>
          </w:rPr>
          <w:t>https://doi.org/10.1016/j.ijhm.2025.10414</w:t>
        </w:r>
      </w:hyperlink>
      <w:r w:rsidR="000A1F52" w:rsidRPr="003430BB">
        <w:rPr>
          <w:rFonts w:ascii="Arial" w:hAnsi="Arial" w:cs="Arial"/>
        </w:rPr>
        <w:t>.</w:t>
      </w:r>
    </w:p>
    <w:p w14:paraId="2F4F16AB" w14:textId="773E679E" w:rsidR="0019568F" w:rsidRPr="003430BB" w:rsidRDefault="0019568F" w:rsidP="003430BB">
      <w:pPr>
        <w:spacing w:line="360" w:lineRule="auto"/>
        <w:jc w:val="both"/>
        <w:rPr>
          <w:rFonts w:ascii="Arial" w:hAnsi="Arial" w:cs="Arial"/>
        </w:rPr>
      </w:pPr>
      <w:r w:rsidRPr="003430BB">
        <w:rPr>
          <w:rFonts w:ascii="Arial" w:hAnsi="Arial" w:cs="Arial"/>
        </w:rPr>
        <w:t>Dhollande, D.S., Shepheard, J. and Barnard, C. (2025) ‘Reflective Models Used in Undergraduate Health Programs: A Scoping Review’, </w:t>
      </w:r>
      <w:r w:rsidRPr="003430BB">
        <w:rPr>
          <w:rFonts w:ascii="Arial" w:hAnsi="Arial" w:cs="Arial"/>
          <w:i/>
          <w:iCs/>
        </w:rPr>
        <w:t>Teaching and learning in nursing</w:t>
      </w:r>
      <w:r w:rsidRPr="003430BB">
        <w:rPr>
          <w:rFonts w:ascii="Arial" w:hAnsi="Arial" w:cs="Arial"/>
        </w:rPr>
        <w:t xml:space="preserve"> [Preprint]. Available at: </w:t>
      </w:r>
      <w:hyperlink r:id="rId15" w:history="1">
        <w:r w:rsidR="00C22C1A" w:rsidRPr="003430BB">
          <w:rPr>
            <w:rStyle w:val="Hyperlink"/>
            <w:rFonts w:ascii="Arial" w:hAnsi="Arial" w:cs="Arial"/>
          </w:rPr>
          <w:t>https://doi.org/10.1016/j.teln.2025.08.011</w:t>
        </w:r>
      </w:hyperlink>
      <w:r w:rsidR="00C22C1A" w:rsidRPr="003430BB">
        <w:rPr>
          <w:rFonts w:ascii="Arial" w:hAnsi="Arial" w:cs="Arial"/>
        </w:rPr>
        <w:t>.</w:t>
      </w:r>
    </w:p>
    <w:p w14:paraId="5EF022F5" w14:textId="679516E2" w:rsidR="00C22C1A" w:rsidRPr="003430BB" w:rsidRDefault="00C22C1A" w:rsidP="003430BB">
      <w:pPr>
        <w:spacing w:line="360" w:lineRule="auto"/>
        <w:jc w:val="both"/>
        <w:rPr>
          <w:rFonts w:ascii="Arial" w:hAnsi="Arial" w:cs="Arial"/>
        </w:rPr>
      </w:pPr>
      <w:r w:rsidRPr="003430BB">
        <w:rPr>
          <w:rFonts w:ascii="Arial" w:hAnsi="Arial" w:cs="Arial"/>
        </w:rPr>
        <w:lastRenderedPageBreak/>
        <w:t>Edström, A. </w:t>
      </w:r>
      <w:r w:rsidRPr="003430BB">
        <w:rPr>
          <w:rFonts w:ascii="Arial" w:hAnsi="Arial" w:cs="Arial"/>
          <w:i/>
          <w:iCs/>
        </w:rPr>
        <w:t>et al.</w:t>
      </w:r>
      <w:r w:rsidRPr="003430BB">
        <w:rPr>
          <w:rFonts w:ascii="Arial" w:hAnsi="Arial" w:cs="Arial"/>
        </w:rPr>
        <w:t> (2022) ‘Where service recovery meets its paradox: implications for avoiding overcompensation’, </w:t>
      </w:r>
      <w:r w:rsidRPr="003430BB">
        <w:rPr>
          <w:rFonts w:ascii="Arial" w:hAnsi="Arial" w:cs="Arial"/>
          <w:i/>
          <w:iCs/>
        </w:rPr>
        <w:t>Journal of service theory and practice</w:t>
      </w:r>
      <w:r w:rsidRPr="003430BB">
        <w:rPr>
          <w:rFonts w:ascii="Arial" w:hAnsi="Arial" w:cs="Arial"/>
        </w:rPr>
        <w:t xml:space="preserve">, 32(7), pp. 1–13. Available at: </w:t>
      </w:r>
      <w:hyperlink r:id="rId16" w:history="1">
        <w:r w:rsidR="00031C43" w:rsidRPr="003430BB">
          <w:rPr>
            <w:rStyle w:val="Hyperlink"/>
            <w:rFonts w:ascii="Arial" w:hAnsi="Arial" w:cs="Arial"/>
          </w:rPr>
          <w:t>https://doi.org/10.1108/JSTP-06-2021-0120</w:t>
        </w:r>
      </w:hyperlink>
      <w:r w:rsidRPr="003430BB">
        <w:rPr>
          <w:rFonts w:ascii="Arial" w:hAnsi="Arial" w:cs="Arial"/>
        </w:rPr>
        <w:t>.</w:t>
      </w:r>
    </w:p>
    <w:p w14:paraId="23276B56" w14:textId="07ADD9A3" w:rsidR="003430BB" w:rsidRPr="003430BB" w:rsidRDefault="003430BB" w:rsidP="003430BB">
      <w:pPr>
        <w:spacing w:line="360" w:lineRule="auto"/>
        <w:jc w:val="both"/>
        <w:rPr>
          <w:rFonts w:ascii="Arial" w:hAnsi="Arial" w:cs="Arial"/>
        </w:rPr>
      </w:pPr>
      <w:r w:rsidRPr="003430BB">
        <w:rPr>
          <w:rFonts w:ascii="Arial" w:hAnsi="Arial" w:cs="Arial"/>
        </w:rPr>
        <w:t>Jones, C. </w:t>
      </w:r>
      <w:r w:rsidRPr="003430BB">
        <w:rPr>
          <w:rFonts w:ascii="Arial" w:hAnsi="Arial" w:cs="Arial"/>
          <w:i/>
          <w:iCs/>
        </w:rPr>
        <w:t>et al.</w:t>
      </w:r>
      <w:r w:rsidRPr="003430BB">
        <w:rPr>
          <w:rFonts w:ascii="Arial" w:hAnsi="Arial" w:cs="Arial"/>
        </w:rPr>
        <w:t> (2024) ‘Hospitality Work as Social Reproduction: Embodied and Emotional Labour during COVID-19’, </w:t>
      </w:r>
      <w:r w:rsidRPr="003430BB">
        <w:rPr>
          <w:rFonts w:ascii="Arial" w:hAnsi="Arial" w:cs="Arial"/>
          <w:i/>
          <w:iCs/>
        </w:rPr>
        <w:t>Sociology (Oxford)</w:t>
      </w:r>
      <w:r w:rsidRPr="003430BB">
        <w:rPr>
          <w:rFonts w:ascii="Arial" w:hAnsi="Arial" w:cs="Arial"/>
        </w:rPr>
        <w:t>, 58(2), pp. 471–488. Available at: https://doi.org/10.1177/00380385231189190.</w:t>
      </w:r>
    </w:p>
    <w:p w14:paraId="4B285288" w14:textId="0CF7B1C2" w:rsidR="00031C43" w:rsidRPr="003430BB" w:rsidRDefault="00031C43" w:rsidP="003430BB">
      <w:pPr>
        <w:spacing w:line="360" w:lineRule="auto"/>
        <w:jc w:val="both"/>
        <w:rPr>
          <w:rFonts w:ascii="Arial" w:hAnsi="Arial" w:cs="Arial"/>
        </w:rPr>
      </w:pPr>
      <w:r w:rsidRPr="003430BB">
        <w:rPr>
          <w:rFonts w:ascii="Arial" w:hAnsi="Arial" w:cs="Arial"/>
        </w:rPr>
        <w:t>Lee, B. </w:t>
      </w:r>
      <w:r w:rsidRPr="003430BB">
        <w:rPr>
          <w:rFonts w:ascii="Arial" w:hAnsi="Arial" w:cs="Arial"/>
          <w:i/>
          <w:iCs/>
        </w:rPr>
        <w:t>et al.</w:t>
      </w:r>
      <w:r w:rsidRPr="003430BB">
        <w:rPr>
          <w:rFonts w:ascii="Arial" w:hAnsi="Arial" w:cs="Arial"/>
        </w:rPr>
        <w:t> (2022) ‘</w:t>
      </w:r>
      <w:r w:rsidR="00BA6182" w:rsidRPr="003430BB">
        <w:rPr>
          <w:rFonts w:ascii="Arial" w:hAnsi="Arial" w:cs="Arial"/>
        </w:rPr>
        <w:t>Analysing</w:t>
      </w:r>
      <w:r w:rsidRPr="003430BB">
        <w:rPr>
          <w:rFonts w:ascii="Arial" w:hAnsi="Arial" w:cs="Arial"/>
        </w:rPr>
        <w:t xml:space="preserve"> Determinants of Job Satisfaction Based on Two-Factor Theory’, </w:t>
      </w:r>
      <w:r w:rsidRPr="003430BB">
        <w:rPr>
          <w:rFonts w:ascii="Arial" w:hAnsi="Arial" w:cs="Arial"/>
          <w:i/>
          <w:iCs/>
        </w:rPr>
        <w:t>Sustainability</w:t>
      </w:r>
      <w:r w:rsidRPr="003430BB">
        <w:rPr>
          <w:rFonts w:ascii="Arial" w:hAnsi="Arial" w:cs="Arial"/>
        </w:rPr>
        <w:t xml:space="preserve">, 14(19), p. 12557. Available at: </w:t>
      </w:r>
      <w:hyperlink r:id="rId17" w:history="1">
        <w:r w:rsidR="00823950" w:rsidRPr="003430BB">
          <w:rPr>
            <w:rStyle w:val="Hyperlink"/>
            <w:rFonts w:ascii="Arial" w:hAnsi="Arial" w:cs="Arial"/>
          </w:rPr>
          <w:t>https://doi.org/10.3390/su141912557</w:t>
        </w:r>
      </w:hyperlink>
      <w:r w:rsidRPr="003430BB">
        <w:rPr>
          <w:rFonts w:ascii="Arial" w:hAnsi="Arial" w:cs="Arial"/>
        </w:rPr>
        <w:t>.</w:t>
      </w:r>
    </w:p>
    <w:p w14:paraId="1EE2ED5D" w14:textId="0C96E982" w:rsidR="00B23254" w:rsidRPr="003430BB" w:rsidRDefault="00B23254" w:rsidP="003430BB">
      <w:pPr>
        <w:spacing w:line="360" w:lineRule="auto"/>
        <w:jc w:val="both"/>
        <w:rPr>
          <w:rFonts w:ascii="Arial" w:hAnsi="Arial" w:cs="Arial"/>
        </w:rPr>
      </w:pPr>
      <w:r w:rsidRPr="003430BB">
        <w:rPr>
          <w:rFonts w:ascii="Arial" w:hAnsi="Arial" w:cs="Arial"/>
        </w:rPr>
        <w:t>Lim, W.M., Saha, V. and Das, M. (2025) ‘From service failure to brand loyalty: evidence of service recovery paradox’, </w:t>
      </w:r>
      <w:r w:rsidRPr="003430BB">
        <w:rPr>
          <w:rFonts w:ascii="Arial" w:hAnsi="Arial" w:cs="Arial"/>
          <w:i/>
          <w:iCs/>
        </w:rPr>
        <w:t xml:space="preserve">The </w:t>
      </w:r>
      <w:r w:rsidR="006777A9" w:rsidRPr="003430BB">
        <w:rPr>
          <w:rFonts w:ascii="Arial" w:hAnsi="Arial" w:cs="Arial"/>
          <w:i/>
          <w:iCs/>
        </w:rPr>
        <w:t>Journal</w:t>
      </w:r>
      <w:r w:rsidRPr="003430BB">
        <w:rPr>
          <w:rFonts w:ascii="Arial" w:hAnsi="Arial" w:cs="Arial"/>
          <w:i/>
          <w:iCs/>
        </w:rPr>
        <w:t xml:space="preserve"> of </w:t>
      </w:r>
      <w:r w:rsidR="006777A9" w:rsidRPr="003430BB">
        <w:rPr>
          <w:rFonts w:ascii="Arial" w:hAnsi="Arial" w:cs="Arial"/>
          <w:i/>
          <w:iCs/>
        </w:rPr>
        <w:t>Brand Management</w:t>
      </w:r>
      <w:r w:rsidRPr="003430BB">
        <w:rPr>
          <w:rFonts w:ascii="Arial" w:hAnsi="Arial" w:cs="Arial"/>
        </w:rPr>
        <w:t xml:space="preserve">, 32(4), pp. 257–281. Available at: </w:t>
      </w:r>
      <w:hyperlink r:id="rId18" w:history="1">
        <w:r w:rsidR="006777A9" w:rsidRPr="003430BB">
          <w:rPr>
            <w:rStyle w:val="Hyperlink"/>
            <w:rFonts w:ascii="Arial" w:hAnsi="Arial" w:cs="Arial"/>
          </w:rPr>
          <w:t>https://doi.org/10.1057/s41262-025-00380-5</w:t>
        </w:r>
      </w:hyperlink>
      <w:r w:rsidRPr="003430BB">
        <w:rPr>
          <w:rFonts w:ascii="Arial" w:hAnsi="Arial" w:cs="Arial"/>
        </w:rPr>
        <w:t>.</w:t>
      </w:r>
    </w:p>
    <w:p w14:paraId="00FE19F4" w14:textId="18449369" w:rsidR="002175C8" w:rsidRPr="003430BB" w:rsidRDefault="002175C8" w:rsidP="003430BB">
      <w:pPr>
        <w:spacing w:line="360" w:lineRule="auto"/>
        <w:jc w:val="both"/>
        <w:rPr>
          <w:rFonts w:ascii="Arial" w:hAnsi="Arial" w:cs="Arial"/>
        </w:rPr>
      </w:pPr>
      <w:r w:rsidRPr="003430BB">
        <w:rPr>
          <w:rFonts w:ascii="Arial" w:hAnsi="Arial" w:cs="Arial"/>
        </w:rPr>
        <w:t>Machost, H., &amp; Stains, M. (2023). Reflective Practices in Education: A Primer for Practitioners. </w:t>
      </w:r>
      <w:r w:rsidRPr="003430BB">
        <w:rPr>
          <w:rFonts w:ascii="Arial" w:hAnsi="Arial" w:cs="Arial"/>
          <w:i/>
          <w:iCs/>
        </w:rPr>
        <w:t>CBE life sciences education</w:t>
      </w:r>
      <w:r w:rsidRPr="003430BB">
        <w:rPr>
          <w:rFonts w:ascii="Arial" w:hAnsi="Arial" w:cs="Arial"/>
        </w:rPr>
        <w:t>, </w:t>
      </w:r>
      <w:r w:rsidRPr="003430BB">
        <w:rPr>
          <w:rFonts w:ascii="Arial" w:hAnsi="Arial" w:cs="Arial"/>
          <w:i/>
          <w:iCs/>
        </w:rPr>
        <w:t>22</w:t>
      </w:r>
      <w:r w:rsidRPr="003430BB">
        <w:rPr>
          <w:rFonts w:ascii="Arial" w:hAnsi="Arial" w:cs="Arial"/>
        </w:rPr>
        <w:t xml:space="preserve">(2), es2. </w:t>
      </w:r>
      <w:hyperlink r:id="rId19" w:history="1">
        <w:r w:rsidR="009B3CEB" w:rsidRPr="003430BB">
          <w:rPr>
            <w:rStyle w:val="Hyperlink"/>
            <w:rFonts w:ascii="Arial" w:hAnsi="Arial" w:cs="Arial"/>
          </w:rPr>
          <w:t>https://doi.org/10.1187/cbe.22-07-0148</w:t>
        </w:r>
      </w:hyperlink>
      <w:r w:rsidR="009B3CEB" w:rsidRPr="003430BB">
        <w:rPr>
          <w:rFonts w:ascii="Arial" w:hAnsi="Arial" w:cs="Arial"/>
        </w:rPr>
        <w:t xml:space="preserve">. </w:t>
      </w:r>
    </w:p>
    <w:p w14:paraId="38CFE82E" w14:textId="5F51AC2A" w:rsidR="006777A9" w:rsidRPr="003430BB" w:rsidRDefault="006777A9" w:rsidP="003430BB">
      <w:pPr>
        <w:spacing w:line="360" w:lineRule="auto"/>
        <w:jc w:val="both"/>
        <w:rPr>
          <w:rFonts w:ascii="Arial" w:hAnsi="Arial" w:cs="Arial"/>
        </w:rPr>
      </w:pPr>
      <w:r w:rsidRPr="003430BB">
        <w:rPr>
          <w:rFonts w:ascii="Arial" w:hAnsi="Arial" w:cs="Arial"/>
        </w:rPr>
        <w:t>Perdomo-Verdecia, V., Garrido-Vega, P. and Sacristán-Díaz, M. (2024) ‘An fsQCA analysis of service quality for hotel customer satisfaction’, </w:t>
      </w:r>
      <w:r w:rsidRPr="003430BB">
        <w:rPr>
          <w:rFonts w:ascii="Arial" w:hAnsi="Arial" w:cs="Arial"/>
          <w:i/>
          <w:iCs/>
        </w:rPr>
        <w:t xml:space="preserve">International </w:t>
      </w:r>
      <w:r w:rsidRPr="003430BB">
        <w:rPr>
          <w:rFonts w:ascii="Arial" w:hAnsi="Arial" w:cs="Arial"/>
          <w:i/>
          <w:iCs/>
        </w:rPr>
        <w:t>Journal</w:t>
      </w:r>
      <w:r w:rsidRPr="003430BB">
        <w:rPr>
          <w:rFonts w:ascii="Arial" w:hAnsi="Arial" w:cs="Arial"/>
          <w:i/>
          <w:iCs/>
        </w:rPr>
        <w:t xml:space="preserve"> of </w:t>
      </w:r>
      <w:r w:rsidRPr="003430BB">
        <w:rPr>
          <w:rFonts w:ascii="Arial" w:hAnsi="Arial" w:cs="Arial"/>
          <w:i/>
          <w:iCs/>
        </w:rPr>
        <w:t>Hospitality Management</w:t>
      </w:r>
      <w:r w:rsidRPr="003430BB">
        <w:rPr>
          <w:rFonts w:ascii="Arial" w:hAnsi="Arial" w:cs="Arial"/>
        </w:rPr>
        <w:t xml:space="preserve">, 122. Available at: </w:t>
      </w:r>
      <w:hyperlink r:id="rId20" w:history="1">
        <w:r w:rsidR="002159E1" w:rsidRPr="003430BB">
          <w:rPr>
            <w:rStyle w:val="Hyperlink"/>
            <w:rFonts w:ascii="Arial" w:hAnsi="Arial" w:cs="Arial"/>
          </w:rPr>
          <w:t>https://doi.org/10.1016/j.ijhm.2024.103793</w:t>
        </w:r>
      </w:hyperlink>
      <w:r w:rsidRPr="003430BB">
        <w:rPr>
          <w:rFonts w:ascii="Arial" w:hAnsi="Arial" w:cs="Arial"/>
        </w:rPr>
        <w:t>.</w:t>
      </w:r>
    </w:p>
    <w:p w14:paraId="7F59D342" w14:textId="374ED766" w:rsidR="002159E1" w:rsidRPr="003430BB" w:rsidRDefault="002159E1" w:rsidP="003430BB">
      <w:pPr>
        <w:spacing w:line="360" w:lineRule="auto"/>
        <w:jc w:val="both"/>
        <w:rPr>
          <w:rFonts w:ascii="Arial" w:hAnsi="Arial" w:cs="Arial"/>
        </w:rPr>
      </w:pPr>
      <w:r w:rsidRPr="003430BB">
        <w:rPr>
          <w:rFonts w:ascii="Arial" w:hAnsi="Arial" w:cs="Arial"/>
        </w:rPr>
        <w:t>Saito, H., Brozović, D. and Baum, T. (2025) ‘Well-being of hospitality employees: A systematic literature review’, </w:t>
      </w:r>
      <w:r w:rsidRPr="003430BB">
        <w:rPr>
          <w:rFonts w:ascii="Arial" w:hAnsi="Arial" w:cs="Arial"/>
          <w:i/>
          <w:iCs/>
        </w:rPr>
        <w:t xml:space="preserve">International </w:t>
      </w:r>
      <w:r w:rsidRPr="003430BB">
        <w:rPr>
          <w:rFonts w:ascii="Arial" w:hAnsi="Arial" w:cs="Arial"/>
          <w:i/>
          <w:iCs/>
        </w:rPr>
        <w:t>J</w:t>
      </w:r>
      <w:r w:rsidRPr="003430BB">
        <w:rPr>
          <w:rFonts w:ascii="Arial" w:hAnsi="Arial" w:cs="Arial"/>
          <w:i/>
          <w:iCs/>
        </w:rPr>
        <w:t xml:space="preserve">ournal of </w:t>
      </w:r>
      <w:r w:rsidRPr="003430BB">
        <w:rPr>
          <w:rFonts w:ascii="Arial" w:hAnsi="Arial" w:cs="Arial"/>
          <w:i/>
          <w:iCs/>
        </w:rPr>
        <w:t>Hospitality Management</w:t>
      </w:r>
      <w:r w:rsidRPr="003430BB">
        <w:rPr>
          <w:rFonts w:ascii="Arial" w:hAnsi="Arial" w:cs="Arial"/>
        </w:rPr>
        <w:t xml:space="preserve">, 124. Available at: </w:t>
      </w:r>
      <w:hyperlink r:id="rId21" w:history="1">
        <w:r w:rsidR="00D37965" w:rsidRPr="003430BB">
          <w:rPr>
            <w:rStyle w:val="Hyperlink"/>
            <w:rFonts w:ascii="Arial" w:hAnsi="Arial" w:cs="Arial"/>
          </w:rPr>
          <w:t>https://doi.org/10.1016/j.ijhm.2024.103955</w:t>
        </w:r>
      </w:hyperlink>
      <w:r w:rsidRPr="003430BB">
        <w:rPr>
          <w:rFonts w:ascii="Arial" w:hAnsi="Arial" w:cs="Arial"/>
        </w:rPr>
        <w:t>.</w:t>
      </w:r>
    </w:p>
    <w:p w14:paraId="48B16D32" w14:textId="665B99CD" w:rsidR="00EA723A" w:rsidRPr="003430BB" w:rsidRDefault="00EA723A" w:rsidP="003430BB">
      <w:pPr>
        <w:spacing w:line="360" w:lineRule="auto"/>
        <w:jc w:val="both"/>
        <w:rPr>
          <w:rFonts w:ascii="Arial" w:hAnsi="Arial" w:cs="Arial"/>
        </w:rPr>
      </w:pPr>
      <w:r w:rsidRPr="003430BB">
        <w:rPr>
          <w:rFonts w:ascii="Arial" w:hAnsi="Arial" w:cs="Arial"/>
        </w:rPr>
        <w:t>Xu, X., Liu, J. and Gursoy, D. (2022) ‘Emotional intelligence similarity in service recovery’, </w:t>
      </w:r>
      <w:r w:rsidRPr="003430BB">
        <w:rPr>
          <w:rFonts w:ascii="Arial" w:hAnsi="Arial" w:cs="Arial"/>
          <w:i/>
          <w:iCs/>
        </w:rPr>
        <w:t>Annals of tourism research</w:t>
      </w:r>
      <w:r w:rsidRPr="003430BB">
        <w:rPr>
          <w:rFonts w:ascii="Arial" w:hAnsi="Arial" w:cs="Arial"/>
        </w:rPr>
        <w:t xml:space="preserve">, 96. Available at: </w:t>
      </w:r>
      <w:hyperlink r:id="rId22" w:history="1">
        <w:r w:rsidR="00BA1233" w:rsidRPr="003430BB">
          <w:rPr>
            <w:rStyle w:val="Hyperlink"/>
            <w:rFonts w:ascii="Arial" w:hAnsi="Arial" w:cs="Arial"/>
          </w:rPr>
          <w:t>https://doi.org/10.1016/j.annals.2022.103465</w:t>
        </w:r>
      </w:hyperlink>
      <w:r w:rsidRPr="003430BB">
        <w:rPr>
          <w:rFonts w:ascii="Arial" w:hAnsi="Arial" w:cs="Arial"/>
        </w:rPr>
        <w:t>.</w:t>
      </w:r>
      <w:r w:rsidR="00BA1233" w:rsidRPr="003430BB">
        <w:rPr>
          <w:rFonts w:ascii="Arial" w:hAnsi="Arial" w:cs="Arial"/>
        </w:rPr>
        <w:t xml:space="preserve"> </w:t>
      </w:r>
    </w:p>
    <w:p w14:paraId="2227F152" w14:textId="724D6AC6" w:rsidR="00D37965" w:rsidRPr="003430BB" w:rsidRDefault="004856F7" w:rsidP="003430BB">
      <w:pPr>
        <w:spacing w:line="360" w:lineRule="auto"/>
        <w:jc w:val="both"/>
        <w:rPr>
          <w:rFonts w:ascii="Arial" w:hAnsi="Arial" w:cs="Arial"/>
        </w:rPr>
      </w:pPr>
      <w:r w:rsidRPr="003430BB">
        <w:rPr>
          <w:rFonts w:ascii="Arial" w:hAnsi="Arial" w:cs="Arial"/>
        </w:rPr>
        <w:t>Xiong, W. </w:t>
      </w:r>
      <w:r w:rsidRPr="003430BB">
        <w:rPr>
          <w:rFonts w:ascii="Arial" w:hAnsi="Arial" w:cs="Arial"/>
          <w:i/>
          <w:iCs/>
        </w:rPr>
        <w:t>et al.</w:t>
      </w:r>
      <w:r w:rsidRPr="003430BB">
        <w:rPr>
          <w:rFonts w:ascii="Arial" w:hAnsi="Arial" w:cs="Arial"/>
        </w:rPr>
        <w:t xml:space="preserve"> (2023) ‘How emotional </w:t>
      </w:r>
      <w:r w:rsidR="00651E35">
        <w:rPr>
          <w:rFonts w:ascii="Arial" w:hAnsi="Arial" w:cs="Arial"/>
        </w:rPr>
        <w:t>labour</w:t>
      </w:r>
      <w:r w:rsidRPr="003430BB">
        <w:rPr>
          <w:rFonts w:ascii="Arial" w:hAnsi="Arial" w:cs="Arial"/>
        </w:rPr>
        <w:t xml:space="preserve"> </w:t>
      </w:r>
      <w:r w:rsidR="00651E35">
        <w:rPr>
          <w:rFonts w:ascii="Arial" w:hAnsi="Arial" w:cs="Arial"/>
        </w:rPr>
        <w:t>affects</w:t>
      </w:r>
      <w:r w:rsidRPr="003430BB">
        <w:rPr>
          <w:rFonts w:ascii="Arial" w:hAnsi="Arial" w:cs="Arial"/>
        </w:rPr>
        <w:t xml:space="preserve"> hotel employees’ mental health: A longitudinal study’, </w:t>
      </w:r>
      <w:r w:rsidRPr="003430BB">
        <w:rPr>
          <w:rFonts w:ascii="Arial" w:hAnsi="Arial" w:cs="Arial"/>
          <w:i/>
          <w:iCs/>
        </w:rPr>
        <w:t>Tourism management (1982)</w:t>
      </w:r>
      <w:r w:rsidRPr="003430BB">
        <w:rPr>
          <w:rFonts w:ascii="Arial" w:hAnsi="Arial" w:cs="Arial"/>
        </w:rPr>
        <w:t>, 94. Available at: https://doi.org/10.1016/j.tourman.2022.104631.</w:t>
      </w:r>
    </w:p>
    <w:p w14:paraId="5B8A0AB3" w14:textId="77777777" w:rsidR="00B12CD4" w:rsidRPr="00B12CD4" w:rsidRDefault="00B12CD4" w:rsidP="00B12CD4"/>
    <w:sectPr w:rsidR="00B12CD4" w:rsidRPr="00B12CD4" w:rsidSect="0057216C">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12F94"/>
    <w:multiLevelType w:val="multilevel"/>
    <w:tmpl w:val="1CDA1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D32952"/>
    <w:multiLevelType w:val="multilevel"/>
    <w:tmpl w:val="EF4E0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425E36"/>
    <w:multiLevelType w:val="multilevel"/>
    <w:tmpl w:val="0F5CC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7048271">
    <w:abstractNumId w:val="2"/>
  </w:num>
  <w:num w:numId="2" w16cid:durableId="1421022858">
    <w:abstractNumId w:val="0"/>
  </w:num>
  <w:num w:numId="3" w16cid:durableId="360712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16C"/>
    <w:rsid w:val="00031C43"/>
    <w:rsid w:val="00033037"/>
    <w:rsid w:val="000552EA"/>
    <w:rsid w:val="000A1F52"/>
    <w:rsid w:val="000B61D9"/>
    <w:rsid w:val="00125AD7"/>
    <w:rsid w:val="0019373D"/>
    <w:rsid w:val="0019568F"/>
    <w:rsid w:val="002159E1"/>
    <w:rsid w:val="002175C8"/>
    <w:rsid w:val="002738B3"/>
    <w:rsid w:val="002779B5"/>
    <w:rsid w:val="002E41FA"/>
    <w:rsid w:val="002E65C8"/>
    <w:rsid w:val="003430BB"/>
    <w:rsid w:val="003945E7"/>
    <w:rsid w:val="003B3B79"/>
    <w:rsid w:val="003B41F9"/>
    <w:rsid w:val="00475299"/>
    <w:rsid w:val="004856F7"/>
    <w:rsid w:val="00517C25"/>
    <w:rsid w:val="0057216C"/>
    <w:rsid w:val="00593518"/>
    <w:rsid w:val="005B5B83"/>
    <w:rsid w:val="005E39A0"/>
    <w:rsid w:val="005F3E62"/>
    <w:rsid w:val="006039F1"/>
    <w:rsid w:val="00626BAF"/>
    <w:rsid w:val="006307E2"/>
    <w:rsid w:val="00651E35"/>
    <w:rsid w:val="0067178D"/>
    <w:rsid w:val="006777A9"/>
    <w:rsid w:val="006D2C63"/>
    <w:rsid w:val="00743882"/>
    <w:rsid w:val="00773B6B"/>
    <w:rsid w:val="007E7EC4"/>
    <w:rsid w:val="007F39EC"/>
    <w:rsid w:val="00813C57"/>
    <w:rsid w:val="00823950"/>
    <w:rsid w:val="00854AED"/>
    <w:rsid w:val="00865F70"/>
    <w:rsid w:val="00930F2F"/>
    <w:rsid w:val="00997730"/>
    <w:rsid w:val="009A0909"/>
    <w:rsid w:val="009B3CEB"/>
    <w:rsid w:val="009C361B"/>
    <w:rsid w:val="00A04651"/>
    <w:rsid w:val="00A87915"/>
    <w:rsid w:val="00AA5288"/>
    <w:rsid w:val="00AC790C"/>
    <w:rsid w:val="00AE068F"/>
    <w:rsid w:val="00B120A2"/>
    <w:rsid w:val="00B12CD4"/>
    <w:rsid w:val="00B23254"/>
    <w:rsid w:val="00BA1233"/>
    <w:rsid w:val="00BA6182"/>
    <w:rsid w:val="00BB72F1"/>
    <w:rsid w:val="00BF24E3"/>
    <w:rsid w:val="00C15CDE"/>
    <w:rsid w:val="00C22C1A"/>
    <w:rsid w:val="00D37965"/>
    <w:rsid w:val="00D7454F"/>
    <w:rsid w:val="00D93B22"/>
    <w:rsid w:val="00E94BB9"/>
    <w:rsid w:val="00EA723A"/>
    <w:rsid w:val="00EB3487"/>
    <w:rsid w:val="00EE3A50"/>
    <w:rsid w:val="00F833D3"/>
    <w:rsid w:val="00FA6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5E1B0"/>
  <w15:chartTrackingRefBased/>
  <w15:docId w15:val="{8CB783D7-A5FC-4DA5-BC9C-8BD5C7D7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72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16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57216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7216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7216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7216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7216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7216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7216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7216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72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16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72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16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7216C"/>
    <w:pPr>
      <w:spacing w:before="160"/>
      <w:jc w:val="center"/>
    </w:pPr>
    <w:rPr>
      <w:i/>
      <w:iCs/>
      <w:color w:val="404040" w:themeColor="text1" w:themeTint="BF"/>
    </w:rPr>
  </w:style>
  <w:style w:type="character" w:customStyle="1" w:styleId="QuoteChar">
    <w:name w:val="Quote Char"/>
    <w:basedOn w:val="DefaultParagraphFont"/>
    <w:link w:val="Quote"/>
    <w:uiPriority w:val="29"/>
    <w:rsid w:val="0057216C"/>
    <w:rPr>
      <w:i/>
      <w:iCs/>
      <w:color w:val="404040" w:themeColor="text1" w:themeTint="BF"/>
      <w:lang w:val="en-GB"/>
    </w:rPr>
  </w:style>
  <w:style w:type="paragraph" w:styleId="ListParagraph">
    <w:name w:val="List Paragraph"/>
    <w:basedOn w:val="Normal"/>
    <w:uiPriority w:val="34"/>
    <w:qFormat/>
    <w:rsid w:val="0057216C"/>
    <w:pPr>
      <w:ind w:left="720"/>
      <w:contextualSpacing/>
    </w:pPr>
  </w:style>
  <w:style w:type="character" w:styleId="IntenseEmphasis">
    <w:name w:val="Intense Emphasis"/>
    <w:basedOn w:val="DefaultParagraphFont"/>
    <w:uiPriority w:val="21"/>
    <w:qFormat/>
    <w:rsid w:val="0057216C"/>
    <w:rPr>
      <w:i/>
      <w:iCs/>
      <w:color w:val="0F4761" w:themeColor="accent1" w:themeShade="BF"/>
    </w:rPr>
  </w:style>
  <w:style w:type="paragraph" w:styleId="IntenseQuote">
    <w:name w:val="Intense Quote"/>
    <w:basedOn w:val="Normal"/>
    <w:next w:val="Normal"/>
    <w:link w:val="IntenseQuoteChar"/>
    <w:uiPriority w:val="30"/>
    <w:qFormat/>
    <w:rsid w:val="00572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16C"/>
    <w:rPr>
      <w:i/>
      <w:iCs/>
      <w:color w:val="0F4761" w:themeColor="accent1" w:themeShade="BF"/>
      <w:lang w:val="en-GB"/>
    </w:rPr>
  </w:style>
  <w:style w:type="character" w:styleId="IntenseReference">
    <w:name w:val="Intense Reference"/>
    <w:basedOn w:val="DefaultParagraphFont"/>
    <w:uiPriority w:val="32"/>
    <w:qFormat/>
    <w:rsid w:val="0057216C"/>
    <w:rPr>
      <w:b/>
      <w:bCs/>
      <w:smallCaps/>
      <w:color w:val="0F4761" w:themeColor="accent1" w:themeShade="BF"/>
      <w:spacing w:val="5"/>
    </w:rPr>
  </w:style>
  <w:style w:type="paragraph" w:styleId="NoSpacing">
    <w:name w:val="No Spacing"/>
    <w:uiPriority w:val="1"/>
    <w:qFormat/>
    <w:rsid w:val="0057216C"/>
    <w:pPr>
      <w:spacing w:after="0" w:line="240" w:lineRule="auto"/>
    </w:pPr>
    <w:rPr>
      <w:color w:val="0E2841" w:themeColor="text2"/>
      <w:kern w:val="0"/>
      <w:sz w:val="20"/>
      <w:szCs w:val="20"/>
      <w14:ligatures w14:val="none"/>
    </w:rPr>
  </w:style>
  <w:style w:type="paragraph" w:styleId="TOCHeading">
    <w:name w:val="TOC Heading"/>
    <w:basedOn w:val="Heading1"/>
    <w:next w:val="Normal"/>
    <w:uiPriority w:val="39"/>
    <w:unhideWhenUsed/>
    <w:qFormat/>
    <w:rsid w:val="00517C2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17C25"/>
    <w:pPr>
      <w:spacing w:after="100"/>
    </w:pPr>
  </w:style>
  <w:style w:type="character" w:styleId="Hyperlink">
    <w:name w:val="Hyperlink"/>
    <w:basedOn w:val="DefaultParagraphFont"/>
    <w:uiPriority w:val="99"/>
    <w:unhideWhenUsed/>
    <w:rsid w:val="00517C25"/>
    <w:rPr>
      <w:color w:val="467886" w:themeColor="hyperlink"/>
      <w:u w:val="single"/>
    </w:rPr>
  </w:style>
  <w:style w:type="character" w:styleId="Strong">
    <w:name w:val="Strong"/>
    <w:basedOn w:val="DefaultParagraphFont"/>
    <w:uiPriority w:val="22"/>
    <w:qFormat/>
    <w:rsid w:val="00D93B22"/>
    <w:rPr>
      <w:b/>
      <w:bCs/>
    </w:rPr>
  </w:style>
  <w:style w:type="paragraph" w:styleId="NormalWeb">
    <w:name w:val="Normal (Web)"/>
    <w:basedOn w:val="Normal"/>
    <w:uiPriority w:val="99"/>
    <w:semiHidden/>
    <w:unhideWhenUsed/>
    <w:rsid w:val="00D93B22"/>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TOC3">
    <w:name w:val="toc 3"/>
    <w:basedOn w:val="Normal"/>
    <w:next w:val="Normal"/>
    <w:autoRedefine/>
    <w:uiPriority w:val="39"/>
    <w:unhideWhenUsed/>
    <w:rsid w:val="00593518"/>
    <w:pPr>
      <w:spacing w:after="100"/>
      <w:ind w:left="480"/>
    </w:pPr>
  </w:style>
  <w:style w:type="character" w:styleId="UnresolvedMention">
    <w:name w:val="Unresolved Mention"/>
    <w:basedOn w:val="DefaultParagraphFont"/>
    <w:uiPriority w:val="99"/>
    <w:semiHidden/>
    <w:unhideWhenUsed/>
    <w:rsid w:val="00BF2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ijhm.2024.103931" TargetMode="External"/><Relationship Id="rId18" Type="http://schemas.openxmlformats.org/officeDocument/2006/relationships/hyperlink" Target="https://doi.org/10.1057/s41262-025-00380-5" TargetMode="External"/><Relationship Id="rId3" Type="http://schemas.openxmlformats.org/officeDocument/2006/relationships/customXml" Target="../customXml/item3.xml"/><Relationship Id="rId21" Type="http://schemas.openxmlformats.org/officeDocument/2006/relationships/hyperlink" Target="https://doi.org/10.1016/j.ijhm.2024.103955" TargetMode="External"/><Relationship Id="rId7" Type="http://schemas.openxmlformats.org/officeDocument/2006/relationships/settings" Target="settings.xml"/><Relationship Id="rId12" Type="http://schemas.openxmlformats.org/officeDocument/2006/relationships/hyperlink" Target="https://doi.org/10.3390/tourhosp5030043" TargetMode="External"/><Relationship Id="rId17" Type="http://schemas.openxmlformats.org/officeDocument/2006/relationships/hyperlink" Target="https://doi.org/10.3390/su141912557" TargetMode="External"/><Relationship Id="rId2" Type="http://schemas.openxmlformats.org/officeDocument/2006/relationships/customXml" Target="../customXml/item2.xml"/><Relationship Id="rId16" Type="http://schemas.openxmlformats.org/officeDocument/2006/relationships/hyperlink" Target="https://doi.org/10.1108/JSTP-06-2021-0120" TargetMode="External"/><Relationship Id="rId20" Type="http://schemas.openxmlformats.org/officeDocument/2006/relationships/hyperlink" Target="https://doi.org/10.1016/j.ijhm.2024.1037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47172/2965-730X.SDGsReview.v5.n04.pe0367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16/j.teln.2025.08.011" TargetMode="External"/><Relationship Id="rId23" Type="http://schemas.openxmlformats.org/officeDocument/2006/relationships/fontTable" Target="fontTable.xml"/><Relationship Id="rId10" Type="http://schemas.openxmlformats.org/officeDocument/2006/relationships/hyperlink" Target="https://doi.org/10.1186/s12909-024-06593-7" TargetMode="External"/><Relationship Id="rId19" Type="http://schemas.openxmlformats.org/officeDocument/2006/relationships/hyperlink" Target="https://doi.org/10.1187/cbe.22-07-0148"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doi.org/10.1016/j.ijhm.2025.10414" TargetMode="External"/><Relationship Id="rId22" Type="http://schemas.openxmlformats.org/officeDocument/2006/relationships/hyperlink" Target="https://doi.org/10.1016/j.annals.2022.103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63da3bfd6294c9c195033e3656ff04b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d32a761fde7c315d0da3eb651cd05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B15D5-298B-4F06-9323-D62F1BAE4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388624-32F6-4936-A920-BE5556E3200E}">
  <ds:schemaRefs>
    <ds:schemaRef ds:uri="http://schemas.microsoft.com/sharepoint/v3/contenttype/forms"/>
  </ds:schemaRefs>
</ds:datastoreItem>
</file>

<file path=customXml/itemProps3.xml><?xml version="1.0" encoding="utf-8"?>
<ds:datastoreItem xmlns:ds="http://schemas.openxmlformats.org/officeDocument/2006/customXml" ds:itemID="{301338F3-213A-46E8-A17E-896B53E35C13}">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8CBE9AD4-921F-48AD-96E5-43C60FF1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11</Pages>
  <Words>1950</Words>
  <Characters>12857</Characters>
  <Application>Microsoft Office Word</Application>
  <DocSecurity>0</DocSecurity>
  <Lines>252</Lines>
  <Paragraphs>90</Paragraphs>
  <ScaleCrop>false</ScaleCrop>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
  <dc:creator>Sonia-Lorena Mocanu (2233341)</dc:creator>
  <cp:keywords/>
  <dc:description/>
  <cp:lastModifiedBy>Sonia-Lorena Mocanu (2233341)</cp:lastModifiedBy>
  <cp:revision>59</cp:revision>
  <dcterms:created xsi:type="dcterms:W3CDTF">2025-10-21T14:23:00Z</dcterms:created>
  <dcterms:modified xsi:type="dcterms:W3CDTF">2025-10-22T13:29:00Z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328d77fe-7fd9-469d-a873-a285f5a0d7b9</vt:lpwstr>
  </property>
  <property fmtid="{D5CDD505-2E9C-101B-9397-08002B2CF9AE}" pid="3" name="ContentTypeId">
    <vt:lpwstr>0x010100A20804DBFC42F64693D899720BA9B0FE</vt:lpwstr>
  </property>
</Properties>
</file>