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C64EA7" w14:textId="77777777" w:rsidR="00242FA4" w:rsidRDefault="00242FA4" w:rsidP="00242FA4">
      <w:pPr>
        <w:pStyle w:val="Heading1"/>
        <w:rPr>
          <w:lang w:eastAsia="en-US"/>
        </w:rPr>
      </w:pPr>
      <w:bookmarkStart w:id="0" w:name="_Toc57292000"/>
      <w:r>
        <w:rPr>
          <w:lang w:eastAsia="en-US"/>
        </w:rPr>
        <w:t>Reference</w:t>
      </w:r>
      <w:bookmarkEnd w:id="0"/>
      <w:r>
        <w:rPr>
          <w:lang w:eastAsia="en-US"/>
        </w:rPr>
        <w:t xml:space="preserve">s </w:t>
      </w:r>
    </w:p>
    <w:p w14:paraId="03C4408D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Adams, R., </w:t>
      </w:r>
      <w:proofErr w:type="spellStart"/>
      <w:r>
        <w:rPr>
          <w:rFonts w:eastAsia="Calibri" w:cs="Times New Roman"/>
          <w:lang w:eastAsia="en-US"/>
        </w:rPr>
        <w:t>Jeanrenaud</w:t>
      </w:r>
      <w:proofErr w:type="spellEnd"/>
      <w:r>
        <w:rPr>
          <w:rFonts w:eastAsia="Calibri" w:cs="Times New Roman"/>
          <w:lang w:eastAsia="en-US"/>
        </w:rPr>
        <w:t xml:space="preserve">, S., Bessant, J., </w:t>
      </w:r>
      <w:proofErr w:type="spellStart"/>
      <w:r>
        <w:rPr>
          <w:rFonts w:eastAsia="Calibri" w:cs="Times New Roman"/>
          <w:lang w:eastAsia="en-US"/>
        </w:rPr>
        <w:t>Denyer</w:t>
      </w:r>
      <w:proofErr w:type="spellEnd"/>
      <w:r>
        <w:rPr>
          <w:rFonts w:eastAsia="Calibri" w:cs="Times New Roman"/>
          <w:lang w:eastAsia="en-US"/>
        </w:rPr>
        <w:t xml:space="preserve">, D. and </w:t>
      </w:r>
      <w:proofErr w:type="spellStart"/>
      <w:r>
        <w:rPr>
          <w:rFonts w:eastAsia="Calibri" w:cs="Times New Roman"/>
          <w:lang w:eastAsia="en-US"/>
        </w:rPr>
        <w:t>Overy</w:t>
      </w:r>
      <w:proofErr w:type="spellEnd"/>
      <w:r>
        <w:rPr>
          <w:rFonts w:eastAsia="Calibri" w:cs="Times New Roman"/>
          <w:lang w:eastAsia="en-US"/>
        </w:rPr>
        <w:t xml:space="preserve">, P., (2016_. Sustainability‐oriented innovation: A systematic review. International Journal of Management Reviews, 18(2), pp.180-205. [Accessed on 17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1AED1992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Angier, C., (2020). Scotland’s education policy of Learning for Sustainability, the Anthropocene and learning to resist. Spark: Stirling International Journal of Postgraduate Research, (5). [Accessed on 1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14FAC04C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Bamber, P., </w:t>
      </w:r>
      <w:proofErr w:type="spellStart"/>
      <w:r>
        <w:rPr>
          <w:rFonts w:eastAsia="Calibri" w:cs="Times New Roman"/>
          <w:lang w:eastAsia="en-US"/>
        </w:rPr>
        <w:t>Bullivant</w:t>
      </w:r>
      <w:proofErr w:type="spellEnd"/>
      <w:r>
        <w:rPr>
          <w:rFonts w:eastAsia="Calibri" w:cs="Times New Roman"/>
          <w:lang w:eastAsia="en-US"/>
        </w:rPr>
        <w:t xml:space="preserve">, A., Glover, A., King, B. and McCann, G., (2016). A comparative review of policy and practice for education for sustainable development/education for global citizenship (ESD/GC) in teacher education across the four nations of the UK. Management in education, 30(3), pp.112-120. [Accessed on 1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72AFD74F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Bamber, P., </w:t>
      </w:r>
      <w:proofErr w:type="spellStart"/>
      <w:r>
        <w:rPr>
          <w:rFonts w:eastAsia="Calibri" w:cs="Times New Roman"/>
          <w:lang w:eastAsia="en-US"/>
        </w:rPr>
        <w:t>Bullivant</w:t>
      </w:r>
      <w:proofErr w:type="spellEnd"/>
      <w:r>
        <w:rPr>
          <w:rFonts w:eastAsia="Calibri" w:cs="Times New Roman"/>
          <w:lang w:eastAsia="en-US"/>
        </w:rPr>
        <w:t xml:space="preserve">, A., Glover, A., King, B. and McCann, G., (2016). A comparative review of policy and practice for education for sustainable development/education for global citizenship (ESD/GC) in teacher education across the four nations of the UK. Management in education, 30(3), pp.112-120. [Accessed on 1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5EE3D846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Boyd, D., (2018). Early childhood education for Sustainability and the legacies of two pioneering giants. Early Years, 38(2), pp.227-239. [Accessed on 17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65ECE8E4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Campbell, A.C., Kelly-Weber, E. and Lavallee, C., (2020). University teaching and citizenship education as sustainable development in Ghana and Nigeria: insight from international scholarship program alumni. Higher Education, pp.1-16. [Accessed on 1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4CAF6F82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Gohar, A., (2016). Urbanisation &amp; sustainable development: evolution and contemporary challenges. Journal of civil engineering and architecture research, 3(12). [Accessed on 21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0155B1A9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proofErr w:type="spellStart"/>
      <w:r>
        <w:rPr>
          <w:rFonts w:eastAsia="Calibri" w:cs="Times New Roman"/>
          <w:lang w:eastAsia="en-US"/>
        </w:rPr>
        <w:t>Holgaard</w:t>
      </w:r>
      <w:proofErr w:type="spellEnd"/>
      <w:r>
        <w:rPr>
          <w:rFonts w:eastAsia="Calibri" w:cs="Times New Roman"/>
          <w:lang w:eastAsia="en-US"/>
        </w:rPr>
        <w:t xml:space="preserve">, J.E., </w:t>
      </w:r>
      <w:proofErr w:type="spellStart"/>
      <w:r>
        <w:rPr>
          <w:rFonts w:eastAsia="Calibri" w:cs="Times New Roman"/>
          <w:lang w:eastAsia="en-US"/>
        </w:rPr>
        <w:t>Hadgraft</w:t>
      </w:r>
      <w:proofErr w:type="spellEnd"/>
      <w:r>
        <w:rPr>
          <w:rFonts w:eastAsia="Calibri" w:cs="Times New Roman"/>
          <w:lang w:eastAsia="en-US"/>
        </w:rPr>
        <w:t xml:space="preserve">, R., </w:t>
      </w:r>
      <w:proofErr w:type="spellStart"/>
      <w:r>
        <w:rPr>
          <w:rFonts w:eastAsia="Calibri" w:cs="Times New Roman"/>
          <w:lang w:eastAsia="en-US"/>
        </w:rPr>
        <w:t>Kolmos</w:t>
      </w:r>
      <w:proofErr w:type="spellEnd"/>
      <w:r>
        <w:rPr>
          <w:rFonts w:eastAsia="Calibri" w:cs="Times New Roman"/>
          <w:lang w:eastAsia="en-US"/>
        </w:rPr>
        <w:t xml:space="preserve">, A. and Guerra, A., (2016). Strategies for education for sustainable development–Danish and Australian perspectives. Journal of cleaner production, 112, pp.3479-3491. [Accessed on 1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4F8D554B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Huggins, V. and Evans, D. eds., (2017). Early Childhood Education and Care for Sustainability: International Perspectives. Routledge. [Accessed on 1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7C0E0139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JOHN Muri Award, (2017) available at </w:t>
      </w:r>
      <w:hyperlink r:id="rId4" w:history="1">
        <w:r>
          <w:rPr>
            <w:rFonts w:eastAsia="Calibri" w:cs="Times New Roman"/>
            <w:color w:val="0563C1"/>
            <w:u w:val="single"/>
            <w:lang w:eastAsia="en-US"/>
          </w:rPr>
          <w:t>http://www.lochlomond-trossachs.org/wp-content/uploads/2017/11/John-Muir-Award-and-the-Curriculum-for-Excellence-2017.pdf</w:t>
        </w:r>
      </w:hyperlink>
      <w:r>
        <w:rPr>
          <w:rFonts w:eastAsia="Calibri" w:cs="Times New Roman"/>
          <w:lang w:eastAsia="en-US"/>
        </w:rPr>
        <w:t xml:space="preserve"> [Accessed on 18 October, 2020]</w:t>
      </w:r>
    </w:p>
    <w:p w14:paraId="4051F15A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proofErr w:type="spellStart"/>
      <w:r>
        <w:rPr>
          <w:rFonts w:eastAsia="Calibri" w:cs="Times New Roman"/>
          <w:lang w:eastAsia="en-US"/>
        </w:rPr>
        <w:t>Lasen</w:t>
      </w:r>
      <w:proofErr w:type="spellEnd"/>
      <w:r>
        <w:rPr>
          <w:rFonts w:eastAsia="Calibri" w:cs="Times New Roman"/>
          <w:lang w:eastAsia="en-US"/>
        </w:rPr>
        <w:t xml:space="preserve">, M., </w:t>
      </w:r>
      <w:proofErr w:type="spellStart"/>
      <w:r>
        <w:rPr>
          <w:rFonts w:eastAsia="Calibri" w:cs="Times New Roman"/>
          <w:lang w:eastAsia="en-US"/>
        </w:rPr>
        <w:t>Skamp</w:t>
      </w:r>
      <w:proofErr w:type="spellEnd"/>
      <w:r>
        <w:rPr>
          <w:rFonts w:eastAsia="Calibri" w:cs="Times New Roman"/>
          <w:lang w:eastAsia="en-US"/>
        </w:rPr>
        <w:t xml:space="preserve">, K. and </w:t>
      </w:r>
      <w:proofErr w:type="spellStart"/>
      <w:r>
        <w:rPr>
          <w:rFonts w:eastAsia="Calibri" w:cs="Times New Roman"/>
          <w:lang w:eastAsia="en-US"/>
        </w:rPr>
        <w:t>Simoncini</w:t>
      </w:r>
      <w:proofErr w:type="spellEnd"/>
      <w:r>
        <w:rPr>
          <w:rFonts w:eastAsia="Calibri" w:cs="Times New Roman"/>
          <w:lang w:eastAsia="en-US"/>
        </w:rPr>
        <w:t xml:space="preserve">, K., (2017). Teacher perceptions and self-reported practices of education for Sustainability in the early years of primary school: An Australian case study. International Journal of Early Childhood, 49(3), pp.391-410. [Accessed on 21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22A4D719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LEWIS, J., (2016). THE BENEFITS OF OUTDOOR LEARNING FOR CHILDREN IN URBAN AREAS. [Accessed on 1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28DCA5E9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lastRenderedPageBreak/>
        <w:t xml:space="preserve">Liedtke, C., Baedeker, C., </w:t>
      </w:r>
      <w:proofErr w:type="spellStart"/>
      <w:r>
        <w:rPr>
          <w:rFonts w:eastAsia="Calibri" w:cs="Times New Roman"/>
          <w:lang w:eastAsia="en-US"/>
        </w:rPr>
        <w:t>Hasselkuß</w:t>
      </w:r>
      <w:proofErr w:type="spellEnd"/>
      <w:r>
        <w:rPr>
          <w:rFonts w:eastAsia="Calibri" w:cs="Times New Roman"/>
          <w:lang w:eastAsia="en-US"/>
        </w:rPr>
        <w:t xml:space="preserve">, M., </w:t>
      </w:r>
      <w:proofErr w:type="spellStart"/>
      <w:r>
        <w:rPr>
          <w:rFonts w:eastAsia="Calibri" w:cs="Times New Roman"/>
          <w:lang w:eastAsia="en-US"/>
        </w:rPr>
        <w:t>Rohn</w:t>
      </w:r>
      <w:proofErr w:type="spellEnd"/>
      <w:r>
        <w:rPr>
          <w:rFonts w:eastAsia="Calibri" w:cs="Times New Roman"/>
          <w:lang w:eastAsia="en-US"/>
        </w:rPr>
        <w:t xml:space="preserve">, H. and </w:t>
      </w:r>
      <w:proofErr w:type="spellStart"/>
      <w:r>
        <w:rPr>
          <w:rFonts w:eastAsia="Calibri" w:cs="Times New Roman"/>
          <w:lang w:eastAsia="en-US"/>
        </w:rPr>
        <w:t>Grinewitschus</w:t>
      </w:r>
      <w:proofErr w:type="spellEnd"/>
      <w:r>
        <w:rPr>
          <w:rFonts w:eastAsia="Calibri" w:cs="Times New Roman"/>
          <w:lang w:eastAsia="en-US"/>
        </w:rPr>
        <w:t xml:space="preserve">, V., (2015). User-integrated innovation in Sustainable </w:t>
      </w:r>
      <w:proofErr w:type="spellStart"/>
      <w:r>
        <w:rPr>
          <w:rFonts w:eastAsia="Calibri" w:cs="Times New Roman"/>
          <w:lang w:eastAsia="en-US"/>
        </w:rPr>
        <w:t>LivingLabs</w:t>
      </w:r>
      <w:proofErr w:type="spellEnd"/>
      <w:r>
        <w:rPr>
          <w:rFonts w:eastAsia="Calibri" w:cs="Times New Roman"/>
          <w:lang w:eastAsia="en-US"/>
        </w:rPr>
        <w:t xml:space="preserve">: An experimental infrastructure for researching and developing sustainable product service systems. Journal of Cleaner Production, 97, pp.106-116. [Accessed on 1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33D5AE97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Luff, P., (2018). Early childhood education for Sustainability: Origins and inspirations in the work of John Dewey. Education 3-13, 46(4), pp.447-455. [Accessed on 11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2797B39E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NDIAYE, A., KHUSHIK, F., DIEMER, A. and PELLAUD, F., (2019). Environmental Education to Education for Sustainable Development: Challenges and Issues. International Journal of Humanities and Social Science, 9(1), pp.1-14. [Accessed on 10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01D2894C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NDIAYE, A., KHUSHIK, F., DIEMER, A. and PELLAUD, F., (2019). Environmental Education to Education for Sustainable Development: Challenges and Issues. International Journal of Humanities and Social Science, 9(1), pp.1-14. [Accessed on 18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04E9D45F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Powell, S. and Somerville, M., (2018). Drumming in excess and chaos: Music, literacy and Sustainability in early years learning. Journal of Early Childhood Literacy, p.1468798418792603. [Accessed on 1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1984F6FD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Saenz, M.J., </w:t>
      </w:r>
      <w:proofErr w:type="spellStart"/>
      <w:r>
        <w:rPr>
          <w:rFonts w:eastAsia="Calibri" w:cs="Times New Roman"/>
          <w:lang w:eastAsia="en-US"/>
        </w:rPr>
        <w:t>Koufteros</w:t>
      </w:r>
      <w:proofErr w:type="spellEnd"/>
      <w:r>
        <w:rPr>
          <w:rFonts w:eastAsia="Calibri" w:cs="Times New Roman"/>
          <w:lang w:eastAsia="en-US"/>
        </w:rPr>
        <w:t xml:space="preserve">, X., </w:t>
      </w:r>
      <w:proofErr w:type="spellStart"/>
      <w:r>
        <w:rPr>
          <w:rFonts w:eastAsia="Calibri" w:cs="Times New Roman"/>
          <w:lang w:eastAsia="en-US"/>
        </w:rPr>
        <w:t>Touboulic</w:t>
      </w:r>
      <w:proofErr w:type="spellEnd"/>
      <w:r>
        <w:rPr>
          <w:rFonts w:eastAsia="Calibri" w:cs="Times New Roman"/>
          <w:lang w:eastAsia="en-US"/>
        </w:rPr>
        <w:t xml:space="preserve">, A. and Walker, H., (2015). Theories in sustainable supply chain management: a structured literature review. International Journal of Physical Distribution &amp; Logistics Management. [Accessed on 16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1D041468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 w:rsidRPr="002B7E5B">
        <w:rPr>
          <w:rFonts w:eastAsia="Calibri" w:cs="Times New Roman"/>
          <w:lang w:val="it-IT" w:eastAsia="en-US"/>
        </w:rPr>
        <w:t xml:space="preserve">Scarpignato, C., Gatta, L., Zullo, A. and Blandizzi, C., (2016). </w:t>
      </w:r>
      <w:r>
        <w:rPr>
          <w:rFonts w:eastAsia="Calibri" w:cs="Times New Roman"/>
          <w:lang w:eastAsia="en-US"/>
        </w:rPr>
        <w:t xml:space="preserve">Effective and safe proton pump inhibitor therapy in acid-related diseases–A position paper addressing benefits and potential harms of acid suppression. BMC medicine, 14(1), p.179. [Accessed on 1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408F8F78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>Somerville, M. and Williams, C., (2015). Sustainability education in early childhood: An updated review of research in the field. Contemporary Issues in Early Childhood, 16(2), pp.102-117.</w:t>
      </w:r>
      <w:r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>
        <w:rPr>
          <w:rFonts w:eastAsia="Calibri" w:cs="Times New Roman"/>
          <w:lang w:eastAsia="en-US"/>
        </w:rPr>
        <w:t xml:space="preserve">[Accessed on 13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5E7FBAD5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Waite, S., Rutter, O. and </w:t>
      </w:r>
      <w:proofErr w:type="spellStart"/>
      <w:r>
        <w:rPr>
          <w:rFonts w:eastAsia="Calibri" w:cs="Times New Roman"/>
          <w:lang w:eastAsia="en-US"/>
        </w:rPr>
        <w:t>Fowle</w:t>
      </w:r>
      <w:proofErr w:type="spellEnd"/>
      <w:r>
        <w:rPr>
          <w:rFonts w:eastAsia="Calibri" w:cs="Times New Roman"/>
          <w:lang w:eastAsia="en-US"/>
        </w:rPr>
        <w:t xml:space="preserve">, A., (2017). Methods of Assessment and Evaluation for Learning Outside the Classroom. Children Learning Outside the Classroom: From Birth to Eleven, p.23. [Accessed on 1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652F636E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Waite, S., Rutter, O. and </w:t>
      </w:r>
      <w:proofErr w:type="spellStart"/>
      <w:r>
        <w:rPr>
          <w:rFonts w:eastAsia="Calibri" w:cs="Times New Roman"/>
          <w:lang w:eastAsia="en-US"/>
        </w:rPr>
        <w:t>Fowle</w:t>
      </w:r>
      <w:proofErr w:type="spellEnd"/>
      <w:r>
        <w:rPr>
          <w:rFonts w:eastAsia="Calibri" w:cs="Times New Roman"/>
          <w:lang w:eastAsia="en-US"/>
        </w:rPr>
        <w:t xml:space="preserve">, A., (2017). Methods of Assessment and Evaluation for Learning Outside the Classroom. Children Learning Outside the Classroom: From Birth to Eleven, p.23. [Accessed on 10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66065BEF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Waite, S., Rutter, O., </w:t>
      </w:r>
      <w:proofErr w:type="spellStart"/>
      <w:r>
        <w:rPr>
          <w:rFonts w:eastAsia="Calibri" w:cs="Times New Roman"/>
          <w:lang w:eastAsia="en-US"/>
        </w:rPr>
        <w:t>Fowle</w:t>
      </w:r>
      <w:proofErr w:type="spellEnd"/>
      <w:r>
        <w:rPr>
          <w:rFonts w:eastAsia="Calibri" w:cs="Times New Roman"/>
          <w:lang w:eastAsia="en-US"/>
        </w:rPr>
        <w:t xml:space="preserve">, A. and Edwards-Jones, A., (2017). Diverse aims, challenges and opportunities for assessing outdoor learning: a critical examination of three cases from practice. Education 3-13, 45(1), pp.51-67. [Accessed on 11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1D01CC06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t xml:space="preserve">Willis, A. and Schmidt, F., (2018). Amplifying John Muir’s life: a third sector intervention in providing alternative narrative resources to secondary schools. Environmental Education Research, 24(7), pp.1050-1061. [Accessed on 19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68FCC0BE" w14:textId="77777777" w:rsidR="00242FA4" w:rsidRDefault="00242FA4" w:rsidP="00242FA4">
      <w:pPr>
        <w:spacing w:after="160" w:line="259" w:lineRule="auto"/>
        <w:rPr>
          <w:rFonts w:eastAsia="Calibri" w:cs="Times New Roman"/>
          <w:lang w:eastAsia="en-US"/>
        </w:rPr>
      </w:pPr>
      <w:r>
        <w:rPr>
          <w:rFonts w:eastAsia="Calibri" w:cs="Times New Roman"/>
          <w:lang w:eastAsia="en-US"/>
        </w:rPr>
        <w:lastRenderedPageBreak/>
        <w:t xml:space="preserve">Willis, A. and Schmidt, F., (2018). Amplifying John Muir’s life: a third sector intervention in providing alternative narrative resources to secondary schools. Environmental Education Research, 24(7), pp.1050-1061. [Accessed on 1 </w:t>
      </w:r>
      <w:proofErr w:type="gramStart"/>
      <w:r>
        <w:rPr>
          <w:rFonts w:eastAsia="Calibri" w:cs="Times New Roman"/>
          <w:lang w:eastAsia="en-US"/>
        </w:rPr>
        <w:t>October,</w:t>
      </w:r>
      <w:proofErr w:type="gramEnd"/>
      <w:r>
        <w:rPr>
          <w:rFonts w:eastAsia="Calibri" w:cs="Times New Roman"/>
          <w:lang w:eastAsia="en-US"/>
        </w:rPr>
        <w:t xml:space="preserve"> 2020]</w:t>
      </w:r>
    </w:p>
    <w:p w14:paraId="75ACE4A0" w14:textId="77777777" w:rsidR="00242FA4" w:rsidRDefault="00242FA4"/>
    <w:sectPr w:rsidR="00242F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FA4"/>
    <w:rsid w:val="00242FA4"/>
    <w:rsid w:val="00AC1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C922E"/>
  <w15:chartTrackingRefBased/>
  <w15:docId w15:val="{4A7964C6-ED12-274F-BD7E-C125242EB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FA4"/>
    <w:pPr>
      <w:spacing w:line="360" w:lineRule="auto"/>
      <w:jc w:val="both"/>
    </w:pPr>
    <w:rPr>
      <w:rFonts w:ascii="Times New Roman" w:eastAsia="DengXian" w:hAnsi="Times New Roman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FA4"/>
    <w:pPr>
      <w:keepNext/>
      <w:keepLines/>
      <w:spacing w:before="240"/>
      <w:outlineLvl w:val="0"/>
    </w:pPr>
    <w:rPr>
      <w:rFonts w:eastAsia="DengXian Light" w:cs="Times New Roman"/>
      <w:b/>
      <w:color w:val="2F5496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2FA4"/>
    <w:rPr>
      <w:rFonts w:ascii="Times New Roman" w:eastAsia="DengXian Light" w:hAnsi="Times New Roman" w:cs="Times New Roman"/>
      <w:b/>
      <w:color w:val="2F5496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ochlomond-trossachs.org/wp-content/uploads/2017/11/John-Muir-Award-and-the-Curriculum-for-Excellence-2017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896</Words>
  <Characters>5110</Characters>
  <Application>Microsoft Office Word</Application>
  <DocSecurity>0</DocSecurity>
  <Lines>42</Lines>
  <Paragraphs>11</Paragraphs>
  <ScaleCrop>false</ScaleCrop>
  <Company/>
  <LinksUpToDate>false</LinksUpToDate>
  <CharactersWithSpaces>5995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Nilufa Khanum</dc:creator>
  <cp:keywords/>
  <dc:description/>
  <cp:lastModifiedBy>Glenda Tinney</cp:lastModifiedBy>
  <cp:revision>2</cp:revision>
  <dcterms:created xsi:type="dcterms:W3CDTF">2021-01-26T10:11:00Z</dcterms:created>
  <dcterms:modified xsi:type="dcterms:W3CDTF">2021-01-26T10:11:00Z</dcterms:modified>
</cp:coreProperties>
</file>