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10DF9CA0" w14:textId="77777777" w:rsidR="006841C6" w:rsidRPr="005666A8" w:rsidRDefault="006841C6" w:rsidP="006841C6">
            <w:pPr>
              <w:ind w:right="-957"/>
              <w:rPr>
                <w:rFonts w:ascii="Times New Roman" w:hAnsi="Times New Roman" w:cs="Times New Roman"/>
                <w:b/>
                <w:sz w:val="40"/>
                <w:szCs w:val="40"/>
              </w:rPr>
            </w:pPr>
            <w:r w:rsidRPr="005666A8">
              <w:rPr>
                <w:rFonts w:ascii="Times New Roman" w:hAnsi="Times New Roman" w:cs="Times New Roman"/>
                <w:b/>
                <w:sz w:val="40"/>
                <w:szCs w:val="40"/>
              </w:rPr>
              <w:t>Learner’s name: Rebecca Parker</w:t>
            </w:r>
          </w:p>
          <w:p w14:paraId="6D8851CE" w14:textId="77777777" w:rsidR="006841C6" w:rsidRPr="005666A8" w:rsidRDefault="006841C6" w:rsidP="006841C6">
            <w:pPr>
              <w:ind w:right="-957"/>
              <w:rPr>
                <w:rFonts w:ascii="Times New Roman" w:hAnsi="Times New Roman" w:cs="Times New Roman"/>
                <w:b/>
                <w:sz w:val="40"/>
                <w:szCs w:val="40"/>
              </w:rPr>
            </w:pPr>
          </w:p>
          <w:p w14:paraId="21B74812" w14:textId="77777777" w:rsidR="006841C6" w:rsidRPr="005666A8" w:rsidRDefault="006841C6" w:rsidP="006841C6">
            <w:pPr>
              <w:ind w:right="-957"/>
              <w:rPr>
                <w:rFonts w:ascii="Times New Roman" w:hAnsi="Times New Roman" w:cs="Times New Roman"/>
                <w:b/>
                <w:sz w:val="40"/>
                <w:szCs w:val="40"/>
              </w:rPr>
            </w:pPr>
            <w:r w:rsidRPr="005666A8">
              <w:rPr>
                <w:rFonts w:ascii="Times New Roman" w:hAnsi="Times New Roman" w:cs="Times New Roman"/>
                <w:b/>
                <w:sz w:val="40"/>
                <w:szCs w:val="40"/>
              </w:rPr>
              <w:t xml:space="preserve">Email address: rebecca.parker@powys.gov.uk </w:t>
            </w:r>
          </w:p>
          <w:p w14:paraId="0F549450" w14:textId="77777777" w:rsidR="006841C6" w:rsidRPr="005666A8" w:rsidRDefault="006841C6" w:rsidP="006841C6">
            <w:pPr>
              <w:ind w:right="-957"/>
              <w:rPr>
                <w:rFonts w:ascii="Times New Roman" w:hAnsi="Times New Roman" w:cs="Times New Roman"/>
                <w:b/>
                <w:sz w:val="40"/>
                <w:szCs w:val="40"/>
              </w:rPr>
            </w:pPr>
          </w:p>
          <w:p w14:paraId="3ACA7643" w14:textId="77777777" w:rsidR="006841C6" w:rsidRPr="005666A8" w:rsidRDefault="006841C6" w:rsidP="006841C6">
            <w:pPr>
              <w:ind w:right="-957"/>
              <w:rPr>
                <w:rFonts w:ascii="Times New Roman" w:hAnsi="Times New Roman" w:cs="Times New Roman"/>
                <w:b/>
                <w:sz w:val="40"/>
                <w:szCs w:val="40"/>
              </w:rPr>
            </w:pPr>
            <w:r w:rsidRPr="005666A8">
              <w:rPr>
                <w:rFonts w:ascii="Times New Roman" w:hAnsi="Times New Roman" w:cs="Times New Roman"/>
                <w:b/>
                <w:sz w:val="40"/>
                <w:szCs w:val="40"/>
              </w:rPr>
              <w:t>Learner’s University Registration Number: 2329887</w:t>
            </w:r>
          </w:p>
          <w:p w14:paraId="0427C0D6" w14:textId="77777777" w:rsidR="006841C6" w:rsidRPr="005666A8" w:rsidRDefault="006841C6" w:rsidP="006841C6">
            <w:pPr>
              <w:ind w:right="-957"/>
              <w:rPr>
                <w:rFonts w:ascii="Times New Roman" w:hAnsi="Times New Roman" w:cs="Times New Roman"/>
                <w:b/>
                <w:sz w:val="40"/>
                <w:szCs w:val="40"/>
              </w:rPr>
            </w:pPr>
          </w:p>
          <w:p w14:paraId="5F84129B" w14:textId="041D72B7" w:rsidR="0085230E" w:rsidRPr="005D3F07" w:rsidRDefault="006841C6" w:rsidP="006841C6">
            <w:pPr>
              <w:overflowPunct/>
              <w:autoSpaceDE/>
              <w:autoSpaceDN/>
              <w:adjustRightInd/>
              <w:ind w:right="-957"/>
              <w:textAlignment w:val="auto"/>
              <w:rPr>
                <w:rFonts w:ascii="Times New Roman" w:hAnsi="Times New Roman" w:cs="Times New Roman"/>
                <w:b/>
                <w:color w:val="auto"/>
                <w:sz w:val="48"/>
              </w:rPr>
            </w:pPr>
            <w:r w:rsidRPr="005666A8">
              <w:rPr>
                <w:rFonts w:ascii="Times New Roman" w:hAnsi="Times New Roman" w:cs="Times New Roman"/>
                <w:b/>
                <w:sz w:val="40"/>
                <w:szCs w:val="40"/>
              </w:rPr>
              <w:t>Cohort: 21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0EF984DF" w14:textId="02707E04" w:rsidR="000D0BB6" w:rsidRPr="00EE5BC3" w:rsidRDefault="00337FEF" w:rsidP="00EE5BC3">
      <w:pPr>
        <w:jc w:val="center"/>
        <w:rPr>
          <w:b/>
          <w:sz w:val="28"/>
          <w:szCs w:val="28"/>
        </w:rPr>
      </w:pPr>
      <w:r w:rsidRPr="00EE5BC3">
        <w:rPr>
          <w:b/>
          <w:sz w:val="28"/>
          <w:szCs w:val="28"/>
        </w:rPr>
        <w:lastRenderedPageBreak/>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55DE5B6A" w14:textId="77777777" w:rsidR="00C9650E" w:rsidRPr="0058675A" w:rsidRDefault="00C9650E" w:rsidP="00C9650E">
            <w:pPr>
              <w:jc w:val="both"/>
              <w:rPr>
                <w:sz w:val="24"/>
                <w:szCs w:val="24"/>
              </w:rPr>
            </w:pPr>
            <w:r w:rsidRPr="0058675A">
              <w:rPr>
                <w:sz w:val="24"/>
                <w:szCs w:val="24"/>
              </w:rPr>
              <w:t xml:space="preserve">I currently work in a statutory team delivering Childrens Social </w:t>
            </w:r>
            <w:r w:rsidRPr="006361A0">
              <w:rPr>
                <w:sz w:val="24"/>
                <w:szCs w:val="24"/>
              </w:rPr>
              <w:t xml:space="preserve">Care in Wales; therefore, I will be considering </w:t>
            </w:r>
            <w:proofErr w:type="gramStart"/>
            <w:r w:rsidRPr="006361A0">
              <w:rPr>
                <w:sz w:val="24"/>
                <w:szCs w:val="24"/>
              </w:rPr>
              <w:t>all of</w:t>
            </w:r>
            <w:proofErr w:type="gramEnd"/>
            <w:r w:rsidRPr="006361A0">
              <w:rPr>
                <w:sz w:val="24"/>
                <w:szCs w:val="24"/>
              </w:rPr>
              <w:t xml:space="preserve"> the legislation and the local and organisational policies and procedures in place respect of safeguarding relevant to Adult Social Care.  The Human Rights Act 1998 protects a person’s right to life, freedom from inhumane treatment and a private family life.  The Equality Act 2010 ensures that adults are protected from discrimination</w:t>
            </w:r>
            <w:r w:rsidRPr="0058675A">
              <w:rPr>
                <w:sz w:val="24"/>
                <w:szCs w:val="24"/>
              </w:rPr>
              <w:t xml:space="preserve">. </w:t>
            </w:r>
          </w:p>
          <w:p w14:paraId="4E65DBAE" w14:textId="77777777" w:rsidR="00C9650E" w:rsidRPr="0058675A" w:rsidRDefault="00C9650E" w:rsidP="00C9650E">
            <w:pPr>
              <w:jc w:val="both"/>
              <w:rPr>
                <w:sz w:val="24"/>
                <w:szCs w:val="24"/>
              </w:rPr>
            </w:pPr>
          </w:p>
          <w:p w14:paraId="34A98AD0" w14:textId="77777777" w:rsidR="00C9650E" w:rsidRPr="0058675A" w:rsidRDefault="00C9650E" w:rsidP="00C9650E">
            <w:pPr>
              <w:jc w:val="both"/>
              <w:rPr>
                <w:sz w:val="24"/>
                <w:szCs w:val="24"/>
              </w:rPr>
            </w:pPr>
            <w:r w:rsidRPr="0058675A">
              <w:rPr>
                <w:sz w:val="24"/>
                <w:szCs w:val="24"/>
              </w:rPr>
              <w:t xml:space="preserve">Safeguarding adults in Wales is underpinned by Part 7 of the Social Services and Wellbeing (Wales) Act 2014 </w:t>
            </w:r>
            <w:r w:rsidRPr="00EC2B9B">
              <w:rPr>
                <w:sz w:val="24"/>
                <w:szCs w:val="24"/>
              </w:rPr>
              <w:t>(Welsh Government, 2014).  Section 126 (1) of the Act gives a clear definition of an adult at risk of harm and explains</w:t>
            </w:r>
            <w:r w:rsidRPr="0058675A">
              <w:rPr>
                <w:sz w:val="24"/>
                <w:szCs w:val="24"/>
              </w:rPr>
              <w:t xml:space="preserve"> that an Adult at Risk must meet the three criterion that the adult is at risk of abuse and has a need for care and support and is unable to protect themselves from abuse </w:t>
            </w:r>
            <w:proofErr w:type="gramStart"/>
            <w:r w:rsidRPr="0058675A">
              <w:rPr>
                <w:sz w:val="24"/>
                <w:szCs w:val="24"/>
              </w:rPr>
              <w:t>as a result of</w:t>
            </w:r>
            <w:proofErr w:type="gramEnd"/>
            <w:r w:rsidRPr="0058675A">
              <w:rPr>
                <w:sz w:val="24"/>
                <w:szCs w:val="24"/>
              </w:rPr>
              <w:t xml:space="preserve"> those care and support needs.  Section 126 (2) places a duty on a Local Authority to make enquiries that are necessary </w:t>
            </w:r>
            <w:proofErr w:type="gramStart"/>
            <w:r w:rsidRPr="0058675A">
              <w:rPr>
                <w:sz w:val="24"/>
                <w:szCs w:val="24"/>
              </w:rPr>
              <w:t>in order to</w:t>
            </w:r>
            <w:proofErr w:type="gramEnd"/>
            <w:r w:rsidRPr="0058675A">
              <w:rPr>
                <w:sz w:val="24"/>
                <w:szCs w:val="24"/>
              </w:rPr>
              <w:t xml:space="preserve"> determine what action must be taken to ensure an adult at risk of harm is safeguarded from abuse.  Abuse can take various forms, but include physical, emotional, sexual, and financial abuse, neglect, domestic violence, modern slavery and institutional abuse. </w:t>
            </w:r>
          </w:p>
          <w:p w14:paraId="673F16EA" w14:textId="77777777" w:rsidR="00C9650E" w:rsidRPr="0058675A" w:rsidRDefault="00C9650E" w:rsidP="00C9650E">
            <w:pPr>
              <w:jc w:val="both"/>
              <w:rPr>
                <w:sz w:val="24"/>
                <w:szCs w:val="24"/>
              </w:rPr>
            </w:pPr>
          </w:p>
          <w:p w14:paraId="7A5F088A" w14:textId="77777777" w:rsidR="00C9650E" w:rsidRPr="0058675A" w:rsidRDefault="00C9650E" w:rsidP="00C9650E">
            <w:pPr>
              <w:jc w:val="both"/>
              <w:rPr>
                <w:sz w:val="24"/>
                <w:szCs w:val="24"/>
              </w:rPr>
            </w:pPr>
            <w:r w:rsidRPr="0058675A">
              <w:rPr>
                <w:sz w:val="24"/>
                <w:szCs w:val="24"/>
              </w:rPr>
              <w:t>The Corporate Safeguarding Policy (</w:t>
            </w:r>
            <w:r w:rsidRPr="004537E0">
              <w:rPr>
                <w:sz w:val="24"/>
                <w:szCs w:val="24"/>
              </w:rPr>
              <w:t>Local Authority, 2022</w:t>
            </w:r>
            <w:r w:rsidRPr="0058675A">
              <w:rPr>
                <w:sz w:val="24"/>
                <w:szCs w:val="24"/>
              </w:rPr>
              <w:t xml:space="preserve">) sets out the Local Authority’s duties, in line with Section 126 (1) and 126 (2) of Part 7 of the Social Services and Well-being (Wales) Act 2014, to ensure the safety of the adult.  Within any investigation the Local Authority must assess the level of risk and what safeguards need to be put in place </w:t>
            </w:r>
            <w:proofErr w:type="gramStart"/>
            <w:r w:rsidRPr="0058675A">
              <w:rPr>
                <w:sz w:val="24"/>
                <w:szCs w:val="24"/>
              </w:rPr>
              <w:t>in order to</w:t>
            </w:r>
            <w:proofErr w:type="gramEnd"/>
            <w:r w:rsidRPr="0058675A">
              <w:rPr>
                <w:sz w:val="24"/>
                <w:szCs w:val="24"/>
              </w:rPr>
              <w:t xml:space="preserve"> mitigate the risks to the adult.  </w:t>
            </w:r>
          </w:p>
          <w:p w14:paraId="2AD787CD" w14:textId="77777777" w:rsidR="00C9650E" w:rsidRPr="0058675A" w:rsidRDefault="00C9650E" w:rsidP="00C9650E">
            <w:pPr>
              <w:jc w:val="both"/>
              <w:rPr>
                <w:sz w:val="24"/>
                <w:szCs w:val="24"/>
              </w:rPr>
            </w:pPr>
          </w:p>
          <w:p w14:paraId="29818C14" w14:textId="77777777" w:rsidR="00C9650E" w:rsidRPr="0058675A" w:rsidRDefault="00C9650E" w:rsidP="00C9650E">
            <w:pPr>
              <w:jc w:val="both"/>
              <w:rPr>
                <w:sz w:val="24"/>
                <w:szCs w:val="24"/>
              </w:rPr>
            </w:pPr>
            <w:r w:rsidRPr="00CB649E">
              <w:rPr>
                <w:sz w:val="24"/>
                <w:szCs w:val="24"/>
              </w:rPr>
              <w:t>The Wales Safeguarding Procedures (2019) and Working Together to Safeguard People (2019) exist to</w:t>
            </w:r>
            <w:r w:rsidRPr="0058675A">
              <w:rPr>
                <w:sz w:val="24"/>
                <w:szCs w:val="24"/>
              </w:rPr>
              <w:t xml:space="preserve"> assist practitioners in carrying out the safeguarding functions.  The aim of the procedures is to ensure that there is a consistent approach across all agencies within Wales, not just at a Local Authoruity level.  In addition, it seeks to remind practitioners of their duties under the Social Services Well-being (Wales) Act 2014 (Welsh Government, 2014).</w:t>
            </w:r>
          </w:p>
          <w:p w14:paraId="69E7B57A" w14:textId="77777777" w:rsidR="00C9650E" w:rsidRPr="0058675A" w:rsidRDefault="00C9650E" w:rsidP="00C9650E">
            <w:pPr>
              <w:jc w:val="both"/>
              <w:rPr>
                <w:sz w:val="24"/>
                <w:szCs w:val="24"/>
              </w:rPr>
            </w:pPr>
          </w:p>
          <w:p w14:paraId="7929FDD5" w14:textId="77777777" w:rsidR="00C9650E" w:rsidRPr="0058675A" w:rsidRDefault="00C9650E" w:rsidP="00C9650E">
            <w:pPr>
              <w:jc w:val="both"/>
              <w:rPr>
                <w:sz w:val="24"/>
                <w:szCs w:val="24"/>
              </w:rPr>
            </w:pPr>
            <w:r w:rsidRPr="0058675A">
              <w:rPr>
                <w:sz w:val="24"/>
                <w:szCs w:val="24"/>
              </w:rPr>
              <w:t xml:space="preserve">In Wales, each Local Authority is aligned to a Regional Safeguarding Board, the boards responsibility is to undertake Adult Practice Reviews and disseminate information to Local Authorities and other agencies around their findings.  Adult Practice Reviews are conducted </w:t>
            </w:r>
            <w:r w:rsidRPr="0058675A">
              <w:rPr>
                <w:sz w:val="24"/>
                <w:szCs w:val="24"/>
              </w:rPr>
              <w:lastRenderedPageBreak/>
              <w:t>when there has been a serious incident where an adult has been harmed or has died.  The Adult Practice Review will review all information in respect of the case including multi-agency working.</w:t>
            </w:r>
          </w:p>
          <w:p w14:paraId="5AFBBF86" w14:textId="77777777" w:rsidR="00C9650E" w:rsidRPr="0058675A" w:rsidRDefault="00C9650E" w:rsidP="00C9650E">
            <w:pPr>
              <w:jc w:val="both"/>
              <w:rPr>
                <w:sz w:val="24"/>
                <w:szCs w:val="24"/>
              </w:rPr>
            </w:pPr>
          </w:p>
          <w:p w14:paraId="06EF6E4C" w14:textId="77777777" w:rsidR="00C9650E" w:rsidRPr="0058675A" w:rsidRDefault="00C9650E" w:rsidP="00C9650E">
            <w:pPr>
              <w:jc w:val="both"/>
              <w:rPr>
                <w:sz w:val="24"/>
                <w:szCs w:val="24"/>
              </w:rPr>
            </w:pPr>
            <w:r w:rsidRPr="0058675A">
              <w:rPr>
                <w:sz w:val="24"/>
                <w:szCs w:val="24"/>
              </w:rPr>
              <w:t xml:space="preserve">The Mental Capacity Act, 2005 is a legal framework that supports practitioners in decision making on behalf of individuals who lack the capacity to make decisions for themselves. The Act considers five principles, including the presumption of capacity and the requirement to act in the person’s best interests. In safeguarding, the Mental Capacity Act ensures that adults who may be at risk are protected while their rights are respected. The Act allows for the Deprivation of Liberty Safeguards to ensure that a person who lacks the capacity to make an informed choice can be kept safe within their care and accommodation.  </w:t>
            </w:r>
          </w:p>
          <w:p w14:paraId="2A66FB54" w14:textId="77777777" w:rsidR="00C9650E" w:rsidRPr="0058675A" w:rsidRDefault="00C9650E" w:rsidP="00C9650E">
            <w:pPr>
              <w:jc w:val="both"/>
              <w:rPr>
                <w:sz w:val="24"/>
                <w:szCs w:val="24"/>
              </w:rPr>
            </w:pPr>
          </w:p>
          <w:p w14:paraId="4BC49550" w14:textId="77777777" w:rsidR="00C9650E" w:rsidRPr="0058675A" w:rsidRDefault="00C9650E" w:rsidP="00C9650E">
            <w:pPr>
              <w:jc w:val="both"/>
              <w:rPr>
                <w:sz w:val="24"/>
                <w:szCs w:val="24"/>
              </w:rPr>
            </w:pPr>
          </w:p>
          <w:p w14:paraId="60D8C669" w14:textId="4FA1090F" w:rsidR="00FC0334" w:rsidRPr="0058675A" w:rsidRDefault="00C9650E" w:rsidP="00C9650E">
            <w:pPr>
              <w:jc w:val="both"/>
              <w:rPr>
                <w:sz w:val="24"/>
                <w:szCs w:val="24"/>
              </w:rPr>
            </w:pPr>
            <w:r w:rsidRPr="0058675A">
              <w:rPr>
                <w:sz w:val="24"/>
                <w:szCs w:val="24"/>
              </w:rPr>
              <w:t>Word Count: 523</w:t>
            </w: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0460A2D7" w14:textId="77777777" w:rsidR="0058675A" w:rsidRPr="00896DC5" w:rsidRDefault="0058675A" w:rsidP="0058675A">
            <w:pPr>
              <w:jc w:val="both"/>
              <w:rPr>
                <w:sz w:val="24"/>
                <w:szCs w:val="24"/>
              </w:rPr>
            </w:pPr>
            <w:r w:rsidRPr="00896DC5">
              <w:rPr>
                <w:sz w:val="24"/>
                <w:szCs w:val="24"/>
              </w:rPr>
              <w:t xml:space="preserve">There are similarities and differences in the application of safeguarding towards adults and children. Both Children and Adult Safeguarding is underpinned by Part 7 of the Social Services and Well-being (Wales) Act 2014 and the rights covered by the Human Rights Act 1998 apply to both adults and children alike. However, the application of the Acts is different.  Children are not legally deemed able to protect themselves and professionals have a duty to act in their best interests. Children’s safeguarding is still governed by Section 47 of the Children Act 1989 alongside Part 7 of the Social Services and Well-being (Wales) Act 2014.  Within Adults Social Care, ‘Principle One’ of the Mental Capacity Act 2005, determines that capacity is assumed unless assessed otherwise and ‘Principle Three’ that adults have the right to make unwise decisions.  If an individual is perceived to be at risk of abuse and are not assessed as lacking capacity, they must consent to any assessments or safeguards being implemented to protect them. However, this is not absolute, practitioners can override this if the unwise decision is a crime, or if it has the potential to cause harm to others, i.e. a public protection issue. </w:t>
            </w:r>
          </w:p>
          <w:p w14:paraId="0A53D7A4" w14:textId="77777777" w:rsidR="0058675A" w:rsidRPr="00896DC5" w:rsidRDefault="0058675A" w:rsidP="0058675A">
            <w:pPr>
              <w:jc w:val="both"/>
              <w:rPr>
                <w:sz w:val="24"/>
                <w:szCs w:val="24"/>
              </w:rPr>
            </w:pPr>
          </w:p>
          <w:p w14:paraId="4D8477A2" w14:textId="77777777" w:rsidR="0058675A" w:rsidRPr="00896DC5" w:rsidRDefault="0058675A" w:rsidP="0058675A">
            <w:pPr>
              <w:jc w:val="both"/>
              <w:rPr>
                <w:sz w:val="24"/>
                <w:szCs w:val="24"/>
              </w:rPr>
            </w:pPr>
            <w:r w:rsidRPr="00896DC5">
              <w:rPr>
                <w:sz w:val="24"/>
                <w:szCs w:val="24"/>
              </w:rPr>
              <w:t xml:space="preserve">Whilst the Children Act 1989 suggests that children under the age of 18 do not have capacity to determine the risk of harm, young people are given some autonomy over decisions about their own care and support needs, particularly around their health, utilising Gillick (1985) competence and Fraser (2006) Guidelines.  These guidelines allow professionals to consider a young person’s views independently of their parent.  Guidance from the NSPCC (2022) highlights the risk that concerns, that may have initially been mitigated by the application of these guidelines, could be masking when a child is being placed at risk of significant harm, for example, if there are repeat referrals for the same concern.   At age sixteen, the Mental Capacity Act 2005 comes into force for young people, and their capacity can be assessed under these Principles.   </w:t>
            </w:r>
          </w:p>
          <w:p w14:paraId="6DEE5F82" w14:textId="77777777" w:rsidR="0058675A" w:rsidRPr="00896DC5" w:rsidRDefault="0058675A" w:rsidP="0058675A">
            <w:pPr>
              <w:jc w:val="both"/>
              <w:rPr>
                <w:sz w:val="24"/>
                <w:szCs w:val="24"/>
              </w:rPr>
            </w:pPr>
          </w:p>
          <w:p w14:paraId="6CD30060" w14:textId="77777777" w:rsidR="0058675A" w:rsidRPr="00896DC5" w:rsidRDefault="0058675A" w:rsidP="0058675A">
            <w:pPr>
              <w:jc w:val="both"/>
              <w:rPr>
                <w:sz w:val="24"/>
                <w:szCs w:val="24"/>
              </w:rPr>
            </w:pPr>
            <w:r w:rsidRPr="00896DC5">
              <w:rPr>
                <w:sz w:val="24"/>
                <w:szCs w:val="24"/>
              </w:rPr>
              <w:t xml:space="preserve">In Children’s Services, where there are concerns that a child is at risk of significant harm, referrals and assessments can be conducted without the consent of the parents or the child.  However, to build and maintain relationships with those we are working with, consent should be sought where possible and both parental views and the wishes and feelings of the child should be included in any assessment.  </w:t>
            </w:r>
          </w:p>
          <w:p w14:paraId="75C25058" w14:textId="77777777" w:rsidR="0058675A" w:rsidRPr="00896DC5" w:rsidRDefault="0058675A" w:rsidP="0058675A">
            <w:pPr>
              <w:jc w:val="both"/>
              <w:rPr>
                <w:sz w:val="24"/>
                <w:szCs w:val="24"/>
              </w:rPr>
            </w:pPr>
          </w:p>
          <w:p w14:paraId="3A912858" w14:textId="77777777" w:rsidR="0058675A" w:rsidRPr="00896DC5" w:rsidRDefault="0058675A" w:rsidP="0058675A">
            <w:pPr>
              <w:jc w:val="both"/>
              <w:rPr>
                <w:sz w:val="24"/>
                <w:szCs w:val="24"/>
              </w:rPr>
            </w:pPr>
            <w:r w:rsidRPr="00896DC5">
              <w:rPr>
                <w:sz w:val="24"/>
                <w:szCs w:val="24"/>
              </w:rPr>
              <w:t xml:space="preserve">Ultimately safeguarding children and adults has the same objective, to ensure that vulnerable adults and children alike are safeguarded from abuse.  It is the various legislations and a person’s capacity to consent that can separate the two areas of safeguarding.  </w:t>
            </w:r>
          </w:p>
          <w:p w14:paraId="6DC592DB" w14:textId="77777777" w:rsidR="0058675A" w:rsidRPr="00896DC5" w:rsidRDefault="0058675A" w:rsidP="0058675A">
            <w:pPr>
              <w:jc w:val="both"/>
              <w:rPr>
                <w:sz w:val="24"/>
                <w:szCs w:val="24"/>
              </w:rPr>
            </w:pPr>
          </w:p>
          <w:p w14:paraId="4F9FC20F" w14:textId="77777777" w:rsidR="0058675A" w:rsidRPr="00896DC5" w:rsidRDefault="0058675A" w:rsidP="0058675A">
            <w:pPr>
              <w:jc w:val="both"/>
              <w:rPr>
                <w:sz w:val="24"/>
                <w:szCs w:val="24"/>
              </w:rPr>
            </w:pPr>
          </w:p>
          <w:p w14:paraId="7B7B4827" w14:textId="1C4CF822" w:rsidR="00FC0334" w:rsidRPr="00896DC5" w:rsidRDefault="0058675A" w:rsidP="00FC0334">
            <w:pPr>
              <w:jc w:val="both"/>
              <w:rPr>
                <w:sz w:val="24"/>
                <w:szCs w:val="24"/>
              </w:rPr>
            </w:pPr>
            <w:r w:rsidRPr="00896DC5">
              <w:rPr>
                <w:sz w:val="24"/>
                <w:szCs w:val="24"/>
              </w:rPr>
              <w:t>Word count: 439</w:t>
            </w:r>
          </w:p>
          <w:p w14:paraId="27F2F1B3" w14:textId="77777777" w:rsidR="0058675A" w:rsidRDefault="0058675A"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83799E" w14:textId="77777777" w:rsidR="00DE40C6" w:rsidRDefault="00DE40C6">
      <w:r>
        <w:separator/>
      </w:r>
    </w:p>
  </w:endnote>
  <w:endnote w:type="continuationSeparator" w:id="0">
    <w:p w14:paraId="0689A69F" w14:textId="77777777" w:rsidR="00DE40C6" w:rsidRDefault="00DE40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A78773" w14:textId="77777777" w:rsidR="00DE40C6" w:rsidRDefault="00DE40C6">
      <w:r>
        <w:separator/>
      </w:r>
    </w:p>
  </w:footnote>
  <w:footnote w:type="continuationSeparator" w:id="0">
    <w:p w14:paraId="3F1C424E" w14:textId="77777777" w:rsidR="00DE40C6" w:rsidRDefault="00DE40C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79C7"/>
    <w:rsid w:val="00011F6E"/>
    <w:rsid w:val="00012B16"/>
    <w:rsid w:val="00020EEC"/>
    <w:rsid w:val="00022227"/>
    <w:rsid w:val="0002440E"/>
    <w:rsid w:val="0002670E"/>
    <w:rsid w:val="0002759A"/>
    <w:rsid w:val="00027B1F"/>
    <w:rsid w:val="0003088B"/>
    <w:rsid w:val="000317A9"/>
    <w:rsid w:val="000325D9"/>
    <w:rsid w:val="0003419C"/>
    <w:rsid w:val="000372B2"/>
    <w:rsid w:val="0004079F"/>
    <w:rsid w:val="00043543"/>
    <w:rsid w:val="00045B87"/>
    <w:rsid w:val="00045C07"/>
    <w:rsid w:val="00045C40"/>
    <w:rsid w:val="00046861"/>
    <w:rsid w:val="00047B75"/>
    <w:rsid w:val="00054A07"/>
    <w:rsid w:val="00055D43"/>
    <w:rsid w:val="00056B9E"/>
    <w:rsid w:val="00056FAC"/>
    <w:rsid w:val="00057751"/>
    <w:rsid w:val="00062E39"/>
    <w:rsid w:val="00064063"/>
    <w:rsid w:val="0006581A"/>
    <w:rsid w:val="00074461"/>
    <w:rsid w:val="00075D93"/>
    <w:rsid w:val="000766EC"/>
    <w:rsid w:val="00080E58"/>
    <w:rsid w:val="00080EA7"/>
    <w:rsid w:val="00083D99"/>
    <w:rsid w:val="00084DA6"/>
    <w:rsid w:val="00085699"/>
    <w:rsid w:val="000874CB"/>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507C"/>
    <w:rsid w:val="000F6196"/>
    <w:rsid w:val="000F6BC3"/>
    <w:rsid w:val="0010312C"/>
    <w:rsid w:val="00105026"/>
    <w:rsid w:val="0010662B"/>
    <w:rsid w:val="00106DC7"/>
    <w:rsid w:val="00112391"/>
    <w:rsid w:val="00114F52"/>
    <w:rsid w:val="00126AAE"/>
    <w:rsid w:val="00130119"/>
    <w:rsid w:val="00132812"/>
    <w:rsid w:val="001347F8"/>
    <w:rsid w:val="00134A5B"/>
    <w:rsid w:val="001359EE"/>
    <w:rsid w:val="00137BB5"/>
    <w:rsid w:val="00137CD1"/>
    <w:rsid w:val="00137E05"/>
    <w:rsid w:val="001447F6"/>
    <w:rsid w:val="00147DE3"/>
    <w:rsid w:val="00150794"/>
    <w:rsid w:val="00151DA6"/>
    <w:rsid w:val="001608C4"/>
    <w:rsid w:val="00164832"/>
    <w:rsid w:val="00171418"/>
    <w:rsid w:val="00172C46"/>
    <w:rsid w:val="001772BF"/>
    <w:rsid w:val="001772DE"/>
    <w:rsid w:val="0019496C"/>
    <w:rsid w:val="001961CF"/>
    <w:rsid w:val="001A59BB"/>
    <w:rsid w:val="001A607E"/>
    <w:rsid w:val="001A6A51"/>
    <w:rsid w:val="001A79C4"/>
    <w:rsid w:val="001A7D1A"/>
    <w:rsid w:val="001B331A"/>
    <w:rsid w:val="001C0237"/>
    <w:rsid w:val="001C0E74"/>
    <w:rsid w:val="001C4DB8"/>
    <w:rsid w:val="001C50B8"/>
    <w:rsid w:val="001C7891"/>
    <w:rsid w:val="001D229F"/>
    <w:rsid w:val="001D65B5"/>
    <w:rsid w:val="001E2EB6"/>
    <w:rsid w:val="001F4552"/>
    <w:rsid w:val="0020158D"/>
    <w:rsid w:val="002019EB"/>
    <w:rsid w:val="00204B58"/>
    <w:rsid w:val="00205051"/>
    <w:rsid w:val="00211F65"/>
    <w:rsid w:val="00214047"/>
    <w:rsid w:val="00216563"/>
    <w:rsid w:val="0021792F"/>
    <w:rsid w:val="00220D06"/>
    <w:rsid w:val="002246A0"/>
    <w:rsid w:val="00230439"/>
    <w:rsid w:val="00232A09"/>
    <w:rsid w:val="00235176"/>
    <w:rsid w:val="002357D0"/>
    <w:rsid w:val="00236061"/>
    <w:rsid w:val="0024100E"/>
    <w:rsid w:val="00241717"/>
    <w:rsid w:val="00241C1B"/>
    <w:rsid w:val="0024288B"/>
    <w:rsid w:val="00243DB0"/>
    <w:rsid w:val="00247265"/>
    <w:rsid w:val="00260663"/>
    <w:rsid w:val="002657E9"/>
    <w:rsid w:val="0026665E"/>
    <w:rsid w:val="0027147E"/>
    <w:rsid w:val="002761F4"/>
    <w:rsid w:val="002775E1"/>
    <w:rsid w:val="00277979"/>
    <w:rsid w:val="00280785"/>
    <w:rsid w:val="00291ADD"/>
    <w:rsid w:val="002920DF"/>
    <w:rsid w:val="00292F3D"/>
    <w:rsid w:val="00295CA1"/>
    <w:rsid w:val="002A0E51"/>
    <w:rsid w:val="002A19DF"/>
    <w:rsid w:val="002A1A44"/>
    <w:rsid w:val="002A291A"/>
    <w:rsid w:val="002A2C54"/>
    <w:rsid w:val="002A4E2E"/>
    <w:rsid w:val="002A5604"/>
    <w:rsid w:val="002A6EC8"/>
    <w:rsid w:val="002B0763"/>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22DA"/>
    <w:rsid w:val="002E5C98"/>
    <w:rsid w:val="002E6D17"/>
    <w:rsid w:val="002E7017"/>
    <w:rsid w:val="002E7F2C"/>
    <w:rsid w:val="002F1FC7"/>
    <w:rsid w:val="002F2185"/>
    <w:rsid w:val="002F4F6E"/>
    <w:rsid w:val="003015C3"/>
    <w:rsid w:val="003106DB"/>
    <w:rsid w:val="003127EE"/>
    <w:rsid w:val="0031350A"/>
    <w:rsid w:val="00313E1A"/>
    <w:rsid w:val="00316815"/>
    <w:rsid w:val="003168CA"/>
    <w:rsid w:val="00320D94"/>
    <w:rsid w:val="00321255"/>
    <w:rsid w:val="0032230D"/>
    <w:rsid w:val="00322A0B"/>
    <w:rsid w:val="00330881"/>
    <w:rsid w:val="003315C4"/>
    <w:rsid w:val="00331CD2"/>
    <w:rsid w:val="00332426"/>
    <w:rsid w:val="00335C41"/>
    <w:rsid w:val="00335FC5"/>
    <w:rsid w:val="0033771E"/>
    <w:rsid w:val="00337FEF"/>
    <w:rsid w:val="00344B3C"/>
    <w:rsid w:val="00354B6D"/>
    <w:rsid w:val="00355210"/>
    <w:rsid w:val="00355CFD"/>
    <w:rsid w:val="00365DF9"/>
    <w:rsid w:val="0037066E"/>
    <w:rsid w:val="00372DB4"/>
    <w:rsid w:val="00373A36"/>
    <w:rsid w:val="0037419E"/>
    <w:rsid w:val="00375AF5"/>
    <w:rsid w:val="003761BD"/>
    <w:rsid w:val="00377448"/>
    <w:rsid w:val="00377884"/>
    <w:rsid w:val="00381213"/>
    <w:rsid w:val="003826BD"/>
    <w:rsid w:val="00385414"/>
    <w:rsid w:val="00390074"/>
    <w:rsid w:val="00392F73"/>
    <w:rsid w:val="00393600"/>
    <w:rsid w:val="0039762B"/>
    <w:rsid w:val="003A0C37"/>
    <w:rsid w:val="003A1B6B"/>
    <w:rsid w:val="003A46C0"/>
    <w:rsid w:val="003A600E"/>
    <w:rsid w:val="003A6513"/>
    <w:rsid w:val="003B15D4"/>
    <w:rsid w:val="003B16C7"/>
    <w:rsid w:val="003B3115"/>
    <w:rsid w:val="003B7139"/>
    <w:rsid w:val="003C0210"/>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31ED"/>
    <w:rsid w:val="00425160"/>
    <w:rsid w:val="00430DE3"/>
    <w:rsid w:val="00432637"/>
    <w:rsid w:val="004348AE"/>
    <w:rsid w:val="004376C0"/>
    <w:rsid w:val="0044223A"/>
    <w:rsid w:val="00450B67"/>
    <w:rsid w:val="00451851"/>
    <w:rsid w:val="0045189A"/>
    <w:rsid w:val="00453343"/>
    <w:rsid w:val="004537E0"/>
    <w:rsid w:val="004538C3"/>
    <w:rsid w:val="004608B9"/>
    <w:rsid w:val="00463B55"/>
    <w:rsid w:val="00465947"/>
    <w:rsid w:val="00465F25"/>
    <w:rsid w:val="004667B1"/>
    <w:rsid w:val="00467F66"/>
    <w:rsid w:val="00470461"/>
    <w:rsid w:val="00470BB1"/>
    <w:rsid w:val="00473153"/>
    <w:rsid w:val="0047350F"/>
    <w:rsid w:val="004743AF"/>
    <w:rsid w:val="00482AF1"/>
    <w:rsid w:val="00482C17"/>
    <w:rsid w:val="00484CE3"/>
    <w:rsid w:val="004911B4"/>
    <w:rsid w:val="0049196A"/>
    <w:rsid w:val="004923DA"/>
    <w:rsid w:val="00492EEB"/>
    <w:rsid w:val="00493434"/>
    <w:rsid w:val="0049374F"/>
    <w:rsid w:val="004968E2"/>
    <w:rsid w:val="004A1C27"/>
    <w:rsid w:val="004A2A49"/>
    <w:rsid w:val="004A5A64"/>
    <w:rsid w:val="004B5553"/>
    <w:rsid w:val="004B55F8"/>
    <w:rsid w:val="004B600B"/>
    <w:rsid w:val="004B6822"/>
    <w:rsid w:val="004B69F6"/>
    <w:rsid w:val="004C0D48"/>
    <w:rsid w:val="004C2D3A"/>
    <w:rsid w:val="004D03C4"/>
    <w:rsid w:val="004D0BF1"/>
    <w:rsid w:val="004D0F4E"/>
    <w:rsid w:val="004D3278"/>
    <w:rsid w:val="004D35A4"/>
    <w:rsid w:val="004D445F"/>
    <w:rsid w:val="004D5940"/>
    <w:rsid w:val="004E087B"/>
    <w:rsid w:val="004E44A4"/>
    <w:rsid w:val="004E7B8B"/>
    <w:rsid w:val="004E7BDD"/>
    <w:rsid w:val="004F0E3B"/>
    <w:rsid w:val="004F1966"/>
    <w:rsid w:val="004F1E21"/>
    <w:rsid w:val="004F2542"/>
    <w:rsid w:val="004F4E33"/>
    <w:rsid w:val="004F6C41"/>
    <w:rsid w:val="004F740D"/>
    <w:rsid w:val="004F7B8F"/>
    <w:rsid w:val="00500748"/>
    <w:rsid w:val="005011D6"/>
    <w:rsid w:val="005028F0"/>
    <w:rsid w:val="00502A14"/>
    <w:rsid w:val="005042F1"/>
    <w:rsid w:val="0050481B"/>
    <w:rsid w:val="005113D4"/>
    <w:rsid w:val="005116F9"/>
    <w:rsid w:val="0051287D"/>
    <w:rsid w:val="00513C7D"/>
    <w:rsid w:val="0051588F"/>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2CF5"/>
    <w:rsid w:val="0058675A"/>
    <w:rsid w:val="00586D89"/>
    <w:rsid w:val="005877C8"/>
    <w:rsid w:val="00587923"/>
    <w:rsid w:val="00587E1E"/>
    <w:rsid w:val="00594F9F"/>
    <w:rsid w:val="0059528B"/>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1D09"/>
    <w:rsid w:val="00606E27"/>
    <w:rsid w:val="006108C9"/>
    <w:rsid w:val="00614ABE"/>
    <w:rsid w:val="00614DF7"/>
    <w:rsid w:val="006179BB"/>
    <w:rsid w:val="0062158D"/>
    <w:rsid w:val="006223FD"/>
    <w:rsid w:val="006326D1"/>
    <w:rsid w:val="00632D1F"/>
    <w:rsid w:val="00632E0A"/>
    <w:rsid w:val="00633165"/>
    <w:rsid w:val="006361A0"/>
    <w:rsid w:val="00637386"/>
    <w:rsid w:val="006447DE"/>
    <w:rsid w:val="00644889"/>
    <w:rsid w:val="0065276E"/>
    <w:rsid w:val="00654329"/>
    <w:rsid w:val="00654CEC"/>
    <w:rsid w:val="00655507"/>
    <w:rsid w:val="006579FD"/>
    <w:rsid w:val="006635E3"/>
    <w:rsid w:val="006669F3"/>
    <w:rsid w:val="006712A7"/>
    <w:rsid w:val="00672CED"/>
    <w:rsid w:val="00674695"/>
    <w:rsid w:val="00674FC2"/>
    <w:rsid w:val="00676E35"/>
    <w:rsid w:val="00677E42"/>
    <w:rsid w:val="00682334"/>
    <w:rsid w:val="006841C6"/>
    <w:rsid w:val="00684732"/>
    <w:rsid w:val="00684B16"/>
    <w:rsid w:val="00687016"/>
    <w:rsid w:val="006872A0"/>
    <w:rsid w:val="0069625A"/>
    <w:rsid w:val="00696A88"/>
    <w:rsid w:val="00696F65"/>
    <w:rsid w:val="00697572"/>
    <w:rsid w:val="006B4496"/>
    <w:rsid w:val="006B5E67"/>
    <w:rsid w:val="006B6612"/>
    <w:rsid w:val="006C2EB5"/>
    <w:rsid w:val="006C3382"/>
    <w:rsid w:val="006C4A7D"/>
    <w:rsid w:val="006D18A3"/>
    <w:rsid w:val="006D5970"/>
    <w:rsid w:val="006E0BA2"/>
    <w:rsid w:val="006E481E"/>
    <w:rsid w:val="006E795F"/>
    <w:rsid w:val="006F0862"/>
    <w:rsid w:val="006F1438"/>
    <w:rsid w:val="006F2A9E"/>
    <w:rsid w:val="006F5ED3"/>
    <w:rsid w:val="00700249"/>
    <w:rsid w:val="0070333D"/>
    <w:rsid w:val="007069CD"/>
    <w:rsid w:val="00706BB5"/>
    <w:rsid w:val="0071218F"/>
    <w:rsid w:val="0071231A"/>
    <w:rsid w:val="00712E90"/>
    <w:rsid w:val="00713B7E"/>
    <w:rsid w:val="0072678F"/>
    <w:rsid w:val="007276E5"/>
    <w:rsid w:val="00727C4C"/>
    <w:rsid w:val="00734809"/>
    <w:rsid w:val="0073714E"/>
    <w:rsid w:val="007374EF"/>
    <w:rsid w:val="007406E1"/>
    <w:rsid w:val="00743E40"/>
    <w:rsid w:val="00745016"/>
    <w:rsid w:val="007464CC"/>
    <w:rsid w:val="0075031F"/>
    <w:rsid w:val="00751263"/>
    <w:rsid w:val="00751EF9"/>
    <w:rsid w:val="007544FC"/>
    <w:rsid w:val="00755427"/>
    <w:rsid w:val="00756548"/>
    <w:rsid w:val="0075673A"/>
    <w:rsid w:val="0075704F"/>
    <w:rsid w:val="00763B2D"/>
    <w:rsid w:val="00764C84"/>
    <w:rsid w:val="00764CAD"/>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EE6"/>
    <w:rsid w:val="007D0F11"/>
    <w:rsid w:val="007D133D"/>
    <w:rsid w:val="007D3EB4"/>
    <w:rsid w:val="007D3F16"/>
    <w:rsid w:val="007F10BD"/>
    <w:rsid w:val="007F312E"/>
    <w:rsid w:val="007F3F7E"/>
    <w:rsid w:val="007F4B71"/>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914"/>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06B"/>
    <w:rsid w:val="00892716"/>
    <w:rsid w:val="00893067"/>
    <w:rsid w:val="008933DE"/>
    <w:rsid w:val="00895FCE"/>
    <w:rsid w:val="00896DC5"/>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2C76"/>
    <w:rsid w:val="008E3195"/>
    <w:rsid w:val="008E5A35"/>
    <w:rsid w:val="008E70ED"/>
    <w:rsid w:val="008F127E"/>
    <w:rsid w:val="008F32D9"/>
    <w:rsid w:val="008F420F"/>
    <w:rsid w:val="008F515A"/>
    <w:rsid w:val="00902A65"/>
    <w:rsid w:val="00903932"/>
    <w:rsid w:val="00904798"/>
    <w:rsid w:val="009079BD"/>
    <w:rsid w:val="00910599"/>
    <w:rsid w:val="00912BD9"/>
    <w:rsid w:val="00916FB2"/>
    <w:rsid w:val="00920E5B"/>
    <w:rsid w:val="00926436"/>
    <w:rsid w:val="00926C53"/>
    <w:rsid w:val="0093018C"/>
    <w:rsid w:val="0094495F"/>
    <w:rsid w:val="00952C37"/>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02C6"/>
    <w:rsid w:val="009C337F"/>
    <w:rsid w:val="009C4142"/>
    <w:rsid w:val="009C4DE7"/>
    <w:rsid w:val="009C53E7"/>
    <w:rsid w:val="009C6092"/>
    <w:rsid w:val="009C7342"/>
    <w:rsid w:val="009D4365"/>
    <w:rsid w:val="009D477B"/>
    <w:rsid w:val="009D4E3B"/>
    <w:rsid w:val="009D59C2"/>
    <w:rsid w:val="009D7BC9"/>
    <w:rsid w:val="009E122F"/>
    <w:rsid w:val="009E1982"/>
    <w:rsid w:val="009E4D2C"/>
    <w:rsid w:val="009F0978"/>
    <w:rsid w:val="009F3AEC"/>
    <w:rsid w:val="009F3E10"/>
    <w:rsid w:val="009F6801"/>
    <w:rsid w:val="00A00081"/>
    <w:rsid w:val="00A06422"/>
    <w:rsid w:val="00A10D56"/>
    <w:rsid w:val="00A12AAE"/>
    <w:rsid w:val="00A12F22"/>
    <w:rsid w:val="00A16146"/>
    <w:rsid w:val="00A16DD1"/>
    <w:rsid w:val="00A16FF9"/>
    <w:rsid w:val="00A22441"/>
    <w:rsid w:val="00A23F3B"/>
    <w:rsid w:val="00A24406"/>
    <w:rsid w:val="00A24BD4"/>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75ED4"/>
    <w:rsid w:val="00A8015F"/>
    <w:rsid w:val="00A85039"/>
    <w:rsid w:val="00A906AA"/>
    <w:rsid w:val="00A94C5E"/>
    <w:rsid w:val="00AA252C"/>
    <w:rsid w:val="00AA666E"/>
    <w:rsid w:val="00AA7960"/>
    <w:rsid w:val="00AB5518"/>
    <w:rsid w:val="00AC279A"/>
    <w:rsid w:val="00AC3A0E"/>
    <w:rsid w:val="00AC4A04"/>
    <w:rsid w:val="00AC5679"/>
    <w:rsid w:val="00AD336F"/>
    <w:rsid w:val="00AE134C"/>
    <w:rsid w:val="00AE1868"/>
    <w:rsid w:val="00AE2564"/>
    <w:rsid w:val="00AE301F"/>
    <w:rsid w:val="00AE3302"/>
    <w:rsid w:val="00AE5BA6"/>
    <w:rsid w:val="00AE6231"/>
    <w:rsid w:val="00AE7077"/>
    <w:rsid w:val="00AF45FC"/>
    <w:rsid w:val="00AF560A"/>
    <w:rsid w:val="00AF61C2"/>
    <w:rsid w:val="00AF6CC6"/>
    <w:rsid w:val="00B0296A"/>
    <w:rsid w:val="00B07E79"/>
    <w:rsid w:val="00B12295"/>
    <w:rsid w:val="00B137BE"/>
    <w:rsid w:val="00B15998"/>
    <w:rsid w:val="00B17FA0"/>
    <w:rsid w:val="00B2292C"/>
    <w:rsid w:val="00B22C3C"/>
    <w:rsid w:val="00B23E43"/>
    <w:rsid w:val="00B24344"/>
    <w:rsid w:val="00B25129"/>
    <w:rsid w:val="00B26769"/>
    <w:rsid w:val="00B2754B"/>
    <w:rsid w:val="00B31C91"/>
    <w:rsid w:val="00B3747F"/>
    <w:rsid w:val="00B42E76"/>
    <w:rsid w:val="00B43194"/>
    <w:rsid w:val="00B436BF"/>
    <w:rsid w:val="00B47734"/>
    <w:rsid w:val="00B50FBA"/>
    <w:rsid w:val="00B558EB"/>
    <w:rsid w:val="00B577D3"/>
    <w:rsid w:val="00B60466"/>
    <w:rsid w:val="00B6548F"/>
    <w:rsid w:val="00B67652"/>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6EF1"/>
    <w:rsid w:val="00C01D14"/>
    <w:rsid w:val="00C01D97"/>
    <w:rsid w:val="00C025B4"/>
    <w:rsid w:val="00C029EC"/>
    <w:rsid w:val="00C042B0"/>
    <w:rsid w:val="00C04BC9"/>
    <w:rsid w:val="00C132B9"/>
    <w:rsid w:val="00C161FD"/>
    <w:rsid w:val="00C16F82"/>
    <w:rsid w:val="00C17C9F"/>
    <w:rsid w:val="00C23F17"/>
    <w:rsid w:val="00C246F2"/>
    <w:rsid w:val="00C26D0D"/>
    <w:rsid w:val="00C27C95"/>
    <w:rsid w:val="00C300D2"/>
    <w:rsid w:val="00C3270F"/>
    <w:rsid w:val="00C3278B"/>
    <w:rsid w:val="00C33375"/>
    <w:rsid w:val="00C34C23"/>
    <w:rsid w:val="00C355C7"/>
    <w:rsid w:val="00C368FA"/>
    <w:rsid w:val="00C42005"/>
    <w:rsid w:val="00C4664D"/>
    <w:rsid w:val="00C472AA"/>
    <w:rsid w:val="00C50A05"/>
    <w:rsid w:val="00C54AED"/>
    <w:rsid w:val="00C555FC"/>
    <w:rsid w:val="00C5589B"/>
    <w:rsid w:val="00C55E9B"/>
    <w:rsid w:val="00C56D09"/>
    <w:rsid w:val="00C57D24"/>
    <w:rsid w:val="00C6026E"/>
    <w:rsid w:val="00C604D6"/>
    <w:rsid w:val="00C63CAB"/>
    <w:rsid w:val="00C63D00"/>
    <w:rsid w:val="00C6441B"/>
    <w:rsid w:val="00C65921"/>
    <w:rsid w:val="00C7108B"/>
    <w:rsid w:val="00C730BD"/>
    <w:rsid w:val="00C74461"/>
    <w:rsid w:val="00C75883"/>
    <w:rsid w:val="00C77FA5"/>
    <w:rsid w:val="00C8089F"/>
    <w:rsid w:val="00C82C33"/>
    <w:rsid w:val="00C835FE"/>
    <w:rsid w:val="00C836CC"/>
    <w:rsid w:val="00C852D6"/>
    <w:rsid w:val="00C87A74"/>
    <w:rsid w:val="00C92C71"/>
    <w:rsid w:val="00C93F8F"/>
    <w:rsid w:val="00C9650E"/>
    <w:rsid w:val="00CA0894"/>
    <w:rsid w:val="00CA2BEB"/>
    <w:rsid w:val="00CA3593"/>
    <w:rsid w:val="00CA5726"/>
    <w:rsid w:val="00CA7E6A"/>
    <w:rsid w:val="00CB0A10"/>
    <w:rsid w:val="00CB258E"/>
    <w:rsid w:val="00CB3C8F"/>
    <w:rsid w:val="00CB649E"/>
    <w:rsid w:val="00CC02F1"/>
    <w:rsid w:val="00CC06D1"/>
    <w:rsid w:val="00CC1122"/>
    <w:rsid w:val="00CC11A6"/>
    <w:rsid w:val="00CC135E"/>
    <w:rsid w:val="00CC7226"/>
    <w:rsid w:val="00CD0735"/>
    <w:rsid w:val="00CD45E3"/>
    <w:rsid w:val="00CD4771"/>
    <w:rsid w:val="00CD4D49"/>
    <w:rsid w:val="00CD5089"/>
    <w:rsid w:val="00CD5D3F"/>
    <w:rsid w:val="00CD7E1F"/>
    <w:rsid w:val="00CE4BC4"/>
    <w:rsid w:val="00CE7DA2"/>
    <w:rsid w:val="00CF1804"/>
    <w:rsid w:val="00CF2F8A"/>
    <w:rsid w:val="00CF3DB3"/>
    <w:rsid w:val="00D0274B"/>
    <w:rsid w:val="00D0503D"/>
    <w:rsid w:val="00D052BC"/>
    <w:rsid w:val="00D07026"/>
    <w:rsid w:val="00D146AE"/>
    <w:rsid w:val="00D22C8F"/>
    <w:rsid w:val="00D3203C"/>
    <w:rsid w:val="00D33491"/>
    <w:rsid w:val="00D3442D"/>
    <w:rsid w:val="00D358A9"/>
    <w:rsid w:val="00D36F00"/>
    <w:rsid w:val="00D40EC4"/>
    <w:rsid w:val="00D44B67"/>
    <w:rsid w:val="00D44F8E"/>
    <w:rsid w:val="00D4699B"/>
    <w:rsid w:val="00D51FD5"/>
    <w:rsid w:val="00D5251C"/>
    <w:rsid w:val="00D55BFA"/>
    <w:rsid w:val="00D55DE0"/>
    <w:rsid w:val="00D607EF"/>
    <w:rsid w:val="00D60F88"/>
    <w:rsid w:val="00D646BD"/>
    <w:rsid w:val="00D65558"/>
    <w:rsid w:val="00D66C22"/>
    <w:rsid w:val="00D71201"/>
    <w:rsid w:val="00D720C7"/>
    <w:rsid w:val="00D84841"/>
    <w:rsid w:val="00D876E6"/>
    <w:rsid w:val="00D90958"/>
    <w:rsid w:val="00DA1025"/>
    <w:rsid w:val="00DA22EC"/>
    <w:rsid w:val="00DA5312"/>
    <w:rsid w:val="00DA5682"/>
    <w:rsid w:val="00DA5860"/>
    <w:rsid w:val="00DA5C0C"/>
    <w:rsid w:val="00DB2767"/>
    <w:rsid w:val="00DB3D0A"/>
    <w:rsid w:val="00DB5531"/>
    <w:rsid w:val="00DC157F"/>
    <w:rsid w:val="00DC1B10"/>
    <w:rsid w:val="00DC1E18"/>
    <w:rsid w:val="00DC2924"/>
    <w:rsid w:val="00DC4729"/>
    <w:rsid w:val="00DD31C5"/>
    <w:rsid w:val="00DD49BB"/>
    <w:rsid w:val="00DD5020"/>
    <w:rsid w:val="00DD63BE"/>
    <w:rsid w:val="00DE2C80"/>
    <w:rsid w:val="00DE40C6"/>
    <w:rsid w:val="00DE4296"/>
    <w:rsid w:val="00DF2469"/>
    <w:rsid w:val="00DF7899"/>
    <w:rsid w:val="00E0524C"/>
    <w:rsid w:val="00E11D39"/>
    <w:rsid w:val="00E15751"/>
    <w:rsid w:val="00E17160"/>
    <w:rsid w:val="00E17D41"/>
    <w:rsid w:val="00E231D1"/>
    <w:rsid w:val="00E24667"/>
    <w:rsid w:val="00E3288D"/>
    <w:rsid w:val="00E35112"/>
    <w:rsid w:val="00E35BEC"/>
    <w:rsid w:val="00E41A6A"/>
    <w:rsid w:val="00E4275A"/>
    <w:rsid w:val="00E476AA"/>
    <w:rsid w:val="00E50821"/>
    <w:rsid w:val="00E51F91"/>
    <w:rsid w:val="00E5498A"/>
    <w:rsid w:val="00E559CE"/>
    <w:rsid w:val="00E60F42"/>
    <w:rsid w:val="00E6746C"/>
    <w:rsid w:val="00E7086E"/>
    <w:rsid w:val="00E71248"/>
    <w:rsid w:val="00E73C41"/>
    <w:rsid w:val="00E75911"/>
    <w:rsid w:val="00E7598F"/>
    <w:rsid w:val="00E76952"/>
    <w:rsid w:val="00E76F60"/>
    <w:rsid w:val="00E812B5"/>
    <w:rsid w:val="00E83D90"/>
    <w:rsid w:val="00E83F91"/>
    <w:rsid w:val="00E86299"/>
    <w:rsid w:val="00E9107A"/>
    <w:rsid w:val="00E91F62"/>
    <w:rsid w:val="00E929FD"/>
    <w:rsid w:val="00E93240"/>
    <w:rsid w:val="00E9479B"/>
    <w:rsid w:val="00E94E22"/>
    <w:rsid w:val="00E95F08"/>
    <w:rsid w:val="00E97171"/>
    <w:rsid w:val="00EA361C"/>
    <w:rsid w:val="00EA4D48"/>
    <w:rsid w:val="00EA7ADF"/>
    <w:rsid w:val="00EB2173"/>
    <w:rsid w:val="00EB62E6"/>
    <w:rsid w:val="00EB695F"/>
    <w:rsid w:val="00EC226E"/>
    <w:rsid w:val="00EC2815"/>
    <w:rsid w:val="00EC2B9B"/>
    <w:rsid w:val="00EC3A85"/>
    <w:rsid w:val="00EC4B89"/>
    <w:rsid w:val="00EC59A5"/>
    <w:rsid w:val="00EC6E15"/>
    <w:rsid w:val="00ED1B30"/>
    <w:rsid w:val="00ED5D03"/>
    <w:rsid w:val="00EE01ED"/>
    <w:rsid w:val="00EE1AC1"/>
    <w:rsid w:val="00EE39D6"/>
    <w:rsid w:val="00EE52AD"/>
    <w:rsid w:val="00EE5819"/>
    <w:rsid w:val="00EE5BC3"/>
    <w:rsid w:val="00EE6FAB"/>
    <w:rsid w:val="00EF328C"/>
    <w:rsid w:val="00EF68BB"/>
    <w:rsid w:val="00F01F92"/>
    <w:rsid w:val="00F030D4"/>
    <w:rsid w:val="00F04053"/>
    <w:rsid w:val="00F04441"/>
    <w:rsid w:val="00F06573"/>
    <w:rsid w:val="00F10A08"/>
    <w:rsid w:val="00F15262"/>
    <w:rsid w:val="00F15354"/>
    <w:rsid w:val="00F1695D"/>
    <w:rsid w:val="00F22AC5"/>
    <w:rsid w:val="00F254D1"/>
    <w:rsid w:val="00F31B95"/>
    <w:rsid w:val="00F32B82"/>
    <w:rsid w:val="00F34C86"/>
    <w:rsid w:val="00F4043E"/>
    <w:rsid w:val="00F41795"/>
    <w:rsid w:val="00F41BBC"/>
    <w:rsid w:val="00F444F0"/>
    <w:rsid w:val="00F446FF"/>
    <w:rsid w:val="00F45521"/>
    <w:rsid w:val="00F50847"/>
    <w:rsid w:val="00F53F27"/>
    <w:rsid w:val="00F546D1"/>
    <w:rsid w:val="00F548C9"/>
    <w:rsid w:val="00F60281"/>
    <w:rsid w:val="00F66272"/>
    <w:rsid w:val="00F709C0"/>
    <w:rsid w:val="00F74794"/>
    <w:rsid w:val="00F81FEC"/>
    <w:rsid w:val="00F8354A"/>
    <w:rsid w:val="00F927A1"/>
    <w:rsid w:val="00F92E4D"/>
    <w:rsid w:val="00F95D08"/>
    <w:rsid w:val="00FA0497"/>
    <w:rsid w:val="00FA23BD"/>
    <w:rsid w:val="00FA3764"/>
    <w:rsid w:val="00FA41C7"/>
    <w:rsid w:val="00FA4A79"/>
    <w:rsid w:val="00FA56ED"/>
    <w:rsid w:val="00FB0043"/>
    <w:rsid w:val="00FB05DD"/>
    <w:rsid w:val="00FB0F7C"/>
    <w:rsid w:val="00FB24EA"/>
    <w:rsid w:val="00FB4B1E"/>
    <w:rsid w:val="00FB5DAA"/>
    <w:rsid w:val="00FB5FA6"/>
    <w:rsid w:val="00FB75BB"/>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779</TotalTime>
  <Pages>4</Pages>
  <Words>1183</Words>
  <Characters>6140</Characters>
  <Application>Microsoft Office Word</Application>
  <DocSecurity>0</DocSecurity>
  <Lines>136</Lines>
  <Paragraphs>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Rebecca Parker</cp:lastModifiedBy>
  <cp:revision>138</cp:revision>
  <cp:lastPrinted>2020-02-11T19:20:00Z</cp:lastPrinted>
  <dcterms:created xsi:type="dcterms:W3CDTF">2022-09-29T11:35:00Z</dcterms:created>
  <dcterms:modified xsi:type="dcterms:W3CDTF">2025-10-06T09:49:00Z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