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800985" w14:textId="79D540A8" w:rsidR="006175B6" w:rsidRDefault="006175B6" w:rsidP="006175B6">
      <w:pPr>
        <w:pStyle w:val="NormalWeb"/>
        <w:spacing w:after="0"/>
        <w:ind w:left="-180" w:right="-334"/>
        <w:rPr>
          <w:rFonts w:ascii="Trebuchet MS" w:hAnsi="Trebuchet MS" w:cs="Tahoma"/>
        </w:rPr>
      </w:pPr>
      <w:r>
        <w:rPr>
          <w:noProof/>
          <w:lang w:eastAsia="en-GB"/>
        </w:rPr>
        <w:drawing>
          <wp:inline distT="0" distB="0" distL="0" distR="0" wp14:anchorId="6B69F244" wp14:editId="1517F8EF">
            <wp:extent cx="2872740" cy="1043940"/>
            <wp:effectExtent l="19050" t="19050" r="22860" b="2286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2740" cy="1043940"/>
                    </a:xfrm>
                    <a:prstGeom prst="rect">
                      <a:avLst/>
                    </a:prstGeom>
                    <a:noFill/>
                    <a:ln w="19050" cmpd="sng">
                      <a:solidFill>
                        <a:srgbClr val="000000"/>
                      </a:solidFill>
                      <a:miter lim="800000"/>
                      <a:headEnd/>
                      <a:tailEnd/>
                    </a:ln>
                    <a:effectLst/>
                  </pic:spPr>
                </pic:pic>
              </a:graphicData>
            </a:graphic>
          </wp:inline>
        </w:drawing>
      </w:r>
    </w:p>
    <w:p w14:paraId="7CFA2607" w14:textId="77777777" w:rsidR="006175B6" w:rsidRDefault="006175B6" w:rsidP="006175B6">
      <w:pPr>
        <w:pStyle w:val="Heading1"/>
        <w:rPr>
          <w:rFonts w:ascii="Arial" w:hAnsi="Arial" w:cs="Arial"/>
          <w:lang w:val="cy-GB"/>
        </w:rPr>
      </w:pPr>
      <w:bookmarkStart w:id="0" w:name="_Toc39687282"/>
      <w:bookmarkStart w:id="1" w:name="_Toc39687655"/>
      <w:bookmarkStart w:id="2" w:name="_Toc39833526"/>
      <w:bookmarkStart w:id="3" w:name="_Toc39836562"/>
      <w:r>
        <w:rPr>
          <w:lang w:val="cy-GB"/>
        </w:rPr>
        <w:t>Undergraduate Dissertation coversheet &amp; feedback form</w:t>
      </w:r>
      <w:bookmarkEnd w:id="0"/>
      <w:bookmarkEnd w:id="1"/>
      <w:bookmarkEnd w:id="2"/>
      <w:bookmarkEnd w:id="3"/>
    </w:p>
    <w:p w14:paraId="2391DE45" w14:textId="77777777" w:rsidR="006175B6" w:rsidRDefault="006175B6" w:rsidP="006175B6">
      <w:pPr>
        <w:rPr>
          <w:lang w:val="cy-GB"/>
        </w:rPr>
      </w:pPr>
    </w:p>
    <w:p w14:paraId="2E08BD22" w14:textId="77777777" w:rsidR="006175B6" w:rsidRDefault="006175B6" w:rsidP="006175B6">
      <w:pPr>
        <w:pStyle w:val="Heading3"/>
        <w:rPr>
          <w:rFonts w:ascii="Trebuchet MS" w:hAnsi="Trebuchet MS"/>
        </w:rPr>
      </w:pPr>
      <w:bookmarkStart w:id="4" w:name="_Toc39687283"/>
      <w:bookmarkStart w:id="5" w:name="_Toc39687656"/>
      <w:bookmarkStart w:id="6" w:name="_Toc39833527"/>
      <w:bookmarkStart w:id="7" w:name="_Toc39836563"/>
      <w:r>
        <w:rPr>
          <w:lang w:val="cy-GB"/>
        </w:rPr>
        <w:t>PLEASE COMPLETE THE TOP SECTION OF THIS FORM  AND SUBMIT ONE COPY WITH YOUR DISSERTATION</w:t>
      </w:r>
      <w:bookmarkEnd w:id="4"/>
      <w:bookmarkEnd w:id="5"/>
      <w:bookmarkEnd w:id="6"/>
      <w:bookmarkEnd w:id="7"/>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6175B6" w14:paraId="31E846A5" w14:textId="77777777" w:rsidTr="006175B6">
        <w:trPr>
          <w:gridAfter w:val="1"/>
          <w:wAfter w:w="101" w:type="dxa"/>
          <w:trHeight w:val="614"/>
        </w:trPr>
        <w:tc>
          <w:tcPr>
            <w:tcW w:w="8755" w:type="dxa"/>
            <w:gridSpan w:val="6"/>
            <w:tcBorders>
              <w:top w:val="single" w:sz="4" w:space="0" w:color="000000"/>
              <w:left w:val="single" w:sz="4" w:space="0" w:color="000000"/>
              <w:bottom w:val="single" w:sz="4" w:space="0" w:color="000000"/>
              <w:right w:val="single" w:sz="4" w:space="0" w:color="000000"/>
            </w:tcBorders>
            <w:hideMark/>
          </w:tcPr>
          <w:p w14:paraId="204C8072" w14:textId="1CB2E89D" w:rsidR="006175B6" w:rsidRDefault="006175B6">
            <w:pPr>
              <w:pStyle w:val="NormalWeb"/>
              <w:spacing w:after="0"/>
              <w:ind w:right="34"/>
              <w:rPr>
                <w:rFonts w:ascii="Calibri" w:hAnsi="Calibri" w:cs="Tahoma"/>
                <w:i/>
              </w:rPr>
            </w:pPr>
            <w:r>
              <w:rPr>
                <w:rFonts w:ascii="Calibri" w:hAnsi="Calibri" w:cs="Tahoma"/>
                <w:i/>
              </w:rPr>
              <w:t xml:space="preserve">For completion by student: </w:t>
            </w:r>
          </w:p>
        </w:tc>
      </w:tr>
      <w:tr w:rsidR="006175B6" w14:paraId="7BF24FEA" w14:textId="77777777" w:rsidTr="006175B6">
        <w:trPr>
          <w:gridAfter w:val="1"/>
          <w:wAfter w:w="101" w:type="dxa"/>
          <w:trHeight w:val="718"/>
        </w:trPr>
        <w:tc>
          <w:tcPr>
            <w:tcW w:w="8755" w:type="dxa"/>
            <w:gridSpan w:val="6"/>
            <w:tcBorders>
              <w:top w:val="single" w:sz="4" w:space="0" w:color="000000"/>
              <w:left w:val="single" w:sz="4" w:space="0" w:color="000000"/>
              <w:bottom w:val="single" w:sz="4" w:space="0" w:color="000000"/>
              <w:right w:val="single" w:sz="4" w:space="0" w:color="000000"/>
            </w:tcBorders>
          </w:tcPr>
          <w:p w14:paraId="36EAE861" w14:textId="7DCB4E0B" w:rsidR="006175B6" w:rsidRDefault="006175B6">
            <w:pPr>
              <w:pStyle w:val="NormalWeb"/>
              <w:spacing w:after="0"/>
              <w:ind w:right="34"/>
              <w:rPr>
                <w:rFonts w:ascii="Calibri" w:hAnsi="Calibri" w:cs="Tahoma"/>
                <w:i/>
              </w:rPr>
            </w:pPr>
            <w:r>
              <w:rPr>
                <w:rFonts w:ascii="Calibri" w:hAnsi="Calibri" w:cs="Tahoma"/>
                <w:i/>
              </w:rPr>
              <w:t>Student Name: Sam George Robert Smith</w:t>
            </w:r>
          </w:p>
          <w:p w14:paraId="6CE1B32B" w14:textId="77777777" w:rsidR="006175B6" w:rsidRDefault="006175B6">
            <w:pPr>
              <w:pStyle w:val="NormalWeb"/>
              <w:spacing w:after="0"/>
              <w:ind w:right="34"/>
              <w:rPr>
                <w:rFonts w:ascii="Calibri" w:hAnsi="Calibri" w:cs="Tahoma"/>
                <w:i/>
              </w:rPr>
            </w:pPr>
          </w:p>
          <w:p w14:paraId="29A361F9" w14:textId="2327FDD9" w:rsidR="006175B6" w:rsidRDefault="006175B6">
            <w:pPr>
              <w:pStyle w:val="NormalWeb"/>
              <w:spacing w:after="0"/>
              <w:ind w:right="34"/>
              <w:rPr>
                <w:rFonts w:ascii="Calibri" w:hAnsi="Calibri" w:cs="Tahoma"/>
                <w:i/>
              </w:rPr>
            </w:pPr>
            <w:r>
              <w:rPr>
                <w:rFonts w:ascii="Calibri" w:hAnsi="Calibri" w:cs="Tahoma"/>
                <w:i/>
              </w:rPr>
              <w:t xml:space="preserve">Student </w:t>
            </w:r>
            <w:r>
              <w:rPr>
                <w:rFonts w:ascii="Calibri" w:hAnsi="Calibri" w:cs="Tahoma"/>
                <w:b/>
                <w:bCs/>
                <w:i/>
                <w:u w:val="single"/>
              </w:rPr>
              <w:t>University</w:t>
            </w:r>
            <w:r>
              <w:rPr>
                <w:rFonts w:ascii="Calibri" w:hAnsi="Calibri" w:cs="Tahoma"/>
                <w:i/>
                <w:u w:val="single"/>
              </w:rPr>
              <w:t xml:space="preserve"> </w:t>
            </w:r>
            <w:r>
              <w:rPr>
                <w:rFonts w:ascii="Calibri" w:hAnsi="Calibri" w:cs="Tahoma"/>
                <w:i/>
              </w:rPr>
              <w:t>Email: 1701825@student.uwtsd.ac.uk</w:t>
            </w:r>
          </w:p>
        </w:tc>
      </w:tr>
      <w:tr w:rsidR="006175B6" w14:paraId="00E05D38" w14:textId="77777777" w:rsidTr="006175B6">
        <w:trPr>
          <w:gridAfter w:val="1"/>
          <w:wAfter w:w="101" w:type="dxa"/>
          <w:trHeight w:val="849"/>
        </w:trPr>
        <w:tc>
          <w:tcPr>
            <w:tcW w:w="4788" w:type="dxa"/>
            <w:tcBorders>
              <w:top w:val="single" w:sz="4" w:space="0" w:color="000000"/>
              <w:left w:val="single" w:sz="4" w:space="0" w:color="000000"/>
              <w:bottom w:val="single" w:sz="4" w:space="0" w:color="000000"/>
              <w:right w:val="single" w:sz="4" w:space="0" w:color="000000"/>
            </w:tcBorders>
          </w:tcPr>
          <w:p w14:paraId="19F0C8A2" w14:textId="77777777" w:rsidR="006175B6" w:rsidRDefault="006175B6">
            <w:pPr>
              <w:pStyle w:val="NormalWeb"/>
              <w:spacing w:after="0"/>
              <w:ind w:right="34"/>
              <w:rPr>
                <w:rFonts w:ascii="Calibri" w:hAnsi="Calibri" w:cs="Tahoma"/>
                <w:i/>
              </w:rPr>
            </w:pPr>
          </w:p>
          <w:p w14:paraId="454DB5CF" w14:textId="27556E58" w:rsidR="006175B6" w:rsidRDefault="006175B6">
            <w:pPr>
              <w:pStyle w:val="NormalWeb"/>
              <w:spacing w:after="0"/>
              <w:ind w:right="34"/>
              <w:rPr>
                <w:rFonts w:ascii="Calibri" w:hAnsi="Calibri" w:cs="Tahoma"/>
                <w:i/>
              </w:rPr>
            </w:pPr>
            <w:r>
              <w:rPr>
                <w:rFonts w:ascii="Calibri" w:hAnsi="Calibri" w:cs="Tahoma"/>
                <w:i/>
              </w:rPr>
              <w:t xml:space="preserve">Module </w:t>
            </w:r>
            <w:r w:rsidR="00423C3A">
              <w:rPr>
                <w:rFonts w:ascii="Calibri" w:hAnsi="Calibri" w:cs="Tahoma"/>
                <w:i/>
              </w:rPr>
              <w:t>code: HPHI</w:t>
            </w:r>
            <w:r>
              <w:rPr>
                <w:rFonts w:ascii="Calibri" w:hAnsi="Calibri" w:cs="Tahoma"/>
                <w:i/>
              </w:rPr>
              <w:t>6017</w:t>
            </w:r>
          </w:p>
        </w:tc>
        <w:tc>
          <w:tcPr>
            <w:tcW w:w="2266" w:type="dxa"/>
            <w:gridSpan w:val="4"/>
            <w:tcBorders>
              <w:top w:val="single" w:sz="4" w:space="0" w:color="000000"/>
              <w:left w:val="single" w:sz="4" w:space="0" w:color="000000"/>
              <w:bottom w:val="single" w:sz="4" w:space="0" w:color="000000"/>
              <w:right w:val="single" w:sz="4" w:space="0" w:color="000000"/>
            </w:tcBorders>
            <w:hideMark/>
          </w:tcPr>
          <w:p w14:paraId="5144A090" w14:textId="69E69729" w:rsidR="006175B6" w:rsidRDefault="006175B6">
            <w:pPr>
              <w:pStyle w:val="NormalWeb"/>
              <w:spacing w:after="0"/>
              <w:ind w:right="34"/>
              <w:rPr>
                <w:rFonts w:ascii="Calibri" w:hAnsi="Calibri" w:cs="Tahoma"/>
                <w:i/>
              </w:rPr>
            </w:pPr>
            <w:r>
              <w:rPr>
                <w:rFonts w:ascii="Calibri" w:hAnsi="Calibri" w:cs="Tahoma"/>
                <w:i/>
              </w:rPr>
              <w:t>Student ID number: 1701825</w:t>
            </w:r>
          </w:p>
        </w:tc>
        <w:tc>
          <w:tcPr>
            <w:tcW w:w="1701" w:type="dxa"/>
            <w:tcBorders>
              <w:top w:val="single" w:sz="4" w:space="0" w:color="000000"/>
              <w:left w:val="single" w:sz="4" w:space="0" w:color="000000"/>
              <w:bottom w:val="single" w:sz="4" w:space="0" w:color="000000"/>
              <w:right w:val="single" w:sz="4" w:space="0" w:color="000000"/>
            </w:tcBorders>
            <w:hideMark/>
          </w:tcPr>
          <w:p w14:paraId="50D09066" w14:textId="77777777" w:rsidR="006175B6" w:rsidRDefault="006175B6">
            <w:pPr>
              <w:pStyle w:val="NormalWeb"/>
              <w:spacing w:after="0"/>
              <w:ind w:right="34"/>
              <w:rPr>
                <w:rFonts w:ascii="Calibri" w:hAnsi="Calibri" w:cs="Tahoma"/>
                <w:i/>
              </w:rPr>
            </w:pPr>
            <w:r>
              <w:rPr>
                <w:rFonts w:ascii="Calibri" w:hAnsi="Calibri" w:cs="Tahoma"/>
                <w:i/>
              </w:rPr>
              <w:t>Educational support needs:</w:t>
            </w:r>
          </w:p>
          <w:p w14:paraId="6C407BF5" w14:textId="508C8E98" w:rsidR="006175B6" w:rsidRDefault="006175B6">
            <w:pPr>
              <w:pStyle w:val="NormalWeb"/>
              <w:spacing w:after="0"/>
              <w:ind w:right="34"/>
              <w:rPr>
                <w:rFonts w:ascii="Calibri" w:hAnsi="Calibri" w:cs="Tahoma"/>
                <w:i/>
              </w:rPr>
            </w:pPr>
            <w:r>
              <w:rPr>
                <w:rFonts w:ascii="Calibri" w:hAnsi="Calibri" w:cs="Tahoma"/>
                <w:i/>
              </w:rPr>
              <w:t>No</w:t>
            </w:r>
          </w:p>
        </w:tc>
      </w:tr>
      <w:tr w:rsidR="006175B6" w14:paraId="4B062A7B" w14:textId="77777777" w:rsidTr="006175B6">
        <w:trPr>
          <w:gridAfter w:val="1"/>
          <w:wAfter w:w="101" w:type="dxa"/>
          <w:trHeight w:val="820"/>
        </w:trPr>
        <w:tc>
          <w:tcPr>
            <w:tcW w:w="8755" w:type="dxa"/>
            <w:gridSpan w:val="6"/>
            <w:tcBorders>
              <w:top w:val="single" w:sz="4" w:space="0" w:color="000000"/>
              <w:left w:val="single" w:sz="4" w:space="0" w:color="000000"/>
              <w:bottom w:val="single" w:sz="4" w:space="0" w:color="000000"/>
              <w:right w:val="single" w:sz="4" w:space="0" w:color="000000"/>
            </w:tcBorders>
            <w:hideMark/>
          </w:tcPr>
          <w:p w14:paraId="3A64E085" w14:textId="3B4744FF" w:rsidR="006175B6" w:rsidRDefault="006175B6">
            <w:pPr>
              <w:pStyle w:val="NormalWeb"/>
              <w:spacing w:after="0"/>
              <w:ind w:right="34"/>
              <w:rPr>
                <w:rFonts w:ascii="Calibri" w:hAnsi="Calibri" w:cs="Tahoma"/>
                <w:i/>
              </w:rPr>
            </w:pPr>
            <w:r>
              <w:rPr>
                <w:rFonts w:ascii="Calibri" w:hAnsi="Calibri" w:cs="Tahoma"/>
                <w:i/>
              </w:rPr>
              <w:t xml:space="preserve">Dissertation title: </w:t>
            </w:r>
          </w:p>
        </w:tc>
      </w:tr>
      <w:tr w:rsidR="006175B6" w14:paraId="63F643F0" w14:textId="77777777" w:rsidTr="006175B6">
        <w:trPr>
          <w:gridAfter w:val="1"/>
          <w:wAfter w:w="101" w:type="dxa"/>
          <w:trHeight w:val="539"/>
        </w:trPr>
        <w:tc>
          <w:tcPr>
            <w:tcW w:w="5495" w:type="dxa"/>
            <w:gridSpan w:val="3"/>
            <w:tcBorders>
              <w:top w:val="single" w:sz="4" w:space="0" w:color="000000"/>
              <w:left w:val="single" w:sz="4" w:space="0" w:color="000000"/>
              <w:bottom w:val="single" w:sz="4" w:space="0" w:color="000000"/>
              <w:right w:val="single" w:sz="4" w:space="0" w:color="000000"/>
            </w:tcBorders>
            <w:hideMark/>
          </w:tcPr>
          <w:p w14:paraId="46987FA8" w14:textId="33A8087B" w:rsidR="006175B6" w:rsidRDefault="006175B6">
            <w:pPr>
              <w:pStyle w:val="NormalWeb"/>
              <w:spacing w:after="0"/>
              <w:ind w:right="34"/>
              <w:rPr>
                <w:rFonts w:ascii="Calibri" w:hAnsi="Calibri" w:cs="Tahoma"/>
                <w:i/>
              </w:rPr>
            </w:pPr>
            <w:r>
              <w:rPr>
                <w:rFonts w:ascii="Calibri" w:hAnsi="Calibri" w:cs="Tahoma"/>
                <w:i/>
              </w:rPr>
              <w:t>Supervisor: Alexander Scott</w:t>
            </w:r>
          </w:p>
        </w:tc>
        <w:tc>
          <w:tcPr>
            <w:tcW w:w="3260" w:type="dxa"/>
            <w:gridSpan w:val="3"/>
            <w:tcBorders>
              <w:top w:val="single" w:sz="4" w:space="0" w:color="000000"/>
              <w:left w:val="single" w:sz="4" w:space="0" w:color="000000"/>
              <w:bottom w:val="single" w:sz="4" w:space="0" w:color="000000"/>
              <w:right w:val="single" w:sz="4" w:space="0" w:color="000000"/>
            </w:tcBorders>
            <w:hideMark/>
          </w:tcPr>
          <w:p w14:paraId="63663B1A" w14:textId="2FC966F3" w:rsidR="006175B6" w:rsidRDefault="006175B6">
            <w:pPr>
              <w:pStyle w:val="NormalWeb"/>
              <w:spacing w:after="0"/>
              <w:ind w:right="34"/>
              <w:rPr>
                <w:rFonts w:ascii="Calibri" w:hAnsi="Calibri" w:cs="Tahoma"/>
                <w:i/>
              </w:rPr>
            </w:pPr>
            <w:r>
              <w:rPr>
                <w:rFonts w:ascii="Calibri" w:hAnsi="Calibri" w:cs="Tahoma"/>
                <w:i/>
              </w:rPr>
              <w:t>Word count:</w:t>
            </w:r>
            <w:r w:rsidR="00423C3A">
              <w:rPr>
                <w:rFonts w:ascii="Calibri" w:hAnsi="Calibri" w:cs="Tahoma"/>
                <w:i/>
              </w:rPr>
              <w:t xml:space="preserve"> </w:t>
            </w:r>
            <w:r w:rsidR="001F2332">
              <w:rPr>
                <w:rFonts w:ascii="Calibri" w:hAnsi="Calibri" w:cs="Tahoma"/>
                <w:i/>
              </w:rPr>
              <w:t>9012</w:t>
            </w:r>
          </w:p>
        </w:tc>
      </w:tr>
      <w:tr w:rsidR="006175B6" w14:paraId="6976B5C6" w14:textId="77777777" w:rsidTr="006175B6">
        <w:trPr>
          <w:gridAfter w:val="1"/>
          <w:wAfter w:w="101" w:type="dxa"/>
          <w:trHeight w:val="978"/>
        </w:trPr>
        <w:tc>
          <w:tcPr>
            <w:tcW w:w="8755" w:type="dxa"/>
            <w:gridSpan w:val="6"/>
            <w:tcBorders>
              <w:top w:val="single" w:sz="4" w:space="0" w:color="000000"/>
              <w:left w:val="single" w:sz="4" w:space="0" w:color="000000"/>
              <w:bottom w:val="single" w:sz="4" w:space="0" w:color="000000"/>
              <w:right w:val="single" w:sz="4" w:space="0" w:color="000000"/>
            </w:tcBorders>
            <w:shd w:val="clear" w:color="auto" w:fill="D9D9D9"/>
            <w:hideMark/>
          </w:tcPr>
          <w:p w14:paraId="799932D0" w14:textId="77777777" w:rsidR="006175B6" w:rsidRDefault="006175B6">
            <w:pPr>
              <w:pStyle w:val="NormalWeb"/>
              <w:spacing w:after="0"/>
              <w:ind w:right="34"/>
              <w:rPr>
                <w:rFonts w:ascii="Calibri" w:hAnsi="Calibri" w:cs="Tahoma"/>
              </w:rPr>
            </w:pPr>
            <w:r>
              <w:rPr>
                <w:rFonts w:ascii="Calibri" w:hAnsi="Calibri" w:cs="Tahoma"/>
              </w:rPr>
              <w:t>I confirm that this is my original work and that I have adhered to the University policy on plagiarism.</w:t>
            </w:r>
          </w:p>
          <w:p w14:paraId="053F5399" w14:textId="158AB894" w:rsidR="006175B6" w:rsidRDefault="006175B6">
            <w:pPr>
              <w:pStyle w:val="NormalWeb"/>
              <w:spacing w:after="0"/>
              <w:ind w:right="34"/>
              <w:rPr>
                <w:rFonts w:ascii="Calibri" w:hAnsi="Calibri" w:cs="Tahoma"/>
              </w:rPr>
            </w:pPr>
            <w:r>
              <w:rPr>
                <w:rFonts w:ascii="Calibri" w:hAnsi="Calibri" w:cs="Tahoma"/>
              </w:rPr>
              <w:t>Signed: Sam Smith</w:t>
            </w:r>
          </w:p>
        </w:tc>
      </w:tr>
      <w:tr w:rsidR="006175B6" w14:paraId="41A9BCED" w14:textId="77777777" w:rsidTr="006175B6">
        <w:trPr>
          <w:gridAfter w:val="1"/>
          <w:wAfter w:w="101" w:type="dxa"/>
          <w:trHeight w:val="3972"/>
        </w:trPr>
        <w:tc>
          <w:tcPr>
            <w:tcW w:w="8755" w:type="dxa"/>
            <w:gridSpan w:val="6"/>
            <w:tcBorders>
              <w:top w:val="single" w:sz="4" w:space="0" w:color="000000"/>
              <w:left w:val="single" w:sz="4" w:space="0" w:color="000000"/>
              <w:bottom w:val="single" w:sz="4" w:space="0" w:color="000000"/>
              <w:right w:val="single" w:sz="4" w:space="0" w:color="000000"/>
            </w:tcBorders>
          </w:tcPr>
          <w:p w14:paraId="0A2858AE" w14:textId="77777777" w:rsidR="006175B6" w:rsidRDefault="006175B6">
            <w:pPr>
              <w:pStyle w:val="NormalWeb"/>
              <w:spacing w:after="0"/>
              <w:rPr>
                <w:rFonts w:ascii="Calibri" w:hAnsi="Calibri" w:cs="Tahoma"/>
                <w:i/>
              </w:rPr>
            </w:pPr>
            <w:r>
              <w:rPr>
                <w:rFonts w:ascii="Calibri" w:hAnsi="Calibri" w:cs="Tahoma"/>
                <w:b/>
                <w:i/>
              </w:rPr>
              <w:t>For completion by the first marker</w:t>
            </w:r>
            <w:r>
              <w:rPr>
                <w:rFonts w:ascii="Calibri" w:hAnsi="Calibri" w:cs="Tahoma"/>
                <w:i/>
              </w:rPr>
              <w:t>:</w:t>
            </w:r>
          </w:p>
          <w:p w14:paraId="48DEC654" w14:textId="77777777" w:rsidR="006175B6" w:rsidRDefault="006175B6">
            <w:pPr>
              <w:pStyle w:val="NormalWeb"/>
              <w:rPr>
                <w:rFonts w:ascii="Calibri" w:hAnsi="Calibri" w:cs="Tahoma"/>
                <w:i/>
              </w:rPr>
            </w:pPr>
            <w:r>
              <w:rPr>
                <w:rFonts w:ascii="Calibri" w:hAnsi="Calibri" w:cs="Tahoma"/>
                <w:i/>
              </w:rPr>
              <w:t>Comments:</w:t>
            </w:r>
          </w:p>
          <w:p w14:paraId="256B6A6C" w14:textId="77777777" w:rsidR="006175B6" w:rsidRDefault="006175B6">
            <w:pPr>
              <w:pStyle w:val="NormalWeb"/>
              <w:rPr>
                <w:rFonts w:ascii="Calibri" w:hAnsi="Calibri" w:cs="Tahoma"/>
                <w:i/>
              </w:rPr>
            </w:pPr>
          </w:p>
          <w:p w14:paraId="24DE65E9" w14:textId="77777777" w:rsidR="006175B6" w:rsidRDefault="006175B6">
            <w:pPr>
              <w:pStyle w:val="NormalWeb"/>
              <w:rPr>
                <w:rFonts w:ascii="Calibri" w:hAnsi="Calibri" w:cs="Tahoma"/>
                <w:i/>
              </w:rPr>
            </w:pPr>
          </w:p>
          <w:p w14:paraId="02F869B9" w14:textId="77777777" w:rsidR="006175B6" w:rsidRDefault="006175B6">
            <w:pPr>
              <w:pStyle w:val="NormalWeb"/>
              <w:rPr>
                <w:rFonts w:ascii="Calibri" w:hAnsi="Calibri" w:cs="Tahoma"/>
                <w:i/>
              </w:rPr>
            </w:pPr>
          </w:p>
          <w:p w14:paraId="0EFC9C07" w14:textId="77777777" w:rsidR="006175B6" w:rsidRDefault="006175B6">
            <w:pPr>
              <w:pStyle w:val="NormalWeb"/>
              <w:rPr>
                <w:rFonts w:ascii="Calibri" w:hAnsi="Calibri" w:cs="Tahoma"/>
                <w:i/>
              </w:rPr>
            </w:pPr>
          </w:p>
          <w:p w14:paraId="0BFA6668" w14:textId="77777777" w:rsidR="006175B6" w:rsidRDefault="006175B6">
            <w:pPr>
              <w:pStyle w:val="NormalWeb"/>
              <w:rPr>
                <w:rFonts w:ascii="Calibri" w:hAnsi="Calibri" w:cs="Tahoma"/>
                <w:i/>
              </w:rPr>
            </w:pPr>
          </w:p>
          <w:p w14:paraId="20374E31" w14:textId="77777777" w:rsidR="006175B6" w:rsidRDefault="006175B6">
            <w:pPr>
              <w:pStyle w:val="NormalWeb"/>
              <w:rPr>
                <w:rFonts w:ascii="Calibri" w:hAnsi="Calibri" w:cs="Tahoma"/>
                <w:i/>
              </w:rPr>
            </w:pPr>
          </w:p>
          <w:p w14:paraId="04BF804D" w14:textId="77777777" w:rsidR="006175B6" w:rsidRDefault="006175B6">
            <w:pPr>
              <w:pStyle w:val="NormalWeb"/>
              <w:rPr>
                <w:rFonts w:ascii="Calibri" w:hAnsi="Calibri" w:cs="Tahoma"/>
                <w:i/>
              </w:rPr>
            </w:pPr>
          </w:p>
        </w:tc>
      </w:tr>
      <w:tr w:rsidR="006175B6" w14:paraId="089B5B01" w14:textId="77777777" w:rsidTr="006175B6">
        <w:trPr>
          <w:gridAfter w:val="1"/>
          <w:wAfter w:w="101" w:type="dxa"/>
          <w:trHeight w:val="492"/>
        </w:trPr>
        <w:tc>
          <w:tcPr>
            <w:tcW w:w="6768" w:type="dxa"/>
            <w:gridSpan w:val="4"/>
            <w:tcBorders>
              <w:top w:val="single" w:sz="4" w:space="0" w:color="000000"/>
              <w:left w:val="single" w:sz="4" w:space="0" w:color="000000"/>
              <w:bottom w:val="single" w:sz="4" w:space="0" w:color="000000"/>
              <w:right w:val="single" w:sz="4" w:space="0" w:color="000000"/>
            </w:tcBorders>
            <w:hideMark/>
          </w:tcPr>
          <w:p w14:paraId="27C1975B" w14:textId="77777777" w:rsidR="006175B6" w:rsidRDefault="006175B6">
            <w:pPr>
              <w:pStyle w:val="NormalWeb"/>
              <w:ind w:left="142" w:right="34"/>
              <w:rPr>
                <w:rFonts w:ascii="Calibri" w:hAnsi="Calibri" w:cs="Tahoma"/>
              </w:rPr>
            </w:pPr>
            <w:r>
              <w:rPr>
                <w:rFonts w:ascii="Calibri" w:hAnsi="Calibri" w:cs="Tahoma"/>
              </w:rPr>
              <w:t>First Marker’s Mark:</w:t>
            </w:r>
          </w:p>
          <w:p w14:paraId="48D84DEF" w14:textId="77777777" w:rsidR="006175B6" w:rsidRDefault="006175B6">
            <w:pPr>
              <w:pStyle w:val="NormalWeb"/>
              <w:ind w:left="142" w:right="34"/>
              <w:rPr>
                <w:rFonts w:ascii="Calibri" w:hAnsi="Calibri" w:cs="Tahoma"/>
                <w:i/>
              </w:rPr>
            </w:pPr>
            <w:r>
              <w:rPr>
                <w:rFonts w:ascii="Calibri" w:hAnsi="Calibri" w:cs="Tahoma"/>
              </w:rPr>
              <w:t>Signature:</w:t>
            </w:r>
            <w:r>
              <w:rPr>
                <w:rFonts w:ascii="Calibri" w:hAnsi="Calibri" w:cs="Tahoma"/>
                <w:i/>
              </w:rPr>
              <w:t xml:space="preserve"> </w:t>
            </w:r>
          </w:p>
        </w:tc>
        <w:tc>
          <w:tcPr>
            <w:tcW w:w="1987" w:type="dxa"/>
            <w:gridSpan w:val="2"/>
            <w:tcBorders>
              <w:top w:val="single" w:sz="4" w:space="0" w:color="000000"/>
              <w:left w:val="single" w:sz="4" w:space="0" w:color="000000"/>
              <w:bottom w:val="single" w:sz="4" w:space="0" w:color="000000"/>
              <w:right w:val="single" w:sz="4" w:space="0" w:color="000000"/>
            </w:tcBorders>
            <w:hideMark/>
          </w:tcPr>
          <w:p w14:paraId="2D32956E" w14:textId="77777777" w:rsidR="006175B6" w:rsidRDefault="006175B6">
            <w:pPr>
              <w:pStyle w:val="NormalWeb"/>
              <w:spacing w:after="0"/>
              <w:ind w:left="142" w:right="34"/>
              <w:rPr>
                <w:rFonts w:ascii="Calibri" w:hAnsi="Calibri" w:cs="Tahoma"/>
                <w:i/>
              </w:rPr>
            </w:pPr>
            <w:r>
              <w:rPr>
                <w:rFonts w:ascii="Calibri" w:hAnsi="Calibri" w:cs="Tahoma"/>
                <w:i/>
              </w:rPr>
              <w:t>Date:</w:t>
            </w:r>
          </w:p>
        </w:tc>
      </w:tr>
      <w:tr w:rsidR="006175B6" w14:paraId="16169FDB" w14:textId="77777777" w:rsidTr="006175B6">
        <w:tc>
          <w:tcPr>
            <w:tcW w:w="8856" w:type="dxa"/>
            <w:gridSpan w:val="7"/>
            <w:tcBorders>
              <w:top w:val="single" w:sz="4" w:space="0" w:color="000000"/>
              <w:left w:val="single" w:sz="4" w:space="0" w:color="000000"/>
              <w:bottom w:val="single" w:sz="4" w:space="0" w:color="000000"/>
              <w:right w:val="single" w:sz="4" w:space="0" w:color="000000"/>
            </w:tcBorders>
          </w:tcPr>
          <w:p w14:paraId="4AFEF820" w14:textId="77777777" w:rsidR="006175B6" w:rsidRDefault="006175B6">
            <w:pPr>
              <w:pStyle w:val="NormalWeb"/>
              <w:spacing w:after="0"/>
              <w:ind w:right="-334"/>
              <w:rPr>
                <w:rFonts w:ascii="Calibri" w:hAnsi="Calibri" w:cs="Tahoma"/>
                <w:bCs/>
              </w:rPr>
            </w:pPr>
            <w:r>
              <w:rPr>
                <w:rFonts w:ascii="Calibri" w:hAnsi="Calibri" w:cs="Tahoma"/>
                <w:bCs/>
                <w:i/>
              </w:rPr>
              <w:t>For completion by the second marker (if appropriate)</w:t>
            </w:r>
            <w:r>
              <w:rPr>
                <w:rFonts w:ascii="Calibri" w:hAnsi="Calibri" w:cs="Tahoma"/>
                <w:bCs/>
              </w:rPr>
              <w:t>:</w:t>
            </w:r>
          </w:p>
          <w:p w14:paraId="3281B765" w14:textId="77777777" w:rsidR="006175B6" w:rsidRDefault="006175B6">
            <w:pPr>
              <w:pStyle w:val="NormalWeb"/>
              <w:spacing w:after="0"/>
              <w:ind w:right="-334"/>
              <w:rPr>
                <w:rFonts w:ascii="Calibri" w:hAnsi="Calibri" w:cs="Tahoma"/>
                <w:bCs/>
              </w:rPr>
            </w:pPr>
          </w:p>
          <w:p w14:paraId="35657A61" w14:textId="77777777" w:rsidR="006175B6" w:rsidRDefault="006175B6">
            <w:pPr>
              <w:pStyle w:val="NormalWeb"/>
              <w:spacing w:after="0"/>
              <w:ind w:right="-334"/>
              <w:rPr>
                <w:rFonts w:ascii="Calibri" w:hAnsi="Calibri" w:cs="Tahoma"/>
                <w:bCs/>
              </w:rPr>
            </w:pPr>
            <w:r>
              <w:rPr>
                <w:rFonts w:ascii="Calibri" w:hAnsi="Calibri" w:cs="Tahoma"/>
                <w:bCs/>
              </w:rPr>
              <w:t>Comments:</w:t>
            </w:r>
          </w:p>
          <w:p w14:paraId="1114A92B" w14:textId="77777777" w:rsidR="006175B6" w:rsidRDefault="006175B6">
            <w:pPr>
              <w:pStyle w:val="NormalWeb"/>
              <w:spacing w:after="0"/>
              <w:ind w:right="-334"/>
              <w:rPr>
                <w:rFonts w:ascii="Calibri" w:hAnsi="Calibri" w:cs="Tahoma"/>
                <w:bCs/>
              </w:rPr>
            </w:pPr>
          </w:p>
          <w:p w14:paraId="60AA8680" w14:textId="77777777" w:rsidR="006175B6" w:rsidRDefault="006175B6">
            <w:pPr>
              <w:pStyle w:val="NormalWeb"/>
              <w:spacing w:after="0"/>
              <w:ind w:right="-334"/>
              <w:rPr>
                <w:rFonts w:ascii="Calibri" w:hAnsi="Calibri" w:cs="Tahoma"/>
                <w:bCs/>
              </w:rPr>
            </w:pPr>
          </w:p>
          <w:p w14:paraId="08F6B8F7" w14:textId="77777777" w:rsidR="006175B6" w:rsidRDefault="006175B6">
            <w:pPr>
              <w:pStyle w:val="NormalWeb"/>
              <w:spacing w:after="0"/>
              <w:ind w:right="-334"/>
              <w:rPr>
                <w:rFonts w:ascii="Calibri" w:hAnsi="Calibri" w:cs="Tahoma"/>
                <w:bCs/>
              </w:rPr>
            </w:pPr>
          </w:p>
          <w:p w14:paraId="7C2294BF" w14:textId="77777777" w:rsidR="006175B6" w:rsidRDefault="006175B6">
            <w:pPr>
              <w:pStyle w:val="NormalWeb"/>
              <w:spacing w:after="0"/>
              <w:ind w:right="-334"/>
              <w:rPr>
                <w:rFonts w:ascii="Calibri" w:hAnsi="Calibri" w:cs="Tahoma"/>
                <w:bCs/>
              </w:rPr>
            </w:pPr>
          </w:p>
          <w:p w14:paraId="55B16C5B" w14:textId="77777777" w:rsidR="006175B6" w:rsidRDefault="006175B6">
            <w:pPr>
              <w:pStyle w:val="NormalWeb"/>
              <w:spacing w:after="0"/>
              <w:ind w:right="-334"/>
              <w:rPr>
                <w:rFonts w:ascii="Calibri" w:hAnsi="Calibri" w:cs="Tahoma"/>
                <w:bCs/>
              </w:rPr>
            </w:pPr>
          </w:p>
          <w:p w14:paraId="1296BA66" w14:textId="77777777" w:rsidR="006175B6" w:rsidRDefault="006175B6">
            <w:pPr>
              <w:pStyle w:val="NormalWeb"/>
              <w:spacing w:after="0"/>
              <w:ind w:right="-334"/>
              <w:rPr>
                <w:rFonts w:ascii="Calibri" w:hAnsi="Calibri" w:cs="Tahoma"/>
                <w:bCs/>
              </w:rPr>
            </w:pPr>
          </w:p>
          <w:p w14:paraId="3B799EA4" w14:textId="77777777" w:rsidR="006175B6" w:rsidRDefault="006175B6">
            <w:pPr>
              <w:pStyle w:val="NormalWeb"/>
              <w:spacing w:after="0"/>
              <w:ind w:right="-334"/>
              <w:rPr>
                <w:rFonts w:ascii="Calibri" w:hAnsi="Calibri" w:cs="Tahoma"/>
                <w:bCs/>
              </w:rPr>
            </w:pPr>
          </w:p>
          <w:p w14:paraId="43C7CD46" w14:textId="77777777" w:rsidR="006175B6" w:rsidRDefault="006175B6">
            <w:pPr>
              <w:pStyle w:val="NormalWeb"/>
              <w:spacing w:after="0"/>
              <w:ind w:right="-334"/>
              <w:rPr>
                <w:rFonts w:ascii="Calibri" w:hAnsi="Calibri" w:cs="Tahoma"/>
                <w:bCs/>
              </w:rPr>
            </w:pPr>
          </w:p>
          <w:p w14:paraId="631ACC25" w14:textId="77777777" w:rsidR="006175B6" w:rsidRDefault="006175B6">
            <w:pPr>
              <w:pStyle w:val="NormalWeb"/>
              <w:spacing w:after="0"/>
              <w:ind w:right="-334"/>
              <w:rPr>
                <w:rFonts w:ascii="Calibri" w:hAnsi="Calibri" w:cs="Tahoma"/>
                <w:bCs/>
              </w:rPr>
            </w:pPr>
          </w:p>
        </w:tc>
      </w:tr>
      <w:tr w:rsidR="006175B6" w14:paraId="5411F0E6" w14:textId="77777777" w:rsidTr="006175B6">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7CFF440F" w14:textId="5DB090AE" w:rsidR="006175B6" w:rsidRDefault="006175B6">
            <w:pPr>
              <w:pStyle w:val="NormalWeb"/>
              <w:spacing w:after="0"/>
              <w:ind w:right="-334"/>
              <w:rPr>
                <w:rFonts w:ascii="Calibri" w:hAnsi="Calibri" w:cs="Tahoma"/>
                <w:bCs/>
              </w:rPr>
            </w:pPr>
            <w:r>
              <w:rPr>
                <w:rFonts w:ascii="Calibri" w:hAnsi="Calibri" w:cs="Tahoma"/>
                <w:bCs/>
              </w:rPr>
              <w:t xml:space="preserve">Second </w:t>
            </w:r>
            <w:r w:rsidR="00423C3A">
              <w:rPr>
                <w:rFonts w:ascii="Calibri" w:hAnsi="Calibri" w:cs="Tahoma"/>
                <w:bCs/>
              </w:rPr>
              <w:t>Marker’s Mark</w:t>
            </w:r>
            <w:r>
              <w:rPr>
                <w:rFonts w:ascii="Calibri" w:hAnsi="Calibri" w:cs="Tahoma"/>
                <w:bCs/>
              </w:rPr>
              <w:t>:</w:t>
            </w:r>
          </w:p>
          <w:p w14:paraId="67E2F9CB" w14:textId="77777777" w:rsidR="006175B6" w:rsidRDefault="006175B6">
            <w:pPr>
              <w:pStyle w:val="NormalWeb"/>
              <w:spacing w:after="0"/>
              <w:ind w:right="-334"/>
              <w:rPr>
                <w:rFonts w:ascii="Calibri" w:hAnsi="Calibri" w:cs="Tahoma"/>
                <w:bCs/>
              </w:rPr>
            </w:pPr>
            <w:r>
              <w:rPr>
                <w:rFonts w:ascii="Calibri" w:hAnsi="Calibri" w:cs="Tahoma"/>
                <w:bCs/>
              </w:rPr>
              <w:t>Signature:</w:t>
            </w:r>
          </w:p>
        </w:tc>
        <w:tc>
          <w:tcPr>
            <w:tcW w:w="3645" w:type="dxa"/>
            <w:gridSpan w:val="5"/>
            <w:tcBorders>
              <w:top w:val="single" w:sz="4" w:space="0" w:color="000000"/>
              <w:left w:val="single" w:sz="4" w:space="0" w:color="000000"/>
              <w:bottom w:val="single" w:sz="4" w:space="0" w:color="000000"/>
              <w:right w:val="single" w:sz="4" w:space="0" w:color="000000"/>
            </w:tcBorders>
            <w:hideMark/>
          </w:tcPr>
          <w:p w14:paraId="0995D4D0" w14:textId="77777777" w:rsidR="006175B6" w:rsidRDefault="006175B6">
            <w:pPr>
              <w:pStyle w:val="NormalWeb"/>
              <w:spacing w:after="0"/>
              <w:ind w:right="-334"/>
              <w:rPr>
                <w:rFonts w:ascii="Calibri" w:hAnsi="Calibri" w:cs="Tahoma"/>
                <w:bCs/>
              </w:rPr>
            </w:pPr>
            <w:r>
              <w:rPr>
                <w:rFonts w:ascii="Calibri" w:hAnsi="Calibri" w:cs="Tahoma"/>
                <w:bCs/>
              </w:rPr>
              <w:t>Date:</w:t>
            </w:r>
          </w:p>
        </w:tc>
      </w:tr>
      <w:tr w:rsidR="006175B6" w14:paraId="15C35321" w14:textId="77777777" w:rsidTr="006175B6">
        <w:trPr>
          <w:trHeight w:val="720"/>
        </w:trPr>
        <w:tc>
          <w:tcPr>
            <w:tcW w:w="8856" w:type="dxa"/>
            <w:gridSpan w:val="7"/>
            <w:tcBorders>
              <w:top w:val="single" w:sz="4" w:space="0" w:color="000000"/>
              <w:left w:val="single" w:sz="4" w:space="0" w:color="000000"/>
              <w:bottom w:val="single" w:sz="4" w:space="0" w:color="000000"/>
              <w:right w:val="single" w:sz="4" w:space="0" w:color="000000"/>
            </w:tcBorders>
          </w:tcPr>
          <w:p w14:paraId="4F539061" w14:textId="77777777" w:rsidR="006175B6" w:rsidRDefault="006175B6">
            <w:pPr>
              <w:pStyle w:val="NormalWeb"/>
              <w:spacing w:after="0"/>
              <w:ind w:left="142" w:right="34"/>
              <w:rPr>
                <w:rFonts w:ascii="Calibri" w:hAnsi="Calibri" w:cs="Tahoma"/>
                <w:b/>
                <w:i/>
              </w:rPr>
            </w:pPr>
            <w:r>
              <w:rPr>
                <w:rFonts w:ascii="Calibri" w:hAnsi="Calibri" w:cs="Tahoma"/>
                <w:b/>
                <w:i/>
              </w:rPr>
              <w:t>NB.</w:t>
            </w:r>
            <w:r>
              <w:rPr>
                <w:rFonts w:ascii="Calibri" w:hAnsi="Calibri" w:cs="Tahoma"/>
                <w:i/>
              </w:rPr>
              <w:t xml:space="preserve">  </w:t>
            </w:r>
            <w:r>
              <w:rPr>
                <w:rFonts w:ascii="Calibri" w:hAnsi="Calibri" w:cs="Tahoma"/>
                <w:b/>
                <w:i/>
              </w:rPr>
              <w:t>All marks are provisional until confirmed by the final examination board.</w:t>
            </w:r>
          </w:p>
          <w:p w14:paraId="53D6B77F" w14:textId="77777777" w:rsidR="006175B6" w:rsidRDefault="006175B6">
            <w:pPr>
              <w:pStyle w:val="NormalWeb"/>
              <w:spacing w:after="0"/>
              <w:ind w:left="142" w:right="34"/>
              <w:rPr>
                <w:rFonts w:ascii="Calibri" w:hAnsi="Calibri" w:cs="Tahoma"/>
                <w:b/>
                <w:i/>
              </w:rPr>
            </w:pPr>
          </w:p>
          <w:p w14:paraId="6F4A704E" w14:textId="77777777" w:rsidR="006175B6" w:rsidRDefault="006175B6">
            <w:pPr>
              <w:pStyle w:val="NormalWeb"/>
              <w:spacing w:after="0"/>
              <w:ind w:right="-334"/>
              <w:rPr>
                <w:rFonts w:ascii="Calibri" w:hAnsi="Calibri" w:cs="Tahoma"/>
                <w:bCs/>
              </w:rPr>
            </w:pPr>
          </w:p>
        </w:tc>
      </w:tr>
    </w:tbl>
    <w:p w14:paraId="0158D6F5" w14:textId="77777777" w:rsidR="006175B6" w:rsidRDefault="006175B6" w:rsidP="006175B6">
      <w:pPr>
        <w:pStyle w:val="NormalWeb"/>
        <w:spacing w:after="0"/>
        <w:ind w:right="-334"/>
        <w:rPr>
          <w:rFonts w:ascii="Trebuchet MS" w:eastAsia="SimSun" w:hAnsi="Trebuchet MS" w:cs="Tahoma"/>
          <w:bCs/>
          <w:lang w:eastAsia="zh-CN"/>
        </w:rPr>
      </w:pPr>
    </w:p>
    <w:p w14:paraId="483B30CC" w14:textId="77777777" w:rsidR="006175B6" w:rsidRDefault="006175B6" w:rsidP="006175B6">
      <w:pPr>
        <w:pStyle w:val="NormalWeb"/>
        <w:spacing w:after="0"/>
        <w:ind w:right="-334"/>
        <w:rPr>
          <w:rFonts w:ascii="Trebuchet MS" w:hAnsi="Trebuchet MS" w:cs="Tahoma"/>
          <w:bCs/>
        </w:rPr>
      </w:pPr>
    </w:p>
    <w:p w14:paraId="21CBDA01" w14:textId="77777777" w:rsidR="006175B6" w:rsidRDefault="006175B6" w:rsidP="006175B6">
      <w:pPr>
        <w:pStyle w:val="NormalWeb"/>
        <w:spacing w:after="0"/>
        <w:ind w:right="-334"/>
        <w:rPr>
          <w:rFonts w:ascii="Trebuchet MS" w:hAnsi="Trebuchet MS" w:cs="Tahoma"/>
          <w:bCs/>
        </w:rPr>
      </w:pPr>
    </w:p>
    <w:p w14:paraId="247719C7" w14:textId="77777777" w:rsidR="006175B6" w:rsidRDefault="006175B6" w:rsidP="006175B6">
      <w:pPr>
        <w:pStyle w:val="NormalWeb"/>
        <w:spacing w:after="0"/>
        <w:ind w:right="-334"/>
        <w:rPr>
          <w:rFonts w:ascii="Trebuchet MS" w:hAnsi="Trebuchet MS" w:cs="Tahoma"/>
          <w:bC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6175B6" w14:paraId="651D0A3A" w14:textId="77777777" w:rsidTr="006175B6">
        <w:tc>
          <w:tcPr>
            <w:tcW w:w="8856" w:type="dxa"/>
            <w:tcBorders>
              <w:top w:val="single" w:sz="4" w:space="0" w:color="000000"/>
              <w:left w:val="single" w:sz="4" w:space="0" w:color="000000"/>
              <w:bottom w:val="single" w:sz="4" w:space="0" w:color="000000"/>
              <w:right w:val="single" w:sz="4" w:space="0" w:color="000000"/>
            </w:tcBorders>
          </w:tcPr>
          <w:p w14:paraId="0824B0BA" w14:textId="77777777" w:rsidR="006175B6" w:rsidRDefault="006175B6">
            <w:pPr>
              <w:pStyle w:val="NormalWeb"/>
              <w:spacing w:after="0"/>
              <w:ind w:right="-334"/>
              <w:rPr>
                <w:rFonts w:ascii="Calibri" w:hAnsi="Calibri" w:cs="Tahoma"/>
                <w:bCs/>
              </w:rPr>
            </w:pPr>
            <w:r>
              <w:rPr>
                <w:rFonts w:ascii="Calibri" w:hAnsi="Calibri" w:cs="Tahoma"/>
                <w:bCs/>
                <w:i/>
              </w:rPr>
              <w:t>How agreed mark was decided upon—comments for External Examiner</w:t>
            </w:r>
            <w:r>
              <w:rPr>
                <w:rFonts w:ascii="Calibri" w:hAnsi="Calibri" w:cs="Tahoma"/>
                <w:bCs/>
              </w:rPr>
              <w:t>:</w:t>
            </w:r>
          </w:p>
          <w:p w14:paraId="029C835A" w14:textId="77777777" w:rsidR="006175B6" w:rsidRDefault="006175B6">
            <w:pPr>
              <w:pStyle w:val="NormalWeb"/>
              <w:spacing w:after="0"/>
              <w:ind w:right="-334"/>
              <w:rPr>
                <w:rFonts w:ascii="Calibri" w:hAnsi="Calibri" w:cs="Tahoma"/>
                <w:bCs/>
              </w:rPr>
            </w:pPr>
          </w:p>
          <w:p w14:paraId="4967B483" w14:textId="77777777" w:rsidR="006175B6" w:rsidRDefault="006175B6">
            <w:pPr>
              <w:pStyle w:val="NormalWeb"/>
              <w:spacing w:after="0"/>
              <w:ind w:right="-334"/>
              <w:rPr>
                <w:rFonts w:ascii="Calibri" w:hAnsi="Calibri" w:cs="Tahoma"/>
                <w:bCs/>
              </w:rPr>
            </w:pPr>
          </w:p>
          <w:p w14:paraId="2A84F4DD" w14:textId="77777777" w:rsidR="006175B6" w:rsidRDefault="006175B6">
            <w:pPr>
              <w:pStyle w:val="NormalWeb"/>
              <w:spacing w:after="0"/>
              <w:ind w:right="-334"/>
              <w:rPr>
                <w:rFonts w:ascii="Calibri" w:hAnsi="Calibri" w:cs="Tahoma"/>
                <w:bCs/>
              </w:rPr>
            </w:pPr>
          </w:p>
          <w:p w14:paraId="49B282A6" w14:textId="77777777" w:rsidR="006175B6" w:rsidRDefault="006175B6">
            <w:pPr>
              <w:pStyle w:val="NormalWeb"/>
              <w:spacing w:after="0"/>
              <w:ind w:right="-334"/>
              <w:rPr>
                <w:rFonts w:ascii="Calibri" w:hAnsi="Calibri" w:cs="Tahoma"/>
                <w:bCs/>
              </w:rPr>
            </w:pPr>
          </w:p>
          <w:p w14:paraId="604AF544" w14:textId="77777777" w:rsidR="006175B6" w:rsidRDefault="006175B6">
            <w:pPr>
              <w:pStyle w:val="NormalWeb"/>
              <w:spacing w:after="0"/>
              <w:ind w:right="-334"/>
              <w:rPr>
                <w:rFonts w:ascii="Calibri" w:hAnsi="Calibri" w:cs="Tahoma"/>
                <w:bCs/>
              </w:rPr>
            </w:pPr>
          </w:p>
          <w:p w14:paraId="36B01F2D" w14:textId="77777777" w:rsidR="006175B6" w:rsidRDefault="006175B6">
            <w:pPr>
              <w:pStyle w:val="NormalWeb"/>
              <w:spacing w:after="0"/>
              <w:ind w:right="-334"/>
              <w:rPr>
                <w:rFonts w:ascii="Calibri" w:hAnsi="Calibri" w:cs="Tahoma"/>
                <w:bCs/>
              </w:rPr>
            </w:pPr>
          </w:p>
          <w:p w14:paraId="1DA8C349" w14:textId="77777777" w:rsidR="006175B6" w:rsidRDefault="006175B6">
            <w:pPr>
              <w:pStyle w:val="NormalWeb"/>
              <w:spacing w:after="0"/>
              <w:ind w:right="-334"/>
              <w:rPr>
                <w:rFonts w:ascii="Calibri" w:hAnsi="Calibri" w:cs="Tahoma"/>
                <w:bCs/>
              </w:rPr>
            </w:pPr>
          </w:p>
          <w:p w14:paraId="6E589B5D" w14:textId="77777777" w:rsidR="006175B6" w:rsidRDefault="006175B6">
            <w:pPr>
              <w:pStyle w:val="NormalWeb"/>
              <w:spacing w:after="0"/>
              <w:ind w:right="-334"/>
              <w:rPr>
                <w:rFonts w:ascii="Calibri" w:hAnsi="Calibri" w:cs="Tahoma"/>
                <w:bCs/>
              </w:rPr>
            </w:pPr>
          </w:p>
          <w:p w14:paraId="584D2270" w14:textId="77777777" w:rsidR="006175B6" w:rsidRDefault="006175B6">
            <w:pPr>
              <w:pStyle w:val="NormalWeb"/>
              <w:spacing w:after="0"/>
              <w:ind w:right="-334"/>
              <w:rPr>
                <w:rFonts w:ascii="Calibri" w:hAnsi="Calibri" w:cs="Tahoma"/>
                <w:bCs/>
              </w:rPr>
            </w:pPr>
          </w:p>
          <w:p w14:paraId="222F1302" w14:textId="77777777" w:rsidR="006175B6" w:rsidRDefault="006175B6">
            <w:pPr>
              <w:pStyle w:val="NormalWeb"/>
              <w:spacing w:after="0"/>
              <w:ind w:right="-334"/>
              <w:rPr>
                <w:rFonts w:ascii="Calibri" w:hAnsi="Calibri" w:cs="Tahoma"/>
                <w:bCs/>
              </w:rPr>
            </w:pPr>
          </w:p>
          <w:p w14:paraId="02F8F1EC" w14:textId="77777777" w:rsidR="006175B6" w:rsidRDefault="006175B6">
            <w:pPr>
              <w:pStyle w:val="NormalWeb"/>
              <w:spacing w:after="0"/>
              <w:ind w:right="-334"/>
              <w:rPr>
                <w:rFonts w:ascii="Calibri" w:hAnsi="Calibri" w:cs="Tahoma"/>
                <w:bCs/>
              </w:rPr>
            </w:pPr>
          </w:p>
          <w:p w14:paraId="23659512" w14:textId="77777777" w:rsidR="006175B6" w:rsidRDefault="006175B6">
            <w:pPr>
              <w:pStyle w:val="NormalWeb"/>
              <w:spacing w:after="0"/>
              <w:ind w:right="-334"/>
              <w:rPr>
                <w:rFonts w:ascii="Calibri" w:hAnsi="Calibri" w:cs="Tahoma"/>
                <w:bCs/>
              </w:rPr>
            </w:pPr>
          </w:p>
          <w:p w14:paraId="0B149F13" w14:textId="77777777" w:rsidR="006175B6" w:rsidRDefault="006175B6">
            <w:pPr>
              <w:pStyle w:val="NormalWeb"/>
              <w:spacing w:after="0"/>
              <w:ind w:right="-334"/>
              <w:rPr>
                <w:rFonts w:ascii="Calibri" w:hAnsi="Calibri" w:cs="Tahoma"/>
                <w:bCs/>
              </w:rPr>
            </w:pPr>
          </w:p>
          <w:p w14:paraId="3127439E" w14:textId="77777777" w:rsidR="006175B6" w:rsidRDefault="006175B6">
            <w:pPr>
              <w:pStyle w:val="NormalWeb"/>
              <w:spacing w:after="0"/>
              <w:ind w:right="-334"/>
              <w:rPr>
                <w:rFonts w:ascii="Calibri" w:hAnsi="Calibri" w:cs="Tahoma"/>
                <w:bCs/>
              </w:rPr>
            </w:pPr>
          </w:p>
          <w:p w14:paraId="4A59C237" w14:textId="77777777" w:rsidR="006175B6" w:rsidRDefault="006175B6">
            <w:pPr>
              <w:pStyle w:val="NormalWeb"/>
              <w:spacing w:after="0"/>
              <w:ind w:right="-334"/>
              <w:rPr>
                <w:rFonts w:ascii="Calibri" w:hAnsi="Calibri" w:cs="Tahoma"/>
                <w:bCs/>
              </w:rPr>
            </w:pPr>
          </w:p>
          <w:p w14:paraId="707C8C32" w14:textId="77777777" w:rsidR="006175B6" w:rsidRDefault="006175B6">
            <w:pPr>
              <w:pStyle w:val="NormalWeb"/>
              <w:spacing w:after="0"/>
              <w:ind w:right="-334"/>
              <w:rPr>
                <w:rFonts w:ascii="Calibri" w:hAnsi="Calibri" w:cs="Tahoma"/>
                <w:bCs/>
              </w:rPr>
            </w:pPr>
            <w:r>
              <w:rPr>
                <w:rFonts w:ascii="Calibri" w:hAnsi="Calibri" w:cs="Tahoma"/>
                <w:bCs/>
              </w:rPr>
              <w:t>Proposed Mark:</w:t>
            </w:r>
          </w:p>
          <w:p w14:paraId="751B60A8" w14:textId="77777777" w:rsidR="006175B6" w:rsidRDefault="006175B6">
            <w:pPr>
              <w:pStyle w:val="NormalWeb"/>
              <w:spacing w:after="0"/>
              <w:ind w:right="-334"/>
              <w:rPr>
                <w:rFonts w:ascii="Calibri" w:hAnsi="Calibri" w:cs="Tahoma"/>
                <w:bCs/>
              </w:rPr>
            </w:pPr>
          </w:p>
          <w:p w14:paraId="36580F08" w14:textId="77777777" w:rsidR="006175B6" w:rsidRDefault="006175B6">
            <w:pPr>
              <w:pStyle w:val="NormalWeb"/>
              <w:spacing w:after="0"/>
              <w:ind w:right="-334"/>
              <w:rPr>
                <w:rFonts w:ascii="Calibri" w:hAnsi="Calibri" w:cs="Tahoma"/>
                <w:bCs/>
              </w:rPr>
            </w:pPr>
            <w:r>
              <w:rPr>
                <w:rFonts w:ascii="Calibri" w:hAnsi="Calibri" w:cs="Tahoma"/>
                <w:bCs/>
              </w:rPr>
              <w:t>Signature of External Examiner:</w:t>
            </w:r>
          </w:p>
          <w:p w14:paraId="6B458570" w14:textId="77777777" w:rsidR="006175B6" w:rsidRDefault="006175B6">
            <w:pPr>
              <w:pStyle w:val="NormalWeb"/>
              <w:spacing w:after="0"/>
              <w:ind w:right="-334"/>
              <w:rPr>
                <w:rFonts w:ascii="Calibri" w:hAnsi="Calibri" w:cs="Tahoma"/>
                <w:bCs/>
              </w:rPr>
            </w:pPr>
          </w:p>
        </w:tc>
      </w:tr>
      <w:tr w:rsidR="006175B6" w14:paraId="7370817B" w14:textId="77777777" w:rsidTr="006175B6">
        <w:trPr>
          <w:trHeight w:val="720"/>
        </w:trPr>
        <w:tc>
          <w:tcPr>
            <w:tcW w:w="8856" w:type="dxa"/>
            <w:tcBorders>
              <w:top w:val="single" w:sz="4" w:space="0" w:color="000000"/>
              <w:left w:val="single" w:sz="4" w:space="0" w:color="000000"/>
              <w:bottom w:val="single" w:sz="4" w:space="0" w:color="000000"/>
              <w:right w:val="single" w:sz="4" w:space="0" w:color="000000"/>
            </w:tcBorders>
            <w:hideMark/>
          </w:tcPr>
          <w:p w14:paraId="261E4CAE" w14:textId="6B7F6551" w:rsidR="006175B6" w:rsidRDefault="006175B6">
            <w:pPr>
              <w:pStyle w:val="NormalWeb"/>
              <w:tabs>
                <w:tab w:val="left" w:pos="2835"/>
              </w:tabs>
              <w:spacing w:after="0"/>
              <w:ind w:right="-334"/>
              <w:rPr>
                <w:rFonts w:ascii="Calibri" w:hAnsi="Calibri" w:cs="Tahoma"/>
                <w:bCs/>
              </w:rPr>
            </w:pPr>
            <w:r>
              <w:rPr>
                <w:rFonts w:ascii="Calibri" w:hAnsi="Calibri" w:cs="Tahoma"/>
                <w:bCs/>
              </w:rPr>
              <w:t xml:space="preserve">Final Agreed Mark: </w:t>
            </w:r>
          </w:p>
        </w:tc>
      </w:tr>
    </w:tbl>
    <w:p w14:paraId="4B6EEF16" w14:textId="47104C3F" w:rsidR="006175B6" w:rsidRDefault="006175B6">
      <w:pPr>
        <w:rPr>
          <w:rFonts w:asciiTheme="majorHAnsi" w:eastAsiaTheme="majorEastAsia" w:hAnsiTheme="majorHAnsi" w:cstheme="majorBidi"/>
          <w:color w:val="2F5496" w:themeColor="accent1" w:themeShade="BF"/>
          <w:sz w:val="24"/>
          <w:szCs w:val="24"/>
          <w:lang w:val="en-US"/>
        </w:rPr>
      </w:pPr>
    </w:p>
    <w:sdt>
      <w:sdtPr>
        <w:rPr>
          <w:sz w:val="24"/>
          <w:szCs w:val="24"/>
        </w:rPr>
        <w:id w:val="-476996390"/>
        <w:docPartObj>
          <w:docPartGallery w:val="Table of Contents"/>
          <w:docPartUnique/>
        </w:docPartObj>
      </w:sdtPr>
      <w:sdtEndPr>
        <w:rPr>
          <w:rFonts w:asciiTheme="minorHAnsi" w:eastAsiaTheme="minorHAnsi" w:hAnsiTheme="minorHAnsi" w:cstheme="minorBidi"/>
          <w:b/>
          <w:bCs/>
          <w:noProof/>
          <w:color w:val="auto"/>
          <w:lang w:val="en-GB"/>
        </w:rPr>
      </w:sdtEndPr>
      <w:sdtContent>
        <w:p w14:paraId="6E029FB4" w14:textId="28BBE5E3" w:rsidR="00932983" w:rsidRPr="00192050" w:rsidRDefault="00932983">
          <w:pPr>
            <w:pStyle w:val="TOCHeading"/>
            <w:rPr>
              <w:sz w:val="24"/>
              <w:szCs w:val="24"/>
            </w:rPr>
          </w:pPr>
          <w:r w:rsidRPr="00192050">
            <w:rPr>
              <w:sz w:val="24"/>
              <w:szCs w:val="24"/>
            </w:rPr>
            <w:t>Contents</w:t>
          </w:r>
        </w:p>
        <w:p w14:paraId="068E6D59" w14:textId="5197931A" w:rsidR="009A4392" w:rsidRDefault="00932983">
          <w:pPr>
            <w:pStyle w:val="TOC1"/>
            <w:tabs>
              <w:tab w:val="right" w:leader="dot" w:pos="9016"/>
            </w:tabs>
            <w:rPr>
              <w:rFonts w:eastAsiaTheme="minorEastAsia"/>
              <w:noProof/>
              <w:lang w:eastAsia="en-GB"/>
            </w:rPr>
          </w:pPr>
          <w:r w:rsidRPr="00192050">
            <w:rPr>
              <w:sz w:val="24"/>
              <w:szCs w:val="24"/>
            </w:rPr>
            <w:fldChar w:fldCharType="begin"/>
          </w:r>
          <w:r w:rsidRPr="00192050">
            <w:rPr>
              <w:sz w:val="24"/>
              <w:szCs w:val="24"/>
            </w:rPr>
            <w:instrText xml:space="preserve"> TOC \o "1-3" \h \z \u </w:instrText>
          </w:r>
          <w:r w:rsidRPr="00192050">
            <w:rPr>
              <w:sz w:val="24"/>
              <w:szCs w:val="24"/>
            </w:rPr>
            <w:fldChar w:fldCharType="separate"/>
          </w:r>
          <w:hyperlink w:anchor="_Toc39836564" w:history="1">
            <w:r w:rsidR="009A4392" w:rsidRPr="004053D5">
              <w:rPr>
                <w:rStyle w:val="Hyperlink"/>
                <w:noProof/>
                <w:lang w:val="en-US"/>
              </w:rPr>
              <w:t>Abstract</w:t>
            </w:r>
            <w:r w:rsidR="009A4392">
              <w:rPr>
                <w:noProof/>
                <w:webHidden/>
              </w:rPr>
              <w:tab/>
            </w:r>
            <w:r w:rsidR="009A4392">
              <w:rPr>
                <w:noProof/>
                <w:webHidden/>
              </w:rPr>
              <w:fldChar w:fldCharType="begin"/>
            </w:r>
            <w:r w:rsidR="009A4392">
              <w:rPr>
                <w:noProof/>
                <w:webHidden/>
              </w:rPr>
              <w:instrText xml:space="preserve"> PAGEREF _Toc39836564 \h </w:instrText>
            </w:r>
            <w:r w:rsidR="009A4392">
              <w:rPr>
                <w:noProof/>
                <w:webHidden/>
              </w:rPr>
            </w:r>
            <w:r w:rsidR="009A4392">
              <w:rPr>
                <w:noProof/>
                <w:webHidden/>
              </w:rPr>
              <w:fldChar w:fldCharType="separate"/>
            </w:r>
            <w:r w:rsidR="00F70E16">
              <w:rPr>
                <w:noProof/>
                <w:webHidden/>
              </w:rPr>
              <w:t>5</w:t>
            </w:r>
            <w:r w:rsidR="009A4392">
              <w:rPr>
                <w:noProof/>
                <w:webHidden/>
              </w:rPr>
              <w:fldChar w:fldCharType="end"/>
            </w:r>
          </w:hyperlink>
        </w:p>
        <w:p w14:paraId="2105AB34" w14:textId="10DCDDFD" w:rsidR="009A4392" w:rsidRDefault="009A4392">
          <w:pPr>
            <w:pStyle w:val="TOC1"/>
            <w:tabs>
              <w:tab w:val="right" w:leader="dot" w:pos="9016"/>
            </w:tabs>
            <w:rPr>
              <w:rFonts w:eastAsiaTheme="minorEastAsia"/>
              <w:noProof/>
              <w:lang w:eastAsia="en-GB"/>
            </w:rPr>
          </w:pPr>
          <w:hyperlink w:anchor="_Toc39836565" w:history="1">
            <w:r w:rsidRPr="004053D5">
              <w:rPr>
                <w:rStyle w:val="Hyperlink"/>
                <w:noProof/>
                <w:lang w:val="en-US"/>
              </w:rPr>
              <w:t>Acknowledgements</w:t>
            </w:r>
            <w:r>
              <w:rPr>
                <w:noProof/>
                <w:webHidden/>
              </w:rPr>
              <w:tab/>
            </w:r>
            <w:r>
              <w:rPr>
                <w:noProof/>
                <w:webHidden/>
              </w:rPr>
              <w:fldChar w:fldCharType="begin"/>
            </w:r>
            <w:r>
              <w:rPr>
                <w:noProof/>
                <w:webHidden/>
              </w:rPr>
              <w:instrText xml:space="preserve"> PAGEREF _Toc39836565 \h </w:instrText>
            </w:r>
            <w:r>
              <w:rPr>
                <w:noProof/>
                <w:webHidden/>
              </w:rPr>
            </w:r>
            <w:r>
              <w:rPr>
                <w:noProof/>
                <w:webHidden/>
              </w:rPr>
              <w:fldChar w:fldCharType="separate"/>
            </w:r>
            <w:r w:rsidR="00F70E16">
              <w:rPr>
                <w:noProof/>
                <w:webHidden/>
              </w:rPr>
              <w:t>6</w:t>
            </w:r>
            <w:r>
              <w:rPr>
                <w:noProof/>
                <w:webHidden/>
              </w:rPr>
              <w:fldChar w:fldCharType="end"/>
            </w:r>
          </w:hyperlink>
        </w:p>
        <w:p w14:paraId="7185A262" w14:textId="2DB8A8A6" w:rsidR="009A4392" w:rsidRDefault="009A4392">
          <w:pPr>
            <w:pStyle w:val="TOC1"/>
            <w:tabs>
              <w:tab w:val="right" w:leader="dot" w:pos="9016"/>
            </w:tabs>
            <w:rPr>
              <w:rFonts w:eastAsiaTheme="minorEastAsia"/>
              <w:noProof/>
              <w:lang w:eastAsia="en-GB"/>
            </w:rPr>
          </w:pPr>
          <w:hyperlink w:anchor="_Toc39836566" w:history="1">
            <w:r w:rsidRPr="004053D5">
              <w:rPr>
                <w:rStyle w:val="Hyperlink"/>
                <w:noProof/>
                <w:lang w:val="en-US"/>
              </w:rPr>
              <w:t>Introduction</w:t>
            </w:r>
            <w:r>
              <w:rPr>
                <w:noProof/>
                <w:webHidden/>
              </w:rPr>
              <w:tab/>
            </w:r>
            <w:r>
              <w:rPr>
                <w:noProof/>
                <w:webHidden/>
              </w:rPr>
              <w:fldChar w:fldCharType="begin"/>
            </w:r>
            <w:r>
              <w:rPr>
                <w:noProof/>
                <w:webHidden/>
              </w:rPr>
              <w:instrText xml:space="preserve"> PAGEREF _Toc39836566 \h </w:instrText>
            </w:r>
            <w:r>
              <w:rPr>
                <w:noProof/>
                <w:webHidden/>
              </w:rPr>
            </w:r>
            <w:r>
              <w:rPr>
                <w:noProof/>
                <w:webHidden/>
              </w:rPr>
              <w:fldChar w:fldCharType="separate"/>
            </w:r>
            <w:r w:rsidR="00F70E16">
              <w:rPr>
                <w:noProof/>
                <w:webHidden/>
              </w:rPr>
              <w:t>7</w:t>
            </w:r>
            <w:r>
              <w:rPr>
                <w:noProof/>
                <w:webHidden/>
              </w:rPr>
              <w:fldChar w:fldCharType="end"/>
            </w:r>
          </w:hyperlink>
        </w:p>
        <w:p w14:paraId="2EB38828" w14:textId="222205BB" w:rsidR="009A4392" w:rsidRDefault="009A4392">
          <w:pPr>
            <w:pStyle w:val="TOC1"/>
            <w:tabs>
              <w:tab w:val="right" w:leader="dot" w:pos="9016"/>
            </w:tabs>
            <w:rPr>
              <w:rFonts w:eastAsiaTheme="minorEastAsia"/>
              <w:noProof/>
              <w:lang w:eastAsia="en-GB"/>
            </w:rPr>
          </w:pPr>
          <w:hyperlink w:anchor="_Toc39836567" w:history="1">
            <w:r w:rsidRPr="004053D5">
              <w:rPr>
                <w:rStyle w:val="Hyperlink"/>
                <w:noProof/>
              </w:rPr>
              <w:t>Chapter 1 – An In-depth Analysis of the Creation of the Baronets.</w:t>
            </w:r>
            <w:r>
              <w:rPr>
                <w:noProof/>
                <w:webHidden/>
              </w:rPr>
              <w:tab/>
            </w:r>
            <w:r>
              <w:rPr>
                <w:noProof/>
                <w:webHidden/>
              </w:rPr>
              <w:fldChar w:fldCharType="begin"/>
            </w:r>
            <w:r>
              <w:rPr>
                <w:noProof/>
                <w:webHidden/>
              </w:rPr>
              <w:instrText xml:space="preserve"> PAGEREF _Toc39836567 \h </w:instrText>
            </w:r>
            <w:r>
              <w:rPr>
                <w:noProof/>
                <w:webHidden/>
              </w:rPr>
            </w:r>
            <w:r>
              <w:rPr>
                <w:noProof/>
                <w:webHidden/>
              </w:rPr>
              <w:fldChar w:fldCharType="separate"/>
            </w:r>
            <w:r w:rsidR="00F70E16">
              <w:rPr>
                <w:noProof/>
                <w:webHidden/>
              </w:rPr>
              <w:t>10</w:t>
            </w:r>
            <w:r>
              <w:rPr>
                <w:noProof/>
                <w:webHidden/>
              </w:rPr>
              <w:fldChar w:fldCharType="end"/>
            </w:r>
          </w:hyperlink>
        </w:p>
        <w:p w14:paraId="387B386E" w14:textId="2A7F8769" w:rsidR="009A4392" w:rsidRDefault="009A4392">
          <w:pPr>
            <w:pStyle w:val="TOC1"/>
            <w:tabs>
              <w:tab w:val="right" w:leader="dot" w:pos="9016"/>
            </w:tabs>
            <w:rPr>
              <w:rFonts w:eastAsiaTheme="minorEastAsia"/>
              <w:noProof/>
              <w:lang w:eastAsia="en-GB"/>
            </w:rPr>
          </w:pPr>
          <w:hyperlink w:anchor="_Toc39836568" w:history="1">
            <w:r w:rsidRPr="004053D5">
              <w:rPr>
                <w:rStyle w:val="Hyperlink"/>
                <w:noProof/>
              </w:rPr>
              <w:t>Chapter 2 – Dissent from Parliament Towards the Baronets.</w:t>
            </w:r>
            <w:r>
              <w:rPr>
                <w:noProof/>
                <w:webHidden/>
              </w:rPr>
              <w:tab/>
            </w:r>
            <w:r>
              <w:rPr>
                <w:noProof/>
                <w:webHidden/>
              </w:rPr>
              <w:fldChar w:fldCharType="begin"/>
            </w:r>
            <w:r>
              <w:rPr>
                <w:noProof/>
                <w:webHidden/>
              </w:rPr>
              <w:instrText xml:space="preserve"> PAGEREF _Toc39836568 \h </w:instrText>
            </w:r>
            <w:r>
              <w:rPr>
                <w:noProof/>
                <w:webHidden/>
              </w:rPr>
            </w:r>
            <w:r>
              <w:rPr>
                <w:noProof/>
                <w:webHidden/>
              </w:rPr>
              <w:fldChar w:fldCharType="separate"/>
            </w:r>
            <w:r w:rsidR="00F70E16">
              <w:rPr>
                <w:noProof/>
                <w:webHidden/>
              </w:rPr>
              <w:t>19</w:t>
            </w:r>
            <w:r>
              <w:rPr>
                <w:noProof/>
                <w:webHidden/>
              </w:rPr>
              <w:fldChar w:fldCharType="end"/>
            </w:r>
          </w:hyperlink>
        </w:p>
        <w:p w14:paraId="6A309BE4" w14:textId="708754D4" w:rsidR="009A4392" w:rsidRDefault="009A4392">
          <w:pPr>
            <w:pStyle w:val="TOC1"/>
            <w:tabs>
              <w:tab w:val="right" w:leader="dot" w:pos="9016"/>
            </w:tabs>
            <w:rPr>
              <w:rFonts w:eastAsiaTheme="minorEastAsia"/>
              <w:noProof/>
              <w:lang w:eastAsia="en-GB"/>
            </w:rPr>
          </w:pPr>
          <w:hyperlink w:anchor="_Toc39836569" w:history="1">
            <w:r w:rsidRPr="004053D5">
              <w:rPr>
                <w:rStyle w:val="Hyperlink"/>
                <w:noProof/>
              </w:rPr>
              <w:t>Chapter 3 – Baronets in Their Communities.</w:t>
            </w:r>
            <w:r>
              <w:rPr>
                <w:noProof/>
                <w:webHidden/>
              </w:rPr>
              <w:tab/>
            </w:r>
            <w:r>
              <w:rPr>
                <w:noProof/>
                <w:webHidden/>
              </w:rPr>
              <w:fldChar w:fldCharType="begin"/>
            </w:r>
            <w:r>
              <w:rPr>
                <w:noProof/>
                <w:webHidden/>
              </w:rPr>
              <w:instrText xml:space="preserve"> PAGEREF _Toc39836569 \h </w:instrText>
            </w:r>
            <w:r>
              <w:rPr>
                <w:noProof/>
                <w:webHidden/>
              </w:rPr>
            </w:r>
            <w:r>
              <w:rPr>
                <w:noProof/>
                <w:webHidden/>
              </w:rPr>
              <w:fldChar w:fldCharType="separate"/>
            </w:r>
            <w:r w:rsidR="00F70E16">
              <w:rPr>
                <w:noProof/>
                <w:webHidden/>
              </w:rPr>
              <w:t>28</w:t>
            </w:r>
            <w:r>
              <w:rPr>
                <w:noProof/>
                <w:webHidden/>
              </w:rPr>
              <w:fldChar w:fldCharType="end"/>
            </w:r>
          </w:hyperlink>
        </w:p>
        <w:p w14:paraId="65D9620D" w14:textId="0CF31114" w:rsidR="009A4392" w:rsidRDefault="009A4392">
          <w:pPr>
            <w:pStyle w:val="TOC2"/>
            <w:tabs>
              <w:tab w:val="right" w:leader="dot" w:pos="9016"/>
            </w:tabs>
            <w:rPr>
              <w:rFonts w:eastAsiaTheme="minorEastAsia"/>
              <w:noProof/>
              <w:lang w:eastAsia="en-GB"/>
            </w:rPr>
          </w:pPr>
          <w:hyperlink w:anchor="_Toc39836570" w:history="1">
            <w:r w:rsidRPr="004053D5">
              <w:rPr>
                <w:rStyle w:val="Hyperlink"/>
                <w:noProof/>
              </w:rPr>
              <w:t>Killerton House</w:t>
            </w:r>
            <w:r>
              <w:rPr>
                <w:noProof/>
                <w:webHidden/>
              </w:rPr>
              <w:tab/>
            </w:r>
            <w:r>
              <w:rPr>
                <w:noProof/>
                <w:webHidden/>
              </w:rPr>
              <w:fldChar w:fldCharType="begin"/>
            </w:r>
            <w:r>
              <w:rPr>
                <w:noProof/>
                <w:webHidden/>
              </w:rPr>
              <w:instrText xml:space="preserve"> PAGEREF _Toc39836570 \h </w:instrText>
            </w:r>
            <w:r>
              <w:rPr>
                <w:noProof/>
                <w:webHidden/>
              </w:rPr>
            </w:r>
            <w:r>
              <w:rPr>
                <w:noProof/>
                <w:webHidden/>
              </w:rPr>
              <w:fldChar w:fldCharType="separate"/>
            </w:r>
            <w:r w:rsidR="00F70E16">
              <w:rPr>
                <w:noProof/>
                <w:webHidden/>
              </w:rPr>
              <w:t>28</w:t>
            </w:r>
            <w:r>
              <w:rPr>
                <w:noProof/>
                <w:webHidden/>
              </w:rPr>
              <w:fldChar w:fldCharType="end"/>
            </w:r>
          </w:hyperlink>
        </w:p>
        <w:p w14:paraId="5F937FF6" w14:textId="1429911E" w:rsidR="009A4392" w:rsidRDefault="009A4392">
          <w:pPr>
            <w:pStyle w:val="TOC2"/>
            <w:tabs>
              <w:tab w:val="right" w:leader="dot" w:pos="9016"/>
            </w:tabs>
            <w:rPr>
              <w:rFonts w:eastAsiaTheme="minorEastAsia"/>
              <w:noProof/>
              <w:lang w:eastAsia="en-GB"/>
            </w:rPr>
          </w:pPr>
          <w:hyperlink w:anchor="_Toc39836571" w:history="1">
            <w:r w:rsidRPr="004053D5">
              <w:rPr>
                <w:rStyle w:val="Hyperlink"/>
                <w:noProof/>
              </w:rPr>
              <w:t>Woolbeding Gardens</w:t>
            </w:r>
            <w:r>
              <w:rPr>
                <w:noProof/>
                <w:webHidden/>
              </w:rPr>
              <w:tab/>
            </w:r>
            <w:r>
              <w:rPr>
                <w:noProof/>
                <w:webHidden/>
              </w:rPr>
              <w:fldChar w:fldCharType="begin"/>
            </w:r>
            <w:r>
              <w:rPr>
                <w:noProof/>
                <w:webHidden/>
              </w:rPr>
              <w:instrText xml:space="preserve"> PAGEREF _Toc39836571 \h </w:instrText>
            </w:r>
            <w:r>
              <w:rPr>
                <w:noProof/>
                <w:webHidden/>
              </w:rPr>
            </w:r>
            <w:r>
              <w:rPr>
                <w:noProof/>
                <w:webHidden/>
              </w:rPr>
              <w:fldChar w:fldCharType="separate"/>
            </w:r>
            <w:r w:rsidR="00F70E16">
              <w:rPr>
                <w:noProof/>
                <w:webHidden/>
              </w:rPr>
              <w:t>30</w:t>
            </w:r>
            <w:r>
              <w:rPr>
                <w:noProof/>
                <w:webHidden/>
              </w:rPr>
              <w:fldChar w:fldCharType="end"/>
            </w:r>
          </w:hyperlink>
        </w:p>
        <w:p w14:paraId="38A0E825" w14:textId="32E34720" w:rsidR="009A4392" w:rsidRDefault="009A4392">
          <w:pPr>
            <w:pStyle w:val="TOC2"/>
            <w:tabs>
              <w:tab w:val="right" w:leader="dot" w:pos="9016"/>
            </w:tabs>
            <w:rPr>
              <w:rFonts w:eastAsiaTheme="minorEastAsia"/>
              <w:noProof/>
              <w:lang w:eastAsia="en-GB"/>
            </w:rPr>
          </w:pPr>
          <w:hyperlink w:anchor="_Toc39836572" w:history="1">
            <w:r w:rsidRPr="004053D5">
              <w:rPr>
                <w:rStyle w:val="Hyperlink"/>
                <w:noProof/>
              </w:rPr>
              <w:t>Croft Castle</w:t>
            </w:r>
            <w:r>
              <w:rPr>
                <w:noProof/>
                <w:webHidden/>
              </w:rPr>
              <w:tab/>
            </w:r>
            <w:r>
              <w:rPr>
                <w:noProof/>
                <w:webHidden/>
              </w:rPr>
              <w:fldChar w:fldCharType="begin"/>
            </w:r>
            <w:r>
              <w:rPr>
                <w:noProof/>
                <w:webHidden/>
              </w:rPr>
              <w:instrText xml:space="preserve"> PAGEREF _Toc39836572 \h </w:instrText>
            </w:r>
            <w:r>
              <w:rPr>
                <w:noProof/>
                <w:webHidden/>
              </w:rPr>
            </w:r>
            <w:r>
              <w:rPr>
                <w:noProof/>
                <w:webHidden/>
              </w:rPr>
              <w:fldChar w:fldCharType="separate"/>
            </w:r>
            <w:r w:rsidR="00F70E16">
              <w:rPr>
                <w:noProof/>
                <w:webHidden/>
              </w:rPr>
              <w:t>31</w:t>
            </w:r>
            <w:r>
              <w:rPr>
                <w:noProof/>
                <w:webHidden/>
              </w:rPr>
              <w:fldChar w:fldCharType="end"/>
            </w:r>
          </w:hyperlink>
        </w:p>
        <w:p w14:paraId="0FF69CE0" w14:textId="4420623A" w:rsidR="009A4392" w:rsidRDefault="009A4392">
          <w:pPr>
            <w:pStyle w:val="TOC2"/>
            <w:tabs>
              <w:tab w:val="right" w:leader="dot" w:pos="9016"/>
            </w:tabs>
            <w:rPr>
              <w:rFonts w:eastAsiaTheme="minorEastAsia"/>
              <w:noProof/>
              <w:lang w:eastAsia="en-GB"/>
            </w:rPr>
          </w:pPr>
          <w:hyperlink w:anchor="_Toc39836573" w:history="1">
            <w:r w:rsidRPr="004053D5">
              <w:rPr>
                <w:rStyle w:val="Hyperlink"/>
                <w:noProof/>
              </w:rPr>
              <w:t>Medical Baronets</w:t>
            </w:r>
            <w:r>
              <w:rPr>
                <w:noProof/>
                <w:webHidden/>
              </w:rPr>
              <w:tab/>
            </w:r>
            <w:r>
              <w:rPr>
                <w:noProof/>
                <w:webHidden/>
              </w:rPr>
              <w:fldChar w:fldCharType="begin"/>
            </w:r>
            <w:r>
              <w:rPr>
                <w:noProof/>
                <w:webHidden/>
              </w:rPr>
              <w:instrText xml:space="preserve"> PAGEREF _Toc39836573 \h </w:instrText>
            </w:r>
            <w:r>
              <w:rPr>
                <w:noProof/>
                <w:webHidden/>
              </w:rPr>
            </w:r>
            <w:r>
              <w:rPr>
                <w:noProof/>
                <w:webHidden/>
              </w:rPr>
              <w:fldChar w:fldCharType="separate"/>
            </w:r>
            <w:r w:rsidR="00F70E16">
              <w:rPr>
                <w:noProof/>
                <w:webHidden/>
              </w:rPr>
              <w:t>33</w:t>
            </w:r>
            <w:r>
              <w:rPr>
                <w:noProof/>
                <w:webHidden/>
              </w:rPr>
              <w:fldChar w:fldCharType="end"/>
            </w:r>
          </w:hyperlink>
        </w:p>
        <w:p w14:paraId="02ECF128" w14:textId="28207200" w:rsidR="009A4392" w:rsidRDefault="009A4392">
          <w:pPr>
            <w:pStyle w:val="TOC1"/>
            <w:tabs>
              <w:tab w:val="right" w:leader="dot" w:pos="9016"/>
            </w:tabs>
            <w:rPr>
              <w:rFonts w:eastAsiaTheme="minorEastAsia"/>
              <w:noProof/>
              <w:lang w:eastAsia="en-GB"/>
            </w:rPr>
          </w:pPr>
          <w:hyperlink w:anchor="_Toc39836574" w:history="1">
            <w:r w:rsidRPr="004053D5">
              <w:rPr>
                <w:rStyle w:val="Hyperlink"/>
                <w:noProof/>
              </w:rPr>
              <w:t>Conclusion</w:t>
            </w:r>
            <w:r>
              <w:rPr>
                <w:noProof/>
                <w:webHidden/>
              </w:rPr>
              <w:tab/>
            </w:r>
            <w:r>
              <w:rPr>
                <w:noProof/>
                <w:webHidden/>
              </w:rPr>
              <w:fldChar w:fldCharType="begin"/>
            </w:r>
            <w:r>
              <w:rPr>
                <w:noProof/>
                <w:webHidden/>
              </w:rPr>
              <w:instrText xml:space="preserve"> PAGEREF _Toc39836574 \h </w:instrText>
            </w:r>
            <w:r>
              <w:rPr>
                <w:noProof/>
                <w:webHidden/>
              </w:rPr>
            </w:r>
            <w:r>
              <w:rPr>
                <w:noProof/>
                <w:webHidden/>
              </w:rPr>
              <w:fldChar w:fldCharType="separate"/>
            </w:r>
            <w:r w:rsidR="00F70E16">
              <w:rPr>
                <w:noProof/>
                <w:webHidden/>
              </w:rPr>
              <w:t>37</w:t>
            </w:r>
            <w:r>
              <w:rPr>
                <w:noProof/>
                <w:webHidden/>
              </w:rPr>
              <w:fldChar w:fldCharType="end"/>
            </w:r>
          </w:hyperlink>
        </w:p>
        <w:p w14:paraId="56EC2C59" w14:textId="5727E984" w:rsidR="009A4392" w:rsidRDefault="009A4392">
          <w:pPr>
            <w:pStyle w:val="TOC2"/>
            <w:tabs>
              <w:tab w:val="right" w:leader="dot" w:pos="9016"/>
            </w:tabs>
            <w:rPr>
              <w:rFonts w:eastAsiaTheme="minorEastAsia"/>
              <w:noProof/>
              <w:lang w:eastAsia="en-GB"/>
            </w:rPr>
          </w:pPr>
          <w:hyperlink w:anchor="_Toc39836575" w:history="1">
            <w:r w:rsidRPr="004053D5">
              <w:rPr>
                <w:rStyle w:val="Hyperlink"/>
                <w:noProof/>
              </w:rPr>
              <w:t>How did the baronets affect the King?</w:t>
            </w:r>
            <w:r>
              <w:rPr>
                <w:noProof/>
                <w:webHidden/>
              </w:rPr>
              <w:tab/>
            </w:r>
            <w:r>
              <w:rPr>
                <w:noProof/>
                <w:webHidden/>
              </w:rPr>
              <w:fldChar w:fldCharType="begin"/>
            </w:r>
            <w:r>
              <w:rPr>
                <w:noProof/>
                <w:webHidden/>
              </w:rPr>
              <w:instrText xml:space="preserve"> PAGEREF _Toc39836575 \h </w:instrText>
            </w:r>
            <w:r>
              <w:rPr>
                <w:noProof/>
                <w:webHidden/>
              </w:rPr>
            </w:r>
            <w:r>
              <w:rPr>
                <w:noProof/>
                <w:webHidden/>
              </w:rPr>
              <w:fldChar w:fldCharType="separate"/>
            </w:r>
            <w:r w:rsidR="00F70E16">
              <w:rPr>
                <w:noProof/>
                <w:webHidden/>
              </w:rPr>
              <w:t>37</w:t>
            </w:r>
            <w:r>
              <w:rPr>
                <w:noProof/>
                <w:webHidden/>
              </w:rPr>
              <w:fldChar w:fldCharType="end"/>
            </w:r>
          </w:hyperlink>
        </w:p>
        <w:p w14:paraId="3D6E419A" w14:textId="0949B6CD" w:rsidR="009A4392" w:rsidRDefault="009A4392">
          <w:pPr>
            <w:pStyle w:val="TOC2"/>
            <w:tabs>
              <w:tab w:val="right" w:leader="dot" w:pos="9016"/>
            </w:tabs>
            <w:rPr>
              <w:rFonts w:eastAsiaTheme="minorEastAsia"/>
              <w:noProof/>
              <w:lang w:eastAsia="en-GB"/>
            </w:rPr>
          </w:pPr>
          <w:hyperlink w:anchor="_Toc39836576" w:history="1">
            <w:r w:rsidRPr="004053D5">
              <w:rPr>
                <w:rStyle w:val="Hyperlink"/>
                <w:noProof/>
              </w:rPr>
              <w:t>How did the baronets serve their country?</w:t>
            </w:r>
            <w:r>
              <w:rPr>
                <w:noProof/>
                <w:webHidden/>
              </w:rPr>
              <w:tab/>
            </w:r>
            <w:r>
              <w:rPr>
                <w:noProof/>
                <w:webHidden/>
              </w:rPr>
              <w:fldChar w:fldCharType="begin"/>
            </w:r>
            <w:r>
              <w:rPr>
                <w:noProof/>
                <w:webHidden/>
              </w:rPr>
              <w:instrText xml:space="preserve"> PAGEREF _Toc39836576 \h </w:instrText>
            </w:r>
            <w:r>
              <w:rPr>
                <w:noProof/>
                <w:webHidden/>
              </w:rPr>
            </w:r>
            <w:r>
              <w:rPr>
                <w:noProof/>
                <w:webHidden/>
              </w:rPr>
              <w:fldChar w:fldCharType="separate"/>
            </w:r>
            <w:r w:rsidR="00F70E16">
              <w:rPr>
                <w:noProof/>
                <w:webHidden/>
              </w:rPr>
              <w:t>38</w:t>
            </w:r>
            <w:r>
              <w:rPr>
                <w:noProof/>
                <w:webHidden/>
              </w:rPr>
              <w:fldChar w:fldCharType="end"/>
            </w:r>
          </w:hyperlink>
        </w:p>
        <w:p w14:paraId="49D797AC" w14:textId="6EA0A3B8" w:rsidR="009A4392" w:rsidRDefault="009A4392">
          <w:pPr>
            <w:pStyle w:val="TOC2"/>
            <w:tabs>
              <w:tab w:val="right" w:leader="dot" w:pos="9016"/>
            </w:tabs>
            <w:rPr>
              <w:rFonts w:eastAsiaTheme="minorEastAsia"/>
              <w:noProof/>
              <w:lang w:eastAsia="en-GB"/>
            </w:rPr>
          </w:pPr>
          <w:hyperlink w:anchor="_Toc39836577" w:history="1">
            <w:r w:rsidRPr="004053D5">
              <w:rPr>
                <w:rStyle w:val="Hyperlink"/>
                <w:noProof/>
              </w:rPr>
              <w:t>Were the baronets more beneficial for King or Country?</w:t>
            </w:r>
            <w:r>
              <w:rPr>
                <w:noProof/>
                <w:webHidden/>
              </w:rPr>
              <w:tab/>
            </w:r>
            <w:r>
              <w:rPr>
                <w:noProof/>
                <w:webHidden/>
              </w:rPr>
              <w:fldChar w:fldCharType="begin"/>
            </w:r>
            <w:r>
              <w:rPr>
                <w:noProof/>
                <w:webHidden/>
              </w:rPr>
              <w:instrText xml:space="preserve"> PAGEREF _Toc39836577 \h </w:instrText>
            </w:r>
            <w:r>
              <w:rPr>
                <w:noProof/>
                <w:webHidden/>
              </w:rPr>
            </w:r>
            <w:r>
              <w:rPr>
                <w:noProof/>
                <w:webHidden/>
              </w:rPr>
              <w:fldChar w:fldCharType="separate"/>
            </w:r>
            <w:r w:rsidR="00F70E16">
              <w:rPr>
                <w:noProof/>
                <w:webHidden/>
              </w:rPr>
              <w:t>39</w:t>
            </w:r>
            <w:r>
              <w:rPr>
                <w:noProof/>
                <w:webHidden/>
              </w:rPr>
              <w:fldChar w:fldCharType="end"/>
            </w:r>
          </w:hyperlink>
        </w:p>
        <w:p w14:paraId="6EE27C72" w14:textId="0E6B9340" w:rsidR="009A4392" w:rsidRDefault="009A4392">
          <w:pPr>
            <w:pStyle w:val="TOC1"/>
            <w:tabs>
              <w:tab w:val="right" w:leader="dot" w:pos="9016"/>
            </w:tabs>
            <w:rPr>
              <w:rFonts w:eastAsiaTheme="minorEastAsia"/>
              <w:noProof/>
              <w:lang w:eastAsia="en-GB"/>
            </w:rPr>
          </w:pPr>
          <w:hyperlink w:anchor="_Toc39836578" w:history="1">
            <w:r w:rsidRPr="004053D5">
              <w:rPr>
                <w:rStyle w:val="Hyperlink"/>
                <w:noProof/>
              </w:rPr>
              <w:t>Bibliography</w:t>
            </w:r>
            <w:r>
              <w:rPr>
                <w:noProof/>
                <w:webHidden/>
              </w:rPr>
              <w:tab/>
            </w:r>
            <w:r>
              <w:rPr>
                <w:noProof/>
                <w:webHidden/>
              </w:rPr>
              <w:fldChar w:fldCharType="begin"/>
            </w:r>
            <w:r>
              <w:rPr>
                <w:noProof/>
                <w:webHidden/>
              </w:rPr>
              <w:instrText xml:space="preserve"> PAGEREF _Toc39836578 \h </w:instrText>
            </w:r>
            <w:r>
              <w:rPr>
                <w:noProof/>
                <w:webHidden/>
              </w:rPr>
            </w:r>
            <w:r>
              <w:rPr>
                <w:noProof/>
                <w:webHidden/>
              </w:rPr>
              <w:fldChar w:fldCharType="separate"/>
            </w:r>
            <w:r w:rsidR="00F70E16">
              <w:rPr>
                <w:noProof/>
                <w:webHidden/>
              </w:rPr>
              <w:t>40</w:t>
            </w:r>
            <w:r>
              <w:rPr>
                <w:noProof/>
                <w:webHidden/>
              </w:rPr>
              <w:fldChar w:fldCharType="end"/>
            </w:r>
          </w:hyperlink>
        </w:p>
        <w:p w14:paraId="01CD0EE3" w14:textId="2C9F99B8" w:rsidR="009A4392" w:rsidRDefault="009A4392">
          <w:pPr>
            <w:pStyle w:val="TOC2"/>
            <w:tabs>
              <w:tab w:val="right" w:leader="dot" w:pos="9016"/>
            </w:tabs>
            <w:rPr>
              <w:rFonts w:eastAsiaTheme="minorEastAsia"/>
              <w:noProof/>
              <w:lang w:eastAsia="en-GB"/>
            </w:rPr>
          </w:pPr>
          <w:hyperlink w:anchor="_Toc39836579" w:history="1">
            <w:r w:rsidRPr="004053D5">
              <w:rPr>
                <w:rStyle w:val="Hyperlink"/>
                <w:noProof/>
              </w:rPr>
              <w:t>Books</w:t>
            </w:r>
            <w:r>
              <w:rPr>
                <w:noProof/>
                <w:webHidden/>
              </w:rPr>
              <w:tab/>
            </w:r>
            <w:r>
              <w:rPr>
                <w:noProof/>
                <w:webHidden/>
              </w:rPr>
              <w:fldChar w:fldCharType="begin"/>
            </w:r>
            <w:r>
              <w:rPr>
                <w:noProof/>
                <w:webHidden/>
              </w:rPr>
              <w:instrText xml:space="preserve"> PAGEREF _Toc39836579 \h </w:instrText>
            </w:r>
            <w:r>
              <w:rPr>
                <w:noProof/>
                <w:webHidden/>
              </w:rPr>
            </w:r>
            <w:r>
              <w:rPr>
                <w:noProof/>
                <w:webHidden/>
              </w:rPr>
              <w:fldChar w:fldCharType="separate"/>
            </w:r>
            <w:r w:rsidR="00F70E16">
              <w:rPr>
                <w:noProof/>
                <w:webHidden/>
              </w:rPr>
              <w:t>40</w:t>
            </w:r>
            <w:r>
              <w:rPr>
                <w:noProof/>
                <w:webHidden/>
              </w:rPr>
              <w:fldChar w:fldCharType="end"/>
            </w:r>
          </w:hyperlink>
        </w:p>
        <w:p w14:paraId="32C0DC7A" w14:textId="78B2FB54" w:rsidR="009A4392" w:rsidRDefault="009A4392">
          <w:pPr>
            <w:pStyle w:val="TOC2"/>
            <w:tabs>
              <w:tab w:val="right" w:leader="dot" w:pos="9016"/>
            </w:tabs>
            <w:rPr>
              <w:rFonts w:eastAsiaTheme="minorEastAsia"/>
              <w:noProof/>
              <w:lang w:eastAsia="en-GB"/>
            </w:rPr>
          </w:pPr>
          <w:hyperlink w:anchor="_Toc39836580" w:history="1">
            <w:r w:rsidRPr="004053D5">
              <w:rPr>
                <w:rStyle w:val="Hyperlink"/>
                <w:noProof/>
              </w:rPr>
              <w:t>Journals</w:t>
            </w:r>
            <w:r>
              <w:rPr>
                <w:noProof/>
                <w:webHidden/>
              </w:rPr>
              <w:tab/>
            </w:r>
            <w:r>
              <w:rPr>
                <w:noProof/>
                <w:webHidden/>
              </w:rPr>
              <w:fldChar w:fldCharType="begin"/>
            </w:r>
            <w:r>
              <w:rPr>
                <w:noProof/>
                <w:webHidden/>
              </w:rPr>
              <w:instrText xml:space="preserve"> PAGEREF _Toc39836580 \h </w:instrText>
            </w:r>
            <w:r>
              <w:rPr>
                <w:noProof/>
                <w:webHidden/>
              </w:rPr>
            </w:r>
            <w:r>
              <w:rPr>
                <w:noProof/>
                <w:webHidden/>
              </w:rPr>
              <w:fldChar w:fldCharType="separate"/>
            </w:r>
            <w:r w:rsidR="00F70E16">
              <w:rPr>
                <w:noProof/>
                <w:webHidden/>
              </w:rPr>
              <w:t>40</w:t>
            </w:r>
            <w:r>
              <w:rPr>
                <w:noProof/>
                <w:webHidden/>
              </w:rPr>
              <w:fldChar w:fldCharType="end"/>
            </w:r>
          </w:hyperlink>
        </w:p>
        <w:p w14:paraId="2BD70F23" w14:textId="69385300" w:rsidR="009A4392" w:rsidRDefault="009A4392">
          <w:pPr>
            <w:pStyle w:val="TOC2"/>
            <w:tabs>
              <w:tab w:val="right" w:leader="dot" w:pos="9016"/>
            </w:tabs>
            <w:rPr>
              <w:rFonts w:eastAsiaTheme="minorEastAsia"/>
              <w:noProof/>
              <w:lang w:eastAsia="en-GB"/>
            </w:rPr>
          </w:pPr>
          <w:hyperlink w:anchor="_Toc39836581" w:history="1">
            <w:r w:rsidRPr="004053D5">
              <w:rPr>
                <w:rStyle w:val="Hyperlink"/>
                <w:noProof/>
              </w:rPr>
              <w:t>Websites</w:t>
            </w:r>
            <w:r>
              <w:rPr>
                <w:noProof/>
                <w:webHidden/>
              </w:rPr>
              <w:tab/>
            </w:r>
            <w:r>
              <w:rPr>
                <w:noProof/>
                <w:webHidden/>
              </w:rPr>
              <w:fldChar w:fldCharType="begin"/>
            </w:r>
            <w:r>
              <w:rPr>
                <w:noProof/>
                <w:webHidden/>
              </w:rPr>
              <w:instrText xml:space="preserve"> PAGEREF _Toc39836581 \h </w:instrText>
            </w:r>
            <w:r>
              <w:rPr>
                <w:noProof/>
                <w:webHidden/>
              </w:rPr>
            </w:r>
            <w:r>
              <w:rPr>
                <w:noProof/>
                <w:webHidden/>
              </w:rPr>
              <w:fldChar w:fldCharType="separate"/>
            </w:r>
            <w:r w:rsidR="00F70E16">
              <w:rPr>
                <w:noProof/>
                <w:webHidden/>
              </w:rPr>
              <w:t>41</w:t>
            </w:r>
            <w:r>
              <w:rPr>
                <w:noProof/>
                <w:webHidden/>
              </w:rPr>
              <w:fldChar w:fldCharType="end"/>
            </w:r>
          </w:hyperlink>
        </w:p>
        <w:p w14:paraId="746C81E3" w14:textId="7B5F324B" w:rsidR="009A4392" w:rsidRDefault="009A4392">
          <w:pPr>
            <w:pStyle w:val="TOC2"/>
            <w:tabs>
              <w:tab w:val="right" w:leader="dot" w:pos="9016"/>
            </w:tabs>
            <w:rPr>
              <w:rFonts w:eastAsiaTheme="minorEastAsia"/>
              <w:noProof/>
              <w:lang w:eastAsia="en-GB"/>
            </w:rPr>
          </w:pPr>
          <w:hyperlink w:anchor="_Toc39836582" w:history="1">
            <w:r w:rsidRPr="004053D5">
              <w:rPr>
                <w:rStyle w:val="Hyperlink"/>
                <w:noProof/>
              </w:rPr>
              <w:t>Manuscripts</w:t>
            </w:r>
            <w:r>
              <w:rPr>
                <w:noProof/>
                <w:webHidden/>
              </w:rPr>
              <w:tab/>
            </w:r>
            <w:r>
              <w:rPr>
                <w:noProof/>
                <w:webHidden/>
              </w:rPr>
              <w:fldChar w:fldCharType="begin"/>
            </w:r>
            <w:r>
              <w:rPr>
                <w:noProof/>
                <w:webHidden/>
              </w:rPr>
              <w:instrText xml:space="preserve"> PAGEREF _Toc39836582 \h </w:instrText>
            </w:r>
            <w:r>
              <w:rPr>
                <w:noProof/>
                <w:webHidden/>
              </w:rPr>
            </w:r>
            <w:r>
              <w:rPr>
                <w:noProof/>
                <w:webHidden/>
              </w:rPr>
              <w:fldChar w:fldCharType="separate"/>
            </w:r>
            <w:r w:rsidR="00F70E16">
              <w:rPr>
                <w:noProof/>
                <w:webHidden/>
              </w:rPr>
              <w:t>42</w:t>
            </w:r>
            <w:r>
              <w:rPr>
                <w:noProof/>
                <w:webHidden/>
              </w:rPr>
              <w:fldChar w:fldCharType="end"/>
            </w:r>
          </w:hyperlink>
        </w:p>
        <w:p w14:paraId="01BFC8F2" w14:textId="7F159EEF" w:rsidR="009A4392" w:rsidRDefault="009A4392">
          <w:pPr>
            <w:pStyle w:val="TOC2"/>
            <w:tabs>
              <w:tab w:val="right" w:leader="dot" w:pos="9016"/>
            </w:tabs>
            <w:rPr>
              <w:rFonts w:eastAsiaTheme="minorEastAsia"/>
              <w:noProof/>
              <w:lang w:eastAsia="en-GB"/>
            </w:rPr>
          </w:pPr>
          <w:hyperlink w:anchor="_Toc39836583" w:history="1">
            <w:r w:rsidRPr="004053D5">
              <w:rPr>
                <w:rStyle w:val="Hyperlink"/>
                <w:noProof/>
              </w:rPr>
              <w:t>Archival Material</w:t>
            </w:r>
            <w:r>
              <w:rPr>
                <w:noProof/>
                <w:webHidden/>
              </w:rPr>
              <w:tab/>
            </w:r>
            <w:r>
              <w:rPr>
                <w:noProof/>
                <w:webHidden/>
              </w:rPr>
              <w:fldChar w:fldCharType="begin"/>
            </w:r>
            <w:r>
              <w:rPr>
                <w:noProof/>
                <w:webHidden/>
              </w:rPr>
              <w:instrText xml:space="preserve"> PAGEREF _Toc39836583 \h </w:instrText>
            </w:r>
            <w:r>
              <w:rPr>
                <w:noProof/>
                <w:webHidden/>
              </w:rPr>
            </w:r>
            <w:r>
              <w:rPr>
                <w:noProof/>
                <w:webHidden/>
              </w:rPr>
              <w:fldChar w:fldCharType="separate"/>
            </w:r>
            <w:r w:rsidR="00F70E16">
              <w:rPr>
                <w:noProof/>
                <w:webHidden/>
              </w:rPr>
              <w:t>42</w:t>
            </w:r>
            <w:r>
              <w:rPr>
                <w:noProof/>
                <w:webHidden/>
              </w:rPr>
              <w:fldChar w:fldCharType="end"/>
            </w:r>
          </w:hyperlink>
        </w:p>
        <w:p w14:paraId="75B5BE77" w14:textId="358C998C" w:rsidR="00932983" w:rsidRPr="00192050" w:rsidRDefault="00932983">
          <w:pPr>
            <w:rPr>
              <w:sz w:val="24"/>
              <w:szCs w:val="24"/>
            </w:rPr>
          </w:pPr>
          <w:r w:rsidRPr="00192050">
            <w:rPr>
              <w:b/>
              <w:bCs/>
              <w:noProof/>
              <w:sz w:val="24"/>
              <w:szCs w:val="24"/>
            </w:rPr>
            <w:fldChar w:fldCharType="end"/>
          </w:r>
        </w:p>
      </w:sdtContent>
    </w:sdt>
    <w:p w14:paraId="4FC86A9E" w14:textId="77777777" w:rsidR="001E47DC" w:rsidRPr="001E47DC" w:rsidRDefault="00932983" w:rsidP="001926D0">
      <w:pPr>
        <w:jc w:val="center"/>
        <w:rPr>
          <w:u w:val="single"/>
          <w:lang w:val="en-US"/>
        </w:rPr>
      </w:pPr>
      <w:r w:rsidRPr="001E47DC">
        <w:rPr>
          <w:lang w:val="en-US"/>
        </w:rPr>
        <w:br w:type="page"/>
      </w:r>
      <w:r w:rsidR="001926D0" w:rsidRPr="001E47DC">
        <w:rPr>
          <w:u w:val="single"/>
          <w:lang w:val="en-US"/>
        </w:rPr>
        <w:lastRenderedPageBreak/>
        <w:t>The Baronetage of Great Britain: An examination of the creation of the baronets and their benefits to King and Country from their creation to the twentieth century.</w:t>
      </w:r>
    </w:p>
    <w:p w14:paraId="3BF498C6" w14:textId="77777777" w:rsidR="001E47DC" w:rsidRDefault="001E47DC" w:rsidP="001926D0">
      <w:pPr>
        <w:jc w:val="center"/>
        <w:rPr>
          <w:lang w:val="en-US"/>
        </w:rPr>
      </w:pPr>
    </w:p>
    <w:p w14:paraId="7E2424CF" w14:textId="0F51AE5D" w:rsidR="001E47DC" w:rsidRDefault="001E47DC" w:rsidP="001E47DC">
      <w:pPr>
        <w:jc w:val="center"/>
        <w:rPr>
          <w:lang w:val="en-US"/>
        </w:rPr>
      </w:pPr>
      <w:r w:rsidRPr="001E47DC">
        <w:rPr>
          <w:lang w:val="en-US"/>
        </w:rPr>
        <w:t>Sam Smith</w:t>
      </w:r>
    </w:p>
    <w:p w14:paraId="2402C5AA" w14:textId="77777777" w:rsidR="001E47DC" w:rsidRDefault="001E47DC" w:rsidP="001926D0">
      <w:pPr>
        <w:jc w:val="center"/>
        <w:rPr>
          <w:lang w:val="en-US"/>
        </w:rPr>
      </w:pPr>
    </w:p>
    <w:p w14:paraId="745E9A7E" w14:textId="77777777" w:rsidR="001E47DC" w:rsidRDefault="001E47DC" w:rsidP="001926D0">
      <w:pPr>
        <w:jc w:val="center"/>
        <w:rPr>
          <w:lang w:val="en-US"/>
        </w:rPr>
      </w:pPr>
    </w:p>
    <w:p w14:paraId="4D2BAF4F" w14:textId="77777777" w:rsidR="001E47DC" w:rsidRDefault="001E47DC" w:rsidP="001926D0">
      <w:pPr>
        <w:jc w:val="center"/>
        <w:rPr>
          <w:lang w:val="en-US"/>
        </w:rPr>
      </w:pPr>
    </w:p>
    <w:p w14:paraId="057999A7" w14:textId="77777777" w:rsidR="001E47DC" w:rsidRDefault="001E47DC" w:rsidP="001926D0">
      <w:pPr>
        <w:jc w:val="center"/>
        <w:rPr>
          <w:lang w:val="en-US"/>
        </w:rPr>
      </w:pPr>
    </w:p>
    <w:p w14:paraId="4CD678D6" w14:textId="77777777" w:rsidR="001E47DC" w:rsidRDefault="001E47DC" w:rsidP="001926D0">
      <w:pPr>
        <w:jc w:val="center"/>
        <w:rPr>
          <w:lang w:val="en-US"/>
        </w:rPr>
      </w:pPr>
    </w:p>
    <w:p w14:paraId="565313D2" w14:textId="77777777" w:rsidR="001E47DC" w:rsidRDefault="001E47DC" w:rsidP="001926D0">
      <w:pPr>
        <w:jc w:val="center"/>
        <w:rPr>
          <w:lang w:val="en-US"/>
        </w:rPr>
      </w:pPr>
    </w:p>
    <w:p w14:paraId="5839716B" w14:textId="77777777" w:rsidR="001E47DC" w:rsidRDefault="001E47DC" w:rsidP="001926D0">
      <w:pPr>
        <w:jc w:val="center"/>
        <w:rPr>
          <w:lang w:val="en-US"/>
        </w:rPr>
      </w:pPr>
    </w:p>
    <w:p w14:paraId="3A90AC9A" w14:textId="77777777" w:rsidR="001E47DC" w:rsidRDefault="001E47DC" w:rsidP="001926D0">
      <w:pPr>
        <w:jc w:val="center"/>
        <w:rPr>
          <w:lang w:val="en-US"/>
        </w:rPr>
      </w:pPr>
    </w:p>
    <w:p w14:paraId="680DB750" w14:textId="77777777" w:rsidR="001E47DC" w:rsidRDefault="001E47DC" w:rsidP="001926D0">
      <w:pPr>
        <w:jc w:val="center"/>
        <w:rPr>
          <w:lang w:val="en-US"/>
        </w:rPr>
      </w:pPr>
    </w:p>
    <w:p w14:paraId="041FDFD0" w14:textId="77777777" w:rsidR="001E47DC" w:rsidRDefault="001E47DC" w:rsidP="001926D0">
      <w:pPr>
        <w:jc w:val="center"/>
        <w:rPr>
          <w:lang w:val="en-US"/>
        </w:rPr>
      </w:pPr>
    </w:p>
    <w:p w14:paraId="1FE18C6A" w14:textId="77777777" w:rsidR="001E47DC" w:rsidRDefault="001E47DC" w:rsidP="001926D0">
      <w:pPr>
        <w:jc w:val="center"/>
        <w:rPr>
          <w:lang w:val="en-US"/>
        </w:rPr>
      </w:pPr>
    </w:p>
    <w:p w14:paraId="35F441E3" w14:textId="77777777" w:rsidR="001E47DC" w:rsidRDefault="001E47DC" w:rsidP="001926D0">
      <w:pPr>
        <w:jc w:val="center"/>
        <w:rPr>
          <w:lang w:val="en-US"/>
        </w:rPr>
      </w:pPr>
    </w:p>
    <w:p w14:paraId="209AA837" w14:textId="77777777" w:rsidR="001E47DC" w:rsidRDefault="001E47DC" w:rsidP="001926D0">
      <w:pPr>
        <w:jc w:val="center"/>
        <w:rPr>
          <w:lang w:val="en-US"/>
        </w:rPr>
      </w:pPr>
    </w:p>
    <w:p w14:paraId="30E9A1A7" w14:textId="77777777" w:rsidR="001E47DC" w:rsidRDefault="001E47DC" w:rsidP="001926D0">
      <w:pPr>
        <w:jc w:val="center"/>
        <w:rPr>
          <w:lang w:val="en-US"/>
        </w:rPr>
      </w:pPr>
    </w:p>
    <w:p w14:paraId="1A71CA43" w14:textId="77777777" w:rsidR="001E47DC" w:rsidRDefault="001E47DC" w:rsidP="001926D0">
      <w:pPr>
        <w:jc w:val="center"/>
        <w:rPr>
          <w:lang w:val="en-US"/>
        </w:rPr>
      </w:pPr>
    </w:p>
    <w:p w14:paraId="4FCDD163" w14:textId="77777777" w:rsidR="001E47DC" w:rsidRDefault="001E47DC" w:rsidP="001926D0">
      <w:pPr>
        <w:jc w:val="center"/>
        <w:rPr>
          <w:lang w:val="en-US"/>
        </w:rPr>
      </w:pPr>
    </w:p>
    <w:p w14:paraId="1D3C83F0" w14:textId="77777777" w:rsidR="001E47DC" w:rsidRDefault="001E47DC" w:rsidP="001926D0">
      <w:pPr>
        <w:jc w:val="center"/>
        <w:rPr>
          <w:lang w:val="en-US"/>
        </w:rPr>
      </w:pPr>
    </w:p>
    <w:p w14:paraId="169CC227" w14:textId="4B9AE15A" w:rsidR="001E47DC" w:rsidRDefault="001E47DC" w:rsidP="001926D0">
      <w:pPr>
        <w:jc w:val="center"/>
        <w:rPr>
          <w:lang w:val="en-US"/>
        </w:rPr>
      </w:pPr>
    </w:p>
    <w:p w14:paraId="0FC4230C" w14:textId="728145AB" w:rsidR="001E47DC" w:rsidRDefault="001E47DC" w:rsidP="001926D0">
      <w:pPr>
        <w:jc w:val="center"/>
        <w:rPr>
          <w:lang w:val="en-US"/>
        </w:rPr>
      </w:pPr>
    </w:p>
    <w:p w14:paraId="645AA7CE" w14:textId="04E47F41" w:rsidR="001E47DC" w:rsidRDefault="001E47DC" w:rsidP="001926D0">
      <w:pPr>
        <w:jc w:val="center"/>
        <w:rPr>
          <w:lang w:val="en-US"/>
        </w:rPr>
      </w:pPr>
    </w:p>
    <w:p w14:paraId="4CF285ED" w14:textId="0F08C079" w:rsidR="001E47DC" w:rsidRDefault="001E47DC" w:rsidP="001926D0">
      <w:pPr>
        <w:jc w:val="center"/>
        <w:rPr>
          <w:lang w:val="en-US"/>
        </w:rPr>
      </w:pPr>
    </w:p>
    <w:p w14:paraId="5DCCA098" w14:textId="77777777" w:rsidR="001E47DC" w:rsidRDefault="001E47DC" w:rsidP="001926D0">
      <w:pPr>
        <w:jc w:val="center"/>
        <w:rPr>
          <w:lang w:val="en-US"/>
        </w:rPr>
      </w:pPr>
    </w:p>
    <w:p w14:paraId="6CEC0FF0" w14:textId="77777777" w:rsidR="001E47DC" w:rsidRDefault="001E47DC" w:rsidP="001926D0">
      <w:pPr>
        <w:jc w:val="center"/>
        <w:rPr>
          <w:lang w:val="en-US"/>
        </w:rPr>
      </w:pPr>
    </w:p>
    <w:p w14:paraId="3AE0F3C5" w14:textId="77777777" w:rsidR="001E47DC" w:rsidRDefault="001E47DC" w:rsidP="001926D0">
      <w:pPr>
        <w:jc w:val="center"/>
        <w:rPr>
          <w:lang w:val="en-US"/>
        </w:rPr>
      </w:pPr>
    </w:p>
    <w:p w14:paraId="5DF0C8E4" w14:textId="62F49F6F" w:rsidR="001E47DC" w:rsidRDefault="001E47DC" w:rsidP="001E47DC">
      <w:pPr>
        <w:jc w:val="center"/>
        <w:rPr>
          <w:lang w:val="en-US"/>
        </w:rPr>
      </w:pPr>
      <w:r>
        <w:rPr>
          <w:lang w:val="en-US"/>
        </w:rPr>
        <w:t>Dissertation submitted in partial fulfillment of a B.A. in History</w:t>
      </w:r>
    </w:p>
    <w:p w14:paraId="3847B336" w14:textId="77777777" w:rsidR="001E47DC" w:rsidRDefault="001E47DC" w:rsidP="001926D0">
      <w:pPr>
        <w:jc w:val="center"/>
        <w:rPr>
          <w:lang w:val="en-US"/>
        </w:rPr>
      </w:pPr>
      <w:r>
        <w:rPr>
          <w:lang w:val="en-US"/>
        </w:rPr>
        <w:t>University of Wales Trinity Saint David</w:t>
      </w:r>
    </w:p>
    <w:p w14:paraId="77961015" w14:textId="3142923C" w:rsidR="001926D0" w:rsidRPr="001E47DC" w:rsidRDefault="001E47DC" w:rsidP="001926D0">
      <w:pPr>
        <w:jc w:val="center"/>
        <w:rPr>
          <w:rFonts w:asciiTheme="majorHAnsi" w:eastAsiaTheme="majorEastAsia" w:hAnsiTheme="majorHAnsi" w:cstheme="majorBidi"/>
          <w:color w:val="2F5496" w:themeColor="accent1" w:themeShade="BF"/>
          <w:sz w:val="32"/>
          <w:szCs w:val="32"/>
          <w:lang w:val="en-US"/>
        </w:rPr>
      </w:pPr>
      <w:r>
        <w:rPr>
          <w:lang w:val="en-US"/>
        </w:rPr>
        <w:t>May 2020</w:t>
      </w:r>
      <w:r w:rsidR="001926D0" w:rsidRPr="001E47DC">
        <w:rPr>
          <w:lang w:val="en-US"/>
        </w:rPr>
        <w:br w:type="page"/>
      </w:r>
    </w:p>
    <w:p w14:paraId="7F538983" w14:textId="08BA8BE9" w:rsidR="001926D0" w:rsidRDefault="001926D0" w:rsidP="001926D0">
      <w:pPr>
        <w:pStyle w:val="Heading1"/>
        <w:rPr>
          <w:lang w:val="en-US"/>
        </w:rPr>
      </w:pPr>
      <w:bookmarkStart w:id="8" w:name="_Toc39836564"/>
      <w:r>
        <w:rPr>
          <w:lang w:val="en-US"/>
        </w:rPr>
        <w:lastRenderedPageBreak/>
        <w:t>Abstract</w:t>
      </w:r>
      <w:bookmarkEnd w:id="8"/>
    </w:p>
    <w:p w14:paraId="03B01E4A" w14:textId="77777777" w:rsidR="00424840" w:rsidRDefault="00424840" w:rsidP="00424840">
      <w:pPr>
        <w:rPr>
          <w:lang w:val="en-US"/>
        </w:rPr>
      </w:pPr>
    </w:p>
    <w:p w14:paraId="0D5337C5" w14:textId="77F817A5" w:rsidR="00424840" w:rsidRPr="00424840" w:rsidRDefault="00424840" w:rsidP="00424840">
      <w:pPr>
        <w:spacing w:line="480" w:lineRule="auto"/>
        <w:rPr>
          <w:sz w:val="24"/>
          <w:szCs w:val="24"/>
          <w:lang w:val="en-US"/>
        </w:rPr>
      </w:pPr>
      <w:r w:rsidRPr="00424840">
        <w:rPr>
          <w:sz w:val="24"/>
          <w:szCs w:val="24"/>
          <w:lang w:val="en-US"/>
        </w:rPr>
        <w:t xml:space="preserve">This dissertation was written to understand the baronets of England. This class of the nobility of England has been sadly under-researched, with most research being carried out in the nineteenth century. I believe that it is important to study the baronets because they make up the largest percentage of the nobility, holding over one thousand two hundred members. If one visits a national trust property, the likelihood is that it was owned by a baronet. This is where I first encountered the baronets, and where I found that few people know about this great group of people. They have represented their country in wars, in politics and in their community, and it is for these reasons I believe they should be studied. Throughout this dissertation I will examine just how the baronets have been beneficial to their communities, and in which ways they have affected Parliament and the Kings of England. My methodology for this involved examining evidence provided by secondary sources from modern and contemporary historians, as well as archival documents and stories from the baronets themselves. The problem I am solving with this research is that there is a lack of research into the baronets from the twenty-first century, and it is much needed. My research aims to bring the baronets into the social consciousness and remind people that although they are potentially the most influential members of the nobility of Great Britain. </w:t>
      </w:r>
    </w:p>
    <w:p w14:paraId="2A090719" w14:textId="77777777" w:rsidR="001926D0" w:rsidRDefault="001926D0">
      <w:pPr>
        <w:rPr>
          <w:rFonts w:asciiTheme="majorHAnsi" w:eastAsiaTheme="majorEastAsia" w:hAnsiTheme="majorHAnsi" w:cstheme="majorBidi"/>
          <w:color w:val="2F5496" w:themeColor="accent1" w:themeShade="BF"/>
          <w:sz w:val="32"/>
          <w:szCs w:val="32"/>
          <w:lang w:val="en-US"/>
        </w:rPr>
      </w:pPr>
      <w:r>
        <w:rPr>
          <w:lang w:val="en-US"/>
        </w:rPr>
        <w:br w:type="page"/>
      </w:r>
    </w:p>
    <w:p w14:paraId="648A878C" w14:textId="77777777" w:rsidR="005F30A6" w:rsidRDefault="001926D0" w:rsidP="001926D0">
      <w:pPr>
        <w:pStyle w:val="Heading1"/>
        <w:rPr>
          <w:lang w:val="en-US"/>
        </w:rPr>
      </w:pPr>
      <w:bookmarkStart w:id="9" w:name="_Toc39836565"/>
      <w:r>
        <w:rPr>
          <w:lang w:val="en-US"/>
        </w:rPr>
        <w:lastRenderedPageBreak/>
        <w:t>Acknowledgements</w:t>
      </w:r>
      <w:bookmarkEnd w:id="9"/>
    </w:p>
    <w:p w14:paraId="6C331DDE" w14:textId="77777777" w:rsidR="005F30A6" w:rsidRDefault="005F30A6" w:rsidP="001926D0">
      <w:pPr>
        <w:pStyle w:val="Heading1"/>
        <w:rPr>
          <w:lang w:val="en-US"/>
        </w:rPr>
      </w:pPr>
    </w:p>
    <w:p w14:paraId="5B19208D" w14:textId="2393A083" w:rsidR="001926D0" w:rsidRDefault="005F30A6" w:rsidP="005F30A6">
      <w:pPr>
        <w:spacing w:line="480" w:lineRule="auto"/>
        <w:rPr>
          <w:lang w:val="en-US"/>
        </w:rPr>
      </w:pPr>
      <w:r>
        <w:rPr>
          <w:sz w:val="24"/>
          <w:szCs w:val="24"/>
          <w:lang w:val="en-US"/>
        </w:rPr>
        <w:t xml:space="preserve">I would like to dedicate this dissertation to my loving </w:t>
      </w:r>
      <w:r w:rsidR="00FA4E23">
        <w:rPr>
          <w:sz w:val="24"/>
          <w:szCs w:val="24"/>
          <w:lang w:val="en-US"/>
        </w:rPr>
        <w:t>g</w:t>
      </w:r>
      <w:r>
        <w:rPr>
          <w:sz w:val="24"/>
          <w:szCs w:val="24"/>
          <w:lang w:val="en-US"/>
        </w:rPr>
        <w:t>irlfriend Jade, without whom none of this would have been possible. I would also like to thank Alexander Scott and Harriet Webster for their invaluable advice. Chapter three would not have been written without the help of the National Trust, particularly staff at Killerton, Woolbeding Gardens and Croft Castle, all of whom were extremely kind and helpful in providing inform</w:t>
      </w:r>
      <w:bookmarkStart w:id="10" w:name="_GoBack"/>
      <w:bookmarkEnd w:id="10"/>
      <w:r>
        <w:rPr>
          <w:sz w:val="24"/>
          <w:szCs w:val="24"/>
          <w:lang w:val="en-US"/>
        </w:rPr>
        <w:t xml:space="preserve">ation. </w:t>
      </w:r>
      <w:r w:rsidR="001926D0">
        <w:rPr>
          <w:lang w:val="en-US"/>
        </w:rPr>
        <w:br w:type="page"/>
      </w:r>
    </w:p>
    <w:p w14:paraId="72349918" w14:textId="6FDEA021" w:rsidR="00932983" w:rsidRDefault="006D2C74" w:rsidP="006D2C74">
      <w:pPr>
        <w:pStyle w:val="Heading1"/>
        <w:rPr>
          <w:lang w:val="en-US"/>
        </w:rPr>
      </w:pPr>
      <w:bookmarkStart w:id="11" w:name="_Toc39836566"/>
      <w:r>
        <w:rPr>
          <w:lang w:val="en-US"/>
        </w:rPr>
        <w:lastRenderedPageBreak/>
        <w:t>Introduction</w:t>
      </w:r>
      <w:bookmarkEnd w:id="11"/>
    </w:p>
    <w:p w14:paraId="4AB2042E" w14:textId="77777777" w:rsidR="006D2C74" w:rsidRPr="006D2C74" w:rsidRDefault="006D2C74" w:rsidP="006D2C74">
      <w:pPr>
        <w:rPr>
          <w:lang w:val="en-US"/>
        </w:rPr>
      </w:pPr>
    </w:p>
    <w:p w14:paraId="5A6A2434" w14:textId="1CAC5CF4" w:rsidR="006D2C74" w:rsidRPr="006D2C74" w:rsidRDefault="006D2C74" w:rsidP="006D2C74">
      <w:pPr>
        <w:spacing w:line="480" w:lineRule="auto"/>
        <w:ind w:firstLine="720"/>
        <w:rPr>
          <w:sz w:val="24"/>
          <w:szCs w:val="24"/>
          <w:lang w:val="en-US"/>
        </w:rPr>
      </w:pPr>
      <w:r w:rsidRPr="006D2C74">
        <w:rPr>
          <w:sz w:val="24"/>
          <w:szCs w:val="24"/>
          <w:lang w:val="en-US"/>
        </w:rPr>
        <w:t xml:space="preserve">If one looks through history at the various wars that have taken place, one thing is absolutely certain: they require money, lots of money. Waging war on a country requires men, which requires food and transport for those men, should the war be taking place overseas, it also requires food, equipment, drinks, and much more, all of which require money. The Tudor conquest, which began with King Henry VIII and ended with Queen Elizabeth I, was a </w:t>
      </w:r>
      <w:r w:rsidR="00CD6249" w:rsidRPr="006D2C74">
        <w:rPr>
          <w:sz w:val="24"/>
          <w:szCs w:val="24"/>
          <w:lang w:val="en-US"/>
        </w:rPr>
        <w:t>seventy-year</w:t>
      </w:r>
      <w:r w:rsidRPr="006D2C74">
        <w:rPr>
          <w:sz w:val="24"/>
          <w:szCs w:val="24"/>
          <w:lang w:val="en-US"/>
        </w:rPr>
        <w:t xml:space="preserve"> long war for control over Ireland. It resulted in the chieftains that once ruled Ireland being forced to accept English law and the crushing of the native population.</w:t>
      </w:r>
      <w:r w:rsidRPr="006D2C74">
        <w:rPr>
          <w:rStyle w:val="FootnoteReference"/>
          <w:sz w:val="24"/>
          <w:szCs w:val="24"/>
          <w:lang w:val="en-US"/>
        </w:rPr>
        <w:footnoteReference w:id="1"/>
      </w:r>
      <w:r w:rsidRPr="006D2C74">
        <w:rPr>
          <w:sz w:val="24"/>
          <w:szCs w:val="24"/>
          <w:lang w:val="en-US"/>
        </w:rPr>
        <w:t xml:space="preserve"> Such a result often leads to the inevitable fighting back from the local population against their new invaders, and therefore it was of utmost importance for England to keep a presence in Ireland, to maintain control. Thus, the Ulster plantation was created. This was an area in the north of Ireland ruled by the English, where the King, the newly crowned King James I, could maintain control over the remaining population. This war had resulted in the emptying of the King’s accounts, and James was in dire need of funds.</w:t>
      </w:r>
    </w:p>
    <w:p w14:paraId="34FBC5FE" w14:textId="4171971C" w:rsidR="006D2C74" w:rsidRPr="006D2C74" w:rsidRDefault="006D2C74" w:rsidP="006D2C74">
      <w:pPr>
        <w:spacing w:line="480" w:lineRule="auto"/>
        <w:rPr>
          <w:sz w:val="24"/>
          <w:szCs w:val="24"/>
          <w:lang w:val="en-US"/>
        </w:rPr>
      </w:pPr>
      <w:r w:rsidRPr="006D2C74">
        <w:rPr>
          <w:sz w:val="24"/>
          <w:szCs w:val="24"/>
          <w:lang w:val="en-US"/>
        </w:rPr>
        <w:tab/>
        <w:t xml:space="preserve">This essay will explore the result of a plan proposed by Sir Francis Bacon in 1606, a plan which would create a new branch of nobility, a plan which would cause grief for Parliaments in the decades that followed, a plan that changed the face of England forever: the baronets. A new branch of the nobles, in social status placed under the barons but above knights, a fresh, legitimate, hereditary title. I will explore the ways in which the baronets affected both King and Country, both positively and negatively. I will then examine the sum totals of these </w:t>
      </w:r>
      <w:r w:rsidR="00CD6249" w:rsidRPr="006D2C74">
        <w:rPr>
          <w:sz w:val="24"/>
          <w:szCs w:val="24"/>
          <w:lang w:val="en-US"/>
        </w:rPr>
        <w:t>actions and</w:t>
      </w:r>
      <w:r w:rsidRPr="006D2C74">
        <w:rPr>
          <w:sz w:val="24"/>
          <w:szCs w:val="24"/>
          <w:lang w:val="en-US"/>
        </w:rPr>
        <w:t xml:space="preserve"> decide whether the creation of the baronets was more </w:t>
      </w:r>
      <w:r w:rsidRPr="006D2C74">
        <w:rPr>
          <w:sz w:val="24"/>
          <w:szCs w:val="24"/>
          <w:lang w:val="en-US"/>
        </w:rPr>
        <w:lastRenderedPageBreak/>
        <w:t xml:space="preserve">beneficial for King or Country. From my preliminary research, I believe that the results of this will be that the baronets are indeed more beneficial for Country. </w:t>
      </w:r>
    </w:p>
    <w:p w14:paraId="39E778B7" w14:textId="42B878C1" w:rsidR="00EB177C" w:rsidRDefault="006D2C74" w:rsidP="006D2C74">
      <w:pPr>
        <w:spacing w:line="480" w:lineRule="auto"/>
        <w:rPr>
          <w:sz w:val="24"/>
          <w:szCs w:val="24"/>
          <w:lang w:val="en-US"/>
        </w:rPr>
      </w:pPr>
      <w:r w:rsidRPr="006D2C74">
        <w:rPr>
          <w:sz w:val="24"/>
          <w:szCs w:val="24"/>
          <w:lang w:val="en-US"/>
        </w:rPr>
        <w:tab/>
        <w:t xml:space="preserve">I will present my findings in three chapters, firstly a chapter focusing on the creation of the baronets, examining what the terms were and setting the groundwork for the following chapters. Secondly, a chapter on the dissent that plagued the baronets for generations after their creation, both from Parliament and from the general public. Finally, I will examine how the baronets have helped the country of England. I will achieve this by examining certain families which were given or bought a baronetcy, and by utilizing a number of research methods such as published works, journals and interviews. I had planned to utilise archival materials, from archives local to each </w:t>
      </w:r>
      <w:r w:rsidR="00CD6249" w:rsidRPr="006D2C74">
        <w:rPr>
          <w:sz w:val="24"/>
          <w:szCs w:val="24"/>
          <w:lang w:val="en-US"/>
        </w:rPr>
        <w:t>baronets’</w:t>
      </w:r>
      <w:r w:rsidRPr="006D2C74">
        <w:rPr>
          <w:sz w:val="24"/>
          <w:szCs w:val="24"/>
          <w:lang w:val="en-US"/>
        </w:rPr>
        <w:t xml:space="preserve"> locations, but due to a global pandemic this ended up not being possible, and I had to resort to using primarily online materials. </w:t>
      </w:r>
    </w:p>
    <w:p w14:paraId="069239D9" w14:textId="6553B295" w:rsidR="009E735A" w:rsidRDefault="009E735A" w:rsidP="009E735A">
      <w:pPr>
        <w:spacing w:line="480" w:lineRule="auto"/>
        <w:ind w:firstLine="720"/>
        <w:rPr>
          <w:sz w:val="24"/>
          <w:szCs w:val="24"/>
          <w:lang w:val="en-US"/>
        </w:rPr>
      </w:pPr>
      <w:r>
        <w:rPr>
          <w:sz w:val="24"/>
          <w:szCs w:val="24"/>
          <w:lang w:val="en-US"/>
        </w:rPr>
        <w:tab/>
        <w:t>I believe that the baronets are worth researching because of the fact that they make up the largest section of the nobility of Great Britain. As of 2019, the current number</w:t>
      </w:r>
      <w:r w:rsidR="00FC760D">
        <w:rPr>
          <w:sz w:val="24"/>
          <w:szCs w:val="24"/>
          <w:lang w:val="en-US"/>
        </w:rPr>
        <w:t>s</w:t>
      </w:r>
      <w:r>
        <w:rPr>
          <w:sz w:val="24"/>
          <w:szCs w:val="24"/>
          <w:lang w:val="en-US"/>
        </w:rPr>
        <w:t xml:space="preserve"> of extant peerages, that is the number of peerages that have identifiable heirs</w:t>
      </w:r>
      <w:r w:rsidR="00FC760D">
        <w:rPr>
          <w:sz w:val="24"/>
          <w:szCs w:val="24"/>
          <w:lang w:val="en-US"/>
        </w:rPr>
        <w:t>,</w:t>
      </w:r>
      <w:r>
        <w:rPr>
          <w:sz w:val="24"/>
          <w:szCs w:val="24"/>
          <w:lang w:val="en-US"/>
        </w:rPr>
        <w:t xml:space="preserve"> are as follows: thirty-one dukes, thirty-four marquesses, one hundred and ninety-three early, one hundred and twelve viscounts, one thousand one hundred and ninety-four barons and one thousand two hundred and seventy-five baronets. That makes the baronets the largest group of existing nobles.</w:t>
      </w:r>
      <w:r w:rsidR="00B60993">
        <w:rPr>
          <w:rStyle w:val="FootnoteReference"/>
          <w:sz w:val="24"/>
          <w:szCs w:val="24"/>
          <w:lang w:val="en-US"/>
        </w:rPr>
        <w:footnoteReference w:id="2"/>
      </w:r>
      <w:r w:rsidR="00A46F9C">
        <w:rPr>
          <w:sz w:val="24"/>
          <w:szCs w:val="24"/>
          <w:lang w:val="en-US"/>
        </w:rPr>
        <w:t xml:space="preserve"> </w:t>
      </w:r>
    </w:p>
    <w:p w14:paraId="07C13E5A" w14:textId="443BB3E8" w:rsidR="00A46F9C" w:rsidRPr="00192050" w:rsidRDefault="00A46F9C" w:rsidP="009E735A">
      <w:pPr>
        <w:spacing w:line="480" w:lineRule="auto"/>
        <w:ind w:firstLine="720"/>
        <w:rPr>
          <w:sz w:val="24"/>
          <w:szCs w:val="24"/>
          <w:lang w:val="en-US"/>
        </w:rPr>
      </w:pPr>
      <w:r>
        <w:rPr>
          <w:sz w:val="24"/>
          <w:szCs w:val="24"/>
          <w:lang w:val="en-US"/>
        </w:rPr>
        <w:t xml:space="preserve">Throughout my research, one fact has made itself abundantly clear, that the baronets have not been studied in any major capacity in the twenty-first century. I have </w:t>
      </w:r>
      <w:r>
        <w:rPr>
          <w:sz w:val="24"/>
          <w:szCs w:val="24"/>
          <w:lang w:val="en-US"/>
        </w:rPr>
        <w:lastRenderedPageBreak/>
        <w:t xml:space="preserve">witnessed </w:t>
      </w:r>
      <w:r w:rsidR="00242338">
        <w:rPr>
          <w:sz w:val="24"/>
          <w:szCs w:val="24"/>
          <w:lang w:val="en-US"/>
        </w:rPr>
        <w:t>three</w:t>
      </w:r>
      <w:r>
        <w:rPr>
          <w:sz w:val="24"/>
          <w:szCs w:val="24"/>
          <w:lang w:val="en-US"/>
        </w:rPr>
        <w:t xml:space="preserve"> major surges in the historiography of the baronets</w:t>
      </w:r>
      <w:r w:rsidR="00242338">
        <w:rPr>
          <w:sz w:val="24"/>
          <w:szCs w:val="24"/>
          <w:lang w:val="en-US"/>
        </w:rPr>
        <w:t>. The first was during the surge in antiquarianism, which I explore in chapter one. The main result of this interest was documents such as Burke’s peerage being created. These documents listed the baronets and often included how they earned their baronetcy, and if they had any heirs.</w:t>
      </w:r>
      <w:r>
        <w:rPr>
          <w:sz w:val="24"/>
          <w:szCs w:val="24"/>
          <w:lang w:val="en-US"/>
        </w:rPr>
        <w:t xml:space="preserve"> </w:t>
      </w:r>
      <w:r w:rsidR="00242338">
        <w:rPr>
          <w:sz w:val="24"/>
          <w:szCs w:val="24"/>
          <w:lang w:val="en-US"/>
        </w:rPr>
        <w:t>Secondly,</w:t>
      </w:r>
      <w:r>
        <w:rPr>
          <w:sz w:val="24"/>
          <w:szCs w:val="24"/>
          <w:lang w:val="en-US"/>
        </w:rPr>
        <w:t xml:space="preserve"> during the late nineteenth century, when works such as Pixley’s</w:t>
      </w:r>
      <w:r>
        <w:rPr>
          <w:i/>
          <w:iCs/>
          <w:sz w:val="24"/>
          <w:szCs w:val="24"/>
          <w:lang w:val="en-US"/>
        </w:rPr>
        <w:t xml:space="preserve"> History of the Baronetage</w:t>
      </w:r>
      <w:r>
        <w:rPr>
          <w:sz w:val="24"/>
          <w:szCs w:val="24"/>
          <w:lang w:val="en-US"/>
        </w:rPr>
        <w:t xml:space="preserve"> were written, works that compiled letters patent and various other documents relating to the baronets while offering explanations and interpretations for them. The </w:t>
      </w:r>
      <w:r w:rsidR="00242338">
        <w:rPr>
          <w:sz w:val="24"/>
          <w:szCs w:val="24"/>
          <w:lang w:val="en-US"/>
        </w:rPr>
        <w:t>last</w:t>
      </w:r>
      <w:r>
        <w:rPr>
          <w:sz w:val="24"/>
          <w:szCs w:val="24"/>
          <w:lang w:val="en-US"/>
        </w:rPr>
        <w:t xml:space="preserve"> surge was in the mid-twentieth century when scholars such as Van Eerde published works such as </w:t>
      </w:r>
      <w:r>
        <w:rPr>
          <w:i/>
          <w:iCs/>
          <w:sz w:val="24"/>
          <w:szCs w:val="24"/>
          <w:lang w:val="en-US"/>
        </w:rPr>
        <w:t>Creation of the Baronetage.</w:t>
      </w:r>
      <w:r w:rsidR="00072AFA">
        <w:rPr>
          <w:sz w:val="24"/>
          <w:szCs w:val="24"/>
          <w:lang w:val="en-US"/>
        </w:rPr>
        <w:t xml:space="preserve"> Towards the early twenty-first century, I have noticed an increase in the number of biographies being written, which can be explained by firstly an uptick in interest in history, especially local history, championed by services such as the National Trust, and secondly by the advancements that have been made with the Internet, which has provided the country with easy access to world</w:t>
      </w:r>
      <w:r w:rsidR="00242338">
        <w:rPr>
          <w:sz w:val="24"/>
          <w:szCs w:val="24"/>
          <w:lang w:val="en-US"/>
        </w:rPr>
        <w:t>-</w:t>
      </w:r>
      <w:r w:rsidR="00072AFA">
        <w:rPr>
          <w:sz w:val="24"/>
          <w:szCs w:val="24"/>
          <w:lang w:val="en-US"/>
        </w:rPr>
        <w:t>wide information.</w:t>
      </w:r>
      <w:r w:rsidR="00566CBF">
        <w:rPr>
          <w:sz w:val="24"/>
          <w:szCs w:val="24"/>
          <w:lang w:val="en-US"/>
        </w:rPr>
        <w:t xml:space="preserve"> It has been refreshing to see that the creation of the baronets has been written and maintained over the centuries, and I am sure that we will see a surge in interest in them once again in the near future.</w:t>
      </w:r>
      <w:r w:rsidR="00072AFA">
        <w:rPr>
          <w:sz w:val="24"/>
          <w:szCs w:val="24"/>
          <w:lang w:val="en-US"/>
        </w:rPr>
        <w:t xml:space="preserve"> </w:t>
      </w:r>
    </w:p>
    <w:p w14:paraId="39FD4C32" w14:textId="0F1ABDEC" w:rsidR="009E735A" w:rsidRDefault="00D06287" w:rsidP="006D2C74">
      <w:pPr>
        <w:spacing w:line="480" w:lineRule="auto"/>
        <w:rPr>
          <w:sz w:val="24"/>
          <w:szCs w:val="24"/>
          <w:lang w:val="en-US"/>
        </w:rPr>
      </w:pPr>
      <w:r>
        <w:rPr>
          <w:sz w:val="24"/>
          <w:szCs w:val="24"/>
          <w:lang w:val="en-US"/>
        </w:rPr>
        <w:tab/>
        <w:t xml:space="preserve"> </w:t>
      </w:r>
    </w:p>
    <w:p w14:paraId="5BECEF6E" w14:textId="77777777" w:rsidR="00EB177C" w:rsidRDefault="00EB177C">
      <w:pPr>
        <w:rPr>
          <w:sz w:val="24"/>
          <w:szCs w:val="24"/>
          <w:lang w:val="en-US"/>
        </w:rPr>
      </w:pPr>
      <w:r>
        <w:rPr>
          <w:sz w:val="24"/>
          <w:szCs w:val="24"/>
          <w:lang w:val="en-US"/>
        </w:rPr>
        <w:br w:type="page"/>
      </w:r>
    </w:p>
    <w:p w14:paraId="00EF635A" w14:textId="7AC311D0" w:rsidR="006D2C74" w:rsidRPr="00AE0AF4" w:rsidRDefault="006D2C74" w:rsidP="00AE0AF4">
      <w:pPr>
        <w:pStyle w:val="Heading1"/>
      </w:pPr>
      <w:bookmarkStart w:id="12" w:name="_Toc39836567"/>
      <w:r w:rsidRPr="00AE0AF4">
        <w:lastRenderedPageBreak/>
        <w:t>Chapter 1 – An In-depth Analysis of the Creation of the Baronets.</w:t>
      </w:r>
      <w:bookmarkEnd w:id="12"/>
    </w:p>
    <w:p w14:paraId="288F5984" w14:textId="77777777" w:rsidR="006D2C74" w:rsidRPr="006D2C74" w:rsidRDefault="006D2C74" w:rsidP="006D2C74">
      <w:pPr>
        <w:rPr>
          <w:lang w:val="en-US"/>
        </w:rPr>
      </w:pPr>
    </w:p>
    <w:p w14:paraId="7D8599F3" w14:textId="30C6E6DB" w:rsidR="00CD200D" w:rsidRPr="00192050" w:rsidRDefault="00B67A87" w:rsidP="00754841">
      <w:pPr>
        <w:spacing w:line="480" w:lineRule="auto"/>
        <w:ind w:firstLine="720"/>
        <w:rPr>
          <w:sz w:val="24"/>
          <w:szCs w:val="24"/>
          <w:lang w:val="en-US"/>
        </w:rPr>
      </w:pPr>
      <w:r w:rsidRPr="00192050">
        <w:rPr>
          <w:sz w:val="24"/>
          <w:szCs w:val="24"/>
          <w:lang w:val="en-US"/>
        </w:rPr>
        <w:t xml:space="preserve">Given that the King needed money, a plan was presented to the King by Sir Francis </w:t>
      </w:r>
      <w:r w:rsidR="00D06287">
        <w:rPr>
          <w:sz w:val="24"/>
          <w:szCs w:val="24"/>
          <w:lang w:val="en-US"/>
        </w:rPr>
        <w:t>Bacon</w:t>
      </w:r>
      <w:r w:rsidRPr="00192050">
        <w:rPr>
          <w:sz w:val="24"/>
          <w:szCs w:val="24"/>
          <w:lang w:val="en-US"/>
        </w:rPr>
        <w:t>, titled “</w:t>
      </w:r>
      <w:r w:rsidR="00CD200D" w:rsidRPr="00192050">
        <w:rPr>
          <w:sz w:val="24"/>
          <w:szCs w:val="24"/>
          <w:lang w:val="en-US"/>
        </w:rPr>
        <w:t>Certain Considerations Touching the Plantation in Ireland. Presented to His Majesty, 1606”.</w:t>
      </w:r>
      <w:r w:rsidR="00CD200D" w:rsidRPr="00192050">
        <w:rPr>
          <w:rStyle w:val="FootnoteReference"/>
          <w:sz w:val="24"/>
          <w:szCs w:val="24"/>
          <w:lang w:val="en-US"/>
        </w:rPr>
        <w:footnoteReference w:id="3"/>
      </w:r>
      <w:r w:rsidRPr="00192050">
        <w:rPr>
          <w:sz w:val="24"/>
          <w:szCs w:val="24"/>
          <w:lang w:val="en-US"/>
        </w:rPr>
        <w:t xml:space="preserve"> </w:t>
      </w:r>
      <w:r w:rsidR="00CD200D" w:rsidRPr="00192050">
        <w:rPr>
          <w:sz w:val="24"/>
          <w:szCs w:val="24"/>
          <w:lang w:val="en-US"/>
        </w:rPr>
        <w:t>In this document, Bacon proposed the creation of a new title of nobility, which could be bought by persons of repute, who were wanting of a title. Bacon proposed that “this must rather be an adventure for such as are full, than a setting up of this that are low of means: for those men indeed are fit to perform those undertakings which . . . [are] fit to put out more money upon long returns.”</w:t>
      </w:r>
      <w:r w:rsidR="00CD200D" w:rsidRPr="00192050">
        <w:rPr>
          <w:rStyle w:val="FootnoteReference"/>
          <w:sz w:val="24"/>
          <w:szCs w:val="24"/>
          <w:lang w:val="en-US"/>
        </w:rPr>
        <w:footnoteReference w:id="4"/>
      </w:r>
      <w:r w:rsidR="00CD200D" w:rsidRPr="00192050">
        <w:rPr>
          <w:sz w:val="24"/>
          <w:szCs w:val="24"/>
          <w:lang w:val="en-US"/>
        </w:rPr>
        <w:t xml:space="preserve"> With this quote, Bacon is suggesting that the proposed title should appeal to those who are able to put forth money at that very instance, rather than those who were able to gather the money slowly over a few years. This appealed to the King because he needed to keep troops in Ireland. The new nobility was to be titled the </w:t>
      </w:r>
      <w:r w:rsidR="006F5D6D" w:rsidRPr="00192050">
        <w:rPr>
          <w:sz w:val="24"/>
          <w:szCs w:val="24"/>
          <w:lang w:val="en-US"/>
        </w:rPr>
        <w:t>b</w:t>
      </w:r>
      <w:r w:rsidR="00CD200D" w:rsidRPr="00192050">
        <w:rPr>
          <w:sz w:val="24"/>
          <w:szCs w:val="24"/>
          <w:lang w:val="en-US"/>
        </w:rPr>
        <w:t>aronets, and thus we see the origins of the title.</w:t>
      </w:r>
    </w:p>
    <w:p w14:paraId="097006C0" w14:textId="6BA473F3" w:rsidR="006F5D6D" w:rsidRPr="00192050" w:rsidRDefault="00F3279C" w:rsidP="00754841">
      <w:pPr>
        <w:spacing w:line="480" w:lineRule="auto"/>
        <w:ind w:firstLine="720"/>
        <w:rPr>
          <w:sz w:val="24"/>
          <w:szCs w:val="24"/>
          <w:lang w:val="en-US"/>
        </w:rPr>
      </w:pPr>
      <w:r w:rsidRPr="00192050">
        <w:rPr>
          <w:sz w:val="24"/>
          <w:szCs w:val="24"/>
          <w:lang w:val="en-US"/>
        </w:rPr>
        <w:t>Sir Francis Bacon recognized that in order to be encouraged to buy the new title, people would have to see something special about becoming a baronet.</w:t>
      </w:r>
      <w:r w:rsidR="006F5D6D" w:rsidRPr="00192050">
        <w:rPr>
          <w:sz w:val="24"/>
          <w:szCs w:val="24"/>
          <w:lang w:val="en-US"/>
        </w:rPr>
        <w:t xml:space="preserve"> Bacon was clever to recognize this and wrote in his plan a reward for those who put forth money “for knighthood to such persons as have not attained it; or otherwise knighthood with some new difference and precedence; it may no doubt work with many.”</w:t>
      </w:r>
      <w:r w:rsidR="006F5D6D" w:rsidRPr="00192050">
        <w:rPr>
          <w:rStyle w:val="FootnoteReference"/>
          <w:sz w:val="24"/>
          <w:szCs w:val="24"/>
          <w:lang w:val="en-US"/>
        </w:rPr>
        <w:footnoteReference w:id="5"/>
      </w:r>
      <w:r w:rsidR="006F5D6D" w:rsidRPr="00192050">
        <w:rPr>
          <w:sz w:val="24"/>
          <w:szCs w:val="24"/>
          <w:lang w:val="en-US"/>
        </w:rPr>
        <w:t xml:space="preserve"> This new difference, proposed by Bacon and received by James I was that the title of Baronet should be hereditary, meaning it passes down to the next male heir upon the death of the current </w:t>
      </w:r>
      <w:r w:rsidR="006F5D6D" w:rsidRPr="00192050">
        <w:rPr>
          <w:sz w:val="24"/>
          <w:szCs w:val="24"/>
          <w:lang w:val="en-US"/>
        </w:rPr>
        <w:lastRenderedPageBreak/>
        <w:t>titleholder. This feature was what separated and distinguished a baronet from the regular knights.</w:t>
      </w:r>
    </w:p>
    <w:p w14:paraId="1ED5773D" w14:textId="71C1F04A" w:rsidR="00513D46" w:rsidRPr="00192050" w:rsidRDefault="00513D46" w:rsidP="00754841">
      <w:pPr>
        <w:spacing w:line="480" w:lineRule="auto"/>
        <w:ind w:firstLine="720"/>
        <w:rPr>
          <w:sz w:val="24"/>
          <w:szCs w:val="24"/>
          <w:lang w:val="en-US"/>
        </w:rPr>
      </w:pPr>
      <w:r w:rsidRPr="00192050">
        <w:rPr>
          <w:sz w:val="24"/>
          <w:szCs w:val="24"/>
          <w:lang w:val="en-US"/>
        </w:rPr>
        <w:t>In his original plan, Bacon wrote: “It is not unlike your majesty will think of raising some nobility [in Ulster]; which if it be done merely upon new titles of dignity, having no manner of reference to the old; and it be done also without putting too many portions into one hand; and lastly if it be done without any great franchises or commands, I do not see any peril can ensue thereof.”</w:t>
      </w:r>
      <w:r w:rsidRPr="00192050">
        <w:rPr>
          <w:rStyle w:val="FootnoteReference"/>
          <w:sz w:val="24"/>
          <w:szCs w:val="24"/>
          <w:lang w:val="en-US"/>
        </w:rPr>
        <w:footnoteReference w:id="6"/>
      </w:r>
      <w:r w:rsidRPr="00192050">
        <w:rPr>
          <w:sz w:val="24"/>
          <w:szCs w:val="24"/>
          <w:lang w:val="en-US"/>
        </w:rPr>
        <w:t xml:space="preserve"> There are several aspects to this sentence that shall be explored. Firstly, </w:t>
      </w:r>
      <w:r w:rsidR="00754841" w:rsidRPr="00192050">
        <w:rPr>
          <w:sz w:val="24"/>
          <w:szCs w:val="24"/>
          <w:lang w:val="en-US"/>
        </w:rPr>
        <w:t>‘</w:t>
      </w:r>
      <w:r w:rsidRPr="00192050">
        <w:rPr>
          <w:sz w:val="24"/>
          <w:szCs w:val="24"/>
          <w:lang w:val="en-US"/>
        </w:rPr>
        <w:t xml:space="preserve">your majesty will think of raising some nobility [in </w:t>
      </w:r>
      <w:r w:rsidR="00754841" w:rsidRPr="00192050">
        <w:rPr>
          <w:sz w:val="24"/>
          <w:szCs w:val="24"/>
          <w:lang w:val="en-US"/>
        </w:rPr>
        <w:t>U</w:t>
      </w:r>
      <w:r w:rsidRPr="00192050">
        <w:rPr>
          <w:sz w:val="24"/>
          <w:szCs w:val="24"/>
          <w:lang w:val="en-US"/>
        </w:rPr>
        <w:t>lster]</w:t>
      </w:r>
      <w:r w:rsidR="00754841" w:rsidRPr="00192050">
        <w:rPr>
          <w:sz w:val="24"/>
          <w:szCs w:val="24"/>
          <w:lang w:val="en-US"/>
        </w:rPr>
        <w:t>’</w:t>
      </w:r>
      <w:r w:rsidRPr="00192050">
        <w:rPr>
          <w:sz w:val="24"/>
          <w:szCs w:val="24"/>
          <w:lang w:val="en-US"/>
        </w:rPr>
        <w:t xml:space="preserve"> shows us that one of the roles for the baronets could have been to stay in Ulster and to protect the plantation being built there. Secondly, </w:t>
      </w:r>
      <w:r w:rsidR="00754841" w:rsidRPr="00192050">
        <w:rPr>
          <w:sz w:val="24"/>
          <w:szCs w:val="24"/>
          <w:lang w:val="en-US"/>
        </w:rPr>
        <w:t>‘</w:t>
      </w:r>
      <w:r w:rsidRPr="00192050">
        <w:rPr>
          <w:sz w:val="24"/>
          <w:szCs w:val="24"/>
          <w:lang w:val="en-US"/>
        </w:rPr>
        <w:t>no manner of reference to the old</w:t>
      </w:r>
      <w:r w:rsidR="00754841" w:rsidRPr="00192050">
        <w:rPr>
          <w:sz w:val="24"/>
          <w:szCs w:val="24"/>
          <w:lang w:val="en-US"/>
        </w:rPr>
        <w:t>’</w:t>
      </w:r>
      <w:r w:rsidRPr="00192050">
        <w:rPr>
          <w:sz w:val="24"/>
          <w:szCs w:val="24"/>
          <w:lang w:val="en-US"/>
        </w:rPr>
        <w:t xml:space="preserve"> indicates that Bacon believed that there should be no reference to the titles already in existence, which would include the </w:t>
      </w:r>
      <w:r w:rsidRPr="00192050">
        <w:rPr>
          <w:i/>
          <w:iCs/>
          <w:sz w:val="24"/>
          <w:szCs w:val="24"/>
          <w:lang w:val="en-US"/>
        </w:rPr>
        <w:t>nobilis majores</w:t>
      </w:r>
      <w:r w:rsidRPr="00192050">
        <w:rPr>
          <w:sz w:val="24"/>
          <w:szCs w:val="24"/>
          <w:lang w:val="en-US"/>
        </w:rPr>
        <w:t xml:space="preserve">. Perhaps Bacon believed that if a reference was made to the existing titles then people would ask why they had not been in ulster this whole time, protecting the new plantation. </w:t>
      </w:r>
    </w:p>
    <w:p w14:paraId="61B4A658" w14:textId="2CFE430F" w:rsidR="00DB0DDD" w:rsidRPr="00192050" w:rsidRDefault="00CE7D29" w:rsidP="0014016A">
      <w:pPr>
        <w:spacing w:line="480" w:lineRule="auto"/>
        <w:ind w:firstLine="720"/>
        <w:rPr>
          <w:sz w:val="24"/>
          <w:szCs w:val="24"/>
          <w:lang w:val="en-US"/>
        </w:rPr>
      </w:pPr>
      <w:r w:rsidRPr="00192050">
        <w:rPr>
          <w:sz w:val="24"/>
          <w:szCs w:val="24"/>
          <w:lang w:val="en-US"/>
        </w:rPr>
        <w:t>At the time of creation there were several requirements proposed for the new title which were as follows: firstly, there was to be a noble ancestry for at least two generations on the paternal side.</w:t>
      </w:r>
      <w:r w:rsidRPr="00192050">
        <w:rPr>
          <w:rStyle w:val="FootnoteReference"/>
          <w:sz w:val="24"/>
          <w:szCs w:val="24"/>
          <w:lang w:val="en-US"/>
        </w:rPr>
        <w:footnoteReference w:id="7"/>
      </w:r>
      <w:r w:rsidRPr="00192050">
        <w:rPr>
          <w:sz w:val="24"/>
          <w:szCs w:val="24"/>
          <w:lang w:val="en-US"/>
        </w:rPr>
        <w:t xml:space="preserve"> Secondly, the person applying must have an inherited land yielding a revenue of a thousand pounds yearly.</w:t>
      </w:r>
      <w:r w:rsidRPr="00192050">
        <w:rPr>
          <w:rStyle w:val="FootnoteReference"/>
          <w:sz w:val="24"/>
          <w:szCs w:val="24"/>
          <w:lang w:val="en-US"/>
        </w:rPr>
        <w:footnoteReference w:id="8"/>
      </w:r>
      <w:r w:rsidRPr="00192050">
        <w:rPr>
          <w:sz w:val="24"/>
          <w:szCs w:val="24"/>
          <w:lang w:val="en-US"/>
        </w:rPr>
        <w:t xml:space="preserve"> The third requirement was that a payment of one thousand and ninety-five pounds was to be made in three parts, the first being presented at </w:t>
      </w:r>
      <w:r w:rsidRPr="00192050">
        <w:rPr>
          <w:sz w:val="24"/>
          <w:szCs w:val="24"/>
          <w:lang w:val="en-US"/>
        </w:rPr>
        <w:lastRenderedPageBreak/>
        <w:t>the purchase of the title.</w:t>
      </w:r>
      <w:r w:rsidRPr="00192050">
        <w:rPr>
          <w:rStyle w:val="FootnoteReference"/>
          <w:sz w:val="24"/>
          <w:szCs w:val="24"/>
          <w:lang w:val="en-US"/>
        </w:rPr>
        <w:footnoteReference w:id="9"/>
      </w:r>
      <w:r w:rsidRPr="00192050">
        <w:rPr>
          <w:sz w:val="24"/>
          <w:szCs w:val="24"/>
          <w:lang w:val="en-US"/>
        </w:rPr>
        <w:t xml:space="preserve"> </w:t>
      </w:r>
      <w:r w:rsidRPr="00192050">
        <w:rPr>
          <w:rStyle w:val="FootnoteReference"/>
          <w:sz w:val="24"/>
          <w:szCs w:val="24"/>
          <w:lang w:val="en-US"/>
        </w:rPr>
        <w:footnoteReference w:id="10"/>
      </w:r>
      <w:r w:rsidRPr="00192050">
        <w:rPr>
          <w:sz w:val="24"/>
          <w:szCs w:val="24"/>
          <w:lang w:val="en-US"/>
        </w:rPr>
        <w:t xml:space="preserve"> These requirements seemingly disappeared with King James I’s death, as once King Charles I comes to the throne, the title is given to a much wider selection of the population.</w:t>
      </w:r>
      <w:r w:rsidR="00B6413F" w:rsidRPr="00192050">
        <w:rPr>
          <w:sz w:val="24"/>
          <w:szCs w:val="24"/>
          <w:lang w:val="en-US"/>
        </w:rPr>
        <w:t xml:space="preserve"> </w:t>
      </w:r>
    </w:p>
    <w:p w14:paraId="315F7250" w14:textId="11DDBF5E" w:rsidR="0014016A" w:rsidRDefault="0014016A" w:rsidP="0014016A">
      <w:pPr>
        <w:spacing w:line="480" w:lineRule="auto"/>
        <w:ind w:firstLine="720"/>
        <w:rPr>
          <w:sz w:val="24"/>
          <w:szCs w:val="24"/>
          <w:lang w:val="en-US"/>
        </w:rPr>
      </w:pPr>
      <w:r w:rsidRPr="00192050">
        <w:rPr>
          <w:sz w:val="24"/>
          <w:szCs w:val="24"/>
          <w:lang w:val="en-US"/>
        </w:rPr>
        <w:t xml:space="preserve">Upon creation, James I placed some restrictions on the baronetcy title, not in what holders of the title could or </w:t>
      </w:r>
      <w:r w:rsidR="00013DD4">
        <w:rPr>
          <w:sz w:val="24"/>
          <w:szCs w:val="24"/>
          <w:lang w:val="en-US"/>
        </w:rPr>
        <w:t>could not</w:t>
      </w:r>
      <w:r w:rsidRPr="00192050">
        <w:rPr>
          <w:sz w:val="24"/>
          <w:szCs w:val="24"/>
          <w:lang w:val="en-US"/>
        </w:rPr>
        <w:t xml:space="preserve"> do, but in how many baronets were to be created. King James I vowed not to create more than 200 baronets in total. This was both to keep the title exclusive, and I believe that it was also to stop James I from seeming too greedy. Some have criticised James stating that in contrast to Elizabeth’s “unique gift for compromise” and her ability to “contain widely different religious opinions within a single English Church while at the same time holding crown and parliament together”, James “had none of these qualities.”</w:t>
      </w:r>
      <w:r w:rsidRPr="00192050">
        <w:rPr>
          <w:rStyle w:val="FootnoteReference"/>
          <w:sz w:val="24"/>
          <w:szCs w:val="24"/>
          <w:lang w:val="en-US"/>
        </w:rPr>
        <w:t xml:space="preserve"> </w:t>
      </w:r>
      <w:r w:rsidRPr="00192050">
        <w:rPr>
          <w:rStyle w:val="FootnoteReference"/>
          <w:sz w:val="24"/>
          <w:szCs w:val="24"/>
          <w:lang w:val="en-US"/>
        </w:rPr>
        <w:footnoteReference w:id="11"/>
      </w:r>
      <w:r w:rsidRPr="00192050">
        <w:rPr>
          <w:sz w:val="24"/>
          <w:szCs w:val="24"/>
          <w:lang w:val="en-US"/>
        </w:rPr>
        <w:t xml:space="preserve"> Acland goes as far as to say that he had a “singular lack of tact and personal charm.”</w:t>
      </w:r>
      <w:r w:rsidRPr="00192050">
        <w:rPr>
          <w:rStyle w:val="FootnoteReference"/>
          <w:sz w:val="24"/>
          <w:szCs w:val="24"/>
          <w:lang w:val="en-US"/>
        </w:rPr>
        <w:footnoteReference w:id="12"/>
      </w:r>
      <w:r w:rsidRPr="00192050">
        <w:rPr>
          <w:sz w:val="24"/>
          <w:szCs w:val="24"/>
          <w:lang w:val="en-US"/>
        </w:rPr>
        <w:t xml:space="preserve"> Although</w:t>
      </w:r>
      <w:r w:rsidR="009D24CB" w:rsidRPr="00192050">
        <w:rPr>
          <w:sz w:val="24"/>
          <w:szCs w:val="24"/>
          <w:lang w:val="en-US"/>
        </w:rPr>
        <w:t>,</w:t>
      </w:r>
      <w:r w:rsidRPr="00192050">
        <w:rPr>
          <w:sz w:val="24"/>
          <w:szCs w:val="24"/>
          <w:lang w:val="en-US"/>
        </w:rPr>
        <w:t xml:space="preserve"> this feels like a personal opinion, and should be taken as such.</w:t>
      </w:r>
      <w:r w:rsidR="00F17A4F" w:rsidRPr="00192050">
        <w:rPr>
          <w:sz w:val="24"/>
          <w:szCs w:val="24"/>
          <w:lang w:val="en-US"/>
        </w:rPr>
        <w:t xml:space="preserve"> To stop seeming greedy then, James was advised not to create too many baronets</w:t>
      </w:r>
      <w:r w:rsidR="003F2C14" w:rsidRPr="00192050">
        <w:rPr>
          <w:sz w:val="24"/>
          <w:szCs w:val="24"/>
          <w:lang w:val="en-US"/>
        </w:rPr>
        <w:t xml:space="preserve"> and settled on two hundred; enough to keep the title exclusive, but large enough to establish it as a known entity. This held true for a while. On May 22, 1611, the first eighteen baronets were created. On June 29 fifty-three more were created. On September 24, three more and finally on November 25 seventeen more. This was the total for a year and a half, during which time no more baronets were created. Van Eerde states: “The group remained exclusive for a while, adding to their legitimacy.”</w:t>
      </w:r>
      <w:r w:rsidR="003F2C14" w:rsidRPr="00192050">
        <w:rPr>
          <w:rStyle w:val="FootnoteReference"/>
          <w:sz w:val="24"/>
          <w:szCs w:val="24"/>
          <w:lang w:val="en-US"/>
        </w:rPr>
        <w:footnoteReference w:id="13"/>
      </w:r>
      <w:r w:rsidR="003F2C14" w:rsidRPr="00192050">
        <w:rPr>
          <w:sz w:val="24"/>
          <w:szCs w:val="24"/>
          <w:lang w:val="en-US"/>
        </w:rPr>
        <w:t xml:space="preserve"> During this period of a year and a half, the reason for the lack of creation was that James found himself under scrutiny from Parliament. And finally, by </w:t>
      </w:r>
      <w:r w:rsidR="003F2C14" w:rsidRPr="00192050">
        <w:rPr>
          <w:sz w:val="24"/>
          <w:szCs w:val="24"/>
          <w:lang w:val="en-US"/>
        </w:rPr>
        <w:lastRenderedPageBreak/>
        <w:t>1615, “the failure of the addled parliament and the consequent desperate search for new sources of revenue led James to relax his restrictions.”</w:t>
      </w:r>
      <w:r w:rsidR="003F2C14" w:rsidRPr="00192050">
        <w:rPr>
          <w:rStyle w:val="FootnoteReference"/>
          <w:sz w:val="24"/>
          <w:szCs w:val="24"/>
          <w:lang w:val="en-US"/>
        </w:rPr>
        <w:footnoteReference w:id="14"/>
      </w:r>
      <w:r w:rsidR="003F2C14" w:rsidRPr="00192050">
        <w:rPr>
          <w:sz w:val="24"/>
          <w:szCs w:val="24"/>
          <w:lang w:val="en-US"/>
        </w:rPr>
        <w:t xml:space="preserve"> </w:t>
      </w:r>
      <w:r w:rsidR="005E4E2C" w:rsidRPr="00192050">
        <w:rPr>
          <w:sz w:val="24"/>
          <w:szCs w:val="24"/>
          <w:lang w:val="en-US"/>
        </w:rPr>
        <w:t xml:space="preserve">For the baronets then, this meant that their so far exclusive club, which they had to pay entry to, was suddenly open to anyone who could afford it. </w:t>
      </w:r>
    </w:p>
    <w:p w14:paraId="24B17B3F" w14:textId="1F010F9D" w:rsidR="003137F5" w:rsidRPr="00192050" w:rsidRDefault="00386F8F" w:rsidP="00754841">
      <w:pPr>
        <w:spacing w:line="480" w:lineRule="auto"/>
        <w:ind w:firstLine="720"/>
        <w:rPr>
          <w:sz w:val="24"/>
          <w:szCs w:val="24"/>
          <w:lang w:val="en-US"/>
        </w:rPr>
      </w:pPr>
      <w:r w:rsidRPr="00192050">
        <w:rPr>
          <w:sz w:val="24"/>
          <w:szCs w:val="24"/>
          <w:lang w:val="en-US"/>
        </w:rPr>
        <w:t>The sum of money given to become a baronet is incredibly intriguing. One thousand pounds was a significant amount of money, having the same purchasing power as £105,000 in today’s money.</w:t>
      </w:r>
      <w:r w:rsidRPr="00192050">
        <w:rPr>
          <w:rStyle w:val="FootnoteReference"/>
          <w:sz w:val="24"/>
          <w:szCs w:val="24"/>
          <w:lang w:val="en-US"/>
        </w:rPr>
        <w:footnoteReference w:id="15"/>
      </w:r>
      <w:r w:rsidRPr="00192050">
        <w:rPr>
          <w:sz w:val="24"/>
          <w:szCs w:val="24"/>
          <w:lang w:val="en-US"/>
        </w:rPr>
        <w:t xml:space="preserve"> This amount was a sizable percentage of a Baronet’s wealth</w:t>
      </w:r>
      <w:r w:rsidR="00F2676A" w:rsidRPr="00192050">
        <w:rPr>
          <w:sz w:val="24"/>
          <w:szCs w:val="24"/>
          <w:lang w:val="en-US"/>
        </w:rPr>
        <w:t>: “The total value of the ninety-three baronets’ estates [between 1643 and 1660] was approximately £1,033,588, making an average value of £11,114.”</w:t>
      </w:r>
      <w:r w:rsidR="00F2676A" w:rsidRPr="00192050">
        <w:rPr>
          <w:rStyle w:val="FootnoteReference"/>
          <w:sz w:val="24"/>
          <w:szCs w:val="24"/>
          <w:lang w:val="en-US"/>
        </w:rPr>
        <w:footnoteReference w:id="16"/>
      </w:r>
      <w:r w:rsidR="00F2676A" w:rsidRPr="00192050">
        <w:rPr>
          <w:sz w:val="24"/>
          <w:szCs w:val="24"/>
          <w:lang w:val="en-US"/>
        </w:rPr>
        <w:t xml:space="preserve"> </w:t>
      </w:r>
      <w:r w:rsidR="003C69D4" w:rsidRPr="00192050">
        <w:rPr>
          <w:sz w:val="24"/>
          <w:szCs w:val="24"/>
          <w:lang w:val="en-US"/>
        </w:rPr>
        <w:t xml:space="preserve">This means that to become a baronet, the average person would have had to spend a tenth of the value of their estate. </w:t>
      </w:r>
      <w:r w:rsidR="003137F5" w:rsidRPr="00192050">
        <w:rPr>
          <w:sz w:val="24"/>
          <w:szCs w:val="24"/>
          <w:lang w:val="en-US"/>
        </w:rPr>
        <w:t xml:space="preserve">The creation of the baronetage was not the only scheme of </w:t>
      </w:r>
      <w:r w:rsidR="00F54584" w:rsidRPr="00192050">
        <w:rPr>
          <w:sz w:val="24"/>
          <w:szCs w:val="24"/>
          <w:lang w:val="en-US"/>
        </w:rPr>
        <w:t>its</w:t>
      </w:r>
      <w:r w:rsidR="003137F5" w:rsidRPr="00192050">
        <w:rPr>
          <w:sz w:val="24"/>
          <w:szCs w:val="24"/>
          <w:lang w:val="en-US"/>
        </w:rPr>
        <w:t xml:space="preserve"> sort; in Italy</w:t>
      </w:r>
      <w:r w:rsidR="00242338">
        <w:rPr>
          <w:sz w:val="24"/>
          <w:szCs w:val="24"/>
          <w:lang w:val="en-US"/>
        </w:rPr>
        <w:t>,</w:t>
      </w:r>
      <w:r w:rsidR="003137F5" w:rsidRPr="00192050">
        <w:rPr>
          <w:sz w:val="24"/>
          <w:szCs w:val="24"/>
          <w:lang w:val="en-US"/>
        </w:rPr>
        <w:t xml:space="preserve"> a</w:t>
      </w:r>
      <w:r w:rsidR="00107445" w:rsidRPr="00192050">
        <w:rPr>
          <w:sz w:val="24"/>
          <w:szCs w:val="24"/>
          <w:lang w:val="en-US"/>
        </w:rPr>
        <w:t xml:space="preserve"> similar scheme was proposed in 1520 by Pope Leo X to raise funds by establishing a commission for the Knights of St. Peter: “Four hundred and one knights each paid 1,000 ducats for such privileges as enrolment in the Roman nobility and the title of count palatine, in addition to the material advantage of reaping interest on the down payment.” These rewards are similar to what the baronets were promised with the exception of gaining interest back</w:t>
      </w:r>
      <w:r w:rsidR="00535866" w:rsidRPr="00192050">
        <w:rPr>
          <w:sz w:val="24"/>
          <w:szCs w:val="24"/>
          <w:lang w:val="en-US"/>
        </w:rPr>
        <w:t xml:space="preserve"> on their investment.</w:t>
      </w:r>
      <w:r w:rsidR="00107445" w:rsidRPr="00192050">
        <w:rPr>
          <w:sz w:val="24"/>
          <w:szCs w:val="24"/>
          <w:lang w:val="en-US"/>
        </w:rPr>
        <w:t xml:space="preserve"> </w:t>
      </w:r>
    </w:p>
    <w:p w14:paraId="6703BAB7" w14:textId="008FB8CF" w:rsidR="00386F8F" w:rsidRPr="00192050" w:rsidRDefault="003C69D4" w:rsidP="00754841">
      <w:pPr>
        <w:spacing w:line="480" w:lineRule="auto"/>
        <w:ind w:firstLine="720"/>
        <w:rPr>
          <w:sz w:val="24"/>
          <w:szCs w:val="24"/>
          <w:lang w:val="en-US"/>
        </w:rPr>
      </w:pPr>
      <w:r w:rsidRPr="00192050">
        <w:rPr>
          <w:sz w:val="24"/>
          <w:szCs w:val="24"/>
          <w:lang w:val="en-US"/>
        </w:rPr>
        <w:t>Further in their article, Klotz and Davies unearth a piece of information which is intriguing: “Of the nine estates worth less than £1000, the two lowest are Sir William Courtenay, £600, and Sir henry Moody, ‘less than £200’.”</w:t>
      </w:r>
      <w:r w:rsidRPr="00192050">
        <w:rPr>
          <w:rStyle w:val="FootnoteReference"/>
          <w:sz w:val="24"/>
          <w:szCs w:val="24"/>
          <w:lang w:val="en-US"/>
        </w:rPr>
        <w:footnoteReference w:id="17"/>
      </w:r>
      <w:r w:rsidRPr="00192050">
        <w:rPr>
          <w:sz w:val="24"/>
          <w:szCs w:val="24"/>
          <w:lang w:val="en-US"/>
        </w:rPr>
        <w:t xml:space="preserve"> This is fascinating because it </w:t>
      </w:r>
      <w:r w:rsidRPr="00192050">
        <w:rPr>
          <w:sz w:val="24"/>
          <w:szCs w:val="24"/>
          <w:lang w:val="en-US"/>
        </w:rPr>
        <w:lastRenderedPageBreak/>
        <w:t>implies that given the size of their estate they would not have been able to purchase the baronetcy, or if they were once able to, they spent over half of the value of their estate.</w:t>
      </w:r>
      <w:r w:rsidR="008742E1" w:rsidRPr="00192050">
        <w:rPr>
          <w:sz w:val="24"/>
          <w:szCs w:val="24"/>
          <w:lang w:val="en-US"/>
        </w:rPr>
        <w:t xml:space="preserve"> </w:t>
      </w:r>
    </w:p>
    <w:p w14:paraId="5C11583A" w14:textId="06C0C7E4" w:rsidR="00D2361C" w:rsidRPr="00192050" w:rsidRDefault="008742E1" w:rsidP="00754841">
      <w:pPr>
        <w:spacing w:line="480" w:lineRule="auto"/>
        <w:ind w:firstLine="720"/>
        <w:rPr>
          <w:sz w:val="24"/>
          <w:szCs w:val="24"/>
          <w:lang w:val="en-US"/>
        </w:rPr>
      </w:pPr>
      <w:r w:rsidRPr="00192050">
        <w:rPr>
          <w:sz w:val="24"/>
          <w:szCs w:val="24"/>
          <w:lang w:val="en-US"/>
        </w:rPr>
        <w:t>It was possible that Sir William Courtenay wasn’t expected to pay for the upkeep of soldiers, as he was granted a baronetcy by King Charles I</w:t>
      </w:r>
      <w:r w:rsidR="00D2361C" w:rsidRPr="00192050">
        <w:rPr>
          <w:sz w:val="24"/>
          <w:szCs w:val="24"/>
          <w:lang w:val="en-US"/>
        </w:rPr>
        <w:t xml:space="preserve"> in 1644</w:t>
      </w:r>
      <w:r w:rsidR="00FD6B8B" w:rsidRPr="00192050">
        <w:rPr>
          <w:sz w:val="24"/>
          <w:szCs w:val="24"/>
          <w:lang w:val="en-US"/>
        </w:rPr>
        <w:t xml:space="preserve">.  King Charles gave out numerous baronetcies to </w:t>
      </w:r>
      <w:r w:rsidR="00984A09" w:rsidRPr="00192050">
        <w:rPr>
          <w:sz w:val="24"/>
          <w:szCs w:val="24"/>
          <w:lang w:val="en-US"/>
        </w:rPr>
        <w:t>R</w:t>
      </w:r>
      <w:r w:rsidR="00FD6B8B" w:rsidRPr="00192050">
        <w:rPr>
          <w:sz w:val="24"/>
          <w:szCs w:val="24"/>
          <w:lang w:val="en-US"/>
        </w:rPr>
        <w:t>oyalists who came to his aid during the English Civil War. For example, Sir John Acland, 1</w:t>
      </w:r>
      <w:r w:rsidR="00FD6B8B" w:rsidRPr="00192050">
        <w:rPr>
          <w:sz w:val="24"/>
          <w:szCs w:val="24"/>
          <w:vertAlign w:val="superscript"/>
          <w:lang w:val="en-US"/>
        </w:rPr>
        <w:t>st</w:t>
      </w:r>
      <w:r w:rsidR="00FD6B8B" w:rsidRPr="00192050">
        <w:rPr>
          <w:sz w:val="24"/>
          <w:szCs w:val="24"/>
          <w:lang w:val="en-US"/>
        </w:rPr>
        <w:t xml:space="preserve"> baronet of Columb John, Devon was awarded his baronetcy for his willingness to “garrison his house for the king” and to lead a small army of 500 men against the</w:t>
      </w:r>
      <w:r w:rsidR="00984A09" w:rsidRPr="00192050">
        <w:rPr>
          <w:sz w:val="24"/>
          <w:szCs w:val="24"/>
          <w:lang w:val="en-US"/>
        </w:rPr>
        <w:t xml:space="preserve"> Parliamentarians.</w:t>
      </w:r>
      <w:r w:rsidR="00984A09" w:rsidRPr="00192050">
        <w:rPr>
          <w:rStyle w:val="FootnoteReference"/>
          <w:sz w:val="24"/>
          <w:szCs w:val="24"/>
          <w:lang w:val="en-US"/>
        </w:rPr>
        <w:footnoteReference w:id="18"/>
      </w:r>
      <w:r w:rsidR="0092149F" w:rsidRPr="00192050">
        <w:rPr>
          <w:sz w:val="24"/>
          <w:szCs w:val="24"/>
          <w:lang w:val="en-US"/>
        </w:rPr>
        <w:t xml:space="preserve"> We know that Courtenay was seated in Devon, and was given a baronetcy by King Charles I, and so it is therefore not a stretch of the imagination to believe that his baronetcy was also given to him for his role in the English Civil War.</w:t>
      </w:r>
      <w:r w:rsidR="000B235B" w:rsidRPr="00192050">
        <w:rPr>
          <w:sz w:val="24"/>
          <w:szCs w:val="24"/>
          <w:lang w:val="en-US"/>
        </w:rPr>
        <w:t xml:space="preserve"> Perhaps Courtenay was given the title against his will because he refused to take out his patent, and although he is recognized officially as a baronet, he personally did not consider himself one.</w:t>
      </w:r>
      <w:r w:rsidR="000B235B" w:rsidRPr="00192050">
        <w:rPr>
          <w:rStyle w:val="FootnoteReference"/>
          <w:sz w:val="24"/>
          <w:szCs w:val="24"/>
          <w:lang w:val="en-US"/>
        </w:rPr>
        <w:footnoteReference w:id="19"/>
      </w:r>
      <w:r w:rsidR="000B235B" w:rsidRPr="00192050">
        <w:rPr>
          <w:sz w:val="24"/>
          <w:szCs w:val="24"/>
          <w:lang w:val="en-US"/>
        </w:rPr>
        <w:t xml:space="preserve"> </w:t>
      </w:r>
    </w:p>
    <w:p w14:paraId="455211DC" w14:textId="07C5193F" w:rsidR="00727084" w:rsidRPr="00192050" w:rsidRDefault="00D2361C" w:rsidP="00727084">
      <w:pPr>
        <w:spacing w:line="480" w:lineRule="auto"/>
        <w:ind w:firstLine="720"/>
        <w:rPr>
          <w:sz w:val="24"/>
          <w:szCs w:val="24"/>
          <w:lang w:val="en-US"/>
        </w:rPr>
      </w:pPr>
      <w:r w:rsidRPr="00192050">
        <w:rPr>
          <w:sz w:val="24"/>
          <w:szCs w:val="24"/>
          <w:lang w:val="en-US"/>
        </w:rPr>
        <w:t>In the case of Sir Henry Moody, the time period that Klotz and Davies were looking into was later than when Henry procured his baronetcy.</w:t>
      </w:r>
      <w:r w:rsidRPr="00192050">
        <w:rPr>
          <w:rStyle w:val="FootnoteReference"/>
          <w:sz w:val="24"/>
          <w:szCs w:val="24"/>
          <w:lang w:val="en-US"/>
        </w:rPr>
        <w:footnoteReference w:id="20"/>
      </w:r>
      <w:r w:rsidRPr="00192050">
        <w:rPr>
          <w:sz w:val="24"/>
          <w:szCs w:val="24"/>
          <w:lang w:val="en-US"/>
        </w:rPr>
        <w:t xml:space="preserve"> It is possible therefore that Henry had a larger estate in the first half of the seventeenth century and even before that. His family owned manors in Malmesbury and were seemingly fairly wealthy.</w:t>
      </w:r>
      <w:r w:rsidRPr="00192050">
        <w:rPr>
          <w:rStyle w:val="FootnoteReference"/>
          <w:sz w:val="24"/>
          <w:szCs w:val="24"/>
          <w:lang w:val="en-US"/>
        </w:rPr>
        <w:footnoteReference w:id="21"/>
      </w:r>
      <w:r w:rsidR="00862211" w:rsidRPr="00192050">
        <w:rPr>
          <w:sz w:val="24"/>
          <w:szCs w:val="24"/>
          <w:lang w:val="en-US"/>
        </w:rPr>
        <w:t xml:space="preserve"> It would not be unreasonable to believe that Henry inherited the estates from his parents, however, this calls into question how he lost his money. There were many reasons, however, the most </w:t>
      </w:r>
      <w:r w:rsidR="00862211" w:rsidRPr="00192050">
        <w:rPr>
          <w:sz w:val="24"/>
          <w:szCs w:val="24"/>
          <w:lang w:val="en-US"/>
        </w:rPr>
        <w:lastRenderedPageBreak/>
        <w:t xml:space="preserve">prominent one was that he simply had debts that were more than his estates were worth. His biography is full </w:t>
      </w:r>
      <w:r w:rsidR="005E4E2C" w:rsidRPr="00192050">
        <w:rPr>
          <w:sz w:val="24"/>
          <w:szCs w:val="24"/>
          <w:lang w:val="en-US"/>
        </w:rPr>
        <w:t>of</w:t>
      </w:r>
      <w:r w:rsidR="00862211" w:rsidRPr="00192050">
        <w:rPr>
          <w:sz w:val="24"/>
          <w:szCs w:val="24"/>
          <w:lang w:val="en-US"/>
        </w:rPr>
        <w:t xml:space="preserve"> tales of debauchery and angry disputes with neighbours.</w:t>
      </w:r>
      <w:r w:rsidR="00862211" w:rsidRPr="00192050">
        <w:rPr>
          <w:rStyle w:val="FootnoteReference"/>
          <w:sz w:val="24"/>
          <w:szCs w:val="24"/>
          <w:lang w:val="en-US"/>
        </w:rPr>
        <w:footnoteReference w:id="22"/>
      </w:r>
      <w:r w:rsidR="00862211" w:rsidRPr="00192050">
        <w:rPr>
          <w:sz w:val="24"/>
          <w:szCs w:val="24"/>
          <w:lang w:val="en-US"/>
        </w:rPr>
        <w:t xml:space="preserve"> </w:t>
      </w:r>
      <w:r w:rsidR="005C57BB" w:rsidRPr="00192050">
        <w:rPr>
          <w:sz w:val="24"/>
          <w:szCs w:val="24"/>
          <w:lang w:val="en-US"/>
        </w:rPr>
        <w:t>In regard to</w:t>
      </w:r>
      <w:r w:rsidR="00862211" w:rsidRPr="00192050">
        <w:rPr>
          <w:sz w:val="24"/>
          <w:szCs w:val="24"/>
          <w:lang w:val="en-US"/>
        </w:rPr>
        <w:t xml:space="preserve"> how this man purchased his baronetcy, it was possible that he bought it from a courtier, which was therefore illegitimate.</w:t>
      </w:r>
      <w:r w:rsidR="00D563E9" w:rsidRPr="00192050">
        <w:rPr>
          <w:sz w:val="24"/>
          <w:szCs w:val="24"/>
          <w:lang w:val="en-US"/>
        </w:rPr>
        <w:t xml:space="preserve"> Upon being granted a baronetcy, the gentleman was to make an oath that he had not bribed a courtier for a recommendation so that he might be granted the title.</w:t>
      </w:r>
      <w:r w:rsidR="00D563E9" w:rsidRPr="00192050">
        <w:rPr>
          <w:rStyle w:val="FootnoteReference"/>
          <w:sz w:val="24"/>
          <w:szCs w:val="24"/>
          <w:lang w:val="en-US"/>
        </w:rPr>
        <w:footnoteReference w:id="23"/>
      </w:r>
      <w:r w:rsidR="00862211" w:rsidRPr="00192050">
        <w:rPr>
          <w:sz w:val="24"/>
          <w:szCs w:val="24"/>
          <w:lang w:val="en-US"/>
        </w:rPr>
        <w:t xml:space="preserve"> Perhaps his behavio</w:t>
      </w:r>
      <w:r w:rsidR="00242338">
        <w:rPr>
          <w:sz w:val="24"/>
          <w:szCs w:val="24"/>
          <w:lang w:val="en-US"/>
        </w:rPr>
        <w:t>u</w:t>
      </w:r>
      <w:r w:rsidR="00862211" w:rsidRPr="00192050">
        <w:rPr>
          <w:sz w:val="24"/>
          <w:szCs w:val="24"/>
          <w:lang w:val="en-US"/>
        </w:rPr>
        <w:t>r was overlooked because of his Great-Grandfather Edmund Moody, who in 1525 had saved the life of King Henry VIII.</w:t>
      </w:r>
      <w:r w:rsidR="000E1E0D" w:rsidRPr="00192050">
        <w:rPr>
          <w:rStyle w:val="FootnoteReference"/>
          <w:sz w:val="24"/>
          <w:szCs w:val="24"/>
          <w:lang w:val="en-US"/>
        </w:rPr>
        <w:footnoteReference w:id="24"/>
      </w:r>
    </w:p>
    <w:p w14:paraId="42922FD8" w14:textId="29BB3BBB" w:rsidR="003239C6" w:rsidRPr="00192050" w:rsidRDefault="003239C6" w:rsidP="00727084">
      <w:pPr>
        <w:spacing w:line="480" w:lineRule="auto"/>
        <w:ind w:firstLine="720"/>
        <w:rPr>
          <w:sz w:val="24"/>
          <w:szCs w:val="24"/>
          <w:lang w:val="en-US"/>
        </w:rPr>
      </w:pPr>
      <w:r w:rsidRPr="00192050">
        <w:rPr>
          <w:sz w:val="24"/>
          <w:szCs w:val="24"/>
          <w:lang w:val="en-US"/>
        </w:rPr>
        <w:t>Regarding the costs of becoming a baronet,</w:t>
      </w:r>
      <w:r w:rsidR="00C77B17" w:rsidRPr="00192050">
        <w:rPr>
          <w:sz w:val="24"/>
          <w:szCs w:val="24"/>
          <w:lang w:val="en-US"/>
        </w:rPr>
        <w:t xml:space="preserve"> the cost did fall over time, Stone puts this down to an “excess of supply over demand.”</w:t>
      </w:r>
      <w:r w:rsidR="00C77B17" w:rsidRPr="00192050">
        <w:rPr>
          <w:rStyle w:val="FootnoteReference"/>
          <w:sz w:val="24"/>
          <w:szCs w:val="24"/>
          <w:lang w:val="en-US"/>
        </w:rPr>
        <w:footnoteReference w:id="25"/>
      </w:r>
      <w:r w:rsidR="00C77B17" w:rsidRPr="00192050">
        <w:rPr>
          <w:sz w:val="24"/>
          <w:szCs w:val="24"/>
          <w:lang w:val="en-US"/>
        </w:rPr>
        <w:t xml:space="preserve"> The price dropped from the £1095 that James I originally put in place, to “£700 in 1619 to between £220 and £250 in 1622.”</w:t>
      </w:r>
      <w:r w:rsidR="00C77B17" w:rsidRPr="00192050">
        <w:rPr>
          <w:rStyle w:val="FootnoteReference"/>
          <w:sz w:val="24"/>
          <w:szCs w:val="24"/>
          <w:lang w:val="en-US"/>
        </w:rPr>
        <w:footnoteReference w:id="26"/>
      </w:r>
      <w:r w:rsidR="00C77B17" w:rsidRPr="00192050">
        <w:rPr>
          <w:sz w:val="24"/>
          <w:szCs w:val="24"/>
          <w:lang w:val="en-US"/>
        </w:rPr>
        <w:t xml:space="preserve"> This would certainly explain how it came about that Sir Henry Moody purchased a baronetcy, he simply waited for the price to fall to a suitable level.</w:t>
      </w:r>
    </w:p>
    <w:p w14:paraId="3B8785B9" w14:textId="59684641" w:rsidR="00EA348B" w:rsidRPr="00192050" w:rsidRDefault="007F5735" w:rsidP="00386F8F">
      <w:pPr>
        <w:spacing w:line="480" w:lineRule="auto"/>
        <w:rPr>
          <w:sz w:val="24"/>
          <w:szCs w:val="24"/>
          <w:lang w:val="en-US"/>
        </w:rPr>
      </w:pPr>
      <w:r w:rsidRPr="00192050">
        <w:rPr>
          <w:sz w:val="24"/>
          <w:szCs w:val="24"/>
          <w:lang w:val="en-US"/>
        </w:rPr>
        <w:tab/>
      </w:r>
      <w:r w:rsidR="003C60E3" w:rsidRPr="00192050">
        <w:rPr>
          <w:sz w:val="24"/>
          <w:szCs w:val="24"/>
          <w:lang w:val="en-US"/>
        </w:rPr>
        <w:t>Another explanation for Henry Moody suddenly receiving the funds to become a baronet is that you had to have a patron to become a baronet. A patron could be someone that loans you the money or someone that stands by your character and believes that you are worthy of becoming one</w:t>
      </w:r>
      <w:r w:rsidR="005C57BB" w:rsidRPr="00192050">
        <w:rPr>
          <w:sz w:val="24"/>
          <w:szCs w:val="24"/>
          <w:lang w:val="en-US"/>
        </w:rPr>
        <w:t xml:space="preserve">. We find evidence for patronage from </w:t>
      </w:r>
      <w:r w:rsidR="00193709" w:rsidRPr="00192050">
        <w:rPr>
          <w:sz w:val="24"/>
          <w:szCs w:val="24"/>
          <w:lang w:val="en-US"/>
        </w:rPr>
        <w:t>Cutler’s analysis of the Vavaso</w:t>
      </w:r>
      <w:r w:rsidR="009D5017" w:rsidRPr="00192050">
        <w:rPr>
          <w:sz w:val="24"/>
          <w:szCs w:val="24"/>
          <w:lang w:val="en-US"/>
        </w:rPr>
        <w:t>u</w:t>
      </w:r>
      <w:r w:rsidR="00193709" w:rsidRPr="00192050">
        <w:rPr>
          <w:sz w:val="24"/>
          <w:szCs w:val="24"/>
          <w:lang w:val="en-US"/>
        </w:rPr>
        <w:t xml:space="preserve">r baronets. </w:t>
      </w:r>
      <w:r w:rsidR="00EA348B" w:rsidRPr="00192050">
        <w:rPr>
          <w:sz w:val="24"/>
          <w:szCs w:val="24"/>
          <w:lang w:val="en-US"/>
        </w:rPr>
        <w:t xml:space="preserve">Cutler notes that there were many people that Sir Thomas, the </w:t>
      </w:r>
      <w:r w:rsidR="00242338">
        <w:rPr>
          <w:sz w:val="24"/>
          <w:szCs w:val="24"/>
          <w:lang w:val="en-US"/>
        </w:rPr>
        <w:t>first</w:t>
      </w:r>
      <w:r w:rsidR="00EA348B" w:rsidRPr="00192050">
        <w:rPr>
          <w:sz w:val="24"/>
          <w:szCs w:val="24"/>
          <w:lang w:val="en-US"/>
        </w:rPr>
        <w:t xml:space="preserve"> baronet of Skellingthorpe, Lincolnshire, might have depended on to secure his baronetcy, although these never came to fruition. “In 1611, he might have expected Earl Salisbury to champion his case, but Salisbury was ill then, and when he died in 1612, Sir Thomas would </w:t>
      </w:r>
      <w:r w:rsidR="00EA348B" w:rsidRPr="00192050">
        <w:rPr>
          <w:sz w:val="24"/>
          <w:szCs w:val="24"/>
          <w:lang w:val="en-US"/>
        </w:rPr>
        <w:lastRenderedPageBreak/>
        <w:t>have had to find a new patron.”</w:t>
      </w:r>
      <w:r w:rsidR="00EA348B" w:rsidRPr="00192050">
        <w:rPr>
          <w:rStyle w:val="FootnoteReference"/>
          <w:sz w:val="24"/>
          <w:szCs w:val="24"/>
          <w:lang w:val="en-US"/>
        </w:rPr>
        <w:footnoteReference w:id="27"/>
      </w:r>
      <w:r w:rsidR="00CC3664" w:rsidRPr="00192050">
        <w:rPr>
          <w:sz w:val="24"/>
          <w:szCs w:val="24"/>
          <w:lang w:val="en-US"/>
        </w:rPr>
        <w:t xml:space="preserve"> This indicates that a patron was indeed necessary to become a baronet. You needed someone to vouch for you.</w:t>
      </w:r>
    </w:p>
    <w:p w14:paraId="2D99C48C" w14:textId="6921A2B7" w:rsidR="00031C63" w:rsidRPr="00192050" w:rsidRDefault="00031C63" w:rsidP="00031C63">
      <w:pPr>
        <w:spacing w:line="480" w:lineRule="auto"/>
        <w:ind w:firstLine="720"/>
        <w:rPr>
          <w:sz w:val="24"/>
          <w:szCs w:val="24"/>
          <w:lang w:val="en-US"/>
        </w:rPr>
      </w:pPr>
      <w:r w:rsidRPr="00192050">
        <w:rPr>
          <w:sz w:val="24"/>
          <w:szCs w:val="24"/>
          <w:lang w:val="en-US"/>
        </w:rPr>
        <w:t>The Vavaso</w:t>
      </w:r>
      <w:r w:rsidR="009D5017" w:rsidRPr="00192050">
        <w:rPr>
          <w:sz w:val="24"/>
          <w:szCs w:val="24"/>
          <w:lang w:val="en-US"/>
        </w:rPr>
        <w:t>u</w:t>
      </w:r>
      <w:r w:rsidRPr="00192050">
        <w:rPr>
          <w:sz w:val="24"/>
          <w:szCs w:val="24"/>
          <w:lang w:val="en-US"/>
        </w:rPr>
        <w:t>r baronets are worth mentioning in more detail, as their baronetcy came about in an unusual way. Cutler states: “Sir Thomas went to his grave in the autumn of 1620 coveting and claiming an honor to which he had no official right.”</w:t>
      </w:r>
      <w:r w:rsidRPr="00192050">
        <w:rPr>
          <w:rStyle w:val="FootnoteReference"/>
          <w:sz w:val="24"/>
          <w:szCs w:val="24"/>
          <w:lang w:val="en-US"/>
        </w:rPr>
        <w:footnoteReference w:id="28"/>
      </w:r>
      <w:r w:rsidRPr="00192050">
        <w:rPr>
          <w:sz w:val="24"/>
          <w:szCs w:val="24"/>
          <w:lang w:val="en-US"/>
        </w:rPr>
        <w:t xml:space="preserve"> </w:t>
      </w:r>
      <w:r w:rsidR="009D5017" w:rsidRPr="00192050">
        <w:rPr>
          <w:sz w:val="24"/>
          <w:szCs w:val="24"/>
          <w:lang w:val="en-US"/>
        </w:rPr>
        <w:t xml:space="preserve">It was his son, Sir Charles Vavasour, who appealed on his behalf. Sir Thomas was appealing to George Villiers, the Duke of Buckingham, who was tasked with deciding who should and </w:t>
      </w:r>
      <w:r w:rsidR="00013DD4">
        <w:rPr>
          <w:sz w:val="24"/>
          <w:szCs w:val="24"/>
          <w:lang w:val="en-US"/>
        </w:rPr>
        <w:t>should not</w:t>
      </w:r>
      <w:r w:rsidR="009D5017" w:rsidRPr="00192050">
        <w:rPr>
          <w:sz w:val="24"/>
          <w:szCs w:val="24"/>
          <w:lang w:val="en-US"/>
        </w:rPr>
        <w:t xml:space="preserve"> become a baronet.</w:t>
      </w:r>
      <w:r w:rsidR="009D5017" w:rsidRPr="00192050">
        <w:rPr>
          <w:rStyle w:val="FootnoteReference"/>
          <w:sz w:val="24"/>
          <w:szCs w:val="24"/>
          <w:lang w:val="en-US"/>
        </w:rPr>
        <w:footnoteReference w:id="29"/>
      </w:r>
      <w:r w:rsidR="009D5017" w:rsidRPr="00192050">
        <w:rPr>
          <w:sz w:val="24"/>
          <w:szCs w:val="24"/>
          <w:lang w:val="en-US"/>
        </w:rPr>
        <w:t xml:space="preserve"> </w:t>
      </w:r>
      <w:r w:rsidR="00242DA9" w:rsidRPr="00192050">
        <w:rPr>
          <w:sz w:val="24"/>
          <w:szCs w:val="24"/>
          <w:lang w:val="en-US"/>
        </w:rPr>
        <w:t>The Duke of Buckingham wished for patrons to boost the application of the baronet-to-be, and due to some unfortunate deaths among the patrons sought out by Sir Thomas, he passed away before securing his baronetcy.</w:t>
      </w:r>
      <w:r w:rsidR="00242DA9" w:rsidRPr="00192050">
        <w:rPr>
          <w:rStyle w:val="FootnoteReference"/>
          <w:sz w:val="24"/>
          <w:szCs w:val="24"/>
          <w:lang w:val="en-US"/>
        </w:rPr>
        <w:footnoteReference w:id="30"/>
      </w:r>
      <w:r w:rsidR="00242DA9" w:rsidRPr="00192050">
        <w:rPr>
          <w:sz w:val="24"/>
          <w:szCs w:val="24"/>
          <w:lang w:val="en-US"/>
        </w:rPr>
        <w:t xml:space="preserve"> Eventually, it was his son, Sir Charles, who through certain connections among the royal circles in the Netherlands, secured the baronetcy for both his father and himself.</w:t>
      </w:r>
      <w:r w:rsidR="00D76429" w:rsidRPr="00192050">
        <w:rPr>
          <w:sz w:val="24"/>
          <w:szCs w:val="24"/>
          <w:lang w:val="en-US"/>
        </w:rPr>
        <w:t xml:space="preserve"> This meant that Sir Thomas, 1</w:t>
      </w:r>
      <w:r w:rsidR="00D76429" w:rsidRPr="00192050">
        <w:rPr>
          <w:sz w:val="24"/>
          <w:szCs w:val="24"/>
          <w:vertAlign w:val="superscript"/>
          <w:lang w:val="en-US"/>
        </w:rPr>
        <w:t>st</w:t>
      </w:r>
      <w:r w:rsidR="00D76429" w:rsidRPr="00192050">
        <w:rPr>
          <w:sz w:val="24"/>
          <w:szCs w:val="24"/>
          <w:lang w:val="en-US"/>
        </w:rPr>
        <w:t xml:space="preserve"> baronet of Skellingthorpe, Lincolnshire, was the first to be granted a baronetcy </w:t>
      </w:r>
      <w:proofErr w:type="gramStart"/>
      <w:r w:rsidR="00D76429" w:rsidRPr="00192050">
        <w:rPr>
          <w:i/>
          <w:iCs/>
          <w:sz w:val="24"/>
          <w:szCs w:val="24"/>
          <w:lang w:val="en-US"/>
        </w:rPr>
        <w:t>post mortem</w:t>
      </w:r>
      <w:proofErr w:type="gramEnd"/>
      <w:r w:rsidR="00D76429" w:rsidRPr="00192050">
        <w:rPr>
          <w:sz w:val="24"/>
          <w:szCs w:val="24"/>
          <w:lang w:val="en-US"/>
        </w:rPr>
        <w:t xml:space="preserve">. </w:t>
      </w:r>
    </w:p>
    <w:p w14:paraId="089EDDA8" w14:textId="2427C8CC" w:rsidR="00A70631" w:rsidRPr="00192050" w:rsidRDefault="00A70631" w:rsidP="008513AD">
      <w:pPr>
        <w:spacing w:line="480" w:lineRule="auto"/>
        <w:ind w:firstLine="720"/>
        <w:rPr>
          <w:sz w:val="24"/>
          <w:szCs w:val="24"/>
          <w:lang w:val="en-US"/>
        </w:rPr>
      </w:pPr>
      <w:r w:rsidRPr="00192050">
        <w:rPr>
          <w:sz w:val="24"/>
          <w:szCs w:val="24"/>
          <w:lang w:val="en-US"/>
        </w:rPr>
        <w:t xml:space="preserve">The new title appealed to a large </w:t>
      </w:r>
      <w:r w:rsidR="00242338">
        <w:rPr>
          <w:sz w:val="24"/>
          <w:szCs w:val="24"/>
          <w:lang w:val="en-US"/>
        </w:rPr>
        <w:t>number</w:t>
      </w:r>
      <w:r w:rsidRPr="00192050">
        <w:rPr>
          <w:sz w:val="24"/>
          <w:szCs w:val="24"/>
          <w:lang w:val="en-US"/>
        </w:rPr>
        <w:t xml:space="preserve"> of upper</w:t>
      </w:r>
      <w:r w:rsidR="00242338">
        <w:rPr>
          <w:sz w:val="24"/>
          <w:szCs w:val="24"/>
          <w:lang w:val="en-US"/>
        </w:rPr>
        <w:t>-</w:t>
      </w:r>
      <w:r w:rsidRPr="00192050">
        <w:rPr>
          <w:sz w:val="24"/>
          <w:szCs w:val="24"/>
          <w:lang w:val="en-US"/>
        </w:rPr>
        <w:t>class families, as Kenneth Cutler writes: “The government intended thereby to satisfy the clamor for social distinction among the gentry which not been satisfied by the gentry’s earlier massive purchase of knighthoods.”</w:t>
      </w:r>
      <w:r w:rsidRPr="00192050">
        <w:rPr>
          <w:rStyle w:val="FootnoteReference"/>
          <w:sz w:val="24"/>
          <w:szCs w:val="24"/>
          <w:lang w:val="en-US"/>
        </w:rPr>
        <w:footnoteReference w:id="31"/>
      </w:r>
      <w:r w:rsidRPr="00192050">
        <w:rPr>
          <w:sz w:val="24"/>
          <w:szCs w:val="24"/>
          <w:lang w:val="en-US"/>
        </w:rPr>
        <w:t xml:space="preserve"> </w:t>
      </w:r>
      <w:r w:rsidR="00241808" w:rsidRPr="00192050">
        <w:rPr>
          <w:sz w:val="24"/>
          <w:szCs w:val="24"/>
          <w:lang w:val="en-US"/>
        </w:rPr>
        <w:t xml:space="preserve">Cutler regarded the baronetcy as a way for gentlemen to secure their </w:t>
      </w:r>
      <w:r w:rsidR="00242338" w:rsidRPr="00192050">
        <w:rPr>
          <w:sz w:val="24"/>
          <w:szCs w:val="24"/>
          <w:lang w:val="en-US"/>
        </w:rPr>
        <w:t>position</w:t>
      </w:r>
      <w:r w:rsidR="00241808" w:rsidRPr="00192050">
        <w:rPr>
          <w:sz w:val="24"/>
          <w:szCs w:val="24"/>
          <w:lang w:val="en-US"/>
        </w:rPr>
        <w:t xml:space="preserve"> in life, and to legitimize their position, a belief that Pixley also holds.</w:t>
      </w:r>
      <w:r w:rsidR="008513AD" w:rsidRPr="00192050">
        <w:rPr>
          <w:sz w:val="24"/>
          <w:szCs w:val="24"/>
          <w:lang w:val="en-US"/>
        </w:rPr>
        <w:t xml:space="preserve"> </w:t>
      </w:r>
      <w:r w:rsidRPr="00192050">
        <w:rPr>
          <w:sz w:val="24"/>
          <w:szCs w:val="24"/>
          <w:lang w:val="en-US"/>
        </w:rPr>
        <w:t xml:space="preserve">This appeal to </w:t>
      </w:r>
      <w:r w:rsidRPr="00192050">
        <w:rPr>
          <w:sz w:val="24"/>
          <w:szCs w:val="24"/>
          <w:lang w:val="en-US"/>
        </w:rPr>
        <w:lastRenderedPageBreak/>
        <w:t>the upper class can be explained by examining the role of Antiquarianism, the study of antiques, in the seventeenth century. Graham Parry remarks that antiquarians were seen as heroes, venturing out to find treasures unknown and returning with memories of a bygone age.</w:t>
      </w:r>
      <w:r w:rsidRPr="00192050">
        <w:rPr>
          <w:rStyle w:val="FootnoteReference"/>
          <w:sz w:val="24"/>
          <w:szCs w:val="24"/>
          <w:lang w:val="en-US"/>
        </w:rPr>
        <w:footnoteReference w:id="32"/>
      </w:r>
      <w:r w:rsidRPr="00192050">
        <w:rPr>
          <w:sz w:val="24"/>
          <w:szCs w:val="24"/>
          <w:lang w:val="en-US"/>
        </w:rPr>
        <w:t xml:space="preserve"> The creation of a brand new title might not seem the place to celebrate antiquarianism, but with the rise of a new league of nobles, the world also saw the rise of antiquarian scholars scouring medieval manuscripts and ancient tomes to find some mention of the ancient and noble baronets. To appeal to this group of nobles, Sir Robert Cotton, first baronet (1571-1631) was hired to work with Bacon and the King to try and encourage members of the upper class to buy the new title. </w:t>
      </w:r>
    </w:p>
    <w:p w14:paraId="51AA2C34" w14:textId="400873D8" w:rsidR="00A70631" w:rsidRPr="00192050" w:rsidRDefault="00A70631" w:rsidP="00A70631">
      <w:pPr>
        <w:spacing w:line="480" w:lineRule="auto"/>
        <w:ind w:firstLine="720"/>
        <w:rPr>
          <w:sz w:val="24"/>
          <w:szCs w:val="24"/>
          <w:lang w:val="en-US"/>
        </w:rPr>
      </w:pPr>
      <w:r w:rsidRPr="00192050">
        <w:rPr>
          <w:sz w:val="24"/>
          <w:szCs w:val="24"/>
          <w:lang w:val="en-US"/>
        </w:rPr>
        <w:t>The main argument that antiquarians presented to legitimize their new title was that baronets are referenced in medieval manuscripts and in some old texts. The claim was that the term ‘</w:t>
      </w:r>
      <w:r w:rsidRPr="00192050">
        <w:rPr>
          <w:i/>
          <w:iCs/>
          <w:sz w:val="24"/>
          <w:szCs w:val="24"/>
          <w:lang w:val="en-US"/>
        </w:rPr>
        <w:t>baronettus’</w:t>
      </w:r>
      <w:r w:rsidRPr="00192050">
        <w:rPr>
          <w:sz w:val="24"/>
          <w:szCs w:val="24"/>
          <w:lang w:val="en-US"/>
        </w:rPr>
        <w:t xml:space="preserve"> referenced baronets, however</w:t>
      </w:r>
      <w:r w:rsidR="00242338">
        <w:rPr>
          <w:sz w:val="24"/>
          <w:szCs w:val="24"/>
          <w:lang w:val="en-US"/>
        </w:rPr>
        <w:t>,</w:t>
      </w:r>
      <w:r w:rsidRPr="00192050">
        <w:rPr>
          <w:sz w:val="24"/>
          <w:szCs w:val="24"/>
          <w:lang w:val="en-US"/>
        </w:rPr>
        <w:t xml:space="preserve"> this was not correct. The term </w:t>
      </w:r>
      <w:r w:rsidRPr="00192050">
        <w:rPr>
          <w:i/>
          <w:iCs/>
          <w:sz w:val="24"/>
          <w:szCs w:val="24"/>
          <w:lang w:val="en-US"/>
        </w:rPr>
        <w:t>baronettus</w:t>
      </w:r>
      <w:r w:rsidRPr="00192050">
        <w:rPr>
          <w:sz w:val="24"/>
          <w:szCs w:val="24"/>
          <w:lang w:val="en-US"/>
        </w:rPr>
        <w:t xml:space="preserve"> is a term found in medieval manuscripts that has two meanings, either a minor baron or a knight banneret.</w:t>
      </w:r>
      <w:r w:rsidRPr="00192050">
        <w:rPr>
          <w:rStyle w:val="FootnoteReference"/>
          <w:sz w:val="24"/>
          <w:szCs w:val="24"/>
          <w:lang w:val="en-US"/>
        </w:rPr>
        <w:footnoteReference w:id="33"/>
      </w:r>
      <w:r w:rsidR="00242338">
        <w:rPr>
          <w:sz w:val="24"/>
          <w:szCs w:val="24"/>
          <w:lang w:val="en-US"/>
        </w:rPr>
        <w:t xml:space="preserve"> </w:t>
      </w:r>
      <w:r w:rsidRPr="00192050">
        <w:rPr>
          <w:sz w:val="24"/>
          <w:szCs w:val="24"/>
          <w:lang w:val="en-US"/>
        </w:rPr>
        <w:t>A knight banneret is an ancient title and an extremely prestigious one at that. A knight banneret is created when a man is knighted “for an act of valor on the field of battle and under the king’s banner.”</w:t>
      </w:r>
      <w:r w:rsidRPr="00192050">
        <w:rPr>
          <w:rStyle w:val="FootnoteReference"/>
          <w:sz w:val="24"/>
          <w:szCs w:val="24"/>
          <w:lang w:val="en-US"/>
        </w:rPr>
        <w:footnoteReference w:id="34"/>
      </w:r>
      <w:r w:rsidRPr="00192050">
        <w:rPr>
          <w:sz w:val="24"/>
          <w:szCs w:val="24"/>
          <w:lang w:val="en-US"/>
        </w:rPr>
        <w:t xml:space="preserve"> In fact, a knight banneret was ahead of baronets in terms of social standing, meaning that the baronets were below those they claimed to be related to.</w:t>
      </w:r>
      <w:r w:rsidR="003770ED" w:rsidRPr="00192050">
        <w:rPr>
          <w:sz w:val="24"/>
          <w:szCs w:val="24"/>
          <w:lang w:val="en-US"/>
        </w:rPr>
        <w:t xml:space="preserve"> </w:t>
      </w:r>
    </w:p>
    <w:p w14:paraId="0F347130" w14:textId="770D6E7F" w:rsidR="00B670DE" w:rsidRPr="00192050" w:rsidRDefault="00B670DE" w:rsidP="00A70631">
      <w:pPr>
        <w:spacing w:line="480" w:lineRule="auto"/>
        <w:ind w:firstLine="720"/>
        <w:rPr>
          <w:sz w:val="24"/>
          <w:szCs w:val="24"/>
          <w:lang w:val="en-US"/>
        </w:rPr>
      </w:pPr>
      <w:r w:rsidRPr="00192050">
        <w:rPr>
          <w:sz w:val="24"/>
          <w:szCs w:val="24"/>
          <w:lang w:val="en-US"/>
        </w:rPr>
        <w:t>Another example of the baronetti and the knight banneret</w:t>
      </w:r>
      <w:r w:rsidR="00242338">
        <w:rPr>
          <w:sz w:val="24"/>
          <w:szCs w:val="24"/>
          <w:lang w:val="en-US"/>
        </w:rPr>
        <w:t>s’</w:t>
      </w:r>
      <w:r w:rsidRPr="00192050">
        <w:rPr>
          <w:sz w:val="24"/>
          <w:szCs w:val="24"/>
          <w:lang w:val="en-US"/>
        </w:rPr>
        <w:t xml:space="preserve"> being confused comes from a letter confirming the legitimacy of Sir Ralph Fane’s position as a knight banneret </w:t>
      </w:r>
      <w:r w:rsidRPr="00192050">
        <w:rPr>
          <w:sz w:val="24"/>
          <w:szCs w:val="24"/>
          <w:lang w:val="en-US"/>
        </w:rPr>
        <w:lastRenderedPageBreak/>
        <w:t>under Edward VI.</w:t>
      </w:r>
      <w:r w:rsidR="00836FBA" w:rsidRPr="00192050">
        <w:rPr>
          <w:sz w:val="24"/>
          <w:szCs w:val="24"/>
          <w:lang w:val="en-US"/>
        </w:rPr>
        <w:t xml:space="preserve"> This letter, written in Latin, contains a grant of a manor, which is made to Sir Fane so that “he might be the better enabled and empowered to sustain the burden of his rank and state aforesaid, and as a further recompense for his services.”</w:t>
      </w:r>
      <w:r w:rsidR="00836FBA" w:rsidRPr="00192050">
        <w:rPr>
          <w:rStyle w:val="FootnoteReference"/>
          <w:sz w:val="24"/>
          <w:szCs w:val="24"/>
          <w:lang w:val="en-US"/>
        </w:rPr>
        <w:footnoteReference w:id="35"/>
      </w:r>
      <w:r w:rsidR="00CD5630" w:rsidRPr="00192050">
        <w:rPr>
          <w:sz w:val="24"/>
          <w:szCs w:val="24"/>
          <w:lang w:val="en-US"/>
        </w:rPr>
        <w:t xml:space="preserve"> This letter, combined with the fact that Sir Fane was given a manor for his services, stresses just how important the </w:t>
      </w:r>
      <w:r w:rsidR="00242338">
        <w:rPr>
          <w:sz w:val="24"/>
          <w:szCs w:val="24"/>
          <w:lang w:val="en-US"/>
        </w:rPr>
        <w:t>knight bannerets</w:t>
      </w:r>
      <w:r w:rsidR="00CD5630" w:rsidRPr="00192050">
        <w:rPr>
          <w:sz w:val="24"/>
          <w:szCs w:val="24"/>
          <w:lang w:val="en-US"/>
        </w:rPr>
        <w:t xml:space="preserve"> were and how big of a deal it was to be made one. </w:t>
      </w:r>
    </w:p>
    <w:p w14:paraId="086EAD3F" w14:textId="2E15711D" w:rsidR="00A70631" w:rsidRPr="00192050" w:rsidRDefault="00A70631" w:rsidP="00A70631">
      <w:pPr>
        <w:spacing w:line="480" w:lineRule="auto"/>
        <w:ind w:firstLine="720"/>
        <w:rPr>
          <w:sz w:val="24"/>
          <w:szCs w:val="24"/>
          <w:lang w:val="en-US"/>
        </w:rPr>
      </w:pPr>
      <w:r w:rsidRPr="00192050">
        <w:rPr>
          <w:sz w:val="24"/>
          <w:szCs w:val="24"/>
          <w:lang w:val="en-US"/>
        </w:rPr>
        <w:t xml:space="preserve">Another attempt to legitimize the new position stated that the baronets were the reincarnation of an ancient order of nobles called the </w:t>
      </w:r>
      <w:r w:rsidRPr="00192050">
        <w:rPr>
          <w:i/>
          <w:iCs/>
          <w:sz w:val="24"/>
          <w:szCs w:val="24"/>
          <w:lang w:val="en-US"/>
        </w:rPr>
        <w:t>baronetti</w:t>
      </w:r>
      <w:r w:rsidRPr="00192050">
        <w:rPr>
          <w:sz w:val="24"/>
          <w:szCs w:val="24"/>
          <w:lang w:val="en-US"/>
        </w:rPr>
        <w:t>, knights who had similar rights to those of the modern baronet.</w:t>
      </w:r>
      <w:r w:rsidRPr="00192050">
        <w:rPr>
          <w:rStyle w:val="FootnoteReference"/>
          <w:sz w:val="24"/>
          <w:szCs w:val="24"/>
          <w:lang w:val="en-US"/>
        </w:rPr>
        <w:footnoteReference w:id="36"/>
      </w:r>
      <w:r w:rsidRPr="00192050">
        <w:rPr>
          <w:sz w:val="24"/>
          <w:szCs w:val="24"/>
          <w:lang w:val="en-US"/>
        </w:rPr>
        <w:t xml:space="preserve"> The term </w:t>
      </w:r>
      <w:r w:rsidRPr="00192050">
        <w:rPr>
          <w:i/>
          <w:iCs/>
          <w:sz w:val="24"/>
          <w:szCs w:val="24"/>
          <w:lang w:val="en-US"/>
        </w:rPr>
        <w:t>baronetti</w:t>
      </w:r>
      <w:r w:rsidRPr="00192050">
        <w:rPr>
          <w:sz w:val="24"/>
          <w:szCs w:val="24"/>
        </w:rPr>
        <w:t xml:space="preserve"> can be found in a letter written by Thomas de la More in 1321 in which he describes the battle of </w:t>
      </w:r>
      <w:proofErr w:type="spellStart"/>
      <w:r w:rsidRPr="00192050">
        <w:rPr>
          <w:sz w:val="24"/>
          <w:szCs w:val="24"/>
        </w:rPr>
        <w:t>Barrenberg</w:t>
      </w:r>
      <w:proofErr w:type="spellEnd"/>
      <w:r w:rsidRPr="00192050">
        <w:rPr>
          <w:sz w:val="24"/>
          <w:szCs w:val="24"/>
        </w:rPr>
        <w:t>, and states: “</w:t>
      </w:r>
      <w:proofErr w:type="spellStart"/>
      <w:r w:rsidRPr="00192050">
        <w:rPr>
          <w:i/>
          <w:iCs/>
          <w:sz w:val="24"/>
          <w:szCs w:val="24"/>
        </w:rPr>
        <w:t>Capitur</w:t>
      </w:r>
      <w:proofErr w:type="spellEnd"/>
      <w:r w:rsidRPr="00192050">
        <w:rPr>
          <w:i/>
          <w:iCs/>
          <w:sz w:val="24"/>
          <w:szCs w:val="24"/>
        </w:rPr>
        <w:t xml:space="preserve"> in campo comes </w:t>
      </w:r>
      <w:proofErr w:type="spellStart"/>
      <w:r w:rsidRPr="00192050">
        <w:rPr>
          <w:i/>
          <w:iCs/>
          <w:sz w:val="24"/>
          <w:szCs w:val="24"/>
        </w:rPr>
        <w:t>Lancastriæ</w:t>
      </w:r>
      <w:proofErr w:type="spellEnd"/>
      <w:r w:rsidRPr="00192050">
        <w:rPr>
          <w:i/>
          <w:iCs/>
          <w:sz w:val="24"/>
          <w:szCs w:val="24"/>
        </w:rPr>
        <w:t xml:space="preserve"> </w:t>
      </w:r>
      <w:proofErr w:type="spellStart"/>
      <w:r w:rsidRPr="00192050">
        <w:rPr>
          <w:i/>
          <w:iCs/>
          <w:sz w:val="24"/>
          <w:szCs w:val="24"/>
        </w:rPr>
        <w:t>Barones</w:t>
      </w:r>
      <w:proofErr w:type="spellEnd"/>
      <w:r w:rsidRPr="00192050">
        <w:rPr>
          <w:i/>
          <w:iCs/>
          <w:sz w:val="24"/>
          <w:szCs w:val="24"/>
        </w:rPr>
        <w:t xml:space="preserve"> et Baronetti </w:t>
      </w:r>
      <w:proofErr w:type="spellStart"/>
      <w:r w:rsidRPr="00192050">
        <w:rPr>
          <w:i/>
          <w:iCs/>
          <w:sz w:val="24"/>
          <w:szCs w:val="24"/>
        </w:rPr>
        <w:t>commilitones</w:t>
      </w:r>
      <w:proofErr w:type="spellEnd"/>
      <w:r w:rsidRPr="00192050">
        <w:rPr>
          <w:i/>
          <w:iCs/>
          <w:sz w:val="24"/>
          <w:szCs w:val="24"/>
        </w:rPr>
        <w:t xml:space="preserve"> </w:t>
      </w:r>
      <w:proofErr w:type="spellStart"/>
      <w:r w:rsidRPr="00192050">
        <w:rPr>
          <w:i/>
          <w:iCs/>
          <w:sz w:val="24"/>
          <w:szCs w:val="24"/>
        </w:rPr>
        <w:t>ejus</w:t>
      </w:r>
      <w:proofErr w:type="spellEnd"/>
      <w:r w:rsidRPr="00192050">
        <w:rPr>
          <w:i/>
          <w:iCs/>
          <w:sz w:val="24"/>
          <w:szCs w:val="24"/>
        </w:rPr>
        <w:t xml:space="preserve"> et </w:t>
      </w:r>
      <w:proofErr w:type="spellStart"/>
      <w:r w:rsidRPr="00192050">
        <w:rPr>
          <w:i/>
          <w:iCs/>
          <w:sz w:val="24"/>
          <w:szCs w:val="24"/>
        </w:rPr>
        <w:t>milites</w:t>
      </w:r>
      <w:proofErr w:type="spellEnd"/>
      <w:r w:rsidRPr="00192050">
        <w:rPr>
          <w:i/>
          <w:iCs/>
          <w:sz w:val="24"/>
          <w:szCs w:val="24"/>
        </w:rPr>
        <w:t xml:space="preserve"> circa 95, </w:t>
      </w:r>
      <w:proofErr w:type="spellStart"/>
      <w:r w:rsidRPr="00192050">
        <w:rPr>
          <w:i/>
          <w:iCs/>
          <w:sz w:val="24"/>
          <w:szCs w:val="24"/>
        </w:rPr>
        <w:t>reliquis</w:t>
      </w:r>
      <w:proofErr w:type="spellEnd"/>
      <w:r w:rsidRPr="00192050">
        <w:rPr>
          <w:i/>
          <w:iCs/>
          <w:sz w:val="24"/>
          <w:szCs w:val="24"/>
        </w:rPr>
        <w:t xml:space="preserve"> </w:t>
      </w:r>
      <w:proofErr w:type="spellStart"/>
      <w:r w:rsidRPr="00192050">
        <w:rPr>
          <w:i/>
          <w:iCs/>
          <w:sz w:val="24"/>
          <w:szCs w:val="24"/>
        </w:rPr>
        <w:t>fuga</w:t>
      </w:r>
      <w:proofErr w:type="spellEnd"/>
      <w:r w:rsidRPr="00192050">
        <w:rPr>
          <w:i/>
          <w:iCs/>
          <w:sz w:val="24"/>
          <w:szCs w:val="24"/>
        </w:rPr>
        <w:t xml:space="preserve"> </w:t>
      </w:r>
      <w:proofErr w:type="spellStart"/>
      <w:r w:rsidRPr="00192050">
        <w:rPr>
          <w:i/>
          <w:iCs/>
          <w:sz w:val="24"/>
          <w:szCs w:val="24"/>
        </w:rPr>
        <w:t>servatis</w:t>
      </w:r>
      <w:proofErr w:type="spellEnd"/>
      <w:r w:rsidRPr="00192050">
        <w:rPr>
          <w:sz w:val="24"/>
          <w:szCs w:val="24"/>
        </w:rPr>
        <w:t>”</w:t>
      </w:r>
      <w:r w:rsidRPr="00192050">
        <w:rPr>
          <w:rStyle w:val="FootnoteReference"/>
          <w:sz w:val="24"/>
          <w:szCs w:val="24"/>
        </w:rPr>
        <w:footnoteReference w:id="37"/>
      </w:r>
      <w:r w:rsidRPr="00192050">
        <w:rPr>
          <w:sz w:val="24"/>
          <w:szCs w:val="24"/>
        </w:rPr>
        <w:t xml:space="preserve"> which can be translated to “seen on the field, soldiers of the Lancaster Barons and Baronetti, around 95 comrades and soldiers fighting to protect.” Here, baronetti is understood to refer to the </w:t>
      </w:r>
      <w:r w:rsidR="00242338">
        <w:rPr>
          <w:sz w:val="24"/>
          <w:szCs w:val="24"/>
        </w:rPr>
        <w:t>knight bannerets</w:t>
      </w:r>
      <w:r w:rsidRPr="00192050">
        <w:rPr>
          <w:sz w:val="24"/>
          <w:szCs w:val="24"/>
        </w:rPr>
        <w:t>, and not the ancient title. T</w:t>
      </w:r>
      <w:r w:rsidRPr="00192050">
        <w:rPr>
          <w:sz w:val="24"/>
          <w:szCs w:val="24"/>
          <w:lang w:val="en-US"/>
        </w:rPr>
        <w:t>his claim can be refuted immediately by understanding that King James I intended from the start to create a new title. It is also noteworthy that the title was one that could be bought, it is unlikely that holders of the ancient title would like it if one could simply buy their way in.</w:t>
      </w:r>
      <w:r w:rsidR="00E7757A" w:rsidRPr="00192050">
        <w:rPr>
          <w:sz w:val="24"/>
          <w:szCs w:val="24"/>
          <w:lang w:val="en-US"/>
        </w:rPr>
        <w:t xml:space="preserve"> </w:t>
      </w:r>
    </w:p>
    <w:p w14:paraId="1B1B9AF6" w14:textId="3A546234" w:rsidR="00E7757A" w:rsidRPr="00192050" w:rsidRDefault="00E7757A" w:rsidP="00A70631">
      <w:pPr>
        <w:spacing w:line="480" w:lineRule="auto"/>
        <w:ind w:firstLine="720"/>
        <w:rPr>
          <w:sz w:val="24"/>
          <w:szCs w:val="24"/>
        </w:rPr>
      </w:pPr>
      <w:r w:rsidRPr="00192050">
        <w:rPr>
          <w:sz w:val="24"/>
          <w:szCs w:val="24"/>
        </w:rPr>
        <w:t>Perhaps because of this fact, that you could suddenly buy a hereditary title, or for many other reasons, there was backlash regarding the baronetcy. Members of parliament were against it, members of the peerage were against it, and members of the gentry were against it.</w:t>
      </w:r>
    </w:p>
    <w:p w14:paraId="31C4B51E" w14:textId="77777777" w:rsidR="00192050" w:rsidRDefault="00192050">
      <w:pPr>
        <w:rPr>
          <w:rFonts w:asciiTheme="majorHAnsi" w:eastAsiaTheme="majorEastAsia" w:hAnsiTheme="majorHAnsi" w:cstheme="majorBidi"/>
          <w:color w:val="2F5496" w:themeColor="accent1" w:themeShade="BF"/>
          <w:sz w:val="24"/>
          <w:szCs w:val="24"/>
        </w:rPr>
      </w:pPr>
      <w:r>
        <w:rPr>
          <w:sz w:val="24"/>
          <w:szCs w:val="24"/>
        </w:rPr>
        <w:br w:type="page"/>
      </w:r>
    </w:p>
    <w:p w14:paraId="0154748C" w14:textId="6B5833B6" w:rsidR="00E7757A" w:rsidRPr="00192050" w:rsidRDefault="00E7757A" w:rsidP="00932983">
      <w:pPr>
        <w:pStyle w:val="Heading1"/>
        <w:rPr>
          <w:sz w:val="24"/>
          <w:szCs w:val="24"/>
        </w:rPr>
      </w:pPr>
      <w:bookmarkStart w:id="14" w:name="_Toc39836568"/>
      <w:r w:rsidRPr="00192050">
        <w:rPr>
          <w:sz w:val="24"/>
          <w:szCs w:val="24"/>
        </w:rPr>
        <w:lastRenderedPageBreak/>
        <w:t>Chapter 2 –</w:t>
      </w:r>
      <w:r w:rsidR="00DF5248" w:rsidRPr="00192050">
        <w:rPr>
          <w:sz w:val="24"/>
          <w:szCs w:val="24"/>
        </w:rPr>
        <w:t xml:space="preserve"> Dissent </w:t>
      </w:r>
      <w:r w:rsidR="00932983" w:rsidRPr="00192050">
        <w:rPr>
          <w:sz w:val="24"/>
          <w:szCs w:val="24"/>
        </w:rPr>
        <w:t>from</w:t>
      </w:r>
      <w:r w:rsidR="00DF5248" w:rsidRPr="00192050">
        <w:rPr>
          <w:sz w:val="24"/>
          <w:szCs w:val="24"/>
        </w:rPr>
        <w:t xml:space="preserve"> Parliament Towards the Baronets.</w:t>
      </w:r>
      <w:bookmarkEnd w:id="14"/>
    </w:p>
    <w:p w14:paraId="66AB23A0" w14:textId="77777777" w:rsidR="00932983" w:rsidRPr="00192050" w:rsidRDefault="00932983" w:rsidP="00932983">
      <w:pPr>
        <w:rPr>
          <w:sz w:val="24"/>
          <w:szCs w:val="24"/>
        </w:rPr>
      </w:pPr>
    </w:p>
    <w:p w14:paraId="70C4882D" w14:textId="322CB08E" w:rsidR="00A906CC" w:rsidRPr="00192050" w:rsidRDefault="0060375D" w:rsidP="0060375D">
      <w:pPr>
        <w:spacing w:line="480" w:lineRule="auto"/>
        <w:ind w:firstLine="720"/>
        <w:rPr>
          <w:sz w:val="24"/>
          <w:szCs w:val="24"/>
        </w:rPr>
      </w:pPr>
      <w:r w:rsidRPr="00192050">
        <w:rPr>
          <w:sz w:val="24"/>
          <w:szCs w:val="24"/>
        </w:rPr>
        <w:t xml:space="preserve">This is perhaps a good time to place the baronets among the nobles. There are perhaps two groups of nobles, as noted by Pixley: The </w:t>
      </w:r>
      <w:r w:rsidRPr="00192050">
        <w:rPr>
          <w:i/>
          <w:iCs/>
          <w:sz w:val="24"/>
          <w:szCs w:val="24"/>
        </w:rPr>
        <w:t xml:space="preserve">nobilis majores </w:t>
      </w:r>
      <w:r w:rsidRPr="00192050">
        <w:rPr>
          <w:sz w:val="24"/>
          <w:szCs w:val="24"/>
        </w:rPr>
        <w:t xml:space="preserve">and the </w:t>
      </w:r>
      <w:r w:rsidRPr="00192050">
        <w:rPr>
          <w:i/>
          <w:iCs/>
          <w:sz w:val="24"/>
          <w:szCs w:val="24"/>
        </w:rPr>
        <w:t xml:space="preserve">nobilis minores. </w:t>
      </w:r>
      <w:r w:rsidRPr="00192050">
        <w:rPr>
          <w:sz w:val="24"/>
          <w:szCs w:val="24"/>
        </w:rPr>
        <w:t xml:space="preserve">The </w:t>
      </w:r>
      <w:r w:rsidRPr="00192050">
        <w:rPr>
          <w:i/>
          <w:iCs/>
          <w:sz w:val="24"/>
          <w:szCs w:val="24"/>
        </w:rPr>
        <w:t>nobilis majores</w:t>
      </w:r>
      <w:r w:rsidRPr="00192050">
        <w:rPr>
          <w:sz w:val="24"/>
          <w:szCs w:val="24"/>
        </w:rPr>
        <w:t xml:space="preserve"> contains the members of the peerage, in order of rank: dukes, marquesses, earls, viscounts and barons. The </w:t>
      </w:r>
      <w:r w:rsidRPr="00192050">
        <w:rPr>
          <w:i/>
          <w:iCs/>
          <w:sz w:val="24"/>
          <w:szCs w:val="24"/>
        </w:rPr>
        <w:t>nobilis minores</w:t>
      </w:r>
      <w:r w:rsidRPr="00192050">
        <w:rPr>
          <w:sz w:val="24"/>
          <w:szCs w:val="24"/>
        </w:rPr>
        <w:t xml:space="preserve"> contain those with titles and distinction who are not members of the peerage, again in order of rank: baronets, knights and gentlemen. There is also some distinction to be made regarding the elder and younger sons of the members of the peerage. The eldest son falls into the rank below the father, and the younger son, two ranks. For example, the eldest son of a duke is equal to a marquess, and the younger son is equal to an earl.</w:t>
      </w:r>
      <w:r w:rsidR="007366F4" w:rsidRPr="00192050">
        <w:rPr>
          <w:rStyle w:val="FootnoteReference"/>
          <w:sz w:val="24"/>
          <w:szCs w:val="24"/>
        </w:rPr>
        <w:footnoteReference w:id="38"/>
      </w:r>
      <w:r w:rsidR="005A2BA7" w:rsidRPr="00192050">
        <w:rPr>
          <w:sz w:val="24"/>
          <w:szCs w:val="24"/>
        </w:rPr>
        <w:t xml:space="preserve"> Upon the creation of the baronetcy, an argument arose between the youngest sons of viscounts and the eldest sons of barons. Suddenly, they were equal with these newly created and </w:t>
      </w:r>
      <w:r w:rsidR="00CD21A5" w:rsidRPr="00192050">
        <w:rPr>
          <w:sz w:val="24"/>
          <w:szCs w:val="24"/>
        </w:rPr>
        <w:t>unheard-of</w:t>
      </w:r>
      <w:r w:rsidR="005A2BA7" w:rsidRPr="00192050">
        <w:rPr>
          <w:sz w:val="24"/>
          <w:szCs w:val="24"/>
        </w:rPr>
        <w:t xml:space="preserve"> baronets who bought their titles.</w:t>
      </w:r>
      <w:r w:rsidR="005A2BA7" w:rsidRPr="00192050">
        <w:rPr>
          <w:rStyle w:val="FootnoteReference"/>
          <w:sz w:val="24"/>
          <w:szCs w:val="24"/>
        </w:rPr>
        <w:footnoteReference w:id="39"/>
      </w:r>
      <w:r w:rsidR="006E3F8D" w:rsidRPr="00192050">
        <w:rPr>
          <w:sz w:val="24"/>
          <w:szCs w:val="24"/>
        </w:rPr>
        <w:t xml:space="preserve"> The matter was bought to King James’ privy council, who sided against the baronets and agreed that the sons of the peerage should be ahead of the baronets.</w:t>
      </w:r>
      <w:r w:rsidR="006E3F8D" w:rsidRPr="00192050">
        <w:rPr>
          <w:rStyle w:val="FootnoteReference"/>
          <w:sz w:val="24"/>
          <w:szCs w:val="24"/>
        </w:rPr>
        <w:footnoteReference w:id="40"/>
      </w:r>
      <w:r w:rsidR="006E3F8D" w:rsidRPr="00192050">
        <w:rPr>
          <w:sz w:val="24"/>
          <w:szCs w:val="24"/>
        </w:rPr>
        <w:t xml:space="preserve"> Surprisingly, King James sided with the privy council and agreed, evidence for which is presented in a letter from John Chamberlain to Sir Dudley Carleton on the 29</w:t>
      </w:r>
      <w:r w:rsidR="006E3F8D" w:rsidRPr="00192050">
        <w:rPr>
          <w:sz w:val="24"/>
          <w:szCs w:val="24"/>
          <w:vertAlign w:val="superscript"/>
        </w:rPr>
        <w:t>th</w:t>
      </w:r>
      <w:r w:rsidR="006E3F8D" w:rsidRPr="00192050">
        <w:rPr>
          <w:sz w:val="24"/>
          <w:szCs w:val="24"/>
        </w:rPr>
        <w:t xml:space="preserve"> of April, 1612: “the K. hath determined that the </w:t>
      </w:r>
      <w:proofErr w:type="spellStart"/>
      <w:r w:rsidR="006E3F8D" w:rsidRPr="00192050">
        <w:rPr>
          <w:sz w:val="24"/>
          <w:szCs w:val="24"/>
        </w:rPr>
        <w:t>Baronnetts</w:t>
      </w:r>
      <w:proofErr w:type="spellEnd"/>
      <w:r w:rsidR="006E3F8D" w:rsidRPr="00192050">
        <w:rPr>
          <w:sz w:val="24"/>
          <w:szCs w:val="24"/>
        </w:rPr>
        <w:t xml:space="preserve"> shall not take place of </w:t>
      </w:r>
      <w:proofErr w:type="spellStart"/>
      <w:r w:rsidR="006E3F8D" w:rsidRPr="00192050">
        <w:rPr>
          <w:sz w:val="24"/>
          <w:szCs w:val="24"/>
        </w:rPr>
        <w:t>Lordes</w:t>
      </w:r>
      <w:proofErr w:type="spellEnd"/>
      <w:r w:rsidR="006E3F8D" w:rsidRPr="00192050">
        <w:rPr>
          <w:sz w:val="24"/>
          <w:szCs w:val="24"/>
        </w:rPr>
        <w:t xml:space="preserve"> younger </w:t>
      </w:r>
      <w:proofErr w:type="spellStart"/>
      <w:r w:rsidR="006E3F8D" w:rsidRPr="00192050">
        <w:rPr>
          <w:sz w:val="24"/>
          <w:szCs w:val="24"/>
        </w:rPr>
        <w:t>sonnes</w:t>
      </w:r>
      <w:proofErr w:type="spellEnd"/>
      <w:r w:rsidR="006E3F8D" w:rsidRPr="00192050">
        <w:rPr>
          <w:sz w:val="24"/>
          <w:szCs w:val="24"/>
        </w:rPr>
        <w:t>.”</w:t>
      </w:r>
      <w:r w:rsidR="006E3F8D" w:rsidRPr="00192050">
        <w:rPr>
          <w:rStyle w:val="FootnoteReference"/>
          <w:sz w:val="24"/>
          <w:szCs w:val="24"/>
        </w:rPr>
        <w:footnoteReference w:id="41"/>
      </w:r>
      <w:r w:rsidR="00396358" w:rsidRPr="00192050">
        <w:rPr>
          <w:sz w:val="24"/>
          <w:szCs w:val="24"/>
        </w:rPr>
        <w:t xml:space="preserve"> </w:t>
      </w:r>
      <w:r w:rsidR="00BD03F1" w:rsidRPr="00192050">
        <w:rPr>
          <w:rStyle w:val="FootnoteReference"/>
          <w:sz w:val="24"/>
          <w:szCs w:val="24"/>
        </w:rPr>
        <w:footnoteReference w:id="42"/>
      </w:r>
      <w:r w:rsidR="00044B49" w:rsidRPr="00192050">
        <w:rPr>
          <w:sz w:val="24"/>
          <w:szCs w:val="24"/>
        </w:rPr>
        <w:t xml:space="preserve"> The outcome of this decree was that the baronets had now completely been invalidated. Those </w:t>
      </w:r>
      <w:r w:rsidR="00044B49" w:rsidRPr="00192050">
        <w:rPr>
          <w:sz w:val="24"/>
          <w:szCs w:val="24"/>
        </w:rPr>
        <w:lastRenderedPageBreak/>
        <w:t xml:space="preserve">who thought they had any chance of becoming members of the </w:t>
      </w:r>
      <w:r w:rsidR="00AB4100" w:rsidRPr="00192050">
        <w:rPr>
          <w:sz w:val="24"/>
          <w:szCs w:val="24"/>
        </w:rPr>
        <w:t>peerage or</w:t>
      </w:r>
      <w:r w:rsidR="00044B49" w:rsidRPr="00192050">
        <w:rPr>
          <w:sz w:val="24"/>
          <w:szCs w:val="24"/>
        </w:rPr>
        <w:t xml:space="preserve"> ranking among even just the barons were not firmly put in their place. For the two years following the decree (1612-1613), no new baronets were created.</w:t>
      </w:r>
    </w:p>
    <w:p w14:paraId="44491BFE" w14:textId="77777777" w:rsidR="006B26B0" w:rsidRPr="00192050" w:rsidRDefault="00A906CC" w:rsidP="0060375D">
      <w:pPr>
        <w:spacing w:line="480" w:lineRule="auto"/>
        <w:ind w:firstLine="720"/>
        <w:rPr>
          <w:sz w:val="24"/>
          <w:szCs w:val="24"/>
        </w:rPr>
      </w:pPr>
      <w:r w:rsidRPr="00192050">
        <w:rPr>
          <w:sz w:val="24"/>
          <w:szCs w:val="24"/>
        </w:rPr>
        <w:t xml:space="preserve">To counter this, a suggestion was made by Silvanus Skory, to raise the cost of becoming a baronet to £3000. With this suggestion, Skory aimed only to increase the royal funds, due to the lack of new subscriptions. He proposed that new privileges should be added: “to be justices of the peace at 21 </w:t>
      </w:r>
      <w:proofErr w:type="spellStart"/>
      <w:r w:rsidRPr="00192050">
        <w:rPr>
          <w:sz w:val="24"/>
          <w:szCs w:val="24"/>
        </w:rPr>
        <w:t>yeres</w:t>
      </w:r>
      <w:proofErr w:type="spellEnd"/>
      <w:r w:rsidRPr="00192050">
        <w:rPr>
          <w:sz w:val="24"/>
          <w:szCs w:val="24"/>
        </w:rPr>
        <w:t xml:space="preserve"> of age, </w:t>
      </w:r>
      <w:proofErr w:type="spellStart"/>
      <w:r w:rsidRPr="00192050">
        <w:rPr>
          <w:sz w:val="24"/>
          <w:szCs w:val="24"/>
        </w:rPr>
        <w:t>deputie</w:t>
      </w:r>
      <w:proofErr w:type="spellEnd"/>
      <w:r w:rsidRPr="00192050">
        <w:rPr>
          <w:sz w:val="24"/>
          <w:szCs w:val="24"/>
        </w:rPr>
        <w:t xml:space="preserve"> lieutenants at 25 that </w:t>
      </w:r>
      <w:proofErr w:type="spellStart"/>
      <w:r w:rsidRPr="00192050">
        <w:rPr>
          <w:sz w:val="24"/>
          <w:szCs w:val="24"/>
        </w:rPr>
        <w:t>theyre</w:t>
      </w:r>
      <w:proofErr w:type="spellEnd"/>
      <w:r w:rsidRPr="00192050">
        <w:rPr>
          <w:sz w:val="24"/>
          <w:szCs w:val="24"/>
        </w:rPr>
        <w:t xml:space="preserve"> bodies should be free from arrests, </w:t>
      </w:r>
      <w:proofErr w:type="spellStart"/>
      <w:r w:rsidRPr="00192050">
        <w:rPr>
          <w:sz w:val="24"/>
          <w:szCs w:val="24"/>
        </w:rPr>
        <w:t>w</w:t>
      </w:r>
      <w:r w:rsidRPr="00192050">
        <w:rPr>
          <w:sz w:val="24"/>
          <w:szCs w:val="24"/>
          <w:vertAlign w:val="superscript"/>
        </w:rPr>
        <w:t>th</w:t>
      </w:r>
      <w:proofErr w:type="spellEnd"/>
      <w:r w:rsidRPr="00192050">
        <w:rPr>
          <w:sz w:val="24"/>
          <w:szCs w:val="24"/>
          <w:vertAlign w:val="superscript"/>
        </w:rPr>
        <w:t xml:space="preserve"> </w:t>
      </w:r>
      <w:r w:rsidR="00A9595B" w:rsidRPr="00192050">
        <w:rPr>
          <w:sz w:val="24"/>
          <w:szCs w:val="24"/>
        </w:rPr>
        <w:t xml:space="preserve">divers other immunities for </w:t>
      </w:r>
      <w:proofErr w:type="spellStart"/>
      <w:r w:rsidR="00A9595B" w:rsidRPr="00192050">
        <w:rPr>
          <w:sz w:val="24"/>
          <w:szCs w:val="24"/>
        </w:rPr>
        <w:t>w</w:t>
      </w:r>
      <w:r w:rsidR="00A9595B" w:rsidRPr="00192050">
        <w:rPr>
          <w:sz w:val="24"/>
          <w:szCs w:val="24"/>
          <w:vertAlign w:val="superscript"/>
        </w:rPr>
        <w:t>ch</w:t>
      </w:r>
      <w:proofErr w:type="spellEnd"/>
      <w:r w:rsidR="00A9595B" w:rsidRPr="00192050">
        <w:rPr>
          <w:sz w:val="24"/>
          <w:szCs w:val="24"/>
          <w:vertAlign w:val="superscript"/>
        </w:rPr>
        <w:t xml:space="preserve"> </w:t>
      </w:r>
      <w:proofErr w:type="spellStart"/>
      <w:r w:rsidR="00A9595B" w:rsidRPr="00192050">
        <w:rPr>
          <w:sz w:val="24"/>
          <w:szCs w:val="24"/>
        </w:rPr>
        <w:t>theyre</w:t>
      </w:r>
      <w:proofErr w:type="spellEnd"/>
      <w:r w:rsidR="00A9595B" w:rsidRPr="00192050">
        <w:rPr>
          <w:sz w:val="24"/>
          <w:szCs w:val="24"/>
        </w:rPr>
        <w:t xml:space="preserve"> rate should rise to 3000</w:t>
      </w:r>
      <w:r w:rsidR="00A9595B" w:rsidRPr="00192050">
        <w:rPr>
          <w:sz w:val="24"/>
          <w:szCs w:val="24"/>
          <w:vertAlign w:val="superscript"/>
        </w:rPr>
        <w:t>ll</w:t>
      </w:r>
      <w:r w:rsidR="00A9595B" w:rsidRPr="00192050">
        <w:rPr>
          <w:sz w:val="24"/>
          <w:szCs w:val="24"/>
        </w:rPr>
        <w:t>.”</w:t>
      </w:r>
      <w:r w:rsidR="00A9595B" w:rsidRPr="00192050">
        <w:rPr>
          <w:rStyle w:val="FootnoteReference"/>
          <w:sz w:val="24"/>
          <w:szCs w:val="24"/>
        </w:rPr>
        <w:footnoteReference w:id="43"/>
      </w:r>
      <w:r w:rsidR="009D7CC8" w:rsidRPr="00192050">
        <w:rPr>
          <w:sz w:val="24"/>
          <w:szCs w:val="24"/>
        </w:rPr>
        <w:t xml:space="preserve"> This idea was immediately refused and shot down, as shown in the </w:t>
      </w:r>
      <w:r w:rsidR="009D7CC8" w:rsidRPr="00192050">
        <w:rPr>
          <w:i/>
          <w:iCs/>
          <w:sz w:val="24"/>
          <w:szCs w:val="24"/>
        </w:rPr>
        <w:t xml:space="preserve">State Papers: </w:t>
      </w:r>
      <w:r w:rsidR="009D7CC8" w:rsidRPr="00192050">
        <w:rPr>
          <w:sz w:val="24"/>
          <w:szCs w:val="24"/>
        </w:rPr>
        <w:t>“if prosecuted to extremity, it will yield a large sum, but cause many murmurs.”</w:t>
      </w:r>
      <w:r w:rsidR="009D7CC8" w:rsidRPr="00192050">
        <w:rPr>
          <w:rStyle w:val="FootnoteReference"/>
          <w:sz w:val="24"/>
          <w:szCs w:val="24"/>
        </w:rPr>
        <w:footnoteReference w:id="44"/>
      </w:r>
      <w:r w:rsidR="009D7CC8" w:rsidRPr="00192050">
        <w:rPr>
          <w:sz w:val="24"/>
          <w:szCs w:val="24"/>
        </w:rPr>
        <w:t xml:space="preserve"> </w:t>
      </w:r>
    </w:p>
    <w:p w14:paraId="16B9E6FD" w14:textId="642D1813" w:rsidR="0060375D" w:rsidRPr="00192050" w:rsidRDefault="00935902" w:rsidP="0060375D">
      <w:pPr>
        <w:spacing w:line="480" w:lineRule="auto"/>
        <w:ind w:firstLine="720"/>
        <w:rPr>
          <w:sz w:val="24"/>
          <w:szCs w:val="24"/>
        </w:rPr>
      </w:pPr>
      <w:r w:rsidRPr="00192050">
        <w:rPr>
          <w:sz w:val="24"/>
          <w:szCs w:val="24"/>
        </w:rPr>
        <w:t xml:space="preserve">There would be several consequences to raising the fee to £3000, that I believe escaped the mind of Skory: primarily that £3000 was an enormous amount of money, having the same buying power as nearly half a million pounds today. At £3000, only the truly wealthy could afford to buy the title, leading to less money for the King. As an example, </w:t>
      </w:r>
      <w:r w:rsidR="00052039" w:rsidRPr="00192050">
        <w:rPr>
          <w:sz w:val="24"/>
          <w:szCs w:val="24"/>
        </w:rPr>
        <w:t>Edward Stephenson, a member of the landed gentry who made his fortune in the East India Trading company during the eighteenth century, had an annual income from his land of only £1245 by 1750.</w:t>
      </w:r>
      <w:r w:rsidR="00052039" w:rsidRPr="00192050">
        <w:rPr>
          <w:rStyle w:val="FootnoteReference"/>
          <w:sz w:val="24"/>
          <w:szCs w:val="24"/>
        </w:rPr>
        <w:footnoteReference w:id="45"/>
      </w:r>
      <w:r w:rsidR="00052039" w:rsidRPr="00192050">
        <w:rPr>
          <w:sz w:val="24"/>
          <w:szCs w:val="24"/>
        </w:rPr>
        <w:t xml:space="preserve"> Stephenson demonstrates that even those that had made fortunes in one of the largest money</w:t>
      </w:r>
      <w:r w:rsidR="00242338">
        <w:rPr>
          <w:sz w:val="24"/>
          <w:szCs w:val="24"/>
        </w:rPr>
        <w:t>-</w:t>
      </w:r>
      <w:r w:rsidR="00052039" w:rsidRPr="00192050">
        <w:rPr>
          <w:sz w:val="24"/>
          <w:szCs w:val="24"/>
        </w:rPr>
        <w:t>making schemes the world has ever seen did not have enough money to buy on</w:t>
      </w:r>
      <w:r w:rsidR="00242338">
        <w:rPr>
          <w:sz w:val="24"/>
          <w:szCs w:val="24"/>
        </w:rPr>
        <w:t>e</w:t>
      </w:r>
      <w:r w:rsidR="00052039" w:rsidRPr="00192050">
        <w:rPr>
          <w:sz w:val="24"/>
          <w:szCs w:val="24"/>
        </w:rPr>
        <w:t xml:space="preserve"> of </w:t>
      </w:r>
      <w:proofErr w:type="spellStart"/>
      <w:r w:rsidR="00052039" w:rsidRPr="00192050">
        <w:rPr>
          <w:sz w:val="24"/>
          <w:szCs w:val="24"/>
        </w:rPr>
        <w:t>Skory’s</w:t>
      </w:r>
      <w:proofErr w:type="spellEnd"/>
      <w:r w:rsidR="00052039" w:rsidRPr="00192050">
        <w:rPr>
          <w:sz w:val="24"/>
          <w:szCs w:val="24"/>
        </w:rPr>
        <w:t xml:space="preserve"> proposed </w:t>
      </w:r>
      <w:r w:rsidR="00534E48" w:rsidRPr="00192050">
        <w:rPr>
          <w:sz w:val="24"/>
          <w:szCs w:val="24"/>
        </w:rPr>
        <w:t>baronetcies</w:t>
      </w:r>
      <w:r w:rsidR="00052039" w:rsidRPr="00192050">
        <w:rPr>
          <w:sz w:val="24"/>
          <w:szCs w:val="24"/>
        </w:rPr>
        <w:t>.</w:t>
      </w:r>
      <w:r w:rsidR="006B26B0" w:rsidRPr="00192050">
        <w:rPr>
          <w:sz w:val="24"/>
          <w:szCs w:val="24"/>
        </w:rPr>
        <w:t xml:space="preserve"> </w:t>
      </w:r>
    </w:p>
    <w:p w14:paraId="0781FCFF" w14:textId="0EEF5106" w:rsidR="00A51BA9" w:rsidRPr="00192050" w:rsidRDefault="006B26B0" w:rsidP="0060375D">
      <w:pPr>
        <w:spacing w:line="480" w:lineRule="auto"/>
        <w:ind w:firstLine="720"/>
        <w:rPr>
          <w:sz w:val="24"/>
          <w:szCs w:val="24"/>
        </w:rPr>
      </w:pPr>
      <w:r w:rsidRPr="00192050">
        <w:rPr>
          <w:sz w:val="24"/>
          <w:szCs w:val="24"/>
        </w:rPr>
        <w:lastRenderedPageBreak/>
        <w:t xml:space="preserve">Another consequence would have been a divide between the baronets who had already paid the £1000, and those now paying the £3000. Any arguments between the two groups would have led to the invalidation of the entire title. </w:t>
      </w:r>
      <w:r w:rsidR="00047A9B" w:rsidRPr="00192050">
        <w:rPr>
          <w:sz w:val="24"/>
          <w:szCs w:val="24"/>
        </w:rPr>
        <w:t xml:space="preserve">The £1000s would have </w:t>
      </w:r>
      <w:r w:rsidR="00556EDC" w:rsidRPr="00192050">
        <w:rPr>
          <w:sz w:val="24"/>
          <w:szCs w:val="24"/>
        </w:rPr>
        <w:t>thought that the £3000s were lower than them, because they paid more money to get the same benefits, and the £3000s would have looked upon the £1000s with disdain for the same reason. Should Skory have got his way, then the £3000s would have had more power than the £1000s which again would have led to a split in the group.</w:t>
      </w:r>
      <w:r w:rsidR="00A51BA9" w:rsidRPr="00192050">
        <w:rPr>
          <w:sz w:val="24"/>
          <w:szCs w:val="24"/>
        </w:rPr>
        <w:t xml:space="preserve"> </w:t>
      </w:r>
    </w:p>
    <w:p w14:paraId="67B127BD" w14:textId="64038A63" w:rsidR="00F44FB2" w:rsidRPr="00192050" w:rsidRDefault="0060375D" w:rsidP="00F44FB2">
      <w:pPr>
        <w:spacing w:line="480" w:lineRule="auto"/>
        <w:ind w:firstLine="720"/>
        <w:rPr>
          <w:sz w:val="24"/>
          <w:szCs w:val="24"/>
        </w:rPr>
      </w:pPr>
      <w:r w:rsidRPr="00192050">
        <w:rPr>
          <w:sz w:val="24"/>
          <w:szCs w:val="24"/>
        </w:rPr>
        <w:t xml:space="preserve">The following sentence describes the argument that followed the baronetcy for generations: </w:t>
      </w:r>
      <w:r w:rsidR="00E7757A" w:rsidRPr="00192050">
        <w:rPr>
          <w:sz w:val="24"/>
          <w:szCs w:val="24"/>
        </w:rPr>
        <w:t xml:space="preserve">“There </w:t>
      </w:r>
      <w:proofErr w:type="spellStart"/>
      <w:r w:rsidR="00E7757A" w:rsidRPr="00192050">
        <w:rPr>
          <w:sz w:val="24"/>
          <w:szCs w:val="24"/>
        </w:rPr>
        <w:t>wilbe</w:t>
      </w:r>
      <w:proofErr w:type="spellEnd"/>
      <w:r w:rsidR="00E7757A" w:rsidRPr="00192050">
        <w:rPr>
          <w:sz w:val="24"/>
          <w:szCs w:val="24"/>
        </w:rPr>
        <w:t xml:space="preserve"> </w:t>
      </w:r>
      <w:proofErr w:type="spellStart"/>
      <w:r w:rsidR="00E7757A" w:rsidRPr="00192050">
        <w:rPr>
          <w:sz w:val="24"/>
          <w:szCs w:val="24"/>
        </w:rPr>
        <w:t>allwais</w:t>
      </w:r>
      <w:proofErr w:type="spellEnd"/>
      <w:r w:rsidR="00E7757A" w:rsidRPr="00192050">
        <w:rPr>
          <w:sz w:val="24"/>
          <w:szCs w:val="24"/>
        </w:rPr>
        <w:t xml:space="preserve"> dislike </w:t>
      </w:r>
      <w:proofErr w:type="spellStart"/>
      <w:r w:rsidR="00E7757A" w:rsidRPr="00192050">
        <w:rPr>
          <w:sz w:val="24"/>
          <w:szCs w:val="24"/>
        </w:rPr>
        <w:t>envye</w:t>
      </w:r>
      <w:proofErr w:type="spellEnd"/>
      <w:r w:rsidR="00E7757A" w:rsidRPr="00192050">
        <w:rPr>
          <w:sz w:val="24"/>
          <w:szCs w:val="24"/>
        </w:rPr>
        <w:t xml:space="preserve"> and </w:t>
      </w:r>
      <w:proofErr w:type="spellStart"/>
      <w:r w:rsidR="00E7757A" w:rsidRPr="00192050">
        <w:rPr>
          <w:sz w:val="24"/>
          <w:szCs w:val="24"/>
        </w:rPr>
        <w:t>hartburning</w:t>
      </w:r>
      <w:proofErr w:type="spellEnd"/>
      <w:r w:rsidR="00E7757A" w:rsidRPr="00192050">
        <w:rPr>
          <w:sz w:val="24"/>
          <w:szCs w:val="24"/>
        </w:rPr>
        <w:t xml:space="preserve"> between the </w:t>
      </w:r>
      <w:proofErr w:type="spellStart"/>
      <w:r w:rsidR="00E7757A" w:rsidRPr="00192050">
        <w:rPr>
          <w:sz w:val="24"/>
          <w:szCs w:val="24"/>
        </w:rPr>
        <w:t>gentrie</w:t>
      </w:r>
      <w:proofErr w:type="spellEnd"/>
      <w:r w:rsidR="00E7757A" w:rsidRPr="00192050">
        <w:rPr>
          <w:sz w:val="24"/>
          <w:szCs w:val="24"/>
        </w:rPr>
        <w:t xml:space="preserve"> of the Kingdome and the </w:t>
      </w:r>
      <w:proofErr w:type="spellStart"/>
      <w:r w:rsidR="00E7757A" w:rsidRPr="00192050">
        <w:rPr>
          <w:sz w:val="24"/>
          <w:szCs w:val="24"/>
        </w:rPr>
        <w:t>Baronetts</w:t>
      </w:r>
      <w:proofErr w:type="spellEnd"/>
      <w:r w:rsidR="00E7757A" w:rsidRPr="00192050">
        <w:rPr>
          <w:sz w:val="24"/>
          <w:szCs w:val="24"/>
        </w:rPr>
        <w:t>.”</w:t>
      </w:r>
      <w:r w:rsidR="00E7757A" w:rsidRPr="00192050">
        <w:rPr>
          <w:rStyle w:val="FootnoteReference"/>
          <w:sz w:val="24"/>
          <w:szCs w:val="24"/>
        </w:rPr>
        <w:footnoteReference w:id="46"/>
      </w:r>
      <w:r w:rsidR="00E7757A" w:rsidRPr="00192050">
        <w:rPr>
          <w:sz w:val="24"/>
          <w:szCs w:val="24"/>
        </w:rPr>
        <w:t xml:space="preserve"> This quote</w:t>
      </w:r>
      <w:r w:rsidR="00C86B0B" w:rsidRPr="00192050">
        <w:rPr>
          <w:sz w:val="24"/>
          <w:szCs w:val="24"/>
        </w:rPr>
        <w:t xml:space="preserve"> can be found in a document called “</w:t>
      </w:r>
      <w:proofErr w:type="spellStart"/>
      <w:r w:rsidR="00C86B0B" w:rsidRPr="00192050">
        <w:rPr>
          <w:sz w:val="24"/>
          <w:szCs w:val="24"/>
        </w:rPr>
        <w:t>Motiues</w:t>
      </w:r>
      <w:proofErr w:type="spellEnd"/>
      <w:r w:rsidR="00C86B0B" w:rsidRPr="00192050">
        <w:rPr>
          <w:sz w:val="24"/>
          <w:szCs w:val="24"/>
        </w:rPr>
        <w:t xml:space="preserve"> to induce the Knights </w:t>
      </w:r>
      <w:proofErr w:type="spellStart"/>
      <w:r w:rsidR="00C86B0B" w:rsidRPr="00192050">
        <w:rPr>
          <w:sz w:val="24"/>
          <w:szCs w:val="24"/>
        </w:rPr>
        <w:t>Cittizens</w:t>
      </w:r>
      <w:proofErr w:type="spellEnd"/>
      <w:r w:rsidR="00C86B0B" w:rsidRPr="00192050">
        <w:rPr>
          <w:sz w:val="24"/>
          <w:szCs w:val="24"/>
        </w:rPr>
        <w:t xml:space="preserve"> and Burgesses of the Commons </w:t>
      </w:r>
      <w:proofErr w:type="spellStart"/>
      <w:r w:rsidR="00C86B0B" w:rsidRPr="00192050">
        <w:rPr>
          <w:sz w:val="24"/>
          <w:szCs w:val="24"/>
        </w:rPr>
        <w:t>Howse</w:t>
      </w:r>
      <w:proofErr w:type="spellEnd"/>
      <w:r w:rsidR="00C86B0B" w:rsidRPr="00192050">
        <w:rPr>
          <w:sz w:val="24"/>
          <w:szCs w:val="24"/>
        </w:rPr>
        <w:t xml:space="preserve"> of Parliament to petition to his Ma</w:t>
      </w:r>
      <w:r w:rsidR="00C86B0B" w:rsidRPr="00192050">
        <w:rPr>
          <w:sz w:val="24"/>
          <w:szCs w:val="24"/>
          <w:vertAlign w:val="superscript"/>
        </w:rPr>
        <w:t>tie</w:t>
      </w:r>
      <w:r w:rsidR="00C86B0B" w:rsidRPr="00192050">
        <w:rPr>
          <w:sz w:val="24"/>
          <w:szCs w:val="24"/>
        </w:rPr>
        <w:t xml:space="preserve"> for the revoking &amp; abolishing of the degree of </w:t>
      </w:r>
      <w:proofErr w:type="spellStart"/>
      <w:r w:rsidR="00C86B0B" w:rsidRPr="00192050">
        <w:rPr>
          <w:sz w:val="24"/>
          <w:szCs w:val="24"/>
        </w:rPr>
        <w:t>Baronetts</w:t>
      </w:r>
      <w:proofErr w:type="spellEnd"/>
      <w:r w:rsidR="00C86B0B" w:rsidRPr="00192050">
        <w:rPr>
          <w:sz w:val="24"/>
          <w:szCs w:val="24"/>
        </w:rPr>
        <w:t xml:space="preserve"> lately erected by his </w:t>
      </w:r>
      <w:proofErr w:type="spellStart"/>
      <w:r w:rsidR="00C86B0B" w:rsidRPr="00192050">
        <w:rPr>
          <w:sz w:val="24"/>
          <w:szCs w:val="24"/>
        </w:rPr>
        <w:t>hignes</w:t>
      </w:r>
      <w:proofErr w:type="spellEnd"/>
      <w:r w:rsidR="00C86B0B" w:rsidRPr="00192050">
        <w:rPr>
          <w:sz w:val="24"/>
          <w:szCs w:val="24"/>
        </w:rPr>
        <w:t xml:space="preserve"> letters patents.”</w:t>
      </w:r>
      <w:r w:rsidR="00C86B0B" w:rsidRPr="00192050">
        <w:rPr>
          <w:rStyle w:val="FootnoteReference"/>
          <w:sz w:val="24"/>
          <w:szCs w:val="24"/>
        </w:rPr>
        <w:footnoteReference w:id="47"/>
      </w:r>
      <w:r w:rsidR="00C86B0B" w:rsidRPr="00192050">
        <w:rPr>
          <w:sz w:val="24"/>
          <w:szCs w:val="24"/>
        </w:rPr>
        <w:t xml:space="preserve"> The document is contained in the Cotton manuscripts, a library assembled by Sir Robert Cotton, 1</w:t>
      </w:r>
      <w:r w:rsidR="00C86B0B" w:rsidRPr="00192050">
        <w:rPr>
          <w:sz w:val="24"/>
          <w:szCs w:val="24"/>
          <w:vertAlign w:val="superscript"/>
        </w:rPr>
        <w:t>st</w:t>
      </w:r>
      <w:r w:rsidR="00C86B0B" w:rsidRPr="00192050">
        <w:rPr>
          <w:sz w:val="24"/>
          <w:szCs w:val="24"/>
        </w:rPr>
        <w:t xml:space="preserve"> Baronet, of </w:t>
      </w:r>
      <w:proofErr w:type="spellStart"/>
      <w:r w:rsidR="00C86B0B" w:rsidRPr="00192050">
        <w:rPr>
          <w:sz w:val="24"/>
          <w:szCs w:val="24"/>
        </w:rPr>
        <w:t>Connington</w:t>
      </w:r>
      <w:proofErr w:type="spellEnd"/>
      <w:r w:rsidR="00C86B0B" w:rsidRPr="00192050">
        <w:rPr>
          <w:sz w:val="24"/>
          <w:szCs w:val="24"/>
        </w:rPr>
        <w:t>.</w:t>
      </w:r>
      <w:r w:rsidR="00C86B0B" w:rsidRPr="00192050">
        <w:rPr>
          <w:rStyle w:val="FootnoteReference"/>
          <w:sz w:val="24"/>
          <w:szCs w:val="24"/>
        </w:rPr>
        <w:footnoteReference w:id="48"/>
      </w:r>
      <w:r w:rsidR="001D20F3" w:rsidRPr="00192050">
        <w:rPr>
          <w:sz w:val="24"/>
          <w:szCs w:val="24"/>
        </w:rPr>
        <w:t xml:space="preserve"> It sums up the feelings towards the title from certain members of society. Certainly, there wasn’t outrage from every member of society, but there was enough outrage to warrant the detailing of it, both by </w:t>
      </w:r>
      <w:r w:rsidR="001703E6" w:rsidRPr="00192050">
        <w:rPr>
          <w:sz w:val="24"/>
          <w:szCs w:val="24"/>
        </w:rPr>
        <w:t xml:space="preserve">modern historians and historians of decades past.  Cotton MS Faustina CVIII (Henceforth referred to as </w:t>
      </w:r>
      <w:r w:rsidR="001703E6" w:rsidRPr="00192050">
        <w:rPr>
          <w:i/>
          <w:iCs/>
          <w:sz w:val="24"/>
          <w:szCs w:val="24"/>
        </w:rPr>
        <w:t xml:space="preserve">Faustina C8) </w:t>
      </w:r>
      <w:r w:rsidR="001703E6" w:rsidRPr="00192050">
        <w:rPr>
          <w:sz w:val="24"/>
          <w:szCs w:val="24"/>
        </w:rPr>
        <w:t>tells us that the main cause for the dissent was that the title overtook knights in terms of ranking among the nobles:</w:t>
      </w:r>
      <w:r w:rsidR="004D72F6" w:rsidRPr="00192050">
        <w:rPr>
          <w:sz w:val="24"/>
          <w:szCs w:val="24"/>
        </w:rPr>
        <w:t xml:space="preserve"> “</w:t>
      </w:r>
      <w:proofErr w:type="spellStart"/>
      <w:r w:rsidR="004D72F6" w:rsidRPr="00192050">
        <w:rPr>
          <w:sz w:val="24"/>
          <w:szCs w:val="24"/>
        </w:rPr>
        <w:t>Nevertheles</w:t>
      </w:r>
      <w:proofErr w:type="spellEnd"/>
      <w:r w:rsidR="004D72F6" w:rsidRPr="00192050">
        <w:rPr>
          <w:sz w:val="24"/>
          <w:szCs w:val="24"/>
        </w:rPr>
        <w:t xml:space="preserve"> the degree of </w:t>
      </w:r>
      <w:proofErr w:type="spellStart"/>
      <w:r w:rsidR="004D72F6" w:rsidRPr="00192050">
        <w:rPr>
          <w:sz w:val="24"/>
          <w:szCs w:val="24"/>
        </w:rPr>
        <w:t>Baronetts</w:t>
      </w:r>
      <w:proofErr w:type="spellEnd"/>
      <w:r w:rsidR="004D72F6" w:rsidRPr="00192050">
        <w:rPr>
          <w:sz w:val="24"/>
          <w:szCs w:val="24"/>
        </w:rPr>
        <w:t xml:space="preserve"> is interposed </w:t>
      </w:r>
      <w:proofErr w:type="spellStart"/>
      <w:r w:rsidR="004D72F6" w:rsidRPr="00192050">
        <w:rPr>
          <w:sz w:val="24"/>
          <w:szCs w:val="24"/>
        </w:rPr>
        <w:t>betweene</w:t>
      </w:r>
      <w:proofErr w:type="spellEnd"/>
      <w:r w:rsidR="004D72F6" w:rsidRPr="00192050">
        <w:rPr>
          <w:sz w:val="24"/>
          <w:szCs w:val="24"/>
        </w:rPr>
        <w:t xml:space="preserve"> </w:t>
      </w:r>
      <w:proofErr w:type="spellStart"/>
      <w:r w:rsidR="004D72F6" w:rsidRPr="00192050">
        <w:rPr>
          <w:sz w:val="24"/>
          <w:szCs w:val="24"/>
        </w:rPr>
        <w:t>Baronie</w:t>
      </w:r>
      <w:proofErr w:type="spellEnd"/>
      <w:r w:rsidR="004D72F6" w:rsidRPr="00192050">
        <w:rPr>
          <w:sz w:val="24"/>
          <w:szCs w:val="24"/>
        </w:rPr>
        <w:t xml:space="preserve"> and Knighthood.”</w:t>
      </w:r>
      <w:r w:rsidR="004D72F6" w:rsidRPr="00192050">
        <w:rPr>
          <w:rStyle w:val="FootnoteReference"/>
          <w:sz w:val="24"/>
          <w:szCs w:val="24"/>
        </w:rPr>
        <w:footnoteReference w:id="49"/>
      </w:r>
      <w:r w:rsidR="004D72F6" w:rsidRPr="00192050">
        <w:rPr>
          <w:sz w:val="24"/>
          <w:szCs w:val="24"/>
        </w:rPr>
        <w:t xml:space="preserve"> Becoming a knight was a great honour and for those knights to have someone suddenly buying a title that gave them </w:t>
      </w:r>
      <w:r w:rsidR="004D72F6" w:rsidRPr="00192050">
        <w:rPr>
          <w:sz w:val="24"/>
          <w:szCs w:val="24"/>
        </w:rPr>
        <w:lastRenderedPageBreak/>
        <w:t xml:space="preserve">the same honorific title, Sir, which was also hereditary was a blow to the social standing of the knights. </w:t>
      </w:r>
      <w:r w:rsidR="004D72F6" w:rsidRPr="00192050">
        <w:rPr>
          <w:i/>
          <w:iCs/>
          <w:sz w:val="24"/>
          <w:szCs w:val="24"/>
        </w:rPr>
        <w:t>Faustina C8</w:t>
      </w:r>
      <w:r w:rsidR="004D72F6" w:rsidRPr="00192050">
        <w:rPr>
          <w:sz w:val="24"/>
          <w:szCs w:val="24"/>
        </w:rPr>
        <w:t xml:space="preserve"> tells us “The honour of Knighthood </w:t>
      </w:r>
      <w:proofErr w:type="spellStart"/>
      <w:r w:rsidR="004D72F6" w:rsidRPr="00192050">
        <w:rPr>
          <w:sz w:val="24"/>
          <w:szCs w:val="24"/>
        </w:rPr>
        <w:t>w</w:t>
      </w:r>
      <w:r w:rsidR="004D72F6" w:rsidRPr="00192050">
        <w:rPr>
          <w:sz w:val="24"/>
          <w:szCs w:val="24"/>
          <w:vertAlign w:val="superscript"/>
        </w:rPr>
        <w:t>ch</w:t>
      </w:r>
      <w:proofErr w:type="spellEnd"/>
      <w:r w:rsidR="004D72F6" w:rsidRPr="00192050">
        <w:rPr>
          <w:sz w:val="24"/>
          <w:szCs w:val="24"/>
        </w:rPr>
        <w:t xml:space="preserve"> was wont to encourage generous </w:t>
      </w:r>
      <w:proofErr w:type="spellStart"/>
      <w:r w:rsidR="004D72F6" w:rsidRPr="00192050">
        <w:rPr>
          <w:sz w:val="24"/>
          <w:szCs w:val="24"/>
        </w:rPr>
        <w:t>myndes</w:t>
      </w:r>
      <w:proofErr w:type="spellEnd"/>
      <w:r w:rsidR="004D72F6" w:rsidRPr="00192050">
        <w:rPr>
          <w:sz w:val="24"/>
          <w:szCs w:val="24"/>
        </w:rPr>
        <w:t xml:space="preserve"> </w:t>
      </w:r>
      <w:proofErr w:type="spellStart"/>
      <w:r w:rsidR="004D72F6" w:rsidRPr="00192050">
        <w:rPr>
          <w:sz w:val="24"/>
          <w:szCs w:val="24"/>
        </w:rPr>
        <w:t>vnto</w:t>
      </w:r>
      <w:proofErr w:type="spellEnd"/>
      <w:r w:rsidR="004D72F6" w:rsidRPr="00192050">
        <w:rPr>
          <w:sz w:val="24"/>
          <w:szCs w:val="24"/>
        </w:rPr>
        <w:t xml:space="preserve"> high exploits will now come into co</w:t>
      </w:r>
      <w:r w:rsidR="00A0484D" w:rsidRPr="00192050">
        <w:rPr>
          <w:sz w:val="24"/>
          <w:szCs w:val="24"/>
        </w:rPr>
        <w:t xml:space="preserve">ntempt: for be they of never so great </w:t>
      </w:r>
      <w:proofErr w:type="spellStart"/>
      <w:r w:rsidR="00A0484D" w:rsidRPr="00192050">
        <w:rPr>
          <w:sz w:val="24"/>
          <w:szCs w:val="24"/>
        </w:rPr>
        <w:t>prowesse</w:t>
      </w:r>
      <w:proofErr w:type="spellEnd"/>
      <w:r w:rsidR="00A0484D" w:rsidRPr="00192050">
        <w:rPr>
          <w:sz w:val="24"/>
          <w:szCs w:val="24"/>
        </w:rPr>
        <w:t xml:space="preserve"> and valour must by the </w:t>
      </w:r>
      <w:proofErr w:type="spellStart"/>
      <w:r w:rsidR="00A0484D" w:rsidRPr="00192050">
        <w:rPr>
          <w:sz w:val="24"/>
          <w:szCs w:val="24"/>
        </w:rPr>
        <w:t>Institucion</w:t>
      </w:r>
      <w:proofErr w:type="spellEnd"/>
      <w:r w:rsidR="00A0484D" w:rsidRPr="00192050">
        <w:rPr>
          <w:sz w:val="24"/>
          <w:szCs w:val="24"/>
        </w:rPr>
        <w:t xml:space="preserve"> be inferior </w:t>
      </w:r>
      <w:proofErr w:type="spellStart"/>
      <w:r w:rsidR="00A0484D" w:rsidRPr="00192050">
        <w:rPr>
          <w:sz w:val="24"/>
          <w:szCs w:val="24"/>
        </w:rPr>
        <w:t>vnto</w:t>
      </w:r>
      <w:proofErr w:type="spellEnd"/>
      <w:r w:rsidR="00A0484D" w:rsidRPr="00192050">
        <w:rPr>
          <w:sz w:val="24"/>
          <w:szCs w:val="24"/>
        </w:rPr>
        <w:t xml:space="preserve"> </w:t>
      </w:r>
      <w:proofErr w:type="spellStart"/>
      <w:r w:rsidR="00A0484D" w:rsidRPr="00192050">
        <w:rPr>
          <w:sz w:val="24"/>
          <w:szCs w:val="24"/>
        </w:rPr>
        <w:t>Baronetts</w:t>
      </w:r>
      <w:proofErr w:type="spellEnd"/>
      <w:r w:rsidR="00A0484D" w:rsidRPr="00192050">
        <w:rPr>
          <w:sz w:val="24"/>
          <w:szCs w:val="24"/>
        </w:rPr>
        <w:t xml:space="preserve"> of smallest worth.”</w:t>
      </w:r>
      <w:r w:rsidR="008D0973" w:rsidRPr="00192050">
        <w:rPr>
          <w:rStyle w:val="FootnoteReference"/>
          <w:sz w:val="24"/>
          <w:szCs w:val="24"/>
        </w:rPr>
        <w:footnoteReference w:id="50"/>
      </w:r>
      <w:r w:rsidR="00A0484D" w:rsidRPr="00192050">
        <w:rPr>
          <w:sz w:val="24"/>
          <w:szCs w:val="24"/>
        </w:rPr>
        <w:t xml:space="preserve"> This sentence really brings to mind just how important the title of knighthood was and just how opposed people were to the baronetcy</w:t>
      </w:r>
      <w:r w:rsidR="008D0973" w:rsidRPr="00192050">
        <w:rPr>
          <w:sz w:val="24"/>
          <w:szCs w:val="24"/>
        </w:rPr>
        <w:t xml:space="preserve">. </w:t>
      </w:r>
    </w:p>
    <w:p w14:paraId="61E1D43B" w14:textId="4BE3FADA" w:rsidR="00F44FB2" w:rsidRPr="00192050" w:rsidRDefault="00242338" w:rsidP="00AB4100">
      <w:pPr>
        <w:spacing w:line="480" w:lineRule="auto"/>
        <w:ind w:firstLine="720"/>
        <w:rPr>
          <w:sz w:val="24"/>
          <w:szCs w:val="24"/>
        </w:rPr>
      </w:pPr>
      <w:r>
        <w:rPr>
          <w:sz w:val="24"/>
          <w:szCs w:val="24"/>
        </w:rPr>
        <w:t>Knight bannerets</w:t>
      </w:r>
      <w:r w:rsidR="00BD23BA" w:rsidRPr="00192050">
        <w:rPr>
          <w:sz w:val="24"/>
          <w:szCs w:val="24"/>
        </w:rPr>
        <w:t xml:space="preserve"> also took offence to the title. As stated above, the knight banneret took position above knights, which would place them alongside the baronets. Each side believed that they were above the other. This became a joke to contemporary historians as evidenced from the following: “It is indeed a thing impossible that these three men [a baronet and two </w:t>
      </w:r>
      <w:r>
        <w:rPr>
          <w:sz w:val="24"/>
          <w:szCs w:val="24"/>
        </w:rPr>
        <w:t>knight bannerets</w:t>
      </w:r>
      <w:r w:rsidR="00BD23BA" w:rsidRPr="00192050">
        <w:rPr>
          <w:sz w:val="24"/>
          <w:szCs w:val="24"/>
        </w:rPr>
        <w:t>] meeting in any place should go in rank one before the other, according to the places which they pretend they have rights unto, but in a round they may well dance, and not otherwise.”</w:t>
      </w:r>
      <w:r w:rsidR="00BD23BA" w:rsidRPr="00192050">
        <w:rPr>
          <w:rStyle w:val="FootnoteReference"/>
          <w:sz w:val="24"/>
          <w:szCs w:val="24"/>
        </w:rPr>
        <w:footnoteReference w:id="51"/>
      </w:r>
      <w:r w:rsidR="00AB4100" w:rsidRPr="00192050">
        <w:rPr>
          <w:sz w:val="24"/>
          <w:szCs w:val="24"/>
        </w:rPr>
        <w:t xml:space="preserve"> </w:t>
      </w:r>
      <w:r w:rsidR="00F44FB2" w:rsidRPr="00192050">
        <w:rPr>
          <w:sz w:val="24"/>
          <w:szCs w:val="24"/>
        </w:rPr>
        <w:t xml:space="preserve">In defence of the </w:t>
      </w:r>
      <w:r w:rsidR="00AB2389" w:rsidRPr="00192050">
        <w:rPr>
          <w:sz w:val="24"/>
          <w:szCs w:val="24"/>
        </w:rPr>
        <w:t>knight’s</w:t>
      </w:r>
      <w:r w:rsidR="00F44FB2" w:rsidRPr="00192050">
        <w:rPr>
          <w:sz w:val="24"/>
          <w:szCs w:val="24"/>
        </w:rPr>
        <w:t xml:space="preserve"> outrage over the baronetcy, Pixley writes: “We can imagine that protests resembling the above were made by Earls and Barons when the degree of Duke, Marquess and Viscount were respectively introduced.”</w:t>
      </w:r>
      <w:r w:rsidR="00F44FB2" w:rsidRPr="00192050">
        <w:rPr>
          <w:rStyle w:val="FootnoteReference"/>
          <w:sz w:val="24"/>
          <w:szCs w:val="24"/>
        </w:rPr>
        <w:footnoteReference w:id="52"/>
      </w:r>
      <w:r w:rsidR="00AB2389" w:rsidRPr="00192050">
        <w:rPr>
          <w:sz w:val="24"/>
          <w:szCs w:val="24"/>
        </w:rPr>
        <w:t xml:space="preserve"> </w:t>
      </w:r>
      <w:r w:rsidR="00401507" w:rsidRPr="00192050">
        <w:rPr>
          <w:sz w:val="24"/>
          <w:szCs w:val="24"/>
        </w:rPr>
        <w:t xml:space="preserve">Pixley is stating that whenever a new group of peers has been created, there has been outrage from the existing peers. </w:t>
      </w:r>
    </w:p>
    <w:p w14:paraId="3EC585C3" w14:textId="090A304E" w:rsidR="00CF7DE4" w:rsidRPr="00192050" w:rsidRDefault="002042EB" w:rsidP="00CF7DE4">
      <w:pPr>
        <w:spacing w:line="480" w:lineRule="auto"/>
        <w:ind w:firstLine="720"/>
        <w:rPr>
          <w:sz w:val="24"/>
          <w:szCs w:val="24"/>
        </w:rPr>
      </w:pPr>
      <w:r w:rsidRPr="00192050">
        <w:rPr>
          <w:sz w:val="24"/>
          <w:szCs w:val="24"/>
        </w:rPr>
        <w:t xml:space="preserve">There was also opposition to the fact that the title was created specifically to raise money for King James I’s efforts </w:t>
      </w:r>
      <w:r w:rsidR="009F25AF" w:rsidRPr="00192050">
        <w:rPr>
          <w:sz w:val="24"/>
          <w:szCs w:val="24"/>
        </w:rPr>
        <w:t xml:space="preserve">in Ireland. The title </w:t>
      </w:r>
      <w:proofErr w:type="gramStart"/>
      <w:r w:rsidR="009F25AF" w:rsidRPr="00192050">
        <w:rPr>
          <w:sz w:val="24"/>
          <w:szCs w:val="24"/>
        </w:rPr>
        <w:t>was seen as</w:t>
      </w:r>
      <w:proofErr w:type="gramEnd"/>
      <w:r w:rsidR="009F25AF" w:rsidRPr="00192050">
        <w:rPr>
          <w:sz w:val="24"/>
          <w:szCs w:val="24"/>
        </w:rPr>
        <w:t xml:space="preserve"> “simply another ingenious device to separate certain of the King’s subjects from their money.”</w:t>
      </w:r>
      <w:r w:rsidR="009F25AF" w:rsidRPr="00192050">
        <w:rPr>
          <w:rStyle w:val="FootnoteReference"/>
          <w:sz w:val="24"/>
          <w:szCs w:val="24"/>
        </w:rPr>
        <w:footnoteReference w:id="53"/>
      </w:r>
      <w:r w:rsidR="009F25AF" w:rsidRPr="00192050">
        <w:rPr>
          <w:sz w:val="24"/>
          <w:szCs w:val="24"/>
        </w:rPr>
        <w:t xml:space="preserve"> </w:t>
      </w:r>
      <w:r w:rsidR="00081333" w:rsidRPr="00192050">
        <w:rPr>
          <w:sz w:val="24"/>
          <w:szCs w:val="24"/>
        </w:rPr>
        <w:t xml:space="preserve">The result of this line </w:t>
      </w:r>
      <w:r w:rsidR="00081333" w:rsidRPr="00192050">
        <w:rPr>
          <w:sz w:val="24"/>
          <w:szCs w:val="24"/>
        </w:rPr>
        <w:lastRenderedPageBreak/>
        <w:t xml:space="preserve">of thought could have been the loss of any legitimacy for the baronets. To </w:t>
      </w:r>
      <w:proofErr w:type="gramStart"/>
      <w:r w:rsidR="00081333" w:rsidRPr="00192050">
        <w:rPr>
          <w:sz w:val="24"/>
          <w:szCs w:val="24"/>
        </w:rPr>
        <w:t>be seen as</w:t>
      </w:r>
      <w:proofErr w:type="gramEnd"/>
      <w:r w:rsidR="00081333" w:rsidRPr="00192050">
        <w:rPr>
          <w:sz w:val="24"/>
          <w:szCs w:val="24"/>
        </w:rPr>
        <w:t xml:space="preserve"> nothing more than a </w:t>
      </w:r>
      <w:r w:rsidR="00ED79F5" w:rsidRPr="00192050">
        <w:rPr>
          <w:sz w:val="24"/>
          <w:szCs w:val="24"/>
        </w:rPr>
        <w:t>money-making</w:t>
      </w:r>
      <w:r w:rsidR="00081333" w:rsidRPr="00192050">
        <w:rPr>
          <w:sz w:val="24"/>
          <w:szCs w:val="24"/>
        </w:rPr>
        <w:t xml:space="preserve"> scheme must have been shameful. </w:t>
      </w:r>
      <w:r w:rsidR="009B670A" w:rsidRPr="00192050">
        <w:rPr>
          <w:sz w:val="24"/>
          <w:szCs w:val="24"/>
        </w:rPr>
        <w:t>Some also believed that the money would be under parliamentary control, especially the King: “Of marked importance … would be the consideration that money from such a source would not be subjected to parliamentary scrutiny and restriction.”</w:t>
      </w:r>
      <w:r w:rsidR="009B670A" w:rsidRPr="00192050">
        <w:rPr>
          <w:rStyle w:val="FootnoteReference"/>
          <w:sz w:val="24"/>
          <w:szCs w:val="24"/>
        </w:rPr>
        <w:footnoteReference w:id="54"/>
      </w:r>
      <w:r w:rsidR="000A76E4" w:rsidRPr="00192050">
        <w:rPr>
          <w:sz w:val="24"/>
          <w:szCs w:val="24"/>
        </w:rPr>
        <w:t xml:space="preserve"> Van Eerde is suggesting that for the King, the new title wasn’t what was important, it was the money that James longed for, and for him, losing control of the money, especially to parliament, was the worst possible outcome.</w:t>
      </w:r>
      <w:r w:rsidR="005A3E92" w:rsidRPr="00192050">
        <w:rPr>
          <w:sz w:val="24"/>
          <w:szCs w:val="24"/>
        </w:rPr>
        <w:t xml:space="preserve"> The opposition to the financial aspect of the baronetcy was warranted as Van </w:t>
      </w:r>
      <w:r w:rsidR="00E6079F" w:rsidRPr="00192050">
        <w:rPr>
          <w:sz w:val="24"/>
          <w:szCs w:val="24"/>
        </w:rPr>
        <w:t>Eerde</w:t>
      </w:r>
      <w:r w:rsidR="005A3E92" w:rsidRPr="00192050">
        <w:rPr>
          <w:sz w:val="24"/>
          <w:szCs w:val="24"/>
        </w:rPr>
        <w:t xml:space="preserve"> writes: “Men had bought titles before, and James had created many peers who were unworthy of titles. But this was England’s first (and only) experiment with an honor clearly marked with a price tag.”</w:t>
      </w:r>
      <w:r w:rsidR="005A3E92" w:rsidRPr="00192050">
        <w:rPr>
          <w:rStyle w:val="FootnoteReference"/>
          <w:sz w:val="24"/>
          <w:szCs w:val="24"/>
        </w:rPr>
        <w:footnoteReference w:id="55"/>
      </w:r>
      <w:r w:rsidR="00CF7DE4" w:rsidRPr="00192050">
        <w:rPr>
          <w:sz w:val="24"/>
          <w:szCs w:val="24"/>
        </w:rPr>
        <w:t xml:space="preserve"> Van Eerde makes a compelling point here: the baronet title was an experiment. Sir Nicholas Bacon proposed that people might buy the title if there was enough of a reason to, but he did not </w:t>
      </w:r>
      <w:r w:rsidR="00E6079F" w:rsidRPr="00192050">
        <w:rPr>
          <w:sz w:val="24"/>
          <w:szCs w:val="24"/>
        </w:rPr>
        <w:t xml:space="preserve">know that people would buy the title. He was merely playing on the gentlemen’s love of titles and longing for legitimacy. </w:t>
      </w:r>
    </w:p>
    <w:p w14:paraId="7C00D191" w14:textId="00D9700F" w:rsidR="00C77B17" w:rsidRPr="00192050" w:rsidRDefault="00B877FA" w:rsidP="00C77B17">
      <w:pPr>
        <w:spacing w:line="480" w:lineRule="auto"/>
        <w:ind w:firstLine="720"/>
        <w:rPr>
          <w:sz w:val="24"/>
          <w:szCs w:val="24"/>
        </w:rPr>
      </w:pPr>
      <w:r w:rsidRPr="00192050">
        <w:rPr>
          <w:sz w:val="24"/>
          <w:szCs w:val="24"/>
        </w:rPr>
        <w:t>Regarding Van Eerde’s quote, particularly “James had created many peers who were unworthy of titles”,</w:t>
      </w:r>
      <w:r w:rsidRPr="00192050">
        <w:rPr>
          <w:rStyle w:val="FootnoteReference"/>
          <w:sz w:val="24"/>
          <w:szCs w:val="24"/>
        </w:rPr>
        <w:footnoteReference w:id="56"/>
      </w:r>
      <w:r w:rsidRPr="00192050">
        <w:rPr>
          <w:sz w:val="24"/>
          <w:szCs w:val="24"/>
        </w:rPr>
        <w:t xml:space="preserve"> more opposition came when baronets 100-200 were created. Until now, the baronets had been men of repute, they had to pass the scrutinising eye of the Duke of Buckingham. The second group of one hundred were far less reputable than the first. “The baronetage succeeded in establishing itself, but it embraced a far wider section of society than its founders had proposed.”</w:t>
      </w:r>
      <w:r w:rsidRPr="00192050">
        <w:rPr>
          <w:rStyle w:val="FootnoteReference"/>
          <w:sz w:val="24"/>
          <w:szCs w:val="24"/>
        </w:rPr>
        <w:footnoteReference w:id="57"/>
      </w:r>
      <w:r w:rsidR="00A53339" w:rsidRPr="00192050">
        <w:rPr>
          <w:sz w:val="24"/>
          <w:szCs w:val="24"/>
        </w:rPr>
        <w:t xml:space="preserve"> </w:t>
      </w:r>
      <w:r w:rsidR="001F15FB" w:rsidRPr="00192050">
        <w:rPr>
          <w:sz w:val="24"/>
          <w:szCs w:val="24"/>
        </w:rPr>
        <w:t xml:space="preserve">One </w:t>
      </w:r>
      <w:proofErr w:type="gramStart"/>
      <w:r w:rsidR="001F15FB" w:rsidRPr="00192050">
        <w:rPr>
          <w:sz w:val="24"/>
          <w:szCs w:val="24"/>
        </w:rPr>
        <w:t>particular gentleman</w:t>
      </w:r>
      <w:proofErr w:type="gramEnd"/>
      <w:r w:rsidR="001F15FB" w:rsidRPr="00192050">
        <w:rPr>
          <w:sz w:val="24"/>
          <w:szCs w:val="24"/>
        </w:rPr>
        <w:t xml:space="preserve"> stands out as being apart from the normal baronets.</w:t>
      </w:r>
      <w:r w:rsidR="00586BAD" w:rsidRPr="00192050">
        <w:rPr>
          <w:sz w:val="24"/>
          <w:szCs w:val="24"/>
        </w:rPr>
        <w:t xml:space="preserve"> Sir Thomas Harris of Boreatton in Shropshire</w:t>
      </w:r>
      <w:r w:rsidR="001F15FB" w:rsidRPr="00192050">
        <w:rPr>
          <w:sz w:val="24"/>
          <w:szCs w:val="24"/>
        </w:rPr>
        <w:t xml:space="preserve"> </w:t>
      </w:r>
      <w:r w:rsidR="000C2D39" w:rsidRPr="00192050">
        <w:rPr>
          <w:sz w:val="24"/>
          <w:szCs w:val="24"/>
        </w:rPr>
        <w:t xml:space="preserve">was the son </w:t>
      </w:r>
      <w:r w:rsidR="000C2D39" w:rsidRPr="00192050">
        <w:rPr>
          <w:sz w:val="24"/>
          <w:szCs w:val="24"/>
        </w:rPr>
        <w:lastRenderedPageBreak/>
        <w:t xml:space="preserve">of a draper and the grandson of a yeoman. </w:t>
      </w:r>
      <w:r w:rsidR="00586BAD" w:rsidRPr="00192050">
        <w:rPr>
          <w:sz w:val="24"/>
          <w:szCs w:val="24"/>
        </w:rPr>
        <w:t>Although he was a master of Chancery, he had made his own way there and did not have a family of good background for at least two centuries, as was specified in the original requirements for becoming a baronet. This separated Harris from the other baronets, whose families were primarily of good repute. People</w:t>
      </w:r>
      <w:r w:rsidR="006517A5">
        <w:rPr>
          <w:sz w:val="24"/>
          <w:szCs w:val="24"/>
        </w:rPr>
        <w:t>,</w:t>
      </w:r>
      <w:r w:rsidR="00586BAD" w:rsidRPr="00192050">
        <w:rPr>
          <w:sz w:val="24"/>
          <w:szCs w:val="24"/>
        </w:rPr>
        <w:t xml:space="preserve"> of course</w:t>
      </w:r>
      <w:r w:rsidR="006517A5">
        <w:rPr>
          <w:sz w:val="24"/>
          <w:szCs w:val="24"/>
        </w:rPr>
        <w:t>,</w:t>
      </w:r>
      <w:r w:rsidR="00586BAD" w:rsidRPr="00192050">
        <w:rPr>
          <w:sz w:val="24"/>
          <w:szCs w:val="24"/>
        </w:rPr>
        <w:t xml:space="preserve"> petitioned against Harris becoming a baronet as they thought he would belittle the title. In </w:t>
      </w:r>
      <w:r w:rsidR="00E373DA" w:rsidRPr="00192050">
        <w:rPr>
          <w:sz w:val="24"/>
          <w:szCs w:val="24"/>
        </w:rPr>
        <w:t>fact,</w:t>
      </w:r>
      <w:r w:rsidR="00586BAD" w:rsidRPr="00192050">
        <w:rPr>
          <w:sz w:val="24"/>
          <w:szCs w:val="24"/>
        </w:rPr>
        <w:t xml:space="preserve"> this was a serious step, as Stone writes</w:t>
      </w:r>
      <w:r w:rsidR="00E118F0" w:rsidRPr="00192050">
        <w:rPr>
          <w:sz w:val="24"/>
          <w:szCs w:val="24"/>
        </w:rPr>
        <w:t>, “[the admission of gentlemen of less repute] was the first frank admission by the Crown that it was prepared to auction its powers as the fount of honour.”</w:t>
      </w:r>
      <w:r w:rsidR="00E118F0" w:rsidRPr="00192050">
        <w:rPr>
          <w:rStyle w:val="FootnoteReference"/>
          <w:sz w:val="24"/>
          <w:szCs w:val="24"/>
        </w:rPr>
        <w:footnoteReference w:id="58"/>
      </w:r>
      <w:r w:rsidR="00E118F0" w:rsidRPr="00192050">
        <w:rPr>
          <w:sz w:val="24"/>
          <w:szCs w:val="24"/>
        </w:rPr>
        <w:t xml:space="preserve"> </w:t>
      </w:r>
      <w:r w:rsidR="00193852" w:rsidRPr="00192050">
        <w:rPr>
          <w:sz w:val="24"/>
          <w:szCs w:val="24"/>
        </w:rPr>
        <w:t xml:space="preserve">With this quote, Stone shows us that the Crown, i.e. King James I, was prepared to admit that he just needed money, and that honour did not matter as much as people thought. This caused a huge outcry from </w:t>
      </w:r>
      <w:r w:rsidR="00AB700A" w:rsidRPr="00192050">
        <w:rPr>
          <w:sz w:val="24"/>
          <w:szCs w:val="24"/>
        </w:rPr>
        <w:t>Parliament when</w:t>
      </w:r>
      <w:r w:rsidR="00777F0A" w:rsidRPr="00192050">
        <w:rPr>
          <w:sz w:val="24"/>
          <w:szCs w:val="24"/>
        </w:rPr>
        <w:t xml:space="preserve"> “in 1614 a group of members launched an attack on the whole institution of baronets, and urged their abolition.”</w:t>
      </w:r>
      <w:r w:rsidR="00777F0A" w:rsidRPr="00192050">
        <w:rPr>
          <w:rStyle w:val="FootnoteReference"/>
          <w:sz w:val="24"/>
          <w:szCs w:val="24"/>
        </w:rPr>
        <w:footnoteReference w:id="59"/>
      </w:r>
      <w:r w:rsidR="00C77B17" w:rsidRPr="00192050">
        <w:rPr>
          <w:sz w:val="24"/>
          <w:szCs w:val="24"/>
        </w:rPr>
        <w:t xml:space="preserve"> More evidence for the attacks being a result of the quality of the baronets declining is suggested by Stone. As mentioned above, the price to become a baronet dropped to below £250 in 1622, and as a result “the quality of the purchasers declined, and the unworthy character of some of the recipients soon became public knowledge. Sir Thomas Harris was at the front of </w:t>
      </w:r>
      <w:proofErr w:type="gramStart"/>
      <w:r w:rsidR="00C77B17" w:rsidRPr="00192050">
        <w:rPr>
          <w:sz w:val="24"/>
          <w:szCs w:val="24"/>
        </w:rPr>
        <w:t>all of</w:t>
      </w:r>
      <w:proofErr w:type="gramEnd"/>
      <w:r w:rsidR="00C77B17" w:rsidRPr="00192050">
        <w:rPr>
          <w:sz w:val="24"/>
          <w:szCs w:val="24"/>
        </w:rPr>
        <w:t xml:space="preserve"> this outrage and in 1623 was the centre of an attack from the Earl Marshal’s Court. Ultimately, Harris’ patent stood as he had purchased the title himself, however</w:t>
      </w:r>
      <w:r w:rsidR="006517A5">
        <w:rPr>
          <w:sz w:val="24"/>
          <w:szCs w:val="24"/>
        </w:rPr>
        <w:t>,</w:t>
      </w:r>
      <w:r w:rsidR="00C77B17" w:rsidRPr="00192050">
        <w:rPr>
          <w:sz w:val="24"/>
          <w:szCs w:val="24"/>
        </w:rPr>
        <w:t xml:space="preserve"> the court “declared and pronounced [him] no gentleman.”</w:t>
      </w:r>
      <w:r w:rsidR="00C77B17" w:rsidRPr="00192050">
        <w:rPr>
          <w:rStyle w:val="FootnoteReference"/>
          <w:sz w:val="24"/>
          <w:szCs w:val="24"/>
        </w:rPr>
        <w:footnoteReference w:id="60"/>
      </w:r>
      <w:r w:rsidR="00C77B17" w:rsidRPr="00192050">
        <w:rPr>
          <w:sz w:val="24"/>
          <w:szCs w:val="24"/>
        </w:rPr>
        <w:t xml:space="preserve"> </w:t>
      </w:r>
      <w:r w:rsidR="00572A04" w:rsidRPr="00192050">
        <w:rPr>
          <w:sz w:val="24"/>
          <w:szCs w:val="24"/>
        </w:rPr>
        <w:t>This surely was a blow for Harris, who</w:t>
      </w:r>
      <w:r w:rsidR="00FF428A" w:rsidRPr="00192050">
        <w:rPr>
          <w:sz w:val="24"/>
          <w:szCs w:val="24"/>
        </w:rPr>
        <w:t>, according to the King’s rules,</w:t>
      </w:r>
      <w:r w:rsidR="00572A04" w:rsidRPr="00192050">
        <w:rPr>
          <w:sz w:val="24"/>
          <w:szCs w:val="24"/>
        </w:rPr>
        <w:t xml:space="preserve"> had just as much right to be a baronet as any other.</w:t>
      </w:r>
    </w:p>
    <w:p w14:paraId="26EAF218" w14:textId="02C02617" w:rsidR="008E40ED" w:rsidRPr="00192050" w:rsidRDefault="004B3ECE" w:rsidP="008E40ED">
      <w:pPr>
        <w:spacing w:line="480" w:lineRule="auto"/>
        <w:ind w:firstLine="720"/>
        <w:rPr>
          <w:sz w:val="24"/>
          <w:szCs w:val="24"/>
        </w:rPr>
      </w:pPr>
      <w:r w:rsidRPr="00192050">
        <w:rPr>
          <w:sz w:val="24"/>
          <w:szCs w:val="24"/>
        </w:rPr>
        <w:lastRenderedPageBreak/>
        <w:t xml:space="preserve">Tensions between Parliament and King </w:t>
      </w:r>
      <w:r w:rsidR="00E94939" w:rsidRPr="00192050">
        <w:rPr>
          <w:sz w:val="24"/>
          <w:szCs w:val="24"/>
        </w:rPr>
        <w:t>James I almost always ran high</w:t>
      </w:r>
      <w:r w:rsidR="005E3E41" w:rsidRPr="00192050">
        <w:rPr>
          <w:sz w:val="24"/>
          <w:szCs w:val="24"/>
        </w:rPr>
        <w:t>. As Macintosh and Tanner write: “The King’s opinion, where it can be discerned with any clarity, typically was that his agenda should be acted upon with as little interference as possible.”</w:t>
      </w:r>
      <w:r w:rsidR="005E3E41" w:rsidRPr="00192050">
        <w:rPr>
          <w:rStyle w:val="FootnoteReference"/>
          <w:sz w:val="24"/>
          <w:szCs w:val="24"/>
        </w:rPr>
        <w:footnoteReference w:id="61"/>
      </w:r>
      <w:r w:rsidR="00023782" w:rsidRPr="00192050">
        <w:rPr>
          <w:sz w:val="24"/>
          <w:szCs w:val="24"/>
        </w:rPr>
        <w:t xml:space="preserve"> James also believed in his divine right to rule, that he took “[his] authority from God.”</w:t>
      </w:r>
      <w:r w:rsidR="00023782" w:rsidRPr="00192050">
        <w:rPr>
          <w:rStyle w:val="FootnoteReference"/>
          <w:sz w:val="24"/>
          <w:szCs w:val="24"/>
        </w:rPr>
        <w:footnoteReference w:id="62"/>
      </w:r>
      <w:r w:rsidR="00A84A53" w:rsidRPr="00192050">
        <w:rPr>
          <w:sz w:val="24"/>
          <w:szCs w:val="24"/>
        </w:rPr>
        <w:t xml:space="preserve"> These two beliefs led the parliaments of James I to be dissolved in anger from James. Over twenty-two years of sitting on the throne, James held thirty-three months of parliament, often with years of hiatus in between each one.</w:t>
      </w:r>
      <w:r w:rsidR="00A84A53" w:rsidRPr="00192050">
        <w:rPr>
          <w:rStyle w:val="FootnoteReference"/>
          <w:sz w:val="24"/>
          <w:szCs w:val="24"/>
        </w:rPr>
        <w:footnoteReference w:id="63"/>
      </w:r>
      <w:r w:rsidR="00F7453B" w:rsidRPr="00192050">
        <w:rPr>
          <w:sz w:val="24"/>
          <w:szCs w:val="24"/>
        </w:rPr>
        <w:t xml:space="preserve"> These parliaments often did not end well, as Mondi notes that James “was frustrated with Parliament for not granting him adequate supply and, in 1621, for meddling in foreign affairs and other matters he believed were not within their jurisdiction.”</w:t>
      </w:r>
      <w:r w:rsidR="00F7453B" w:rsidRPr="00192050">
        <w:rPr>
          <w:rStyle w:val="FootnoteReference"/>
          <w:sz w:val="24"/>
          <w:szCs w:val="24"/>
        </w:rPr>
        <w:footnoteReference w:id="64"/>
      </w:r>
      <w:r w:rsidR="00A84A53" w:rsidRPr="00192050">
        <w:rPr>
          <w:sz w:val="24"/>
          <w:szCs w:val="24"/>
        </w:rPr>
        <w:t xml:space="preserve"> </w:t>
      </w:r>
      <w:r w:rsidR="00B34C4B" w:rsidRPr="00192050">
        <w:rPr>
          <w:sz w:val="24"/>
          <w:szCs w:val="24"/>
        </w:rPr>
        <w:t>Parliament and James were so at ends with each other, that his second Parliament was convened for just three months from April to June of 1614.</w:t>
      </w:r>
      <w:r w:rsidR="00B34C4B" w:rsidRPr="00192050">
        <w:rPr>
          <w:rStyle w:val="FootnoteReference"/>
          <w:sz w:val="24"/>
          <w:szCs w:val="24"/>
        </w:rPr>
        <w:footnoteReference w:id="65"/>
      </w:r>
      <w:r w:rsidR="007D06C1" w:rsidRPr="00192050">
        <w:rPr>
          <w:sz w:val="24"/>
          <w:szCs w:val="24"/>
        </w:rPr>
        <w:t xml:space="preserve"> Perhaps though this was James’ fault, as Wormald admits that his speeches “may have sounded pompous, artificial and even offensive.”</w:t>
      </w:r>
      <w:r w:rsidR="007D06C1" w:rsidRPr="00192050">
        <w:rPr>
          <w:rStyle w:val="FootnoteReference"/>
          <w:sz w:val="24"/>
          <w:szCs w:val="24"/>
        </w:rPr>
        <w:footnoteReference w:id="66"/>
      </w:r>
      <w:r w:rsidR="007D06C1" w:rsidRPr="00192050">
        <w:rPr>
          <w:sz w:val="24"/>
          <w:szCs w:val="24"/>
        </w:rPr>
        <w:t xml:space="preserve"> These traits may have caused Parliament to perhaps get the wrong meaning behind James’ words.</w:t>
      </w:r>
      <w:r w:rsidR="005A3E92" w:rsidRPr="00192050">
        <w:rPr>
          <w:sz w:val="24"/>
          <w:szCs w:val="24"/>
        </w:rPr>
        <w:t xml:space="preserve"> </w:t>
      </w:r>
    </w:p>
    <w:p w14:paraId="1D349664" w14:textId="33DD24A8" w:rsidR="00F44FB2" w:rsidRPr="00192050" w:rsidRDefault="00250DCE" w:rsidP="00191451">
      <w:pPr>
        <w:spacing w:line="480" w:lineRule="auto"/>
        <w:ind w:firstLine="720"/>
        <w:rPr>
          <w:sz w:val="24"/>
          <w:szCs w:val="24"/>
        </w:rPr>
      </w:pPr>
      <w:r w:rsidRPr="00192050">
        <w:rPr>
          <w:sz w:val="24"/>
          <w:szCs w:val="24"/>
        </w:rPr>
        <w:t xml:space="preserve">The </w:t>
      </w:r>
      <w:r w:rsidR="00191451" w:rsidRPr="00192050">
        <w:rPr>
          <w:sz w:val="24"/>
          <w:szCs w:val="24"/>
        </w:rPr>
        <w:t>Duke of Buckingham, George Villiers was an interesting character that caused a lot of arguments between James and Parliament. Villiers was a favourite of the King, a position that entitled him to many benefits. Being naturally gifted with “exceptional good looks and charm of manner”</w:t>
      </w:r>
      <w:r w:rsidR="00191451" w:rsidRPr="00192050">
        <w:rPr>
          <w:rStyle w:val="FootnoteReference"/>
          <w:sz w:val="24"/>
          <w:szCs w:val="24"/>
        </w:rPr>
        <w:footnoteReference w:id="67"/>
      </w:r>
      <w:r w:rsidR="00191451" w:rsidRPr="00192050">
        <w:rPr>
          <w:sz w:val="24"/>
          <w:szCs w:val="24"/>
        </w:rPr>
        <w:t xml:space="preserve"> he was destined for life among the court, but perhaps he did </w:t>
      </w:r>
      <w:r w:rsidR="00191451" w:rsidRPr="00192050">
        <w:rPr>
          <w:sz w:val="24"/>
          <w:szCs w:val="24"/>
        </w:rPr>
        <w:lastRenderedPageBreak/>
        <w:t xml:space="preserve">not prepare himself for the life he led. James was known for having intimate relationships with several gentlemen, a fact which he was not shy about. </w:t>
      </w:r>
      <w:r w:rsidR="00E7041E" w:rsidRPr="00192050">
        <w:rPr>
          <w:sz w:val="24"/>
          <w:szCs w:val="24"/>
        </w:rPr>
        <w:t xml:space="preserve">Villiers was one of </w:t>
      </w:r>
      <w:proofErr w:type="gramStart"/>
      <w:r w:rsidR="00E7041E" w:rsidRPr="00192050">
        <w:rPr>
          <w:sz w:val="24"/>
          <w:szCs w:val="24"/>
        </w:rPr>
        <w:t>a number of</w:t>
      </w:r>
      <w:proofErr w:type="gramEnd"/>
      <w:r w:rsidR="00E7041E" w:rsidRPr="00192050">
        <w:rPr>
          <w:sz w:val="24"/>
          <w:szCs w:val="24"/>
        </w:rPr>
        <w:t xml:space="preserve"> gentlemen who shared the bed of the King, the other most famous being the Earl of Somerset, Robert Carr.</w:t>
      </w:r>
      <w:r w:rsidR="00E7041E" w:rsidRPr="00192050">
        <w:rPr>
          <w:rStyle w:val="FootnoteReference"/>
          <w:sz w:val="24"/>
          <w:szCs w:val="24"/>
        </w:rPr>
        <w:footnoteReference w:id="68"/>
      </w:r>
      <w:r w:rsidR="00262689" w:rsidRPr="00192050">
        <w:rPr>
          <w:sz w:val="24"/>
          <w:szCs w:val="24"/>
        </w:rPr>
        <w:t xml:space="preserve"> Villiers was appointed “gentleman of the bedchamber”</w:t>
      </w:r>
      <w:r w:rsidR="00262689" w:rsidRPr="00192050">
        <w:rPr>
          <w:rStyle w:val="FootnoteReference"/>
          <w:sz w:val="24"/>
          <w:szCs w:val="24"/>
        </w:rPr>
        <w:footnoteReference w:id="69"/>
      </w:r>
      <w:r w:rsidR="00262689" w:rsidRPr="00192050">
        <w:rPr>
          <w:sz w:val="24"/>
          <w:szCs w:val="24"/>
        </w:rPr>
        <w:t xml:space="preserve"> a position most intimate with the King. This relationship made Villiers the confidant and a trusted friend of the King.</w:t>
      </w:r>
      <w:r w:rsidR="00262689" w:rsidRPr="00192050">
        <w:rPr>
          <w:rStyle w:val="FootnoteReference"/>
          <w:sz w:val="24"/>
          <w:szCs w:val="24"/>
        </w:rPr>
        <w:footnoteReference w:id="70"/>
      </w:r>
      <w:r w:rsidR="00262689" w:rsidRPr="00192050">
        <w:rPr>
          <w:sz w:val="24"/>
          <w:szCs w:val="24"/>
        </w:rPr>
        <w:t xml:space="preserve"> Among Parliament’s numerous complaints about Villiers, perhaps primarily related to his position of deciding who should and </w:t>
      </w:r>
      <w:r w:rsidR="00013DD4">
        <w:rPr>
          <w:sz w:val="24"/>
          <w:szCs w:val="24"/>
        </w:rPr>
        <w:t>should not</w:t>
      </w:r>
      <w:r w:rsidR="00262689" w:rsidRPr="00192050">
        <w:rPr>
          <w:sz w:val="24"/>
          <w:szCs w:val="24"/>
        </w:rPr>
        <w:t xml:space="preserve"> get a title was the fact that Villiers </w:t>
      </w:r>
      <w:r w:rsidR="00A94B96" w:rsidRPr="00192050">
        <w:rPr>
          <w:sz w:val="24"/>
          <w:szCs w:val="24"/>
        </w:rPr>
        <w:t>was blamed for favouring applications from friends and family, and reacting personally when a rival of his should apply for a title. This fact is the direct reason why Sir Charles Vavasor was perhaps given special rules for his baronetcy, due to his close relationship with Viscount Wimbledon, a close and personal friend of Villiers.</w:t>
      </w:r>
      <w:r w:rsidR="00D1697D" w:rsidRPr="00192050">
        <w:rPr>
          <w:rStyle w:val="FootnoteReference"/>
          <w:sz w:val="24"/>
          <w:szCs w:val="24"/>
        </w:rPr>
        <w:footnoteReference w:id="71"/>
      </w:r>
      <w:r w:rsidR="00A94B96" w:rsidRPr="00192050">
        <w:rPr>
          <w:sz w:val="24"/>
          <w:szCs w:val="24"/>
        </w:rPr>
        <w:t xml:space="preserve"> </w:t>
      </w:r>
      <w:r w:rsidR="00D1697D" w:rsidRPr="00192050">
        <w:rPr>
          <w:sz w:val="24"/>
          <w:szCs w:val="24"/>
        </w:rPr>
        <w:t>Parliament had</w:t>
      </w:r>
      <w:r w:rsidR="006517A5">
        <w:rPr>
          <w:sz w:val="24"/>
          <w:szCs w:val="24"/>
        </w:rPr>
        <w:t xml:space="preserve"> the</w:t>
      </w:r>
      <w:r w:rsidR="00D1697D" w:rsidRPr="00192050">
        <w:rPr>
          <w:sz w:val="24"/>
          <w:szCs w:val="24"/>
        </w:rPr>
        <w:t xml:space="preserve"> right to be suspicious of Villiers, who was accepting “gifts of money, plate and works of art” as bribes for titles.</w:t>
      </w:r>
      <w:r w:rsidR="00D1697D" w:rsidRPr="00192050">
        <w:rPr>
          <w:rStyle w:val="FootnoteReference"/>
          <w:sz w:val="24"/>
          <w:szCs w:val="24"/>
        </w:rPr>
        <w:footnoteReference w:id="72"/>
      </w:r>
      <w:r w:rsidR="003014DE" w:rsidRPr="00192050">
        <w:rPr>
          <w:sz w:val="24"/>
          <w:szCs w:val="24"/>
        </w:rPr>
        <w:t xml:space="preserve"> Failed expeditions into Spain only diminished Villiers</w:t>
      </w:r>
      <w:r w:rsidR="00053D3F" w:rsidRPr="00192050">
        <w:rPr>
          <w:sz w:val="24"/>
          <w:szCs w:val="24"/>
        </w:rPr>
        <w:t>’</w:t>
      </w:r>
      <w:r w:rsidR="003014DE" w:rsidRPr="00192050">
        <w:rPr>
          <w:sz w:val="24"/>
          <w:szCs w:val="24"/>
        </w:rPr>
        <w:t xml:space="preserve"> popularity, and during the reign of Charles I, </w:t>
      </w:r>
      <w:r w:rsidR="00074741" w:rsidRPr="00192050">
        <w:rPr>
          <w:sz w:val="24"/>
          <w:szCs w:val="24"/>
        </w:rPr>
        <w:t xml:space="preserve">he was stabbed through the breast by an unknown assassin. For the baronets, the death of Villiers meant that suddenly, a lot more applications went through. </w:t>
      </w:r>
    </w:p>
    <w:p w14:paraId="07EF32EC" w14:textId="45D404C4" w:rsidR="00FB5209" w:rsidRPr="00192050" w:rsidRDefault="001036DC" w:rsidP="00E7074A">
      <w:pPr>
        <w:spacing w:line="480" w:lineRule="auto"/>
        <w:ind w:firstLine="720"/>
        <w:rPr>
          <w:sz w:val="24"/>
          <w:szCs w:val="24"/>
        </w:rPr>
      </w:pPr>
      <w:r w:rsidRPr="00192050">
        <w:rPr>
          <w:sz w:val="24"/>
          <w:szCs w:val="24"/>
        </w:rPr>
        <w:t xml:space="preserve">As mentioned above, James was fiercely loyal to God, believing that he took instructions from Him, and got his authority from Him. Although he was baptised Roman Catholic, he was a Protestant in his heart and lived during a time when the Catholics were being persecuted. </w:t>
      </w:r>
      <w:r w:rsidR="00D5473B" w:rsidRPr="00192050">
        <w:rPr>
          <w:sz w:val="24"/>
          <w:szCs w:val="24"/>
        </w:rPr>
        <w:t>Most</w:t>
      </w:r>
      <w:r w:rsidRPr="00192050">
        <w:rPr>
          <w:sz w:val="24"/>
          <w:szCs w:val="24"/>
        </w:rPr>
        <w:t xml:space="preserve"> baronets conformed to Protestantism, as Van Eerde writes, but </w:t>
      </w:r>
      <w:r w:rsidRPr="00192050">
        <w:rPr>
          <w:sz w:val="24"/>
          <w:szCs w:val="24"/>
        </w:rPr>
        <w:lastRenderedPageBreak/>
        <w:t>some “recusants from families known to be or suspected of being Catholic” were given titles.</w:t>
      </w:r>
      <w:r w:rsidRPr="00192050">
        <w:rPr>
          <w:rStyle w:val="FootnoteReference"/>
          <w:sz w:val="24"/>
          <w:szCs w:val="24"/>
        </w:rPr>
        <w:footnoteReference w:id="73"/>
      </w:r>
      <w:r w:rsidRPr="00192050">
        <w:rPr>
          <w:sz w:val="24"/>
          <w:szCs w:val="24"/>
        </w:rPr>
        <w:t xml:space="preserve"> </w:t>
      </w:r>
      <w:r w:rsidR="0006508A" w:rsidRPr="00192050">
        <w:rPr>
          <w:sz w:val="24"/>
          <w:szCs w:val="24"/>
        </w:rPr>
        <w:t xml:space="preserve">This obviously caused more outrage in Parliament. </w:t>
      </w:r>
      <w:r w:rsidR="00D5473B" w:rsidRPr="00192050">
        <w:rPr>
          <w:sz w:val="24"/>
          <w:szCs w:val="24"/>
        </w:rPr>
        <w:t>The exact figures of who was and wasn’t Catholic cannot be viewed because the faith was so heavily prosecuted that it was “customarily hidden, with varying degrees of success.”</w:t>
      </w:r>
      <w:r w:rsidR="00D5473B" w:rsidRPr="00192050">
        <w:rPr>
          <w:rStyle w:val="FootnoteReference"/>
          <w:sz w:val="24"/>
          <w:szCs w:val="24"/>
        </w:rPr>
        <w:footnoteReference w:id="74"/>
      </w:r>
      <w:r w:rsidR="00523117" w:rsidRPr="00192050">
        <w:rPr>
          <w:sz w:val="24"/>
          <w:szCs w:val="24"/>
        </w:rPr>
        <w:t xml:space="preserve"> One family of Catholic baronets that we do know about is the Gascoigne family</w:t>
      </w:r>
      <w:r w:rsidR="00F16360" w:rsidRPr="00192050">
        <w:rPr>
          <w:sz w:val="24"/>
          <w:szCs w:val="24"/>
        </w:rPr>
        <w:t xml:space="preserve"> of Barwick-in-Elmet.</w:t>
      </w:r>
      <w:r w:rsidR="00F16360" w:rsidRPr="00192050">
        <w:rPr>
          <w:rStyle w:val="FootnoteReference"/>
          <w:sz w:val="24"/>
          <w:szCs w:val="24"/>
        </w:rPr>
        <w:footnoteReference w:id="75"/>
      </w:r>
      <w:r w:rsidR="00F16360" w:rsidRPr="00192050">
        <w:rPr>
          <w:sz w:val="24"/>
          <w:szCs w:val="24"/>
        </w:rPr>
        <w:t xml:space="preserve"> Refusing to give up their religion, “the family paid recusancy fines continuously from 1605 until 1642.”</w:t>
      </w:r>
      <w:r w:rsidR="00F16360" w:rsidRPr="00192050">
        <w:rPr>
          <w:rStyle w:val="FootnoteReference"/>
          <w:sz w:val="24"/>
          <w:szCs w:val="24"/>
        </w:rPr>
        <w:footnoteReference w:id="76"/>
      </w:r>
      <w:r w:rsidR="00FB5209" w:rsidRPr="00192050">
        <w:rPr>
          <w:sz w:val="24"/>
          <w:szCs w:val="24"/>
        </w:rPr>
        <w:t xml:space="preserve"> The fines were paid so often that Sir Thomas Gascoigne, second baronet, had to “lease some of his land to avoid confiscation.”</w:t>
      </w:r>
      <w:r w:rsidR="00FB5209" w:rsidRPr="00192050">
        <w:rPr>
          <w:rStyle w:val="FootnoteReference"/>
          <w:sz w:val="24"/>
          <w:szCs w:val="24"/>
        </w:rPr>
        <w:footnoteReference w:id="77"/>
      </w:r>
      <w:r w:rsidR="00FB5209" w:rsidRPr="00192050">
        <w:rPr>
          <w:sz w:val="24"/>
          <w:szCs w:val="24"/>
        </w:rPr>
        <w:t xml:space="preserve"> These catholic baronets raised some bad feelings towards the title, both from Parliament and from the general public, who primarily subscribed to Protestantism, as ordered by the King.</w:t>
      </w:r>
    </w:p>
    <w:p w14:paraId="1EBFACC9" w14:textId="77777777" w:rsidR="00192050" w:rsidRDefault="00192050">
      <w:pPr>
        <w:rPr>
          <w:rFonts w:asciiTheme="majorHAnsi" w:eastAsiaTheme="majorEastAsia" w:hAnsiTheme="majorHAnsi" w:cstheme="majorBidi"/>
          <w:color w:val="2F5496" w:themeColor="accent1" w:themeShade="BF"/>
          <w:sz w:val="24"/>
          <w:szCs w:val="24"/>
        </w:rPr>
      </w:pPr>
      <w:r>
        <w:rPr>
          <w:sz w:val="24"/>
          <w:szCs w:val="24"/>
        </w:rPr>
        <w:br w:type="page"/>
      </w:r>
    </w:p>
    <w:p w14:paraId="1D52714A" w14:textId="0C0108EA" w:rsidR="00DF5248" w:rsidRPr="00AE0AF4" w:rsidRDefault="00DF5248" w:rsidP="00AE0AF4">
      <w:pPr>
        <w:pStyle w:val="Heading1"/>
      </w:pPr>
      <w:bookmarkStart w:id="15" w:name="_Toc39836569"/>
      <w:r w:rsidRPr="00AE0AF4">
        <w:lastRenderedPageBreak/>
        <w:t xml:space="preserve">Chapter 3 – Baronets in </w:t>
      </w:r>
      <w:r w:rsidR="00847967" w:rsidRPr="00AE0AF4">
        <w:t>T</w:t>
      </w:r>
      <w:r w:rsidRPr="00AE0AF4">
        <w:t xml:space="preserve">heir </w:t>
      </w:r>
      <w:r w:rsidR="00847967" w:rsidRPr="00AE0AF4">
        <w:t>C</w:t>
      </w:r>
      <w:r w:rsidRPr="00AE0AF4">
        <w:t>ommunities</w:t>
      </w:r>
      <w:r w:rsidR="00627D0D" w:rsidRPr="00AE0AF4">
        <w:t>.</w:t>
      </w:r>
      <w:bookmarkEnd w:id="15"/>
      <w:r w:rsidR="00627D0D" w:rsidRPr="00AE0AF4">
        <w:t xml:space="preserve"> </w:t>
      </w:r>
    </w:p>
    <w:p w14:paraId="7D43E09D" w14:textId="77777777" w:rsidR="00932983" w:rsidRPr="00192050" w:rsidRDefault="00932983" w:rsidP="00932983">
      <w:pPr>
        <w:rPr>
          <w:sz w:val="24"/>
          <w:szCs w:val="24"/>
        </w:rPr>
      </w:pPr>
    </w:p>
    <w:p w14:paraId="009F8F2E" w14:textId="52E28C7A" w:rsidR="00DF2313" w:rsidRPr="00192050" w:rsidRDefault="00DF2313" w:rsidP="0053439C">
      <w:pPr>
        <w:spacing w:line="480" w:lineRule="auto"/>
        <w:ind w:firstLine="720"/>
        <w:rPr>
          <w:sz w:val="24"/>
          <w:szCs w:val="24"/>
          <w:lang w:val="en-US"/>
        </w:rPr>
      </w:pPr>
      <w:r w:rsidRPr="00192050">
        <w:rPr>
          <w:sz w:val="24"/>
          <w:szCs w:val="24"/>
          <w:lang w:val="en-US"/>
        </w:rPr>
        <w:t>The baronets of England haven’t only caused outrage and spite from Parliament, they have been incredibly useful to their local communities. As the price to become a baronet was £1000, we know that those that became baronets, at least in the first wave of two hundred, were able to afford lavish manors and to own and operate grounds that employed people or leased their land to local farmers. Wherever in the country they were, the grand manors of the baronets created lots of jobs. I would like to focus here on a number of families of baronets, and their lands, as well as dive into the details of just how they gave to their local communities.</w:t>
      </w:r>
      <w:r w:rsidR="00BE63C1" w:rsidRPr="00192050">
        <w:rPr>
          <w:sz w:val="24"/>
          <w:szCs w:val="24"/>
          <w:lang w:val="en-US"/>
        </w:rPr>
        <w:t xml:space="preserve"> I would also like to explore what I am terming the Medical Baronets, those that have served their communities through becoming doctors and medical professionals.</w:t>
      </w:r>
    </w:p>
    <w:p w14:paraId="5833F7DD" w14:textId="424A369E" w:rsidR="00627D0D" w:rsidRPr="00AE0AF4" w:rsidRDefault="00627D0D" w:rsidP="00AE0AF4">
      <w:pPr>
        <w:pStyle w:val="Heading2"/>
      </w:pPr>
      <w:bookmarkStart w:id="16" w:name="_Toc39836570"/>
      <w:r w:rsidRPr="00AE0AF4">
        <w:t>Killerton House</w:t>
      </w:r>
      <w:bookmarkEnd w:id="16"/>
    </w:p>
    <w:p w14:paraId="341E1EDF" w14:textId="77777777" w:rsidR="00627D0D" w:rsidRPr="00192050" w:rsidRDefault="00627D0D" w:rsidP="00627D0D">
      <w:pPr>
        <w:rPr>
          <w:sz w:val="24"/>
          <w:szCs w:val="24"/>
          <w:lang w:val="en-US"/>
        </w:rPr>
      </w:pPr>
    </w:p>
    <w:p w14:paraId="6B77D888" w14:textId="7A73056F" w:rsidR="00CB32A6" w:rsidRPr="00192050" w:rsidRDefault="00FF5C71" w:rsidP="0053439C">
      <w:pPr>
        <w:spacing w:line="480" w:lineRule="auto"/>
        <w:ind w:firstLine="720"/>
        <w:rPr>
          <w:sz w:val="24"/>
          <w:szCs w:val="24"/>
          <w:lang w:val="en-US"/>
        </w:rPr>
      </w:pPr>
      <w:r w:rsidRPr="00192050">
        <w:rPr>
          <w:sz w:val="24"/>
          <w:szCs w:val="24"/>
          <w:lang w:val="en-US"/>
        </w:rPr>
        <w:t>Killerton House in Exeter has been home to the Acland family since the early seventeenth century, but there has been a house on the land since the sixteenth century, so the house has been serving the local community for generations.</w:t>
      </w:r>
      <w:r w:rsidRPr="00192050">
        <w:rPr>
          <w:rStyle w:val="FootnoteReference"/>
          <w:sz w:val="24"/>
          <w:szCs w:val="24"/>
          <w:lang w:val="en-US"/>
        </w:rPr>
        <w:footnoteReference w:id="78"/>
      </w:r>
      <w:r w:rsidRPr="00192050">
        <w:rPr>
          <w:sz w:val="24"/>
          <w:szCs w:val="24"/>
          <w:lang w:val="en-US"/>
        </w:rPr>
        <w:t xml:space="preserve"> Perhaps the most prominent resident was Sir Thomas </w:t>
      </w:r>
      <w:r w:rsidR="00881FE0" w:rsidRPr="00192050">
        <w:rPr>
          <w:sz w:val="24"/>
          <w:szCs w:val="24"/>
          <w:lang w:val="en-US"/>
        </w:rPr>
        <w:t xml:space="preserve">Dyke </w:t>
      </w:r>
      <w:r w:rsidRPr="00192050">
        <w:rPr>
          <w:sz w:val="24"/>
          <w:szCs w:val="24"/>
          <w:lang w:val="en-US"/>
        </w:rPr>
        <w:t xml:space="preserve">Acland, the </w:t>
      </w:r>
      <w:r w:rsidR="00881FE0" w:rsidRPr="00192050">
        <w:rPr>
          <w:sz w:val="24"/>
          <w:szCs w:val="24"/>
          <w:lang w:val="en-US"/>
        </w:rPr>
        <w:t>third</w:t>
      </w:r>
      <w:r w:rsidRPr="00192050">
        <w:rPr>
          <w:sz w:val="24"/>
          <w:szCs w:val="24"/>
          <w:lang w:val="en-US"/>
        </w:rPr>
        <w:t xml:space="preserve"> baronet</w:t>
      </w:r>
      <w:r w:rsidR="00881FE0" w:rsidRPr="00192050">
        <w:rPr>
          <w:sz w:val="24"/>
          <w:szCs w:val="24"/>
          <w:lang w:val="en-US"/>
        </w:rPr>
        <w:t xml:space="preserve"> (1722-1785)</w:t>
      </w:r>
      <w:r w:rsidRPr="00192050">
        <w:rPr>
          <w:sz w:val="24"/>
          <w:szCs w:val="24"/>
          <w:lang w:val="en-US"/>
        </w:rPr>
        <w:t>.</w:t>
      </w:r>
      <w:r w:rsidR="009F3EEC" w:rsidRPr="00192050">
        <w:rPr>
          <w:sz w:val="24"/>
          <w:szCs w:val="24"/>
          <w:lang w:val="en-US"/>
        </w:rPr>
        <w:t xml:space="preserve"> The property was home to the Acland family and the Acland Baronets up until the nineteen-forties when it was given to the National Trust to be cared for and to be opened up to the public.</w:t>
      </w:r>
      <w:r w:rsidR="00290F71" w:rsidRPr="00192050">
        <w:rPr>
          <w:sz w:val="24"/>
          <w:szCs w:val="24"/>
          <w:lang w:val="en-US"/>
        </w:rPr>
        <w:t xml:space="preserve"> Perhaps the most influential moment for the community was when Sir Thomas added to the already built Killerton. A lot of money was put into renovating the house, as well as acquiring</w:t>
      </w:r>
      <w:r w:rsidR="00881FE0" w:rsidRPr="00192050">
        <w:rPr>
          <w:sz w:val="24"/>
          <w:szCs w:val="24"/>
          <w:lang w:val="en-US"/>
        </w:rPr>
        <w:t xml:space="preserve"> farmable land. On one day alone, Sir Thomas spent £300 on various areas </w:t>
      </w:r>
      <w:r w:rsidR="00881FE0" w:rsidRPr="00192050">
        <w:rPr>
          <w:sz w:val="24"/>
          <w:szCs w:val="24"/>
          <w:lang w:val="en-US"/>
        </w:rPr>
        <w:lastRenderedPageBreak/>
        <w:t>of land</w:t>
      </w:r>
      <w:r w:rsidR="00320D07" w:rsidRPr="00192050">
        <w:rPr>
          <w:sz w:val="24"/>
          <w:szCs w:val="24"/>
          <w:lang w:val="en-US"/>
        </w:rPr>
        <w:t xml:space="preserve">: “Nov 30, pd </w:t>
      </w:r>
      <w:proofErr w:type="spellStart"/>
      <w:r w:rsidR="00320D07" w:rsidRPr="00192050">
        <w:rPr>
          <w:sz w:val="24"/>
          <w:szCs w:val="24"/>
          <w:lang w:val="en-US"/>
        </w:rPr>
        <w:t>Mr</w:t>
      </w:r>
      <w:proofErr w:type="spellEnd"/>
      <w:r w:rsidR="00320D07" w:rsidRPr="00192050">
        <w:rPr>
          <w:sz w:val="24"/>
          <w:szCs w:val="24"/>
          <w:lang w:val="en-US"/>
        </w:rPr>
        <w:t xml:space="preserve"> Row for purchase of his field: £200, pd Farmer Batten for purchase of his orchard: £50, pd Rev Acland the purchase of </w:t>
      </w:r>
      <w:proofErr w:type="spellStart"/>
      <w:r w:rsidR="00320D07" w:rsidRPr="00192050">
        <w:rPr>
          <w:sz w:val="24"/>
          <w:szCs w:val="24"/>
          <w:lang w:val="en-US"/>
        </w:rPr>
        <w:t>Kellands</w:t>
      </w:r>
      <w:proofErr w:type="spellEnd"/>
      <w:r w:rsidR="00320D07" w:rsidRPr="00192050">
        <w:rPr>
          <w:sz w:val="24"/>
          <w:szCs w:val="24"/>
          <w:lang w:val="en-US"/>
        </w:rPr>
        <w:t xml:space="preserve">: £50” These three purchases are just a sample of the purchases that Sir John made for the house, which if we add up every purchase made for Killerton during the years 1774-1780, add up to </w:t>
      </w:r>
      <w:r w:rsidR="00602156" w:rsidRPr="00192050">
        <w:rPr>
          <w:sz w:val="24"/>
          <w:szCs w:val="24"/>
          <w:lang w:val="en-US"/>
        </w:rPr>
        <w:t>over £20,000,</w:t>
      </w:r>
      <w:r w:rsidR="00602156" w:rsidRPr="00192050">
        <w:rPr>
          <w:rStyle w:val="FootnoteReference"/>
          <w:sz w:val="24"/>
          <w:szCs w:val="24"/>
          <w:lang w:val="en-US"/>
        </w:rPr>
        <w:footnoteReference w:id="79"/>
      </w:r>
      <w:r w:rsidR="00602156" w:rsidRPr="00192050">
        <w:rPr>
          <w:sz w:val="24"/>
          <w:szCs w:val="24"/>
          <w:lang w:val="en-US"/>
        </w:rPr>
        <w:t xml:space="preserve"> an amount that has the same buying power as just under two million pounds.</w:t>
      </w:r>
      <w:r w:rsidR="0056784D" w:rsidRPr="00192050">
        <w:rPr>
          <w:rStyle w:val="FootnoteReference"/>
          <w:sz w:val="24"/>
          <w:szCs w:val="24"/>
          <w:lang w:val="en-US"/>
        </w:rPr>
        <w:footnoteReference w:id="80"/>
      </w:r>
      <w:r w:rsidR="00724FDC" w:rsidRPr="00192050">
        <w:rPr>
          <w:sz w:val="24"/>
          <w:szCs w:val="24"/>
          <w:lang w:val="en-US"/>
        </w:rPr>
        <w:t xml:space="preserve"> Although Sir Thomas may have been acting purely in the best interest of the house, that much money going into the local economy, especially to local businesses is certainly a good thing. Sir Thomas also leased the land back to farmers, providing them with income. During the modernization of the house in the latter half of the seventeenth century, Sir Thomas was also adding to the infrastructure of the area, adding wells around the property to provide fresh water. Perhaps Sir Thomas was too ambitious though, as a letter between Sir Thomas and </w:t>
      </w:r>
      <w:r w:rsidR="009E3434" w:rsidRPr="00192050">
        <w:rPr>
          <w:sz w:val="24"/>
          <w:szCs w:val="24"/>
          <w:lang w:val="en-US"/>
        </w:rPr>
        <w:t xml:space="preserve">James Wyatt, the architect states: “I have got an estimate … of the </w:t>
      </w:r>
      <w:proofErr w:type="spellStart"/>
      <w:r w:rsidR="009E3434" w:rsidRPr="00192050">
        <w:rPr>
          <w:sz w:val="24"/>
          <w:szCs w:val="24"/>
          <w:lang w:val="en-US"/>
        </w:rPr>
        <w:t>expence</w:t>
      </w:r>
      <w:proofErr w:type="spellEnd"/>
      <w:r w:rsidR="009E3434" w:rsidRPr="00192050">
        <w:rPr>
          <w:sz w:val="24"/>
          <w:szCs w:val="24"/>
          <w:lang w:val="en-US"/>
        </w:rPr>
        <w:t xml:space="preserve"> of erecting an Engine at the River.”</w:t>
      </w:r>
      <w:r w:rsidR="009E3434" w:rsidRPr="00192050">
        <w:rPr>
          <w:rStyle w:val="FootnoteReference"/>
          <w:sz w:val="24"/>
          <w:szCs w:val="24"/>
          <w:lang w:val="en-US"/>
        </w:rPr>
        <w:footnoteReference w:id="81"/>
      </w:r>
      <w:r w:rsidR="00724FDC" w:rsidRPr="00192050">
        <w:rPr>
          <w:sz w:val="24"/>
          <w:szCs w:val="24"/>
          <w:lang w:val="en-US"/>
        </w:rPr>
        <w:t xml:space="preserve"> </w:t>
      </w:r>
      <w:r w:rsidR="0099430A" w:rsidRPr="00192050">
        <w:rPr>
          <w:sz w:val="24"/>
          <w:szCs w:val="24"/>
          <w:lang w:val="en-US"/>
        </w:rPr>
        <w:t>This expense ended up being £300, and it was suggested that wells be installed instead of an engine. Therefore, more wells could be built and perhaps some in the local town.</w:t>
      </w:r>
      <w:r w:rsidR="00F94527" w:rsidRPr="00192050">
        <w:rPr>
          <w:sz w:val="24"/>
          <w:szCs w:val="24"/>
          <w:lang w:val="en-US"/>
        </w:rPr>
        <w:t xml:space="preserve"> By rebuilding the house and modernizing it, instead of building a new one in a better location, Sir Thomas pushed money into the local economy. </w:t>
      </w:r>
      <w:r w:rsidR="0099430A" w:rsidRPr="00192050">
        <w:rPr>
          <w:sz w:val="24"/>
          <w:szCs w:val="24"/>
          <w:lang w:val="en-US"/>
        </w:rPr>
        <w:t xml:space="preserve"> </w:t>
      </w:r>
      <w:r w:rsidR="007E6CBB" w:rsidRPr="00192050">
        <w:rPr>
          <w:sz w:val="24"/>
          <w:szCs w:val="24"/>
          <w:lang w:val="en-US"/>
        </w:rPr>
        <w:t>These two items combined with the fact that Sir Thomas regularly gave money, or authorized the distribution of money on his behalf, to local poor people,</w:t>
      </w:r>
      <w:r w:rsidR="00F94527" w:rsidRPr="00192050">
        <w:rPr>
          <w:sz w:val="24"/>
          <w:szCs w:val="24"/>
          <w:lang w:val="en-US"/>
        </w:rPr>
        <w:t xml:space="preserve"> “Jan 1: Gave a poor woman 1 shilling. Feb 2: Gave a poor woman of </w:t>
      </w:r>
      <w:proofErr w:type="spellStart"/>
      <w:r w:rsidR="00F94527" w:rsidRPr="00192050">
        <w:rPr>
          <w:sz w:val="24"/>
          <w:szCs w:val="24"/>
          <w:lang w:val="en-US"/>
        </w:rPr>
        <w:t>Dunster</w:t>
      </w:r>
      <w:proofErr w:type="spellEnd"/>
      <w:r w:rsidR="00F94527" w:rsidRPr="00192050">
        <w:rPr>
          <w:sz w:val="24"/>
          <w:szCs w:val="24"/>
          <w:lang w:val="en-US"/>
        </w:rPr>
        <w:t xml:space="preserve"> by </w:t>
      </w:r>
      <w:proofErr w:type="spellStart"/>
      <w:r w:rsidR="00F94527" w:rsidRPr="00192050">
        <w:rPr>
          <w:sz w:val="24"/>
          <w:szCs w:val="24"/>
          <w:lang w:val="en-US"/>
        </w:rPr>
        <w:t>Mr</w:t>
      </w:r>
      <w:proofErr w:type="spellEnd"/>
      <w:r w:rsidR="00F94527" w:rsidRPr="00192050">
        <w:rPr>
          <w:sz w:val="24"/>
          <w:szCs w:val="24"/>
          <w:lang w:val="en-US"/>
        </w:rPr>
        <w:t xml:space="preserve"> </w:t>
      </w:r>
      <w:proofErr w:type="spellStart"/>
      <w:r w:rsidR="00F94527" w:rsidRPr="00192050">
        <w:rPr>
          <w:sz w:val="24"/>
          <w:szCs w:val="24"/>
          <w:lang w:val="en-US"/>
        </w:rPr>
        <w:t>Withycombe</w:t>
      </w:r>
      <w:proofErr w:type="spellEnd"/>
      <w:r w:rsidR="00F94527" w:rsidRPr="00192050">
        <w:rPr>
          <w:sz w:val="24"/>
          <w:szCs w:val="24"/>
          <w:lang w:val="en-US"/>
        </w:rPr>
        <w:t xml:space="preserve"> £2, 2 shillings”</w:t>
      </w:r>
      <w:r w:rsidR="00F94527" w:rsidRPr="00192050">
        <w:rPr>
          <w:rStyle w:val="FootnoteReference"/>
          <w:sz w:val="24"/>
          <w:szCs w:val="24"/>
          <w:lang w:val="en-US"/>
        </w:rPr>
        <w:footnoteReference w:id="82"/>
      </w:r>
      <w:r w:rsidR="00F94527" w:rsidRPr="00192050">
        <w:rPr>
          <w:sz w:val="24"/>
          <w:szCs w:val="24"/>
          <w:lang w:val="en-US"/>
        </w:rPr>
        <w:t xml:space="preserve">, </w:t>
      </w:r>
      <w:r w:rsidR="007E6CBB" w:rsidRPr="00192050">
        <w:rPr>
          <w:sz w:val="24"/>
          <w:szCs w:val="24"/>
          <w:lang w:val="en-US"/>
        </w:rPr>
        <w:t>give us the idea that Sir Thomas was indeed a generous character.</w:t>
      </w:r>
    </w:p>
    <w:p w14:paraId="04DD0C82" w14:textId="25A30BC6" w:rsidR="004E0478" w:rsidRPr="00192050" w:rsidRDefault="004A44EA" w:rsidP="0053439C">
      <w:pPr>
        <w:spacing w:line="480" w:lineRule="auto"/>
        <w:ind w:firstLine="720"/>
        <w:rPr>
          <w:sz w:val="24"/>
          <w:szCs w:val="24"/>
          <w:lang w:val="en-US"/>
        </w:rPr>
      </w:pPr>
      <w:r w:rsidRPr="00192050">
        <w:rPr>
          <w:sz w:val="24"/>
          <w:szCs w:val="24"/>
          <w:lang w:val="en-US"/>
        </w:rPr>
        <w:lastRenderedPageBreak/>
        <w:t xml:space="preserve">Although </w:t>
      </w:r>
      <w:r w:rsidR="00CB32A6" w:rsidRPr="00192050">
        <w:rPr>
          <w:sz w:val="24"/>
          <w:szCs w:val="24"/>
          <w:lang w:val="en-US"/>
        </w:rPr>
        <w:t>Sir Thomas</w:t>
      </w:r>
      <w:r w:rsidRPr="00192050">
        <w:rPr>
          <w:sz w:val="24"/>
          <w:szCs w:val="24"/>
          <w:lang w:val="en-US"/>
        </w:rPr>
        <w:t xml:space="preserve"> was a prominent member of the Acland family, the family was well</w:t>
      </w:r>
      <w:r w:rsidR="00AE0AF4">
        <w:rPr>
          <w:sz w:val="24"/>
          <w:szCs w:val="24"/>
          <w:lang w:val="en-US"/>
        </w:rPr>
        <w:t>-</w:t>
      </w:r>
      <w:r w:rsidRPr="00192050">
        <w:rPr>
          <w:sz w:val="24"/>
          <w:szCs w:val="24"/>
          <w:lang w:val="en-US"/>
        </w:rPr>
        <w:t xml:space="preserve">liked in general. We know that Sir John was liked as evidenced by an inscription in a local church: “Here Sr John Acland to the poor’s a friend, </w:t>
      </w:r>
      <w:proofErr w:type="gramStart"/>
      <w:r w:rsidRPr="00192050">
        <w:rPr>
          <w:sz w:val="24"/>
          <w:szCs w:val="24"/>
          <w:lang w:val="en-US"/>
        </w:rPr>
        <w:t>In</w:t>
      </w:r>
      <w:proofErr w:type="gramEnd"/>
      <w:r w:rsidRPr="00192050">
        <w:rPr>
          <w:sz w:val="24"/>
          <w:szCs w:val="24"/>
          <w:lang w:val="en-US"/>
        </w:rPr>
        <w:t xml:space="preserve"> giving bread, now times to have an end. Sixpence a week by him to us is measures. A crown for him in Heaven’s laid up and treasured.”</w:t>
      </w:r>
      <w:r w:rsidRPr="00192050">
        <w:rPr>
          <w:rStyle w:val="FootnoteReference"/>
          <w:sz w:val="24"/>
          <w:szCs w:val="24"/>
          <w:lang w:val="en-US"/>
        </w:rPr>
        <w:footnoteReference w:id="83"/>
      </w:r>
      <w:r w:rsidR="00CB32A6" w:rsidRPr="00192050">
        <w:rPr>
          <w:sz w:val="24"/>
          <w:szCs w:val="24"/>
          <w:lang w:val="en-US"/>
        </w:rPr>
        <w:t xml:space="preserve"> This inscription was given for his “numerous benefactions to the needy.”</w:t>
      </w:r>
      <w:r w:rsidR="00CB32A6" w:rsidRPr="00192050">
        <w:rPr>
          <w:rStyle w:val="FootnoteReference"/>
          <w:sz w:val="24"/>
          <w:szCs w:val="24"/>
          <w:lang w:val="en-US"/>
        </w:rPr>
        <w:footnoteReference w:id="84"/>
      </w:r>
      <w:r w:rsidR="007F14FB" w:rsidRPr="00192050">
        <w:rPr>
          <w:sz w:val="24"/>
          <w:szCs w:val="24"/>
          <w:lang w:val="en-US"/>
        </w:rPr>
        <w:t xml:space="preserve"> </w:t>
      </w:r>
    </w:p>
    <w:p w14:paraId="62AEE23D" w14:textId="55AAA141" w:rsidR="007F14FB" w:rsidRPr="00AE0AF4" w:rsidRDefault="00627D0D" w:rsidP="00AE0AF4">
      <w:pPr>
        <w:pStyle w:val="Heading2"/>
      </w:pPr>
      <w:bookmarkStart w:id="17" w:name="_Toc39836571"/>
      <w:r w:rsidRPr="00AE0AF4">
        <w:t>Woolbeding Gardens</w:t>
      </w:r>
      <w:bookmarkEnd w:id="17"/>
    </w:p>
    <w:p w14:paraId="037AF027" w14:textId="08E4A9D6" w:rsidR="00627D0D" w:rsidRPr="00192050" w:rsidRDefault="00627D0D" w:rsidP="00627D0D">
      <w:pPr>
        <w:rPr>
          <w:sz w:val="24"/>
          <w:szCs w:val="24"/>
          <w:lang w:val="en-US"/>
        </w:rPr>
      </w:pPr>
    </w:p>
    <w:p w14:paraId="1A2F076C" w14:textId="7B0771F5" w:rsidR="001536B5" w:rsidRPr="00192050" w:rsidRDefault="00627D0D" w:rsidP="001536B5">
      <w:pPr>
        <w:spacing w:line="480" w:lineRule="auto"/>
        <w:rPr>
          <w:sz w:val="24"/>
          <w:szCs w:val="24"/>
          <w:lang w:val="en-US"/>
        </w:rPr>
      </w:pPr>
      <w:r w:rsidRPr="00192050">
        <w:rPr>
          <w:sz w:val="24"/>
          <w:szCs w:val="24"/>
          <w:lang w:val="en-US"/>
        </w:rPr>
        <w:tab/>
        <w:t xml:space="preserve">Woolbeding House, in Woolbeding, West Sussex was built by Sir Richard Mill, </w:t>
      </w:r>
      <w:r w:rsidR="001536B5" w:rsidRPr="00192050">
        <w:rPr>
          <w:sz w:val="24"/>
          <w:szCs w:val="24"/>
          <w:lang w:val="en-US"/>
        </w:rPr>
        <w:t>fifth</w:t>
      </w:r>
      <w:r w:rsidRPr="00192050">
        <w:rPr>
          <w:sz w:val="24"/>
          <w:szCs w:val="24"/>
          <w:lang w:val="en-US"/>
        </w:rPr>
        <w:t xml:space="preserve"> baronet.</w:t>
      </w:r>
      <w:r w:rsidRPr="00192050">
        <w:rPr>
          <w:rStyle w:val="FootnoteReference"/>
          <w:sz w:val="24"/>
          <w:szCs w:val="24"/>
          <w:lang w:val="en-US"/>
        </w:rPr>
        <w:footnoteReference w:id="85"/>
      </w:r>
      <w:r w:rsidR="001536B5" w:rsidRPr="00192050">
        <w:rPr>
          <w:sz w:val="24"/>
          <w:szCs w:val="24"/>
          <w:lang w:val="en-US"/>
        </w:rPr>
        <w:t xml:space="preserve"> Sir Richard was a prominent member of the community and stood as MP for Midhurst in 1721. His family owned six manors in the area, meaning that they created a lot of jobs. The primary way in which Sir Richard and his family served their community was through their ownership of the local church, All Hallows of Woolbeding.</w:t>
      </w:r>
      <w:r w:rsidR="001536B5" w:rsidRPr="00192050">
        <w:rPr>
          <w:rStyle w:val="FootnoteReference"/>
          <w:sz w:val="24"/>
          <w:szCs w:val="24"/>
          <w:lang w:val="en-US"/>
        </w:rPr>
        <w:footnoteReference w:id="86"/>
      </w:r>
      <w:r w:rsidR="001536B5" w:rsidRPr="00192050">
        <w:rPr>
          <w:sz w:val="24"/>
          <w:szCs w:val="24"/>
          <w:lang w:val="en-US"/>
        </w:rPr>
        <w:t xml:space="preserve"> The church belongs to the house even today, and as a service to the community, the family allow the community to use the church. There was a point when it might have been possible for Sir Richard to move the church or even demolish it when Sir Richard acquired land to extend his gardens. The land</w:t>
      </w:r>
      <w:r w:rsidR="00C17336" w:rsidRPr="00192050">
        <w:rPr>
          <w:sz w:val="24"/>
          <w:szCs w:val="24"/>
          <w:lang w:val="en-US"/>
        </w:rPr>
        <w:t>,</w:t>
      </w:r>
      <w:r w:rsidR="001536B5" w:rsidRPr="00192050">
        <w:rPr>
          <w:sz w:val="24"/>
          <w:szCs w:val="24"/>
          <w:lang w:val="en-US"/>
        </w:rPr>
        <w:t xml:space="preserve"> however</w:t>
      </w:r>
      <w:r w:rsidR="00C17336" w:rsidRPr="00192050">
        <w:rPr>
          <w:sz w:val="24"/>
          <w:szCs w:val="24"/>
          <w:lang w:val="en-US"/>
        </w:rPr>
        <w:t>,</w:t>
      </w:r>
      <w:r w:rsidR="001536B5" w:rsidRPr="00192050">
        <w:rPr>
          <w:sz w:val="24"/>
          <w:szCs w:val="24"/>
          <w:lang w:val="en-US"/>
        </w:rPr>
        <w:t xml:space="preserve"> was being used by the church as a cemetery</w:t>
      </w:r>
      <w:r w:rsidR="00C17336" w:rsidRPr="00192050">
        <w:rPr>
          <w:sz w:val="24"/>
          <w:szCs w:val="24"/>
          <w:lang w:val="en-US"/>
        </w:rPr>
        <w:t xml:space="preserve">. Sir Richard could have just built his garden over the cemetery but chose instead to postpone the growth of his garden and allowed the church time to move the cemetery to the south and the west of the church, where he had gifted them land, thus serving the community by allowing the </w:t>
      </w:r>
      <w:r w:rsidR="00C17336" w:rsidRPr="00192050">
        <w:rPr>
          <w:sz w:val="24"/>
          <w:szCs w:val="24"/>
          <w:lang w:val="en-US"/>
        </w:rPr>
        <w:lastRenderedPageBreak/>
        <w:t>church to keep running.</w:t>
      </w:r>
      <w:r w:rsidR="00C17336" w:rsidRPr="00192050">
        <w:rPr>
          <w:rStyle w:val="FootnoteReference"/>
          <w:sz w:val="24"/>
          <w:szCs w:val="24"/>
          <w:lang w:val="en-US"/>
        </w:rPr>
        <w:footnoteReference w:id="87"/>
      </w:r>
      <w:r w:rsidR="00192050" w:rsidRPr="00192050">
        <w:rPr>
          <w:sz w:val="24"/>
          <w:szCs w:val="24"/>
          <w:lang w:val="en-US"/>
        </w:rPr>
        <w:t xml:space="preserve"> The house was handed over to the National Trust in the 1940s, where they continue to operate it and allow the public to visit the house and the gardens.</w:t>
      </w:r>
    </w:p>
    <w:p w14:paraId="732AEC43" w14:textId="5101A6AE" w:rsidR="00192050" w:rsidRPr="00AE0AF4" w:rsidRDefault="00192050" w:rsidP="00AE0AF4">
      <w:pPr>
        <w:pStyle w:val="Heading2"/>
      </w:pPr>
      <w:bookmarkStart w:id="19" w:name="_Toc39836572"/>
      <w:r w:rsidRPr="00AE0AF4">
        <w:t>Croft Castle</w:t>
      </w:r>
      <w:bookmarkEnd w:id="19"/>
    </w:p>
    <w:p w14:paraId="476432CF" w14:textId="69FE019E" w:rsidR="00192050" w:rsidRPr="00192050" w:rsidRDefault="00192050" w:rsidP="00192050">
      <w:pPr>
        <w:rPr>
          <w:sz w:val="24"/>
          <w:szCs w:val="24"/>
          <w:lang w:val="en-US"/>
        </w:rPr>
      </w:pPr>
    </w:p>
    <w:p w14:paraId="5091031B" w14:textId="67ABCBB2" w:rsidR="00192050" w:rsidRDefault="00192050" w:rsidP="00192050">
      <w:pPr>
        <w:spacing w:line="480" w:lineRule="auto"/>
        <w:rPr>
          <w:sz w:val="24"/>
          <w:szCs w:val="24"/>
          <w:lang w:val="en-US"/>
        </w:rPr>
      </w:pPr>
      <w:r w:rsidRPr="00192050">
        <w:rPr>
          <w:sz w:val="24"/>
          <w:szCs w:val="24"/>
          <w:lang w:val="en-US"/>
        </w:rPr>
        <w:tab/>
        <w:t>Croft Castle in Yarpole, Herefordshire has been the ancestral seat of the Croft family since the Norman invasion in the eleventh century.</w:t>
      </w:r>
      <w:r w:rsidR="001B7D3E">
        <w:rPr>
          <w:rStyle w:val="FootnoteReference"/>
          <w:sz w:val="24"/>
          <w:szCs w:val="24"/>
          <w:lang w:val="en-US"/>
        </w:rPr>
        <w:footnoteReference w:id="88"/>
      </w:r>
      <w:r w:rsidRPr="00192050">
        <w:rPr>
          <w:sz w:val="24"/>
          <w:szCs w:val="24"/>
          <w:lang w:val="en-US"/>
        </w:rPr>
        <w:t xml:space="preserve"> It has taken many forms over the years, being first a motte and bailey style castle, built by Bernard the Bearded</w:t>
      </w:r>
      <w:r w:rsidR="00914F6F">
        <w:rPr>
          <w:sz w:val="24"/>
          <w:szCs w:val="24"/>
          <w:lang w:val="en-US"/>
        </w:rPr>
        <w:t>, a Norman knight in 1055.</w:t>
      </w:r>
      <w:r w:rsidR="00914F6F">
        <w:rPr>
          <w:rStyle w:val="FootnoteReference"/>
          <w:sz w:val="24"/>
          <w:szCs w:val="24"/>
          <w:lang w:val="en-US"/>
        </w:rPr>
        <w:footnoteReference w:id="89"/>
      </w:r>
      <w:r w:rsidR="00A94E89">
        <w:rPr>
          <w:sz w:val="24"/>
          <w:szCs w:val="24"/>
          <w:lang w:val="en-US"/>
        </w:rPr>
        <w:t xml:space="preserve"> The house that stands today was built after the English Civil War and was given to the </w:t>
      </w:r>
      <w:r w:rsidR="001C58C4">
        <w:rPr>
          <w:sz w:val="24"/>
          <w:szCs w:val="24"/>
          <w:lang w:val="en-US"/>
        </w:rPr>
        <w:t xml:space="preserve">son of Herbert Croft (1603 – 1691), the </w:t>
      </w:r>
      <w:r w:rsidR="00A94E89">
        <w:rPr>
          <w:sz w:val="24"/>
          <w:szCs w:val="24"/>
          <w:lang w:val="en-US"/>
        </w:rPr>
        <w:t>Bishop of Hereford, Sir Herbert Croft</w:t>
      </w:r>
      <w:r w:rsidR="001C58C4">
        <w:rPr>
          <w:sz w:val="24"/>
          <w:szCs w:val="24"/>
          <w:lang w:val="en-US"/>
        </w:rPr>
        <w:t xml:space="preserve"> (</w:t>
      </w:r>
      <w:r w:rsidR="000D310F">
        <w:rPr>
          <w:sz w:val="24"/>
          <w:szCs w:val="24"/>
          <w:lang w:val="en-US"/>
        </w:rPr>
        <w:t>1651 – 1720)</w:t>
      </w:r>
      <w:r w:rsidR="00A94E89">
        <w:rPr>
          <w:sz w:val="24"/>
          <w:szCs w:val="24"/>
          <w:lang w:val="en-US"/>
        </w:rPr>
        <w:t xml:space="preserve">, for </w:t>
      </w:r>
      <w:r w:rsidR="00972F19">
        <w:rPr>
          <w:sz w:val="24"/>
          <w:szCs w:val="24"/>
          <w:lang w:val="en-US"/>
        </w:rPr>
        <w:t>the Bishop’s</w:t>
      </w:r>
      <w:r w:rsidR="00A94E89">
        <w:rPr>
          <w:sz w:val="24"/>
          <w:szCs w:val="24"/>
          <w:lang w:val="en-US"/>
        </w:rPr>
        <w:t xml:space="preserve"> services</w:t>
      </w:r>
      <w:r w:rsidR="000D310F">
        <w:rPr>
          <w:sz w:val="24"/>
          <w:szCs w:val="24"/>
          <w:lang w:val="en-US"/>
        </w:rPr>
        <w:t xml:space="preserve"> to the Parliamentarians.</w:t>
      </w:r>
      <w:r w:rsidR="004642A2">
        <w:rPr>
          <w:rStyle w:val="FootnoteReference"/>
          <w:sz w:val="24"/>
          <w:szCs w:val="24"/>
          <w:lang w:val="en-US"/>
        </w:rPr>
        <w:footnoteReference w:id="90"/>
      </w:r>
      <w:r w:rsidR="001C58C4">
        <w:rPr>
          <w:sz w:val="24"/>
          <w:szCs w:val="24"/>
          <w:lang w:val="en-US"/>
        </w:rPr>
        <w:t xml:space="preserve"> </w:t>
      </w:r>
      <w:r w:rsidR="00972F19">
        <w:rPr>
          <w:sz w:val="24"/>
          <w:szCs w:val="24"/>
          <w:lang w:val="en-US"/>
        </w:rPr>
        <w:t xml:space="preserve">The line of baronets that started with Sir Herbert Croft is one of the few that is still ongoing today, with the fourteenth baronet, Sir Owen Glendower Croft, who is New South Wales, Australia, serving the community by raising sheep. </w:t>
      </w:r>
      <w:r w:rsidR="00634FA4">
        <w:rPr>
          <w:sz w:val="24"/>
          <w:szCs w:val="24"/>
          <w:lang w:val="en-US"/>
        </w:rPr>
        <w:t>Over the span of a thousand years of history, the Croft family has stood as a pillar of the community. Since the twelfth century, the family has operated a church on the grounds of their estate and continues to allow the public to hold services there to this day. At the peak of their family’s history, they had around five thousand acres on their land, and have leased it out to farmers from the local area. The house has had its share of servants and maids, all of whom have come from the local community, and any work that has been carried out on the house has been done by local businesses, and where possible they have relied on local resources.</w:t>
      </w:r>
      <w:r w:rsidR="003A25EF">
        <w:rPr>
          <w:rStyle w:val="FootnoteReference"/>
          <w:sz w:val="24"/>
          <w:szCs w:val="24"/>
          <w:lang w:val="en-US"/>
        </w:rPr>
        <w:footnoteReference w:id="91"/>
      </w:r>
      <w:r w:rsidR="00B10A7D">
        <w:rPr>
          <w:sz w:val="24"/>
          <w:szCs w:val="24"/>
          <w:lang w:val="en-US"/>
        </w:rPr>
        <w:t xml:space="preserve"> There have been some </w:t>
      </w:r>
      <w:r w:rsidR="00B10A7D">
        <w:rPr>
          <w:sz w:val="24"/>
          <w:szCs w:val="24"/>
          <w:lang w:val="en-US"/>
        </w:rPr>
        <w:lastRenderedPageBreak/>
        <w:t xml:space="preserve">key members of the family who I will focus on, but all members have served their community well and with honour, as everything from Sheep farmers and lawyers to Bishops and dictionary makers. </w:t>
      </w:r>
    </w:p>
    <w:p w14:paraId="687B1B87" w14:textId="44B26A11" w:rsidR="004642A2" w:rsidRDefault="004642A2" w:rsidP="00192050">
      <w:pPr>
        <w:spacing w:line="480" w:lineRule="auto"/>
        <w:rPr>
          <w:sz w:val="24"/>
          <w:szCs w:val="24"/>
          <w:lang w:val="en-US"/>
        </w:rPr>
      </w:pPr>
      <w:r>
        <w:rPr>
          <w:sz w:val="24"/>
          <w:szCs w:val="24"/>
          <w:lang w:val="en-US"/>
        </w:rPr>
        <w:tab/>
        <w:t xml:space="preserve">I shall focus on Sir Richard Croft, sixth baronet in the section below, in which I will focus on the medical baronets. Of particular note have been the Crofts who have served their communities in the army. Sir Herbert Archer </w:t>
      </w:r>
      <w:r w:rsidR="006D453A">
        <w:rPr>
          <w:sz w:val="24"/>
          <w:szCs w:val="24"/>
          <w:lang w:val="en-US"/>
        </w:rPr>
        <w:t xml:space="preserve">Croft, </w:t>
      </w:r>
      <w:r w:rsidR="00CC5957">
        <w:rPr>
          <w:sz w:val="24"/>
          <w:szCs w:val="24"/>
          <w:lang w:val="en-US"/>
        </w:rPr>
        <w:t>tenth</w:t>
      </w:r>
      <w:r w:rsidR="006D453A">
        <w:rPr>
          <w:sz w:val="24"/>
          <w:szCs w:val="24"/>
          <w:lang w:val="en-US"/>
        </w:rPr>
        <w:t xml:space="preserve"> Baronet (1868-1915) served his country during World War One. He was initially classed as t</w:t>
      </w:r>
      <w:r w:rsidR="00AE0AF4">
        <w:rPr>
          <w:sz w:val="24"/>
          <w:szCs w:val="24"/>
          <w:lang w:val="en-US"/>
        </w:rPr>
        <w:t>o</w:t>
      </w:r>
      <w:r w:rsidR="006D453A">
        <w:rPr>
          <w:sz w:val="24"/>
          <w:szCs w:val="24"/>
          <w:lang w:val="en-US"/>
        </w:rPr>
        <w:t>o old to enlist, but he persisted and marched down to Hereford where he enlisted a troop of over one hundred men.</w:t>
      </w:r>
      <w:r w:rsidR="006D453A">
        <w:rPr>
          <w:rStyle w:val="FootnoteReference"/>
          <w:sz w:val="24"/>
          <w:szCs w:val="24"/>
          <w:lang w:val="en-US"/>
        </w:rPr>
        <w:footnoteReference w:id="92"/>
      </w:r>
      <w:r w:rsidR="006D453A">
        <w:rPr>
          <w:sz w:val="24"/>
          <w:szCs w:val="24"/>
          <w:lang w:val="en-US"/>
        </w:rPr>
        <w:t xml:space="preserve"> They were positioned at Gallipoli, and lost the battle there, with only a third of their men coming home. His sacrifice to his country, despite being told he </w:t>
      </w:r>
      <w:r w:rsidR="00013DD4">
        <w:rPr>
          <w:sz w:val="24"/>
          <w:szCs w:val="24"/>
          <w:lang w:val="en-US"/>
        </w:rPr>
        <w:t>could not</w:t>
      </w:r>
      <w:r w:rsidR="006D453A">
        <w:rPr>
          <w:sz w:val="24"/>
          <w:szCs w:val="24"/>
          <w:lang w:val="en-US"/>
        </w:rPr>
        <w:t xml:space="preserve"> enlist, was perhaps the ultimate service to his community.</w:t>
      </w:r>
      <w:r w:rsidR="00056050">
        <w:rPr>
          <w:sz w:val="24"/>
          <w:szCs w:val="24"/>
          <w:lang w:val="en-US"/>
        </w:rPr>
        <w:t xml:space="preserve"> The men of the Croft family have always served their country, since “the days of the Crusades, when Sir Jasper Croft was created a Knight of the Holy </w:t>
      </w:r>
      <w:r w:rsidR="00CA08BD">
        <w:rPr>
          <w:sz w:val="24"/>
          <w:szCs w:val="24"/>
          <w:lang w:val="en-US"/>
        </w:rPr>
        <w:t>Sepulcher</w:t>
      </w:r>
      <w:r w:rsidR="00056050">
        <w:rPr>
          <w:sz w:val="24"/>
          <w:szCs w:val="24"/>
          <w:lang w:val="en-US"/>
        </w:rPr>
        <w:t xml:space="preserve"> by Godfrey of Boulogne at the Taking of Jerusalem, A.D. 1100.</w:t>
      </w:r>
      <w:r w:rsidR="00CA08BD">
        <w:rPr>
          <w:sz w:val="24"/>
          <w:szCs w:val="24"/>
          <w:lang w:val="en-US"/>
        </w:rPr>
        <w:t>”</w:t>
      </w:r>
      <w:r w:rsidR="00CA08BD">
        <w:rPr>
          <w:rStyle w:val="FootnoteReference"/>
          <w:sz w:val="24"/>
          <w:szCs w:val="24"/>
          <w:lang w:val="en-US"/>
        </w:rPr>
        <w:footnoteReference w:id="93"/>
      </w:r>
      <w:r w:rsidR="001B1FB1">
        <w:rPr>
          <w:sz w:val="24"/>
          <w:szCs w:val="24"/>
          <w:lang w:val="en-US"/>
        </w:rPr>
        <w:t xml:space="preserve"> </w:t>
      </w:r>
    </w:p>
    <w:p w14:paraId="64696C54" w14:textId="63D3A79F" w:rsidR="00192050" w:rsidRDefault="00E16A94" w:rsidP="006E5C13">
      <w:pPr>
        <w:spacing w:line="480" w:lineRule="auto"/>
        <w:rPr>
          <w:sz w:val="24"/>
          <w:szCs w:val="24"/>
          <w:lang w:val="en-US"/>
        </w:rPr>
      </w:pPr>
      <w:r>
        <w:rPr>
          <w:sz w:val="24"/>
          <w:szCs w:val="24"/>
          <w:lang w:val="en-US"/>
        </w:rPr>
        <w:tab/>
      </w:r>
      <w:r w:rsidR="00B42B7A">
        <w:rPr>
          <w:sz w:val="24"/>
          <w:szCs w:val="24"/>
          <w:lang w:val="en-US"/>
        </w:rPr>
        <w:t>Another prominent member of the forces</w:t>
      </w:r>
      <w:r>
        <w:rPr>
          <w:sz w:val="24"/>
          <w:szCs w:val="24"/>
          <w:lang w:val="en-US"/>
        </w:rPr>
        <w:t xml:space="preserve"> was Lord Henry Page Croft (1881 – 1947), although not a baronet, he embodied the Croft spirit and fought for his country through Sir Winston Churchill. </w:t>
      </w:r>
      <w:r w:rsidR="008F2065">
        <w:rPr>
          <w:sz w:val="24"/>
          <w:szCs w:val="24"/>
          <w:lang w:val="en-US"/>
        </w:rPr>
        <w:t>During his time in Parliament, as MP for Bournemouth, he was noticed by Churchill and picked to act as the Under-Secretary of State for War, a position that though he was well suited for was not one that made him popular.</w:t>
      </w:r>
      <w:r w:rsidR="008F2065">
        <w:rPr>
          <w:rStyle w:val="FootnoteReference"/>
          <w:sz w:val="24"/>
          <w:szCs w:val="24"/>
          <w:lang w:val="en-US"/>
        </w:rPr>
        <w:footnoteReference w:id="94"/>
      </w:r>
      <w:r w:rsidR="008F2065">
        <w:rPr>
          <w:sz w:val="24"/>
          <w:szCs w:val="24"/>
          <w:lang w:val="en-US"/>
        </w:rPr>
        <w:t xml:space="preserve"> </w:t>
      </w:r>
      <w:r w:rsidR="004C71AE">
        <w:rPr>
          <w:sz w:val="24"/>
          <w:szCs w:val="24"/>
          <w:lang w:val="en-US"/>
        </w:rPr>
        <w:t xml:space="preserve">This perhaps was another way in which Lord Henry served his community, by giving them laughter. In a rather disastrous speech, Lord Henry suggested that as England’s troops would most likely be fighting at </w:t>
      </w:r>
      <w:r w:rsidR="004C71AE">
        <w:rPr>
          <w:sz w:val="24"/>
          <w:szCs w:val="24"/>
          <w:lang w:val="en-US"/>
        </w:rPr>
        <w:lastRenderedPageBreak/>
        <w:t>home in close quarters, they would be better equipped with a pike than a rifle.</w:t>
      </w:r>
      <w:r w:rsidR="004C71AE">
        <w:rPr>
          <w:rStyle w:val="FootnoteReference"/>
          <w:sz w:val="24"/>
          <w:szCs w:val="24"/>
          <w:lang w:val="en-US"/>
        </w:rPr>
        <w:footnoteReference w:id="95"/>
      </w:r>
      <w:r w:rsidR="004C71AE">
        <w:rPr>
          <w:sz w:val="24"/>
          <w:szCs w:val="24"/>
          <w:lang w:val="en-US"/>
        </w:rPr>
        <w:t xml:space="preserve"> </w:t>
      </w:r>
      <w:r w:rsidR="00946B64">
        <w:rPr>
          <w:sz w:val="24"/>
          <w:szCs w:val="24"/>
          <w:lang w:val="en-US"/>
        </w:rPr>
        <w:t xml:space="preserve">This went down as well as you might think it would, with political cartoons being produced showing Lord Henry Croft holding a pike being pushed over enemy lines. While this did not do much for Lord Henry’s social status, it did provide some </w:t>
      </w:r>
      <w:r w:rsidR="00E4590D">
        <w:rPr>
          <w:sz w:val="24"/>
          <w:szCs w:val="24"/>
          <w:lang w:val="en-US"/>
        </w:rPr>
        <w:t>much-needed</w:t>
      </w:r>
      <w:r w:rsidR="00946B64">
        <w:rPr>
          <w:sz w:val="24"/>
          <w:szCs w:val="24"/>
          <w:lang w:val="en-US"/>
        </w:rPr>
        <w:t xml:space="preserve"> laughter during a tense period</w:t>
      </w:r>
      <w:r w:rsidR="00A44B84">
        <w:rPr>
          <w:sz w:val="24"/>
          <w:szCs w:val="24"/>
          <w:lang w:val="en-US"/>
        </w:rPr>
        <w:t xml:space="preserve"> of wartime.</w:t>
      </w:r>
    </w:p>
    <w:p w14:paraId="49D27479" w14:textId="04A8CADC" w:rsidR="00B42B7A" w:rsidRPr="00192050" w:rsidRDefault="00B42B7A" w:rsidP="006E5C13">
      <w:pPr>
        <w:spacing w:line="480" w:lineRule="auto"/>
        <w:rPr>
          <w:sz w:val="24"/>
          <w:szCs w:val="24"/>
          <w:lang w:val="en-US"/>
        </w:rPr>
      </w:pPr>
      <w:r>
        <w:rPr>
          <w:sz w:val="24"/>
          <w:szCs w:val="24"/>
          <w:lang w:val="en-US"/>
        </w:rPr>
        <w:tab/>
        <w:t>Although she was not a croft, or a baronet herself, I believe that Lady Katherine Parr Croft should be noted too, for her services to the family.</w:t>
      </w:r>
      <w:r>
        <w:rPr>
          <w:rStyle w:val="FootnoteReference"/>
          <w:sz w:val="24"/>
          <w:szCs w:val="24"/>
          <w:lang w:val="en-US"/>
        </w:rPr>
        <w:footnoteReference w:id="96"/>
      </w:r>
      <w:r>
        <w:rPr>
          <w:sz w:val="24"/>
          <w:szCs w:val="24"/>
          <w:lang w:val="en-US"/>
        </w:rPr>
        <w:t xml:space="preserve"> </w:t>
      </w:r>
      <w:r w:rsidR="00CC5957">
        <w:rPr>
          <w:sz w:val="24"/>
          <w:szCs w:val="24"/>
          <w:lang w:val="en-US"/>
        </w:rPr>
        <w:t>Croft Castle was sold during the eighteenth century, due to the Croft family losing most of their money in the financial crisis that was the South Sea Bubble. Due to this, the castle was out of the family for generations. It was not until Lady Katherine was bought into the family through her marriage to Sir Herbert Archer Croft, tenth baronet, that the castle was brought back into the family. Lady Katherine bought Croft Castle at an auction for her son and daughter with the intention of giving them their ancestral home back</w:t>
      </w:r>
      <w:r w:rsidR="00013DD4">
        <w:rPr>
          <w:sz w:val="24"/>
          <w:szCs w:val="24"/>
          <w:lang w:val="en-US"/>
        </w:rPr>
        <w:t xml:space="preserve"> after the death of their late father.</w:t>
      </w:r>
      <w:r w:rsidR="00CC5957">
        <w:rPr>
          <w:sz w:val="24"/>
          <w:szCs w:val="24"/>
          <w:lang w:val="en-US"/>
        </w:rPr>
        <w:t xml:space="preserve"> Lady Katherine’s actions are the reason that Croft Castle is where it is today, with the National Trust, serving thousands of visitors a month.</w:t>
      </w:r>
      <w:r w:rsidR="00CC5957">
        <w:rPr>
          <w:rStyle w:val="FootnoteReference"/>
          <w:sz w:val="24"/>
          <w:szCs w:val="24"/>
          <w:lang w:val="en-US"/>
        </w:rPr>
        <w:footnoteReference w:id="97"/>
      </w:r>
      <w:r w:rsidR="00CC5957">
        <w:rPr>
          <w:sz w:val="24"/>
          <w:szCs w:val="24"/>
          <w:lang w:val="en-US"/>
        </w:rPr>
        <w:t xml:space="preserve"> </w:t>
      </w:r>
    </w:p>
    <w:p w14:paraId="6B7CE723" w14:textId="7EFFC95A" w:rsidR="005327F7" w:rsidRPr="00AE0AF4" w:rsidRDefault="005327F7" w:rsidP="00AE0AF4">
      <w:pPr>
        <w:pStyle w:val="Heading2"/>
      </w:pPr>
      <w:bookmarkStart w:id="20" w:name="_Toc39836573"/>
      <w:r w:rsidRPr="00AE0AF4">
        <w:t>Medical Baronets</w:t>
      </w:r>
      <w:bookmarkEnd w:id="20"/>
    </w:p>
    <w:p w14:paraId="35DC8EB6" w14:textId="77777777" w:rsidR="005327F7" w:rsidRPr="005327F7" w:rsidRDefault="005327F7" w:rsidP="005327F7">
      <w:pPr>
        <w:rPr>
          <w:lang w:val="en-US"/>
        </w:rPr>
      </w:pPr>
    </w:p>
    <w:p w14:paraId="69161A03" w14:textId="4147ED38" w:rsidR="0053439C" w:rsidRPr="00192050" w:rsidRDefault="00436AE0" w:rsidP="001536B5">
      <w:pPr>
        <w:spacing w:line="480" w:lineRule="auto"/>
        <w:ind w:firstLine="720"/>
        <w:rPr>
          <w:sz w:val="24"/>
          <w:szCs w:val="24"/>
          <w:lang w:val="en-US"/>
        </w:rPr>
      </w:pPr>
      <w:r>
        <w:rPr>
          <w:sz w:val="24"/>
          <w:szCs w:val="24"/>
          <w:lang w:val="en-US"/>
        </w:rPr>
        <w:t>Another way in which the baronets have helped their community is through their decision to go into medical practice</w:t>
      </w:r>
      <w:r w:rsidR="0053439C" w:rsidRPr="00192050">
        <w:rPr>
          <w:sz w:val="24"/>
          <w:szCs w:val="24"/>
          <w:lang w:val="en-US"/>
        </w:rPr>
        <w:t>. These baronets dedicated their life to the medical sciences, as surgeons, midwi</w:t>
      </w:r>
      <w:r w:rsidR="00AE0AF4">
        <w:rPr>
          <w:sz w:val="24"/>
          <w:szCs w:val="24"/>
          <w:lang w:val="en-US"/>
        </w:rPr>
        <w:t>v</w:t>
      </w:r>
      <w:r w:rsidR="0053439C" w:rsidRPr="00192050">
        <w:rPr>
          <w:sz w:val="24"/>
          <w:szCs w:val="24"/>
          <w:lang w:val="en-US"/>
        </w:rPr>
        <w:t xml:space="preserve">es and everything between. These baronets have helped their </w:t>
      </w:r>
      <w:r w:rsidR="0053439C" w:rsidRPr="00192050">
        <w:rPr>
          <w:sz w:val="24"/>
          <w:szCs w:val="24"/>
          <w:lang w:val="en-US"/>
        </w:rPr>
        <w:lastRenderedPageBreak/>
        <w:t xml:space="preserve">country through serving the general population as doctors, the army as medical soldiers and the even the Kings and Queens of England. Perhaps the most well-known medical baronet is Sir Richard Croft, </w:t>
      </w:r>
      <w:r w:rsidR="00CC5957">
        <w:rPr>
          <w:sz w:val="24"/>
          <w:szCs w:val="24"/>
          <w:lang w:val="en-US"/>
        </w:rPr>
        <w:t>sixth</w:t>
      </w:r>
      <w:r w:rsidR="0053439C" w:rsidRPr="00192050">
        <w:rPr>
          <w:sz w:val="24"/>
          <w:szCs w:val="24"/>
          <w:vertAlign w:val="superscript"/>
          <w:lang w:val="en-US"/>
        </w:rPr>
        <w:t xml:space="preserve"> </w:t>
      </w:r>
      <w:r w:rsidR="0053439C" w:rsidRPr="00192050">
        <w:rPr>
          <w:sz w:val="24"/>
          <w:szCs w:val="24"/>
          <w:lang w:val="en-US"/>
        </w:rPr>
        <w:t>baronet of Croft Castle, who after obtaining his medical license in London and Dover worked and trained under Thomas Denman - “an accoucheur of very considerable distinction.”</w:t>
      </w:r>
      <w:r w:rsidR="0053439C" w:rsidRPr="00192050">
        <w:rPr>
          <w:rStyle w:val="FootnoteReference"/>
          <w:sz w:val="24"/>
          <w:szCs w:val="24"/>
          <w:lang w:val="en-US"/>
        </w:rPr>
        <w:footnoteReference w:id="98"/>
      </w:r>
      <w:r w:rsidR="0053439C" w:rsidRPr="00192050">
        <w:rPr>
          <w:sz w:val="24"/>
          <w:szCs w:val="24"/>
          <w:lang w:val="en-US"/>
        </w:rPr>
        <w:t xml:space="preserve"> Under the training of Denman, Croft went on to become a male midwife, which at the time was a newly emerging and controversial practice.</w:t>
      </w:r>
      <w:r w:rsidR="0053439C" w:rsidRPr="00192050">
        <w:rPr>
          <w:rStyle w:val="FootnoteReference"/>
          <w:sz w:val="24"/>
          <w:szCs w:val="24"/>
          <w:lang w:val="en-US"/>
        </w:rPr>
        <w:footnoteReference w:id="99"/>
      </w:r>
      <w:r w:rsidR="0053439C" w:rsidRPr="00192050">
        <w:rPr>
          <w:sz w:val="24"/>
          <w:szCs w:val="24"/>
          <w:lang w:val="en-US"/>
        </w:rPr>
        <w:t xml:space="preserve"> Up until the mid-seventeenth century, midwifery was a woman’s job, since it required the midwife to be close to intimate parts of the patient. Eventually, it became fashionable for the members of the middle classes to appear to be upper class by having males attend the birth of their children.</w:t>
      </w:r>
      <w:r w:rsidR="0053439C" w:rsidRPr="00192050">
        <w:rPr>
          <w:rStyle w:val="FootnoteReference"/>
          <w:sz w:val="24"/>
          <w:szCs w:val="24"/>
          <w:lang w:val="en-US"/>
        </w:rPr>
        <w:footnoteReference w:id="100"/>
      </w:r>
      <w:r w:rsidR="0053439C" w:rsidRPr="00192050">
        <w:rPr>
          <w:sz w:val="24"/>
          <w:szCs w:val="24"/>
          <w:lang w:val="en-US"/>
        </w:rPr>
        <w:t xml:space="preserve"> Eventually, male midwifes became more accepted, and this enabled Richard Croft to become the surgeon-in-ordinary to the prince of Wales, and also Prince Leopold.</w:t>
      </w:r>
      <w:r w:rsidR="0053439C" w:rsidRPr="00192050">
        <w:rPr>
          <w:rStyle w:val="FootnoteReference"/>
          <w:sz w:val="24"/>
          <w:szCs w:val="24"/>
          <w:lang w:val="en-US"/>
        </w:rPr>
        <w:footnoteReference w:id="101"/>
      </w:r>
      <w:r w:rsidR="0053439C" w:rsidRPr="00192050">
        <w:rPr>
          <w:sz w:val="24"/>
          <w:szCs w:val="24"/>
          <w:lang w:val="en-US"/>
        </w:rPr>
        <w:t xml:space="preserve"> As surgeon-in-ordinary to Prince Leopold, Croft was the man-midwife to Princess Charlotte, next in line for the throne. Unfortunately, after a fifty</w:t>
      </w:r>
      <w:r w:rsidR="00AE0AF4">
        <w:rPr>
          <w:sz w:val="24"/>
          <w:szCs w:val="24"/>
          <w:lang w:val="en-US"/>
        </w:rPr>
        <w:t xml:space="preserve"> </w:t>
      </w:r>
      <w:r w:rsidR="0053439C" w:rsidRPr="00192050">
        <w:rPr>
          <w:sz w:val="24"/>
          <w:szCs w:val="24"/>
          <w:lang w:val="en-US"/>
        </w:rPr>
        <w:t>hour long labour – during which Croft was urged to listen to the family’s doctor John Sims who urged against the use of forceps – the baby was stillborn and Charlotte died from complications not long after.</w:t>
      </w:r>
      <w:r w:rsidR="0053439C" w:rsidRPr="00192050">
        <w:rPr>
          <w:rStyle w:val="FootnoteReference"/>
          <w:sz w:val="24"/>
          <w:szCs w:val="24"/>
          <w:lang w:val="en-US"/>
        </w:rPr>
        <w:footnoteReference w:id="102"/>
      </w:r>
      <w:r w:rsidR="0053439C" w:rsidRPr="00192050">
        <w:rPr>
          <w:sz w:val="24"/>
          <w:szCs w:val="24"/>
          <w:lang w:val="en-US"/>
        </w:rPr>
        <w:t xml:space="preserve"> Due to the repercussions on both his professional career and his social standing, Croft suffered from depression and subsequently committed suicide a few months later. Although the story of Sir Richard Croft is a sad one, had events gone differently and Princess Charlotte had lived, </w:t>
      </w:r>
      <w:r w:rsidR="0053439C" w:rsidRPr="00192050">
        <w:rPr>
          <w:sz w:val="24"/>
          <w:szCs w:val="24"/>
          <w:lang w:val="en-US"/>
        </w:rPr>
        <w:lastRenderedPageBreak/>
        <w:t>England would not have had the influential Queen Victoria as its monarch.</w:t>
      </w:r>
      <w:r w:rsidR="0053439C" w:rsidRPr="00192050">
        <w:rPr>
          <w:rStyle w:val="FootnoteReference"/>
          <w:sz w:val="24"/>
          <w:szCs w:val="24"/>
          <w:lang w:val="en-US"/>
        </w:rPr>
        <w:footnoteReference w:id="103"/>
      </w:r>
      <w:r w:rsidR="0053439C" w:rsidRPr="00192050">
        <w:rPr>
          <w:sz w:val="24"/>
          <w:szCs w:val="24"/>
          <w:lang w:val="en-US"/>
        </w:rPr>
        <w:t xml:space="preserve"> It is for this reason that I consider Richard Croft to be an influential baronet.</w:t>
      </w:r>
    </w:p>
    <w:p w14:paraId="0FF0CB72" w14:textId="2063F3E8" w:rsidR="0053439C" w:rsidRDefault="0053439C" w:rsidP="0053439C">
      <w:pPr>
        <w:spacing w:line="480" w:lineRule="auto"/>
        <w:ind w:firstLine="720"/>
        <w:rPr>
          <w:sz w:val="24"/>
          <w:szCs w:val="24"/>
          <w:lang w:val="en-US"/>
        </w:rPr>
      </w:pPr>
      <w:r w:rsidRPr="00192050">
        <w:rPr>
          <w:sz w:val="24"/>
          <w:szCs w:val="24"/>
          <w:lang w:val="en-US"/>
        </w:rPr>
        <w:t>From an article in The British Medical Journal, we have a list of medical baronets who have had their baronetcies given for their work in the medical fie</w:t>
      </w:r>
      <w:r w:rsidR="00AE0AF4">
        <w:rPr>
          <w:sz w:val="24"/>
          <w:szCs w:val="24"/>
          <w:lang w:val="en-US"/>
        </w:rPr>
        <w:t>l</w:t>
      </w:r>
      <w:r w:rsidRPr="00192050">
        <w:rPr>
          <w:sz w:val="24"/>
          <w:szCs w:val="24"/>
          <w:lang w:val="en-US"/>
        </w:rPr>
        <w:t>d. Between 1645 and 1911, the article states “the number of baronetcies conferred upon medical men appears so far to have been eighty-seven.”</w:t>
      </w:r>
      <w:r w:rsidRPr="00192050">
        <w:rPr>
          <w:rStyle w:val="FootnoteReference"/>
          <w:sz w:val="24"/>
          <w:szCs w:val="24"/>
          <w:lang w:val="en-US"/>
        </w:rPr>
        <w:footnoteReference w:id="104"/>
      </w:r>
      <w:r w:rsidRPr="00192050">
        <w:rPr>
          <w:sz w:val="24"/>
          <w:szCs w:val="24"/>
          <w:lang w:val="en-US"/>
        </w:rPr>
        <w:t xml:space="preserve"> Under the combined reigns of the kings ranging from Charles I to Edward VII, a period ranging from 1625 to 1910, eighty</w:t>
      </w:r>
      <w:r w:rsidR="00AE0AF4">
        <w:rPr>
          <w:sz w:val="24"/>
          <w:szCs w:val="24"/>
          <w:lang w:val="en-US"/>
        </w:rPr>
        <w:t>-</w:t>
      </w:r>
      <w:r w:rsidRPr="00192050">
        <w:rPr>
          <w:sz w:val="24"/>
          <w:szCs w:val="24"/>
          <w:lang w:val="en-US"/>
        </w:rPr>
        <w:t>three of the baronets created were medical baronets. Their jobs ranged from Surgeon-in-ordinary to the royals, such as Sir Edward Greaves, the very first identifiable medical baronet. Greaves was the Physician-in-Ordinary to King Charles I and was given his baronetcy for his services during the English Civil War of 1642-1651.</w:t>
      </w:r>
      <w:r w:rsidRPr="00192050">
        <w:rPr>
          <w:rStyle w:val="FootnoteReference"/>
          <w:sz w:val="24"/>
          <w:szCs w:val="24"/>
          <w:lang w:val="en-US"/>
        </w:rPr>
        <w:footnoteReference w:id="105"/>
      </w:r>
      <w:r w:rsidRPr="00192050">
        <w:rPr>
          <w:sz w:val="24"/>
          <w:szCs w:val="24"/>
          <w:lang w:val="en-US"/>
        </w:rPr>
        <w:t xml:space="preserve"> On this list of baronets, the primary job listed is physician-in-ordinary, and primarily the baronetcy was given as a celebration of the physician’s service. The other job that stands out is ‘surgeon extraordinary’ or ‘physician extraordinary’.</w:t>
      </w:r>
      <w:r w:rsidRPr="00192050">
        <w:rPr>
          <w:rStyle w:val="FootnoteReference"/>
          <w:sz w:val="24"/>
          <w:szCs w:val="24"/>
          <w:lang w:val="en-US"/>
        </w:rPr>
        <w:footnoteReference w:id="106"/>
      </w:r>
      <w:r w:rsidRPr="00192050">
        <w:rPr>
          <w:sz w:val="24"/>
          <w:szCs w:val="24"/>
          <w:lang w:val="en-US"/>
        </w:rPr>
        <w:t xml:space="preserve"> This tells us that to be a surgeon or a physician was something that was celebrated, presumably because the job was so difficult. There was a lot of risk involved, given the lack of equipment and knowledge of disease and infection. One baronet was responsible for bringing this kind of information to the masses though. Sir William Watson Cheyne, 1</w:t>
      </w:r>
      <w:r w:rsidRPr="00192050">
        <w:rPr>
          <w:sz w:val="24"/>
          <w:szCs w:val="24"/>
          <w:vertAlign w:val="superscript"/>
          <w:lang w:val="en-US"/>
        </w:rPr>
        <w:t>st</w:t>
      </w:r>
      <w:r w:rsidRPr="00192050">
        <w:rPr>
          <w:sz w:val="24"/>
          <w:szCs w:val="24"/>
          <w:lang w:val="en-US"/>
        </w:rPr>
        <w:t xml:space="preserve"> baronet of </w:t>
      </w:r>
      <w:proofErr w:type="spellStart"/>
      <w:r w:rsidRPr="00192050">
        <w:rPr>
          <w:sz w:val="24"/>
          <w:szCs w:val="24"/>
          <w:lang w:val="en-US"/>
        </w:rPr>
        <w:t>Fetlar</w:t>
      </w:r>
      <w:proofErr w:type="spellEnd"/>
      <w:r w:rsidRPr="00192050">
        <w:rPr>
          <w:sz w:val="24"/>
          <w:szCs w:val="24"/>
          <w:lang w:val="en-US"/>
        </w:rPr>
        <w:t xml:space="preserve">, Scotland (1852-1932) was a student of and, eventually, the house surgeon to Joseph Lister, the German surgeon and champion of antibacterial </w:t>
      </w:r>
      <w:r w:rsidRPr="00192050">
        <w:rPr>
          <w:sz w:val="24"/>
          <w:szCs w:val="24"/>
          <w:lang w:val="en-US"/>
        </w:rPr>
        <w:lastRenderedPageBreak/>
        <w:t>research.</w:t>
      </w:r>
      <w:r w:rsidRPr="00192050">
        <w:rPr>
          <w:rStyle w:val="FootnoteReference"/>
          <w:sz w:val="24"/>
          <w:szCs w:val="24"/>
          <w:lang w:val="en-US"/>
        </w:rPr>
        <w:footnoteReference w:id="107"/>
      </w:r>
      <w:r w:rsidRPr="00192050">
        <w:rPr>
          <w:sz w:val="24"/>
          <w:szCs w:val="24"/>
          <w:lang w:val="en-US"/>
        </w:rPr>
        <w:t xml:space="preserve"> Sir Watson Cheyne was influential in spreading the work of Lister to the United Kingdom, due to his translation of many of Listers works from German to English.</w:t>
      </w:r>
      <w:r w:rsidRPr="00192050">
        <w:rPr>
          <w:rStyle w:val="FootnoteReference"/>
          <w:sz w:val="24"/>
          <w:szCs w:val="24"/>
          <w:lang w:val="en-US"/>
        </w:rPr>
        <w:footnoteReference w:id="108"/>
      </w:r>
      <w:r w:rsidRPr="00192050">
        <w:rPr>
          <w:sz w:val="24"/>
          <w:szCs w:val="24"/>
          <w:lang w:val="en-US"/>
        </w:rPr>
        <w:t xml:space="preserve"> As well as translating, Cheyne tested the practices established by Lister and expanded on the works of Louis Pasteur and Robert Koch, whose work was also translated by Cheyne.</w:t>
      </w:r>
      <w:r w:rsidRPr="00192050">
        <w:rPr>
          <w:rStyle w:val="FootnoteReference"/>
          <w:sz w:val="24"/>
          <w:szCs w:val="24"/>
          <w:lang w:val="en-US"/>
        </w:rPr>
        <w:footnoteReference w:id="109"/>
      </w:r>
      <w:r w:rsidRPr="00192050">
        <w:rPr>
          <w:sz w:val="24"/>
          <w:szCs w:val="24"/>
          <w:lang w:val="en-US"/>
        </w:rPr>
        <w:t xml:space="preserve"> In championing the work of these influential gentlemen, Cheyne was instrumental in bringing anti-bacterial practices, and the knowledge of bacteria and </w:t>
      </w:r>
      <w:r w:rsidR="00C74064" w:rsidRPr="00192050">
        <w:rPr>
          <w:sz w:val="24"/>
          <w:szCs w:val="24"/>
          <w:lang w:val="en-US"/>
        </w:rPr>
        <w:t>its</w:t>
      </w:r>
      <w:r w:rsidRPr="00192050">
        <w:rPr>
          <w:sz w:val="24"/>
          <w:szCs w:val="24"/>
          <w:lang w:val="en-US"/>
        </w:rPr>
        <w:t xml:space="preserve"> role in disease to the </w:t>
      </w:r>
      <w:r w:rsidR="008966EA" w:rsidRPr="00192050">
        <w:rPr>
          <w:sz w:val="24"/>
          <w:szCs w:val="24"/>
          <w:lang w:val="en-US"/>
        </w:rPr>
        <w:t>U</w:t>
      </w:r>
      <w:r w:rsidRPr="00192050">
        <w:rPr>
          <w:sz w:val="24"/>
          <w:szCs w:val="24"/>
          <w:lang w:val="en-US"/>
        </w:rPr>
        <w:t>nited Kingdom. Cheyne was made a baronet in 1908 for his work in bacteriolog</w:t>
      </w:r>
      <w:r w:rsidR="00AE0AF4">
        <w:rPr>
          <w:sz w:val="24"/>
          <w:szCs w:val="24"/>
          <w:lang w:val="en-US"/>
        </w:rPr>
        <w:t>y</w:t>
      </w:r>
      <w:r w:rsidRPr="00192050">
        <w:rPr>
          <w:sz w:val="24"/>
          <w:szCs w:val="24"/>
          <w:lang w:val="en-US"/>
        </w:rPr>
        <w:t xml:space="preserve"> and became the Surgeon-in-Ordinary to King George V.</w:t>
      </w:r>
      <w:r w:rsidRPr="00192050">
        <w:rPr>
          <w:rStyle w:val="FootnoteReference"/>
          <w:sz w:val="24"/>
          <w:szCs w:val="24"/>
          <w:lang w:val="en-US"/>
        </w:rPr>
        <w:footnoteReference w:id="110"/>
      </w:r>
      <w:r w:rsidRPr="00192050">
        <w:rPr>
          <w:sz w:val="24"/>
          <w:szCs w:val="24"/>
          <w:lang w:val="en-US"/>
        </w:rPr>
        <w:t xml:space="preserve"> </w:t>
      </w:r>
    </w:p>
    <w:p w14:paraId="5B7FF4B8" w14:textId="77777777" w:rsidR="002D3B16" w:rsidRDefault="002D3B16" w:rsidP="0053439C">
      <w:pPr>
        <w:spacing w:line="480" w:lineRule="auto"/>
        <w:ind w:firstLine="720"/>
        <w:rPr>
          <w:sz w:val="24"/>
          <w:szCs w:val="24"/>
        </w:rPr>
      </w:pPr>
    </w:p>
    <w:p w14:paraId="67B44DB9" w14:textId="77777777" w:rsidR="00AE0AF4" w:rsidRDefault="00AE0AF4">
      <w:pPr>
        <w:rPr>
          <w:rFonts w:asciiTheme="majorHAnsi" w:eastAsiaTheme="majorEastAsia" w:hAnsiTheme="majorHAnsi" w:cstheme="majorBidi"/>
          <w:color w:val="2F5496" w:themeColor="accent1" w:themeShade="BF"/>
          <w:sz w:val="32"/>
          <w:szCs w:val="32"/>
        </w:rPr>
      </w:pPr>
      <w:r>
        <w:br w:type="page"/>
      </w:r>
    </w:p>
    <w:p w14:paraId="53143FC6" w14:textId="116EEE2F" w:rsidR="002D3B16" w:rsidRDefault="002D3B16" w:rsidP="002D3B16">
      <w:pPr>
        <w:pStyle w:val="Heading1"/>
      </w:pPr>
      <w:bookmarkStart w:id="21" w:name="_Toc39836574"/>
      <w:r>
        <w:lastRenderedPageBreak/>
        <w:t>Conclusion</w:t>
      </w:r>
      <w:bookmarkEnd w:id="21"/>
    </w:p>
    <w:p w14:paraId="4B293FD3" w14:textId="77777777" w:rsidR="002D3B16" w:rsidRPr="002D3B16" w:rsidRDefault="002D3B16" w:rsidP="002D3B16"/>
    <w:p w14:paraId="6ECD348C" w14:textId="77777777" w:rsidR="002D3B16" w:rsidRDefault="002D3B16" w:rsidP="0053439C">
      <w:pPr>
        <w:spacing w:line="480" w:lineRule="auto"/>
        <w:ind w:firstLine="720"/>
        <w:rPr>
          <w:sz w:val="24"/>
          <w:szCs w:val="24"/>
        </w:rPr>
      </w:pPr>
      <w:r>
        <w:rPr>
          <w:sz w:val="24"/>
          <w:szCs w:val="24"/>
        </w:rPr>
        <w:t xml:space="preserve">Whether it has been through their community, or through the medical route, the baronets of England have served their country with honour. I started this dissertation with the aim of solving three questions. How did the baronets affect the King? How did the baronets serve their country? Were the baronets more beneficial for King or Country? To answer these, we must look at a number of criteria. </w:t>
      </w:r>
    </w:p>
    <w:p w14:paraId="3DCA3314" w14:textId="6F7D5929" w:rsidR="002D3B16" w:rsidRDefault="002D3B16" w:rsidP="002D3B16">
      <w:pPr>
        <w:pStyle w:val="Heading2"/>
      </w:pPr>
      <w:r>
        <w:t xml:space="preserve"> </w:t>
      </w:r>
      <w:bookmarkStart w:id="22" w:name="_Toc39836575"/>
      <w:r>
        <w:t>How did the baronets affect the King?</w:t>
      </w:r>
      <w:bookmarkEnd w:id="22"/>
    </w:p>
    <w:p w14:paraId="36D26BF0" w14:textId="137DC38D" w:rsidR="002D3B16" w:rsidRDefault="002D3B16" w:rsidP="002D3B16"/>
    <w:p w14:paraId="3D73C897" w14:textId="7731F201" w:rsidR="002B3FCD" w:rsidRDefault="002D3B16" w:rsidP="0073711F">
      <w:pPr>
        <w:spacing w:line="480" w:lineRule="auto"/>
        <w:ind w:firstLine="720"/>
        <w:rPr>
          <w:sz w:val="24"/>
          <w:szCs w:val="24"/>
        </w:rPr>
      </w:pPr>
      <w:r>
        <w:rPr>
          <w:sz w:val="24"/>
          <w:szCs w:val="24"/>
        </w:rPr>
        <w:t xml:space="preserve">As discussed in Chapter </w:t>
      </w:r>
      <w:r w:rsidR="00AE0AF4">
        <w:rPr>
          <w:sz w:val="24"/>
          <w:szCs w:val="24"/>
        </w:rPr>
        <w:t>O</w:t>
      </w:r>
      <w:r>
        <w:rPr>
          <w:sz w:val="24"/>
          <w:szCs w:val="24"/>
        </w:rPr>
        <w:t>ne, the baronets were created to raise funds to maintain the King’s presence in Ireland at the Ulster plantation. Sir Francis Bacon’s plan to raise a new nobility for a price raised the King and his army £200,000 at least, and so in that regard</w:t>
      </w:r>
      <w:r w:rsidR="00AE0AF4">
        <w:rPr>
          <w:sz w:val="24"/>
          <w:szCs w:val="24"/>
        </w:rPr>
        <w:t>,</w:t>
      </w:r>
      <w:r>
        <w:rPr>
          <w:sz w:val="24"/>
          <w:szCs w:val="24"/>
        </w:rPr>
        <w:t xml:space="preserve"> the baronetcy was a success. The plantation in Ulster had varying degrees of success, however. It was initially successful, in keeping an English and Scottish presence in Ireland, for many years after the creation of the baronetage. However, in</w:t>
      </w:r>
      <w:r w:rsidR="00FD11F0">
        <w:rPr>
          <w:sz w:val="24"/>
          <w:szCs w:val="24"/>
        </w:rPr>
        <w:t xml:space="preserve"> the 1640s</w:t>
      </w:r>
      <w:r>
        <w:rPr>
          <w:sz w:val="24"/>
          <w:szCs w:val="24"/>
        </w:rPr>
        <w:t xml:space="preserve"> war broke out in Ireland</w:t>
      </w:r>
      <w:r w:rsidR="00FD11F0">
        <w:rPr>
          <w:sz w:val="24"/>
          <w:szCs w:val="24"/>
        </w:rPr>
        <w:t xml:space="preserve">. </w:t>
      </w:r>
      <w:r w:rsidR="003973BE">
        <w:rPr>
          <w:sz w:val="24"/>
          <w:szCs w:val="24"/>
        </w:rPr>
        <w:t>The uprising saw the Ulster Catholics retaliate against the English Protestants. Rafferty writes that this “represented not only a desire for revenge over the question of land and displacement but also a spontaneous outpouring of hatred against Protestantism and all it stood for.”</w:t>
      </w:r>
      <w:r w:rsidR="003973BE">
        <w:rPr>
          <w:rStyle w:val="FootnoteReference"/>
          <w:sz w:val="24"/>
          <w:szCs w:val="24"/>
        </w:rPr>
        <w:footnoteReference w:id="111"/>
      </w:r>
      <w:r w:rsidR="00F04489">
        <w:rPr>
          <w:sz w:val="24"/>
          <w:szCs w:val="24"/>
        </w:rPr>
        <w:t xml:space="preserve"> This uprising is perhaps the biggest reason why the baronetcy can not be considered beneficial to the King. During the uprising, the Ulster Catholics took the lives of four thousand or more English protestants and drove nearly eight thousand more out of Ireland. The uprising of 1641 has been established as the start of the Irish Confederate </w:t>
      </w:r>
      <w:r w:rsidR="00F04489">
        <w:rPr>
          <w:sz w:val="24"/>
          <w:szCs w:val="24"/>
        </w:rPr>
        <w:lastRenderedPageBreak/>
        <w:t>Wars, an eleven</w:t>
      </w:r>
      <w:r w:rsidR="00AE0AF4">
        <w:rPr>
          <w:sz w:val="24"/>
          <w:szCs w:val="24"/>
        </w:rPr>
        <w:t>-</w:t>
      </w:r>
      <w:r w:rsidR="00F04489">
        <w:rPr>
          <w:sz w:val="24"/>
          <w:szCs w:val="24"/>
        </w:rPr>
        <w:t>year</w:t>
      </w:r>
      <w:r w:rsidR="00A7367F">
        <w:rPr>
          <w:sz w:val="24"/>
          <w:szCs w:val="24"/>
        </w:rPr>
        <w:t xml:space="preserve"> long civil war in Ireland against England.</w:t>
      </w:r>
      <w:r w:rsidR="00A7367F">
        <w:rPr>
          <w:rStyle w:val="FootnoteReference"/>
          <w:sz w:val="24"/>
          <w:szCs w:val="24"/>
        </w:rPr>
        <w:footnoteReference w:id="112"/>
      </w:r>
      <w:r w:rsidR="00F04489">
        <w:rPr>
          <w:sz w:val="24"/>
          <w:szCs w:val="24"/>
        </w:rPr>
        <w:t xml:space="preserve"> </w:t>
      </w:r>
      <w:r w:rsidR="002B3FCD">
        <w:rPr>
          <w:sz w:val="24"/>
          <w:szCs w:val="24"/>
        </w:rPr>
        <w:t>Of course, we cannot blame the baronets for starting, nor for playing any part apart from paying to keep the soldiers in Ulster. Had the baronetcy not been created, it was possible that the King would have found funds elsewhere, however, the baronets were created and are therefore responsible, at least in part.</w:t>
      </w:r>
    </w:p>
    <w:p w14:paraId="331FF94B" w14:textId="77777777" w:rsidR="002B3FCD" w:rsidRDefault="002B3FCD" w:rsidP="002B3FCD">
      <w:pPr>
        <w:pStyle w:val="Heading2"/>
      </w:pPr>
      <w:bookmarkStart w:id="23" w:name="_Toc39836576"/>
      <w:r>
        <w:t>How did the baronets serve their country?</w:t>
      </w:r>
      <w:bookmarkEnd w:id="23"/>
    </w:p>
    <w:p w14:paraId="0EFE245D" w14:textId="77777777" w:rsidR="002B3FCD" w:rsidRDefault="002B3FCD" w:rsidP="002B3FCD">
      <w:pPr>
        <w:rPr>
          <w:sz w:val="24"/>
          <w:szCs w:val="24"/>
        </w:rPr>
      </w:pPr>
      <w:r>
        <w:rPr>
          <w:sz w:val="24"/>
          <w:szCs w:val="24"/>
        </w:rPr>
        <w:tab/>
      </w:r>
    </w:p>
    <w:p w14:paraId="7160E558" w14:textId="318532FE" w:rsidR="00B25AF6" w:rsidRDefault="002B3FCD" w:rsidP="002B3FCD">
      <w:pPr>
        <w:spacing w:line="480" w:lineRule="auto"/>
        <w:rPr>
          <w:sz w:val="24"/>
          <w:szCs w:val="24"/>
        </w:rPr>
      </w:pPr>
      <w:r>
        <w:rPr>
          <w:sz w:val="24"/>
          <w:szCs w:val="24"/>
        </w:rPr>
        <w:tab/>
        <w:t xml:space="preserve">As discussed in chapter </w:t>
      </w:r>
      <w:r w:rsidR="0073711F">
        <w:rPr>
          <w:sz w:val="24"/>
          <w:szCs w:val="24"/>
        </w:rPr>
        <w:t>T</w:t>
      </w:r>
      <w:r>
        <w:rPr>
          <w:sz w:val="24"/>
          <w:szCs w:val="24"/>
        </w:rPr>
        <w:t>hree, the baronets have done more for their country than, I think, anyone expected them to. Given the outrage that was aimed at the baronets and called for their dissolution, the baronets have done remarkably well for themselves. All over England, men and women representing the baronets put money into their local communities, they fed the hungry and gave jobs to those that needed them. They served in medical groups and brought years of anti-bacterial research from Germany to the United Kingdom. The praises of the baronets cannot be sung enough, in my opinion. Even to this day, companies like the National Trust are working side by side with baronets to bring history to the forefront of the public’s mind. They work tirelessly to maintain and preserve the baronet’s lands and houses, all of which continues to support the local communities</w:t>
      </w:r>
      <w:r w:rsidR="00B25AF6">
        <w:rPr>
          <w:sz w:val="24"/>
          <w:szCs w:val="24"/>
        </w:rPr>
        <w:t>.</w:t>
      </w:r>
    </w:p>
    <w:p w14:paraId="3F2427C2" w14:textId="654F8A5B" w:rsidR="0053439C" w:rsidRDefault="00B25AF6" w:rsidP="00B25AF6">
      <w:pPr>
        <w:spacing w:line="480" w:lineRule="auto"/>
        <w:rPr>
          <w:sz w:val="24"/>
          <w:szCs w:val="24"/>
        </w:rPr>
      </w:pPr>
      <w:r>
        <w:rPr>
          <w:sz w:val="24"/>
          <w:szCs w:val="24"/>
        </w:rPr>
        <w:tab/>
        <w:t xml:space="preserve">The baronetcy started with a group of one hundred men, paying to feed soldiers in return for a small fee and a title. It can be argued that those men did so purely on the basis that they themselves would benefit from the title, that their claim to a higher nobility might be legitimised. I believe that this initial purchase ricocheted down the generations so that more modern baronets saw themselves as upstanding members of the community, and so </w:t>
      </w:r>
      <w:r>
        <w:rPr>
          <w:sz w:val="24"/>
          <w:szCs w:val="24"/>
        </w:rPr>
        <w:lastRenderedPageBreak/>
        <w:t xml:space="preserve">they had to act as such. </w:t>
      </w:r>
      <w:r w:rsidR="00F167BE">
        <w:rPr>
          <w:sz w:val="24"/>
          <w:szCs w:val="24"/>
        </w:rPr>
        <w:t xml:space="preserve">The baronets today total over one thousand, a far cry from James’ proposed 200, and have spread all over Great Britain. Though the quality of the men may have fluctuated over the years, the baronets have primarily been created for </w:t>
      </w:r>
      <w:proofErr w:type="gramStart"/>
      <w:r w:rsidR="00F167BE">
        <w:rPr>
          <w:sz w:val="24"/>
          <w:szCs w:val="24"/>
        </w:rPr>
        <w:t>a number of</w:t>
      </w:r>
      <w:proofErr w:type="gramEnd"/>
      <w:r w:rsidR="00F167BE">
        <w:rPr>
          <w:sz w:val="24"/>
          <w:szCs w:val="24"/>
        </w:rPr>
        <w:t xml:space="preserve"> great reasons, from hiding and aiding their King during the English Civil War, to their services in the King’s arm</w:t>
      </w:r>
      <w:r w:rsidR="00AE0AF4">
        <w:rPr>
          <w:sz w:val="24"/>
          <w:szCs w:val="24"/>
        </w:rPr>
        <w:t>ies</w:t>
      </w:r>
      <w:r w:rsidR="00F167BE">
        <w:rPr>
          <w:sz w:val="24"/>
          <w:szCs w:val="24"/>
        </w:rPr>
        <w:t xml:space="preserve">. </w:t>
      </w:r>
      <w:r w:rsidR="0010441D">
        <w:rPr>
          <w:sz w:val="24"/>
          <w:szCs w:val="24"/>
        </w:rPr>
        <w:t>The baronets have done so much for their country.</w:t>
      </w:r>
    </w:p>
    <w:p w14:paraId="4FB70293" w14:textId="410F91EC" w:rsidR="00B25AF6" w:rsidRDefault="00B25AF6" w:rsidP="00716ADF">
      <w:pPr>
        <w:pStyle w:val="Heading2"/>
      </w:pPr>
      <w:bookmarkStart w:id="24" w:name="_Toc39836577"/>
      <w:r>
        <w:t>Were the baronets more beneficial for King or Country?</w:t>
      </w:r>
      <w:bookmarkEnd w:id="24"/>
    </w:p>
    <w:p w14:paraId="0D5DEDCB" w14:textId="77777777" w:rsidR="00716ADF" w:rsidRPr="00716ADF" w:rsidRDefault="00716ADF" w:rsidP="00716ADF"/>
    <w:p w14:paraId="5AD3BE09" w14:textId="3C0A8F13" w:rsidR="00B25AF6" w:rsidRDefault="00B25AF6" w:rsidP="00B25AF6">
      <w:pPr>
        <w:spacing w:line="480" w:lineRule="auto"/>
        <w:rPr>
          <w:sz w:val="24"/>
          <w:szCs w:val="24"/>
        </w:rPr>
      </w:pPr>
      <w:r>
        <w:rPr>
          <w:sz w:val="24"/>
          <w:szCs w:val="24"/>
        </w:rPr>
        <w:tab/>
      </w:r>
      <w:r w:rsidR="00F167BE">
        <w:rPr>
          <w:sz w:val="24"/>
          <w:szCs w:val="24"/>
        </w:rPr>
        <w:t>In order to answer this question, t</w:t>
      </w:r>
      <w:r>
        <w:rPr>
          <w:sz w:val="24"/>
          <w:szCs w:val="24"/>
        </w:rPr>
        <w:t xml:space="preserve">he sum total of the </w:t>
      </w:r>
      <w:r w:rsidR="00FC2F39">
        <w:rPr>
          <w:sz w:val="24"/>
          <w:szCs w:val="24"/>
        </w:rPr>
        <w:t>baronet’s</w:t>
      </w:r>
      <w:r>
        <w:rPr>
          <w:sz w:val="24"/>
          <w:szCs w:val="24"/>
        </w:rPr>
        <w:t xml:space="preserve"> collective actions must be taken into account, firstly by examining exactly what they caused the King: their money funded soldiers which led to one of the largest uprisings that Ireland has seen. On top of the Ulster plantation ultimately being unsuccessful, both King James I and King Charles I were hounded by Parliament for their part in the baronetcy titles. On top of that, one must take into consideration the angst that the baronets caused for the members of the </w:t>
      </w:r>
      <w:r>
        <w:rPr>
          <w:i/>
          <w:iCs/>
          <w:sz w:val="24"/>
          <w:szCs w:val="24"/>
        </w:rPr>
        <w:t>nobilis majores</w:t>
      </w:r>
      <w:r>
        <w:rPr>
          <w:sz w:val="24"/>
          <w:szCs w:val="24"/>
        </w:rPr>
        <w:t xml:space="preserve">, the barons in particular, whose heirs’ positions were undermined by the baronetcy. </w:t>
      </w:r>
      <w:r w:rsidR="00195035">
        <w:rPr>
          <w:sz w:val="24"/>
          <w:szCs w:val="24"/>
        </w:rPr>
        <w:t>All</w:t>
      </w:r>
      <w:r w:rsidR="00FC2F39">
        <w:rPr>
          <w:sz w:val="24"/>
          <w:szCs w:val="24"/>
        </w:rPr>
        <w:t xml:space="preserve"> this combined means that the creation of the baronetcy did more harm than good for the Kings of England, especially King James and King Charles. </w:t>
      </w:r>
    </w:p>
    <w:p w14:paraId="2F751657" w14:textId="55466848" w:rsidR="000B74E7" w:rsidRDefault="00FC2F39" w:rsidP="00B25AF6">
      <w:pPr>
        <w:spacing w:line="480" w:lineRule="auto"/>
        <w:rPr>
          <w:sz w:val="24"/>
          <w:szCs w:val="24"/>
        </w:rPr>
      </w:pPr>
      <w:r>
        <w:rPr>
          <w:sz w:val="24"/>
          <w:szCs w:val="24"/>
        </w:rPr>
        <w:tab/>
        <w:t xml:space="preserve">On the other hand, though, the baronets have done nothing but good for their local communities. They have put money into the local economy by supporting local businesses, they have provided churches on their grounds for people to celebrate their religion, they have served in multiple wars as medical officers and </w:t>
      </w:r>
      <w:r w:rsidR="00F167BE">
        <w:rPr>
          <w:sz w:val="24"/>
          <w:szCs w:val="24"/>
        </w:rPr>
        <w:t xml:space="preserve">have directly and indirectly </w:t>
      </w:r>
      <w:r>
        <w:rPr>
          <w:sz w:val="24"/>
          <w:szCs w:val="24"/>
        </w:rPr>
        <w:t>bought so much hope to England. I believe that the communities of England would not have been as they are today without the baronets living in them.</w:t>
      </w:r>
      <w:r w:rsidR="009122DC">
        <w:rPr>
          <w:sz w:val="24"/>
          <w:szCs w:val="24"/>
        </w:rPr>
        <w:t xml:space="preserve"> It </w:t>
      </w:r>
      <w:r w:rsidR="000B74E7">
        <w:rPr>
          <w:sz w:val="24"/>
          <w:szCs w:val="24"/>
        </w:rPr>
        <w:t>is,</w:t>
      </w:r>
      <w:r w:rsidR="009122DC">
        <w:rPr>
          <w:sz w:val="24"/>
          <w:szCs w:val="24"/>
        </w:rPr>
        <w:t xml:space="preserve"> therefore</w:t>
      </w:r>
      <w:r w:rsidR="00AE0AF4">
        <w:rPr>
          <w:sz w:val="24"/>
          <w:szCs w:val="24"/>
        </w:rPr>
        <w:t>,</w:t>
      </w:r>
      <w:r w:rsidR="009122DC">
        <w:rPr>
          <w:sz w:val="24"/>
          <w:szCs w:val="24"/>
        </w:rPr>
        <w:t xml:space="preserve"> my ultimate opinion that the baronets were far more beneficial for Country than they were for King.</w:t>
      </w:r>
    </w:p>
    <w:p w14:paraId="484D3711" w14:textId="64AF35B8" w:rsidR="000B74E7" w:rsidRDefault="000B74E7" w:rsidP="000B74E7">
      <w:pPr>
        <w:pStyle w:val="Heading1"/>
      </w:pPr>
      <w:r>
        <w:br w:type="page"/>
      </w:r>
      <w:bookmarkStart w:id="25" w:name="_Toc39836578"/>
      <w:r>
        <w:lastRenderedPageBreak/>
        <w:t>Bibliography</w:t>
      </w:r>
      <w:bookmarkEnd w:id="25"/>
    </w:p>
    <w:p w14:paraId="30ACC7E9" w14:textId="6F7DF6FB" w:rsidR="000B74E7" w:rsidRDefault="000B74E7" w:rsidP="000B74E7"/>
    <w:p w14:paraId="0496FE22" w14:textId="77777777" w:rsidR="000B74E7" w:rsidRPr="000B74E7" w:rsidRDefault="000B74E7" w:rsidP="000B74E7">
      <w:pPr>
        <w:pStyle w:val="Heading2"/>
      </w:pPr>
      <w:bookmarkStart w:id="26" w:name="_Toc39836579"/>
      <w:r w:rsidRPr="000B74E7">
        <w:t>Books</w:t>
      </w:r>
      <w:bookmarkEnd w:id="26"/>
    </w:p>
    <w:p w14:paraId="2FA0150D" w14:textId="02D6868B" w:rsidR="000B74E7" w:rsidRPr="000B74E7" w:rsidRDefault="000B74E7" w:rsidP="000B74E7">
      <w:r w:rsidRPr="000B74E7">
        <w:t>Acland, Anne, </w:t>
      </w:r>
      <w:r w:rsidRPr="000B74E7">
        <w:rPr>
          <w:i/>
          <w:iCs/>
        </w:rPr>
        <w:t xml:space="preserve">A Devon Family: The Story of the </w:t>
      </w:r>
      <w:proofErr w:type="spellStart"/>
      <w:r w:rsidRPr="000B74E7">
        <w:rPr>
          <w:i/>
          <w:iCs/>
        </w:rPr>
        <w:t>Aclands</w:t>
      </w:r>
      <w:proofErr w:type="spellEnd"/>
      <w:r w:rsidRPr="000B74E7">
        <w:t> (London, England: Phillimore &amp; Co. Ltd., 1981).</w:t>
      </w:r>
      <w:r w:rsidRPr="000B74E7">
        <w:br/>
      </w:r>
      <w:r w:rsidRPr="000B74E7">
        <w:br/>
        <w:t>Alison Weir, </w:t>
      </w:r>
      <w:r w:rsidRPr="000B74E7">
        <w:rPr>
          <w:i/>
          <w:iCs/>
        </w:rPr>
        <w:t>Henry VIII: The King and His Court</w:t>
      </w:r>
      <w:r w:rsidRPr="000B74E7">
        <w:t> (New York, USA: Ballantine Books, 2001).</w:t>
      </w:r>
    </w:p>
    <w:p w14:paraId="2B545E21" w14:textId="77777777" w:rsidR="000B74E7" w:rsidRPr="000B74E7" w:rsidRDefault="000B74E7" w:rsidP="000B74E7">
      <w:r w:rsidRPr="000B74E7">
        <w:t>Beckett, John Vincent, </w:t>
      </w:r>
      <w:r w:rsidRPr="000B74E7">
        <w:rPr>
          <w:i/>
          <w:iCs/>
        </w:rPr>
        <w:t>The Aristocracy in England 1660-1914</w:t>
      </w:r>
      <w:r w:rsidRPr="000B74E7">
        <w:t> (Oxford: Blackwell, 1989).</w:t>
      </w:r>
    </w:p>
    <w:p w14:paraId="5EABD9A0" w14:textId="77777777" w:rsidR="000B74E7" w:rsidRPr="000B74E7" w:rsidRDefault="000B74E7" w:rsidP="000B74E7">
      <w:r w:rsidRPr="000B74E7">
        <w:t>Burke, John, </w:t>
      </w:r>
      <w:r w:rsidRPr="000B74E7">
        <w:rPr>
          <w:i/>
          <w:iCs/>
        </w:rPr>
        <w:t>A General and Heraldic Dictionary of the Peerage and Baronetage of the British Empire</w:t>
      </w:r>
      <w:r w:rsidRPr="000B74E7">
        <w:t xml:space="preserve">, 4th </w:t>
      </w:r>
      <w:proofErr w:type="spellStart"/>
      <w:r w:rsidRPr="000B74E7">
        <w:t>edn</w:t>
      </w:r>
      <w:proofErr w:type="spellEnd"/>
      <w:r w:rsidRPr="000B74E7">
        <w:t xml:space="preserve"> (London: Henry Colburn and Richard Bentley, 1832).</w:t>
      </w:r>
    </w:p>
    <w:p w14:paraId="01C8AD77" w14:textId="77777777" w:rsidR="000B74E7" w:rsidRPr="000B74E7" w:rsidRDefault="000B74E7" w:rsidP="000B74E7">
      <w:r w:rsidRPr="000B74E7">
        <w:t>Burke, John, </w:t>
      </w:r>
      <w:r w:rsidRPr="000B74E7">
        <w:rPr>
          <w:i/>
          <w:iCs/>
        </w:rPr>
        <w:t>Burke's Family Index</w:t>
      </w:r>
      <w:r w:rsidRPr="000B74E7">
        <w:t>, ed. by Hugh Montgomery-</w:t>
      </w:r>
      <w:proofErr w:type="spellStart"/>
      <w:r w:rsidRPr="000B74E7">
        <w:t>Massingberd</w:t>
      </w:r>
      <w:proofErr w:type="spellEnd"/>
      <w:r w:rsidRPr="000B74E7">
        <w:t xml:space="preserve"> (London: Burke's Peerage Limited, 1976).</w:t>
      </w:r>
    </w:p>
    <w:p w14:paraId="0AB355A5" w14:textId="77777777" w:rsidR="000B74E7" w:rsidRPr="000B74E7" w:rsidRDefault="000B74E7" w:rsidP="000B74E7">
      <w:r w:rsidRPr="000B74E7">
        <w:t>Green, Mary Anne Everett, </w:t>
      </w:r>
      <w:r w:rsidRPr="000B74E7">
        <w:rPr>
          <w:i/>
          <w:iCs/>
        </w:rPr>
        <w:t xml:space="preserve">Calendar of State Papers, Domestic Series, of the Reign of James I. 1611-1618. Preserved in the State Paper Department of Her Majesty's Public Record </w:t>
      </w:r>
      <w:proofErr w:type="spellStart"/>
      <w:r w:rsidRPr="000B74E7">
        <w:rPr>
          <w:i/>
          <w:iCs/>
        </w:rPr>
        <w:t>Ofice</w:t>
      </w:r>
      <w:proofErr w:type="spellEnd"/>
      <w:r w:rsidRPr="000B74E7">
        <w:t> (London: Longman, Brown, Green, Longmans &amp; Roberts, 1858).</w:t>
      </w:r>
    </w:p>
    <w:p w14:paraId="1CE96341" w14:textId="77777777" w:rsidR="000B74E7" w:rsidRPr="000B74E7" w:rsidRDefault="000B74E7" w:rsidP="000B74E7">
      <w:r w:rsidRPr="000B74E7">
        <w:t>Lecky, William Edward Hartpole, </w:t>
      </w:r>
      <w:r w:rsidRPr="000B74E7">
        <w:rPr>
          <w:i/>
          <w:iCs/>
        </w:rPr>
        <w:t>A History of Ireland in the Eighteenth Century</w:t>
      </w:r>
      <w:r w:rsidRPr="000B74E7">
        <w:t> (London: Longmans, Green and Co., 1892).</w:t>
      </w:r>
    </w:p>
    <w:p w14:paraId="40916396" w14:textId="77777777" w:rsidR="000B74E7" w:rsidRPr="000B74E7" w:rsidRDefault="000B74E7" w:rsidP="000B74E7">
      <w:r w:rsidRPr="000B74E7">
        <w:t>Lowe, K. J. P., </w:t>
      </w:r>
      <w:r w:rsidRPr="000B74E7">
        <w:rPr>
          <w:i/>
          <w:iCs/>
        </w:rPr>
        <w:t xml:space="preserve">Church and Politics in Renaissance Italy: The Life and Career of Cardinal Francesco </w:t>
      </w:r>
      <w:proofErr w:type="spellStart"/>
      <w:r w:rsidRPr="000B74E7">
        <w:rPr>
          <w:i/>
          <w:iCs/>
        </w:rPr>
        <w:t>Soderini</w:t>
      </w:r>
      <w:proofErr w:type="spellEnd"/>
      <w:r w:rsidRPr="000B74E7">
        <w:rPr>
          <w:i/>
          <w:iCs/>
        </w:rPr>
        <w:t>, 1453-1524</w:t>
      </w:r>
      <w:r w:rsidRPr="000B74E7">
        <w:t xml:space="preserve"> (Cambridge: Cambridge University Press, </w:t>
      </w:r>
      <w:proofErr w:type="gramStart"/>
      <w:r w:rsidRPr="000B74E7">
        <w:t>2002 )</w:t>
      </w:r>
      <w:proofErr w:type="gramEnd"/>
      <w:r w:rsidRPr="000B74E7">
        <w:t>.</w:t>
      </w:r>
    </w:p>
    <w:p w14:paraId="24A637D0" w14:textId="77777777" w:rsidR="000B74E7" w:rsidRPr="000B74E7" w:rsidRDefault="000B74E7" w:rsidP="000B74E7">
      <w:r w:rsidRPr="000B74E7">
        <w:t>Parry, Graham, </w:t>
      </w:r>
      <w:r w:rsidRPr="000B74E7">
        <w:rPr>
          <w:i/>
          <w:iCs/>
        </w:rPr>
        <w:t>The Trophies of Time</w:t>
      </w:r>
      <w:r w:rsidRPr="000B74E7">
        <w:t> (Oxford: Oxford University Press, 2009).</w:t>
      </w:r>
    </w:p>
    <w:p w14:paraId="17B7FF48" w14:textId="77777777" w:rsidR="000B74E7" w:rsidRPr="000B74E7" w:rsidRDefault="000B74E7" w:rsidP="000B74E7">
      <w:r w:rsidRPr="000B74E7">
        <w:t>Pixley, Francis W, </w:t>
      </w:r>
      <w:r w:rsidRPr="000B74E7">
        <w:rPr>
          <w:i/>
          <w:iCs/>
        </w:rPr>
        <w:t>A History of the Baronetage</w:t>
      </w:r>
      <w:r w:rsidRPr="000B74E7">
        <w:t> (London: Forgotten Books, 2015).</w:t>
      </w:r>
    </w:p>
    <w:p w14:paraId="08C92309" w14:textId="77777777" w:rsidR="000B74E7" w:rsidRPr="000B74E7" w:rsidRDefault="000B74E7" w:rsidP="000B74E7">
      <w:r w:rsidRPr="000B74E7">
        <w:t>Rafferty, Oliver, </w:t>
      </w:r>
      <w:r w:rsidRPr="000B74E7">
        <w:rPr>
          <w:i/>
          <w:iCs/>
        </w:rPr>
        <w:t>Catholicism in Ulster, 1603-1983: An Interpretative History</w:t>
      </w:r>
      <w:r w:rsidRPr="000B74E7">
        <w:t> (South Carolina, USA: University of South Carolina Press, 1994).</w:t>
      </w:r>
    </w:p>
    <w:p w14:paraId="2751B463" w14:textId="77777777" w:rsidR="000B74E7" w:rsidRPr="000B74E7" w:rsidRDefault="000B74E7" w:rsidP="000B74E7">
      <w:r w:rsidRPr="000B74E7">
        <w:t>Simpson, Noel, </w:t>
      </w:r>
      <w:r w:rsidRPr="000B74E7">
        <w:rPr>
          <w:i/>
          <w:iCs/>
        </w:rPr>
        <w:t xml:space="preserve">Woolbeding: </w:t>
      </w:r>
      <w:proofErr w:type="gramStart"/>
      <w:r w:rsidRPr="000B74E7">
        <w:rPr>
          <w:i/>
          <w:iCs/>
        </w:rPr>
        <w:t>a</w:t>
      </w:r>
      <w:proofErr w:type="gramEnd"/>
      <w:r w:rsidRPr="000B74E7">
        <w:rPr>
          <w:i/>
          <w:iCs/>
        </w:rPr>
        <w:t xml:space="preserve"> History of the Manor and a Guide to All Hallows Church</w:t>
      </w:r>
      <w:r w:rsidRPr="000B74E7">
        <w:t xml:space="preserve">, 3rd </w:t>
      </w:r>
      <w:proofErr w:type="spellStart"/>
      <w:r w:rsidRPr="000B74E7">
        <w:t>edn</w:t>
      </w:r>
      <w:proofErr w:type="spellEnd"/>
      <w:r w:rsidRPr="000B74E7">
        <w:t xml:space="preserve"> (2009).</w:t>
      </w:r>
    </w:p>
    <w:p w14:paraId="04820293" w14:textId="77777777" w:rsidR="000B74E7" w:rsidRPr="000B74E7" w:rsidRDefault="000B74E7" w:rsidP="000B74E7">
      <w:r w:rsidRPr="000B74E7">
        <w:t xml:space="preserve">William </w:t>
      </w:r>
      <w:proofErr w:type="spellStart"/>
      <w:r w:rsidRPr="000B74E7">
        <w:t>Betham</w:t>
      </w:r>
      <w:proofErr w:type="spellEnd"/>
      <w:r w:rsidRPr="000B74E7">
        <w:t xml:space="preserve">, The Baronetage of England: Or the History of the English Baronets, and Such Baronets of Scotland, as are of English Families; with Genealogical Tables, and Engravings of Their Coats of Arms, Volume 1 (Ipswich: Burrell and </w:t>
      </w:r>
      <w:proofErr w:type="spellStart"/>
      <w:r w:rsidRPr="000B74E7">
        <w:t>Bransby</w:t>
      </w:r>
      <w:proofErr w:type="spellEnd"/>
      <w:r w:rsidRPr="000B74E7">
        <w:t>, 1801).</w:t>
      </w:r>
    </w:p>
    <w:p w14:paraId="0AA97542" w14:textId="77777777" w:rsidR="000B74E7" w:rsidRPr="000B74E7" w:rsidRDefault="000B74E7" w:rsidP="000B74E7">
      <w:r w:rsidRPr="000B74E7">
        <w:t>MacIntosh, Gillian H.  and Tanner, Roland J., 'Balancing Acts: The Crown and Parliament', in </w:t>
      </w:r>
      <w:r w:rsidRPr="000B74E7">
        <w:rPr>
          <w:i/>
          <w:iCs/>
        </w:rPr>
        <w:t>The History of the Scottish Parliament: Parliament in Context, 1235-1707</w:t>
      </w:r>
      <w:r w:rsidRPr="000B74E7">
        <w:t>, ed. by Keith M. Brown and Alan R. MacDonald (Edinburgh: Edinburgh University Press, 2010), p. 2</w:t>
      </w:r>
    </w:p>
    <w:p w14:paraId="22040CC4" w14:textId="77777777" w:rsidR="000B74E7" w:rsidRPr="000B74E7" w:rsidRDefault="000B74E7" w:rsidP="000B74E7">
      <w:pPr>
        <w:rPr>
          <w:b/>
          <w:bCs/>
          <w:u w:val="single"/>
        </w:rPr>
      </w:pPr>
    </w:p>
    <w:p w14:paraId="106A7FFE" w14:textId="77777777" w:rsidR="000B74E7" w:rsidRPr="000B74E7" w:rsidRDefault="000B74E7" w:rsidP="000B74E7">
      <w:pPr>
        <w:pStyle w:val="Heading2"/>
      </w:pPr>
      <w:bookmarkStart w:id="27" w:name="_Toc39836580"/>
      <w:r w:rsidRPr="000B74E7">
        <w:t>Journals</w:t>
      </w:r>
      <w:bookmarkEnd w:id="27"/>
    </w:p>
    <w:p w14:paraId="60BCDD02" w14:textId="77777777" w:rsidR="000B74E7" w:rsidRPr="000B74E7" w:rsidRDefault="000B74E7" w:rsidP="000B74E7">
      <w:r w:rsidRPr="000B74E7">
        <w:t>B., W., 'Sir William Watson Cheyne, Baronet. 1852-1932', </w:t>
      </w:r>
      <w:r w:rsidRPr="000B74E7">
        <w:rPr>
          <w:i/>
          <w:iCs/>
        </w:rPr>
        <w:t>Obituary Notices of Fellows of the Royal Society</w:t>
      </w:r>
      <w:r w:rsidRPr="000B74E7">
        <w:t>, 1.1, (1932), 26-30.</w:t>
      </w:r>
    </w:p>
    <w:p w14:paraId="4877763C" w14:textId="77777777" w:rsidR="000B74E7" w:rsidRPr="000B74E7" w:rsidRDefault="000B74E7" w:rsidP="000B74E7">
      <w:r w:rsidRPr="000B74E7">
        <w:t>Beckett, J. V., 'English Landownership in the Later Seventeenth and Eighteenth Centuries: The Debate and the Problems', </w:t>
      </w:r>
      <w:r w:rsidRPr="000B74E7">
        <w:rPr>
          <w:i/>
          <w:iCs/>
        </w:rPr>
        <w:t>The Economic History Review</w:t>
      </w:r>
      <w:r w:rsidRPr="000B74E7">
        <w:t>, 30.4, (1977), 567-581.</w:t>
      </w:r>
    </w:p>
    <w:p w14:paraId="29FFB3D7" w14:textId="77777777" w:rsidR="000B74E7" w:rsidRPr="000B74E7" w:rsidRDefault="000B74E7" w:rsidP="000B74E7">
      <w:r w:rsidRPr="000B74E7">
        <w:t>Clippingdale, S. D., 'Medical Baronets', </w:t>
      </w:r>
      <w:r w:rsidRPr="000B74E7">
        <w:rPr>
          <w:i/>
          <w:iCs/>
        </w:rPr>
        <w:t>The British Medical Journal</w:t>
      </w:r>
      <w:r w:rsidRPr="000B74E7">
        <w:t>, 1.2682, (1912), 1188-1190.</w:t>
      </w:r>
    </w:p>
    <w:p w14:paraId="51A302FD" w14:textId="77777777" w:rsidR="000B74E7" w:rsidRPr="000B74E7" w:rsidRDefault="000B74E7" w:rsidP="000B74E7">
      <w:r w:rsidRPr="000B74E7">
        <w:lastRenderedPageBreak/>
        <w:t>Cutler, Kenneth E., "The Baronetcy of the Skellingthorpe Vavasor", </w:t>
      </w:r>
      <w:r w:rsidRPr="000B74E7">
        <w:rPr>
          <w:i/>
          <w:iCs/>
        </w:rPr>
        <w:t>Albion</w:t>
      </w:r>
      <w:r w:rsidRPr="000B74E7">
        <w:t xml:space="preserve">, 17 (1985), </w:t>
      </w:r>
      <w:bookmarkStart w:id="28" w:name="_Hlk31105397"/>
      <w:r w:rsidRPr="000B74E7">
        <w:t>301-312</w:t>
      </w:r>
      <w:bookmarkEnd w:id="28"/>
      <w:r w:rsidRPr="000B74E7">
        <w:t>. &lt;https://doi.org/10.2307/4048959&gt;</w:t>
      </w:r>
    </w:p>
    <w:p w14:paraId="75B6937A" w14:textId="77777777" w:rsidR="000B74E7" w:rsidRPr="000B74E7" w:rsidRDefault="000B74E7" w:rsidP="000B74E7">
      <w:r w:rsidRPr="000B74E7">
        <w:t>Klotz, Edith L., and Davies, Godfrey, 'The Wealth of Royalist Peers and Baronets during the Puritan Revolution', </w:t>
      </w:r>
      <w:r w:rsidRPr="000B74E7">
        <w:rPr>
          <w:i/>
          <w:iCs/>
        </w:rPr>
        <w:t>The English Historical Review</w:t>
      </w:r>
      <w:r w:rsidRPr="000B74E7">
        <w:t>, 58.230, (1943), 217-219.</w:t>
      </w:r>
    </w:p>
    <w:p w14:paraId="78449AEA" w14:textId="77777777" w:rsidR="000B74E7" w:rsidRPr="000B74E7" w:rsidRDefault="000B74E7" w:rsidP="000B74E7">
      <w:r w:rsidRPr="000B74E7">
        <w:t>Mondi, Megan, 'The Speeches and Self-Fashioning of King James VI and I to the English Parliament, 1604-1624', </w:t>
      </w:r>
      <w:r w:rsidRPr="000B74E7">
        <w:rPr>
          <w:i/>
          <w:iCs/>
        </w:rPr>
        <w:t>Constructing the Past</w:t>
      </w:r>
      <w:r w:rsidRPr="000B74E7">
        <w:t>, 8.1, (2007), 139-182.</w:t>
      </w:r>
    </w:p>
    <w:p w14:paraId="7AF7FCEA" w14:textId="77777777" w:rsidR="000B74E7" w:rsidRPr="000B74E7" w:rsidRDefault="000B74E7" w:rsidP="000B74E7">
      <w:r w:rsidRPr="000B74E7">
        <w:t>Stone, Lawrence, 'The Inflation of Honours 1558-1641', </w:t>
      </w:r>
      <w:r w:rsidRPr="000B74E7">
        <w:rPr>
          <w:i/>
          <w:iCs/>
        </w:rPr>
        <w:t>Past &amp; Present</w:t>
      </w:r>
      <w:r w:rsidRPr="000B74E7">
        <w:t>, 14, (1958), 45-70.</w:t>
      </w:r>
    </w:p>
    <w:p w14:paraId="16AE8B3B" w14:textId="77777777" w:rsidR="000B74E7" w:rsidRPr="000B74E7" w:rsidRDefault="000B74E7" w:rsidP="000B74E7">
      <w:r w:rsidRPr="000B74E7">
        <w:t>Van Eerde, Katherine S., "The Creation of the Baronetage in England", </w:t>
      </w:r>
      <w:r w:rsidRPr="000B74E7">
        <w:rPr>
          <w:i/>
          <w:iCs/>
        </w:rPr>
        <w:t>Huntington Library Quarterly</w:t>
      </w:r>
      <w:r w:rsidRPr="000B74E7">
        <w:t xml:space="preserve">, 22 (1959), </w:t>
      </w:r>
      <w:bookmarkStart w:id="29" w:name="_Hlk31105365"/>
      <w:r w:rsidRPr="000B74E7">
        <w:t xml:space="preserve">313-322. </w:t>
      </w:r>
      <w:bookmarkEnd w:id="29"/>
      <w:r w:rsidRPr="000B74E7">
        <w:t>&lt;https://doi.org/10.2307/3816444&gt;.</w:t>
      </w:r>
    </w:p>
    <w:p w14:paraId="41201167" w14:textId="77777777" w:rsidR="000B74E7" w:rsidRPr="000B74E7" w:rsidRDefault="000B74E7" w:rsidP="000B74E7">
      <w:r w:rsidRPr="000B74E7">
        <w:t>Van Eerde, Katherine S., 'The Jacobean Baronets: An Issue between King and Parliament', </w:t>
      </w:r>
      <w:r w:rsidRPr="000B74E7">
        <w:rPr>
          <w:i/>
          <w:iCs/>
        </w:rPr>
        <w:t>The Journal of Modern History</w:t>
      </w:r>
      <w:r w:rsidRPr="000B74E7">
        <w:t>, 33.2, (1961), 137-147.</w:t>
      </w:r>
    </w:p>
    <w:p w14:paraId="24A5B6E2" w14:textId="77777777" w:rsidR="000B74E7" w:rsidRPr="000B74E7" w:rsidRDefault="000B74E7" w:rsidP="000B74E7"/>
    <w:p w14:paraId="0465C96E" w14:textId="77777777" w:rsidR="000B74E7" w:rsidRPr="000B74E7" w:rsidRDefault="000B74E7" w:rsidP="000B74E7">
      <w:pPr>
        <w:pStyle w:val="Heading2"/>
      </w:pPr>
      <w:bookmarkStart w:id="30" w:name="_Toc39836581"/>
      <w:r w:rsidRPr="000B74E7">
        <w:t>Websites</w:t>
      </w:r>
      <w:bookmarkEnd w:id="30"/>
    </w:p>
    <w:p w14:paraId="4FED45D2" w14:textId="77777777" w:rsidR="000B74E7" w:rsidRPr="000B74E7" w:rsidRDefault="000B74E7" w:rsidP="000B74E7">
      <w:proofErr w:type="spellStart"/>
      <w:r w:rsidRPr="000B74E7">
        <w:t>Bantoft</w:t>
      </w:r>
      <w:proofErr w:type="spellEnd"/>
      <w:r w:rsidRPr="000B74E7">
        <w:t xml:space="preserve">, Arthur, </w:t>
      </w:r>
      <w:r w:rsidRPr="000B74E7">
        <w:rPr>
          <w:i/>
          <w:iCs/>
        </w:rPr>
        <w:t>The Gascoigne Family and the Catholic Church in the 17th. and 18th Centuries</w:t>
      </w:r>
      <w:r w:rsidRPr="000B74E7">
        <w:t> (2004) &lt;http://www.barwickinelmethistoricalsociety.com/7428.html&gt; [accessed 6 May 2020].</w:t>
      </w:r>
    </w:p>
    <w:p w14:paraId="5C9C605B" w14:textId="77777777" w:rsidR="000B74E7" w:rsidRPr="000B74E7" w:rsidRDefault="000B74E7" w:rsidP="000B74E7">
      <w:proofErr w:type="spellStart"/>
      <w:r w:rsidRPr="000B74E7">
        <w:t>Bellany</w:t>
      </w:r>
      <w:proofErr w:type="spellEnd"/>
      <w:r w:rsidRPr="000B74E7">
        <w:t xml:space="preserve">, Alastair, </w:t>
      </w:r>
      <w:r w:rsidRPr="000B74E7">
        <w:rPr>
          <w:i/>
          <w:iCs/>
        </w:rPr>
        <w:t>Carr [Kerr], Robert, earl of Somerset</w:t>
      </w:r>
      <w:r w:rsidRPr="000B74E7">
        <w:t> (2008) &lt;https://www.oxforddnb.com/view/10.1093/ref:odnb/9780198614128.001.0001/odnb-9780198614128-e-4754?rskey=38FhY0&amp;result=6&gt; [accessed 5 May 2020].</w:t>
      </w:r>
    </w:p>
    <w:p w14:paraId="76295F71" w14:textId="77777777" w:rsidR="000B74E7" w:rsidRPr="000B74E7" w:rsidRDefault="000B74E7" w:rsidP="000B74E7">
      <w:r w:rsidRPr="000B74E7">
        <w:t>The British Library, </w:t>
      </w:r>
      <w:r w:rsidRPr="000B74E7">
        <w:rPr>
          <w:i/>
          <w:iCs/>
        </w:rPr>
        <w:t>Cotton manuscripts - The British Library</w:t>
      </w:r>
      <w:r w:rsidRPr="000B74E7">
        <w:t> (n.d.) &lt;https://www.bl.uk/collection-guides/cotton-manuscripts&gt; [accessed 2 May 2020].</w:t>
      </w:r>
    </w:p>
    <w:p w14:paraId="2C3F70D5" w14:textId="77777777" w:rsidR="000B74E7" w:rsidRPr="000B74E7" w:rsidRDefault="000B74E7" w:rsidP="000B74E7">
      <w:r w:rsidRPr="000B74E7">
        <w:t>Encyclopaedia Britannica, </w:t>
      </w:r>
      <w:r w:rsidRPr="000B74E7">
        <w:rPr>
          <w:i/>
          <w:iCs/>
        </w:rPr>
        <w:t>English Civil Wars - The first English Civil War (1642-1649)</w:t>
      </w:r>
      <w:r w:rsidRPr="000B74E7">
        <w:t> (2019) &lt;https://www.britannica.com/event/English-Civil-Wars/The-first-English-Civil-War-1642-46#ref932099&gt; [accessed 8 May 2020].</w:t>
      </w:r>
    </w:p>
    <w:p w14:paraId="18D85BBF" w14:textId="77777777" w:rsidR="000B74E7" w:rsidRPr="000B74E7" w:rsidRDefault="000B74E7" w:rsidP="000B74E7">
      <w:r w:rsidRPr="000B74E7">
        <w:t xml:space="preserve">Herrick, Claire E. J., </w:t>
      </w:r>
      <w:r w:rsidRPr="000B74E7">
        <w:rPr>
          <w:i/>
          <w:iCs/>
        </w:rPr>
        <w:t>Cheyne, Sir (William) Watson, first baronet</w:t>
      </w:r>
      <w:r w:rsidRPr="000B74E7">
        <w:t xml:space="preserve"> (2006) &lt;https://www.oxforddnb.com/view/10.1093/ref:odnb/9780198614128.001.0001/odnb-9780198614128-e-32396?rskey=5TrCEt&amp;result=2&gt; [accessed 29 April 2020].</w:t>
      </w:r>
    </w:p>
    <w:p w14:paraId="3F4462FD" w14:textId="77777777" w:rsidR="000B74E7" w:rsidRPr="000B74E7" w:rsidRDefault="000B74E7" w:rsidP="000B74E7">
      <w:r w:rsidRPr="000B74E7">
        <w:t>Historic England, </w:t>
      </w:r>
      <w:r w:rsidRPr="000B74E7">
        <w:rPr>
          <w:i/>
          <w:iCs/>
        </w:rPr>
        <w:t>Killerton House, Broad Clyst</w:t>
      </w:r>
      <w:r w:rsidRPr="000B74E7">
        <w:t> (2000) &lt;https://historicengland.org.uk/listing/the-list/list-entry/1000694&gt; [accessed 6 May 2020].</w:t>
      </w:r>
    </w:p>
    <w:p w14:paraId="3D964B05" w14:textId="77777777" w:rsidR="000B74E7" w:rsidRPr="000B74E7" w:rsidRDefault="000B74E7" w:rsidP="000B74E7">
      <w:r w:rsidRPr="000B74E7">
        <w:t>The History of Parliament Online, </w:t>
      </w:r>
      <w:r w:rsidRPr="000B74E7">
        <w:rPr>
          <w:i/>
          <w:iCs/>
        </w:rPr>
        <w:t xml:space="preserve">MOODY, Sir Henry, 1st Bt. (c. 1582-1629), or </w:t>
      </w:r>
      <w:proofErr w:type="spellStart"/>
      <w:r w:rsidRPr="000B74E7">
        <w:rPr>
          <w:i/>
          <w:iCs/>
        </w:rPr>
        <w:t>Garsdon</w:t>
      </w:r>
      <w:proofErr w:type="spellEnd"/>
      <w:r w:rsidRPr="000B74E7">
        <w:rPr>
          <w:i/>
          <w:iCs/>
        </w:rPr>
        <w:t>, Wilts.</w:t>
      </w:r>
      <w:r w:rsidRPr="000B74E7">
        <w:t> (2010) &lt;http://www.historyofparliamentonline.org/volume/1604-1629/member/moody-sir-henry-1582-1629&gt; [accessed 4 April 2020].</w:t>
      </w:r>
    </w:p>
    <w:p w14:paraId="49C8C0C1" w14:textId="77777777" w:rsidR="000B74E7" w:rsidRPr="000B74E7" w:rsidRDefault="000B74E7" w:rsidP="000B74E7">
      <w:r w:rsidRPr="000B74E7">
        <w:t xml:space="preserve">Lawrence, Christopher, </w:t>
      </w:r>
      <w:r w:rsidRPr="000B74E7">
        <w:rPr>
          <w:i/>
          <w:iCs/>
        </w:rPr>
        <w:t>Lister, Joseph, Baron Lister</w:t>
      </w:r>
      <w:r w:rsidRPr="000B74E7">
        <w:t xml:space="preserve"> (2004) &lt;https://www.oxforddnb.com/view/10.1093/ref:odnb/9780198614128.001.0001/odnb-9780198614128-e-34553?rskey=zGoVM3&amp;result=2&gt; [accessed 29 April</w:t>
      </w:r>
    </w:p>
    <w:p w14:paraId="35977FF6" w14:textId="77777777" w:rsidR="000B74E7" w:rsidRPr="000B74E7" w:rsidRDefault="000B74E7" w:rsidP="000B74E7">
      <w:r w:rsidRPr="000B74E7">
        <w:t>Lockyer, Roger, </w:t>
      </w:r>
      <w:r w:rsidRPr="000B74E7">
        <w:rPr>
          <w:i/>
          <w:iCs/>
        </w:rPr>
        <w:t>Villiers, George, first duke of Buckingham</w:t>
      </w:r>
      <w:r w:rsidRPr="000B74E7">
        <w:t> (2011) &lt;https://www.oxforddnb.com/view/10.1093/ref:odnb/9780198614128.001.0001/odnb-9780198614128-e-28293?rskey=SvhfvG&amp;result=6&gt; [accessed 1 May 2020]. 2020].</w:t>
      </w:r>
    </w:p>
    <w:p w14:paraId="1014BDA9" w14:textId="77777777" w:rsidR="000B74E7" w:rsidRPr="000B74E7" w:rsidRDefault="000B74E7" w:rsidP="000B74E7">
      <w:r w:rsidRPr="000B74E7">
        <w:t>The National Archives, </w:t>
      </w:r>
      <w:r w:rsidRPr="000B74E7">
        <w:rPr>
          <w:i/>
          <w:iCs/>
        </w:rPr>
        <w:t>Currency Converter: 1270-2017</w:t>
      </w:r>
      <w:r w:rsidRPr="000B74E7">
        <w:t> (n.d.) &lt;https://www.nationalarchives.gov.uk/currency-converter/&gt; [accessed 4 April 2020].</w:t>
      </w:r>
    </w:p>
    <w:p w14:paraId="06BCC634" w14:textId="77777777" w:rsidR="000B74E7" w:rsidRPr="000B74E7" w:rsidRDefault="000B74E7" w:rsidP="000B74E7">
      <w:r w:rsidRPr="000B74E7">
        <w:lastRenderedPageBreak/>
        <w:t>The National Trust, </w:t>
      </w:r>
      <w:r w:rsidRPr="000B74E7">
        <w:rPr>
          <w:i/>
          <w:iCs/>
        </w:rPr>
        <w:t>Delve into the history of Croft Castle</w:t>
      </w:r>
      <w:r w:rsidRPr="000B74E7">
        <w:t> (n.d.) &lt;https://www.nationaltrust.org.uk/features/delve-into-the-history-of-croft-castle&gt; [accessed 6 May 2020].</w:t>
      </w:r>
    </w:p>
    <w:p w14:paraId="130C6926" w14:textId="77777777" w:rsidR="000B74E7" w:rsidRPr="000B74E7" w:rsidRDefault="000B74E7" w:rsidP="000B74E7">
      <w:r w:rsidRPr="000B74E7">
        <w:t xml:space="preserve">The National Trust, </w:t>
      </w:r>
      <w:r w:rsidRPr="000B74E7">
        <w:rPr>
          <w:i/>
          <w:iCs/>
        </w:rPr>
        <w:t>What if Princess Charlotte hadn't died? | National Trust</w:t>
      </w:r>
      <w:r w:rsidRPr="000B74E7">
        <w:t xml:space="preserve"> (n.d.) &lt;https://www.nationaltrust.org.uk/claremont-landscape-garden/features/what-if-princess-charlotte-hadnt-died&gt; [accessed 27 April 2020].</w:t>
      </w:r>
    </w:p>
    <w:p w14:paraId="5E2A8961" w14:textId="77777777" w:rsidR="000B74E7" w:rsidRPr="000B74E7" w:rsidRDefault="000B74E7" w:rsidP="000B74E7">
      <w:r w:rsidRPr="000B74E7">
        <w:t>The National Trust, </w:t>
      </w:r>
      <w:r w:rsidRPr="000B74E7">
        <w:rPr>
          <w:i/>
          <w:iCs/>
        </w:rPr>
        <w:t>Women of Croft Castle: Fashion, power and status</w:t>
      </w:r>
      <w:r w:rsidRPr="000B74E7">
        <w:t> (n.d.) &lt;https://www.nationaltrust.org.uk/croft-castle-and-parkland/features/women-of-croft-castle-fashion-power-and-status&gt; [accessed 8 May 2020].</w:t>
      </w:r>
    </w:p>
    <w:p w14:paraId="20E53F62" w14:textId="77777777" w:rsidR="000B74E7" w:rsidRPr="000B74E7" w:rsidRDefault="000B74E7" w:rsidP="000B74E7">
      <w:proofErr w:type="spellStart"/>
      <w:r w:rsidRPr="000B74E7">
        <w:t>Ostrowska</w:t>
      </w:r>
      <w:proofErr w:type="spellEnd"/>
      <w:r w:rsidRPr="000B74E7">
        <w:t>, Anna, </w:t>
      </w:r>
      <w:r w:rsidRPr="000B74E7">
        <w:rPr>
          <w:i/>
          <w:iCs/>
        </w:rPr>
        <w:t>Birth: a changing scene. Part II: A controversial figure of man-midwife</w:t>
      </w:r>
      <w:r w:rsidRPr="000B74E7">
        <w:t> (2012) &lt;http://blog.wellcomelibrary.org/2012/12/man-midwife/&gt; [accessed 27 April 2020].</w:t>
      </w:r>
      <w:r w:rsidRPr="000B74E7">
        <w:br/>
      </w:r>
      <w:r w:rsidRPr="000B74E7">
        <w:br/>
        <w:t>Peel, John, </w:t>
      </w:r>
      <w:r w:rsidRPr="000B74E7">
        <w:rPr>
          <w:i/>
          <w:iCs/>
        </w:rPr>
        <w:t>Croft, Sir Richard, sixth baronet (1762 - 1818) | Physician and Man-Midwife</w:t>
      </w:r>
      <w:r w:rsidRPr="000B74E7">
        <w:t> (2004) &lt;https://www.oxforddnb.com/view/10.1093/ref:odnb/9780198614128.001.0001/odnb-9780198614128-e-6722?rskey=DRImvS&amp;result=2&gt; [accessed 27 April 2020].</w:t>
      </w:r>
    </w:p>
    <w:p w14:paraId="15BD50B8" w14:textId="77777777" w:rsidR="000B74E7" w:rsidRPr="000B74E7" w:rsidRDefault="000B74E7" w:rsidP="000B74E7">
      <w:r w:rsidRPr="000B74E7">
        <w:t>Porter, Stephen, </w:t>
      </w:r>
      <w:r w:rsidRPr="000B74E7">
        <w:rPr>
          <w:i/>
          <w:iCs/>
        </w:rPr>
        <w:t>Gascoigne, Sir Thomas, second baronet</w:t>
      </w:r>
      <w:r w:rsidRPr="000B74E7">
        <w:t> (2004) &lt;https://www.oxforddnb.com/view/10.1093/ref:odnb/9780198614128.001.0001/odnb-9780198614128-e-10426?rskey=LD3fXR&amp;result=11&gt; [accessed 6 May 2020].</w:t>
      </w:r>
    </w:p>
    <w:p w14:paraId="1ACE6C93" w14:textId="77777777" w:rsidR="000B74E7" w:rsidRPr="000B74E7" w:rsidRDefault="000B74E7" w:rsidP="000B74E7">
      <w:r w:rsidRPr="000B74E7">
        <w:t>The Royal Family, </w:t>
      </w:r>
      <w:r w:rsidRPr="000B74E7">
        <w:rPr>
          <w:i/>
          <w:iCs/>
        </w:rPr>
        <w:t>James I (r. 1603-1625) | The Royal Family</w:t>
      </w:r>
      <w:r w:rsidRPr="000B74E7">
        <w:t> (n.d.) &lt;https://www.royal.uk/james-i&gt; [accessed 2 May 2020].</w:t>
      </w:r>
    </w:p>
    <w:p w14:paraId="7C28130C" w14:textId="77777777" w:rsidR="000B74E7" w:rsidRPr="000B74E7" w:rsidRDefault="000B74E7" w:rsidP="000B74E7">
      <w:r w:rsidRPr="000B74E7">
        <w:t>Westminster School, </w:t>
      </w:r>
      <w:r w:rsidRPr="000B74E7">
        <w:rPr>
          <w:i/>
          <w:iCs/>
        </w:rPr>
        <w:t>Sir Herbert Archer Croft</w:t>
      </w:r>
      <w:r w:rsidRPr="000B74E7">
        <w:t> (n.d.) &lt;http://firstworldwar.westminster.org.uk/?p=640&gt; [accessed 6 May 2020].</w:t>
      </w:r>
    </w:p>
    <w:p w14:paraId="286FB6C9" w14:textId="77777777" w:rsidR="000B74E7" w:rsidRPr="000B74E7" w:rsidRDefault="000B74E7" w:rsidP="000B74E7">
      <w:r w:rsidRPr="000B74E7">
        <w:t>Wikipedia, </w:t>
      </w:r>
      <w:r w:rsidRPr="000B74E7">
        <w:rPr>
          <w:i/>
          <w:iCs/>
        </w:rPr>
        <w:t>British Nobility</w:t>
      </w:r>
      <w:r w:rsidRPr="000B74E7">
        <w:t> (2020) &lt;https://en.wikipedia.org/wiki/British_nobility&gt; [accessed 23 January 2020].</w:t>
      </w:r>
    </w:p>
    <w:p w14:paraId="60C40792" w14:textId="77777777" w:rsidR="000B74E7" w:rsidRPr="000B74E7" w:rsidRDefault="000B74E7" w:rsidP="000B74E7"/>
    <w:p w14:paraId="5B6361FA" w14:textId="77777777" w:rsidR="000B74E7" w:rsidRPr="000B74E7" w:rsidRDefault="000B74E7" w:rsidP="000B74E7">
      <w:pPr>
        <w:pStyle w:val="Heading2"/>
      </w:pPr>
      <w:bookmarkStart w:id="31" w:name="_Toc39836582"/>
      <w:r w:rsidRPr="000B74E7">
        <w:t>Manuscripts</w:t>
      </w:r>
      <w:bookmarkEnd w:id="31"/>
    </w:p>
    <w:p w14:paraId="0EB289EB" w14:textId="77777777" w:rsidR="000B74E7" w:rsidRPr="000B74E7" w:rsidRDefault="000B74E7" w:rsidP="000B74E7">
      <w:r w:rsidRPr="000B74E7">
        <w:rPr>
          <w:lang w:val="en-US"/>
        </w:rPr>
        <w:t>British Library, London, Cotton</w:t>
      </w:r>
      <w:r w:rsidRPr="000B74E7">
        <w:t xml:space="preserve"> MS Faustina B VIII, ff 2–53</w:t>
      </w:r>
    </w:p>
    <w:p w14:paraId="7261A488" w14:textId="77777777" w:rsidR="000B74E7" w:rsidRPr="000B74E7" w:rsidRDefault="000B74E7" w:rsidP="000B74E7"/>
    <w:p w14:paraId="26F1DD09" w14:textId="77777777" w:rsidR="000B74E7" w:rsidRPr="000B74E7" w:rsidRDefault="000B74E7" w:rsidP="000B74E7">
      <w:pPr>
        <w:pStyle w:val="Heading2"/>
      </w:pPr>
      <w:bookmarkStart w:id="32" w:name="_Toc39836583"/>
      <w:r w:rsidRPr="000B74E7">
        <w:t>Archival Material</w:t>
      </w:r>
      <w:bookmarkEnd w:id="32"/>
    </w:p>
    <w:p w14:paraId="27B95DD7" w14:textId="77777777" w:rsidR="000B74E7" w:rsidRPr="000B74E7" w:rsidRDefault="000B74E7" w:rsidP="000B74E7">
      <w:r w:rsidRPr="000B74E7">
        <w:rPr>
          <w:i/>
          <w:iCs/>
        </w:rPr>
        <w:t>The Accounts of Killerton House, 1774-1780</w:t>
      </w:r>
      <w:r w:rsidRPr="000B74E7">
        <w:t>, provided by Denise Melhuish, House and Collections Manager of Killerton House, 7</w:t>
      </w:r>
      <w:r w:rsidRPr="000B74E7">
        <w:rPr>
          <w:vertAlign w:val="superscript"/>
        </w:rPr>
        <w:t xml:space="preserve"> </w:t>
      </w:r>
      <w:r w:rsidRPr="000B74E7">
        <w:t>January 2020.</w:t>
      </w:r>
    </w:p>
    <w:p w14:paraId="4E78E402" w14:textId="337DF96D" w:rsidR="000B74E7" w:rsidRPr="000B74E7" w:rsidRDefault="000B74E7" w:rsidP="000B74E7">
      <w:r w:rsidRPr="000B74E7">
        <w:rPr>
          <w:lang w:val="en-US"/>
        </w:rPr>
        <w:t xml:space="preserve">House of Lords, </w:t>
      </w:r>
      <w:r w:rsidRPr="000B74E7">
        <w:rPr>
          <w:i/>
          <w:iCs/>
          <w:lang w:val="en-US"/>
        </w:rPr>
        <w:t xml:space="preserve">Hansard’s Parliamentary Debates: The Official Report </w:t>
      </w:r>
      <w:r w:rsidRPr="000B74E7">
        <w:rPr>
          <w:lang w:val="en-US"/>
        </w:rPr>
        <w:t>(4 February 1942</w:t>
      </w:r>
      <w:r w:rsidRPr="000B74E7">
        <w:rPr>
          <w:i/>
          <w:iCs/>
          <w:lang w:val="en-US"/>
        </w:rPr>
        <w:t xml:space="preserve">, </w:t>
      </w:r>
      <w:r w:rsidRPr="000B74E7">
        <w:rPr>
          <w:lang w:val="en-US"/>
        </w:rPr>
        <w:t>vol. 121, cols. 680-710) [Online] &lt;</w:t>
      </w:r>
      <w:r w:rsidRPr="000B74E7">
        <w:t>https://api.parliament.uk/historic-hansard/lords/1942/feb/04/the-home-guard</w:t>
      </w:r>
      <w:r w:rsidRPr="000B74E7">
        <w:rPr>
          <w:lang w:val="en-US"/>
        </w:rPr>
        <w:t>&gt; [accessed 6 May 2020].</w:t>
      </w:r>
    </w:p>
    <w:sectPr w:rsidR="000B74E7" w:rsidRPr="000B74E7" w:rsidSect="00F3279C">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D9E29D" w14:textId="77777777" w:rsidR="009E5050" w:rsidRDefault="009E5050" w:rsidP="00B67A87">
      <w:pPr>
        <w:spacing w:after="0" w:line="240" w:lineRule="auto"/>
      </w:pPr>
      <w:r>
        <w:separator/>
      </w:r>
    </w:p>
  </w:endnote>
  <w:endnote w:type="continuationSeparator" w:id="0">
    <w:p w14:paraId="69640E22" w14:textId="77777777" w:rsidR="009E5050" w:rsidRDefault="009E5050" w:rsidP="00B67A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7C4DAE" w14:textId="77777777" w:rsidR="009E5050" w:rsidRDefault="009E5050" w:rsidP="00B67A87">
      <w:pPr>
        <w:spacing w:after="0" w:line="240" w:lineRule="auto"/>
      </w:pPr>
      <w:r>
        <w:separator/>
      </w:r>
    </w:p>
  </w:footnote>
  <w:footnote w:type="continuationSeparator" w:id="0">
    <w:p w14:paraId="03349088" w14:textId="77777777" w:rsidR="009E5050" w:rsidRDefault="009E5050" w:rsidP="00B67A87">
      <w:pPr>
        <w:spacing w:after="0" w:line="240" w:lineRule="auto"/>
      </w:pPr>
      <w:r>
        <w:continuationSeparator/>
      </w:r>
    </w:p>
  </w:footnote>
  <w:footnote w:id="1">
    <w:p w14:paraId="000EDD5A" w14:textId="77777777" w:rsidR="00FD11F0" w:rsidRPr="00C90319" w:rsidRDefault="00FD11F0" w:rsidP="006D2C74">
      <w:pPr>
        <w:pStyle w:val="FootnoteText"/>
        <w:rPr>
          <w:lang w:val="en-US"/>
        </w:rPr>
      </w:pPr>
      <w:r>
        <w:rPr>
          <w:rStyle w:val="FootnoteReference"/>
        </w:rPr>
        <w:footnoteRef/>
      </w:r>
      <w:r>
        <w:t xml:space="preserve"> </w:t>
      </w:r>
      <w:r w:rsidRPr="00C90319">
        <w:t>William Edward Hartpole Lecky, </w:t>
      </w:r>
      <w:r w:rsidRPr="00C90319">
        <w:rPr>
          <w:i/>
          <w:iCs/>
        </w:rPr>
        <w:t>A History of Ireland in the Eighteenth Century</w:t>
      </w:r>
      <w:r w:rsidRPr="00C90319">
        <w:t> (London: Longmans, Green and Co., 1892), pp. 4-5.</w:t>
      </w:r>
    </w:p>
  </w:footnote>
  <w:footnote w:id="2">
    <w:p w14:paraId="3F5353A8" w14:textId="48FD69CA" w:rsidR="00FD11F0" w:rsidRPr="00B60993" w:rsidRDefault="00FD11F0">
      <w:pPr>
        <w:pStyle w:val="FootnoteText"/>
      </w:pPr>
      <w:r>
        <w:rPr>
          <w:rStyle w:val="FootnoteReference"/>
        </w:rPr>
        <w:footnoteRef/>
      </w:r>
      <w:r>
        <w:t xml:space="preserve"> </w:t>
      </w:r>
      <w:r w:rsidRPr="00B60993">
        <w:t>Wikipedia, </w:t>
      </w:r>
      <w:r w:rsidRPr="00B60993">
        <w:rPr>
          <w:i/>
          <w:iCs/>
        </w:rPr>
        <w:t>British Nobility</w:t>
      </w:r>
      <w:r w:rsidRPr="00B60993">
        <w:t> (2020) &lt;https://en.wikipedia.org/wiki/British_nobility&gt; [accessed 23 January 2020].</w:t>
      </w:r>
    </w:p>
  </w:footnote>
  <w:footnote w:id="3">
    <w:p w14:paraId="290C862F" w14:textId="77777777" w:rsidR="00FD11F0" w:rsidRPr="00CD200D" w:rsidRDefault="00FD11F0">
      <w:pPr>
        <w:pStyle w:val="FootnoteText"/>
        <w:rPr>
          <w:lang w:val="en-US"/>
        </w:rPr>
      </w:pPr>
      <w:r>
        <w:rPr>
          <w:rStyle w:val="FootnoteReference"/>
        </w:rPr>
        <w:footnoteRef/>
      </w:r>
      <w:r>
        <w:t xml:space="preserve"> </w:t>
      </w:r>
      <w:r w:rsidRPr="00CD200D">
        <w:t xml:space="preserve">Katherine S. Van Eerde, "The Creation </w:t>
      </w:r>
      <w:proofErr w:type="gramStart"/>
      <w:r w:rsidRPr="00CD200D">
        <w:t>Of</w:t>
      </w:r>
      <w:proofErr w:type="gramEnd"/>
      <w:r w:rsidRPr="00CD200D">
        <w:t xml:space="preserve"> The Baronetage In England", </w:t>
      </w:r>
      <w:r w:rsidRPr="00CD200D">
        <w:rPr>
          <w:i/>
          <w:iCs/>
        </w:rPr>
        <w:t>Huntington Library Quarterly</w:t>
      </w:r>
      <w:r w:rsidRPr="00CD200D">
        <w:t xml:space="preserve">, 22.4 (1959), </w:t>
      </w:r>
      <w:r w:rsidRPr="00364996">
        <w:t xml:space="preserve">313-322 </w:t>
      </w:r>
      <w:r w:rsidRPr="00CD200D">
        <w:t>&lt;https://doi.org/10.2307/3816444&gt;</w:t>
      </w:r>
      <w:r>
        <w:t xml:space="preserve"> p. 313.</w:t>
      </w:r>
    </w:p>
  </w:footnote>
  <w:footnote w:id="4">
    <w:p w14:paraId="60847D7B" w14:textId="26C2DAF7" w:rsidR="00FD11F0" w:rsidRPr="00CD200D" w:rsidRDefault="00FD11F0">
      <w:pPr>
        <w:pStyle w:val="FootnoteText"/>
        <w:rPr>
          <w:lang w:val="en-US"/>
        </w:rPr>
      </w:pPr>
      <w:r>
        <w:rPr>
          <w:rStyle w:val="FootnoteReference"/>
        </w:rPr>
        <w:footnoteRef/>
      </w:r>
      <w:r>
        <w:rPr>
          <w:lang w:val="en-US"/>
        </w:rPr>
        <w:t xml:space="preserve"> Van Eerde, </w:t>
      </w:r>
      <w:r w:rsidRPr="00386F8F">
        <w:rPr>
          <w:i/>
          <w:iCs/>
          <w:lang w:val="en-US"/>
        </w:rPr>
        <w:t>Creation of the Baronetage</w:t>
      </w:r>
      <w:r>
        <w:rPr>
          <w:lang w:val="en-US"/>
        </w:rPr>
        <w:t xml:space="preserve"> p. 314. </w:t>
      </w:r>
    </w:p>
  </w:footnote>
  <w:footnote w:id="5">
    <w:p w14:paraId="55CED1AA" w14:textId="299CFA12" w:rsidR="00FD11F0" w:rsidRPr="006F5D6D" w:rsidRDefault="00FD11F0">
      <w:pPr>
        <w:pStyle w:val="FootnoteText"/>
        <w:rPr>
          <w:lang w:val="en-US"/>
        </w:rPr>
      </w:pPr>
      <w:r>
        <w:rPr>
          <w:rStyle w:val="FootnoteReference"/>
        </w:rPr>
        <w:footnoteRef/>
      </w:r>
      <w:r>
        <w:t xml:space="preserve"> </w:t>
      </w:r>
      <w:r>
        <w:rPr>
          <w:lang w:val="en-US"/>
        </w:rPr>
        <w:t xml:space="preserve">Van Eerde, </w:t>
      </w:r>
      <w:r>
        <w:rPr>
          <w:i/>
          <w:iCs/>
          <w:lang w:val="en-US"/>
        </w:rPr>
        <w:t xml:space="preserve">Creation of the Baronetage, </w:t>
      </w:r>
      <w:r>
        <w:rPr>
          <w:lang w:val="en-US"/>
        </w:rPr>
        <w:t>p. 314.</w:t>
      </w:r>
    </w:p>
  </w:footnote>
  <w:footnote w:id="6">
    <w:p w14:paraId="667C828D" w14:textId="03B007F9" w:rsidR="00FD11F0" w:rsidRPr="003C60E3" w:rsidRDefault="00FD11F0">
      <w:pPr>
        <w:pStyle w:val="FootnoteText"/>
        <w:rPr>
          <w:lang w:val="en-US"/>
        </w:rPr>
      </w:pPr>
      <w:r>
        <w:rPr>
          <w:rStyle w:val="FootnoteReference"/>
        </w:rPr>
        <w:footnoteRef/>
      </w:r>
      <w:r>
        <w:t xml:space="preserve"> Van Eerde, </w:t>
      </w:r>
      <w:r>
        <w:rPr>
          <w:i/>
          <w:iCs/>
        </w:rPr>
        <w:t>Creation of the Baronetage,</w:t>
      </w:r>
      <w:r>
        <w:t xml:space="preserve"> p. 314.</w:t>
      </w:r>
    </w:p>
  </w:footnote>
  <w:footnote w:id="7">
    <w:p w14:paraId="7B5C27DF" w14:textId="612C0B2B" w:rsidR="00FD11F0" w:rsidRPr="003D0D72" w:rsidRDefault="00FD11F0" w:rsidP="00CE7D29">
      <w:pPr>
        <w:pStyle w:val="FootnoteText"/>
        <w:rPr>
          <w:lang w:val="en-US"/>
        </w:rPr>
      </w:pPr>
      <w:r>
        <w:rPr>
          <w:rStyle w:val="FootnoteReference"/>
        </w:rPr>
        <w:footnoteRef/>
      </w:r>
      <w:r>
        <w:t xml:space="preserve"> </w:t>
      </w:r>
      <w:r w:rsidRPr="003D0D72">
        <w:t>Francis W Pixley, </w:t>
      </w:r>
      <w:r w:rsidRPr="003D0D72">
        <w:rPr>
          <w:i/>
          <w:iCs/>
        </w:rPr>
        <w:t xml:space="preserve">A History </w:t>
      </w:r>
      <w:proofErr w:type="gramStart"/>
      <w:r w:rsidRPr="003D0D72">
        <w:rPr>
          <w:i/>
          <w:iCs/>
        </w:rPr>
        <w:t>Of</w:t>
      </w:r>
      <w:proofErr w:type="gramEnd"/>
      <w:r w:rsidRPr="003D0D72">
        <w:rPr>
          <w:i/>
          <w:iCs/>
        </w:rPr>
        <w:t xml:space="preserve"> The Baronetage</w:t>
      </w:r>
      <w:r w:rsidRPr="003D0D72">
        <w:t> (London: Forgotten Books, 2015)</w:t>
      </w:r>
      <w:r>
        <w:t xml:space="preserve">, </w:t>
      </w:r>
      <w:r w:rsidRPr="003C60E3">
        <w:t>p</w:t>
      </w:r>
      <w:r w:rsidRPr="003D0D72">
        <w:t>.</w:t>
      </w:r>
      <w:r>
        <w:t xml:space="preserve"> 16.</w:t>
      </w:r>
    </w:p>
  </w:footnote>
  <w:footnote w:id="8">
    <w:p w14:paraId="19728043" w14:textId="685843F9" w:rsidR="00FD11F0" w:rsidRPr="00391145" w:rsidRDefault="00FD11F0" w:rsidP="00CE7D29">
      <w:pPr>
        <w:pStyle w:val="FootnoteText"/>
        <w:rPr>
          <w:lang w:val="en-US"/>
        </w:rPr>
      </w:pPr>
      <w:r>
        <w:rPr>
          <w:rStyle w:val="FootnoteReference"/>
        </w:rPr>
        <w:footnoteRef/>
      </w:r>
      <w:r>
        <w:t xml:space="preserve"> </w:t>
      </w:r>
      <w:proofErr w:type="spellStart"/>
      <w:r>
        <w:t>PIxley</w:t>
      </w:r>
      <w:proofErr w:type="spellEnd"/>
      <w:r>
        <w:t xml:space="preserve">, </w:t>
      </w:r>
      <w:r w:rsidRPr="00386F8F">
        <w:rPr>
          <w:i/>
          <w:iCs/>
        </w:rPr>
        <w:t>History of the Baronetage</w:t>
      </w:r>
      <w:r>
        <w:rPr>
          <w:i/>
          <w:iCs/>
        </w:rPr>
        <w:t>,</w:t>
      </w:r>
      <w:r>
        <w:t xml:space="preserve"> p. 17.</w:t>
      </w:r>
    </w:p>
  </w:footnote>
  <w:footnote w:id="9">
    <w:p w14:paraId="58AF53B2" w14:textId="1DB29DB1" w:rsidR="00FD11F0" w:rsidRPr="00391145" w:rsidRDefault="00FD11F0" w:rsidP="00CE7D29">
      <w:pPr>
        <w:pStyle w:val="FootnoteText"/>
        <w:rPr>
          <w:lang w:val="en-US"/>
        </w:rPr>
      </w:pPr>
      <w:r>
        <w:rPr>
          <w:rStyle w:val="FootnoteReference"/>
        </w:rPr>
        <w:footnoteRef/>
      </w:r>
      <w:r>
        <w:t xml:space="preserve"> </w:t>
      </w:r>
      <w:bookmarkStart w:id="13" w:name="_Hlk31106288"/>
      <w:r>
        <w:t xml:space="preserve">Pixley, </w:t>
      </w:r>
      <w:r>
        <w:rPr>
          <w:i/>
          <w:iCs/>
        </w:rPr>
        <w:t>History of the Baronetage</w:t>
      </w:r>
      <w:r>
        <w:t>, p. 16</w:t>
      </w:r>
      <w:bookmarkEnd w:id="13"/>
      <w:r>
        <w:t>.</w:t>
      </w:r>
    </w:p>
  </w:footnote>
  <w:footnote w:id="10">
    <w:p w14:paraId="592AA6D5" w14:textId="77777777" w:rsidR="00FD11F0" w:rsidRPr="003D0D72" w:rsidRDefault="00FD11F0" w:rsidP="00CE7D29">
      <w:pPr>
        <w:pStyle w:val="FootnoteText"/>
        <w:rPr>
          <w:lang w:val="en-US"/>
        </w:rPr>
      </w:pPr>
      <w:r>
        <w:rPr>
          <w:rStyle w:val="FootnoteReference"/>
        </w:rPr>
        <w:footnoteRef/>
      </w:r>
      <w:r>
        <w:t xml:space="preserve"> </w:t>
      </w:r>
      <w:r>
        <w:rPr>
          <w:lang w:val="en-US"/>
        </w:rPr>
        <w:t xml:space="preserve">In an original letter patent granted by King James I, these restrictions are written as follows: “1. That </w:t>
      </w:r>
      <w:proofErr w:type="gramStart"/>
      <w:r>
        <w:rPr>
          <w:lang w:val="en-US"/>
        </w:rPr>
        <w:t>none</w:t>
      </w:r>
      <w:proofErr w:type="gramEnd"/>
      <w:r>
        <w:rPr>
          <w:lang w:val="en-US"/>
        </w:rPr>
        <w:t xml:space="preserve"> bee admitted except </w:t>
      </w:r>
      <w:proofErr w:type="spellStart"/>
      <w:r>
        <w:rPr>
          <w:lang w:val="en-US"/>
        </w:rPr>
        <w:t>hee</w:t>
      </w:r>
      <w:proofErr w:type="spellEnd"/>
      <w:r>
        <w:rPr>
          <w:lang w:val="en-US"/>
        </w:rPr>
        <w:t xml:space="preserve"> have of Certain </w:t>
      </w:r>
      <w:proofErr w:type="spellStart"/>
      <w:r>
        <w:rPr>
          <w:lang w:val="en-US"/>
        </w:rPr>
        <w:t>yearlie</w:t>
      </w:r>
      <w:proofErr w:type="spellEnd"/>
      <w:r>
        <w:rPr>
          <w:lang w:val="en-US"/>
        </w:rPr>
        <w:t xml:space="preserve"> revenue of Inheritance in possession 1000</w:t>
      </w:r>
      <w:r w:rsidRPr="003D0D72">
        <w:rPr>
          <w:vertAlign w:val="superscript"/>
          <w:lang w:val="en-US"/>
        </w:rPr>
        <w:t>ti</w:t>
      </w:r>
      <w:r>
        <w:rPr>
          <w:lang w:val="en-US"/>
        </w:rPr>
        <w:t xml:space="preserve"> per annum de Claro. 2. That </w:t>
      </w:r>
      <w:proofErr w:type="gramStart"/>
      <w:r>
        <w:rPr>
          <w:lang w:val="en-US"/>
        </w:rPr>
        <w:t>none</w:t>
      </w:r>
      <w:proofErr w:type="gramEnd"/>
      <w:r>
        <w:rPr>
          <w:lang w:val="en-US"/>
        </w:rPr>
        <w:t xml:space="preserve"> bee received whose Grandfather by the </w:t>
      </w:r>
      <w:proofErr w:type="spellStart"/>
      <w:r>
        <w:rPr>
          <w:lang w:val="en-US"/>
        </w:rPr>
        <w:t>ffather</w:t>
      </w:r>
      <w:proofErr w:type="spellEnd"/>
      <w:r>
        <w:rPr>
          <w:lang w:val="en-US"/>
        </w:rPr>
        <w:t xml:space="preserve"> did not </w:t>
      </w:r>
      <w:proofErr w:type="spellStart"/>
      <w:r>
        <w:rPr>
          <w:lang w:val="en-US"/>
        </w:rPr>
        <w:t>beare</w:t>
      </w:r>
      <w:proofErr w:type="spellEnd"/>
      <w:r>
        <w:rPr>
          <w:lang w:val="en-US"/>
        </w:rPr>
        <w:t xml:space="preserve"> Arms.” Pixley, p. 17.</w:t>
      </w:r>
    </w:p>
  </w:footnote>
  <w:footnote w:id="11">
    <w:p w14:paraId="5B08720C" w14:textId="77777777" w:rsidR="00FD11F0" w:rsidRPr="0014016A" w:rsidRDefault="00FD11F0" w:rsidP="0014016A">
      <w:pPr>
        <w:pStyle w:val="FootnoteText"/>
        <w:rPr>
          <w:i/>
          <w:iCs/>
          <w:lang w:val="en-US"/>
        </w:rPr>
      </w:pPr>
      <w:r>
        <w:rPr>
          <w:rStyle w:val="FootnoteReference"/>
        </w:rPr>
        <w:footnoteRef/>
      </w:r>
      <w:r>
        <w:t xml:space="preserve"> </w:t>
      </w:r>
      <w:r w:rsidRPr="00984A09">
        <w:t>Anne Acland, </w:t>
      </w:r>
      <w:r w:rsidRPr="00984A09">
        <w:rPr>
          <w:i/>
          <w:iCs/>
        </w:rPr>
        <w:t xml:space="preserve">A Devon Family: The Story of the </w:t>
      </w:r>
      <w:proofErr w:type="spellStart"/>
      <w:r w:rsidRPr="00984A09">
        <w:rPr>
          <w:i/>
          <w:iCs/>
        </w:rPr>
        <w:t>Aclands</w:t>
      </w:r>
      <w:proofErr w:type="spellEnd"/>
      <w:r w:rsidRPr="00984A09">
        <w:t> (London, England: Phillimore &amp; Co. Ltd., 1981),</w:t>
      </w:r>
      <w:r>
        <w:t xml:space="preserve"> p. 5.</w:t>
      </w:r>
    </w:p>
  </w:footnote>
  <w:footnote w:id="12">
    <w:p w14:paraId="35556B1B" w14:textId="6F98A1D8" w:rsidR="00FD11F0" w:rsidRPr="0014016A" w:rsidRDefault="00FD11F0">
      <w:pPr>
        <w:pStyle w:val="FootnoteText"/>
        <w:rPr>
          <w:lang w:val="en-US"/>
        </w:rPr>
      </w:pPr>
      <w:r>
        <w:rPr>
          <w:rStyle w:val="FootnoteReference"/>
        </w:rPr>
        <w:footnoteRef/>
      </w:r>
      <w:r>
        <w:t xml:space="preserve"> </w:t>
      </w:r>
      <w:r>
        <w:rPr>
          <w:lang w:val="en-US"/>
        </w:rPr>
        <w:t xml:space="preserve">Acland </w:t>
      </w:r>
      <w:r>
        <w:rPr>
          <w:i/>
          <w:iCs/>
          <w:lang w:val="en-US"/>
        </w:rPr>
        <w:t>A Devon Family</w:t>
      </w:r>
      <w:r>
        <w:rPr>
          <w:lang w:val="en-US"/>
        </w:rPr>
        <w:t>, p. 5.</w:t>
      </w:r>
    </w:p>
  </w:footnote>
  <w:footnote w:id="13">
    <w:p w14:paraId="24A6C2FE" w14:textId="61343AD4" w:rsidR="00FD11F0" w:rsidRPr="003F2C14" w:rsidRDefault="00FD11F0">
      <w:pPr>
        <w:pStyle w:val="FootnoteText"/>
        <w:rPr>
          <w:lang w:val="en-US"/>
        </w:rPr>
      </w:pPr>
      <w:r>
        <w:rPr>
          <w:rStyle w:val="FootnoteReference"/>
        </w:rPr>
        <w:footnoteRef/>
      </w:r>
      <w:r>
        <w:t xml:space="preserve"> </w:t>
      </w:r>
      <w:r>
        <w:rPr>
          <w:lang w:val="en-US"/>
        </w:rPr>
        <w:t xml:space="preserve">Van Eerde, </w:t>
      </w:r>
      <w:r>
        <w:rPr>
          <w:i/>
          <w:iCs/>
          <w:lang w:val="en-US"/>
        </w:rPr>
        <w:t xml:space="preserve">Creation of the Baronetage, </w:t>
      </w:r>
      <w:r>
        <w:rPr>
          <w:lang w:val="en-US"/>
        </w:rPr>
        <w:t>p. 322.</w:t>
      </w:r>
    </w:p>
  </w:footnote>
  <w:footnote w:id="14">
    <w:p w14:paraId="62049738" w14:textId="727CCA8B" w:rsidR="00FD11F0" w:rsidRPr="003F2C14" w:rsidRDefault="00FD11F0">
      <w:pPr>
        <w:pStyle w:val="FootnoteText"/>
        <w:rPr>
          <w:lang w:val="en-US"/>
        </w:rPr>
      </w:pPr>
      <w:r>
        <w:rPr>
          <w:rStyle w:val="FootnoteReference"/>
        </w:rPr>
        <w:footnoteRef/>
      </w:r>
      <w:r>
        <w:t xml:space="preserve"> </w:t>
      </w:r>
      <w:r w:rsidRPr="003F2C14">
        <w:t>Lawrence Stone, 'The Inflation of Honours 1558-1641', </w:t>
      </w:r>
      <w:r w:rsidRPr="003F2C14">
        <w:rPr>
          <w:i/>
          <w:iCs/>
        </w:rPr>
        <w:t>Past &amp; Present</w:t>
      </w:r>
      <w:r w:rsidRPr="003F2C14">
        <w:t>, 14, (1958), 45-70,</w:t>
      </w:r>
      <w:r>
        <w:t xml:space="preserve"> p. 51.</w:t>
      </w:r>
    </w:p>
  </w:footnote>
  <w:footnote w:id="15">
    <w:p w14:paraId="60D6BB1E" w14:textId="607D6FE4" w:rsidR="00FD11F0" w:rsidRPr="00386F8F" w:rsidRDefault="00FD11F0">
      <w:pPr>
        <w:pStyle w:val="FootnoteText"/>
      </w:pPr>
      <w:r>
        <w:rPr>
          <w:rStyle w:val="FootnoteReference"/>
        </w:rPr>
        <w:footnoteRef/>
      </w:r>
      <w:r>
        <w:t xml:space="preserve"> </w:t>
      </w:r>
      <w:r w:rsidRPr="00386F8F">
        <w:t>The National Archives, </w:t>
      </w:r>
      <w:r w:rsidRPr="00386F8F">
        <w:rPr>
          <w:i/>
          <w:iCs/>
        </w:rPr>
        <w:t>Currency Converter: 1270-2017</w:t>
      </w:r>
      <w:r w:rsidRPr="00386F8F">
        <w:t> (n.d.) &lt;https://www.nationalarchives.gov.uk/currency-converter/&gt; [accessed 4 April 2020].</w:t>
      </w:r>
    </w:p>
  </w:footnote>
  <w:footnote w:id="16">
    <w:p w14:paraId="20F77758" w14:textId="69B26990" w:rsidR="00FD11F0" w:rsidRPr="00F2676A" w:rsidRDefault="00FD11F0">
      <w:pPr>
        <w:pStyle w:val="FootnoteText"/>
        <w:rPr>
          <w:lang w:val="en-US"/>
        </w:rPr>
      </w:pPr>
      <w:r>
        <w:rPr>
          <w:rStyle w:val="FootnoteReference"/>
        </w:rPr>
        <w:footnoteRef/>
      </w:r>
      <w:r>
        <w:t xml:space="preserve"> </w:t>
      </w:r>
      <w:r w:rsidRPr="00F2676A">
        <w:t>Edith L. Klotz and Godfrey Davies, 'The Wealth of Royalist Peers and Baronets during the Puritan Revolution', </w:t>
      </w:r>
      <w:r w:rsidRPr="00F2676A">
        <w:rPr>
          <w:i/>
          <w:iCs/>
        </w:rPr>
        <w:t>The English Historical Review</w:t>
      </w:r>
      <w:r w:rsidRPr="00F2676A">
        <w:t>, 58.230, (1943), 217-219 (p. 219).</w:t>
      </w:r>
    </w:p>
  </w:footnote>
  <w:footnote w:id="17">
    <w:p w14:paraId="0E605E5F" w14:textId="3C81F500" w:rsidR="00FD11F0" w:rsidRPr="003C69D4" w:rsidRDefault="00FD11F0">
      <w:pPr>
        <w:pStyle w:val="FootnoteText"/>
        <w:rPr>
          <w:i/>
          <w:iCs/>
          <w:lang w:val="en-US"/>
        </w:rPr>
      </w:pPr>
      <w:r>
        <w:rPr>
          <w:rStyle w:val="FootnoteReference"/>
        </w:rPr>
        <w:footnoteRef/>
      </w:r>
      <w:r>
        <w:t xml:space="preserve"> </w:t>
      </w:r>
      <w:r>
        <w:rPr>
          <w:lang w:val="en-US"/>
        </w:rPr>
        <w:t xml:space="preserve">Klotz and Davies, </w:t>
      </w:r>
      <w:r>
        <w:rPr>
          <w:i/>
          <w:iCs/>
          <w:lang w:val="en-US"/>
        </w:rPr>
        <w:t>The Wealth of Royalist Peers, p. 219.</w:t>
      </w:r>
    </w:p>
  </w:footnote>
  <w:footnote w:id="18">
    <w:p w14:paraId="64CB37D9" w14:textId="476C0487" w:rsidR="00FD11F0" w:rsidRPr="00984A09" w:rsidRDefault="00FD11F0">
      <w:pPr>
        <w:pStyle w:val="FootnoteText"/>
      </w:pPr>
      <w:r>
        <w:rPr>
          <w:rStyle w:val="FootnoteReference"/>
        </w:rPr>
        <w:footnoteRef/>
      </w:r>
      <w:r>
        <w:t xml:space="preserve"> Acland, </w:t>
      </w:r>
      <w:r>
        <w:rPr>
          <w:i/>
          <w:iCs/>
        </w:rPr>
        <w:t>A Devon Family</w:t>
      </w:r>
      <w:r>
        <w:t xml:space="preserve">, </w:t>
      </w:r>
      <w:r w:rsidRPr="00984A09">
        <w:t>p</w:t>
      </w:r>
      <w:r>
        <w:t>p</w:t>
      </w:r>
      <w:r w:rsidRPr="00984A09">
        <w:t>. 6-7.</w:t>
      </w:r>
    </w:p>
  </w:footnote>
  <w:footnote w:id="19">
    <w:p w14:paraId="02E7160A" w14:textId="698DCA51" w:rsidR="00FD11F0" w:rsidRPr="000B235B" w:rsidRDefault="00FD11F0">
      <w:pPr>
        <w:pStyle w:val="FootnoteText"/>
      </w:pPr>
      <w:r>
        <w:rPr>
          <w:rStyle w:val="FootnoteReference"/>
        </w:rPr>
        <w:footnoteRef/>
      </w:r>
      <w:r>
        <w:t xml:space="preserve"> </w:t>
      </w:r>
      <w:r w:rsidRPr="000B235B">
        <w:t>John Burke, </w:t>
      </w:r>
      <w:r w:rsidRPr="000B235B">
        <w:rPr>
          <w:i/>
          <w:iCs/>
        </w:rPr>
        <w:t>A General and Heraldic Dictionary of the Peerage and Baronetage of the British Empire</w:t>
      </w:r>
      <w:r w:rsidRPr="000B235B">
        <w:t xml:space="preserve">, 4th </w:t>
      </w:r>
      <w:proofErr w:type="spellStart"/>
      <w:r w:rsidRPr="000B235B">
        <w:t>edn</w:t>
      </w:r>
      <w:proofErr w:type="spellEnd"/>
      <w:r w:rsidRPr="000B235B">
        <w:t xml:space="preserve"> (London: Henry Colburn and Richard Bentley, 1832), p. 358.</w:t>
      </w:r>
    </w:p>
  </w:footnote>
  <w:footnote w:id="20">
    <w:p w14:paraId="36AAF3D5" w14:textId="6797DB10" w:rsidR="00FD11F0" w:rsidRPr="00D2361C" w:rsidRDefault="00FD11F0">
      <w:pPr>
        <w:pStyle w:val="FootnoteText"/>
        <w:rPr>
          <w:lang w:val="en-US"/>
        </w:rPr>
      </w:pPr>
      <w:r>
        <w:rPr>
          <w:rStyle w:val="FootnoteReference"/>
        </w:rPr>
        <w:footnoteRef/>
      </w:r>
      <w:r>
        <w:t xml:space="preserve"> </w:t>
      </w:r>
      <w:r>
        <w:rPr>
          <w:lang w:val="en-US"/>
        </w:rPr>
        <w:t>Klotz and Davies were examining documents written between 1643 and 1660, while Sir Moody was one of the first to receive his baronetcy in 1622.</w:t>
      </w:r>
    </w:p>
  </w:footnote>
  <w:footnote w:id="21">
    <w:p w14:paraId="0323F428" w14:textId="3579D813" w:rsidR="00FD11F0" w:rsidRPr="00862211" w:rsidRDefault="00FD11F0">
      <w:pPr>
        <w:pStyle w:val="FootnoteText"/>
      </w:pPr>
      <w:r>
        <w:rPr>
          <w:rStyle w:val="FootnoteReference"/>
        </w:rPr>
        <w:footnoteRef/>
      </w:r>
      <w:r>
        <w:t xml:space="preserve"> </w:t>
      </w:r>
      <w:r w:rsidRPr="00862211">
        <w:t>The History of Parliament Online, </w:t>
      </w:r>
      <w:r w:rsidRPr="00862211">
        <w:rPr>
          <w:i/>
          <w:iCs/>
        </w:rPr>
        <w:t xml:space="preserve">MOODY, Sir Henry, 1st Bt. (c. 1582-1629), or </w:t>
      </w:r>
      <w:proofErr w:type="spellStart"/>
      <w:r w:rsidRPr="00862211">
        <w:rPr>
          <w:i/>
          <w:iCs/>
        </w:rPr>
        <w:t>Garsdon</w:t>
      </w:r>
      <w:proofErr w:type="spellEnd"/>
      <w:r w:rsidRPr="00862211">
        <w:rPr>
          <w:i/>
          <w:iCs/>
        </w:rPr>
        <w:t>, Wilts.</w:t>
      </w:r>
      <w:r w:rsidRPr="00862211">
        <w:t> (2010) &lt;http://www.historyofparliamentonline.org/volume/1604-1629/member/moody-sir-henry-1582-1629&gt; [accessed 4 April 2020].</w:t>
      </w:r>
    </w:p>
  </w:footnote>
  <w:footnote w:id="22">
    <w:p w14:paraId="541A7BBF" w14:textId="016C6907" w:rsidR="00FD11F0" w:rsidRPr="00862211" w:rsidRDefault="00FD11F0">
      <w:pPr>
        <w:pStyle w:val="FootnoteText"/>
        <w:rPr>
          <w:lang w:val="en-US"/>
        </w:rPr>
      </w:pPr>
      <w:r>
        <w:rPr>
          <w:rStyle w:val="FootnoteReference"/>
        </w:rPr>
        <w:footnoteRef/>
      </w:r>
      <w:r>
        <w:t xml:space="preserve"> </w:t>
      </w:r>
      <w:r>
        <w:rPr>
          <w:lang w:val="en-US"/>
        </w:rPr>
        <w:t xml:space="preserve">The History of Parliament Online, </w:t>
      </w:r>
      <w:r>
        <w:rPr>
          <w:i/>
          <w:iCs/>
          <w:lang w:val="en-US"/>
        </w:rPr>
        <w:t xml:space="preserve">Moody, </w:t>
      </w:r>
      <w:r>
        <w:rPr>
          <w:lang w:val="en-US"/>
        </w:rPr>
        <w:t>2010.</w:t>
      </w:r>
    </w:p>
  </w:footnote>
  <w:footnote w:id="23">
    <w:p w14:paraId="15A2AAC9" w14:textId="348ABB68" w:rsidR="00FD11F0" w:rsidRPr="00CF5CFF" w:rsidRDefault="00FD11F0">
      <w:pPr>
        <w:pStyle w:val="FootnoteText"/>
      </w:pPr>
      <w:r>
        <w:rPr>
          <w:rStyle w:val="FootnoteReference"/>
        </w:rPr>
        <w:footnoteRef/>
      </w:r>
      <w:r>
        <w:t xml:space="preserve"> </w:t>
      </w:r>
      <w:r w:rsidRPr="003F2C14">
        <w:t>Stone</w:t>
      </w:r>
      <w:r>
        <w:rPr>
          <w:i/>
          <w:iCs/>
        </w:rPr>
        <w:t xml:space="preserve">, Inflation of </w:t>
      </w:r>
      <w:r w:rsidRPr="003F2C14">
        <w:t>Honours</w:t>
      </w:r>
      <w:r>
        <w:t xml:space="preserve">, </w:t>
      </w:r>
      <w:r w:rsidRPr="003F2C14">
        <w:t>p</w:t>
      </w:r>
      <w:r>
        <w:t>.52.</w:t>
      </w:r>
    </w:p>
  </w:footnote>
  <w:footnote w:id="24">
    <w:p w14:paraId="16DD9C91" w14:textId="72E6643D" w:rsidR="00FD11F0" w:rsidRPr="000E1E0D" w:rsidRDefault="00FD11F0">
      <w:pPr>
        <w:pStyle w:val="FootnoteText"/>
      </w:pPr>
      <w:r>
        <w:rPr>
          <w:rStyle w:val="FootnoteReference"/>
        </w:rPr>
        <w:footnoteRef/>
      </w:r>
      <w:r>
        <w:t xml:space="preserve"> </w:t>
      </w:r>
      <w:r w:rsidRPr="000E1E0D">
        <w:t>Alison Weir, </w:t>
      </w:r>
      <w:r w:rsidRPr="000E1E0D">
        <w:rPr>
          <w:i/>
          <w:iCs/>
        </w:rPr>
        <w:t>Henry VIII: The King and His Court</w:t>
      </w:r>
      <w:r w:rsidRPr="000E1E0D">
        <w:t> (New York, USA: Ballantine Books, 2001), p. 318.</w:t>
      </w:r>
    </w:p>
  </w:footnote>
  <w:footnote w:id="25">
    <w:p w14:paraId="67D82524" w14:textId="49C21BC6" w:rsidR="00FD11F0" w:rsidRPr="00C77B17" w:rsidRDefault="00FD11F0">
      <w:pPr>
        <w:pStyle w:val="FootnoteText"/>
        <w:rPr>
          <w:lang w:val="en-US"/>
        </w:rPr>
      </w:pPr>
      <w:r>
        <w:rPr>
          <w:rStyle w:val="FootnoteReference"/>
        </w:rPr>
        <w:footnoteRef/>
      </w:r>
      <w:r>
        <w:t xml:space="preserve"> </w:t>
      </w:r>
      <w:r>
        <w:rPr>
          <w:lang w:val="en-US"/>
        </w:rPr>
        <w:t xml:space="preserve">Stone, </w:t>
      </w:r>
      <w:r>
        <w:rPr>
          <w:i/>
          <w:iCs/>
          <w:lang w:val="en-US"/>
        </w:rPr>
        <w:t xml:space="preserve">Inflation of Honours, </w:t>
      </w:r>
      <w:r>
        <w:rPr>
          <w:lang w:val="en-US"/>
        </w:rPr>
        <w:t>p. 53.</w:t>
      </w:r>
    </w:p>
  </w:footnote>
  <w:footnote w:id="26">
    <w:p w14:paraId="0EEB3C7B" w14:textId="21A255D1" w:rsidR="00FD11F0" w:rsidRPr="00C77B17" w:rsidRDefault="00FD11F0">
      <w:pPr>
        <w:pStyle w:val="FootnoteText"/>
        <w:rPr>
          <w:lang w:val="en-US"/>
        </w:rPr>
      </w:pPr>
      <w:r>
        <w:rPr>
          <w:rStyle w:val="FootnoteReference"/>
        </w:rPr>
        <w:footnoteRef/>
      </w:r>
      <w:r>
        <w:t xml:space="preserve"> </w:t>
      </w:r>
      <w:r>
        <w:rPr>
          <w:lang w:val="en-US"/>
        </w:rPr>
        <w:t xml:space="preserve">Stone, </w:t>
      </w:r>
      <w:r>
        <w:rPr>
          <w:i/>
          <w:iCs/>
          <w:lang w:val="en-US"/>
        </w:rPr>
        <w:t>Inflation of Honours</w:t>
      </w:r>
      <w:r>
        <w:rPr>
          <w:lang w:val="en-US"/>
        </w:rPr>
        <w:t>, p. 53.</w:t>
      </w:r>
    </w:p>
  </w:footnote>
  <w:footnote w:id="27">
    <w:p w14:paraId="40EFA74C" w14:textId="3E54D462" w:rsidR="00FD11F0" w:rsidRPr="00EA348B" w:rsidRDefault="00FD11F0">
      <w:pPr>
        <w:pStyle w:val="FootnoteText"/>
        <w:rPr>
          <w:lang w:val="en-US"/>
        </w:rPr>
      </w:pPr>
      <w:r>
        <w:rPr>
          <w:rStyle w:val="FootnoteReference"/>
        </w:rPr>
        <w:footnoteRef/>
      </w:r>
      <w:r>
        <w:t xml:space="preserve"> </w:t>
      </w:r>
      <w:r w:rsidRPr="00EA348B">
        <w:t xml:space="preserve">Kenneth E. Cutler, "The Baronetcy </w:t>
      </w:r>
      <w:proofErr w:type="gramStart"/>
      <w:r w:rsidRPr="00EA348B">
        <w:t>Of</w:t>
      </w:r>
      <w:proofErr w:type="gramEnd"/>
      <w:r w:rsidRPr="00EA348B">
        <w:t xml:space="preserve"> The Skellingthorpe Vavasor", </w:t>
      </w:r>
      <w:r w:rsidRPr="00EA348B">
        <w:rPr>
          <w:i/>
          <w:iCs/>
        </w:rPr>
        <w:t>Albion</w:t>
      </w:r>
      <w:r w:rsidRPr="00EA348B">
        <w:t>, 17.3 (1985), 301-312 &lt;https://doi.org/10.2307/4048959&gt;,</w:t>
      </w:r>
      <w:r>
        <w:t xml:space="preserve"> p. 305.</w:t>
      </w:r>
    </w:p>
  </w:footnote>
  <w:footnote w:id="28">
    <w:p w14:paraId="23A4A003" w14:textId="6D474A5D" w:rsidR="00FD11F0" w:rsidRPr="00031C63" w:rsidRDefault="00FD11F0">
      <w:pPr>
        <w:pStyle w:val="FootnoteText"/>
        <w:rPr>
          <w:lang w:val="en-US"/>
        </w:rPr>
      </w:pPr>
      <w:r>
        <w:rPr>
          <w:rStyle w:val="FootnoteReference"/>
        </w:rPr>
        <w:footnoteRef/>
      </w:r>
      <w:r>
        <w:t xml:space="preserve"> </w:t>
      </w:r>
      <w:r>
        <w:rPr>
          <w:lang w:val="en-US"/>
        </w:rPr>
        <w:t xml:space="preserve">Cutler, </w:t>
      </w:r>
      <w:r>
        <w:rPr>
          <w:i/>
          <w:iCs/>
          <w:lang w:val="en-US"/>
        </w:rPr>
        <w:t xml:space="preserve">Skellingthorpe Vavasor, </w:t>
      </w:r>
      <w:r>
        <w:rPr>
          <w:lang w:val="en-US"/>
        </w:rPr>
        <w:t>p. 305.</w:t>
      </w:r>
    </w:p>
  </w:footnote>
  <w:footnote w:id="29">
    <w:p w14:paraId="7F7D16A6" w14:textId="3541B91E" w:rsidR="00FD11F0" w:rsidRPr="009D5017" w:rsidRDefault="00FD11F0">
      <w:pPr>
        <w:pStyle w:val="FootnoteText"/>
      </w:pPr>
      <w:r>
        <w:rPr>
          <w:rStyle w:val="FootnoteReference"/>
        </w:rPr>
        <w:footnoteRef/>
      </w:r>
      <w:r>
        <w:t xml:space="preserve"> </w:t>
      </w:r>
      <w:r w:rsidRPr="009D5017">
        <w:t>Roger Lockyer, </w:t>
      </w:r>
      <w:r w:rsidRPr="009D5017">
        <w:rPr>
          <w:i/>
          <w:iCs/>
        </w:rPr>
        <w:t>Villiers, George, first duke of Buckingham</w:t>
      </w:r>
      <w:r w:rsidRPr="009D5017">
        <w:t> (2011) &lt;https://www.oxforddnb.com/view/10.1093/ref:odnb/9780198614128.001.0001/odnb-9780198614128-e-28293?rskey=SvhfvG&amp;result=6&gt; [accessed 1 May 2020].</w:t>
      </w:r>
    </w:p>
  </w:footnote>
  <w:footnote w:id="30">
    <w:p w14:paraId="30EA1E85" w14:textId="3B0CCD25" w:rsidR="00FD11F0" w:rsidRPr="00242DA9" w:rsidRDefault="00FD11F0">
      <w:pPr>
        <w:pStyle w:val="FootnoteText"/>
        <w:rPr>
          <w:lang w:val="en-US"/>
        </w:rPr>
      </w:pPr>
      <w:r>
        <w:rPr>
          <w:rStyle w:val="FootnoteReference"/>
        </w:rPr>
        <w:footnoteRef/>
      </w:r>
      <w:r>
        <w:t xml:space="preserve"> </w:t>
      </w:r>
      <w:r>
        <w:rPr>
          <w:lang w:val="en-US"/>
        </w:rPr>
        <w:t xml:space="preserve">Cutler, </w:t>
      </w:r>
      <w:r>
        <w:rPr>
          <w:i/>
          <w:iCs/>
          <w:lang w:val="en-US"/>
        </w:rPr>
        <w:t>Skellingthorpe Vavasor</w:t>
      </w:r>
      <w:r>
        <w:rPr>
          <w:lang w:val="en-US"/>
        </w:rPr>
        <w:t>, p. 305.</w:t>
      </w:r>
    </w:p>
  </w:footnote>
  <w:footnote w:id="31">
    <w:p w14:paraId="18F90203" w14:textId="22607872" w:rsidR="00FD11F0" w:rsidRPr="006F5D6D" w:rsidRDefault="00FD11F0" w:rsidP="00A70631">
      <w:pPr>
        <w:pStyle w:val="FootnoteText"/>
        <w:rPr>
          <w:lang w:val="en-US"/>
        </w:rPr>
      </w:pPr>
      <w:r>
        <w:rPr>
          <w:rStyle w:val="FootnoteReference"/>
        </w:rPr>
        <w:footnoteRef/>
      </w:r>
      <w:r>
        <w:t xml:space="preserve"> Cutler, </w:t>
      </w:r>
      <w:r>
        <w:rPr>
          <w:i/>
          <w:iCs/>
        </w:rPr>
        <w:t xml:space="preserve">Skellingthorpe Vavasor, </w:t>
      </w:r>
      <w:r>
        <w:t>p. 304.</w:t>
      </w:r>
    </w:p>
  </w:footnote>
  <w:footnote w:id="32">
    <w:p w14:paraId="23CEE271" w14:textId="77777777" w:rsidR="00FD11F0" w:rsidRPr="00D87BA2" w:rsidRDefault="00FD11F0" w:rsidP="00A70631">
      <w:pPr>
        <w:pStyle w:val="FootnoteText"/>
        <w:rPr>
          <w:lang w:val="en-US"/>
        </w:rPr>
      </w:pPr>
      <w:r>
        <w:rPr>
          <w:rStyle w:val="FootnoteReference"/>
        </w:rPr>
        <w:footnoteRef/>
      </w:r>
      <w:r>
        <w:t xml:space="preserve"> </w:t>
      </w:r>
      <w:r w:rsidRPr="00D87BA2">
        <w:t>Graham Parry, </w:t>
      </w:r>
      <w:r w:rsidRPr="00D87BA2">
        <w:rPr>
          <w:i/>
          <w:iCs/>
        </w:rPr>
        <w:t>The Trophies of Time</w:t>
      </w:r>
      <w:r w:rsidRPr="00D87BA2">
        <w:t> (Oxford: Oxford University Press, 2009)</w:t>
      </w:r>
      <w:r>
        <w:t xml:space="preserve">, p. 1. - In which Parry references a song by a so-called “obscure Kentish physician” that was sung as follows: </w:t>
      </w:r>
      <w:r>
        <w:br/>
        <w:t xml:space="preserve">“Haile bold Researcher! With thy rich </w:t>
      </w:r>
      <w:proofErr w:type="spellStart"/>
      <w:r>
        <w:t>returnes</w:t>
      </w:r>
      <w:proofErr w:type="spellEnd"/>
      <w:r>
        <w:br/>
        <w:t xml:space="preserve">From the </w:t>
      </w:r>
      <w:proofErr w:type="spellStart"/>
      <w:r>
        <w:t>darke</w:t>
      </w:r>
      <w:proofErr w:type="spellEnd"/>
      <w:r>
        <w:t xml:space="preserve"> coasts of Monuments and </w:t>
      </w:r>
      <w:proofErr w:type="spellStart"/>
      <w:r>
        <w:t>Urnes</w:t>
      </w:r>
      <w:proofErr w:type="spellEnd"/>
      <w:r>
        <w:t>.”</w:t>
      </w:r>
    </w:p>
  </w:footnote>
  <w:footnote w:id="33">
    <w:p w14:paraId="52D1C91D" w14:textId="14655A46" w:rsidR="00FD11F0" w:rsidRPr="009948D2" w:rsidRDefault="00FD11F0" w:rsidP="00A70631">
      <w:pPr>
        <w:pStyle w:val="FootnoteText"/>
        <w:rPr>
          <w:lang w:val="en-US"/>
        </w:rPr>
      </w:pPr>
      <w:r>
        <w:rPr>
          <w:rStyle w:val="FootnoteReference"/>
        </w:rPr>
        <w:footnoteRef/>
      </w:r>
      <w:r>
        <w:t xml:space="preserve">Pixley, </w:t>
      </w:r>
      <w:r>
        <w:rPr>
          <w:i/>
          <w:iCs/>
        </w:rPr>
        <w:t>History of the Baronetage</w:t>
      </w:r>
      <w:r>
        <w:t>,</w:t>
      </w:r>
      <w:r w:rsidRPr="003D0D72">
        <w:t xml:space="preserve"> </w:t>
      </w:r>
      <w:r>
        <w:rPr>
          <w:lang w:val="en-US"/>
        </w:rPr>
        <w:t>p. 2.</w:t>
      </w:r>
    </w:p>
  </w:footnote>
  <w:footnote w:id="34">
    <w:p w14:paraId="551D42FD" w14:textId="77777777" w:rsidR="00FD11F0" w:rsidRPr="009948D2" w:rsidRDefault="00FD11F0" w:rsidP="00A70631">
      <w:pPr>
        <w:pStyle w:val="FootnoteText"/>
        <w:rPr>
          <w:lang w:val="en-US"/>
        </w:rPr>
      </w:pPr>
      <w:r>
        <w:rPr>
          <w:rStyle w:val="FootnoteReference"/>
        </w:rPr>
        <w:footnoteRef/>
      </w:r>
      <w:r>
        <w:t xml:space="preserve"> </w:t>
      </w:r>
      <w:r>
        <w:rPr>
          <w:lang w:val="en-US"/>
        </w:rPr>
        <w:t xml:space="preserve">Van Eerde, </w:t>
      </w:r>
      <w:r>
        <w:rPr>
          <w:i/>
          <w:iCs/>
          <w:lang w:val="en-US"/>
        </w:rPr>
        <w:t>Creation of the Baronetage,</w:t>
      </w:r>
      <w:r>
        <w:rPr>
          <w:lang w:val="en-US"/>
        </w:rPr>
        <w:t xml:space="preserve"> p. 316.</w:t>
      </w:r>
    </w:p>
  </w:footnote>
  <w:footnote w:id="35">
    <w:p w14:paraId="59FF928B" w14:textId="4172D77E" w:rsidR="00FD11F0" w:rsidRPr="00836FBA" w:rsidRDefault="00FD11F0">
      <w:pPr>
        <w:pStyle w:val="FootnoteText"/>
        <w:rPr>
          <w:lang w:val="en-US"/>
        </w:rPr>
      </w:pPr>
      <w:r>
        <w:rPr>
          <w:rStyle w:val="FootnoteReference"/>
        </w:rPr>
        <w:footnoteRef/>
      </w:r>
      <w:r>
        <w:t xml:space="preserve"> </w:t>
      </w:r>
      <w:r>
        <w:rPr>
          <w:lang w:val="en-US"/>
        </w:rPr>
        <w:t xml:space="preserve">Pixley, </w:t>
      </w:r>
      <w:r>
        <w:rPr>
          <w:i/>
          <w:iCs/>
          <w:lang w:val="en-US"/>
        </w:rPr>
        <w:t>History of the Baronetage</w:t>
      </w:r>
      <w:r>
        <w:rPr>
          <w:lang w:val="en-US"/>
        </w:rPr>
        <w:t>, p. 9.</w:t>
      </w:r>
    </w:p>
  </w:footnote>
  <w:footnote w:id="36">
    <w:p w14:paraId="5E9FBB80" w14:textId="77777777" w:rsidR="00FD11F0" w:rsidRPr="0056061C" w:rsidRDefault="00FD11F0" w:rsidP="00A70631">
      <w:pPr>
        <w:pStyle w:val="FootnoteText"/>
        <w:rPr>
          <w:lang w:val="en-US"/>
        </w:rPr>
      </w:pPr>
      <w:r>
        <w:rPr>
          <w:rStyle w:val="FootnoteReference"/>
        </w:rPr>
        <w:footnoteRef/>
      </w:r>
      <w:r>
        <w:t xml:space="preserve"> </w:t>
      </w:r>
      <w:r>
        <w:rPr>
          <w:lang w:val="en-US"/>
        </w:rPr>
        <w:t xml:space="preserve">Van Eerde, </w:t>
      </w:r>
      <w:r>
        <w:rPr>
          <w:i/>
          <w:iCs/>
          <w:lang w:val="en-US"/>
        </w:rPr>
        <w:t>Creation of the Baronetage</w:t>
      </w:r>
      <w:r>
        <w:rPr>
          <w:lang w:val="en-US"/>
        </w:rPr>
        <w:t>, p. 317.</w:t>
      </w:r>
    </w:p>
  </w:footnote>
  <w:footnote w:id="37">
    <w:p w14:paraId="30E9044E" w14:textId="77777777" w:rsidR="00FD11F0" w:rsidRPr="00F033BF" w:rsidRDefault="00FD11F0" w:rsidP="00A70631">
      <w:pPr>
        <w:pStyle w:val="FootnoteText"/>
        <w:rPr>
          <w:lang w:val="en-US"/>
        </w:rPr>
      </w:pPr>
      <w:r>
        <w:rPr>
          <w:rStyle w:val="FootnoteReference"/>
        </w:rPr>
        <w:footnoteRef/>
      </w:r>
      <w:r>
        <w:t xml:space="preserve"> </w:t>
      </w:r>
      <w:r>
        <w:rPr>
          <w:lang w:val="en-US"/>
        </w:rPr>
        <w:t xml:space="preserve">Pixley, </w:t>
      </w:r>
      <w:r>
        <w:rPr>
          <w:i/>
          <w:iCs/>
          <w:lang w:val="en-US"/>
        </w:rPr>
        <w:t>History of the Baronetage,</w:t>
      </w:r>
      <w:r>
        <w:rPr>
          <w:lang w:val="en-US"/>
        </w:rPr>
        <w:t xml:space="preserve"> p. 1.</w:t>
      </w:r>
    </w:p>
  </w:footnote>
  <w:footnote w:id="38">
    <w:p w14:paraId="02B0E477" w14:textId="7A1EFD16" w:rsidR="00FD11F0" w:rsidRPr="007366F4" w:rsidRDefault="00FD11F0">
      <w:pPr>
        <w:pStyle w:val="FootnoteText"/>
        <w:rPr>
          <w:lang w:val="en-US"/>
        </w:rPr>
      </w:pPr>
      <w:r>
        <w:rPr>
          <w:rStyle w:val="FootnoteReference"/>
        </w:rPr>
        <w:footnoteRef/>
      </w:r>
      <w:r>
        <w:t xml:space="preserve"> </w:t>
      </w:r>
      <w:r>
        <w:rPr>
          <w:lang w:val="en-US"/>
        </w:rPr>
        <w:t xml:space="preserve">Pixley, </w:t>
      </w:r>
      <w:r>
        <w:rPr>
          <w:i/>
          <w:iCs/>
          <w:lang w:val="en-US"/>
        </w:rPr>
        <w:t>History of the Baronetage</w:t>
      </w:r>
      <w:r>
        <w:rPr>
          <w:lang w:val="en-US"/>
        </w:rPr>
        <w:t>, pp. 112-113.</w:t>
      </w:r>
    </w:p>
  </w:footnote>
  <w:footnote w:id="39">
    <w:p w14:paraId="4B85F4F6" w14:textId="59033984" w:rsidR="00FD11F0" w:rsidRPr="005A2BA7" w:rsidRDefault="00FD11F0">
      <w:pPr>
        <w:pStyle w:val="FootnoteText"/>
        <w:rPr>
          <w:lang w:val="en-US"/>
        </w:rPr>
      </w:pPr>
      <w:r>
        <w:rPr>
          <w:rStyle w:val="FootnoteReference"/>
        </w:rPr>
        <w:footnoteRef/>
      </w:r>
      <w:r>
        <w:t xml:space="preserve"> </w:t>
      </w:r>
      <w:r>
        <w:rPr>
          <w:lang w:val="en-US"/>
        </w:rPr>
        <w:t xml:space="preserve">Pixley, </w:t>
      </w:r>
      <w:r>
        <w:rPr>
          <w:i/>
          <w:iCs/>
          <w:lang w:val="en-US"/>
        </w:rPr>
        <w:t>History of the Baronetage,</w:t>
      </w:r>
      <w:r>
        <w:rPr>
          <w:lang w:val="en-US"/>
        </w:rPr>
        <w:t xml:space="preserve"> p. 113. </w:t>
      </w:r>
    </w:p>
  </w:footnote>
  <w:footnote w:id="40">
    <w:p w14:paraId="6374648F" w14:textId="43EFC66F" w:rsidR="00FD11F0" w:rsidRPr="006E3F8D" w:rsidRDefault="00FD11F0">
      <w:pPr>
        <w:pStyle w:val="FootnoteText"/>
        <w:rPr>
          <w:lang w:val="en-US"/>
        </w:rPr>
      </w:pPr>
      <w:r>
        <w:rPr>
          <w:rStyle w:val="FootnoteReference"/>
        </w:rPr>
        <w:footnoteRef/>
      </w:r>
      <w:r>
        <w:t xml:space="preserve"> </w:t>
      </w:r>
      <w:r>
        <w:rPr>
          <w:lang w:val="en-US"/>
        </w:rPr>
        <w:t xml:space="preserve">Pixley, </w:t>
      </w:r>
      <w:r>
        <w:rPr>
          <w:i/>
          <w:iCs/>
          <w:lang w:val="en-US"/>
        </w:rPr>
        <w:t>History of the Baronetage</w:t>
      </w:r>
      <w:r>
        <w:rPr>
          <w:lang w:val="en-US"/>
        </w:rPr>
        <w:t xml:space="preserve">, p. 113-115.  </w:t>
      </w:r>
    </w:p>
  </w:footnote>
  <w:footnote w:id="41">
    <w:p w14:paraId="5CD4E954" w14:textId="6D60C9CC" w:rsidR="00FD11F0" w:rsidRPr="00CE549A" w:rsidRDefault="00FD11F0">
      <w:pPr>
        <w:pStyle w:val="FootnoteText"/>
      </w:pPr>
      <w:r>
        <w:rPr>
          <w:rStyle w:val="FootnoteReference"/>
        </w:rPr>
        <w:footnoteRef/>
      </w:r>
      <w:r>
        <w:t xml:space="preserve"> </w:t>
      </w:r>
      <w:r w:rsidRPr="00CE549A">
        <w:t>Mary Anne Everett Green, </w:t>
      </w:r>
      <w:r w:rsidRPr="00CE549A">
        <w:rPr>
          <w:i/>
          <w:iCs/>
        </w:rPr>
        <w:t>Calendar of State Papers, Domestic Series, of the Reign of James I. 1611-1618. Preserved in the State Paper Department of Her Majesty's Public Record Office</w:t>
      </w:r>
      <w:r w:rsidRPr="00CE549A">
        <w:t> (London: Longman, Brown, Green, Longmans &amp; Roberts, 1858), p. 127.</w:t>
      </w:r>
    </w:p>
  </w:footnote>
  <w:footnote w:id="42">
    <w:p w14:paraId="0C585DA5" w14:textId="4753D137" w:rsidR="00FD11F0" w:rsidRPr="00BD03F1" w:rsidRDefault="00FD11F0">
      <w:pPr>
        <w:pStyle w:val="FootnoteText"/>
        <w:rPr>
          <w:lang w:val="en-US"/>
        </w:rPr>
      </w:pPr>
      <w:r>
        <w:rPr>
          <w:rStyle w:val="FootnoteReference"/>
        </w:rPr>
        <w:footnoteRef/>
      </w:r>
      <w:r>
        <w:t xml:space="preserve"> </w:t>
      </w:r>
      <w:r>
        <w:rPr>
          <w:lang w:val="en-US"/>
        </w:rPr>
        <w:t xml:space="preserve">Amusingly, the letter ends with Sir Robert Cotton announcing that after an argument he would come to the side of the baronets if called and do so “with a tantara”, a war trumpet. The letter ends: “The K. asked my L. what he could say to this who answered he could say no more but that he was glad to understand that his friend the </w:t>
      </w:r>
      <w:proofErr w:type="spellStart"/>
      <w:r>
        <w:rPr>
          <w:lang w:val="en-US"/>
        </w:rPr>
        <w:t>antiquarie</w:t>
      </w:r>
      <w:proofErr w:type="spellEnd"/>
      <w:r>
        <w:rPr>
          <w:lang w:val="en-US"/>
        </w:rPr>
        <w:t xml:space="preserve"> was become so </w:t>
      </w:r>
      <w:proofErr w:type="spellStart"/>
      <w:r>
        <w:rPr>
          <w:lang w:val="en-US"/>
        </w:rPr>
        <w:t>goode</w:t>
      </w:r>
      <w:proofErr w:type="spellEnd"/>
      <w:r>
        <w:rPr>
          <w:lang w:val="en-US"/>
        </w:rPr>
        <w:t xml:space="preserve"> a trumpeter: which made them all </w:t>
      </w:r>
      <w:proofErr w:type="spellStart"/>
      <w:r>
        <w:rPr>
          <w:lang w:val="en-US"/>
        </w:rPr>
        <w:t>merrie</w:t>
      </w:r>
      <w:proofErr w:type="spellEnd"/>
      <w:r>
        <w:rPr>
          <w:lang w:val="en-US"/>
        </w:rPr>
        <w:t>.” A happy end to the argument.</w:t>
      </w:r>
    </w:p>
  </w:footnote>
  <w:footnote w:id="43">
    <w:p w14:paraId="3CD253CC" w14:textId="6BDAAEAD" w:rsidR="00FD11F0" w:rsidRPr="00A9595B" w:rsidRDefault="00FD11F0">
      <w:pPr>
        <w:pStyle w:val="FootnoteText"/>
        <w:rPr>
          <w:lang w:val="en-US"/>
        </w:rPr>
      </w:pPr>
      <w:r>
        <w:rPr>
          <w:rStyle w:val="FootnoteReference"/>
        </w:rPr>
        <w:footnoteRef/>
      </w:r>
      <w:r>
        <w:t xml:space="preserve"> </w:t>
      </w:r>
      <w:r>
        <w:rPr>
          <w:lang w:val="en-US"/>
        </w:rPr>
        <w:t xml:space="preserve">Pixley, </w:t>
      </w:r>
      <w:r>
        <w:rPr>
          <w:i/>
          <w:iCs/>
          <w:lang w:val="en-US"/>
        </w:rPr>
        <w:t xml:space="preserve">History of the Baronetage, </w:t>
      </w:r>
      <w:r>
        <w:rPr>
          <w:lang w:val="en-US"/>
        </w:rPr>
        <w:t>p. 130.</w:t>
      </w:r>
    </w:p>
  </w:footnote>
  <w:footnote w:id="44">
    <w:p w14:paraId="64A7E9B9" w14:textId="290D802E" w:rsidR="00FD11F0" w:rsidRPr="009D7CC8" w:rsidRDefault="00FD11F0">
      <w:pPr>
        <w:pStyle w:val="FootnoteText"/>
        <w:rPr>
          <w:lang w:val="en-US"/>
        </w:rPr>
      </w:pPr>
      <w:r>
        <w:rPr>
          <w:rStyle w:val="FootnoteReference"/>
        </w:rPr>
        <w:footnoteRef/>
      </w:r>
      <w:r>
        <w:t xml:space="preserve"> </w:t>
      </w:r>
      <w:r>
        <w:rPr>
          <w:lang w:val="en-US"/>
        </w:rPr>
        <w:t xml:space="preserve">Green, </w:t>
      </w:r>
      <w:r>
        <w:rPr>
          <w:i/>
          <w:iCs/>
          <w:lang w:val="en-US"/>
        </w:rPr>
        <w:t xml:space="preserve">Calendar of State Papers, </w:t>
      </w:r>
      <w:r>
        <w:rPr>
          <w:lang w:val="en-US"/>
        </w:rPr>
        <w:t>pp. 288-289.</w:t>
      </w:r>
    </w:p>
  </w:footnote>
  <w:footnote w:id="45">
    <w:p w14:paraId="0D83BC42" w14:textId="6A21E01C" w:rsidR="00FD11F0" w:rsidRPr="00052039" w:rsidRDefault="00FD11F0">
      <w:pPr>
        <w:pStyle w:val="FootnoteText"/>
      </w:pPr>
      <w:r>
        <w:rPr>
          <w:rStyle w:val="FootnoteReference"/>
        </w:rPr>
        <w:footnoteRef/>
      </w:r>
      <w:r>
        <w:t xml:space="preserve"> </w:t>
      </w:r>
      <w:r w:rsidRPr="00052039">
        <w:t>J. V. Beckett, 'English Landownership in the Later Seventeenth and Eighteenth Centuries: The Debate and the Problems', </w:t>
      </w:r>
      <w:r w:rsidRPr="00052039">
        <w:rPr>
          <w:i/>
          <w:iCs/>
        </w:rPr>
        <w:t>The Economic History Review</w:t>
      </w:r>
      <w:r w:rsidRPr="00052039">
        <w:t>, 30.4, (1977), 567-581 (p. 571).</w:t>
      </w:r>
    </w:p>
  </w:footnote>
  <w:footnote w:id="46">
    <w:p w14:paraId="02DECACE" w14:textId="2050472B" w:rsidR="00FD11F0" w:rsidRPr="00E7757A" w:rsidRDefault="00FD11F0">
      <w:pPr>
        <w:pStyle w:val="FootnoteText"/>
        <w:rPr>
          <w:lang w:val="en-US"/>
        </w:rPr>
      </w:pPr>
      <w:r>
        <w:rPr>
          <w:rStyle w:val="FootnoteReference"/>
        </w:rPr>
        <w:footnoteRef/>
      </w:r>
      <w:r>
        <w:t xml:space="preserve"> </w:t>
      </w:r>
      <w:r>
        <w:rPr>
          <w:lang w:val="en-US"/>
        </w:rPr>
        <w:t xml:space="preserve">Pixley, </w:t>
      </w:r>
      <w:r>
        <w:rPr>
          <w:i/>
          <w:iCs/>
          <w:lang w:val="en-US"/>
        </w:rPr>
        <w:t>History of the Baronetage</w:t>
      </w:r>
      <w:r>
        <w:rPr>
          <w:lang w:val="en-US"/>
        </w:rPr>
        <w:t>, p. 109.</w:t>
      </w:r>
    </w:p>
  </w:footnote>
  <w:footnote w:id="47">
    <w:p w14:paraId="7F89A728" w14:textId="01E929D7" w:rsidR="00FD11F0" w:rsidRPr="00D47C4B" w:rsidRDefault="00FD11F0">
      <w:pPr>
        <w:pStyle w:val="FootnoteText"/>
      </w:pPr>
      <w:r>
        <w:rPr>
          <w:rStyle w:val="FootnoteReference"/>
        </w:rPr>
        <w:footnoteRef/>
      </w:r>
      <w:r>
        <w:rPr>
          <w:lang w:val="en-US"/>
        </w:rPr>
        <w:t xml:space="preserve"> London, British Library, Cotton</w:t>
      </w:r>
      <w:r w:rsidRPr="00D47C4B">
        <w:t xml:space="preserve"> MS Faustina B VIII, ff 2–53</w:t>
      </w:r>
    </w:p>
  </w:footnote>
  <w:footnote w:id="48">
    <w:p w14:paraId="0C368329" w14:textId="42BF8E34" w:rsidR="00FD11F0" w:rsidRPr="00C86B0B" w:rsidRDefault="00FD11F0">
      <w:pPr>
        <w:pStyle w:val="FootnoteText"/>
      </w:pPr>
      <w:r>
        <w:rPr>
          <w:rStyle w:val="FootnoteReference"/>
        </w:rPr>
        <w:footnoteRef/>
      </w:r>
      <w:r>
        <w:t xml:space="preserve"> </w:t>
      </w:r>
      <w:r w:rsidRPr="00C86B0B">
        <w:t>The British Library, </w:t>
      </w:r>
      <w:r w:rsidRPr="00C86B0B">
        <w:rPr>
          <w:i/>
          <w:iCs/>
        </w:rPr>
        <w:t>Cotton manuscripts - The British Library</w:t>
      </w:r>
      <w:r w:rsidRPr="00C86B0B">
        <w:t> (n.d.) &lt;https://www.bl.uk/collection-guides/cotton-manuscripts&gt; [accessed 2 May 2020].</w:t>
      </w:r>
    </w:p>
  </w:footnote>
  <w:footnote w:id="49">
    <w:p w14:paraId="2CDE9C69" w14:textId="5568B115" w:rsidR="00FD11F0" w:rsidRPr="004D72F6" w:rsidRDefault="00FD11F0">
      <w:pPr>
        <w:pStyle w:val="FootnoteText"/>
        <w:rPr>
          <w:lang w:val="en-US"/>
        </w:rPr>
      </w:pPr>
      <w:r>
        <w:rPr>
          <w:rStyle w:val="FootnoteReference"/>
        </w:rPr>
        <w:footnoteRef/>
      </w:r>
      <w:r>
        <w:t xml:space="preserve"> </w:t>
      </w:r>
      <w:r>
        <w:rPr>
          <w:lang w:val="en-US"/>
        </w:rPr>
        <w:t xml:space="preserve">Pixley, </w:t>
      </w:r>
      <w:r>
        <w:rPr>
          <w:i/>
          <w:iCs/>
          <w:lang w:val="en-US"/>
        </w:rPr>
        <w:t>History of the Baronetage</w:t>
      </w:r>
      <w:r>
        <w:rPr>
          <w:lang w:val="en-US"/>
        </w:rPr>
        <w:t>, p. 108.</w:t>
      </w:r>
    </w:p>
  </w:footnote>
  <w:footnote w:id="50">
    <w:p w14:paraId="71591BC9" w14:textId="4DB8F63C" w:rsidR="00FD11F0" w:rsidRPr="008D0973" w:rsidRDefault="00FD11F0">
      <w:pPr>
        <w:pStyle w:val="FootnoteText"/>
        <w:rPr>
          <w:lang w:val="en-US"/>
        </w:rPr>
      </w:pPr>
      <w:r>
        <w:rPr>
          <w:rStyle w:val="FootnoteReference"/>
        </w:rPr>
        <w:footnoteRef/>
      </w:r>
      <w:r>
        <w:t xml:space="preserve"> </w:t>
      </w:r>
      <w:r>
        <w:rPr>
          <w:lang w:val="en-US"/>
        </w:rPr>
        <w:t xml:space="preserve">Pixley, </w:t>
      </w:r>
      <w:r>
        <w:rPr>
          <w:i/>
          <w:iCs/>
          <w:lang w:val="en-US"/>
        </w:rPr>
        <w:t xml:space="preserve">History of the Baronetage, </w:t>
      </w:r>
      <w:r>
        <w:rPr>
          <w:lang w:val="en-US"/>
        </w:rPr>
        <w:t>p. 109.</w:t>
      </w:r>
    </w:p>
  </w:footnote>
  <w:footnote w:id="51">
    <w:p w14:paraId="26F90181" w14:textId="16A7E271" w:rsidR="00FD11F0" w:rsidRPr="00BD23BA" w:rsidRDefault="00FD11F0">
      <w:pPr>
        <w:pStyle w:val="FootnoteText"/>
      </w:pPr>
      <w:r>
        <w:rPr>
          <w:rStyle w:val="FootnoteReference"/>
        </w:rPr>
        <w:footnoteRef/>
      </w:r>
      <w:r>
        <w:rPr>
          <w:lang w:val="en-US"/>
        </w:rPr>
        <w:t xml:space="preserve">  </w:t>
      </w:r>
      <w:r w:rsidRPr="00BD23BA">
        <w:t>Katherine S. Van Eerde, 'The Jacobean Baronets: An Issue between King and Parliament', </w:t>
      </w:r>
      <w:r w:rsidRPr="00BD23BA">
        <w:rPr>
          <w:i/>
          <w:iCs/>
        </w:rPr>
        <w:t>The Journal of Modern History</w:t>
      </w:r>
      <w:r w:rsidRPr="00BD23BA">
        <w:t>, 33.2, (1961), 137-147 (p. 140).</w:t>
      </w:r>
    </w:p>
  </w:footnote>
  <w:footnote w:id="52">
    <w:p w14:paraId="7640A9ED" w14:textId="2F0C6086" w:rsidR="00FD11F0" w:rsidRPr="00F44FB2" w:rsidRDefault="00FD11F0">
      <w:pPr>
        <w:pStyle w:val="FootnoteText"/>
        <w:rPr>
          <w:lang w:val="en-US"/>
        </w:rPr>
      </w:pPr>
      <w:r>
        <w:rPr>
          <w:rStyle w:val="FootnoteReference"/>
        </w:rPr>
        <w:footnoteRef/>
      </w:r>
      <w:r>
        <w:t xml:space="preserve"> </w:t>
      </w:r>
      <w:r>
        <w:rPr>
          <w:lang w:val="en-US"/>
        </w:rPr>
        <w:t xml:space="preserve">Pixley, </w:t>
      </w:r>
      <w:r>
        <w:rPr>
          <w:i/>
          <w:iCs/>
          <w:lang w:val="en-US"/>
        </w:rPr>
        <w:t xml:space="preserve">History of the Baronetage, </w:t>
      </w:r>
      <w:r>
        <w:rPr>
          <w:lang w:val="en-US"/>
        </w:rPr>
        <w:t>p. 110.</w:t>
      </w:r>
    </w:p>
  </w:footnote>
  <w:footnote w:id="53">
    <w:p w14:paraId="4C4C66F8" w14:textId="1B646C45" w:rsidR="00FD11F0" w:rsidRPr="009F25AF" w:rsidRDefault="00FD11F0">
      <w:pPr>
        <w:pStyle w:val="FootnoteText"/>
        <w:rPr>
          <w:lang w:val="en-US"/>
        </w:rPr>
      </w:pPr>
      <w:r>
        <w:rPr>
          <w:rStyle w:val="FootnoteReference"/>
        </w:rPr>
        <w:footnoteRef/>
      </w:r>
      <w:r>
        <w:t xml:space="preserve"> </w:t>
      </w:r>
      <w:r>
        <w:rPr>
          <w:lang w:val="en-US"/>
        </w:rPr>
        <w:t xml:space="preserve">Van Eerde, </w:t>
      </w:r>
      <w:r>
        <w:rPr>
          <w:i/>
          <w:iCs/>
          <w:lang w:val="en-US"/>
        </w:rPr>
        <w:t>Creation of the Baronetage</w:t>
      </w:r>
      <w:r>
        <w:rPr>
          <w:lang w:val="en-US"/>
        </w:rPr>
        <w:t>, p. 319.</w:t>
      </w:r>
    </w:p>
  </w:footnote>
  <w:footnote w:id="54">
    <w:p w14:paraId="2D523A03" w14:textId="1E328A65" w:rsidR="00FD11F0" w:rsidRPr="009B670A" w:rsidRDefault="00FD11F0">
      <w:pPr>
        <w:pStyle w:val="FootnoteText"/>
        <w:rPr>
          <w:lang w:val="en-US"/>
        </w:rPr>
      </w:pPr>
      <w:r>
        <w:rPr>
          <w:rStyle w:val="FootnoteReference"/>
        </w:rPr>
        <w:footnoteRef/>
      </w:r>
      <w:r>
        <w:t xml:space="preserve"> </w:t>
      </w:r>
      <w:r>
        <w:rPr>
          <w:lang w:val="en-US"/>
        </w:rPr>
        <w:t xml:space="preserve">Van Eerde, </w:t>
      </w:r>
      <w:r>
        <w:rPr>
          <w:i/>
          <w:iCs/>
          <w:lang w:val="en-US"/>
        </w:rPr>
        <w:t>Creation of the Baronetage</w:t>
      </w:r>
      <w:r>
        <w:rPr>
          <w:lang w:val="en-US"/>
        </w:rPr>
        <w:t>, p. 315.</w:t>
      </w:r>
    </w:p>
  </w:footnote>
  <w:footnote w:id="55">
    <w:p w14:paraId="6AADB1CE" w14:textId="5AC0DF17" w:rsidR="00FD11F0" w:rsidRPr="005A3E92" w:rsidRDefault="00FD11F0">
      <w:pPr>
        <w:pStyle w:val="FootnoteText"/>
        <w:rPr>
          <w:lang w:val="en-US"/>
        </w:rPr>
      </w:pPr>
      <w:r>
        <w:rPr>
          <w:rStyle w:val="FootnoteReference"/>
        </w:rPr>
        <w:footnoteRef/>
      </w:r>
      <w:r>
        <w:t xml:space="preserve"> </w:t>
      </w:r>
      <w:r>
        <w:rPr>
          <w:lang w:val="en-US"/>
        </w:rPr>
        <w:t xml:space="preserve">Van Eerde, </w:t>
      </w:r>
      <w:r>
        <w:rPr>
          <w:i/>
          <w:iCs/>
          <w:lang w:val="en-US"/>
        </w:rPr>
        <w:t>The Jacobean Baronets</w:t>
      </w:r>
      <w:r>
        <w:rPr>
          <w:lang w:val="en-US"/>
        </w:rPr>
        <w:t>, pp. 138-139.</w:t>
      </w:r>
    </w:p>
  </w:footnote>
  <w:footnote w:id="56">
    <w:p w14:paraId="616FDAD0" w14:textId="4B54FBD9" w:rsidR="00FD11F0" w:rsidRPr="00B877FA" w:rsidRDefault="00FD11F0">
      <w:pPr>
        <w:pStyle w:val="FootnoteText"/>
        <w:rPr>
          <w:lang w:val="en-US"/>
        </w:rPr>
      </w:pPr>
      <w:r>
        <w:rPr>
          <w:rStyle w:val="FootnoteReference"/>
        </w:rPr>
        <w:footnoteRef/>
      </w:r>
      <w:r>
        <w:t xml:space="preserve"> </w:t>
      </w:r>
      <w:r>
        <w:rPr>
          <w:lang w:val="en-US"/>
        </w:rPr>
        <w:t xml:space="preserve">Van Eerde, </w:t>
      </w:r>
      <w:r>
        <w:rPr>
          <w:i/>
          <w:iCs/>
          <w:lang w:val="en-US"/>
        </w:rPr>
        <w:t>The Jacobean Baronets</w:t>
      </w:r>
      <w:r>
        <w:rPr>
          <w:lang w:val="en-US"/>
        </w:rPr>
        <w:t>, p. 139.</w:t>
      </w:r>
    </w:p>
  </w:footnote>
  <w:footnote w:id="57">
    <w:p w14:paraId="42D2E1B2" w14:textId="5D7031F1" w:rsidR="00FD11F0" w:rsidRPr="00B877FA" w:rsidRDefault="00FD11F0">
      <w:pPr>
        <w:pStyle w:val="FootnoteText"/>
        <w:rPr>
          <w:lang w:val="en-US"/>
        </w:rPr>
      </w:pPr>
      <w:r>
        <w:rPr>
          <w:rStyle w:val="FootnoteReference"/>
        </w:rPr>
        <w:footnoteRef/>
      </w:r>
      <w:r>
        <w:t xml:space="preserve"> </w:t>
      </w:r>
      <w:r>
        <w:rPr>
          <w:lang w:val="en-US"/>
        </w:rPr>
        <w:t>Van Eerde</w:t>
      </w:r>
      <w:r>
        <w:rPr>
          <w:i/>
          <w:iCs/>
          <w:lang w:val="en-US"/>
        </w:rPr>
        <w:t>, The Creation of the Baronetage</w:t>
      </w:r>
      <w:r>
        <w:rPr>
          <w:lang w:val="en-US"/>
        </w:rPr>
        <w:t>, p. 322.</w:t>
      </w:r>
    </w:p>
  </w:footnote>
  <w:footnote w:id="58">
    <w:p w14:paraId="50BE1D93" w14:textId="3FD6FCA3" w:rsidR="00FD11F0" w:rsidRPr="00E118F0" w:rsidRDefault="00FD11F0">
      <w:pPr>
        <w:pStyle w:val="FootnoteText"/>
        <w:rPr>
          <w:lang w:val="en-US"/>
        </w:rPr>
      </w:pPr>
      <w:r>
        <w:rPr>
          <w:rStyle w:val="FootnoteReference"/>
        </w:rPr>
        <w:footnoteRef/>
      </w:r>
      <w:r>
        <w:t xml:space="preserve"> </w:t>
      </w:r>
      <w:r>
        <w:rPr>
          <w:lang w:val="en-US"/>
        </w:rPr>
        <w:t xml:space="preserve">Stone, </w:t>
      </w:r>
      <w:r>
        <w:rPr>
          <w:i/>
          <w:iCs/>
          <w:lang w:val="en-US"/>
        </w:rPr>
        <w:t>Inflation of Honours</w:t>
      </w:r>
      <w:r>
        <w:rPr>
          <w:lang w:val="en-US"/>
        </w:rPr>
        <w:t>, p. 52.</w:t>
      </w:r>
    </w:p>
  </w:footnote>
  <w:footnote w:id="59">
    <w:p w14:paraId="2DB2BFE1" w14:textId="51299AEE" w:rsidR="00FD11F0" w:rsidRPr="00777F0A" w:rsidRDefault="00FD11F0">
      <w:pPr>
        <w:pStyle w:val="FootnoteText"/>
        <w:rPr>
          <w:lang w:val="en-US"/>
        </w:rPr>
      </w:pPr>
      <w:r>
        <w:rPr>
          <w:rStyle w:val="FootnoteReference"/>
        </w:rPr>
        <w:footnoteRef/>
      </w:r>
      <w:r>
        <w:t xml:space="preserve"> </w:t>
      </w:r>
      <w:r>
        <w:rPr>
          <w:lang w:val="en-US"/>
        </w:rPr>
        <w:t>Stone</w:t>
      </w:r>
      <w:r>
        <w:rPr>
          <w:i/>
          <w:iCs/>
          <w:lang w:val="en-US"/>
        </w:rPr>
        <w:t>, Inflation of Honours,</w:t>
      </w:r>
      <w:r>
        <w:rPr>
          <w:lang w:val="en-US"/>
        </w:rPr>
        <w:t xml:space="preserve"> p. 53.</w:t>
      </w:r>
    </w:p>
  </w:footnote>
  <w:footnote w:id="60">
    <w:p w14:paraId="55E80666" w14:textId="712DBE9B" w:rsidR="00FD11F0" w:rsidRPr="00C77B17" w:rsidRDefault="00FD11F0">
      <w:pPr>
        <w:pStyle w:val="FootnoteText"/>
        <w:rPr>
          <w:i/>
          <w:iCs/>
          <w:lang w:val="en-US"/>
        </w:rPr>
      </w:pPr>
      <w:r>
        <w:rPr>
          <w:rStyle w:val="FootnoteReference"/>
        </w:rPr>
        <w:footnoteRef/>
      </w:r>
      <w:r>
        <w:t xml:space="preserve"> </w:t>
      </w:r>
      <w:r>
        <w:rPr>
          <w:lang w:val="en-US"/>
        </w:rPr>
        <w:t xml:space="preserve">Stone, </w:t>
      </w:r>
      <w:r>
        <w:rPr>
          <w:i/>
          <w:iCs/>
          <w:lang w:val="en-US"/>
        </w:rPr>
        <w:t>Inflation of Honours, p. 54.</w:t>
      </w:r>
    </w:p>
  </w:footnote>
  <w:footnote w:id="61">
    <w:p w14:paraId="104F15D3" w14:textId="6B5F64D2" w:rsidR="00FD11F0" w:rsidRPr="005E3E41" w:rsidRDefault="00FD11F0">
      <w:pPr>
        <w:pStyle w:val="FootnoteText"/>
      </w:pPr>
      <w:r>
        <w:rPr>
          <w:rStyle w:val="FootnoteReference"/>
        </w:rPr>
        <w:footnoteRef/>
      </w:r>
      <w:r>
        <w:t xml:space="preserve"> </w:t>
      </w:r>
      <w:r w:rsidRPr="005E3E41">
        <w:t>Gillian H. MacIntosh and Roland J. Tanner, 'Balancing Acts: The Crown and Parliament', in </w:t>
      </w:r>
      <w:r w:rsidRPr="005E3E41">
        <w:rPr>
          <w:i/>
          <w:iCs/>
        </w:rPr>
        <w:t>The History of the Scottish Parliament: Parliament in Context, 1235-1707</w:t>
      </w:r>
      <w:r w:rsidRPr="005E3E41">
        <w:t>, ed. by Keith M. Brown and Alan R. MacDonald</w:t>
      </w:r>
      <w:r>
        <w:t xml:space="preserve"> </w:t>
      </w:r>
      <w:r w:rsidRPr="005E3E41">
        <w:t>(Edinburgh: Edinburgh University Press, 2010), p. 2</w:t>
      </w:r>
    </w:p>
  </w:footnote>
  <w:footnote w:id="62">
    <w:p w14:paraId="1A7DB601" w14:textId="1AFEBDD9" w:rsidR="00FD11F0" w:rsidRPr="00023782" w:rsidRDefault="00FD11F0">
      <w:pPr>
        <w:pStyle w:val="FootnoteText"/>
      </w:pPr>
      <w:r>
        <w:rPr>
          <w:rStyle w:val="FootnoteReference"/>
        </w:rPr>
        <w:footnoteRef/>
      </w:r>
      <w:r>
        <w:t xml:space="preserve"> </w:t>
      </w:r>
      <w:r w:rsidRPr="00023782">
        <w:t>The Royal Family, </w:t>
      </w:r>
      <w:r w:rsidRPr="00023782">
        <w:rPr>
          <w:i/>
          <w:iCs/>
        </w:rPr>
        <w:t>James I (r. 1603-1625) | The Royal Family</w:t>
      </w:r>
      <w:r w:rsidRPr="00023782">
        <w:t> (n.d.) &lt;https://www.royal.uk/james-i&gt; [accessed 2 May 2020].</w:t>
      </w:r>
    </w:p>
  </w:footnote>
  <w:footnote w:id="63">
    <w:p w14:paraId="276C63B9" w14:textId="14E61FEE" w:rsidR="00FD11F0" w:rsidRPr="00A84A53" w:rsidRDefault="00FD11F0">
      <w:pPr>
        <w:pStyle w:val="FootnoteText"/>
      </w:pPr>
      <w:r>
        <w:rPr>
          <w:rStyle w:val="FootnoteReference"/>
        </w:rPr>
        <w:footnoteRef/>
      </w:r>
      <w:r>
        <w:t xml:space="preserve"> </w:t>
      </w:r>
      <w:r w:rsidRPr="00A84A53">
        <w:t>Megan Mondi, 'The Speeches and Self-Fashioning of King James VI and I to the English Parliament, 1604-1624', </w:t>
      </w:r>
      <w:r w:rsidRPr="00A84A53">
        <w:rPr>
          <w:i/>
          <w:iCs/>
        </w:rPr>
        <w:t>Constructing the Past</w:t>
      </w:r>
      <w:r w:rsidRPr="00A84A53">
        <w:t>, 8.1, (2007), 139-182 (p. 140).</w:t>
      </w:r>
    </w:p>
  </w:footnote>
  <w:footnote w:id="64">
    <w:p w14:paraId="1BD8E1EB" w14:textId="3C56177A" w:rsidR="00FD11F0" w:rsidRPr="00F7453B" w:rsidRDefault="00FD11F0">
      <w:pPr>
        <w:pStyle w:val="FootnoteText"/>
        <w:rPr>
          <w:lang w:val="en-US"/>
        </w:rPr>
      </w:pPr>
      <w:r>
        <w:rPr>
          <w:rStyle w:val="FootnoteReference"/>
        </w:rPr>
        <w:footnoteRef/>
      </w:r>
      <w:r>
        <w:t xml:space="preserve"> </w:t>
      </w:r>
      <w:r>
        <w:rPr>
          <w:lang w:val="en-US"/>
        </w:rPr>
        <w:t xml:space="preserve">Mondi, </w:t>
      </w:r>
      <w:r>
        <w:rPr>
          <w:i/>
          <w:iCs/>
          <w:lang w:val="en-US"/>
        </w:rPr>
        <w:t>Speeches and Self-Fashioning</w:t>
      </w:r>
      <w:r>
        <w:rPr>
          <w:lang w:val="en-US"/>
        </w:rPr>
        <w:t>, p. 140.</w:t>
      </w:r>
    </w:p>
  </w:footnote>
  <w:footnote w:id="65">
    <w:p w14:paraId="7C12ED14" w14:textId="414657ED" w:rsidR="00FD11F0" w:rsidRPr="00B34C4B" w:rsidRDefault="00FD11F0">
      <w:pPr>
        <w:pStyle w:val="FootnoteText"/>
        <w:rPr>
          <w:lang w:val="en-US"/>
        </w:rPr>
      </w:pPr>
      <w:r>
        <w:rPr>
          <w:rStyle w:val="FootnoteReference"/>
        </w:rPr>
        <w:footnoteRef/>
      </w:r>
      <w:r>
        <w:t xml:space="preserve"> </w:t>
      </w:r>
      <w:r>
        <w:rPr>
          <w:lang w:val="en-US"/>
        </w:rPr>
        <w:t xml:space="preserve">Mondi, </w:t>
      </w:r>
      <w:r>
        <w:rPr>
          <w:i/>
          <w:iCs/>
          <w:lang w:val="en-US"/>
        </w:rPr>
        <w:t>Speeches and Self-Fashioning</w:t>
      </w:r>
      <w:r>
        <w:rPr>
          <w:lang w:val="en-US"/>
        </w:rPr>
        <w:t>, p. 140.</w:t>
      </w:r>
    </w:p>
  </w:footnote>
  <w:footnote w:id="66">
    <w:p w14:paraId="52DD669C" w14:textId="2CC4B40E" w:rsidR="00FD11F0" w:rsidRPr="007D06C1" w:rsidRDefault="00FD11F0">
      <w:pPr>
        <w:pStyle w:val="FootnoteText"/>
        <w:rPr>
          <w:i/>
          <w:iCs/>
          <w:lang w:val="en-US"/>
        </w:rPr>
      </w:pPr>
      <w:r>
        <w:rPr>
          <w:rStyle w:val="FootnoteReference"/>
        </w:rPr>
        <w:footnoteRef/>
      </w:r>
      <w:r>
        <w:rPr>
          <w:lang w:val="en-US"/>
        </w:rPr>
        <w:t xml:space="preserve"> Jenny Wormald quoted in Mondi, </w:t>
      </w:r>
      <w:r>
        <w:rPr>
          <w:i/>
          <w:iCs/>
          <w:lang w:val="en-US"/>
        </w:rPr>
        <w:t>Speeches and Self-Fashioning</w:t>
      </w:r>
      <w:r>
        <w:rPr>
          <w:lang w:val="en-US"/>
        </w:rPr>
        <w:t xml:space="preserve">, p. 144. </w:t>
      </w:r>
    </w:p>
  </w:footnote>
  <w:footnote w:id="67">
    <w:p w14:paraId="39BBC501" w14:textId="1DB540CE" w:rsidR="00FD11F0" w:rsidRPr="00191451" w:rsidRDefault="00FD11F0">
      <w:pPr>
        <w:pStyle w:val="FootnoteText"/>
        <w:rPr>
          <w:lang w:val="en-US"/>
        </w:rPr>
      </w:pPr>
      <w:r>
        <w:rPr>
          <w:rStyle w:val="FootnoteReference"/>
        </w:rPr>
        <w:footnoteRef/>
      </w:r>
      <w:r>
        <w:t xml:space="preserve"> </w:t>
      </w:r>
      <w:r>
        <w:rPr>
          <w:lang w:val="en-US"/>
        </w:rPr>
        <w:t xml:space="preserve">Lockyer, </w:t>
      </w:r>
      <w:r>
        <w:rPr>
          <w:i/>
          <w:iCs/>
          <w:lang w:val="en-US"/>
        </w:rPr>
        <w:t>Villiers, George</w:t>
      </w:r>
      <w:r>
        <w:rPr>
          <w:lang w:val="en-US"/>
        </w:rPr>
        <w:t>, 2011.</w:t>
      </w:r>
    </w:p>
  </w:footnote>
  <w:footnote w:id="68">
    <w:p w14:paraId="0794FE6A" w14:textId="7938AAE1" w:rsidR="00FD11F0" w:rsidRPr="00E7041E" w:rsidRDefault="00FD11F0">
      <w:pPr>
        <w:pStyle w:val="FootnoteText"/>
      </w:pPr>
      <w:r>
        <w:rPr>
          <w:rStyle w:val="FootnoteReference"/>
        </w:rPr>
        <w:footnoteRef/>
      </w:r>
      <w:r>
        <w:t xml:space="preserve"> </w:t>
      </w:r>
      <w:r w:rsidRPr="00E7041E">
        <w:t xml:space="preserve">Alastair </w:t>
      </w:r>
      <w:proofErr w:type="spellStart"/>
      <w:r w:rsidRPr="00E7041E">
        <w:t>Bellany</w:t>
      </w:r>
      <w:proofErr w:type="spellEnd"/>
      <w:r w:rsidRPr="00E7041E">
        <w:t>, </w:t>
      </w:r>
      <w:r w:rsidRPr="00E7041E">
        <w:rPr>
          <w:i/>
          <w:iCs/>
        </w:rPr>
        <w:t>Carr [Kerr], Robert, earl of Somerset</w:t>
      </w:r>
      <w:r w:rsidRPr="00E7041E">
        <w:t> (2008) &lt;https://www.oxforddnb.com/view/10.1093/ref:odnb/9780198614128.001.0001/odnb-9780198614128-e-4754?rskey=38FhY0&amp;result=6&gt; [accessed 5 May 2020].</w:t>
      </w:r>
    </w:p>
  </w:footnote>
  <w:footnote w:id="69">
    <w:p w14:paraId="5E8D501E" w14:textId="5D8F840D" w:rsidR="00FD11F0" w:rsidRPr="00262689" w:rsidRDefault="00FD11F0">
      <w:pPr>
        <w:pStyle w:val="FootnoteText"/>
        <w:rPr>
          <w:lang w:val="en-US"/>
        </w:rPr>
      </w:pPr>
      <w:r>
        <w:rPr>
          <w:rStyle w:val="FootnoteReference"/>
        </w:rPr>
        <w:footnoteRef/>
      </w:r>
      <w:r>
        <w:t xml:space="preserve"> </w:t>
      </w:r>
      <w:r>
        <w:rPr>
          <w:lang w:val="en-US"/>
        </w:rPr>
        <w:t xml:space="preserve">Lockyer, </w:t>
      </w:r>
      <w:r>
        <w:rPr>
          <w:i/>
          <w:iCs/>
          <w:lang w:val="en-US"/>
        </w:rPr>
        <w:t>Villiers, George</w:t>
      </w:r>
      <w:r>
        <w:rPr>
          <w:lang w:val="en-US"/>
        </w:rPr>
        <w:t>, 2011.</w:t>
      </w:r>
    </w:p>
  </w:footnote>
  <w:footnote w:id="70">
    <w:p w14:paraId="41CBF27C" w14:textId="2745434C" w:rsidR="00FD11F0" w:rsidRPr="00262689" w:rsidRDefault="00FD11F0">
      <w:pPr>
        <w:pStyle w:val="FootnoteText"/>
        <w:rPr>
          <w:lang w:val="en-US"/>
        </w:rPr>
      </w:pPr>
      <w:r>
        <w:rPr>
          <w:rStyle w:val="FootnoteReference"/>
        </w:rPr>
        <w:footnoteRef/>
      </w:r>
      <w:r>
        <w:t xml:space="preserve"> </w:t>
      </w:r>
      <w:r>
        <w:rPr>
          <w:lang w:val="en-US"/>
        </w:rPr>
        <w:t>A relationship so close that the King affectionately nicknamed him ‘</w:t>
      </w:r>
      <w:proofErr w:type="spellStart"/>
      <w:r>
        <w:rPr>
          <w:lang w:val="en-US"/>
        </w:rPr>
        <w:t>Steenie</w:t>
      </w:r>
      <w:proofErr w:type="spellEnd"/>
      <w:r>
        <w:rPr>
          <w:lang w:val="en-US"/>
        </w:rPr>
        <w:t xml:space="preserve">’ after St. Stephen’s angelic face. </w:t>
      </w:r>
    </w:p>
  </w:footnote>
  <w:footnote w:id="71">
    <w:p w14:paraId="7EB62353" w14:textId="20B58AD2" w:rsidR="00FD11F0" w:rsidRPr="00D1697D" w:rsidRDefault="00FD11F0">
      <w:pPr>
        <w:pStyle w:val="FootnoteText"/>
        <w:rPr>
          <w:lang w:val="en-US"/>
        </w:rPr>
      </w:pPr>
      <w:r>
        <w:rPr>
          <w:rStyle w:val="FootnoteReference"/>
        </w:rPr>
        <w:footnoteRef/>
      </w:r>
      <w:r>
        <w:t xml:space="preserve"> </w:t>
      </w:r>
      <w:r>
        <w:rPr>
          <w:lang w:val="en-US"/>
        </w:rPr>
        <w:t xml:space="preserve">Cutler, </w:t>
      </w:r>
      <w:r>
        <w:rPr>
          <w:i/>
          <w:iCs/>
          <w:lang w:val="en-US"/>
        </w:rPr>
        <w:t>Skellingthorpe Vavasor</w:t>
      </w:r>
      <w:r>
        <w:rPr>
          <w:lang w:val="en-US"/>
        </w:rPr>
        <w:t>, p. 307.</w:t>
      </w:r>
    </w:p>
  </w:footnote>
  <w:footnote w:id="72">
    <w:p w14:paraId="65242E31" w14:textId="46299596" w:rsidR="00FD11F0" w:rsidRPr="00D1697D" w:rsidRDefault="00FD11F0">
      <w:pPr>
        <w:pStyle w:val="FootnoteText"/>
        <w:rPr>
          <w:lang w:val="en-US"/>
        </w:rPr>
      </w:pPr>
      <w:r>
        <w:rPr>
          <w:rStyle w:val="FootnoteReference"/>
        </w:rPr>
        <w:footnoteRef/>
      </w:r>
      <w:r>
        <w:t xml:space="preserve"> </w:t>
      </w:r>
      <w:r>
        <w:rPr>
          <w:lang w:val="en-US"/>
        </w:rPr>
        <w:t xml:space="preserve">Lockyer, </w:t>
      </w:r>
      <w:r>
        <w:rPr>
          <w:i/>
          <w:iCs/>
          <w:lang w:val="en-US"/>
        </w:rPr>
        <w:t>Villiers, George</w:t>
      </w:r>
      <w:r>
        <w:rPr>
          <w:lang w:val="en-US"/>
        </w:rPr>
        <w:t>, 2011.</w:t>
      </w:r>
    </w:p>
  </w:footnote>
  <w:footnote w:id="73">
    <w:p w14:paraId="73D9CAA2" w14:textId="24971006" w:rsidR="00FD11F0" w:rsidRPr="001036DC" w:rsidRDefault="00FD11F0">
      <w:pPr>
        <w:pStyle w:val="FootnoteText"/>
        <w:rPr>
          <w:lang w:val="en-US"/>
        </w:rPr>
      </w:pPr>
      <w:r>
        <w:rPr>
          <w:rStyle w:val="FootnoteReference"/>
        </w:rPr>
        <w:footnoteRef/>
      </w:r>
      <w:r>
        <w:t xml:space="preserve"> </w:t>
      </w:r>
      <w:r>
        <w:rPr>
          <w:lang w:val="en-US"/>
        </w:rPr>
        <w:t xml:space="preserve">Van Eerde, </w:t>
      </w:r>
      <w:r>
        <w:rPr>
          <w:i/>
          <w:iCs/>
          <w:lang w:val="en-US"/>
        </w:rPr>
        <w:t>Jacobean Baronets</w:t>
      </w:r>
      <w:r>
        <w:rPr>
          <w:lang w:val="en-US"/>
        </w:rPr>
        <w:t>, p. 139.</w:t>
      </w:r>
    </w:p>
  </w:footnote>
  <w:footnote w:id="74">
    <w:p w14:paraId="0B486E8D" w14:textId="00548075" w:rsidR="00FD11F0" w:rsidRPr="00D5473B" w:rsidRDefault="00FD11F0">
      <w:pPr>
        <w:pStyle w:val="FootnoteText"/>
        <w:rPr>
          <w:lang w:val="en-US"/>
        </w:rPr>
      </w:pPr>
      <w:r>
        <w:rPr>
          <w:rStyle w:val="FootnoteReference"/>
        </w:rPr>
        <w:footnoteRef/>
      </w:r>
      <w:r>
        <w:t xml:space="preserve"> </w:t>
      </w:r>
      <w:r>
        <w:rPr>
          <w:lang w:val="en-US"/>
        </w:rPr>
        <w:t xml:space="preserve">Van Eerde, </w:t>
      </w:r>
      <w:r>
        <w:rPr>
          <w:i/>
          <w:iCs/>
          <w:lang w:val="en-US"/>
        </w:rPr>
        <w:t>Jacobean Baronets</w:t>
      </w:r>
      <w:r>
        <w:rPr>
          <w:lang w:val="en-US"/>
        </w:rPr>
        <w:t>, p. 139.</w:t>
      </w:r>
    </w:p>
  </w:footnote>
  <w:footnote w:id="75">
    <w:p w14:paraId="07A4391A" w14:textId="3CCF9F44" w:rsidR="00FD11F0" w:rsidRPr="00F16360" w:rsidRDefault="00FD11F0">
      <w:pPr>
        <w:pStyle w:val="FootnoteText"/>
      </w:pPr>
      <w:r>
        <w:rPr>
          <w:rStyle w:val="FootnoteReference"/>
        </w:rPr>
        <w:footnoteRef/>
      </w:r>
      <w:r>
        <w:t xml:space="preserve"> </w:t>
      </w:r>
      <w:r w:rsidRPr="00F16360">
        <w:t>John Burke, </w:t>
      </w:r>
      <w:r w:rsidRPr="00F16360">
        <w:rPr>
          <w:i/>
          <w:iCs/>
        </w:rPr>
        <w:t>Burke's Family Index</w:t>
      </w:r>
      <w:r w:rsidRPr="00F16360">
        <w:t>, ed. by Hugh Montgomery-</w:t>
      </w:r>
      <w:proofErr w:type="spellStart"/>
      <w:r w:rsidRPr="00F16360">
        <w:t>Massingberd</w:t>
      </w:r>
      <w:proofErr w:type="spellEnd"/>
      <w:r w:rsidRPr="00F16360">
        <w:t xml:space="preserve"> (London: Burke's Peerage Limited, 1976), p. 60.</w:t>
      </w:r>
    </w:p>
  </w:footnote>
  <w:footnote w:id="76">
    <w:p w14:paraId="6FE53313" w14:textId="1461DC90" w:rsidR="00FD11F0" w:rsidRPr="00FB5209" w:rsidRDefault="00FD11F0">
      <w:pPr>
        <w:pStyle w:val="FootnoteText"/>
      </w:pPr>
      <w:r>
        <w:rPr>
          <w:rStyle w:val="FootnoteReference"/>
        </w:rPr>
        <w:footnoteRef/>
      </w:r>
      <w:r>
        <w:t xml:space="preserve"> </w:t>
      </w:r>
      <w:r w:rsidRPr="00FB5209">
        <w:t>Stephen Porter, </w:t>
      </w:r>
      <w:r w:rsidRPr="00FB5209">
        <w:rPr>
          <w:i/>
          <w:iCs/>
        </w:rPr>
        <w:t>Gascoigne, Sir Thomas, second baronet</w:t>
      </w:r>
      <w:r w:rsidRPr="00FB5209">
        <w:t> (2004) &lt;https://www.oxforddnb.com/view/10.1093/ref:odnb/9780198614128.001.0001/odnb-9780198614128-e-10426?rskey=LD3fXR&amp;result=11&gt; [accessed 6 May 2020].</w:t>
      </w:r>
    </w:p>
  </w:footnote>
  <w:footnote w:id="77">
    <w:p w14:paraId="2A41DDAC" w14:textId="4657B520" w:rsidR="00FD11F0" w:rsidRPr="00FB5209" w:rsidRDefault="00FD11F0">
      <w:pPr>
        <w:pStyle w:val="FootnoteText"/>
      </w:pPr>
      <w:r>
        <w:rPr>
          <w:rStyle w:val="FootnoteReference"/>
        </w:rPr>
        <w:footnoteRef/>
      </w:r>
      <w:r>
        <w:t xml:space="preserve"> </w:t>
      </w:r>
      <w:r w:rsidRPr="00FB5209">
        <w:t xml:space="preserve">Arthur </w:t>
      </w:r>
      <w:proofErr w:type="spellStart"/>
      <w:r w:rsidRPr="00FB5209">
        <w:t>Bantoft</w:t>
      </w:r>
      <w:proofErr w:type="spellEnd"/>
      <w:r w:rsidRPr="00FB5209">
        <w:t>, </w:t>
      </w:r>
      <w:r w:rsidRPr="00FB5209">
        <w:rPr>
          <w:i/>
          <w:iCs/>
        </w:rPr>
        <w:t>The Gascoigne Family and the Catholic Church in the 17th. and 18th Centuries</w:t>
      </w:r>
      <w:r w:rsidRPr="00FB5209">
        <w:t> (2004) &lt;http://www.barwickinelmethistoricalsociety.com/7428.html&gt; [accessed 6 May 2020].</w:t>
      </w:r>
    </w:p>
  </w:footnote>
  <w:footnote w:id="78">
    <w:p w14:paraId="612D212B" w14:textId="47BF8B03" w:rsidR="00FD11F0" w:rsidRPr="00FF5C71" w:rsidRDefault="00FD11F0">
      <w:pPr>
        <w:pStyle w:val="FootnoteText"/>
      </w:pPr>
      <w:r>
        <w:rPr>
          <w:rStyle w:val="FootnoteReference"/>
        </w:rPr>
        <w:footnoteRef/>
      </w:r>
      <w:r>
        <w:t xml:space="preserve"> </w:t>
      </w:r>
      <w:r w:rsidRPr="00FF5C71">
        <w:t>Historic England, </w:t>
      </w:r>
      <w:r w:rsidRPr="00FF5C71">
        <w:rPr>
          <w:i/>
          <w:iCs/>
        </w:rPr>
        <w:t>Killerton House, Broad Clyst</w:t>
      </w:r>
      <w:r w:rsidRPr="00FF5C71">
        <w:t> (2000) &lt;https://historicengland.org.uk/listing/the-list/list-entry/1000694&gt; [accessed 6 May 2020].</w:t>
      </w:r>
    </w:p>
  </w:footnote>
  <w:footnote w:id="79">
    <w:p w14:paraId="5599C259" w14:textId="5F77AE69" w:rsidR="00FD11F0" w:rsidRPr="00602156" w:rsidRDefault="00FD11F0">
      <w:pPr>
        <w:pStyle w:val="FootnoteText"/>
        <w:rPr>
          <w:lang w:val="en-US"/>
        </w:rPr>
      </w:pPr>
      <w:r>
        <w:rPr>
          <w:rStyle w:val="FootnoteReference"/>
        </w:rPr>
        <w:footnoteRef/>
      </w:r>
      <w:r>
        <w:t xml:space="preserve"> </w:t>
      </w:r>
      <w:r w:rsidRPr="00724FDC">
        <w:rPr>
          <w:i/>
          <w:iCs/>
        </w:rPr>
        <w:t>The Accounts of Killerton House, 1774-1780</w:t>
      </w:r>
      <w:r>
        <w:t>, provided by Denise Melhuish, House and Collections Manager of Killerton House, 7</w:t>
      </w:r>
      <w:r>
        <w:rPr>
          <w:vertAlign w:val="superscript"/>
        </w:rPr>
        <w:t xml:space="preserve"> </w:t>
      </w:r>
      <w:r>
        <w:t xml:space="preserve">January 2020. </w:t>
      </w:r>
    </w:p>
  </w:footnote>
  <w:footnote w:id="80">
    <w:p w14:paraId="46021540" w14:textId="080B403A" w:rsidR="00FD11F0" w:rsidRPr="0056784D" w:rsidRDefault="00FD11F0">
      <w:pPr>
        <w:pStyle w:val="FootnoteText"/>
      </w:pPr>
      <w:r>
        <w:rPr>
          <w:rStyle w:val="FootnoteReference"/>
        </w:rPr>
        <w:footnoteRef/>
      </w:r>
      <w:r>
        <w:t xml:space="preserve"> </w:t>
      </w:r>
      <w:r w:rsidRPr="0056784D">
        <w:t>The National Archives, </w:t>
      </w:r>
      <w:r w:rsidRPr="0056784D">
        <w:rPr>
          <w:i/>
          <w:iCs/>
        </w:rPr>
        <w:t>Currency Converter: 1270-2017</w:t>
      </w:r>
      <w:r w:rsidRPr="0056784D">
        <w:t xml:space="preserve"> (n.d.) &lt;https://www.nationalarchives.gov.uk/currency-converter/&gt; [accessed </w:t>
      </w:r>
      <w:r>
        <w:t>6 May</w:t>
      </w:r>
      <w:r w:rsidRPr="0056784D">
        <w:t xml:space="preserve"> 2020].</w:t>
      </w:r>
    </w:p>
  </w:footnote>
  <w:footnote w:id="81">
    <w:p w14:paraId="4C5DB533" w14:textId="544B05EC" w:rsidR="00FD11F0" w:rsidRPr="009E3434" w:rsidRDefault="00FD11F0">
      <w:pPr>
        <w:pStyle w:val="FootnoteText"/>
        <w:rPr>
          <w:lang w:val="en-US"/>
        </w:rPr>
      </w:pPr>
      <w:r>
        <w:rPr>
          <w:rStyle w:val="FootnoteReference"/>
        </w:rPr>
        <w:footnoteRef/>
      </w:r>
      <w:r>
        <w:t xml:space="preserve"> </w:t>
      </w:r>
      <w:r>
        <w:rPr>
          <w:i/>
          <w:iCs/>
          <w:lang w:val="en-US"/>
        </w:rPr>
        <w:t>The Accounts of Killerton House.</w:t>
      </w:r>
    </w:p>
  </w:footnote>
  <w:footnote w:id="82">
    <w:p w14:paraId="2161800D" w14:textId="0E4DA8A2" w:rsidR="00FD11F0" w:rsidRPr="00F94527" w:rsidRDefault="00FD11F0">
      <w:pPr>
        <w:pStyle w:val="FootnoteText"/>
        <w:rPr>
          <w:i/>
          <w:iCs/>
          <w:lang w:val="en-US"/>
        </w:rPr>
      </w:pPr>
      <w:r>
        <w:rPr>
          <w:rStyle w:val="FootnoteReference"/>
        </w:rPr>
        <w:footnoteRef/>
      </w:r>
      <w:r>
        <w:rPr>
          <w:i/>
          <w:iCs/>
        </w:rPr>
        <w:t xml:space="preserve"> The Accounts of Killerton House. </w:t>
      </w:r>
    </w:p>
  </w:footnote>
  <w:footnote w:id="83">
    <w:p w14:paraId="10FD6D76" w14:textId="304A0C18" w:rsidR="00FD11F0" w:rsidRPr="004A44EA" w:rsidRDefault="00FD11F0">
      <w:pPr>
        <w:pStyle w:val="FootnoteText"/>
        <w:rPr>
          <w:lang w:val="en-US"/>
        </w:rPr>
      </w:pPr>
      <w:r>
        <w:rPr>
          <w:rStyle w:val="FootnoteReference"/>
        </w:rPr>
        <w:footnoteRef/>
      </w:r>
      <w:r>
        <w:t xml:space="preserve"> </w:t>
      </w:r>
      <w:r>
        <w:rPr>
          <w:lang w:val="en-US"/>
        </w:rPr>
        <w:t xml:space="preserve">Acland, </w:t>
      </w:r>
      <w:r>
        <w:rPr>
          <w:i/>
          <w:iCs/>
          <w:lang w:val="en-US"/>
        </w:rPr>
        <w:t>A Devon Family</w:t>
      </w:r>
      <w:r>
        <w:rPr>
          <w:lang w:val="en-US"/>
        </w:rPr>
        <w:t>, p. 5.</w:t>
      </w:r>
    </w:p>
  </w:footnote>
  <w:footnote w:id="84">
    <w:p w14:paraId="5D841A30" w14:textId="6E85547D" w:rsidR="00FD11F0" w:rsidRPr="00CB32A6" w:rsidRDefault="00FD11F0">
      <w:pPr>
        <w:pStyle w:val="FootnoteText"/>
        <w:rPr>
          <w:lang w:val="en-US"/>
        </w:rPr>
      </w:pPr>
      <w:r>
        <w:rPr>
          <w:rStyle w:val="FootnoteReference"/>
        </w:rPr>
        <w:footnoteRef/>
      </w:r>
      <w:r>
        <w:t xml:space="preserve"> </w:t>
      </w:r>
      <w:r>
        <w:rPr>
          <w:lang w:val="en-US"/>
        </w:rPr>
        <w:t xml:space="preserve">Acland, </w:t>
      </w:r>
      <w:r>
        <w:rPr>
          <w:i/>
          <w:iCs/>
          <w:lang w:val="en-US"/>
        </w:rPr>
        <w:t>A Devon Family</w:t>
      </w:r>
      <w:r>
        <w:rPr>
          <w:lang w:val="en-US"/>
        </w:rPr>
        <w:t>, p. 5.</w:t>
      </w:r>
    </w:p>
  </w:footnote>
  <w:footnote w:id="85">
    <w:p w14:paraId="6D4B159E" w14:textId="60AF3551" w:rsidR="00FD11F0" w:rsidRPr="00627D0D" w:rsidRDefault="00FD11F0">
      <w:pPr>
        <w:pStyle w:val="FootnoteText"/>
      </w:pPr>
      <w:r>
        <w:rPr>
          <w:rStyle w:val="FootnoteReference"/>
        </w:rPr>
        <w:footnoteRef/>
      </w:r>
      <w:r>
        <w:t xml:space="preserve"> </w:t>
      </w:r>
      <w:r w:rsidRPr="00627D0D">
        <w:t>Sally Walker, </w:t>
      </w:r>
      <w:r w:rsidRPr="00627D0D">
        <w:rPr>
          <w:i/>
          <w:iCs/>
        </w:rPr>
        <w:t>Report on the History of Woolbeding House and Gardens</w:t>
      </w:r>
      <w:r w:rsidRPr="00627D0D">
        <w:t xml:space="preserve"> (Sussex: The Sussex Gardens Trust, 2006),</w:t>
      </w:r>
      <w:r>
        <w:t xml:space="preserve"> </w:t>
      </w:r>
      <w:r w:rsidRPr="00627D0D">
        <w:t>&lt;https://www.sussexgardenstrust.org.uk/images/Downloads/Research_Articles/WOOLBEDING%20HOUSE.pdf&gt; [accessed 6 May 2020].</w:t>
      </w:r>
    </w:p>
  </w:footnote>
  <w:footnote w:id="86">
    <w:p w14:paraId="368AE6FB" w14:textId="59FDEAE6" w:rsidR="00FD11F0" w:rsidRPr="001536B5" w:rsidRDefault="00FD11F0">
      <w:pPr>
        <w:pStyle w:val="FootnoteText"/>
      </w:pPr>
      <w:r>
        <w:rPr>
          <w:rStyle w:val="FootnoteReference"/>
        </w:rPr>
        <w:footnoteRef/>
      </w:r>
      <w:r>
        <w:t xml:space="preserve"> </w:t>
      </w:r>
      <w:bookmarkStart w:id="18" w:name="_Hlk39675179"/>
      <w:r w:rsidRPr="001536B5">
        <w:t>Noel Simpson, </w:t>
      </w:r>
      <w:r w:rsidRPr="001536B5">
        <w:rPr>
          <w:i/>
          <w:iCs/>
        </w:rPr>
        <w:t xml:space="preserve">Woolbeding: </w:t>
      </w:r>
      <w:proofErr w:type="gramStart"/>
      <w:r w:rsidRPr="001536B5">
        <w:rPr>
          <w:i/>
          <w:iCs/>
        </w:rPr>
        <w:t>a</w:t>
      </w:r>
      <w:proofErr w:type="gramEnd"/>
      <w:r w:rsidRPr="001536B5">
        <w:rPr>
          <w:i/>
          <w:iCs/>
        </w:rPr>
        <w:t xml:space="preserve"> </w:t>
      </w:r>
      <w:r>
        <w:rPr>
          <w:i/>
          <w:iCs/>
        </w:rPr>
        <w:t>H</w:t>
      </w:r>
      <w:r w:rsidRPr="001536B5">
        <w:rPr>
          <w:i/>
          <w:iCs/>
        </w:rPr>
        <w:t>istory of the Manor and a Guide to All Hallows Churc</w:t>
      </w:r>
      <w:r>
        <w:rPr>
          <w:i/>
          <w:iCs/>
        </w:rPr>
        <w:t>h</w:t>
      </w:r>
      <w:r w:rsidRPr="001536B5">
        <w:t xml:space="preserve">, 3rd </w:t>
      </w:r>
      <w:proofErr w:type="spellStart"/>
      <w:r w:rsidRPr="001536B5">
        <w:t>edn</w:t>
      </w:r>
      <w:proofErr w:type="spellEnd"/>
      <w:r w:rsidRPr="001536B5">
        <w:t xml:space="preserve"> (2009).</w:t>
      </w:r>
      <w:bookmarkEnd w:id="18"/>
    </w:p>
  </w:footnote>
  <w:footnote w:id="87">
    <w:p w14:paraId="6565EC5E" w14:textId="3C2BBCF5" w:rsidR="00FD11F0" w:rsidRPr="00C17336" w:rsidRDefault="00FD11F0">
      <w:pPr>
        <w:pStyle w:val="FootnoteText"/>
        <w:rPr>
          <w:lang w:val="en-US"/>
        </w:rPr>
      </w:pPr>
      <w:r>
        <w:rPr>
          <w:rStyle w:val="FootnoteReference"/>
        </w:rPr>
        <w:footnoteRef/>
      </w:r>
      <w:r>
        <w:t xml:space="preserve"> </w:t>
      </w:r>
      <w:r>
        <w:rPr>
          <w:lang w:val="en-US"/>
        </w:rPr>
        <w:t>Simpson</w:t>
      </w:r>
      <w:r>
        <w:rPr>
          <w:i/>
          <w:iCs/>
          <w:lang w:val="en-US"/>
        </w:rPr>
        <w:t xml:space="preserve">, Woolbeding: </w:t>
      </w:r>
      <w:proofErr w:type="gramStart"/>
      <w:r>
        <w:rPr>
          <w:i/>
          <w:iCs/>
          <w:lang w:val="en-US"/>
        </w:rPr>
        <w:t>a</w:t>
      </w:r>
      <w:proofErr w:type="gramEnd"/>
      <w:r>
        <w:rPr>
          <w:i/>
          <w:iCs/>
          <w:lang w:val="en-US"/>
        </w:rPr>
        <w:t xml:space="preserve"> History</w:t>
      </w:r>
      <w:r>
        <w:rPr>
          <w:lang w:val="en-US"/>
        </w:rPr>
        <w:t>, 200</w:t>
      </w:r>
    </w:p>
  </w:footnote>
  <w:footnote w:id="88">
    <w:p w14:paraId="5CB358B3" w14:textId="73086166" w:rsidR="00FD11F0" w:rsidRPr="001B7D3E" w:rsidRDefault="00FD11F0">
      <w:pPr>
        <w:pStyle w:val="FootnoteText"/>
        <w:rPr>
          <w:lang w:val="en-US"/>
        </w:rPr>
      </w:pPr>
      <w:r>
        <w:rPr>
          <w:rStyle w:val="FootnoteReference"/>
        </w:rPr>
        <w:footnoteRef/>
      </w:r>
      <w:r>
        <w:t xml:space="preserve"> </w:t>
      </w:r>
      <w:r>
        <w:rPr>
          <w:lang w:val="en-US"/>
        </w:rPr>
        <w:t>Sarah Marden, interview by Sam Smith, (Leominster, 12 August 2019).</w:t>
      </w:r>
    </w:p>
  </w:footnote>
  <w:footnote w:id="89">
    <w:p w14:paraId="78647748" w14:textId="1593227F" w:rsidR="00FD11F0" w:rsidRPr="00914F6F" w:rsidRDefault="00FD11F0">
      <w:pPr>
        <w:pStyle w:val="FootnoteText"/>
      </w:pPr>
      <w:r>
        <w:rPr>
          <w:rStyle w:val="FootnoteReference"/>
        </w:rPr>
        <w:footnoteRef/>
      </w:r>
      <w:r>
        <w:t xml:space="preserve"> </w:t>
      </w:r>
      <w:r w:rsidRPr="00914F6F">
        <w:t>The National Trust, </w:t>
      </w:r>
      <w:r w:rsidRPr="00914F6F">
        <w:rPr>
          <w:i/>
          <w:iCs/>
        </w:rPr>
        <w:t>Delve into the history of Croft Castle</w:t>
      </w:r>
      <w:r w:rsidRPr="00914F6F">
        <w:t> (n.d.)</w:t>
      </w:r>
      <w:r>
        <w:t xml:space="preserve"> </w:t>
      </w:r>
      <w:r w:rsidRPr="00914F6F">
        <w:t>&lt;https://www.nationaltrust.org.uk/features/delve-into-the-history-of-croft-castle&gt; [accessed 6 May 2020].</w:t>
      </w:r>
    </w:p>
  </w:footnote>
  <w:footnote w:id="90">
    <w:p w14:paraId="15451C3E" w14:textId="0C3C8F31" w:rsidR="00FD11F0" w:rsidRPr="0006237D" w:rsidRDefault="00FD11F0">
      <w:pPr>
        <w:pStyle w:val="FootnoteText"/>
      </w:pPr>
      <w:r>
        <w:rPr>
          <w:rStyle w:val="FootnoteReference"/>
        </w:rPr>
        <w:footnoteRef/>
      </w:r>
      <w:r>
        <w:t xml:space="preserve"> </w:t>
      </w:r>
      <w:r w:rsidRPr="0006237D">
        <w:t>Joseph Foster, </w:t>
      </w:r>
      <w:r w:rsidRPr="0006237D">
        <w:rPr>
          <w:i/>
          <w:iCs/>
        </w:rPr>
        <w:t xml:space="preserve">Alumni </w:t>
      </w:r>
      <w:proofErr w:type="gramStart"/>
      <w:r w:rsidRPr="0006237D">
        <w:rPr>
          <w:i/>
          <w:iCs/>
        </w:rPr>
        <w:t>oxonines :</w:t>
      </w:r>
      <w:proofErr w:type="gramEnd"/>
      <w:r w:rsidRPr="0006237D">
        <w:rPr>
          <w:i/>
          <w:iCs/>
        </w:rPr>
        <w:t xml:space="preserve"> the members of the University of Oxford, 1500-1714: their parentage, birthplace, and year of birth, with a record of their degrees</w:t>
      </w:r>
      <w:r w:rsidRPr="0006237D">
        <w:t> (Oxford: Parker and Co., 1891), p. 351.</w:t>
      </w:r>
    </w:p>
  </w:footnote>
  <w:footnote w:id="91">
    <w:p w14:paraId="063C7EEC" w14:textId="564D1E4A" w:rsidR="00FD11F0" w:rsidRPr="003A25EF" w:rsidRDefault="00FD11F0">
      <w:pPr>
        <w:pStyle w:val="FootnoteText"/>
        <w:rPr>
          <w:lang w:val="en-US"/>
        </w:rPr>
      </w:pPr>
      <w:r>
        <w:rPr>
          <w:rStyle w:val="FootnoteReference"/>
        </w:rPr>
        <w:footnoteRef/>
      </w:r>
      <w:r>
        <w:t xml:space="preserve"> </w:t>
      </w:r>
      <w:r>
        <w:rPr>
          <w:lang w:val="en-US"/>
        </w:rPr>
        <w:t>Marden, interview.</w:t>
      </w:r>
    </w:p>
  </w:footnote>
  <w:footnote w:id="92">
    <w:p w14:paraId="77931CC8" w14:textId="1FDD7491" w:rsidR="00FD11F0" w:rsidRPr="006D453A" w:rsidRDefault="00FD11F0">
      <w:pPr>
        <w:pStyle w:val="FootnoteText"/>
      </w:pPr>
      <w:r>
        <w:rPr>
          <w:rStyle w:val="FootnoteReference"/>
        </w:rPr>
        <w:footnoteRef/>
      </w:r>
      <w:r>
        <w:t xml:space="preserve"> </w:t>
      </w:r>
      <w:r w:rsidRPr="006D453A">
        <w:t>Westminster School, </w:t>
      </w:r>
      <w:r w:rsidRPr="006D453A">
        <w:rPr>
          <w:i/>
          <w:iCs/>
        </w:rPr>
        <w:t>Sir Herbert Archer Croft</w:t>
      </w:r>
      <w:r w:rsidRPr="006D453A">
        <w:t> (n.d.) &lt;http://firstworldwar.westminster.org.uk/?p=640&gt; [accessed 6 May 2020].</w:t>
      </w:r>
    </w:p>
  </w:footnote>
  <w:footnote w:id="93">
    <w:p w14:paraId="4ECD8589" w14:textId="4EAC1BEF" w:rsidR="00FD11F0" w:rsidRPr="00CA08BD" w:rsidRDefault="00FD11F0">
      <w:pPr>
        <w:pStyle w:val="FootnoteText"/>
        <w:rPr>
          <w:lang w:val="en-US"/>
        </w:rPr>
      </w:pPr>
      <w:r>
        <w:rPr>
          <w:rStyle w:val="FootnoteReference"/>
        </w:rPr>
        <w:footnoteRef/>
      </w:r>
      <w:r>
        <w:t xml:space="preserve"> </w:t>
      </w:r>
      <w:r>
        <w:rPr>
          <w:lang w:val="en-US"/>
        </w:rPr>
        <w:t xml:space="preserve">Westminster School, </w:t>
      </w:r>
      <w:r>
        <w:rPr>
          <w:i/>
          <w:iCs/>
          <w:lang w:val="en-US"/>
        </w:rPr>
        <w:t>Sir Herbert Archer Croft.</w:t>
      </w:r>
    </w:p>
  </w:footnote>
  <w:footnote w:id="94">
    <w:p w14:paraId="32A56E88" w14:textId="730C291D" w:rsidR="00FD11F0" w:rsidRPr="008F2065" w:rsidRDefault="00FD11F0">
      <w:pPr>
        <w:pStyle w:val="FootnoteText"/>
        <w:rPr>
          <w:lang w:val="en-US"/>
        </w:rPr>
      </w:pPr>
      <w:r>
        <w:rPr>
          <w:rStyle w:val="FootnoteReference"/>
        </w:rPr>
        <w:footnoteRef/>
      </w:r>
      <w:r>
        <w:t xml:space="preserve"> </w:t>
      </w:r>
      <w:r>
        <w:rPr>
          <w:lang w:val="en-US"/>
        </w:rPr>
        <w:t>Marden, interview.</w:t>
      </w:r>
    </w:p>
  </w:footnote>
  <w:footnote w:id="95">
    <w:p w14:paraId="137AD056" w14:textId="3B44CE35" w:rsidR="00FD11F0" w:rsidRPr="004C71AE" w:rsidRDefault="00FD11F0">
      <w:pPr>
        <w:pStyle w:val="FootnoteText"/>
        <w:rPr>
          <w:lang w:val="en-US"/>
        </w:rPr>
      </w:pPr>
      <w:r>
        <w:rPr>
          <w:rStyle w:val="FootnoteReference"/>
        </w:rPr>
        <w:footnoteRef/>
      </w:r>
      <w:r>
        <w:t xml:space="preserve"> </w:t>
      </w:r>
      <w:r>
        <w:rPr>
          <w:lang w:val="en-US"/>
        </w:rPr>
        <w:t xml:space="preserve">House of Lords, </w:t>
      </w:r>
      <w:r>
        <w:rPr>
          <w:i/>
          <w:iCs/>
          <w:lang w:val="en-US"/>
        </w:rPr>
        <w:t xml:space="preserve">Hansard’s Parliamentary Debates: The Official Report </w:t>
      </w:r>
      <w:r w:rsidRPr="004C71AE">
        <w:rPr>
          <w:lang w:val="en-US"/>
        </w:rPr>
        <w:t>(4 February 1942</w:t>
      </w:r>
      <w:r>
        <w:rPr>
          <w:i/>
          <w:iCs/>
          <w:lang w:val="en-US"/>
        </w:rPr>
        <w:t xml:space="preserve">, </w:t>
      </w:r>
      <w:r>
        <w:rPr>
          <w:lang w:val="en-US"/>
        </w:rPr>
        <w:t>vol. 121, cols. 680-710) [Online] &lt;</w:t>
      </w:r>
      <w:hyperlink r:id="rId1" w:history="1">
        <w:r w:rsidRPr="00F41A89">
          <w:rPr>
            <w:rStyle w:val="Hyperlink"/>
          </w:rPr>
          <w:t>https://api.parliament.uk/historic-hansard/lords/1942/feb/04/the-home-guard</w:t>
        </w:r>
      </w:hyperlink>
      <w:r>
        <w:rPr>
          <w:lang w:val="en-US"/>
        </w:rPr>
        <w:t>&gt; [accessed 6 May 2020].</w:t>
      </w:r>
    </w:p>
  </w:footnote>
  <w:footnote w:id="96">
    <w:p w14:paraId="340DEF49" w14:textId="45A2F608" w:rsidR="00B42B7A" w:rsidRPr="00B42B7A" w:rsidRDefault="00B42B7A">
      <w:pPr>
        <w:pStyle w:val="FootnoteText"/>
      </w:pPr>
      <w:r>
        <w:rPr>
          <w:rStyle w:val="FootnoteReference"/>
        </w:rPr>
        <w:footnoteRef/>
      </w:r>
      <w:r>
        <w:t xml:space="preserve"> </w:t>
      </w:r>
      <w:r w:rsidRPr="00B42B7A">
        <w:t>The National Trust, </w:t>
      </w:r>
      <w:r w:rsidRPr="00B42B7A">
        <w:rPr>
          <w:i/>
          <w:iCs/>
        </w:rPr>
        <w:t>Women of Croft Castle: Fashion, power and status</w:t>
      </w:r>
      <w:r w:rsidRPr="00B42B7A">
        <w:t> (n.d.) &lt;https://www.nationaltrust.org.uk/croft-castle-and-parkland/features/women-of-croft-castle-fashion-power-and-status&gt; [accessed 8 May 2020].</w:t>
      </w:r>
    </w:p>
  </w:footnote>
  <w:footnote w:id="97">
    <w:p w14:paraId="517BBA60" w14:textId="290358F4" w:rsidR="00CC5957" w:rsidRPr="00CC5957" w:rsidRDefault="00CC5957">
      <w:pPr>
        <w:pStyle w:val="FootnoteText"/>
        <w:rPr>
          <w:lang w:val="en-US"/>
        </w:rPr>
      </w:pPr>
      <w:r>
        <w:rPr>
          <w:rStyle w:val="FootnoteReference"/>
        </w:rPr>
        <w:footnoteRef/>
      </w:r>
      <w:r>
        <w:t xml:space="preserve"> </w:t>
      </w:r>
      <w:r>
        <w:rPr>
          <w:lang w:val="en-US"/>
        </w:rPr>
        <w:t>Marden, interview.</w:t>
      </w:r>
    </w:p>
  </w:footnote>
  <w:footnote w:id="98">
    <w:p w14:paraId="23B98C8A" w14:textId="77777777" w:rsidR="00FD11F0" w:rsidRPr="00071EAB" w:rsidRDefault="00FD11F0" w:rsidP="0053439C">
      <w:pPr>
        <w:pStyle w:val="FootnoteText"/>
      </w:pPr>
      <w:r>
        <w:rPr>
          <w:rStyle w:val="FootnoteReference"/>
        </w:rPr>
        <w:footnoteRef/>
      </w:r>
      <w:r>
        <w:t xml:space="preserve"> </w:t>
      </w:r>
      <w:r w:rsidRPr="00071EAB">
        <w:t>John Peel, </w:t>
      </w:r>
      <w:r w:rsidRPr="00071EAB">
        <w:rPr>
          <w:i/>
          <w:iCs/>
        </w:rPr>
        <w:t>Croft, Sir Richard, sixth baronet (1762 - 1818) | Physician and Man-Midwife</w:t>
      </w:r>
      <w:r w:rsidRPr="00071EAB">
        <w:t> (2004) &lt;https://www.oxforddnb.com/view/10.1093/ref:odnb/9780198614128.001.0001/odnb-9780198614128-e-6722?rskey=DRImvS&amp;result=2&gt; [accessed 27 April 2020].</w:t>
      </w:r>
    </w:p>
  </w:footnote>
  <w:footnote w:id="99">
    <w:p w14:paraId="20513F7C" w14:textId="77777777" w:rsidR="00FD11F0" w:rsidRPr="00BB216D" w:rsidRDefault="00FD11F0" w:rsidP="0053439C">
      <w:pPr>
        <w:pStyle w:val="FootnoteText"/>
        <w:rPr>
          <w:lang w:val="en-US"/>
        </w:rPr>
      </w:pPr>
      <w:r>
        <w:rPr>
          <w:rStyle w:val="FootnoteReference"/>
        </w:rPr>
        <w:footnoteRef/>
      </w:r>
      <w:r>
        <w:t xml:space="preserve"> </w:t>
      </w:r>
      <w:r w:rsidRPr="00BB216D">
        <w:t xml:space="preserve">Anna </w:t>
      </w:r>
      <w:proofErr w:type="spellStart"/>
      <w:r w:rsidRPr="00BB216D">
        <w:t>Ostrowska</w:t>
      </w:r>
      <w:proofErr w:type="spellEnd"/>
      <w:r w:rsidRPr="00BB216D">
        <w:t>, </w:t>
      </w:r>
      <w:r w:rsidRPr="00BB216D">
        <w:rPr>
          <w:i/>
          <w:iCs/>
        </w:rPr>
        <w:t>Birth: a changing scene. Part II: A controversial figure of man-midwife</w:t>
      </w:r>
      <w:r w:rsidRPr="00BB216D">
        <w:t> (2012) &lt;http://blog.wellcomelibrary.org/2012/12/man-midwife/&gt; [accessed 27 April 2020].</w:t>
      </w:r>
    </w:p>
  </w:footnote>
  <w:footnote w:id="100">
    <w:p w14:paraId="67FD381C" w14:textId="7DDFD67D" w:rsidR="00FD11F0" w:rsidRPr="00731AFA" w:rsidRDefault="00FD11F0" w:rsidP="0053439C">
      <w:pPr>
        <w:pStyle w:val="FootnoteText"/>
        <w:rPr>
          <w:lang w:val="en-US"/>
        </w:rPr>
      </w:pPr>
      <w:r>
        <w:rPr>
          <w:rStyle w:val="FootnoteReference"/>
        </w:rPr>
        <w:footnoteRef/>
      </w:r>
      <w:r>
        <w:t xml:space="preserve"> </w:t>
      </w:r>
      <w:proofErr w:type="spellStart"/>
      <w:r>
        <w:rPr>
          <w:lang w:val="en-US"/>
        </w:rPr>
        <w:t>Ostrowska</w:t>
      </w:r>
      <w:proofErr w:type="spellEnd"/>
      <w:r>
        <w:rPr>
          <w:lang w:val="en-US"/>
        </w:rPr>
        <w:t xml:space="preserve">, </w:t>
      </w:r>
      <w:r>
        <w:rPr>
          <w:i/>
          <w:iCs/>
          <w:lang w:val="en-US"/>
        </w:rPr>
        <w:t>Birth: a changing scene</w:t>
      </w:r>
      <w:r>
        <w:rPr>
          <w:lang w:val="en-US"/>
        </w:rPr>
        <w:t>.</w:t>
      </w:r>
    </w:p>
  </w:footnote>
  <w:footnote w:id="101">
    <w:p w14:paraId="785E6F9F" w14:textId="2266A76A" w:rsidR="00FD11F0" w:rsidRPr="00692935" w:rsidRDefault="00FD11F0" w:rsidP="0053439C">
      <w:pPr>
        <w:pStyle w:val="FootnoteText"/>
        <w:rPr>
          <w:lang w:val="en-US"/>
        </w:rPr>
      </w:pPr>
      <w:r>
        <w:rPr>
          <w:rStyle w:val="FootnoteReference"/>
        </w:rPr>
        <w:footnoteRef/>
      </w:r>
      <w:r>
        <w:t xml:space="preserve"> </w:t>
      </w:r>
      <w:r>
        <w:rPr>
          <w:lang w:val="en-US"/>
        </w:rPr>
        <w:t xml:space="preserve">Peel, </w:t>
      </w:r>
      <w:r>
        <w:rPr>
          <w:i/>
          <w:iCs/>
          <w:lang w:val="en-US"/>
        </w:rPr>
        <w:t>Croft</w:t>
      </w:r>
      <w:r>
        <w:rPr>
          <w:lang w:val="en-US"/>
        </w:rPr>
        <w:t xml:space="preserve">, </w:t>
      </w:r>
      <w:r>
        <w:rPr>
          <w:i/>
          <w:iCs/>
          <w:lang w:val="en-US"/>
        </w:rPr>
        <w:t>Sir Richard.</w:t>
      </w:r>
    </w:p>
  </w:footnote>
  <w:footnote w:id="102">
    <w:p w14:paraId="59ED24B7" w14:textId="1FD8DA2D" w:rsidR="00FD11F0" w:rsidRPr="00692935" w:rsidRDefault="00FD11F0" w:rsidP="0053439C">
      <w:pPr>
        <w:pStyle w:val="FootnoteText"/>
        <w:rPr>
          <w:i/>
          <w:iCs/>
          <w:lang w:val="en-US"/>
        </w:rPr>
      </w:pPr>
      <w:r>
        <w:rPr>
          <w:rStyle w:val="FootnoteReference"/>
        </w:rPr>
        <w:footnoteRef/>
      </w:r>
      <w:r>
        <w:t xml:space="preserve"> </w:t>
      </w:r>
      <w:r>
        <w:rPr>
          <w:lang w:val="en-US"/>
        </w:rPr>
        <w:t xml:space="preserve">Peel, </w:t>
      </w:r>
      <w:r>
        <w:rPr>
          <w:i/>
          <w:iCs/>
          <w:lang w:val="en-US"/>
        </w:rPr>
        <w:t>Croft, Sir Richard.</w:t>
      </w:r>
    </w:p>
  </w:footnote>
  <w:footnote w:id="103">
    <w:p w14:paraId="79A6675B" w14:textId="77777777" w:rsidR="00FD11F0" w:rsidRPr="0028014D" w:rsidRDefault="00FD11F0" w:rsidP="0053439C">
      <w:pPr>
        <w:pStyle w:val="FootnoteText"/>
      </w:pPr>
      <w:r>
        <w:rPr>
          <w:rStyle w:val="FootnoteReference"/>
        </w:rPr>
        <w:footnoteRef/>
      </w:r>
      <w:r>
        <w:t xml:space="preserve"> </w:t>
      </w:r>
      <w:r w:rsidRPr="0028014D">
        <w:t>The National Trust, </w:t>
      </w:r>
      <w:proofErr w:type="gramStart"/>
      <w:r w:rsidRPr="0028014D">
        <w:rPr>
          <w:i/>
          <w:iCs/>
        </w:rPr>
        <w:t>What</w:t>
      </w:r>
      <w:proofErr w:type="gramEnd"/>
      <w:r w:rsidRPr="0028014D">
        <w:rPr>
          <w:i/>
          <w:iCs/>
        </w:rPr>
        <w:t xml:space="preserve"> if Princess Charlotte hadn't died? | National Trust</w:t>
      </w:r>
      <w:r w:rsidRPr="0028014D">
        <w:t> (n.d.) &lt;https://www.nationaltrust.org.uk/claremont-landscape-garden/features/what-if-princess-charlotte-hadnt-died&gt; [accessed 27 April 2020].</w:t>
      </w:r>
    </w:p>
  </w:footnote>
  <w:footnote w:id="104">
    <w:p w14:paraId="7FD7F6F4" w14:textId="77777777" w:rsidR="00FD11F0" w:rsidRPr="00873CE1" w:rsidRDefault="00FD11F0" w:rsidP="0053439C">
      <w:pPr>
        <w:pStyle w:val="FootnoteText"/>
      </w:pPr>
      <w:r>
        <w:rPr>
          <w:rStyle w:val="FootnoteReference"/>
        </w:rPr>
        <w:footnoteRef/>
      </w:r>
      <w:r>
        <w:t xml:space="preserve"> </w:t>
      </w:r>
      <w:r w:rsidRPr="00873CE1">
        <w:t>S. D. Clippingdale, 'Medical Baronets', </w:t>
      </w:r>
      <w:r w:rsidRPr="00873CE1">
        <w:rPr>
          <w:i/>
          <w:iCs/>
        </w:rPr>
        <w:t>The British Medical Journal</w:t>
      </w:r>
      <w:r w:rsidRPr="00873CE1">
        <w:t>, 1.2682, (1912), 1188-1190 (p. 1188).</w:t>
      </w:r>
    </w:p>
  </w:footnote>
  <w:footnote w:id="105">
    <w:p w14:paraId="1B29FA3C" w14:textId="77777777" w:rsidR="00FD11F0" w:rsidRPr="008A21CF" w:rsidRDefault="00FD11F0" w:rsidP="0053439C">
      <w:pPr>
        <w:pStyle w:val="FootnoteText"/>
        <w:rPr>
          <w:lang w:val="en-US"/>
        </w:rPr>
      </w:pPr>
      <w:r>
        <w:rPr>
          <w:rStyle w:val="FootnoteReference"/>
        </w:rPr>
        <w:footnoteRef/>
      </w:r>
      <w:r>
        <w:t xml:space="preserve"> </w:t>
      </w:r>
      <w:r>
        <w:rPr>
          <w:lang w:val="en-US"/>
        </w:rPr>
        <w:t xml:space="preserve">Clippingdale, </w:t>
      </w:r>
      <w:r>
        <w:rPr>
          <w:i/>
          <w:iCs/>
          <w:lang w:val="en-US"/>
        </w:rPr>
        <w:t>Medical Baronets</w:t>
      </w:r>
      <w:r>
        <w:rPr>
          <w:lang w:val="en-US"/>
        </w:rPr>
        <w:t>, p. 1188.</w:t>
      </w:r>
    </w:p>
  </w:footnote>
  <w:footnote w:id="106">
    <w:p w14:paraId="3471928F" w14:textId="77777777" w:rsidR="00FD11F0" w:rsidRPr="00FB3EE8" w:rsidRDefault="00FD11F0" w:rsidP="0053439C">
      <w:pPr>
        <w:pStyle w:val="FootnoteText"/>
        <w:rPr>
          <w:lang w:val="en-US"/>
        </w:rPr>
      </w:pPr>
      <w:r>
        <w:rPr>
          <w:rStyle w:val="FootnoteReference"/>
        </w:rPr>
        <w:footnoteRef/>
      </w:r>
      <w:r>
        <w:t xml:space="preserve"> </w:t>
      </w:r>
      <w:r>
        <w:rPr>
          <w:lang w:val="en-US"/>
        </w:rPr>
        <w:t xml:space="preserve">Clippingdale, </w:t>
      </w:r>
      <w:r>
        <w:rPr>
          <w:i/>
          <w:iCs/>
          <w:lang w:val="en-US"/>
        </w:rPr>
        <w:t>Medical Baronets.</w:t>
      </w:r>
    </w:p>
  </w:footnote>
  <w:footnote w:id="107">
    <w:p w14:paraId="04104BB9" w14:textId="77777777" w:rsidR="00FD11F0" w:rsidRPr="007C3ED8" w:rsidRDefault="00FD11F0" w:rsidP="0053439C">
      <w:pPr>
        <w:pStyle w:val="FootnoteText"/>
      </w:pPr>
      <w:r>
        <w:rPr>
          <w:rStyle w:val="FootnoteReference"/>
        </w:rPr>
        <w:footnoteRef/>
      </w:r>
      <w:r>
        <w:t xml:space="preserve"> </w:t>
      </w:r>
      <w:r w:rsidRPr="007C3ED8">
        <w:t>Christopher Lawrence, </w:t>
      </w:r>
      <w:r w:rsidRPr="007C3ED8">
        <w:rPr>
          <w:i/>
          <w:iCs/>
        </w:rPr>
        <w:t>Lister, Joseph, Baron Lister</w:t>
      </w:r>
      <w:r w:rsidRPr="007C3ED8">
        <w:t> (2004) &lt;https://www.oxforddnb.com/view/10.1093/ref:odnb/9780198614128.001.0001/odnb-9780198614128-e-34553?rskey=zGoVM3&amp;result=2&gt; [accessed 29 April 2020].</w:t>
      </w:r>
    </w:p>
  </w:footnote>
  <w:footnote w:id="108">
    <w:p w14:paraId="0035AE89" w14:textId="77777777" w:rsidR="00FD11F0" w:rsidRPr="007C3ED8" w:rsidRDefault="00FD11F0" w:rsidP="0053439C">
      <w:pPr>
        <w:pStyle w:val="FootnoteText"/>
      </w:pPr>
      <w:r>
        <w:rPr>
          <w:rStyle w:val="FootnoteReference"/>
        </w:rPr>
        <w:footnoteRef/>
      </w:r>
      <w:r>
        <w:t xml:space="preserve"> </w:t>
      </w:r>
      <w:r w:rsidRPr="007C3ED8">
        <w:t>Claire E. J. Herrick, </w:t>
      </w:r>
      <w:r w:rsidRPr="007C3ED8">
        <w:rPr>
          <w:i/>
          <w:iCs/>
        </w:rPr>
        <w:t>Cheyne, Sir (William) Watson, first baronet</w:t>
      </w:r>
      <w:r w:rsidRPr="007C3ED8">
        <w:t> (2006) &lt;https://www.oxforddnb.com/view/10.1093/ref:odnb/9780198614128.001.0001/odnb-9780198614128-e-32396?rskey=5TrCEt&amp;result=2&gt; [accessed 29 April 2020].</w:t>
      </w:r>
    </w:p>
  </w:footnote>
  <w:footnote w:id="109">
    <w:p w14:paraId="26756555" w14:textId="77777777" w:rsidR="00FD11F0" w:rsidRPr="007C3ED8" w:rsidRDefault="00FD11F0" w:rsidP="0053439C">
      <w:pPr>
        <w:pStyle w:val="FootnoteText"/>
      </w:pPr>
      <w:r>
        <w:rPr>
          <w:rStyle w:val="FootnoteReference"/>
        </w:rPr>
        <w:footnoteRef/>
      </w:r>
      <w:r>
        <w:t xml:space="preserve"> </w:t>
      </w:r>
      <w:r w:rsidRPr="007C3ED8">
        <w:t>W. B., 'Sir William Watson Cheyne, Baronet. 1852-1932', </w:t>
      </w:r>
      <w:r w:rsidRPr="007C3ED8">
        <w:rPr>
          <w:i/>
          <w:iCs/>
        </w:rPr>
        <w:t>Obituary Notices of Fellows of the Royal Society</w:t>
      </w:r>
      <w:r w:rsidRPr="007C3ED8">
        <w:t>, 1.1, (1932), 26-30.</w:t>
      </w:r>
    </w:p>
  </w:footnote>
  <w:footnote w:id="110">
    <w:p w14:paraId="00BD4421" w14:textId="77777777" w:rsidR="00FD11F0" w:rsidRPr="000904BD" w:rsidRDefault="00FD11F0" w:rsidP="0053439C">
      <w:pPr>
        <w:pStyle w:val="FootnoteText"/>
        <w:rPr>
          <w:lang w:val="en-US"/>
        </w:rPr>
      </w:pPr>
      <w:r>
        <w:rPr>
          <w:rStyle w:val="FootnoteReference"/>
        </w:rPr>
        <w:footnoteRef/>
      </w:r>
      <w:r>
        <w:t xml:space="preserve"> </w:t>
      </w:r>
      <w:r>
        <w:rPr>
          <w:lang w:val="en-US"/>
        </w:rPr>
        <w:t xml:space="preserve">W.B. </w:t>
      </w:r>
      <w:r>
        <w:rPr>
          <w:i/>
          <w:iCs/>
          <w:lang w:val="en-US"/>
        </w:rPr>
        <w:t xml:space="preserve">Sir William Watson Cheyne, </w:t>
      </w:r>
      <w:r>
        <w:rPr>
          <w:lang w:val="en-US"/>
        </w:rPr>
        <w:t>p. 30.</w:t>
      </w:r>
    </w:p>
  </w:footnote>
  <w:footnote w:id="111">
    <w:p w14:paraId="2E64291F" w14:textId="06B7BEA7" w:rsidR="003973BE" w:rsidRPr="003973BE" w:rsidRDefault="003973BE">
      <w:pPr>
        <w:pStyle w:val="FootnoteText"/>
      </w:pPr>
      <w:r>
        <w:rPr>
          <w:rStyle w:val="FootnoteReference"/>
        </w:rPr>
        <w:footnoteRef/>
      </w:r>
      <w:r>
        <w:t xml:space="preserve"> </w:t>
      </w:r>
      <w:r w:rsidRPr="003973BE">
        <w:t>Oliver Rafferty, </w:t>
      </w:r>
      <w:r w:rsidRPr="003973BE">
        <w:rPr>
          <w:i/>
          <w:iCs/>
        </w:rPr>
        <w:t>Catholicism in Ulster, 1603-1983: An Interpretative History</w:t>
      </w:r>
      <w:r w:rsidRPr="003973BE">
        <w:t> (South Carolina, USA: University of South Carolina Press, 1994), p. 1.</w:t>
      </w:r>
    </w:p>
  </w:footnote>
  <w:footnote w:id="112">
    <w:p w14:paraId="46318F75" w14:textId="3388FC3A" w:rsidR="00A7367F" w:rsidRPr="00A7367F" w:rsidRDefault="00A7367F">
      <w:pPr>
        <w:pStyle w:val="FootnoteText"/>
      </w:pPr>
      <w:r>
        <w:rPr>
          <w:rStyle w:val="FootnoteReference"/>
        </w:rPr>
        <w:footnoteRef/>
      </w:r>
      <w:r>
        <w:t xml:space="preserve"> </w:t>
      </w:r>
      <w:r w:rsidRPr="00A7367F">
        <w:t>Encyclopaedia</w:t>
      </w:r>
      <w:r w:rsidRPr="00A7367F">
        <w:t xml:space="preserve"> Britannica, </w:t>
      </w:r>
      <w:r w:rsidRPr="00A7367F">
        <w:rPr>
          <w:i/>
          <w:iCs/>
        </w:rPr>
        <w:t>English Civil Wars - The first English Civil War (1642-1649)</w:t>
      </w:r>
      <w:r w:rsidRPr="00A7367F">
        <w:t> (2019) &lt;https://www.britannica.com/event/English-Civil-Wars/The-first-English-Civil-War-1642-46#ref932099&gt; [accessed 8 May 2020].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6A0AC5"/>
    <w:multiLevelType w:val="hybridMultilevel"/>
    <w:tmpl w:val="2E889A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3CA"/>
    <w:rsid w:val="0000766E"/>
    <w:rsid w:val="0001338D"/>
    <w:rsid w:val="00013DD4"/>
    <w:rsid w:val="000174D3"/>
    <w:rsid w:val="00023782"/>
    <w:rsid w:val="000261A9"/>
    <w:rsid w:val="00031C63"/>
    <w:rsid w:val="00044B49"/>
    <w:rsid w:val="00047A9B"/>
    <w:rsid w:val="00052039"/>
    <w:rsid w:val="00053D3F"/>
    <w:rsid w:val="00056050"/>
    <w:rsid w:val="0006237D"/>
    <w:rsid w:val="0006508A"/>
    <w:rsid w:val="00072AFA"/>
    <w:rsid w:val="00074317"/>
    <w:rsid w:val="00074741"/>
    <w:rsid w:val="00081333"/>
    <w:rsid w:val="00081DA2"/>
    <w:rsid w:val="000A76E4"/>
    <w:rsid w:val="000B235B"/>
    <w:rsid w:val="000B39BB"/>
    <w:rsid w:val="000B74E7"/>
    <w:rsid w:val="000C2D39"/>
    <w:rsid w:val="000D1A6B"/>
    <w:rsid w:val="000D310F"/>
    <w:rsid w:val="000E1E0D"/>
    <w:rsid w:val="000E7D29"/>
    <w:rsid w:val="001036DC"/>
    <w:rsid w:val="0010441D"/>
    <w:rsid w:val="00107445"/>
    <w:rsid w:val="00121837"/>
    <w:rsid w:val="0012530D"/>
    <w:rsid w:val="0014016A"/>
    <w:rsid w:val="00143DD4"/>
    <w:rsid w:val="001536B5"/>
    <w:rsid w:val="0016599E"/>
    <w:rsid w:val="001703E6"/>
    <w:rsid w:val="0018147B"/>
    <w:rsid w:val="00184BA4"/>
    <w:rsid w:val="00191451"/>
    <w:rsid w:val="00191C31"/>
    <w:rsid w:val="00192050"/>
    <w:rsid w:val="001926D0"/>
    <w:rsid w:val="00193709"/>
    <w:rsid w:val="00193852"/>
    <w:rsid w:val="00195035"/>
    <w:rsid w:val="001B1FB1"/>
    <w:rsid w:val="001B7D3E"/>
    <w:rsid w:val="001C3D68"/>
    <w:rsid w:val="001C58C4"/>
    <w:rsid w:val="001D20F3"/>
    <w:rsid w:val="001E47DC"/>
    <w:rsid w:val="001E54D1"/>
    <w:rsid w:val="001F15FB"/>
    <w:rsid w:val="001F2332"/>
    <w:rsid w:val="001F293E"/>
    <w:rsid w:val="001F5FF4"/>
    <w:rsid w:val="002042EB"/>
    <w:rsid w:val="00241808"/>
    <w:rsid w:val="00242338"/>
    <w:rsid w:val="00242DA9"/>
    <w:rsid w:val="002453FD"/>
    <w:rsid w:val="00250DCE"/>
    <w:rsid w:val="00260253"/>
    <w:rsid w:val="00262689"/>
    <w:rsid w:val="00290F71"/>
    <w:rsid w:val="002B3FCD"/>
    <w:rsid w:val="002B64C0"/>
    <w:rsid w:val="002C03BD"/>
    <w:rsid w:val="002C61C1"/>
    <w:rsid w:val="002C6FB5"/>
    <w:rsid w:val="002D3B16"/>
    <w:rsid w:val="002E29F8"/>
    <w:rsid w:val="003014DE"/>
    <w:rsid w:val="003137F5"/>
    <w:rsid w:val="00320D07"/>
    <w:rsid w:val="003239C6"/>
    <w:rsid w:val="003246BE"/>
    <w:rsid w:val="00355762"/>
    <w:rsid w:val="003770ED"/>
    <w:rsid w:val="00381EFD"/>
    <w:rsid w:val="00386F8F"/>
    <w:rsid w:val="00391145"/>
    <w:rsid w:val="00396358"/>
    <w:rsid w:val="003973BE"/>
    <w:rsid w:val="003A25EF"/>
    <w:rsid w:val="003C60E3"/>
    <w:rsid w:val="003C69D4"/>
    <w:rsid w:val="003D0D72"/>
    <w:rsid w:val="003F2C14"/>
    <w:rsid w:val="00401507"/>
    <w:rsid w:val="00417AB8"/>
    <w:rsid w:val="00423C3A"/>
    <w:rsid w:val="00424840"/>
    <w:rsid w:val="00427EE9"/>
    <w:rsid w:val="00436AE0"/>
    <w:rsid w:val="0045558C"/>
    <w:rsid w:val="004642A2"/>
    <w:rsid w:val="00477B25"/>
    <w:rsid w:val="004A44EA"/>
    <w:rsid w:val="004A5794"/>
    <w:rsid w:val="004B3122"/>
    <w:rsid w:val="004B3ECE"/>
    <w:rsid w:val="004C71AE"/>
    <w:rsid w:val="004D72F6"/>
    <w:rsid w:val="004E0478"/>
    <w:rsid w:val="005116C7"/>
    <w:rsid w:val="00513D46"/>
    <w:rsid w:val="00522341"/>
    <w:rsid w:val="00523117"/>
    <w:rsid w:val="00523A53"/>
    <w:rsid w:val="005327F7"/>
    <w:rsid w:val="0053439C"/>
    <w:rsid w:val="00534E48"/>
    <w:rsid w:val="00535866"/>
    <w:rsid w:val="00556EDC"/>
    <w:rsid w:val="00557A88"/>
    <w:rsid w:val="0056061C"/>
    <w:rsid w:val="00560D64"/>
    <w:rsid w:val="00566CBF"/>
    <w:rsid w:val="0056784D"/>
    <w:rsid w:val="00572A04"/>
    <w:rsid w:val="00584563"/>
    <w:rsid w:val="00586BAD"/>
    <w:rsid w:val="005A2BA7"/>
    <w:rsid w:val="005A3E92"/>
    <w:rsid w:val="005C57BB"/>
    <w:rsid w:val="005D3CA4"/>
    <w:rsid w:val="005E3E41"/>
    <w:rsid w:val="005E4E2C"/>
    <w:rsid w:val="005F30A6"/>
    <w:rsid w:val="006011AB"/>
    <w:rsid w:val="00602156"/>
    <w:rsid w:val="0060375D"/>
    <w:rsid w:val="006175B6"/>
    <w:rsid w:val="00627D0D"/>
    <w:rsid w:val="00634FA4"/>
    <w:rsid w:val="006415F3"/>
    <w:rsid w:val="00643D28"/>
    <w:rsid w:val="006517A5"/>
    <w:rsid w:val="00652C47"/>
    <w:rsid w:val="006623CA"/>
    <w:rsid w:val="00662BED"/>
    <w:rsid w:val="00670997"/>
    <w:rsid w:val="00670F9C"/>
    <w:rsid w:val="00692935"/>
    <w:rsid w:val="006B0AA1"/>
    <w:rsid w:val="006B26B0"/>
    <w:rsid w:val="006B41C0"/>
    <w:rsid w:val="006C5BE4"/>
    <w:rsid w:val="006C7C8F"/>
    <w:rsid w:val="006D2C74"/>
    <w:rsid w:val="006D453A"/>
    <w:rsid w:val="006E3F8D"/>
    <w:rsid w:val="006E5C13"/>
    <w:rsid w:val="006F5D6D"/>
    <w:rsid w:val="0071170B"/>
    <w:rsid w:val="00716ADF"/>
    <w:rsid w:val="00724FDC"/>
    <w:rsid w:val="00727084"/>
    <w:rsid w:val="00731AFA"/>
    <w:rsid w:val="007366F4"/>
    <w:rsid w:val="0073711F"/>
    <w:rsid w:val="00741001"/>
    <w:rsid w:val="0074440D"/>
    <w:rsid w:val="00754841"/>
    <w:rsid w:val="00777F0A"/>
    <w:rsid w:val="007822BA"/>
    <w:rsid w:val="007832E3"/>
    <w:rsid w:val="007A5235"/>
    <w:rsid w:val="007B0433"/>
    <w:rsid w:val="007B5BB6"/>
    <w:rsid w:val="007C0EB9"/>
    <w:rsid w:val="007D06C1"/>
    <w:rsid w:val="007E6CBB"/>
    <w:rsid w:val="007F14FB"/>
    <w:rsid w:val="007F5735"/>
    <w:rsid w:val="00801892"/>
    <w:rsid w:val="0080644F"/>
    <w:rsid w:val="00836FBA"/>
    <w:rsid w:val="00837BC5"/>
    <w:rsid w:val="00844292"/>
    <w:rsid w:val="00847967"/>
    <w:rsid w:val="008513AD"/>
    <w:rsid w:val="008529D4"/>
    <w:rsid w:val="00856EEC"/>
    <w:rsid w:val="00860BB4"/>
    <w:rsid w:val="00862211"/>
    <w:rsid w:val="00873AA8"/>
    <w:rsid w:val="008742E1"/>
    <w:rsid w:val="00881FE0"/>
    <w:rsid w:val="00896312"/>
    <w:rsid w:val="008966EA"/>
    <w:rsid w:val="008D0973"/>
    <w:rsid w:val="008D1D79"/>
    <w:rsid w:val="008E40ED"/>
    <w:rsid w:val="008E7C58"/>
    <w:rsid w:val="008F2065"/>
    <w:rsid w:val="009122DC"/>
    <w:rsid w:val="00914F6F"/>
    <w:rsid w:val="0092149F"/>
    <w:rsid w:val="00932983"/>
    <w:rsid w:val="009332D4"/>
    <w:rsid w:val="00935902"/>
    <w:rsid w:val="00944993"/>
    <w:rsid w:val="00946B64"/>
    <w:rsid w:val="00972F19"/>
    <w:rsid w:val="00984A09"/>
    <w:rsid w:val="0099430A"/>
    <w:rsid w:val="009948D2"/>
    <w:rsid w:val="00997184"/>
    <w:rsid w:val="009A4392"/>
    <w:rsid w:val="009A6DB1"/>
    <w:rsid w:val="009B670A"/>
    <w:rsid w:val="009C3F57"/>
    <w:rsid w:val="009C5562"/>
    <w:rsid w:val="009D24CB"/>
    <w:rsid w:val="009D5017"/>
    <w:rsid w:val="009D5D94"/>
    <w:rsid w:val="009D7CC8"/>
    <w:rsid w:val="009E0D52"/>
    <w:rsid w:val="009E3434"/>
    <w:rsid w:val="009E5050"/>
    <w:rsid w:val="009E735A"/>
    <w:rsid w:val="009F25AF"/>
    <w:rsid w:val="009F3EEC"/>
    <w:rsid w:val="009F522E"/>
    <w:rsid w:val="00A0484D"/>
    <w:rsid w:val="00A44B84"/>
    <w:rsid w:val="00A46F9C"/>
    <w:rsid w:val="00A51BA9"/>
    <w:rsid w:val="00A53339"/>
    <w:rsid w:val="00A63F6C"/>
    <w:rsid w:val="00A658EA"/>
    <w:rsid w:val="00A70631"/>
    <w:rsid w:val="00A7367F"/>
    <w:rsid w:val="00A80432"/>
    <w:rsid w:val="00A84A53"/>
    <w:rsid w:val="00A906CC"/>
    <w:rsid w:val="00A94B96"/>
    <w:rsid w:val="00A94E89"/>
    <w:rsid w:val="00A9595B"/>
    <w:rsid w:val="00A95CE8"/>
    <w:rsid w:val="00AA3D74"/>
    <w:rsid w:val="00AB2389"/>
    <w:rsid w:val="00AB4100"/>
    <w:rsid w:val="00AB700A"/>
    <w:rsid w:val="00AD0F0B"/>
    <w:rsid w:val="00AE0AF4"/>
    <w:rsid w:val="00AE7CFA"/>
    <w:rsid w:val="00B02012"/>
    <w:rsid w:val="00B063E1"/>
    <w:rsid w:val="00B10A7D"/>
    <w:rsid w:val="00B25AF6"/>
    <w:rsid w:val="00B34C4B"/>
    <w:rsid w:val="00B42B7A"/>
    <w:rsid w:val="00B54847"/>
    <w:rsid w:val="00B60993"/>
    <w:rsid w:val="00B6413F"/>
    <w:rsid w:val="00B670DE"/>
    <w:rsid w:val="00B67A87"/>
    <w:rsid w:val="00B85175"/>
    <w:rsid w:val="00B877FA"/>
    <w:rsid w:val="00BD03F1"/>
    <w:rsid w:val="00BD23BA"/>
    <w:rsid w:val="00BE63C1"/>
    <w:rsid w:val="00C17336"/>
    <w:rsid w:val="00C3390D"/>
    <w:rsid w:val="00C55A8D"/>
    <w:rsid w:val="00C673BE"/>
    <w:rsid w:val="00C74064"/>
    <w:rsid w:val="00C743E3"/>
    <w:rsid w:val="00C760A3"/>
    <w:rsid w:val="00C77B17"/>
    <w:rsid w:val="00C86B0B"/>
    <w:rsid w:val="00CA08BD"/>
    <w:rsid w:val="00CA0BF8"/>
    <w:rsid w:val="00CB32A6"/>
    <w:rsid w:val="00CB3911"/>
    <w:rsid w:val="00CC3664"/>
    <w:rsid w:val="00CC5957"/>
    <w:rsid w:val="00CD200D"/>
    <w:rsid w:val="00CD21A5"/>
    <w:rsid w:val="00CD5630"/>
    <w:rsid w:val="00CD6249"/>
    <w:rsid w:val="00CE549A"/>
    <w:rsid w:val="00CE7D29"/>
    <w:rsid w:val="00CE7F14"/>
    <w:rsid w:val="00CF5CFF"/>
    <w:rsid w:val="00CF7DE4"/>
    <w:rsid w:val="00D01A77"/>
    <w:rsid w:val="00D06287"/>
    <w:rsid w:val="00D1697D"/>
    <w:rsid w:val="00D2361C"/>
    <w:rsid w:val="00D47C4B"/>
    <w:rsid w:val="00D5473B"/>
    <w:rsid w:val="00D563E9"/>
    <w:rsid w:val="00D57465"/>
    <w:rsid w:val="00D76429"/>
    <w:rsid w:val="00D776E8"/>
    <w:rsid w:val="00D87BA2"/>
    <w:rsid w:val="00DA10D8"/>
    <w:rsid w:val="00DB0DDD"/>
    <w:rsid w:val="00DB21C1"/>
    <w:rsid w:val="00DE22B1"/>
    <w:rsid w:val="00DF2313"/>
    <w:rsid w:val="00DF5248"/>
    <w:rsid w:val="00DF6AD6"/>
    <w:rsid w:val="00E009A5"/>
    <w:rsid w:val="00E00FC0"/>
    <w:rsid w:val="00E020FC"/>
    <w:rsid w:val="00E118F0"/>
    <w:rsid w:val="00E16A94"/>
    <w:rsid w:val="00E26A3F"/>
    <w:rsid w:val="00E373DA"/>
    <w:rsid w:val="00E44C51"/>
    <w:rsid w:val="00E4590D"/>
    <w:rsid w:val="00E6079F"/>
    <w:rsid w:val="00E7041E"/>
    <w:rsid w:val="00E7074A"/>
    <w:rsid w:val="00E70B47"/>
    <w:rsid w:val="00E7757A"/>
    <w:rsid w:val="00E91AB9"/>
    <w:rsid w:val="00E93714"/>
    <w:rsid w:val="00E94939"/>
    <w:rsid w:val="00EA3304"/>
    <w:rsid w:val="00EA348B"/>
    <w:rsid w:val="00EB177C"/>
    <w:rsid w:val="00EC3A73"/>
    <w:rsid w:val="00ED79F5"/>
    <w:rsid w:val="00EF5A53"/>
    <w:rsid w:val="00F033BF"/>
    <w:rsid w:val="00F04489"/>
    <w:rsid w:val="00F06E3A"/>
    <w:rsid w:val="00F160A9"/>
    <w:rsid w:val="00F16360"/>
    <w:rsid w:val="00F167BE"/>
    <w:rsid w:val="00F17A4F"/>
    <w:rsid w:val="00F2582A"/>
    <w:rsid w:val="00F2676A"/>
    <w:rsid w:val="00F3279C"/>
    <w:rsid w:val="00F4371B"/>
    <w:rsid w:val="00F44FB2"/>
    <w:rsid w:val="00F5334A"/>
    <w:rsid w:val="00F54584"/>
    <w:rsid w:val="00F70E16"/>
    <w:rsid w:val="00F7453B"/>
    <w:rsid w:val="00F81208"/>
    <w:rsid w:val="00F94527"/>
    <w:rsid w:val="00FA1914"/>
    <w:rsid w:val="00FA4E23"/>
    <w:rsid w:val="00FB5209"/>
    <w:rsid w:val="00FC2F39"/>
    <w:rsid w:val="00FC3967"/>
    <w:rsid w:val="00FC528D"/>
    <w:rsid w:val="00FC760D"/>
    <w:rsid w:val="00FD11F0"/>
    <w:rsid w:val="00FD6B8B"/>
    <w:rsid w:val="00FD7FD1"/>
    <w:rsid w:val="00FF428A"/>
    <w:rsid w:val="00FF5C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A608B"/>
  <w15:chartTrackingRefBased/>
  <w15:docId w15:val="{870031BD-A0AA-457C-BFD1-633BB93DC3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120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7D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175B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67A8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67A87"/>
    <w:rPr>
      <w:sz w:val="20"/>
      <w:szCs w:val="20"/>
    </w:rPr>
  </w:style>
  <w:style w:type="character" w:styleId="FootnoteReference">
    <w:name w:val="footnote reference"/>
    <w:basedOn w:val="DefaultParagraphFont"/>
    <w:uiPriority w:val="99"/>
    <w:semiHidden/>
    <w:unhideWhenUsed/>
    <w:rsid w:val="00B67A87"/>
    <w:rPr>
      <w:vertAlign w:val="superscript"/>
    </w:rPr>
  </w:style>
  <w:style w:type="character" w:styleId="Hyperlink">
    <w:name w:val="Hyperlink"/>
    <w:basedOn w:val="DefaultParagraphFont"/>
    <w:uiPriority w:val="99"/>
    <w:unhideWhenUsed/>
    <w:rsid w:val="00B85175"/>
    <w:rPr>
      <w:color w:val="0563C1" w:themeColor="hyperlink"/>
      <w:u w:val="single"/>
    </w:rPr>
  </w:style>
  <w:style w:type="character" w:styleId="UnresolvedMention">
    <w:name w:val="Unresolved Mention"/>
    <w:basedOn w:val="DefaultParagraphFont"/>
    <w:uiPriority w:val="99"/>
    <w:semiHidden/>
    <w:unhideWhenUsed/>
    <w:rsid w:val="00B85175"/>
    <w:rPr>
      <w:color w:val="605E5C"/>
      <w:shd w:val="clear" w:color="auto" w:fill="E1DFDD"/>
    </w:rPr>
  </w:style>
  <w:style w:type="paragraph" w:styleId="ListParagraph">
    <w:name w:val="List Paragraph"/>
    <w:basedOn w:val="Normal"/>
    <w:uiPriority w:val="34"/>
    <w:qFormat/>
    <w:rsid w:val="00391145"/>
    <w:pPr>
      <w:ind w:left="720"/>
      <w:contextualSpacing/>
    </w:pPr>
  </w:style>
  <w:style w:type="paragraph" w:styleId="NormalWeb">
    <w:name w:val="Normal (Web)"/>
    <w:basedOn w:val="Normal"/>
    <w:semiHidden/>
    <w:unhideWhenUsed/>
    <w:rsid w:val="00386F8F"/>
    <w:rPr>
      <w:rFonts w:ascii="Times New Roman" w:hAnsi="Times New Roman" w:cs="Times New Roman"/>
      <w:sz w:val="24"/>
      <w:szCs w:val="24"/>
    </w:rPr>
  </w:style>
  <w:style w:type="character" w:customStyle="1" w:styleId="Heading1Char">
    <w:name w:val="Heading 1 Char"/>
    <w:basedOn w:val="DefaultParagraphFont"/>
    <w:link w:val="Heading1"/>
    <w:uiPriority w:val="9"/>
    <w:rsid w:val="00F8120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81208"/>
    <w:pPr>
      <w:outlineLvl w:val="9"/>
    </w:pPr>
    <w:rPr>
      <w:lang w:val="en-US"/>
    </w:rPr>
  </w:style>
  <w:style w:type="paragraph" w:styleId="TOC1">
    <w:name w:val="toc 1"/>
    <w:basedOn w:val="Normal"/>
    <w:next w:val="Normal"/>
    <w:autoRedefine/>
    <w:uiPriority w:val="39"/>
    <w:unhideWhenUsed/>
    <w:rsid w:val="00932983"/>
    <w:pPr>
      <w:spacing w:after="100"/>
    </w:pPr>
  </w:style>
  <w:style w:type="character" w:customStyle="1" w:styleId="Heading2Char">
    <w:name w:val="Heading 2 Char"/>
    <w:basedOn w:val="DefaultParagraphFont"/>
    <w:link w:val="Heading2"/>
    <w:uiPriority w:val="9"/>
    <w:rsid w:val="00627D0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92050"/>
    <w:pPr>
      <w:spacing w:after="100"/>
      <w:ind w:left="220"/>
    </w:pPr>
  </w:style>
  <w:style w:type="character" w:customStyle="1" w:styleId="Heading3Char">
    <w:name w:val="Heading 3 Char"/>
    <w:basedOn w:val="DefaultParagraphFont"/>
    <w:link w:val="Heading3"/>
    <w:uiPriority w:val="9"/>
    <w:semiHidden/>
    <w:rsid w:val="006175B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1926D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770546">
      <w:bodyDiv w:val="1"/>
      <w:marLeft w:val="0"/>
      <w:marRight w:val="0"/>
      <w:marTop w:val="0"/>
      <w:marBottom w:val="0"/>
      <w:divBdr>
        <w:top w:val="none" w:sz="0" w:space="0" w:color="auto"/>
        <w:left w:val="none" w:sz="0" w:space="0" w:color="auto"/>
        <w:bottom w:val="none" w:sz="0" w:space="0" w:color="auto"/>
        <w:right w:val="none" w:sz="0" w:space="0" w:color="auto"/>
      </w:divBdr>
      <w:divsChild>
        <w:div w:id="1427654892">
          <w:marLeft w:val="0"/>
          <w:marRight w:val="0"/>
          <w:marTop w:val="0"/>
          <w:marBottom w:val="0"/>
          <w:divBdr>
            <w:top w:val="none" w:sz="0" w:space="0" w:color="auto"/>
            <w:left w:val="none" w:sz="0" w:space="0" w:color="auto"/>
            <w:bottom w:val="none" w:sz="0" w:space="0" w:color="auto"/>
            <w:right w:val="none" w:sz="0" w:space="0" w:color="auto"/>
          </w:divBdr>
          <w:divsChild>
            <w:div w:id="698167051">
              <w:marLeft w:val="0"/>
              <w:marRight w:val="225"/>
              <w:marTop w:val="225"/>
              <w:marBottom w:val="225"/>
              <w:divBdr>
                <w:top w:val="none" w:sz="0" w:space="0" w:color="auto"/>
                <w:left w:val="none" w:sz="0" w:space="0" w:color="auto"/>
                <w:bottom w:val="none" w:sz="0" w:space="0" w:color="auto"/>
                <w:right w:val="none" w:sz="0" w:space="0" w:color="auto"/>
              </w:divBdr>
              <w:divsChild>
                <w:div w:id="1678144368">
                  <w:marLeft w:val="0"/>
                  <w:marRight w:val="0"/>
                  <w:marTop w:val="0"/>
                  <w:marBottom w:val="0"/>
                  <w:divBdr>
                    <w:top w:val="none" w:sz="0" w:space="0" w:color="auto"/>
                    <w:left w:val="none" w:sz="0" w:space="0" w:color="auto"/>
                    <w:bottom w:val="none" w:sz="0" w:space="0" w:color="auto"/>
                    <w:right w:val="none" w:sz="0" w:space="0" w:color="auto"/>
                  </w:divBdr>
                  <w:divsChild>
                    <w:div w:id="658733541">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79985166">
      <w:bodyDiv w:val="1"/>
      <w:marLeft w:val="0"/>
      <w:marRight w:val="0"/>
      <w:marTop w:val="0"/>
      <w:marBottom w:val="0"/>
      <w:divBdr>
        <w:top w:val="none" w:sz="0" w:space="0" w:color="auto"/>
        <w:left w:val="none" w:sz="0" w:space="0" w:color="auto"/>
        <w:bottom w:val="none" w:sz="0" w:space="0" w:color="auto"/>
        <w:right w:val="none" w:sz="0" w:space="0" w:color="auto"/>
      </w:divBdr>
      <w:divsChild>
        <w:div w:id="1682312662">
          <w:marLeft w:val="0"/>
          <w:marRight w:val="0"/>
          <w:marTop w:val="0"/>
          <w:marBottom w:val="0"/>
          <w:divBdr>
            <w:top w:val="none" w:sz="0" w:space="0" w:color="auto"/>
            <w:left w:val="none" w:sz="0" w:space="0" w:color="auto"/>
            <w:bottom w:val="none" w:sz="0" w:space="0" w:color="auto"/>
            <w:right w:val="none" w:sz="0" w:space="0" w:color="auto"/>
          </w:divBdr>
          <w:divsChild>
            <w:div w:id="870261451">
              <w:marLeft w:val="0"/>
              <w:marRight w:val="225"/>
              <w:marTop w:val="225"/>
              <w:marBottom w:val="225"/>
              <w:divBdr>
                <w:top w:val="none" w:sz="0" w:space="0" w:color="auto"/>
                <w:left w:val="none" w:sz="0" w:space="0" w:color="auto"/>
                <w:bottom w:val="none" w:sz="0" w:space="0" w:color="auto"/>
                <w:right w:val="none" w:sz="0" w:space="0" w:color="auto"/>
              </w:divBdr>
              <w:divsChild>
                <w:div w:id="1072044385">
                  <w:marLeft w:val="0"/>
                  <w:marRight w:val="0"/>
                  <w:marTop w:val="0"/>
                  <w:marBottom w:val="0"/>
                  <w:divBdr>
                    <w:top w:val="none" w:sz="0" w:space="0" w:color="auto"/>
                    <w:left w:val="none" w:sz="0" w:space="0" w:color="auto"/>
                    <w:bottom w:val="none" w:sz="0" w:space="0" w:color="auto"/>
                    <w:right w:val="none" w:sz="0" w:space="0" w:color="auto"/>
                  </w:divBdr>
                  <w:divsChild>
                    <w:div w:id="95833712">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98138515">
      <w:bodyDiv w:val="1"/>
      <w:marLeft w:val="0"/>
      <w:marRight w:val="0"/>
      <w:marTop w:val="0"/>
      <w:marBottom w:val="0"/>
      <w:divBdr>
        <w:top w:val="none" w:sz="0" w:space="0" w:color="auto"/>
        <w:left w:val="none" w:sz="0" w:space="0" w:color="auto"/>
        <w:bottom w:val="none" w:sz="0" w:space="0" w:color="auto"/>
        <w:right w:val="none" w:sz="0" w:space="0" w:color="auto"/>
      </w:divBdr>
      <w:divsChild>
        <w:div w:id="1292789891">
          <w:marLeft w:val="0"/>
          <w:marRight w:val="0"/>
          <w:marTop w:val="0"/>
          <w:marBottom w:val="0"/>
          <w:divBdr>
            <w:top w:val="none" w:sz="0" w:space="0" w:color="auto"/>
            <w:left w:val="none" w:sz="0" w:space="0" w:color="auto"/>
            <w:bottom w:val="none" w:sz="0" w:space="0" w:color="auto"/>
            <w:right w:val="none" w:sz="0" w:space="0" w:color="auto"/>
          </w:divBdr>
          <w:divsChild>
            <w:div w:id="1823614864">
              <w:marLeft w:val="0"/>
              <w:marRight w:val="225"/>
              <w:marTop w:val="225"/>
              <w:marBottom w:val="225"/>
              <w:divBdr>
                <w:top w:val="none" w:sz="0" w:space="0" w:color="auto"/>
                <w:left w:val="none" w:sz="0" w:space="0" w:color="auto"/>
                <w:bottom w:val="none" w:sz="0" w:space="0" w:color="auto"/>
                <w:right w:val="none" w:sz="0" w:space="0" w:color="auto"/>
              </w:divBdr>
              <w:divsChild>
                <w:div w:id="1159463131">
                  <w:marLeft w:val="0"/>
                  <w:marRight w:val="0"/>
                  <w:marTop w:val="0"/>
                  <w:marBottom w:val="0"/>
                  <w:divBdr>
                    <w:top w:val="none" w:sz="0" w:space="0" w:color="auto"/>
                    <w:left w:val="none" w:sz="0" w:space="0" w:color="auto"/>
                    <w:bottom w:val="none" w:sz="0" w:space="0" w:color="auto"/>
                    <w:right w:val="none" w:sz="0" w:space="0" w:color="auto"/>
                  </w:divBdr>
                  <w:divsChild>
                    <w:div w:id="1606380790">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17459615">
      <w:bodyDiv w:val="1"/>
      <w:marLeft w:val="0"/>
      <w:marRight w:val="0"/>
      <w:marTop w:val="0"/>
      <w:marBottom w:val="0"/>
      <w:divBdr>
        <w:top w:val="none" w:sz="0" w:space="0" w:color="auto"/>
        <w:left w:val="none" w:sz="0" w:space="0" w:color="auto"/>
        <w:bottom w:val="none" w:sz="0" w:space="0" w:color="auto"/>
        <w:right w:val="none" w:sz="0" w:space="0" w:color="auto"/>
      </w:divBdr>
      <w:divsChild>
        <w:div w:id="1791971301">
          <w:marLeft w:val="0"/>
          <w:marRight w:val="0"/>
          <w:marTop w:val="0"/>
          <w:marBottom w:val="0"/>
          <w:divBdr>
            <w:top w:val="none" w:sz="0" w:space="0" w:color="auto"/>
            <w:left w:val="none" w:sz="0" w:space="0" w:color="auto"/>
            <w:bottom w:val="none" w:sz="0" w:space="0" w:color="auto"/>
            <w:right w:val="none" w:sz="0" w:space="0" w:color="auto"/>
          </w:divBdr>
          <w:divsChild>
            <w:div w:id="1437679259">
              <w:marLeft w:val="0"/>
              <w:marRight w:val="225"/>
              <w:marTop w:val="225"/>
              <w:marBottom w:val="225"/>
              <w:divBdr>
                <w:top w:val="none" w:sz="0" w:space="0" w:color="auto"/>
                <w:left w:val="none" w:sz="0" w:space="0" w:color="auto"/>
                <w:bottom w:val="none" w:sz="0" w:space="0" w:color="auto"/>
                <w:right w:val="none" w:sz="0" w:space="0" w:color="auto"/>
              </w:divBdr>
              <w:divsChild>
                <w:div w:id="830366923">
                  <w:marLeft w:val="0"/>
                  <w:marRight w:val="0"/>
                  <w:marTop w:val="0"/>
                  <w:marBottom w:val="0"/>
                  <w:divBdr>
                    <w:top w:val="none" w:sz="0" w:space="0" w:color="auto"/>
                    <w:left w:val="none" w:sz="0" w:space="0" w:color="auto"/>
                    <w:bottom w:val="none" w:sz="0" w:space="0" w:color="auto"/>
                    <w:right w:val="none" w:sz="0" w:space="0" w:color="auto"/>
                  </w:divBdr>
                  <w:divsChild>
                    <w:div w:id="974288512">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299120186">
      <w:bodyDiv w:val="1"/>
      <w:marLeft w:val="0"/>
      <w:marRight w:val="0"/>
      <w:marTop w:val="0"/>
      <w:marBottom w:val="0"/>
      <w:divBdr>
        <w:top w:val="none" w:sz="0" w:space="0" w:color="auto"/>
        <w:left w:val="none" w:sz="0" w:space="0" w:color="auto"/>
        <w:bottom w:val="none" w:sz="0" w:space="0" w:color="auto"/>
        <w:right w:val="none" w:sz="0" w:space="0" w:color="auto"/>
      </w:divBdr>
      <w:divsChild>
        <w:div w:id="131218169">
          <w:marLeft w:val="0"/>
          <w:marRight w:val="0"/>
          <w:marTop w:val="0"/>
          <w:marBottom w:val="0"/>
          <w:divBdr>
            <w:top w:val="none" w:sz="0" w:space="0" w:color="auto"/>
            <w:left w:val="none" w:sz="0" w:space="0" w:color="auto"/>
            <w:bottom w:val="none" w:sz="0" w:space="0" w:color="auto"/>
            <w:right w:val="none" w:sz="0" w:space="0" w:color="auto"/>
          </w:divBdr>
          <w:divsChild>
            <w:div w:id="1437947964">
              <w:marLeft w:val="0"/>
              <w:marRight w:val="225"/>
              <w:marTop w:val="225"/>
              <w:marBottom w:val="225"/>
              <w:divBdr>
                <w:top w:val="none" w:sz="0" w:space="0" w:color="auto"/>
                <w:left w:val="none" w:sz="0" w:space="0" w:color="auto"/>
                <w:bottom w:val="none" w:sz="0" w:space="0" w:color="auto"/>
                <w:right w:val="none" w:sz="0" w:space="0" w:color="auto"/>
              </w:divBdr>
              <w:divsChild>
                <w:div w:id="140077372">
                  <w:marLeft w:val="0"/>
                  <w:marRight w:val="0"/>
                  <w:marTop w:val="0"/>
                  <w:marBottom w:val="0"/>
                  <w:divBdr>
                    <w:top w:val="none" w:sz="0" w:space="0" w:color="auto"/>
                    <w:left w:val="none" w:sz="0" w:space="0" w:color="auto"/>
                    <w:bottom w:val="none" w:sz="0" w:space="0" w:color="auto"/>
                    <w:right w:val="none" w:sz="0" w:space="0" w:color="auto"/>
                  </w:divBdr>
                  <w:divsChild>
                    <w:div w:id="922377479">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558518076">
      <w:bodyDiv w:val="1"/>
      <w:marLeft w:val="0"/>
      <w:marRight w:val="0"/>
      <w:marTop w:val="0"/>
      <w:marBottom w:val="0"/>
      <w:divBdr>
        <w:top w:val="none" w:sz="0" w:space="0" w:color="auto"/>
        <w:left w:val="none" w:sz="0" w:space="0" w:color="auto"/>
        <w:bottom w:val="none" w:sz="0" w:space="0" w:color="auto"/>
        <w:right w:val="none" w:sz="0" w:space="0" w:color="auto"/>
      </w:divBdr>
      <w:divsChild>
        <w:div w:id="989209271">
          <w:marLeft w:val="0"/>
          <w:marRight w:val="0"/>
          <w:marTop w:val="0"/>
          <w:marBottom w:val="0"/>
          <w:divBdr>
            <w:top w:val="none" w:sz="0" w:space="0" w:color="auto"/>
            <w:left w:val="none" w:sz="0" w:space="0" w:color="auto"/>
            <w:bottom w:val="none" w:sz="0" w:space="0" w:color="auto"/>
            <w:right w:val="none" w:sz="0" w:space="0" w:color="auto"/>
          </w:divBdr>
          <w:divsChild>
            <w:div w:id="68114409">
              <w:marLeft w:val="0"/>
              <w:marRight w:val="225"/>
              <w:marTop w:val="225"/>
              <w:marBottom w:val="225"/>
              <w:divBdr>
                <w:top w:val="none" w:sz="0" w:space="0" w:color="auto"/>
                <w:left w:val="none" w:sz="0" w:space="0" w:color="auto"/>
                <w:bottom w:val="none" w:sz="0" w:space="0" w:color="auto"/>
                <w:right w:val="none" w:sz="0" w:space="0" w:color="auto"/>
              </w:divBdr>
              <w:divsChild>
                <w:div w:id="2125614756">
                  <w:marLeft w:val="0"/>
                  <w:marRight w:val="0"/>
                  <w:marTop w:val="0"/>
                  <w:marBottom w:val="0"/>
                  <w:divBdr>
                    <w:top w:val="none" w:sz="0" w:space="0" w:color="auto"/>
                    <w:left w:val="none" w:sz="0" w:space="0" w:color="auto"/>
                    <w:bottom w:val="none" w:sz="0" w:space="0" w:color="auto"/>
                    <w:right w:val="none" w:sz="0" w:space="0" w:color="auto"/>
                  </w:divBdr>
                  <w:divsChild>
                    <w:div w:id="392699032">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722172893">
      <w:bodyDiv w:val="1"/>
      <w:marLeft w:val="0"/>
      <w:marRight w:val="0"/>
      <w:marTop w:val="0"/>
      <w:marBottom w:val="0"/>
      <w:divBdr>
        <w:top w:val="none" w:sz="0" w:space="0" w:color="auto"/>
        <w:left w:val="none" w:sz="0" w:space="0" w:color="auto"/>
        <w:bottom w:val="none" w:sz="0" w:space="0" w:color="auto"/>
        <w:right w:val="none" w:sz="0" w:space="0" w:color="auto"/>
      </w:divBdr>
      <w:divsChild>
        <w:div w:id="702436997">
          <w:marLeft w:val="0"/>
          <w:marRight w:val="0"/>
          <w:marTop w:val="0"/>
          <w:marBottom w:val="0"/>
          <w:divBdr>
            <w:top w:val="none" w:sz="0" w:space="0" w:color="auto"/>
            <w:left w:val="none" w:sz="0" w:space="0" w:color="auto"/>
            <w:bottom w:val="none" w:sz="0" w:space="0" w:color="auto"/>
            <w:right w:val="none" w:sz="0" w:space="0" w:color="auto"/>
          </w:divBdr>
          <w:divsChild>
            <w:div w:id="1497846374">
              <w:marLeft w:val="0"/>
              <w:marRight w:val="225"/>
              <w:marTop w:val="225"/>
              <w:marBottom w:val="225"/>
              <w:divBdr>
                <w:top w:val="none" w:sz="0" w:space="0" w:color="auto"/>
                <w:left w:val="none" w:sz="0" w:space="0" w:color="auto"/>
                <w:bottom w:val="none" w:sz="0" w:space="0" w:color="auto"/>
                <w:right w:val="none" w:sz="0" w:space="0" w:color="auto"/>
              </w:divBdr>
              <w:divsChild>
                <w:div w:id="1768230685">
                  <w:marLeft w:val="0"/>
                  <w:marRight w:val="0"/>
                  <w:marTop w:val="0"/>
                  <w:marBottom w:val="0"/>
                  <w:divBdr>
                    <w:top w:val="none" w:sz="0" w:space="0" w:color="auto"/>
                    <w:left w:val="none" w:sz="0" w:space="0" w:color="auto"/>
                    <w:bottom w:val="none" w:sz="0" w:space="0" w:color="auto"/>
                    <w:right w:val="none" w:sz="0" w:space="0" w:color="auto"/>
                  </w:divBdr>
                  <w:divsChild>
                    <w:div w:id="443623636">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725301805">
      <w:bodyDiv w:val="1"/>
      <w:marLeft w:val="0"/>
      <w:marRight w:val="0"/>
      <w:marTop w:val="0"/>
      <w:marBottom w:val="0"/>
      <w:divBdr>
        <w:top w:val="none" w:sz="0" w:space="0" w:color="auto"/>
        <w:left w:val="none" w:sz="0" w:space="0" w:color="auto"/>
        <w:bottom w:val="none" w:sz="0" w:space="0" w:color="auto"/>
        <w:right w:val="none" w:sz="0" w:space="0" w:color="auto"/>
      </w:divBdr>
      <w:divsChild>
        <w:div w:id="1943294823">
          <w:marLeft w:val="0"/>
          <w:marRight w:val="0"/>
          <w:marTop w:val="0"/>
          <w:marBottom w:val="0"/>
          <w:divBdr>
            <w:top w:val="none" w:sz="0" w:space="0" w:color="auto"/>
            <w:left w:val="none" w:sz="0" w:space="0" w:color="auto"/>
            <w:bottom w:val="none" w:sz="0" w:space="0" w:color="auto"/>
            <w:right w:val="none" w:sz="0" w:space="0" w:color="auto"/>
          </w:divBdr>
          <w:divsChild>
            <w:div w:id="1011295297">
              <w:marLeft w:val="0"/>
              <w:marRight w:val="225"/>
              <w:marTop w:val="225"/>
              <w:marBottom w:val="225"/>
              <w:divBdr>
                <w:top w:val="none" w:sz="0" w:space="0" w:color="auto"/>
                <w:left w:val="none" w:sz="0" w:space="0" w:color="auto"/>
                <w:bottom w:val="none" w:sz="0" w:space="0" w:color="auto"/>
                <w:right w:val="none" w:sz="0" w:space="0" w:color="auto"/>
              </w:divBdr>
              <w:divsChild>
                <w:div w:id="1644888506">
                  <w:marLeft w:val="0"/>
                  <w:marRight w:val="0"/>
                  <w:marTop w:val="0"/>
                  <w:marBottom w:val="0"/>
                  <w:divBdr>
                    <w:top w:val="none" w:sz="0" w:space="0" w:color="auto"/>
                    <w:left w:val="none" w:sz="0" w:space="0" w:color="auto"/>
                    <w:bottom w:val="none" w:sz="0" w:space="0" w:color="auto"/>
                    <w:right w:val="none" w:sz="0" w:space="0" w:color="auto"/>
                  </w:divBdr>
                  <w:divsChild>
                    <w:div w:id="2025475413">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749235472">
      <w:bodyDiv w:val="1"/>
      <w:marLeft w:val="0"/>
      <w:marRight w:val="0"/>
      <w:marTop w:val="0"/>
      <w:marBottom w:val="0"/>
      <w:divBdr>
        <w:top w:val="none" w:sz="0" w:space="0" w:color="auto"/>
        <w:left w:val="none" w:sz="0" w:space="0" w:color="auto"/>
        <w:bottom w:val="none" w:sz="0" w:space="0" w:color="auto"/>
        <w:right w:val="none" w:sz="0" w:space="0" w:color="auto"/>
      </w:divBdr>
      <w:divsChild>
        <w:div w:id="687484887">
          <w:marLeft w:val="0"/>
          <w:marRight w:val="0"/>
          <w:marTop w:val="0"/>
          <w:marBottom w:val="0"/>
          <w:divBdr>
            <w:top w:val="none" w:sz="0" w:space="0" w:color="auto"/>
            <w:left w:val="none" w:sz="0" w:space="0" w:color="auto"/>
            <w:bottom w:val="none" w:sz="0" w:space="0" w:color="auto"/>
            <w:right w:val="none" w:sz="0" w:space="0" w:color="auto"/>
          </w:divBdr>
          <w:divsChild>
            <w:div w:id="1765876082">
              <w:marLeft w:val="0"/>
              <w:marRight w:val="225"/>
              <w:marTop w:val="225"/>
              <w:marBottom w:val="225"/>
              <w:divBdr>
                <w:top w:val="none" w:sz="0" w:space="0" w:color="auto"/>
                <w:left w:val="none" w:sz="0" w:space="0" w:color="auto"/>
                <w:bottom w:val="none" w:sz="0" w:space="0" w:color="auto"/>
                <w:right w:val="none" w:sz="0" w:space="0" w:color="auto"/>
              </w:divBdr>
              <w:divsChild>
                <w:div w:id="1462921880">
                  <w:marLeft w:val="0"/>
                  <w:marRight w:val="0"/>
                  <w:marTop w:val="0"/>
                  <w:marBottom w:val="0"/>
                  <w:divBdr>
                    <w:top w:val="none" w:sz="0" w:space="0" w:color="auto"/>
                    <w:left w:val="none" w:sz="0" w:space="0" w:color="auto"/>
                    <w:bottom w:val="none" w:sz="0" w:space="0" w:color="auto"/>
                    <w:right w:val="none" w:sz="0" w:space="0" w:color="auto"/>
                  </w:divBdr>
                  <w:divsChild>
                    <w:div w:id="554315711">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819036045">
      <w:bodyDiv w:val="1"/>
      <w:marLeft w:val="0"/>
      <w:marRight w:val="0"/>
      <w:marTop w:val="0"/>
      <w:marBottom w:val="0"/>
      <w:divBdr>
        <w:top w:val="none" w:sz="0" w:space="0" w:color="auto"/>
        <w:left w:val="none" w:sz="0" w:space="0" w:color="auto"/>
        <w:bottom w:val="none" w:sz="0" w:space="0" w:color="auto"/>
        <w:right w:val="none" w:sz="0" w:space="0" w:color="auto"/>
      </w:divBdr>
      <w:divsChild>
        <w:div w:id="989865077">
          <w:marLeft w:val="0"/>
          <w:marRight w:val="0"/>
          <w:marTop w:val="0"/>
          <w:marBottom w:val="0"/>
          <w:divBdr>
            <w:top w:val="none" w:sz="0" w:space="0" w:color="auto"/>
            <w:left w:val="none" w:sz="0" w:space="0" w:color="auto"/>
            <w:bottom w:val="none" w:sz="0" w:space="0" w:color="auto"/>
            <w:right w:val="none" w:sz="0" w:space="0" w:color="auto"/>
          </w:divBdr>
          <w:divsChild>
            <w:div w:id="287782707">
              <w:marLeft w:val="0"/>
              <w:marRight w:val="225"/>
              <w:marTop w:val="225"/>
              <w:marBottom w:val="225"/>
              <w:divBdr>
                <w:top w:val="none" w:sz="0" w:space="0" w:color="auto"/>
                <w:left w:val="none" w:sz="0" w:space="0" w:color="auto"/>
                <w:bottom w:val="none" w:sz="0" w:space="0" w:color="auto"/>
                <w:right w:val="none" w:sz="0" w:space="0" w:color="auto"/>
              </w:divBdr>
              <w:divsChild>
                <w:div w:id="1982995168">
                  <w:marLeft w:val="0"/>
                  <w:marRight w:val="0"/>
                  <w:marTop w:val="0"/>
                  <w:marBottom w:val="0"/>
                  <w:divBdr>
                    <w:top w:val="none" w:sz="0" w:space="0" w:color="auto"/>
                    <w:left w:val="none" w:sz="0" w:space="0" w:color="auto"/>
                    <w:bottom w:val="none" w:sz="0" w:space="0" w:color="auto"/>
                    <w:right w:val="none" w:sz="0" w:space="0" w:color="auto"/>
                  </w:divBdr>
                  <w:divsChild>
                    <w:div w:id="890312395">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885989864">
      <w:bodyDiv w:val="1"/>
      <w:marLeft w:val="0"/>
      <w:marRight w:val="0"/>
      <w:marTop w:val="0"/>
      <w:marBottom w:val="0"/>
      <w:divBdr>
        <w:top w:val="none" w:sz="0" w:space="0" w:color="auto"/>
        <w:left w:val="none" w:sz="0" w:space="0" w:color="auto"/>
        <w:bottom w:val="none" w:sz="0" w:space="0" w:color="auto"/>
        <w:right w:val="none" w:sz="0" w:space="0" w:color="auto"/>
      </w:divBdr>
    </w:div>
    <w:div w:id="889728056">
      <w:bodyDiv w:val="1"/>
      <w:marLeft w:val="0"/>
      <w:marRight w:val="0"/>
      <w:marTop w:val="0"/>
      <w:marBottom w:val="0"/>
      <w:divBdr>
        <w:top w:val="none" w:sz="0" w:space="0" w:color="auto"/>
        <w:left w:val="none" w:sz="0" w:space="0" w:color="auto"/>
        <w:bottom w:val="none" w:sz="0" w:space="0" w:color="auto"/>
        <w:right w:val="none" w:sz="0" w:space="0" w:color="auto"/>
      </w:divBdr>
      <w:divsChild>
        <w:div w:id="955058935">
          <w:marLeft w:val="0"/>
          <w:marRight w:val="0"/>
          <w:marTop w:val="0"/>
          <w:marBottom w:val="0"/>
          <w:divBdr>
            <w:top w:val="none" w:sz="0" w:space="0" w:color="auto"/>
            <w:left w:val="none" w:sz="0" w:space="0" w:color="auto"/>
            <w:bottom w:val="none" w:sz="0" w:space="0" w:color="auto"/>
            <w:right w:val="none" w:sz="0" w:space="0" w:color="auto"/>
          </w:divBdr>
          <w:divsChild>
            <w:div w:id="1538004251">
              <w:marLeft w:val="0"/>
              <w:marRight w:val="225"/>
              <w:marTop w:val="225"/>
              <w:marBottom w:val="225"/>
              <w:divBdr>
                <w:top w:val="none" w:sz="0" w:space="0" w:color="auto"/>
                <w:left w:val="none" w:sz="0" w:space="0" w:color="auto"/>
                <w:bottom w:val="none" w:sz="0" w:space="0" w:color="auto"/>
                <w:right w:val="none" w:sz="0" w:space="0" w:color="auto"/>
              </w:divBdr>
              <w:divsChild>
                <w:div w:id="1935896840">
                  <w:marLeft w:val="0"/>
                  <w:marRight w:val="0"/>
                  <w:marTop w:val="0"/>
                  <w:marBottom w:val="0"/>
                  <w:divBdr>
                    <w:top w:val="none" w:sz="0" w:space="0" w:color="auto"/>
                    <w:left w:val="none" w:sz="0" w:space="0" w:color="auto"/>
                    <w:bottom w:val="none" w:sz="0" w:space="0" w:color="auto"/>
                    <w:right w:val="none" w:sz="0" w:space="0" w:color="auto"/>
                  </w:divBdr>
                  <w:divsChild>
                    <w:div w:id="1663771637">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962886844">
      <w:bodyDiv w:val="1"/>
      <w:marLeft w:val="0"/>
      <w:marRight w:val="0"/>
      <w:marTop w:val="0"/>
      <w:marBottom w:val="0"/>
      <w:divBdr>
        <w:top w:val="none" w:sz="0" w:space="0" w:color="auto"/>
        <w:left w:val="none" w:sz="0" w:space="0" w:color="auto"/>
        <w:bottom w:val="none" w:sz="0" w:space="0" w:color="auto"/>
        <w:right w:val="none" w:sz="0" w:space="0" w:color="auto"/>
      </w:divBdr>
      <w:divsChild>
        <w:div w:id="1708215676">
          <w:marLeft w:val="0"/>
          <w:marRight w:val="0"/>
          <w:marTop w:val="0"/>
          <w:marBottom w:val="0"/>
          <w:divBdr>
            <w:top w:val="none" w:sz="0" w:space="0" w:color="auto"/>
            <w:left w:val="none" w:sz="0" w:space="0" w:color="auto"/>
            <w:bottom w:val="none" w:sz="0" w:space="0" w:color="auto"/>
            <w:right w:val="none" w:sz="0" w:space="0" w:color="auto"/>
          </w:divBdr>
          <w:divsChild>
            <w:div w:id="929775016">
              <w:marLeft w:val="0"/>
              <w:marRight w:val="225"/>
              <w:marTop w:val="225"/>
              <w:marBottom w:val="225"/>
              <w:divBdr>
                <w:top w:val="none" w:sz="0" w:space="0" w:color="auto"/>
                <w:left w:val="none" w:sz="0" w:space="0" w:color="auto"/>
                <w:bottom w:val="none" w:sz="0" w:space="0" w:color="auto"/>
                <w:right w:val="none" w:sz="0" w:space="0" w:color="auto"/>
              </w:divBdr>
              <w:divsChild>
                <w:div w:id="1438986562">
                  <w:marLeft w:val="0"/>
                  <w:marRight w:val="0"/>
                  <w:marTop w:val="0"/>
                  <w:marBottom w:val="0"/>
                  <w:divBdr>
                    <w:top w:val="none" w:sz="0" w:space="0" w:color="auto"/>
                    <w:left w:val="none" w:sz="0" w:space="0" w:color="auto"/>
                    <w:bottom w:val="none" w:sz="0" w:space="0" w:color="auto"/>
                    <w:right w:val="none" w:sz="0" w:space="0" w:color="auto"/>
                  </w:divBdr>
                  <w:divsChild>
                    <w:div w:id="1024942419">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074933732">
      <w:bodyDiv w:val="1"/>
      <w:marLeft w:val="0"/>
      <w:marRight w:val="0"/>
      <w:marTop w:val="0"/>
      <w:marBottom w:val="0"/>
      <w:divBdr>
        <w:top w:val="none" w:sz="0" w:space="0" w:color="auto"/>
        <w:left w:val="none" w:sz="0" w:space="0" w:color="auto"/>
        <w:bottom w:val="none" w:sz="0" w:space="0" w:color="auto"/>
        <w:right w:val="none" w:sz="0" w:space="0" w:color="auto"/>
      </w:divBdr>
      <w:divsChild>
        <w:div w:id="334236033">
          <w:marLeft w:val="0"/>
          <w:marRight w:val="0"/>
          <w:marTop w:val="0"/>
          <w:marBottom w:val="0"/>
          <w:divBdr>
            <w:top w:val="none" w:sz="0" w:space="0" w:color="auto"/>
            <w:left w:val="none" w:sz="0" w:space="0" w:color="auto"/>
            <w:bottom w:val="none" w:sz="0" w:space="0" w:color="auto"/>
            <w:right w:val="none" w:sz="0" w:space="0" w:color="auto"/>
          </w:divBdr>
          <w:divsChild>
            <w:div w:id="811602729">
              <w:marLeft w:val="0"/>
              <w:marRight w:val="225"/>
              <w:marTop w:val="225"/>
              <w:marBottom w:val="225"/>
              <w:divBdr>
                <w:top w:val="none" w:sz="0" w:space="0" w:color="auto"/>
                <w:left w:val="none" w:sz="0" w:space="0" w:color="auto"/>
                <w:bottom w:val="none" w:sz="0" w:space="0" w:color="auto"/>
                <w:right w:val="none" w:sz="0" w:space="0" w:color="auto"/>
              </w:divBdr>
              <w:divsChild>
                <w:div w:id="1458765928">
                  <w:marLeft w:val="0"/>
                  <w:marRight w:val="0"/>
                  <w:marTop w:val="0"/>
                  <w:marBottom w:val="0"/>
                  <w:divBdr>
                    <w:top w:val="none" w:sz="0" w:space="0" w:color="auto"/>
                    <w:left w:val="none" w:sz="0" w:space="0" w:color="auto"/>
                    <w:bottom w:val="none" w:sz="0" w:space="0" w:color="auto"/>
                    <w:right w:val="none" w:sz="0" w:space="0" w:color="auto"/>
                  </w:divBdr>
                  <w:divsChild>
                    <w:div w:id="816609764">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138719067">
      <w:bodyDiv w:val="1"/>
      <w:marLeft w:val="0"/>
      <w:marRight w:val="0"/>
      <w:marTop w:val="0"/>
      <w:marBottom w:val="0"/>
      <w:divBdr>
        <w:top w:val="none" w:sz="0" w:space="0" w:color="auto"/>
        <w:left w:val="none" w:sz="0" w:space="0" w:color="auto"/>
        <w:bottom w:val="none" w:sz="0" w:space="0" w:color="auto"/>
        <w:right w:val="none" w:sz="0" w:space="0" w:color="auto"/>
      </w:divBdr>
      <w:divsChild>
        <w:div w:id="1679455868">
          <w:marLeft w:val="0"/>
          <w:marRight w:val="0"/>
          <w:marTop w:val="0"/>
          <w:marBottom w:val="0"/>
          <w:divBdr>
            <w:top w:val="none" w:sz="0" w:space="0" w:color="auto"/>
            <w:left w:val="none" w:sz="0" w:space="0" w:color="auto"/>
            <w:bottom w:val="none" w:sz="0" w:space="0" w:color="auto"/>
            <w:right w:val="none" w:sz="0" w:space="0" w:color="auto"/>
          </w:divBdr>
          <w:divsChild>
            <w:div w:id="1975911987">
              <w:marLeft w:val="0"/>
              <w:marRight w:val="225"/>
              <w:marTop w:val="225"/>
              <w:marBottom w:val="225"/>
              <w:divBdr>
                <w:top w:val="none" w:sz="0" w:space="0" w:color="auto"/>
                <w:left w:val="none" w:sz="0" w:space="0" w:color="auto"/>
                <w:bottom w:val="none" w:sz="0" w:space="0" w:color="auto"/>
                <w:right w:val="none" w:sz="0" w:space="0" w:color="auto"/>
              </w:divBdr>
              <w:divsChild>
                <w:div w:id="1495998132">
                  <w:marLeft w:val="0"/>
                  <w:marRight w:val="0"/>
                  <w:marTop w:val="0"/>
                  <w:marBottom w:val="0"/>
                  <w:divBdr>
                    <w:top w:val="none" w:sz="0" w:space="0" w:color="auto"/>
                    <w:left w:val="none" w:sz="0" w:space="0" w:color="auto"/>
                    <w:bottom w:val="none" w:sz="0" w:space="0" w:color="auto"/>
                    <w:right w:val="none" w:sz="0" w:space="0" w:color="auto"/>
                  </w:divBdr>
                  <w:divsChild>
                    <w:div w:id="959914856">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193499303">
      <w:bodyDiv w:val="1"/>
      <w:marLeft w:val="0"/>
      <w:marRight w:val="0"/>
      <w:marTop w:val="0"/>
      <w:marBottom w:val="0"/>
      <w:divBdr>
        <w:top w:val="none" w:sz="0" w:space="0" w:color="auto"/>
        <w:left w:val="none" w:sz="0" w:space="0" w:color="auto"/>
        <w:bottom w:val="none" w:sz="0" w:space="0" w:color="auto"/>
        <w:right w:val="none" w:sz="0" w:space="0" w:color="auto"/>
      </w:divBdr>
      <w:divsChild>
        <w:div w:id="694816661">
          <w:marLeft w:val="0"/>
          <w:marRight w:val="0"/>
          <w:marTop w:val="0"/>
          <w:marBottom w:val="0"/>
          <w:divBdr>
            <w:top w:val="none" w:sz="0" w:space="0" w:color="auto"/>
            <w:left w:val="none" w:sz="0" w:space="0" w:color="auto"/>
            <w:bottom w:val="none" w:sz="0" w:space="0" w:color="auto"/>
            <w:right w:val="none" w:sz="0" w:space="0" w:color="auto"/>
          </w:divBdr>
          <w:divsChild>
            <w:div w:id="1785417951">
              <w:marLeft w:val="0"/>
              <w:marRight w:val="225"/>
              <w:marTop w:val="225"/>
              <w:marBottom w:val="225"/>
              <w:divBdr>
                <w:top w:val="none" w:sz="0" w:space="0" w:color="auto"/>
                <w:left w:val="none" w:sz="0" w:space="0" w:color="auto"/>
                <w:bottom w:val="none" w:sz="0" w:space="0" w:color="auto"/>
                <w:right w:val="none" w:sz="0" w:space="0" w:color="auto"/>
              </w:divBdr>
              <w:divsChild>
                <w:div w:id="285355748">
                  <w:marLeft w:val="0"/>
                  <w:marRight w:val="0"/>
                  <w:marTop w:val="0"/>
                  <w:marBottom w:val="0"/>
                  <w:divBdr>
                    <w:top w:val="none" w:sz="0" w:space="0" w:color="auto"/>
                    <w:left w:val="none" w:sz="0" w:space="0" w:color="auto"/>
                    <w:bottom w:val="none" w:sz="0" w:space="0" w:color="auto"/>
                    <w:right w:val="none" w:sz="0" w:space="0" w:color="auto"/>
                  </w:divBdr>
                  <w:divsChild>
                    <w:div w:id="947733629">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211381882">
      <w:bodyDiv w:val="1"/>
      <w:marLeft w:val="0"/>
      <w:marRight w:val="0"/>
      <w:marTop w:val="0"/>
      <w:marBottom w:val="0"/>
      <w:divBdr>
        <w:top w:val="none" w:sz="0" w:space="0" w:color="auto"/>
        <w:left w:val="none" w:sz="0" w:space="0" w:color="auto"/>
        <w:bottom w:val="none" w:sz="0" w:space="0" w:color="auto"/>
        <w:right w:val="none" w:sz="0" w:space="0" w:color="auto"/>
      </w:divBdr>
      <w:divsChild>
        <w:div w:id="1805851475">
          <w:marLeft w:val="0"/>
          <w:marRight w:val="0"/>
          <w:marTop w:val="0"/>
          <w:marBottom w:val="0"/>
          <w:divBdr>
            <w:top w:val="none" w:sz="0" w:space="0" w:color="auto"/>
            <w:left w:val="none" w:sz="0" w:space="0" w:color="auto"/>
            <w:bottom w:val="none" w:sz="0" w:space="0" w:color="auto"/>
            <w:right w:val="none" w:sz="0" w:space="0" w:color="auto"/>
          </w:divBdr>
          <w:divsChild>
            <w:div w:id="1632055836">
              <w:marLeft w:val="0"/>
              <w:marRight w:val="225"/>
              <w:marTop w:val="225"/>
              <w:marBottom w:val="225"/>
              <w:divBdr>
                <w:top w:val="none" w:sz="0" w:space="0" w:color="auto"/>
                <w:left w:val="none" w:sz="0" w:space="0" w:color="auto"/>
                <w:bottom w:val="none" w:sz="0" w:space="0" w:color="auto"/>
                <w:right w:val="none" w:sz="0" w:space="0" w:color="auto"/>
              </w:divBdr>
              <w:divsChild>
                <w:div w:id="809398826">
                  <w:marLeft w:val="0"/>
                  <w:marRight w:val="0"/>
                  <w:marTop w:val="0"/>
                  <w:marBottom w:val="0"/>
                  <w:divBdr>
                    <w:top w:val="none" w:sz="0" w:space="0" w:color="auto"/>
                    <w:left w:val="none" w:sz="0" w:space="0" w:color="auto"/>
                    <w:bottom w:val="none" w:sz="0" w:space="0" w:color="auto"/>
                    <w:right w:val="none" w:sz="0" w:space="0" w:color="auto"/>
                  </w:divBdr>
                  <w:divsChild>
                    <w:div w:id="1842037279">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346521590">
      <w:bodyDiv w:val="1"/>
      <w:marLeft w:val="0"/>
      <w:marRight w:val="0"/>
      <w:marTop w:val="0"/>
      <w:marBottom w:val="0"/>
      <w:divBdr>
        <w:top w:val="none" w:sz="0" w:space="0" w:color="auto"/>
        <w:left w:val="none" w:sz="0" w:space="0" w:color="auto"/>
        <w:bottom w:val="none" w:sz="0" w:space="0" w:color="auto"/>
        <w:right w:val="none" w:sz="0" w:space="0" w:color="auto"/>
      </w:divBdr>
      <w:divsChild>
        <w:div w:id="1045327038">
          <w:marLeft w:val="0"/>
          <w:marRight w:val="0"/>
          <w:marTop w:val="0"/>
          <w:marBottom w:val="0"/>
          <w:divBdr>
            <w:top w:val="none" w:sz="0" w:space="0" w:color="auto"/>
            <w:left w:val="none" w:sz="0" w:space="0" w:color="auto"/>
            <w:bottom w:val="none" w:sz="0" w:space="0" w:color="auto"/>
            <w:right w:val="none" w:sz="0" w:space="0" w:color="auto"/>
          </w:divBdr>
          <w:divsChild>
            <w:div w:id="467164728">
              <w:marLeft w:val="0"/>
              <w:marRight w:val="225"/>
              <w:marTop w:val="225"/>
              <w:marBottom w:val="225"/>
              <w:divBdr>
                <w:top w:val="none" w:sz="0" w:space="0" w:color="auto"/>
                <w:left w:val="none" w:sz="0" w:space="0" w:color="auto"/>
                <w:bottom w:val="none" w:sz="0" w:space="0" w:color="auto"/>
                <w:right w:val="none" w:sz="0" w:space="0" w:color="auto"/>
              </w:divBdr>
              <w:divsChild>
                <w:div w:id="1371953766">
                  <w:marLeft w:val="0"/>
                  <w:marRight w:val="0"/>
                  <w:marTop w:val="0"/>
                  <w:marBottom w:val="0"/>
                  <w:divBdr>
                    <w:top w:val="none" w:sz="0" w:space="0" w:color="auto"/>
                    <w:left w:val="none" w:sz="0" w:space="0" w:color="auto"/>
                    <w:bottom w:val="none" w:sz="0" w:space="0" w:color="auto"/>
                    <w:right w:val="none" w:sz="0" w:space="0" w:color="auto"/>
                  </w:divBdr>
                  <w:divsChild>
                    <w:div w:id="2011710387">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399090118">
      <w:bodyDiv w:val="1"/>
      <w:marLeft w:val="0"/>
      <w:marRight w:val="0"/>
      <w:marTop w:val="0"/>
      <w:marBottom w:val="0"/>
      <w:divBdr>
        <w:top w:val="none" w:sz="0" w:space="0" w:color="auto"/>
        <w:left w:val="none" w:sz="0" w:space="0" w:color="auto"/>
        <w:bottom w:val="none" w:sz="0" w:space="0" w:color="auto"/>
        <w:right w:val="none" w:sz="0" w:space="0" w:color="auto"/>
      </w:divBdr>
    </w:div>
    <w:div w:id="1407415241">
      <w:bodyDiv w:val="1"/>
      <w:marLeft w:val="0"/>
      <w:marRight w:val="0"/>
      <w:marTop w:val="0"/>
      <w:marBottom w:val="0"/>
      <w:divBdr>
        <w:top w:val="none" w:sz="0" w:space="0" w:color="auto"/>
        <w:left w:val="none" w:sz="0" w:space="0" w:color="auto"/>
        <w:bottom w:val="none" w:sz="0" w:space="0" w:color="auto"/>
        <w:right w:val="none" w:sz="0" w:space="0" w:color="auto"/>
      </w:divBdr>
      <w:divsChild>
        <w:div w:id="1277323418">
          <w:marLeft w:val="0"/>
          <w:marRight w:val="0"/>
          <w:marTop w:val="0"/>
          <w:marBottom w:val="0"/>
          <w:divBdr>
            <w:top w:val="none" w:sz="0" w:space="0" w:color="auto"/>
            <w:left w:val="none" w:sz="0" w:space="0" w:color="auto"/>
            <w:bottom w:val="none" w:sz="0" w:space="0" w:color="auto"/>
            <w:right w:val="none" w:sz="0" w:space="0" w:color="auto"/>
          </w:divBdr>
          <w:divsChild>
            <w:div w:id="1318343351">
              <w:marLeft w:val="0"/>
              <w:marRight w:val="225"/>
              <w:marTop w:val="225"/>
              <w:marBottom w:val="225"/>
              <w:divBdr>
                <w:top w:val="none" w:sz="0" w:space="0" w:color="auto"/>
                <w:left w:val="none" w:sz="0" w:space="0" w:color="auto"/>
                <w:bottom w:val="none" w:sz="0" w:space="0" w:color="auto"/>
                <w:right w:val="none" w:sz="0" w:space="0" w:color="auto"/>
              </w:divBdr>
              <w:divsChild>
                <w:div w:id="695081841">
                  <w:marLeft w:val="0"/>
                  <w:marRight w:val="0"/>
                  <w:marTop w:val="0"/>
                  <w:marBottom w:val="0"/>
                  <w:divBdr>
                    <w:top w:val="none" w:sz="0" w:space="0" w:color="auto"/>
                    <w:left w:val="none" w:sz="0" w:space="0" w:color="auto"/>
                    <w:bottom w:val="none" w:sz="0" w:space="0" w:color="auto"/>
                    <w:right w:val="none" w:sz="0" w:space="0" w:color="auto"/>
                  </w:divBdr>
                  <w:divsChild>
                    <w:div w:id="2103138958">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448430427">
      <w:bodyDiv w:val="1"/>
      <w:marLeft w:val="0"/>
      <w:marRight w:val="0"/>
      <w:marTop w:val="0"/>
      <w:marBottom w:val="0"/>
      <w:divBdr>
        <w:top w:val="none" w:sz="0" w:space="0" w:color="auto"/>
        <w:left w:val="none" w:sz="0" w:space="0" w:color="auto"/>
        <w:bottom w:val="none" w:sz="0" w:space="0" w:color="auto"/>
        <w:right w:val="none" w:sz="0" w:space="0" w:color="auto"/>
      </w:divBdr>
      <w:divsChild>
        <w:div w:id="1569726813">
          <w:marLeft w:val="0"/>
          <w:marRight w:val="0"/>
          <w:marTop w:val="0"/>
          <w:marBottom w:val="0"/>
          <w:divBdr>
            <w:top w:val="none" w:sz="0" w:space="0" w:color="auto"/>
            <w:left w:val="none" w:sz="0" w:space="0" w:color="auto"/>
            <w:bottom w:val="none" w:sz="0" w:space="0" w:color="auto"/>
            <w:right w:val="none" w:sz="0" w:space="0" w:color="auto"/>
          </w:divBdr>
          <w:divsChild>
            <w:div w:id="1250625859">
              <w:marLeft w:val="0"/>
              <w:marRight w:val="225"/>
              <w:marTop w:val="225"/>
              <w:marBottom w:val="225"/>
              <w:divBdr>
                <w:top w:val="none" w:sz="0" w:space="0" w:color="auto"/>
                <w:left w:val="none" w:sz="0" w:space="0" w:color="auto"/>
                <w:bottom w:val="none" w:sz="0" w:space="0" w:color="auto"/>
                <w:right w:val="none" w:sz="0" w:space="0" w:color="auto"/>
              </w:divBdr>
              <w:divsChild>
                <w:div w:id="857697676">
                  <w:marLeft w:val="0"/>
                  <w:marRight w:val="0"/>
                  <w:marTop w:val="0"/>
                  <w:marBottom w:val="0"/>
                  <w:divBdr>
                    <w:top w:val="none" w:sz="0" w:space="0" w:color="auto"/>
                    <w:left w:val="none" w:sz="0" w:space="0" w:color="auto"/>
                    <w:bottom w:val="none" w:sz="0" w:space="0" w:color="auto"/>
                    <w:right w:val="none" w:sz="0" w:space="0" w:color="auto"/>
                  </w:divBdr>
                  <w:divsChild>
                    <w:div w:id="579406877">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451125367">
      <w:bodyDiv w:val="1"/>
      <w:marLeft w:val="0"/>
      <w:marRight w:val="0"/>
      <w:marTop w:val="0"/>
      <w:marBottom w:val="0"/>
      <w:divBdr>
        <w:top w:val="none" w:sz="0" w:space="0" w:color="auto"/>
        <w:left w:val="none" w:sz="0" w:space="0" w:color="auto"/>
        <w:bottom w:val="none" w:sz="0" w:space="0" w:color="auto"/>
        <w:right w:val="none" w:sz="0" w:space="0" w:color="auto"/>
      </w:divBdr>
      <w:divsChild>
        <w:div w:id="1244757315">
          <w:marLeft w:val="0"/>
          <w:marRight w:val="0"/>
          <w:marTop w:val="0"/>
          <w:marBottom w:val="0"/>
          <w:divBdr>
            <w:top w:val="none" w:sz="0" w:space="0" w:color="auto"/>
            <w:left w:val="none" w:sz="0" w:space="0" w:color="auto"/>
            <w:bottom w:val="none" w:sz="0" w:space="0" w:color="auto"/>
            <w:right w:val="none" w:sz="0" w:space="0" w:color="auto"/>
          </w:divBdr>
          <w:divsChild>
            <w:div w:id="1773161816">
              <w:marLeft w:val="0"/>
              <w:marRight w:val="225"/>
              <w:marTop w:val="225"/>
              <w:marBottom w:val="225"/>
              <w:divBdr>
                <w:top w:val="none" w:sz="0" w:space="0" w:color="auto"/>
                <w:left w:val="none" w:sz="0" w:space="0" w:color="auto"/>
                <w:bottom w:val="none" w:sz="0" w:space="0" w:color="auto"/>
                <w:right w:val="none" w:sz="0" w:space="0" w:color="auto"/>
              </w:divBdr>
              <w:divsChild>
                <w:div w:id="894699250">
                  <w:marLeft w:val="0"/>
                  <w:marRight w:val="0"/>
                  <w:marTop w:val="0"/>
                  <w:marBottom w:val="0"/>
                  <w:divBdr>
                    <w:top w:val="none" w:sz="0" w:space="0" w:color="auto"/>
                    <w:left w:val="none" w:sz="0" w:space="0" w:color="auto"/>
                    <w:bottom w:val="none" w:sz="0" w:space="0" w:color="auto"/>
                    <w:right w:val="none" w:sz="0" w:space="0" w:color="auto"/>
                  </w:divBdr>
                  <w:divsChild>
                    <w:div w:id="1228615484">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485779599">
      <w:bodyDiv w:val="1"/>
      <w:marLeft w:val="0"/>
      <w:marRight w:val="0"/>
      <w:marTop w:val="0"/>
      <w:marBottom w:val="0"/>
      <w:divBdr>
        <w:top w:val="none" w:sz="0" w:space="0" w:color="auto"/>
        <w:left w:val="none" w:sz="0" w:space="0" w:color="auto"/>
        <w:bottom w:val="none" w:sz="0" w:space="0" w:color="auto"/>
        <w:right w:val="none" w:sz="0" w:space="0" w:color="auto"/>
      </w:divBdr>
      <w:divsChild>
        <w:div w:id="1182426869">
          <w:marLeft w:val="0"/>
          <w:marRight w:val="0"/>
          <w:marTop w:val="0"/>
          <w:marBottom w:val="0"/>
          <w:divBdr>
            <w:top w:val="none" w:sz="0" w:space="0" w:color="auto"/>
            <w:left w:val="none" w:sz="0" w:space="0" w:color="auto"/>
            <w:bottom w:val="none" w:sz="0" w:space="0" w:color="auto"/>
            <w:right w:val="none" w:sz="0" w:space="0" w:color="auto"/>
          </w:divBdr>
          <w:divsChild>
            <w:div w:id="1884781251">
              <w:marLeft w:val="0"/>
              <w:marRight w:val="225"/>
              <w:marTop w:val="225"/>
              <w:marBottom w:val="225"/>
              <w:divBdr>
                <w:top w:val="none" w:sz="0" w:space="0" w:color="auto"/>
                <w:left w:val="none" w:sz="0" w:space="0" w:color="auto"/>
                <w:bottom w:val="none" w:sz="0" w:space="0" w:color="auto"/>
                <w:right w:val="none" w:sz="0" w:space="0" w:color="auto"/>
              </w:divBdr>
              <w:divsChild>
                <w:div w:id="1348215336">
                  <w:marLeft w:val="0"/>
                  <w:marRight w:val="0"/>
                  <w:marTop w:val="0"/>
                  <w:marBottom w:val="0"/>
                  <w:divBdr>
                    <w:top w:val="none" w:sz="0" w:space="0" w:color="auto"/>
                    <w:left w:val="none" w:sz="0" w:space="0" w:color="auto"/>
                    <w:bottom w:val="none" w:sz="0" w:space="0" w:color="auto"/>
                    <w:right w:val="none" w:sz="0" w:space="0" w:color="auto"/>
                  </w:divBdr>
                  <w:divsChild>
                    <w:div w:id="472992572">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562015686">
      <w:bodyDiv w:val="1"/>
      <w:marLeft w:val="0"/>
      <w:marRight w:val="0"/>
      <w:marTop w:val="0"/>
      <w:marBottom w:val="0"/>
      <w:divBdr>
        <w:top w:val="none" w:sz="0" w:space="0" w:color="auto"/>
        <w:left w:val="none" w:sz="0" w:space="0" w:color="auto"/>
        <w:bottom w:val="none" w:sz="0" w:space="0" w:color="auto"/>
        <w:right w:val="none" w:sz="0" w:space="0" w:color="auto"/>
      </w:divBdr>
      <w:divsChild>
        <w:div w:id="1171215332">
          <w:marLeft w:val="0"/>
          <w:marRight w:val="0"/>
          <w:marTop w:val="0"/>
          <w:marBottom w:val="0"/>
          <w:divBdr>
            <w:top w:val="none" w:sz="0" w:space="0" w:color="auto"/>
            <w:left w:val="none" w:sz="0" w:space="0" w:color="auto"/>
            <w:bottom w:val="none" w:sz="0" w:space="0" w:color="auto"/>
            <w:right w:val="none" w:sz="0" w:space="0" w:color="auto"/>
          </w:divBdr>
          <w:divsChild>
            <w:div w:id="1848014167">
              <w:marLeft w:val="0"/>
              <w:marRight w:val="225"/>
              <w:marTop w:val="225"/>
              <w:marBottom w:val="225"/>
              <w:divBdr>
                <w:top w:val="none" w:sz="0" w:space="0" w:color="auto"/>
                <w:left w:val="none" w:sz="0" w:space="0" w:color="auto"/>
                <w:bottom w:val="none" w:sz="0" w:space="0" w:color="auto"/>
                <w:right w:val="none" w:sz="0" w:space="0" w:color="auto"/>
              </w:divBdr>
              <w:divsChild>
                <w:div w:id="585772899">
                  <w:marLeft w:val="0"/>
                  <w:marRight w:val="0"/>
                  <w:marTop w:val="0"/>
                  <w:marBottom w:val="0"/>
                  <w:divBdr>
                    <w:top w:val="none" w:sz="0" w:space="0" w:color="auto"/>
                    <w:left w:val="none" w:sz="0" w:space="0" w:color="auto"/>
                    <w:bottom w:val="none" w:sz="0" w:space="0" w:color="auto"/>
                    <w:right w:val="none" w:sz="0" w:space="0" w:color="auto"/>
                  </w:divBdr>
                  <w:divsChild>
                    <w:div w:id="748960142">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583224136">
      <w:bodyDiv w:val="1"/>
      <w:marLeft w:val="0"/>
      <w:marRight w:val="0"/>
      <w:marTop w:val="0"/>
      <w:marBottom w:val="0"/>
      <w:divBdr>
        <w:top w:val="none" w:sz="0" w:space="0" w:color="auto"/>
        <w:left w:val="none" w:sz="0" w:space="0" w:color="auto"/>
        <w:bottom w:val="none" w:sz="0" w:space="0" w:color="auto"/>
        <w:right w:val="none" w:sz="0" w:space="0" w:color="auto"/>
      </w:divBdr>
      <w:divsChild>
        <w:div w:id="1553469015">
          <w:marLeft w:val="0"/>
          <w:marRight w:val="0"/>
          <w:marTop w:val="0"/>
          <w:marBottom w:val="0"/>
          <w:divBdr>
            <w:top w:val="none" w:sz="0" w:space="0" w:color="auto"/>
            <w:left w:val="none" w:sz="0" w:space="0" w:color="auto"/>
            <w:bottom w:val="none" w:sz="0" w:space="0" w:color="auto"/>
            <w:right w:val="none" w:sz="0" w:space="0" w:color="auto"/>
          </w:divBdr>
          <w:divsChild>
            <w:div w:id="1692881184">
              <w:marLeft w:val="0"/>
              <w:marRight w:val="225"/>
              <w:marTop w:val="225"/>
              <w:marBottom w:val="225"/>
              <w:divBdr>
                <w:top w:val="none" w:sz="0" w:space="0" w:color="auto"/>
                <w:left w:val="none" w:sz="0" w:space="0" w:color="auto"/>
                <w:bottom w:val="none" w:sz="0" w:space="0" w:color="auto"/>
                <w:right w:val="none" w:sz="0" w:space="0" w:color="auto"/>
              </w:divBdr>
              <w:divsChild>
                <w:div w:id="991644807">
                  <w:marLeft w:val="0"/>
                  <w:marRight w:val="0"/>
                  <w:marTop w:val="0"/>
                  <w:marBottom w:val="0"/>
                  <w:divBdr>
                    <w:top w:val="none" w:sz="0" w:space="0" w:color="auto"/>
                    <w:left w:val="none" w:sz="0" w:space="0" w:color="auto"/>
                    <w:bottom w:val="none" w:sz="0" w:space="0" w:color="auto"/>
                    <w:right w:val="none" w:sz="0" w:space="0" w:color="auto"/>
                  </w:divBdr>
                  <w:divsChild>
                    <w:div w:id="805852448">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697465850">
      <w:bodyDiv w:val="1"/>
      <w:marLeft w:val="0"/>
      <w:marRight w:val="0"/>
      <w:marTop w:val="0"/>
      <w:marBottom w:val="0"/>
      <w:divBdr>
        <w:top w:val="none" w:sz="0" w:space="0" w:color="auto"/>
        <w:left w:val="none" w:sz="0" w:space="0" w:color="auto"/>
        <w:bottom w:val="none" w:sz="0" w:space="0" w:color="auto"/>
        <w:right w:val="none" w:sz="0" w:space="0" w:color="auto"/>
      </w:divBdr>
      <w:divsChild>
        <w:div w:id="2104762305">
          <w:marLeft w:val="0"/>
          <w:marRight w:val="0"/>
          <w:marTop w:val="0"/>
          <w:marBottom w:val="0"/>
          <w:divBdr>
            <w:top w:val="none" w:sz="0" w:space="0" w:color="auto"/>
            <w:left w:val="none" w:sz="0" w:space="0" w:color="auto"/>
            <w:bottom w:val="none" w:sz="0" w:space="0" w:color="auto"/>
            <w:right w:val="none" w:sz="0" w:space="0" w:color="auto"/>
          </w:divBdr>
          <w:divsChild>
            <w:div w:id="1618366816">
              <w:marLeft w:val="0"/>
              <w:marRight w:val="225"/>
              <w:marTop w:val="225"/>
              <w:marBottom w:val="225"/>
              <w:divBdr>
                <w:top w:val="none" w:sz="0" w:space="0" w:color="auto"/>
                <w:left w:val="none" w:sz="0" w:space="0" w:color="auto"/>
                <w:bottom w:val="none" w:sz="0" w:space="0" w:color="auto"/>
                <w:right w:val="none" w:sz="0" w:space="0" w:color="auto"/>
              </w:divBdr>
              <w:divsChild>
                <w:div w:id="1494680432">
                  <w:marLeft w:val="0"/>
                  <w:marRight w:val="0"/>
                  <w:marTop w:val="0"/>
                  <w:marBottom w:val="0"/>
                  <w:divBdr>
                    <w:top w:val="none" w:sz="0" w:space="0" w:color="auto"/>
                    <w:left w:val="none" w:sz="0" w:space="0" w:color="auto"/>
                    <w:bottom w:val="none" w:sz="0" w:space="0" w:color="auto"/>
                    <w:right w:val="none" w:sz="0" w:space="0" w:color="auto"/>
                  </w:divBdr>
                  <w:divsChild>
                    <w:div w:id="1064374562">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901669287">
      <w:bodyDiv w:val="1"/>
      <w:marLeft w:val="0"/>
      <w:marRight w:val="0"/>
      <w:marTop w:val="0"/>
      <w:marBottom w:val="0"/>
      <w:divBdr>
        <w:top w:val="none" w:sz="0" w:space="0" w:color="auto"/>
        <w:left w:val="none" w:sz="0" w:space="0" w:color="auto"/>
        <w:bottom w:val="none" w:sz="0" w:space="0" w:color="auto"/>
        <w:right w:val="none" w:sz="0" w:space="0" w:color="auto"/>
      </w:divBdr>
      <w:divsChild>
        <w:div w:id="78719709">
          <w:marLeft w:val="0"/>
          <w:marRight w:val="0"/>
          <w:marTop w:val="0"/>
          <w:marBottom w:val="0"/>
          <w:divBdr>
            <w:top w:val="none" w:sz="0" w:space="0" w:color="auto"/>
            <w:left w:val="none" w:sz="0" w:space="0" w:color="auto"/>
            <w:bottom w:val="none" w:sz="0" w:space="0" w:color="auto"/>
            <w:right w:val="none" w:sz="0" w:space="0" w:color="auto"/>
          </w:divBdr>
          <w:divsChild>
            <w:div w:id="1525436769">
              <w:marLeft w:val="0"/>
              <w:marRight w:val="225"/>
              <w:marTop w:val="225"/>
              <w:marBottom w:val="225"/>
              <w:divBdr>
                <w:top w:val="none" w:sz="0" w:space="0" w:color="auto"/>
                <w:left w:val="none" w:sz="0" w:space="0" w:color="auto"/>
                <w:bottom w:val="none" w:sz="0" w:space="0" w:color="auto"/>
                <w:right w:val="none" w:sz="0" w:space="0" w:color="auto"/>
              </w:divBdr>
              <w:divsChild>
                <w:div w:id="934675021">
                  <w:marLeft w:val="0"/>
                  <w:marRight w:val="0"/>
                  <w:marTop w:val="0"/>
                  <w:marBottom w:val="0"/>
                  <w:divBdr>
                    <w:top w:val="none" w:sz="0" w:space="0" w:color="auto"/>
                    <w:left w:val="none" w:sz="0" w:space="0" w:color="auto"/>
                    <w:bottom w:val="none" w:sz="0" w:space="0" w:color="auto"/>
                    <w:right w:val="none" w:sz="0" w:space="0" w:color="auto"/>
                  </w:divBdr>
                  <w:divsChild>
                    <w:div w:id="1446003982">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925843556">
      <w:bodyDiv w:val="1"/>
      <w:marLeft w:val="0"/>
      <w:marRight w:val="0"/>
      <w:marTop w:val="0"/>
      <w:marBottom w:val="0"/>
      <w:divBdr>
        <w:top w:val="none" w:sz="0" w:space="0" w:color="auto"/>
        <w:left w:val="none" w:sz="0" w:space="0" w:color="auto"/>
        <w:bottom w:val="none" w:sz="0" w:space="0" w:color="auto"/>
        <w:right w:val="none" w:sz="0" w:space="0" w:color="auto"/>
      </w:divBdr>
      <w:divsChild>
        <w:div w:id="1724980952">
          <w:marLeft w:val="0"/>
          <w:marRight w:val="0"/>
          <w:marTop w:val="0"/>
          <w:marBottom w:val="0"/>
          <w:divBdr>
            <w:top w:val="none" w:sz="0" w:space="0" w:color="auto"/>
            <w:left w:val="none" w:sz="0" w:space="0" w:color="auto"/>
            <w:bottom w:val="none" w:sz="0" w:space="0" w:color="auto"/>
            <w:right w:val="none" w:sz="0" w:space="0" w:color="auto"/>
          </w:divBdr>
          <w:divsChild>
            <w:div w:id="1066997310">
              <w:marLeft w:val="0"/>
              <w:marRight w:val="225"/>
              <w:marTop w:val="225"/>
              <w:marBottom w:val="225"/>
              <w:divBdr>
                <w:top w:val="none" w:sz="0" w:space="0" w:color="auto"/>
                <w:left w:val="none" w:sz="0" w:space="0" w:color="auto"/>
                <w:bottom w:val="none" w:sz="0" w:space="0" w:color="auto"/>
                <w:right w:val="none" w:sz="0" w:space="0" w:color="auto"/>
              </w:divBdr>
              <w:divsChild>
                <w:div w:id="1581596558">
                  <w:marLeft w:val="0"/>
                  <w:marRight w:val="0"/>
                  <w:marTop w:val="0"/>
                  <w:marBottom w:val="0"/>
                  <w:divBdr>
                    <w:top w:val="none" w:sz="0" w:space="0" w:color="auto"/>
                    <w:left w:val="none" w:sz="0" w:space="0" w:color="auto"/>
                    <w:bottom w:val="none" w:sz="0" w:space="0" w:color="auto"/>
                    <w:right w:val="none" w:sz="0" w:space="0" w:color="auto"/>
                  </w:divBdr>
                  <w:divsChild>
                    <w:div w:id="903877459">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939672540">
      <w:bodyDiv w:val="1"/>
      <w:marLeft w:val="0"/>
      <w:marRight w:val="0"/>
      <w:marTop w:val="0"/>
      <w:marBottom w:val="0"/>
      <w:divBdr>
        <w:top w:val="none" w:sz="0" w:space="0" w:color="auto"/>
        <w:left w:val="none" w:sz="0" w:space="0" w:color="auto"/>
        <w:bottom w:val="none" w:sz="0" w:space="0" w:color="auto"/>
        <w:right w:val="none" w:sz="0" w:space="0" w:color="auto"/>
      </w:divBdr>
      <w:divsChild>
        <w:div w:id="94789493">
          <w:marLeft w:val="0"/>
          <w:marRight w:val="0"/>
          <w:marTop w:val="0"/>
          <w:marBottom w:val="0"/>
          <w:divBdr>
            <w:top w:val="none" w:sz="0" w:space="0" w:color="auto"/>
            <w:left w:val="none" w:sz="0" w:space="0" w:color="auto"/>
            <w:bottom w:val="none" w:sz="0" w:space="0" w:color="auto"/>
            <w:right w:val="none" w:sz="0" w:space="0" w:color="auto"/>
          </w:divBdr>
          <w:divsChild>
            <w:div w:id="851533287">
              <w:marLeft w:val="0"/>
              <w:marRight w:val="225"/>
              <w:marTop w:val="225"/>
              <w:marBottom w:val="225"/>
              <w:divBdr>
                <w:top w:val="none" w:sz="0" w:space="0" w:color="auto"/>
                <w:left w:val="none" w:sz="0" w:space="0" w:color="auto"/>
                <w:bottom w:val="none" w:sz="0" w:space="0" w:color="auto"/>
                <w:right w:val="none" w:sz="0" w:space="0" w:color="auto"/>
              </w:divBdr>
              <w:divsChild>
                <w:div w:id="1461730620">
                  <w:marLeft w:val="0"/>
                  <w:marRight w:val="0"/>
                  <w:marTop w:val="0"/>
                  <w:marBottom w:val="0"/>
                  <w:divBdr>
                    <w:top w:val="none" w:sz="0" w:space="0" w:color="auto"/>
                    <w:left w:val="none" w:sz="0" w:space="0" w:color="auto"/>
                    <w:bottom w:val="none" w:sz="0" w:space="0" w:color="auto"/>
                    <w:right w:val="none" w:sz="0" w:space="0" w:color="auto"/>
                  </w:divBdr>
                  <w:divsChild>
                    <w:div w:id="1899435208">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2063868385">
      <w:bodyDiv w:val="1"/>
      <w:marLeft w:val="0"/>
      <w:marRight w:val="0"/>
      <w:marTop w:val="0"/>
      <w:marBottom w:val="0"/>
      <w:divBdr>
        <w:top w:val="none" w:sz="0" w:space="0" w:color="auto"/>
        <w:left w:val="none" w:sz="0" w:space="0" w:color="auto"/>
        <w:bottom w:val="none" w:sz="0" w:space="0" w:color="auto"/>
        <w:right w:val="none" w:sz="0" w:space="0" w:color="auto"/>
      </w:divBdr>
      <w:divsChild>
        <w:div w:id="1343358656">
          <w:marLeft w:val="0"/>
          <w:marRight w:val="0"/>
          <w:marTop w:val="0"/>
          <w:marBottom w:val="0"/>
          <w:divBdr>
            <w:top w:val="none" w:sz="0" w:space="0" w:color="auto"/>
            <w:left w:val="none" w:sz="0" w:space="0" w:color="auto"/>
            <w:bottom w:val="none" w:sz="0" w:space="0" w:color="auto"/>
            <w:right w:val="none" w:sz="0" w:space="0" w:color="auto"/>
          </w:divBdr>
          <w:divsChild>
            <w:div w:id="1959606114">
              <w:marLeft w:val="0"/>
              <w:marRight w:val="225"/>
              <w:marTop w:val="225"/>
              <w:marBottom w:val="225"/>
              <w:divBdr>
                <w:top w:val="none" w:sz="0" w:space="0" w:color="auto"/>
                <w:left w:val="none" w:sz="0" w:space="0" w:color="auto"/>
                <w:bottom w:val="none" w:sz="0" w:space="0" w:color="auto"/>
                <w:right w:val="none" w:sz="0" w:space="0" w:color="auto"/>
              </w:divBdr>
              <w:divsChild>
                <w:div w:id="345443562">
                  <w:marLeft w:val="0"/>
                  <w:marRight w:val="0"/>
                  <w:marTop w:val="0"/>
                  <w:marBottom w:val="0"/>
                  <w:divBdr>
                    <w:top w:val="none" w:sz="0" w:space="0" w:color="auto"/>
                    <w:left w:val="none" w:sz="0" w:space="0" w:color="auto"/>
                    <w:bottom w:val="none" w:sz="0" w:space="0" w:color="auto"/>
                    <w:right w:val="none" w:sz="0" w:space="0" w:color="auto"/>
                  </w:divBdr>
                  <w:divsChild>
                    <w:div w:id="173693919">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2097163486">
      <w:bodyDiv w:val="1"/>
      <w:marLeft w:val="0"/>
      <w:marRight w:val="0"/>
      <w:marTop w:val="0"/>
      <w:marBottom w:val="0"/>
      <w:divBdr>
        <w:top w:val="none" w:sz="0" w:space="0" w:color="auto"/>
        <w:left w:val="none" w:sz="0" w:space="0" w:color="auto"/>
        <w:bottom w:val="none" w:sz="0" w:space="0" w:color="auto"/>
        <w:right w:val="none" w:sz="0" w:space="0" w:color="auto"/>
      </w:divBdr>
      <w:divsChild>
        <w:div w:id="482545431">
          <w:marLeft w:val="0"/>
          <w:marRight w:val="0"/>
          <w:marTop w:val="0"/>
          <w:marBottom w:val="0"/>
          <w:divBdr>
            <w:top w:val="none" w:sz="0" w:space="0" w:color="auto"/>
            <w:left w:val="none" w:sz="0" w:space="0" w:color="auto"/>
            <w:bottom w:val="none" w:sz="0" w:space="0" w:color="auto"/>
            <w:right w:val="none" w:sz="0" w:space="0" w:color="auto"/>
          </w:divBdr>
          <w:divsChild>
            <w:div w:id="36011091">
              <w:marLeft w:val="0"/>
              <w:marRight w:val="225"/>
              <w:marTop w:val="225"/>
              <w:marBottom w:val="225"/>
              <w:divBdr>
                <w:top w:val="none" w:sz="0" w:space="0" w:color="auto"/>
                <w:left w:val="none" w:sz="0" w:space="0" w:color="auto"/>
                <w:bottom w:val="none" w:sz="0" w:space="0" w:color="auto"/>
                <w:right w:val="none" w:sz="0" w:space="0" w:color="auto"/>
              </w:divBdr>
              <w:divsChild>
                <w:div w:id="469910029">
                  <w:marLeft w:val="0"/>
                  <w:marRight w:val="0"/>
                  <w:marTop w:val="0"/>
                  <w:marBottom w:val="0"/>
                  <w:divBdr>
                    <w:top w:val="none" w:sz="0" w:space="0" w:color="auto"/>
                    <w:left w:val="none" w:sz="0" w:space="0" w:color="auto"/>
                    <w:bottom w:val="none" w:sz="0" w:space="0" w:color="auto"/>
                    <w:right w:val="none" w:sz="0" w:space="0" w:color="auto"/>
                  </w:divBdr>
                  <w:divsChild>
                    <w:div w:id="2062708077">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api.parliament.uk/historic-hansard/lords/1942/feb/04/the-home-guar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A6DDF6-880D-4A86-BF69-9DB515D28C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13076</TotalTime>
  <Pages>42</Pages>
  <Words>10662</Words>
  <Characters>54483</Characters>
  <Application>Microsoft Office Word</Application>
  <DocSecurity>0</DocSecurity>
  <Lines>939</Lines>
  <Paragraphs>206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Smith (1701825)</dc:creator>
  <cp:keywords/>
  <dc:description/>
  <cp:lastModifiedBy>Sam Smith (1701825)</cp:lastModifiedBy>
  <cp:revision>355</cp:revision>
  <dcterms:created xsi:type="dcterms:W3CDTF">2020-01-28T10:56:00Z</dcterms:created>
  <dcterms:modified xsi:type="dcterms:W3CDTF">2020-05-08T12:23:00Z</dcterms:modified>
</cp:coreProperties>
</file>