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75613" w14:textId="77777777" w:rsidR="003D621F" w:rsidRDefault="00000000">
      <w:pPr>
        <w:pStyle w:val="BodyText"/>
        <w:spacing w:before="82"/>
      </w:pPr>
      <w:r>
        <w:t>ECEY5010</w:t>
      </w:r>
      <w:r>
        <w:rPr>
          <w:spacing w:val="-4"/>
        </w:rPr>
        <w:t xml:space="preserve"> </w:t>
      </w:r>
      <w:r>
        <w:t>–</w:t>
      </w:r>
      <w:r>
        <w:rPr>
          <w:spacing w:val="-2"/>
        </w:rPr>
        <w:t xml:space="preserve"> </w:t>
      </w:r>
      <w:r>
        <w:t>Research</w:t>
      </w:r>
      <w:r>
        <w:rPr>
          <w:spacing w:val="-3"/>
        </w:rPr>
        <w:t xml:space="preserve"> </w:t>
      </w:r>
      <w:r>
        <w:t>for</w:t>
      </w:r>
      <w:r>
        <w:rPr>
          <w:spacing w:val="-2"/>
        </w:rPr>
        <w:t xml:space="preserve"> </w:t>
      </w:r>
      <w:r>
        <w:t>Learning.</w:t>
      </w:r>
      <w:r>
        <w:rPr>
          <w:spacing w:val="61"/>
        </w:rPr>
        <w:t xml:space="preserve"> </w:t>
      </w:r>
      <w:r>
        <w:t>Emili</w:t>
      </w:r>
      <w:r>
        <w:rPr>
          <w:spacing w:val="-4"/>
        </w:rPr>
        <w:t xml:space="preserve"> </w:t>
      </w:r>
      <w:r>
        <w:t>Greenacre</w:t>
      </w:r>
      <w:r>
        <w:rPr>
          <w:spacing w:val="-5"/>
        </w:rPr>
        <w:t xml:space="preserve"> </w:t>
      </w:r>
      <w:r>
        <w:rPr>
          <w:spacing w:val="-2"/>
        </w:rPr>
        <w:t>2203794</w:t>
      </w:r>
    </w:p>
    <w:p w14:paraId="61C75614" w14:textId="77777777" w:rsidR="003D621F" w:rsidRDefault="003D621F">
      <w:pPr>
        <w:pStyle w:val="BodyText"/>
        <w:spacing w:before="5"/>
        <w:ind w:left="0"/>
      </w:pPr>
    </w:p>
    <w:p w14:paraId="61C75615" w14:textId="77777777" w:rsidR="003D621F" w:rsidRDefault="00000000">
      <w:pPr>
        <w:pStyle w:val="Heading1"/>
      </w:pPr>
      <w:r>
        <w:t>Abstract</w:t>
      </w:r>
      <w:r>
        <w:rPr>
          <w:spacing w:val="-4"/>
        </w:rPr>
        <w:t xml:space="preserve"> </w:t>
      </w:r>
      <w:r>
        <w:t>–</w:t>
      </w:r>
      <w:r>
        <w:rPr>
          <w:spacing w:val="-2"/>
        </w:rPr>
        <w:t xml:space="preserve"> </w:t>
      </w:r>
      <w:r>
        <w:t>233</w:t>
      </w:r>
      <w:r>
        <w:rPr>
          <w:spacing w:val="-3"/>
        </w:rPr>
        <w:t xml:space="preserve"> </w:t>
      </w:r>
      <w:r>
        <w:rPr>
          <w:spacing w:val="-2"/>
        </w:rPr>
        <w:t>Words.</w:t>
      </w:r>
    </w:p>
    <w:p w14:paraId="61C75616" w14:textId="77777777" w:rsidR="003D621F" w:rsidRDefault="003D621F">
      <w:pPr>
        <w:pStyle w:val="BodyText"/>
        <w:spacing w:before="2"/>
        <w:ind w:left="0"/>
        <w:rPr>
          <w:b/>
        </w:rPr>
      </w:pPr>
    </w:p>
    <w:p w14:paraId="61C75617" w14:textId="77777777" w:rsidR="003D621F" w:rsidRDefault="00000000">
      <w:pPr>
        <w:pStyle w:val="BodyText"/>
        <w:ind w:right="105"/>
      </w:pPr>
      <w:r>
        <w:t>This</w:t>
      </w:r>
      <w:r>
        <w:rPr>
          <w:spacing w:val="-3"/>
        </w:rPr>
        <w:t xml:space="preserve"> </w:t>
      </w:r>
      <w:r>
        <w:t>study</w:t>
      </w:r>
      <w:r>
        <w:rPr>
          <w:spacing w:val="-2"/>
        </w:rPr>
        <w:t xml:space="preserve"> </w:t>
      </w:r>
      <w:r>
        <w:t>will</w:t>
      </w:r>
      <w:r>
        <w:rPr>
          <w:spacing w:val="-3"/>
        </w:rPr>
        <w:t xml:space="preserve"> </w:t>
      </w:r>
      <w:r>
        <w:t>explore</w:t>
      </w:r>
      <w:r>
        <w:rPr>
          <w:spacing w:val="-4"/>
        </w:rPr>
        <w:t xml:space="preserve"> </w:t>
      </w:r>
      <w:r>
        <w:t>how</w:t>
      </w:r>
      <w:r>
        <w:rPr>
          <w:spacing w:val="-3"/>
        </w:rPr>
        <w:t xml:space="preserve"> </w:t>
      </w:r>
      <w:r>
        <w:t>risky</w:t>
      </w:r>
      <w:r>
        <w:rPr>
          <w:spacing w:val="-2"/>
        </w:rPr>
        <w:t xml:space="preserve"> </w:t>
      </w:r>
      <w:r>
        <w:t>play</w:t>
      </w:r>
      <w:r>
        <w:rPr>
          <w:spacing w:val="-4"/>
        </w:rPr>
        <w:t xml:space="preserve"> </w:t>
      </w:r>
      <w:r>
        <w:t>affects</w:t>
      </w:r>
      <w:r>
        <w:rPr>
          <w:spacing w:val="-4"/>
        </w:rPr>
        <w:t xml:space="preserve"> </w:t>
      </w:r>
      <w:r>
        <w:t>children’s</w:t>
      </w:r>
      <w:r>
        <w:rPr>
          <w:spacing w:val="-3"/>
        </w:rPr>
        <w:t xml:space="preserve"> </w:t>
      </w:r>
      <w:r>
        <w:t>holistic</w:t>
      </w:r>
      <w:r>
        <w:rPr>
          <w:spacing w:val="-2"/>
        </w:rPr>
        <w:t xml:space="preserve"> </w:t>
      </w:r>
      <w:r>
        <w:t>development.</w:t>
      </w:r>
      <w:r>
        <w:rPr>
          <w:spacing w:val="-1"/>
        </w:rPr>
        <w:t xml:space="preserve"> </w:t>
      </w:r>
      <w:r>
        <w:t>The</w:t>
      </w:r>
      <w:r>
        <w:rPr>
          <w:spacing w:val="-2"/>
        </w:rPr>
        <w:t xml:space="preserve"> </w:t>
      </w:r>
      <w:r>
        <w:t xml:space="preserve">aim of this research project will compare the </w:t>
      </w:r>
      <w:proofErr w:type="spellStart"/>
      <w:r>
        <w:t>behaviours</w:t>
      </w:r>
      <w:proofErr w:type="spellEnd"/>
      <w:r>
        <w:t xml:space="preserve"> and attitudes towards risky play of Children aged 3-5 and the viewpoints of practitioners which will be carried out in a Nordic-inspired forest school and an early years setting with an indoor and outdoor learning environment that are located in South Wales. The hypotheses is to find the right balance between the risks and dangers of children, the worries and anxiety of parents</w:t>
      </w:r>
      <w:r>
        <w:rPr>
          <w:spacing w:val="-1"/>
        </w:rPr>
        <w:t xml:space="preserve"> </w:t>
      </w:r>
      <w:r>
        <w:t>and the challenges</w:t>
      </w:r>
      <w:r>
        <w:rPr>
          <w:spacing w:val="-1"/>
        </w:rPr>
        <w:t xml:space="preserve"> </w:t>
      </w:r>
      <w:r>
        <w:t>that practitioners</w:t>
      </w:r>
      <w:r>
        <w:rPr>
          <w:spacing w:val="-2"/>
        </w:rPr>
        <w:t xml:space="preserve"> </w:t>
      </w:r>
      <w:r>
        <w:t>face</w:t>
      </w:r>
      <w:r>
        <w:rPr>
          <w:spacing w:val="-1"/>
        </w:rPr>
        <w:t xml:space="preserve"> </w:t>
      </w:r>
      <w:r>
        <w:t>as a result of this.</w:t>
      </w:r>
      <w:r>
        <w:rPr>
          <w:spacing w:val="40"/>
        </w:rPr>
        <w:t xml:space="preserve"> </w:t>
      </w:r>
      <w:r>
        <w:t>Findings</w:t>
      </w:r>
      <w:r>
        <w:rPr>
          <w:spacing w:val="-2"/>
        </w:rPr>
        <w:t xml:space="preserve"> </w:t>
      </w:r>
      <w:r>
        <w:t xml:space="preserve">will be </w:t>
      </w:r>
      <w:proofErr w:type="spellStart"/>
      <w:r>
        <w:t>analysed</w:t>
      </w:r>
      <w:proofErr w:type="spellEnd"/>
      <w:r>
        <w:t xml:space="preserve"> to discover the advantages and challenges or stigmas that that surround risky play. A sample of 10 children, 2 Practitioners and 1 Leader will be the participants of the research project which derives from purposive sampling. An analysis of triangulation and the mixed methods that have been selected to be used for this line of enquiry will be discussed. The last section of this chapter will contain the ethical considerations prior to the research study, whilst adhering to BERA and ERIC. Informed consent and the right to withdraw at any time will be discussed at length</w:t>
      </w:r>
      <w:r>
        <w:rPr>
          <w:spacing w:val="-1"/>
        </w:rPr>
        <w:t xml:space="preserve"> </w:t>
      </w:r>
      <w:r>
        <w:t>and</w:t>
      </w:r>
      <w:r>
        <w:rPr>
          <w:spacing w:val="-1"/>
        </w:rPr>
        <w:t xml:space="preserve"> </w:t>
      </w:r>
      <w:r>
        <w:t>the</w:t>
      </w:r>
      <w:r>
        <w:rPr>
          <w:spacing w:val="-1"/>
        </w:rPr>
        <w:t xml:space="preserve"> </w:t>
      </w:r>
      <w:r>
        <w:t>reassurance</w:t>
      </w:r>
      <w:r>
        <w:rPr>
          <w:spacing w:val="-3"/>
        </w:rPr>
        <w:t xml:space="preserve"> </w:t>
      </w:r>
      <w:r>
        <w:t>that</w:t>
      </w:r>
      <w:r>
        <w:rPr>
          <w:spacing w:val="-1"/>
        </w:rPr>
        <w:t xml:space="preserve"> </w:t>
      </w:r>
      <w:r>
        <w:t>this</w:t>
      </w:r>
      <w:r>
        <w:rPr>
          <w:spacing w:val="-2"/>
        </w:rPr>
        <w:t xml:space="preserve"> </w:t>
      </w:r>
      <w:r>
        <w:t>information will</w:t>
      </w:r>
      <w:r>
        <w:rPr>
          <w:spacing w:val="-2"/>
        </w:rPr>
        <w:t xml:space="preserve"> </w:t>
      </w:r>
      <w:r>
        <w:t>be</w:t>
      </w:r>
      <w:r>
        <w:rPr>
          <w:spacing w:val="-3"/>
        </w:rPr>
        <w:t xml:space="preserve"> </w:t>
      </w:r>
      <w:r>
        <w:t>offered</w:t>
      </w:r>
      <w:r>
        <w:rPr>
          <w:spacing w:val="-1"/>
        </w:rPr>
        <w:t xml:space="preserve"> </w:t>
      </w:r>
      <w:r>
        <w:t>to</w:t>
      </w:r>
      <w:r>
        <w:rPr>
          <w:spacing w:val="-1"/>
        </w:rPr>
        <w:t xml:space="preserve"> </w:t>
      </w:r>
      <w:r>
        <w:t>participants</w:t>
      </w:r>
      <w:r>
        <w:rPr>
          <w:spacing w:val="-1"/>
        </w:rPr>
        <w:t xml:space="preserve"> </w:t>
      </w:r>
      <w:r>
        <w:t>prior to the research project and that data will be gathered and stored securely in</w:t>
      </w:r>
      <w:r>
        <w:rPr>
          <w:spacing w:val="40"/>
        </w:rPr>
        <w:t xml:space="preserve"> </w:t>
      </w:r>
      <w:r>
        <w:t>accordance with data protection GDPR to have their identity remained confidential.</w:t>
      </w:r>
    </w:p>
    <w:p w14:paraId="61C75618" w14:textId="77777777" w:rsidR="003D621F" w:rsidRDefault="003D621F">
      <w:pPr>
        <w:pStyle w:val="BodyText"/>
        <w:spacing w:before="6"/>
        <w:ind w:left="0"/>
      </w:pPr>
    </w:p>
    <w:p w14:paraId="61C75619" w14:textId="77777777" w:rsidR="003D621F" w:rsidRDefault="00000000">
      <w:pPr>
        <w:pStyle w:val="Heading1"/>
      </w:pPr>
      <w:r>
        <w:t>Literature</w:t>
      </w:r>
      <w:r>
        <w:rPr>
          <w:spacing w:val="-3"/>
        </w:rPr>
        <w:t xml:space="preserve"> </w:t>
      </w:r>
      <w:r>
        <w:t>Review.</w:t>
      </w:r>
      <w:r>
        <w:rPr>
          <w:spacing w:val="-2"/>
        </w:rPr>
        <w:t xml:space="preserve"> </w:t>
      </w:r>
      <w:r>
        <w:t>–</w:t>
      </w:r>
      <w:r>
        <w:rPr>
          <w:spacing w:val="-4"/>
        </w:rPr>
        <w:t xml:space="preserve"> </w:t>
      </w:r>
      <w:r>
        <w:t>809</w:t>
      </w:r>
      <w:r>
        <w:rPr>
          <w:spacing w:val="-1"/>
        </w:rPr>
        <w:t xml:space="preserve"> </w:t>
      </w:r>
      <w:r>
        <w:rPr>
          <w:spacing w:val="-2"/>
        </w:rPr>
        <w:t>Words.</w:t>
      </w:r>
    </w:p>
    <w:p w14:paraId="61C7561A" w14:textId="77777777" w:rsidR="003D621F" w:rsidRDefault="003D621F">
      <w:pPr>
        <w:pStyle w:val="BodyText"/>
        <w:spacing w:before="3"/>
        <w:ind w:left="0"/>
        <w:rPr>
          <w:b/>
        </w:rPr>
      </w:pPr>
    </w:p>
    <w:p w14:paraId="61C7561B" w14:textId="77777777" w:rsidR="003D621F" w:rsidRDefault="00000000">
      <w:pPr>
        <w:pStyle w:val="BodyText"/>
        <w:ind w:right="107"/>
      </w:pPr>
      <w:r>
        <w:t xml:space="preserve">According to Bell (2018), a hypothesis is a term that identifies an idea or a question that a researcher possesses to collect and </w:t>
      </w:r>
      <w:proofErr w:type="spellStart"/>
      <w:r>
        <w:t>analyse</w:t>
      </w:r>
      <w:proofErr w:type="spellEnd"/>
      <w:r>
        <w:t xml:space="preserve"> data to form a stronger understanding of a topic. The hypothesis of this research project is whether risky</w:t>
      </w:r>
      <w:r>
        <w:rPr>
          <w:spacing w:val="40"/>
        </w:rPr>
        <w:t xml:space="preserve"> </w:t>
      </w:r>
      <w:r>
        <w:t xml:space="preserve">play has an impact on young children’s holistic development, and the attitudes of practitioners, children and parents towards risky play are in South Wales. </w:t>
      </w:r>
      <w:proofErr w:type="spellStart"/>
      <w:r>
        <w:t>Obee</w:t>
      </w:r>
      <w:proofErr w:type="spellEnd"/>
      <w:r>
        <w:t xml:space="preserve">, </w:t>
      </w:r>
      <w:proofErr w:type="spellStart"/>
      <w:r>
        <w:t>Sandseter</w:t>
      </w:r>
      <w:proofErr w:type="spellEnd"/>
      <w:r>
        <w:t xml:space="preserve"> and Harper (2020) describe the advantages of taking part in risky play, such as physical health, enhanced motor skills, learning to assess risks and consequences to their actions, enhanced mental and emotional well-being through attempting and mastering skills of potentially dangerous activities, developing personalities with their confidence and high self-esteem, developing skills of regulating and expressing themselves emotionally and the resilience to manage conflicts and challenging situations. </w:t>
      </w:r>
      <w:proofErr w:type="spellStart"/>
      <w:r>
        <w:t>Jidovtseff</w:t>
      </w:r>
      <w:proofErr w:type="spellEnd"/>
      <w:r>
        <w:t xml:space="preserve"> et al (2022) argues that Children who participate</w:t>
      </w:r>
      <w:r>
        <w:rPr>
          <w:spacing w:val="-2"/>
        </w:rPr>
        <w:t xml:space="preserve"> </w:t>
      </w:r>
      <w:r>
        <w:t>in</w:t>
      </w:r>
      <w:r>
        <w:rPr>
          <w:spacing w:val="-2"/>
        </w:rPr>
        <w:t xml:space="preserve"> </w:t>
      </w:r>
      <w:r>
        <w:t>risky</w:t>
      </w:r>
      <w:r>
        <w:rPr>
          <w:spacing w:val="-2"/>
        </w:rPr>
        <w:t xml:space="preserve"> </w:t>
      </w:r>
      <w:r>
        <w:t>play</w:t>
      </w:r>
      <w:r>
        <w:rPr>
          <w:spacing w:val="-4"/>
        </w:rPr>
        <w:t xml:space="preserve"> </w:t>
      </w:r>
      <w:r>
        <w:t>enter</w:t>
      </w:r>
      <w:r>
        <w:rPr>
          <w:spacing w:val="-2"/>
        </w:rPr>
        <w:t xml:space="preserve"> </w:t>
      </w:r>
      <w:r>
        <w:t>what</w:t>
      </w:r>
      <w:r>
        <w:rPr>
          <w:spacing w:val="-2"/>
        </w:rPr>
        <w:t xml:space="preserve"> </w:t>
      </w:r>
      <w:r>
        <w:t>is</w:t>
      </w:r>
      <w:r>
        <w:rPr>
          <w:spacing w:val="-3"/>
        </w:rPr>
        <w:t xml:space="preserve"> </w:t>
      </w:r>
      <w:r>
        <w:t>referred</w:t>
      </w:r>
      <w:r>
        <w:rPr>
          <w:spacing w:val="-4"/>
        </w:rPr>
        <w:t xml:space="preserve"> </w:t>
      </w:r>
      <w:r>
        <w:t>to</w:t>
      </w:r>
      <w:r>
        <w:rPr>
          <w:spacing w:val="-1"/>
        </w:rPr>
        <w:t xml:space="preserve"> </w:t>
      </w:r>
      <w:r>
        <w:t>as</w:t>
      </w:r>
      <w:r>
        <w:rPr>
          <w:spacing w:val="-4"/>
        </w:rPr>
        <w:t xml:space="preserve"> </w:t>
      </w:r>
      <w:r>
        <w:t>the</w:t>
      </w:r>
      <w:r>
        <w:rPr>
          <w:spacing w:val="-4"/>
        </w:rPr>
        <w:t xml:space="preserve"> </w:t>
      </w:r>
      <w:r>
        <w:t>zone</w:t>
      </w:r>
      <w:r>
        <w:rPr>
          <w:spacing w:val="-2"/>
        </w:rPr>
        <w:t xml:space="preserve"> </w:t>
      </w:r>
      <w:r>
        <w:t>of</w:t>
      </w:r>
      <w:r>
        <w:rPr>
          <w:spacing w:val="-2"/>
        </w:rPr>
        <w:t xml:space="preserve"> </w:t>
      </w:r>
      <w:r>
        <w:t>proximal</w:t>
      </w:r>
      <w:r>
        <w:rPr>
          <w:spacing w:val="-3"/>
        </w:rPr>
        <w:t xml:space="preserve"> </w:t>
      </w:r>
      <w:r>
        <w:t xml:space="preserve">development (ZPD), discovered by Lev </w:t>
      </w:r>
      <w:proofErr w:type="spellStart"/>
      <w:r>
        <w:t>Vytgotsky</w:t>
      </w:r>
      <w:proofErr w:type="spellEnd"/>
      <w:r>
        <w:t xml:space="preserve">, a theorist who suggested this is central to where learning is most effective (Aubrey and Riley, 2013). Children are often observed welcoming challenge and being aware of their physical strengths and limitations and they can gradually increase the task’s difficulty at their own pace, making them the leaders of their own physical development, which in turn supports their mental wellbeing and self-esteem. Play without interference from adults in this regard can help them </w:t>
      </w:r>
      <w:proofErr w:type="spellStart"/>
      <w:r>
        <w:t>conceptualise</w:t>
      </w:r>
      <w:proofErr w:type="spellEnd"/>
      <w:r>
        <w:t xml:space="preserve"> their surroundings and discover for themselves what are potential hazards they face to overcome. </w:t>
      </w:r>
      <w:proofErr w:type="spellStart"/>
      <w:r>
        <w:t>Jidovtseff</w:t>
      </w:r>
      <w:proofErr w:type="spellEnd"/>
      <w:r>
        <w:t xml:space="preserve"> (2022) argues that Children require opportunities to be exposed to these environments in order to become resilient, confident and fearless individuals. Cheng et al (2022) endorses risky play through suggesting that effective learning takes place when children can freely explore and create where they follow their interests and instincts in the open</w:t>
      </w:r>
      <w:r>
        <w:rPr>
          <w:spacing w:val="40"/>
        </w:rPr>
        <w:t xml:space="preserve"> </w:t>
      </w:r>
      <w:r>
        <w:t>air without adult direction or pressure for results. Children learn social and risk</w:t>
      </w:r>
    </w:p>
    <w:p w14:paraId="61C7561C" w14:textId="77777777" w:rsidR="003D621F" w:rsidRDefault="003D621F">
      <w:pPr>
        <w:sectPr w:rsidR="003D621F">
          <w:type w:val="continuous"/>
          <w:pgSz w:w="11910" w:h="16840"/>
          <w:pgMar w:top="1340" w:right="1340" w:bottom="280" w:left="1340" w:header="720" w:footer="720" w:gutter="0"/>
          <w:cols w:space="720"/>
        </w:sectPr>
      </w:pPr>
    </w:p>
    <w:p w14:paraId="61C7561D" w14:textId="77777777" w:rsidR="003D621F" w:rsidRDefault="00000000">
      <w:pPr>
        <w:pStyle w:val="BodyText"/>
        <w:spacing w:before="82"/>
        <w:ind w:right="153"/>
      </w:pPr>
      <w:r>
        <w:lastRenderedPageBreak/>
        <w:t xml:space="preserve">management skills, resilience, and creative thinking, all of which establish the groundwork for positive interpersonal interactions and problem-solving. The viewpoint of Hinchion, McAuliffe and Lynch (2021) is that Children’s opportunity to become “daredevils” enhances independent decision making and sense of competence are improved and negative </w:t>
      </w:r>
      <w:proofErr w:type="spellStart"/>
      <w:r>
        <w:t>behaviour</w:t>
      </w:r>
      <w:proofErr w:type="spellEnd"/>
      <w:r>
        <w:t xml:space="preserve"> is regulated. Social interaction skills are mastered, alongside </w:t>
      </w:r>
      <w:proofErr w:type="spellStart"/>
      <w:r>
        <w:t>behaviour</w:t>
      </w:r>
      <w:proofErr w:type="spellEnd"/>
      <w:r>
        <w:t xml:space="preserve"> and emotional regulation. This is partially attributable to the adaptability the risky play offers, the natural world allows for a higher</w:t>
      </w:r>
      <w:r>
        <w:rPr>
          <w:spacing w:val="-2"/>
        </w:rPr>
        <w:t xml:space="preserve"> </w:t>
      </w:r>
      <w:r>
        <w:t>level</w:t>
      </w:r>
      <w:r>
        <w:rPr>
          <w:spacing w:val="-3"/>
        </w:rPr>
        <w:t xml:space="preserve"> </w:t>
      </w:r>
      <w:r>
        <w:t>of</w:t>
      </w:r>
      <w:r>
        <w:rPr>
          <w:spacing w:val="-4"/>
        </w:rPr>
        <w:t xml:space="preserve"> </w:t>
      </w:r>
      <w:r>
        <w:t>risk</w:t>
      </w:r>
      <w:r>
        <w:rPr>
          <w:spacing w:val="-2"/>
        </w:rPr>
        <w:t xml:space="preserve"> </w:t>
      </w:r>
      <w:r>
        <w:t>in</w:t>
      </w:r>
      <w:r>
        <w:rPr>
          <w:spacing w:val="-2"/>
        </w:rPr>
        <w:t xml:space="preserve"> </w:t>
      </w:r>
      <w:r>
        <w:t>children’s</w:t>
      </w:r>
      <w:r>
        <w:rPr>
          <w:spacing w:val="-3"/>
        </w:rPr>
        <w:t xml:space="preserve"> </w:t>
      </w:r>
      <w:r>
        <w:t>play</w:t>
      </w:r>
      <w:r>
        <w:rPr>
          <w:spacing w:val="-4"/>
        </w:rPr>
        <w:t xml:space="preserve"> </w:t>
      </w:r>
      <w:r>
        <w:t>and</w:t>
      </w:r>
      <w:r>
        <w:rPr>
          <w:spacing w:val="-2"/>
        </w:rPr>
        <w:t xml:space="preserve"> </w:t>
      </w:r>
      <w:r>
        <w:t>offers</w:t>
      </w:r>
      <w:r>
        <w:rPr>
          <w:spacing w:val="-2"/>
        </w:rPr>
        <w:t xml:space="preserve"> </w:t>
      </w:r>
      <w:r>
        <w:t>more</w:t>
      </w:r>
      <w:r>
        <w:rPr>
          <w:spacing w:val="-5"/>
        </w:rPr>
        <w:t xml:space="preserve"> </w:t>
      </w:r>
      <w:r>
        <w:t>affordances</w:t>
      </w:r>
      <w:r>
        <w:rPr>
          <w:spacing w:val="-2"/>
        </w:rPr>
        <w:t xml:space="preserve"> </w:t>
      </w:r>
      <w:r>
        <w:t>for</w:t>
      </w:r>
      <w:r>
        <w:rPr>
          <w:spacing w:val="-2"/>
        </w:rPr>
        <w:t xml:space="preserve"> </w:t>
      </w:r>
      <w:r>
        <w:t>the</w:t>
      </w:r>
      <w:r>
        <w:rPr>
          <w:spacing w:val="-2"/>
        </w:rPr>
        <w:t xml:space="preserve"> </w:t>
      </w:r>
      <w:r>
        <w:t>challenge.</w:t>
      </w:r>
    </w:p>
    <w:p w14:paraId="61C7561E" w14:textId="77777777" w:rsidR="003D621F" w:rsidRDefault="003D621F">
      <w:pPr>
        <w:pStyle w:val="BodyText"/>
        <w:spacing w:before="5"/>
        <w:ind w:left="0"/>
      </w:pPr>
    </w:p>
    <w:p w14:paraId="61C7561F" w14:textId="77777777" w:rsidR="003D621F" w:rsidRDefault="00000000">
      <w:pPr>
        <w:pStyle w:val="BodyText"/>
        <w:ind w:right="103"/>
      </w:pPr>
      <w:proofErr w:type="spellStart"/>
      <w:r>
        <w:t>Obee</w:t>
      </w:r>
      <w:proofErr w:type="spellEnd"/>
      <w:r>
        <w:t xml:space="preserve"> et al (2020) describes the largest challenges in attitude towards risky play is the assumption that children are not capable of learning to be careful in risky activities, the pressures that practitioners face in ensuring the health and safety of children under their care and protecting them from harm and parents that are cautious of</w:t>
      </w:r>
      <w:r>
        <w:rPr>
          <w:spacing w:val="-2"/>
        </w:rPr>
        <w:t xml:space="preserve"> </w:t>
      </w:r>
      <w:r>
        <w:t>their</w:t>
      </w:r>
      <w:r>
        <w:rPr>
          <w:spacing w:val="-3"/>
        </w:rPr>
        <w:t xml:space="preserve"> </w:t>
      </w:r>
      <w:r>
        <w:t>children taking</w:t>
      </w:r>
      <w:r>
        <w:rPr>
          <w:spacing w:val="-1"/>
        </w:rPr>
        <w:t xml:space="preserve"> </w:t>
      </w:r>
      <w:r>
        <w:t>part</w:t>
      </w:r>
      <w:r>
        <w:rPr>
          <w:spacing w:val="-4"/>
        </w:rPr>
        <w:t xml:space="preserve"> </w:t>
      </w:r>
      <w:r>
        <w:t>and</w:t>
      </w:r>
      <w:r>
        <w:rPr>
          <w:spacing w:val="-2"/>
        </w:rPr>
        <w:t xml:space="preserve"> </w:t>
      </w:r>
      <w:r>
        <w:t>becoming injured as</w:t>
      </w:r>
      <w:r>
        <w:rPr>
          <w:spacing w:val="-2"/>
        </w:rPr>
        <w:t xml:space="preserve"> </w:t>
      </w:r>
      <w:r>
        <w:t xml:space="preserve">a result. </w:t>
      </w:r>
      <w:proofErr w:type="spellStart"/>
      <w:r>
        <w:t>Jidovtseff</w:t>
      </w:r>
      <w:proofErr w:type="spellEnd"/>
      <w:r>
        <w:rPr>
          <w:spacing w:val="-2"/>
        </w:rPr>
        <w:t xml:space="preserve"> </w:t>
      </w:r>
      <w:r>
        <w:t>et</w:t>
      </w:r>
      <w:r>
        <w:rPr>
          <w:spacing w:val="-2"/>
        </w:rPr>
        <w:t xml:space="preserve"> </w:t>
      </w:r>
      <w:r>
        <w:t>al have</w:t>
      </w:r>
      <w:r>
        <w:rPr>
          <w:spacing w:val="-3"/>
        </w:rPr>
        <w:t xml:space="preserve"> </w:t>
      </w:r>
      <w:r>
        <w:t>highlighted</w:t>
      </w:r>
      <w:r>
        <w:rPr>
          <w:spacing w:val="-1"/>
        </w:rPr>
        <w:t xml:space="preserve"> </w:t>
      </w:r>
      <w:r>
        <w:t>another challenge</w:t>
      </w:r>
      <w:r>
        <w:rPr>
          <w:spacing w:val="-3"/>
        </w:rPr>
        <w:t xml:space="preserve"> </w:t>
      </w:r>
      <w:r>
        <w:t>that</w:t>
      </w:r>
      <w:r>
        <w:rPr>
          <w:spacing w:val="-1"/>
        </w:rPr>
        <w:t xml:space="preserve"> </w:t>
      </w:r>
      <w:r>
        <w:t>has</w:t>
      </w:r>
      <w:r>
        <w:rPr>
          <w:spacing w:val="-1"/>
        </w:rPr>
        <w:t xml:space="preserve"> </w:t>
      </w:r>
      <w:r>
        <w:t>arisen</w:t>
      </w:r>
      <w:r>
        <w:rPr>
          <w:spacing w:val="-1"/>
        </w:rPr>
        <w:t xml:space="preserve"> </w:t>
      </w:r>
      <w:r>
        <w:t>in</w:t>
      </w:r>
      <w:r>
        <w:rPr>
          <w:spacing w:val="-1"/>
        </w:rPr>
        <w:t xml:space="preserve"> </w:t>
      </w:r>
      <w:r>
        <w:t>society in</w:t>
      </w:r>
      <w:r>
        <w:rPr>
          <w:spacing w:val="-1"/>
        </w:rPr>
        <w:t xml:space="preserve"> </w:t>
      </w:r>
      <w:r>
        <w:t>recent</w:t>
      </w:r>
      <w:r>
        <w:rPr>
          <w:spacing w:val="-1"/>
        </w:rPr>
        <w:t xml:space="preserve"> </w:t>
      </w:r>
      <w:r>
        <w:t>years</w:t>
      </w:r>
      <w:r>
        <w:rPr>
          <w:spacing w:val="-1"/>
        </w:rPr>
        <w:t xml:space="preserve"> </w:t>
      </w:r>
      <w:r>
        <w:t>that</w:t>
      </w:r>
      <w:r>
        <w:rPr>
          <w:spacing w:val="-1"/>
        </w:rPr>
        <w:t xml:space="preserve"> </w:t>
      </w:r>
      <w:r>
        <w:t xml:space="preserve">has resulted in the decline of encouraged outdoor activity. This includes the increase of popular technologies that are offered such as computer games and television that are used as indoor activities. Cheng et al (2022) explore the method of the barriers that practitioners face when promoting risky play by </w:t>
      </w:r>
      <w:proofErr w:type="spellStart"/>
      <w:r>
        <w:t>utilising</w:t>
      </w:r>
      <w:proofErr w:type="spellEnd"/>
      <w:r>
        <w:t xml:space="preserve"> the map of Bronfenbrenner’s ecological systems theory (Bradbury and </w:t>
      </w:r>
      <w:proofErr w:type="spellStart"/>
      <w:r>
        <w:t>Swailes</w:t>
      </w:r>
      <w:proofErr w:type="spellEnd"/>
      <w:r>
        <w:t>, 2022). They discovered that microsystem issues were the competencies and resilience of</w:t>
      </w:r>
      <w:r>
        <w:rPr>
          <w:spacing w:val="40"/>
        </w:rPr>
        <w:t xml:space="preserve"> </w:t>
      </w:r>
      <w:r>
        <w:t xml:space="preserve">children engaging in risky play, mesosystem concerns which concerns disagreeing beliefs involving risky play between parents and practitioners, </w:t>
      </w:r>
      <w:proofErr w:type="spellStart"/>
      <w:r>
        <w:t>exosystem</w:t>
      </w:r>
      <w:proofErr w:type="spellEnd"/>
      <w:r>
        <w:t xml:space="preserve"> concerns which involves curricula, policies and procedures and macrosystem concerns which is the overall idea that Children need to be overprotected. Hinchion McAuliffe and Lynch (2021) describe the significance to risk aversion as a challenge, where the perspectives of some practitioners and families are to eliminate all forms of risk</w:t>
      </w:r>
      <w:r>
        <w:rPr>
          <w:spacing w:val="40"/>
        </w:rPr>
        <w:t xml:space="preserve"> </w:t>
      </w:r>
      <w:r>
        <w:t>within the environment in order to avoid any possibility of accident, injury or in rare cases,</w:t>
      </w:r>
      <w:r>
        <w:rPr>
          <w:spacing w:val="-4"/>
        </w:rPr>
        <w:t xml:space="preserve"> </w:t>
      </w:r>
      <w:r>
        <w:t>a</w:t>
      </w:r>
      <w:r>
        <w:rPr>
          <w:spacing w:val="-2"/>
        </w:rPr>
        <w:t xml:space="preserve"> </w:t>
      </w:r>
      <w:r>
        <w:t>loss</w:t>
      </w:r>
      <w:r>
        <w:rPr>
          <w:spacing w:val="-4"/>
        </w:rPr>
        <w:t xml:space="preserve"> </w:t>
      </w:r>
      <w:r>
        <w:t>of</w:t>
      </w:r>
      <w:r>
        <w:rPr>
          <w:spacing w:val="-2"/>
        </w:rPr>
        <w:t xml:space="preserve"> </w:t>
      </w:r>
      <w:r>
        <w:t>life.</w:t>
      </w:r>
      <w:r>
        <w:rPr>
          <w:spacing w:val="40"/>
        </w:rPr>
        <w:t xml:space="preserve"> </w:t>
      </w:r>
      <w:r>
        <w:t>They</w:t>
      </w:r>
      <w:r>
        <w:rPr>
          <w:spacing w:val="-2"/>
        </w:rPr>
        <w:t xml:space="preserve"> </w:t>
      </w:r>
      <w:r>
        <w:t>also</w:t>
      </w:r>
      <w:r>
        <w:rPr>
          <w:spacing w:val="-2"/>
        </w:rPr>
        <w:t xml:space="preserve"> </w:t>
      </w:r>
      <w:r>
        <w:t>refer</w:t>
      </w:r>
      <w:r>
        <w:rPr>
          <w:spacing w:val="-5"/>
        </w:rPr>
        <w:t xml:space="preserve"> </w:t>
      </w:r>
      <w:r>
        <w:t>to</w:t>
      </w:r>
      <w:r>
        <w:rPr>
          <w:spacing w:val="-1"/>
        </w:rPr>
        <w:t xml:space="preserve"> </w:t>
      </w:r>
      <w:r>
        <w:t>the</w:t>
      </w:r>
      <w:r>
        <w:rPr>
          <w:spacing w:val="-4"/>
        </w:rPr>
        <w:t xml:space="preserve"> </w:t>
      </w:r>
      <w:r>
        <w:t>term “adult</w:t>
      </w:r>
      <w:r>
        <w:rPr>
          <w:spacing w:val="-5"/>
        </w:rPr>
        <w:t xml:space="preserve"> </w:t>
      </w:r>
      <w:r>
        <w:t>neglect”</w:t>
      </w:r>
      <w:r>
        <w:rPr>
          <w:spacing w:val="-2"/>
        </w:rPr>
        <w:t xml:space="preserve"> </w:t>
      </w:r>
      <w:r>
        <w:t>which</w:t>
      </w:r>
      <w:r>
        <w:rPr>
          <w:spacing w:val="-2"/>
        </w:rPr>
        <w:t xml:space="preserve"> </w:t>
      </w:r>
      <w:r>
        <w:t>could</w:t>
      </w:r>
      <w:r>
        <w:rPr>
          <w:spacing w:val="-2"/>
        </w:rPr>
        <w:t xml:space="preserve"> </w:t>
      </w:r>
      <w:r>
        <w:t>mean</w:t>
      </w:r>
      <w:r>
        <w:rPr>
          <w:spacing w:val="-2"/>
        </w:rPr>
        <w:t xml:space="preserve"> </w:t>
      </w:r>
      <w:r>
        <w:t>the inconsistencies</w:t>
      </w:r>
      <w:r>
        <w:rPr>
          <w:spacing w:val="-3"/>
        </w:rPr>
        <w:t xml:space="preserve"> </w:t>
      </w:r>
      <w:r>
        <w:t>of</w:t>
      </w:r>
      <w:r>
        <w:rPr>
          <w:spacing w:val="-3"/>
        </w:rPr>
        <w:t xml:space="preserve"> </w:t>
      </w:r>
      <w:r>
        <w:t>opinions</w:t>
      </w:r>
      <w:r>
        <w:rPr>
          <w:spacing w:val="-3"/>
        </w:rPr>
        <w:t xml:space="preserve"> </w:t>
      </w:r>
      <w:r>
        <w:t>of</w:t>
      </w:r>
      <w:r>
        <w:rPr>
          <w:spacing w:val="-5"/>
        </w:rPr>
        <w:t xml:space="preserve"> </w:t>
      </w:r>
      <w:r>
        <w:t>whether</w:t>
      </w:r>
      <w:r>
        <w:rPr>
          <w:spacing w:val="-3"/>
        </w:rPr>
        <w:t xml:space="preserve"> </w:t>
      </w:r>
      <w:r>
        <w:t>child-directed</w:t>
      </w:r>
      <w:r>
        <w:rPr>
          <w:spacing w:val="-3"/>
        </w:rPr>
        <w:t xml:space="preserve"> </w:t>
      </w:r>
      <w:r>
        <w:t>risky</w:t>
      </w:r>
      <w:r>
        <w:rPr>
          <w:spacing w:val="-3"/>
        </w:rPr>
        <w:t xml:space="preserve"> </w:t>
      </w:r>
      <w:r>
        <w:t>play</w:t>
      </w:r>
      <w:r>
        <w:rPr>
          <w:spacing w:val="-5"/>
        </w:rPr>
        <w:t xml:space="preserve"> </w:t>
      </w:r>
      <w:r>
        <w:t>and the</w:t>
      </w:r>
      <w:r>
        <w:rPr>
          <w:spacing w:val="-3"/>
        </w:rPr>
        <w:t xml:space="preserve"> </w:t>
      </w:r>
      <w:r>
        <w:t>supervision</w:t>
      </w:r>
      <w:r>
        <w:rPr>
          <w:spacing w:val="-4"/>
        </w:rPr>
        <w:t xml:space="preserve"> </w:t>
      </w:r>
      <w:r>
        <w:t xml:space="preserve">of adults from a distance could be perceived by parents as this when their child is involved in an accident as a result. </w:t>
      </w:r>
      <w:proofErr w:type="spellStart"/>
      <w:r>
        <w:t>Tytler</w:t>
      </w:r>
      <w:proofErr w:type="spellEnd"/>
      <w:r>
        <w:t xml:space="preserve"> (2016) and Little (2015) have argued that if every health and safety procedure is adhered to then any opportunity of providing risk-rich experiences would not be offered and believes that children need to learn and manage their own risks to learn to keep themselves safe, and become competent</w:t>
      </w:r>
      <w:r>
        <w:rPr>
          <w:spacing w:val="-2"/>
        </w:rPr>
        <w:t xml:space="preserve"> </w:t>
      </w:r>
      <w:r>
        <w:t>adults</w:t>
      </w:r>
      <w:r>
        <w:rPr>
          <w:spacing w:val="-1"/>
        </w:rPr>
        <w:t xml:space="preserve"> </w:t>
      </w:r>
      <w:r>
        <w:t>when they have</w:t>
      </w:r>
      <w:r>
        <w:rPr>
          <w:spacing w:val="-2"/>
        </w:rPr>
        <w:t xml:space="preserve"> </w:t>
      </w:r>
      <w:r>
        <w:t>grown. Button</w:t>
      </w:r>
      <w:r>
        <w:rPr>
          <w:spacing w:val="-2"/>
        </w:rPr>
        <w:t xml:space="preserve"> </w:t>
      </w:r>
      <w:r>
        <w:t>and</w:t>
      </w:r>
      <w:r>
        <w:rPr>
          <w:spacing w:val="-2"/>
        </w:rPr>
        <w:t xml:space="preserve"> </w:t>
      </w:r>
      <w:r>
        <w:t>Wilde</w:t>
      </w:r>
      <w:r>
        <w:rPr>
          <w:spacing w:val="-2"/>
        </w:rPr>
        <w:t xml:space="preserve"> </w:t>
      </w:r>
      <w:r>
        <w:t>(2019) have explored</w:t>
      </w:r>
      <w:r>
        <w:rPr>
          <w:spacing w:val="-2"/>
        </w:rPr>
        <w:t xml:space="preserve"> </w:t>
      </w:r>
      <w:r>
        <w:t xml:space="preserve">the contrast between parental anxiety towards their children’s safety between an early years setting and </w:t>
      </w:r>
      <w:proofErr w:type="spellStart"/>
      <w:r>
        <w:t>nordic</w:t>
      </w:r>
      <w:proofErr w:type="spellEnd"/>
      <w:r>
        <w:t xml:space="preserve"> inspired forest schools. They found that parents were more comfortable with their children attending forest schools and engaging in risky play as they believed the practitioners were more experienced in supporting risky play than</w:t>
      </w:r>
      <w:r>
        <w:rPr>
          <w:spacing w:val="40"/>
        </w:rPr>
        <w:t xml:space="preserve"> </w:t>
      </w:r>
      <w:r>
        <w:t>in early years settings.</w:t>
      </w:r>
    </w:p>
    <w:p w14:paraId="61C75620" w14:textId="77777777" w:rsidR="003D621F" w:rsidRDefault="003D621F">
      <w:pPr>
        <w:pStyle w:val="BodyText"/>
        <w:ind w:left="0"/>
        <w:rPr>
          <w:sz w:val="26"/>
        </w:rPr>
      </w:pPr>
    </w:p>
    <w:p w14:paraId="61C75621" w14:textId="77777777" w:rsidR="003D621F" w:rsidRDefault="003D621F">
      <w:pPr>
        <w:pStyle w:val="BodyText"/>
        <w:spacing w:before="5"/>
        <w:ind w:left="0"/>
        <w:rPr>
          <w:sz w:val="22"/>
        </w:rPr>
      </w:pPr>
    </w:p>
    <w:p w14:paraId="61C75622" w14:textId="77777777" w:rsidR="003D621F" w:rsidRDefault="00000000">
      <w:pPr>
        <w:pStyle w:val="Heading1"/>
      </w:pPr>
      <w:r>
        <w:t>Methodology</w:t>
      </w:r>
      <w:r>
        <w:rPr>
          <w:spacing w:val="-9"/>
        </w:rPr>
        <w:t xml:space="preserve"> </w:t>
      </w:r>
      <w:r>
        <w:t>–</w:t>
      </w:r>
      <w:r>
        <w:rPr>
          <w:spacing w:val="-9"/>
        </w:rPr>
        <w:t xml:space="preserve"> </w:t>
      </w:r>
      <w:r>
        <w:t>1549</w:t>
      </w:r>
      <w:r>
        <w:rPr>
          <w:spacing w:val="-9"/>
        </w:rPr>
        <w:t xml:space="preserve"> </w:t>
      </w:r>
      <w:r>
        <w:rPr>
          <w:spacing w:val="-2"/>
        </w:rPr>
        <w:t>Words.</w:t>
      </w:r>
    </w:p>
    <w:p w14:paraId="61C75623" w14:textId="77777777" w:rsidR="003D621F" w:rsidRDefault="00000000">
      <w:pPr>
        <w:pStyle w:val="BodyText"/>
        <w:ind w:right="172"/>
      </w:pPr>
      <w:r>
        <w:t xml:space="preserve">The purpose of this research project proposal is to answer questions that surround risky play and to reshape policy and practice to </w:t>
      </w:r>
      <w:proofErr w:type="spellStart"/>
      <w:r>
        <w:t>maximise</w:t>
      </w:r>
      <w:proofErr w:type="spellEnd"/>
      <w:r>
        <w:t xml:space="preserve"> outcomes for young learners (Newby, 2014). Shortcuts TV (2018) indicated the target population is a term</w:t>
      </w:r>
      <w:r>
        <w:rPr>
          <w:spacing w:val="-3"/>
        </w:rPr>
        <w:t xml:space="preserve"> </w:t>
      </w:r>
      <w:r>
        <w:t>that</w:t>
      </w:r>
      <w:r>
        <w:rPr>
          <w:spacing w:val="-4"/>
        </w:rPr>
        <w:t xml:space="preserve"> </w:t>
      </w:r>
      <w:r>
        <w:t>identifies</w:t>
      </w:r>
      <w:r>
        <w:rPr>
          <w:spacing w:val="-3"/>
        </w:rPr>
        <w:t xml:space="preserve"> </w:t>
      </w:r>
      <w:r>
        <w:t>children,</w:t>
      </w:r>
      <w:r>
        <w:rPr>
          <w:spacing w:val="-3"/>
        </w:rPr>
        <w:t xml:space="preserve"> </w:t>
      </w:r>
      <w:r>
        <w:t>practitioners,</w:t>
      </w:r>
      <w:r>
        <w:rPr>
          <w:spacing w:val="-1"/>
        </w:rPr>
        <w:t xml:space="preserve"> </w:t>
      </w:r>
      <w:r>
        <w:t>or</w:t>
      </w:r>
      <w:r>
        <w:rPr>
          <w:spacing w:val="-5"/>
        </w:rPr>
        <w:t xml:space="preserve"> </w:t>
      </w:r>
      <w:r>
        <w:t>parents</w:t>
      </w:r>
      <w:r>
        <w:rPr>
          <w:spacing w:val="-4"/>
        </w:rPr>
        <w:t xml:space="preserve"> </w:t>
      </w:r>
      <w:r>
        <w:t>as</w:t>
      </w:r>
      <w:r>
        <w:rPr>
          <w:spacing w:val="-4"/>
        </w:rPr>
        <w:t xml:space="preserve"> </w:t>
      </w:r>
      <w:r>
        <w:t>a</w:t>
      </w:r>
      <w:r>
        <w:rPr>
          <w:spacing w:val="-2"/>
        </w:rPr>
        <w:t xml:space="preserve"> </w:t>
      </w:r>
      <w:r>
        <w:t>whole</w:t>
      </w:r>
      <w:r>
        <w:rPr>
          <w:spacing w:val="-2"/>
        </w:rPr>
        <w:t xml:space="preserve"> </w:t>
      </w:r>
      <w:r>
        <w:t>and</w:t>
      </w:r>
      <w:r>
        <w:rPr>
          <w:spacing w:val="-2"/>
        </w:rPr>
        <w:t xml:space="preserve"> </w:t>
      </w:r>
      <w:r>
        <w:t>sampling</w:t>
      </w:r>
      <w:r>
        <w:rPr>
          <w:spacing w:val="-4"/>
        </w:rPr>
        <w:t xml:space="preserve"> </w:t>
      </w:r>
      <w:r>
        <w:t>is</w:t>
      </w:r>
      <w:r>
        <w:rPr>
          <w:spacing w:val="-3"/>
        </w:rPr>
        <w:t xml:space="preserve"> </w:t>
      </w:r>
      <w:r>
        <w:t>the smaller portion of the population that are selected to be studied to give the researcher a general idea for analysis to answer a hypothesis. The sample of the</w:t>
      </w:r>
    </w:p>
    <w:p w14:paraId="61C75624" w14:textId="77777777" w:rsidR="003D621F" w:rsidRDefault="003D621F">
      <w:pPr>
        <w:sectPr w:rsidR="003D621F">
          <w:pgSz w:w="11910" w:h="16840"/>
          <w:pgMar w:top="1340" w:right="1340" w:bottom="280" w:left="1340" w:header="720" w:footer="720" w:gutter="0"/>
          <w:cols w:space="720"/>
        </w:sectPr>
      </w:pPr>
    </w:p>
    <w:p w14:paraId="61C75625" w14:textId="77777777" w:rsidR="003D621F" w:rsidRDefault="00000000">
      <w:pPr>
        <w:pStyle w:val="BodyText"/>
        <w:spacing w:before="82"/>
        <w:ind w:right="153"/>
      </w:pPr>
      <w:r>
        <w:lastRenderedPageBreak/>
        <w:t>target</w:t>
      </w:r>
      <w:r>
        <w:rPr>
          <w:spacing w:val="-4"/>
        </w:rPr>
        <w:t xml:space="preserve"> </w:t>
      </w:r>
      <w:r>
        <w:t>population</w:t>
      </w:r>
      <w:r>
        <w:rPr>
          <w:spacing w:val="-2"/>
        </w:rPr>
        <w:t xml:space="preserve"> </w:t>
      </w:r>
      <w:r>
        <w:t>for</w:t>
      </w:r>
      <w:r>
        <w:rPr>
          <w:spacing w:val="-2"/>
        </w:rPr>
        <w:t xml:space="preserve"> </w:t>
      </w:r>
      <w:r>
        <w:t>this</w:t>
      </w:r>
      <w:r>
        <w:rPr>
          <w:spacing w:val="-2"/>
        </w:rPr>
        <w:t xml:space="preserve"> </w:t>
      </w:r>
      <w:r>
        <w:t>research</w:t>
      </w:r>
      <w:r>
        <w:rPr>
          <w:spacing w:val="-4"/>
        </w:rPr>
        <w:t xml:space="preserve"> </w:t>
      </w:r>
      <w:r>
        <w:t>project is</w:t>
      </w:r>
      <w:r>
        <w:rPr>
          <w:spacing w:val="-5"/>
        </w:rPr>
        <w:t xml:space="preserve"> </w:t>
      </w:r>
      <w:r>
        <w:t>purposive</w:t>
      </w:r>
      <w:r>
        <w:rPr>
          <w:spacing w:val="-2"/>
        </w:rPr>
        <w:t xml:space="preserve"> </w:t>
      </w:r>
      <w:r>
        <w:t>sampling,</w:t>
      </w:r>
      <w:r>
        <w:rPr>
          <w:spacing w:val="-2"/>
        </w:rPr>
        <w:t xml:space="preserve"> </w:t>
      </w:r>
      <w:r>
        <w:t>where</w:t>
      </w:r>
      <w:r>
        <w:rPr>
          <w:spacing w:val="-1"/>
        </w:rPr>
        <w:t xml:space="preserve"> </w:t>
      </w:r>
      <w:r>
        <w:t>comparisons will</w:t>
      </w:r>
      <w:r>
        <w:rPr>
          <w:spacing w:val="-3"/>
        </w:rPr>
        <w:t xml:space="preserve"> </w:t>
      </w:r>
      <w:r>
        <w:t>be</w:t>
      </w:r>
      <w:r>
        <w:rPr>
          <w:spacing w:val="-1"/>
        </w:rPr>
        <w:t xml:space="preserve"> </w:t>
      </w:r>
      <w:r>
        <w:t>analyzed in</w:t>
      </w:r>
      <w:r>
        <w:rPr>
          <w:spacing w:val="-4"/>
        </w:rPr>
        <w:t xml:space="preserve"> </w:t>
      </w:r>
      <w:r>
        <w:t>each</w:t>
      </w:r>
      <w:r>
        <w:rPr>
          <w:spacing w:val="-2"/>
        </w:rPr>
        <w:t xml:space="preserve"> </w:t>
      </w:r>
      <w:r>
        <w:t>environment</w:t>
      </w:r>
      <w:r>
        <w:rPr>
          <w:spacing w:val="-4"/>
        </w:rPr>
        <w:t xml:space="preserve"> </w:t>
      </w:r>
      <w:r>
        <w:t>on</w:t>
      </w:r>
      <w:r>
        <w:rPr>
          <w:spacing w:val="-4"/>
        </w:rPr>
        <w:t xml:space="preserve"> </w:t>
      </w:r>
      <w:r>
        <w:t>the</w:t>
      </w:r>
      <w:r>
        <w:rPr>
          <w:spacing w:val="-4"/>
        </w:rPr>
        <w:t xml:space="preserve"> </w:t>
      </w:r>
      <w:r>
        <w:t>promotion</w:t>
      </w:r>
      <w:r>
        <w:rPr>
          <w:spacing w:val="-4"/>
        </w:rPr>
        <w:t xml:space="preserve"> </w:t>
      </w:r>
      <w:r>
        <w:t>of</w:t>
      </w:r>
      <w:r>
        <w:rPr>
          <w:spacing w:val="-2"/>
        </w:rPr>
        <w:t xml:space="preserve"> </w:t>
      </w:r>
      <w:r>
        <w:t>risky</w:t>
      </w:r>
      <w:r>
        <w:rPr>
          <w:spacing w:val="-2"/>
        </w:rPr>
        <w:t xml:space="preserve"> </w:t>
      </w:r>
      <w:r>
        <w:t>play.</w:t>
      </w:r>
      <w:r>
        <w:rPr>
          <w:spacing w:val="-1"/>
        </w:rPr>
        <w:t xml:space="preserve"> </w:t>
      </w:r>
      <w:r>
        <w:t>(Cohen,</w:t>
      </w:r>
      <w:r>
        <w:rPr>
          <w:spacing w:val="-2"/>
        </w:rPr>
        <w:t xml:space="preserve"> </w:t>
      </w:r>
      <w:r>
        <w:t xml:space="preserve">Manion and Morrison, 2011). </w:t>
      </w:r>
      <w:proofErr w:type="spellStart"/>
      <w:r>
        <w:t>Flom</w:t>
      </w:r>
      <w:proofErr w:type="spellEnd"/>
      <w:r>
        <w:t xml:space="preserve"> (2018) contrasts purposive sampling with other methods of sampling, where purposive means to explore issues with a purpose, rather than selecting participants at random like random sampling. They also suggest that a primary limitation of this sampling is that it renders a wide range of incorrect statistical techniques and therefore questions of accuracy will be addressed.</w:t>
      </w:r>
    </w:p>
    <w:p w14:paraId="61C75626" w14:textId="77777777" w:rsidR="003D621F" w:rsidRDefault="00000000">
      <w:pPr>
        <w:pStyle w:val="BodyText"/>
        <w:ind w:right="107"/>
      </w:pPr>
      <w:r>
        <w:t>Although certain purposeful sample methods have been established, they are more complicated and less refined than those for random samples. Campbell et al (2020) agrees</w:t>
      </w:r>
      <w:r>
        <w:rPr>
          <w:spacing w:val="-4"/>
        </w:rPr>
        <w:t xml:space="preserve"> </w:t>
      </w:r>
      <w:r>
        <w:t>that</w:t>
      </w:r>
      <w:r>
        <w:rPr>
          <w:spacing w:val="-2"/>
        </w:rPr>
        <w:t xml:space="preserve"> </w:t>
      </w:r>
      <w:r>
        <w:t>Purposive</w:t>
      </w:r>
      <w:r>
        <w:rPr>
          <w:spacing w:val="-4"/>
        </w:rPr>
        <w:t xml:space="preserve"> </w:t>
      </w:r>
      <w:r>
        <w:t>sampling</w:t>
      </w:r>
      <w:r>
        <w:rPr>
          <w:spacing w:val="-2"/>
        </w:rPr>
        <w:t xml:space="preserve"> </w:t>
      </w:r>
      <w:r>
        <w:t>selects targeted</w:t>
      </w:r>
      <w:r>
        <w:rPr>
          <w:spacing w:val="-2"/>
        </w:rPr>
        <w:t xml:space="preserve"> </w:t>
      </w:r>
      <w:r>
        <w:t>groups</w:t>
      </w:r>
      <w:r>
        <w:rPr>
          <w:spacing w:val="-2"/>
        </w:rPr>
        <w:t xml:space="preserve"> </w:t>
      </w:r>
      <w:r>
        <w:t>of</w:t>
      </w:r>
      <w:r>
        <w:rPr>
          <w:spacing w:val="-4"/>
        </w:rPr>
        <w:t xml:space="preserve"> </w:t>
      </w:r>
      <w:r>
        <w:t>participants</w:t>
      </w:r>
      <w:r>
        <w:rPr>
          <w:spacing w:val="-2"/>
        </w:rPr>
        <w:t xml:space="preserve"> </w:t>
      </w:r>
      <w:r>
        <w:t>as</w:t>
      </w:r>
      <w:r>
        <w:rPr>
          <w:spacing w:val="-2"/>
        </w:rPr>
        <w:t xml:space="preserve"> </w:t>
      </w:r>
      <w:r>
        <w:t>well</w:t>
      </w:r>
      <w:r>
        <w:rPr>
          <w:spacing w:val="-3"/>
        </w:rPr>
        <w:t xml:space="preserve"> </w:t>
      </w:r>
      <w:r>
        <w:t>as</w:t>
      </w:r>
      <w:r>
        <w:rPr>
          <w:spacing w:val="-5"/>
        </w:rPr>
        <w:t xml:space="preserve"> </w:t>
      </w:r>
      <w:r>
        <w:t>the environment or circumstances that are explored to meet the aims and objectives of the research project. A wide and varied volume of participants may be overpowering and highlight statistical differences that are not entirely essential (Cohen, Manion, and</w:t>
      </w:r>
      <w:r>
        <w:rPr>
          <w:spacing w:val="-2"/>
        </w:rPr>
        <w:t xml:space="preserve"> </w:t>
      </w:r>
      <w:r>
        <w:t>Morrison,</w:t>
      </w:r>
      <w:r>
        <w:rPr>
          <w:spacing w:val="-1"/>
        </w:rPr>
        <w:t xml:space="preserve"> </w:t>
      </w:r>
      <w:r>
        <w:t>2018).</w:t>
      </w:r>
      <w:r>
        <w:rPr>
          <w:spacing w:val="-3"/>
        </w:rPr>
        <w:t xml:space="preserve"> </w:t>
      </w:r>
      <w:r>
        <w:t>A</w:t>
      </w:r>
      <w:r>
        <w:rPr>
          <w:spacing w:val="-4"/>
        </w:rPr>
        <w:t xml:space="preserve"> </w:t>
      </w:r>
      <w:r>
        <w:t>sample</w:t>
      </w:r>
      <w:r>
        <w:rPr>
          <w:spacing w:val="-2"/>
        </w:rPr>
        <w:t xml:space="preserve"> </w:t>
      </w:r>
      <w:r>
        <w:t>size</w:t>
      </w:r>
      <w:r>
        <w:rPr>
          <w:spacing w:val="-3"/>
        </w:rPr>
        <w:t xml:space="preserve"> </w:t>
      </w:r>
      <w:r>
        <w:t>of</w:t>
      </w:r>
      <w:r>
        <w:rPr>
          <w:spacing w:val="-4"/>
        </w:rPr>
        <w:t xml:space="preserve"> </w:t>
      </w:r>
      <w:r>
        <w:t>10</w:t>
      </w:r>
      <w:r>
        <w:rPr>
          <w:spacing w:val="-4"/>
        </w:rPr>
        <w:t xml:space="preserve"> </w:t>
      </w:r>
      <w:r>
        <w:t>participants</w:t>
      </w:r>
      <w:r>
        <w:rPr>
          <w:spacing w:val="-4"/>
        </w:rPr>
        <w:t xml:space="preserve"> </w:t>
      </w:r>
      <w:r>
        <w:t>has</w:t>
      </w:r>
      <w:r>
        <w:rPr>
          <w:spacing w:val="-2"/>
        </w:rPr>
        <w:t xml:space="preserve"> </w:t>
      </w:r>
      <w:r>
        <w:t>been</w:t>
      </w:r>
      <w:r>
        <w:rPr>
          <w:spacing w:val="-2"/>
        </w:rPr>
        <w:t xml:space="preserve"> </w:t>
      </w:r>
      <w:r>
        <w:t>advised</w:t>
      </w:r>
      <w:r>
        <w:rPr>
          <w:spacing w:val="-1"/>
        </w:rPr>
        <w:t xml:space="preserve"> </w:t>
      </w:r>
      <w:r>
        <w:t>by</w:t>
      </w:r>
      <w:r>
        <w:rPr>
          <w:spacing w:val="-5"/>
        </w:rPr>
        <w:t xml:space="preserve"> </w:t>
      </w:r>
      <w:r>
        <w:t>Campbell et all (2020) for each method of a purposive sampling as this will accumulate a large amount of data in a time-effective fashion.</w:t>
      </w:r>
    </w:p>
    <w:p w14:paraId="61C75627" w14:textId="77777777" w:rsidR="003D621F" w:rsidRDefault="00000000">
      <w:pPr>
        <w:pStyle w:val="BodyText"/>
        <w:spacing w:before="1"/>
      </w:pPr>
      <w:r>
        <w:t xml:space="preserve">Quantitative research gathers numerical data and uses statistical techniques to </w:t>
      </w:r>
      <w:proofErr w:type="spellStart"/>
      <w:r>
        <w:t>analyse</w:t>
      </w:r>
      <w:proofErr w:type="spellEnd"/>
      <w:r>
        <w:rPr>
          <w:spacing w:val="-4"/>
        </w:rPr>
        <w:t xml:space="preserve"> </w:t>
      </w:r>
      <w:r>
        <w:t>it.</w:t>
      </w:r>
      <w:r>
        <w:rPr>
          <w:spacing w:val="-2"/>
        </w:rPr>
        <w:t xml:space="preserve"> </w:t>
      </w:r>
      <w:r>
        <w:t>The</w:t>
      </w:r>
      <w:r>
        <w:rPr>
          <w:spacing w:val="-2"/>
        </w:rPr>
        <w:t xml:space="preserve"> </w:t>
      </w:r>
      <w:r>
        <w:t>goal</w:t>
      </w:r>
      <w:r>
        <w:rPr>
          <w:spacing w:val="-3"/>
        </w:rPr>
        <w:t xml:space="preserve"> </w:t>
      </w:r>
      <w:r>
        <w:t>is</w:t>
      </w:r>
      <w:r>
        <w:rPr>
          <w:spacing w:val="-3"/>
        </w:rPr>
        <w:t xml:space="preserve"> </w:t>
      </w:r>
      <w:r>
        <w:t>to</w:t>
      </w:r>
      <w:r>
        <w:rPr>
          <w:spacing w:val="-2"/>
        </w:rPr>
        <w:t xml:space="preserve"> </w:t>
      </w:r>
      <w:r>
        <w:t>generate</w:t>
      </w:r>
      <w:r>
        <w:rPr>
          <w:spacing w:val="-2"/>
        </w:rPr>
        <w:t xml:space="preserve"> </w:t>
      </w:r>
      <w:r>
        <w:t>factual</w:t>
      </w:r>
      <w:r>
        <w:rPr>
          <w:spacing w:val="-3"/>
        </w:rPr>
        <w:t xml:space="preserve"> </w:t>
      </w:r>
      <w:r>
        <w:t>data</w:t>
      </w:r>
      <w:r>
        <w:rPr>
          <w:spacing w:val="-3"/>
        </w:rPr>
        <w:t xml:space="preserve"> </w:t>
      </w:r>
      <w:r>
        <w:t>that</w:t>
      </w:r>
      <w:r>
        <w:rPr>
          <w:spacing w:val="-4"/>
        </w:rPr>
        <w:t xml:space="preserve"> </w:t>
      </w:r>
      <w:r>
        <w:t>can</w:t>
      </w:r>
      <w:r>
        <w:rPr>
          <w:spacing w:val="-4"/>
        </w:rPr>
        <w:t xml:space="preserve"> </w:t>
      </w:r>
      <w:r>
        <w:t>be</w:t>
      </w:r>
      <w:r>
        <w:rPr>
          <w:spacing w:val="-4"/>
        </w:rPr>
        <w:t xml:space="preserve"> </w:t>
      </w:r>
      <w:r>
        <w:t>measured</w:t>
      </w:r>
      <w:r>
        <w:rPr>
          <w:spacing w:val="-4"/>
        </w:rPr>
        <w:t xml:space="preserve"> </w:t>
      </w:r>
      <w:r>
        <w:t>and</w:t>
      </w:r>
      <w:r>
        <w:rPr>
          <w:spacing w:val="-4"/>
        </w:rPr>
        <w:t xml:space="preserve"> </w:t>
      </w:r>
      <w:r>
        <w:t>quantified. Making forecasts, seeing trends, and testing hypotheses are common uses for quantitative research. Comparatively, qualitative research gathers non-</w:t>
      </w:r>
    </w:p>
    <w:p w14:paraId="61C75628" w14:textId="77777777" w:rsidR="003D621F" w:rsidRDefault="00000000">
      <w:pPr>
        <w:pStyle w:val="BodyText"/>
      </w:pPr>
      <w:r>
        <w:t>numerical, subjective experiences, beliefs, and attitudes, frequently through observation and interviews. Rich, in-depth descriptions of the phenomenon being examined</w:t>
      </w:r>
      <w:r>
        <w:rPr>
          <w:spacing w:val="-5"/>
        </w:rPr>
        <w:t xml:space="preserve"> </w:t>
      </w:r>
      <w:r>
        <w:t>are</w:t>
      </w:r>
      <w:r>
        <w:rPr>
          <w:spacing w:val="-5"/>
        </w:rPr>
        <w:t xml:space="preserve"> </w:t>
      </w:r>
      <w:r>
        <w:t>produced through</w:t>
      </w:r>
      <w:r>
        <w:rPr>
          <w:spacing w:val="-4"/>
        </w:rPr>
        <w:t xml:space="preserve"> </w:t>
      </w:r>
      <w:r>
        <w:t>qualitative</w:t>
      </w:r>
      <w:r>
        <w:rPr>
          <w:spacing w:val="-5"/>
        </w:rPr>
        <w:t xml:space="preserve"> </w:t>
      </w:r>
      <w:r>
        <w:t>research,</w:t>
      </w:r>
      <w:r>
        <w:rPr>
          <w:spacing w:val="-5"/>
        </w:rPr>
        <w:t xml:space="preserve"> </w:t>
      </w:r>
      <w:r>
        <w:t>along</w:t>
      </w:r>
      <w:r>
        <w:rPr>
          <w:spacing w:val="-3"/>
        </w:rPr>
        <w:t xml:space="preserve"> </w:t>
      </w:r>
      <w:r>
        <w:t>with</w:t>
      </w:r>
      <w:r>
        <w:rPr>
          <w:spacing w:val="-5"/>
        </w:rPr>
        <w:t xml:space="preserve"> </w:t>
      </w:r>
      <w:r>
        <w:t>new</w:t>
      </w:r>
      <w:r>
        <w:rPr>
          <w:spacing w:val="-6"/>
        </w:rPr>
        <w:t xml:space="preserve"> </w:t>
      </w:r>
      <w:r>
        <w:t>understandings and implications (Mcleod, 2023).</w:t>
      </w:r>
    </w:p>
    <w:p w14:paraId="61C75629" w14:textId="77777777" w:rsidR="003D621F" w:rsidRDefault="00000000">
      <w:pPr>
        <w:pStyle w:val="BodyText"/>
        <w:ind w:right="171" w:firstLine="67"/>
      </w:pPr>
      <w:r>
        <w:t>According to Bell (2018), mixed methods research uses a combination of quantitative and qualitative approaches to collect data. The research hypotheses or statements of belief are both quantitative and qualitative. This is known as triangulation,</w:t>
      </w:r>
      <w:r>
        <w:rPr>
          <w:spacing w:val="-1"/>
        </w:rPr>
        <w:t xml:space="preserve"> </w:t>
      </w:r>
      <w:r>
        <w:t>and it is</w:t>
      </w:r>
      <w:r>
        <w:rPr>
          <w:spacing w:val="-2"/>
        </w:rPr>
        <w:t xml:space="preserve"> </w:t>
      </w:r>
      <w:r>
        <w:t>a key component</w:t>
      </w:r>
      <w:r>
        <w:rPr>
          <w:spacing w:val="-1"/>
        </w:rPr>
        <w:t xml:space="preserve"> </w:t>
      </w:r>
      <w:r>
        <w:t>of</w:t>
      </w:r>
      <w:r>
        <w:rPr>
          <w:spacing w:val="-1"/>
        </w:rPr>
        <w:t xml:space="preserve"> </w:t>
      </w:r>
      <w:r>
        <w:t>the mixed</w:t>
      </w:r>
      <w:r>
        <w:rPr>
          <w:spacing w:val="-1"/>
        </w:rPr>
        <w:t xml:space="preserve"> </w:t>
      </w:r>
      <w:r>
        <w:t>methods</w:t>
      </w:r>
      <w:r>
        <w:rPr>
          <w:spacing w:val="-2"/>
        </w:rPr>
        <w:t xml:space="preserve"> </w:t>
      </w:r>
      <w:r>
        <w:t>approach.</w:t>
      </w:r>
      <w:r>
        <w:rPr>
          <w:spacing w:val="-1"/>
        </w:rPr>
        <w:t xml:space="preserve"> </w:t>
      </w:r>
      <w:r>
        <w:t>The results from various data sources can be confirmed</w:t>
      </w:r>
      <w:r>
        <w:rPr>
          <w:spacing w:val="-1"/>
        </w:rPr>
        <w:t xml:space="preserve"> </w:t>
      </w:r>
      <w:r>
        <w:t>using various methodologies to answer the questions of the hypothesis (Bell, 2018 and Wellington, 2000). Early childhood researchers extensively use mixed methods, which is an effective approach that entails a contribution from both qualitative and quantitative methodologies and approaches. Compared to using only one strategy, it results in a more thorough and comprehensive grasp of the research topic. So, for instance, integrating an observation with</w:t>
      </w:r>
      <w:r>
        <w:rPr>
          <w:spacing w:val="-3"/>
        </w:rPr>
        <w:t xml:space="preserve"> </w:t>
      </w:r>
      <w:r>
        <w:t>a</w:t>
      </w:r>
      <w:r>
        <w:rPr>
          <w:spacing w:val="-3"/>
        </w:rPr>
        <w:t xml:space="preserve"> </w:t>
      </w:r>
      <w:r>
        <w:t>method</w:t>
      </w:r>
      <w:r>
        <w:rPr>
          <w:spacing w:val="-4"/>
        </w:rPr>
        <w:t xml:space="preserve"> </w:t>
      </w:r>
      <w:r>
        <w:t>of</w:t>
      </w:r>
      <w:r>
        <w:rPr>
          <w:spacing w:val="-2"/>
        </w:rPr>
        <w:t xml:space="preserve"> </w:t>
      </w:r>
      <w:r>
        <w:t>research</w:t>
      </w:r>
      <w:r>
        <w:rPr>
          <w:spacing w:val="-4"/>
        </w:rPr>
        <w:t xml:space="preserve"> </w:t>
      </w:r>
      <w:r>
        <w:t>that</w:t>
      </w:r>
      <w:r>
        <w:rPr>
          <w:spacing w:val="-4"/>
        </w:rPr>
        <w:t xml:space="preserve"> </w:t>
      </w:r>
      <w:r>
        <w:t>is</w:t>
      </w:r>
      <w:r>
        <w:rPr>
          <w:spacing w:val="-4"/>
        </w:rPr>
        <w:t xml:space="preserve"> </w:t>
      </w:r>
      <w:r>
        <w:t>thorough</w:t>
      </w:r>
      <w:r>
        <w:rPr>
          <w:spacing w:val="-4"/>
        </w:rPr>
        <w:t xml:space="preserve"> </w:t>
      </w:r>
      <w:r>
        <w:t>and</w:t>
      </w:r>
      <w:r>
        <w:rPr>
          <w:spacing w:val="-2"/>
        </w:rPr>
        <w:t xml:space="preserve"> </w:t>
      </w:r>
      <w:r>
        <w:t>rich</w:t>
      </w:r>
      <w:r>
        <w:rPr>
          <w:spacing w:val="-2"/>
        </w:rPr>
        <w:t xml:space="preserve"> </w:t>
      </w:r>
      <w:r>
        <w:t>in</w:t>
      </w:r>
      <w:r>
        <w:rPr>
          <w:spacing w:val="-4"/>
        </w:rPr>
        <w:t xml:space="preserve"> </w:t>
      </w:r>
      <w:r>
        <w:t>evidence,</w:t>
      </w:r>
      <w:r>
        <w:rPr>
          <w:spacing w:val="-2"/>
        </w:rPr>
        <w:t xml:space="preserve"> </w:t>
      </w:r>
      <w:r>
        <w:t>such</w:t>
      </w:r>
      <w:r>
        <w:rPr>
          <w:spacing w:val="-4"/>
        </w:rPr>
        <w:t xml:space="preserve"> </w:t>
      </w:r>
      <w:r>
        <w:t>as an informal interview strengthens the research because it is supported by the advantages of both methodologies. Another strength of using a combination of methodologies is that the data that is gathered from one method can support how the researcher conducts and alters another line of questioning (Roberts-Holmes, 2018).</w:t>
      </w:r>
      <w:r>
        <w:rPr>
          <w:spacing w:val="-1"/>
        </w:rPr>
        <w:t xml:space="preserve"> </w:t>
      </w:r>
      <w:r>
        <w:t>Noble</w:t>
      </w:r>
      <w:r>
        <w:rPr>
          <w:spacing w:val="-4"/>
        </w:rPr>
        <w:t xml:space="preserve"> </w:t>
      </w:r>
      <w:r>
        <w:t>and</w:t>
      </w:r>
      <w:r>
        <w:rPr>
          <w:spacing w:val="-2"/>
        </w:rPr>
        <w:t xml:space="preserve"> </w:t>
      </w:r>
      <w:proofErr w:type="spellStart"/>
      <w:r>
        <w:t>Heale</w:t>
      </w:r>
      <w:proofErr w:type="spellEnd"/>
      <w:r>
        <w:rPr>
          <w:spacing w:val="-2"/>
        </w:rPr>
        <w:t xml:space="preserve"> </w:t>
      </w:r>
      <w:r>
        <w:t>(2019)</w:t>
      </w:r>
      <w:r>
        <w:rPr>
          <w:spacing w:val="-1"/>
        </w:rPr>
        <w:t xml:space="preserve"> </w:t>
      </w:r>
      <w:r>
        <w:t>discusses</w:t>
      </w:r>
      <w:r>
        <w:rPr>
          <w:spacing w:val="-3"/>
        </w:rPr>
        <w:t xml:space="preserve"> </w:t>
      </w:r>
      <w:r>
        <w:t>the</w:t>
      </w:r>
      <w:r>
        <w:rPr>
          <w:spacing w:val="-5"/>
        </w:rPr>
        <w:t xml:space="preserve"> </w:t>
      </w:r>
      <w:r>
        <w:t>limitations</w:t>
      </w:r>
      <w:r>
        <w:rPr>
          <w:spacing w:val="-3"/>
        </w:rPr>
        <w:t xml:space="preserve"> </w:t>
      </w:r>
      <w:r>
        <w:t>of</w:t>
      </w:r>
      <w:r>
        <w:rPr>
          <w:spacing w:val="-5"/>
        </w:rPr>
        <w:t xml:space="preserve"> </w:t>
      </w:r>
      <w:r>
        <w:t>triangulation,</w:t>
      </w:r>
      <w:r>
        <w:rPr>
          <w:spacing w:val="-2"/>
        </w:rPr>
        <w:t xml:space="preserve"> </w:t>
      </w:r>
      <w:r>
        <w:t>that</w:t>
      </w:r>
      <w:r>
        <w:rPr>
          <w:spacing w:val="-2"/>
        </w:rPr>
        <w:t xml:space="preserve"> </w:t>
      </w:r>
      <w:r>
        <w:t>it</w:t>
      </w:r>
      <w:r>
        <w:rPr>
          <w:spacing w:val="-5"/>
        </w:rPr>
        <w:t xml:space="preserve"> </w:t>
      </w:r>
      <w:r>
        <w:t xml:space="preserve">could potentially make the research more difficult and time-consuming. It may not be accomplished in a consistent manner when </w:t>
      </w:r>
      <w:proofErr w:type="spellStart"/>
      <w:r>
        <w:t>utilised</w:t>
      </w:r>
      <w:proofErr w:type="spellEnd"/>
      <w:r>
        <w:t xml:space="preserve"> as a tool for merging research methodologies. Additionally, there may be circumstances where the comparing</w:t>
      </w:r>
    </w:p>
    <w:p w14:paraId="61C7562A" w14:textId="77777777" w:rsidR="003D621F" w:rsidRDefault="00000000">
      <w:pPr>
        <w:pStyle w:val="BodyText"/>
        <w:spacing w:before="2"/>
        <w:ind w:right="171"/>
      </w:pPr>
      <w:r>
        <w:t xml:space="preserve">of results of two or more sources can yield inconsistent or contradictory results. Triangulation does not always effectively address flaws in the study methodology that is used. Triangulation requires an experienced analyst due to its complexity. However, Roberts-Holmes (2018) argues that research is given validity by triangulation, and the conclusions are stronger as a result through </w:t>
      </w:r>
      <w:proofErr w:type="spellStart"/>
      <w:r>
        <w:t>analysing</w:t>
      </w:r>
      <w:proofErr w:type="spellEnd"/>
      <w:r>
        <w:t xml:space="preserve"> the evidence across a variety of sources. Triangulation will be implemented to this research</w:t>
      </w:r>
      <w:r>
        <w:rPr>
          <w:spacing w:val="-5"/>
        </w:rPr>
        <w:t xml:space="preserve"> </w:t>
      </w:r>
      <w:r>
        <w:t>project</w:t>
      </w:r>
      <w:r>
        <w:rPr>
          <w:spacing w:val="-5"/>
        </w:rPr>
        <w:t xml:space="preserve"> </w:t>
      </w:r>
      <w:r>
        <w:t>as</w:t>
      </w:r>
      <w:r>
        <w:rPr>
          <w:spacing w:val="-3"/>
        </w:rPr>
        <w:t xml:space="preserve"> </w:t>
      </w:r>
      <w:r>
        <w:t>the</w:t>
      </w:r>
      <w:r>
        <w:rPr>
          <w:spacing w:val="-5"/>
        </w:rPr>
        <w:t xml:space="preserve"> </w:t>
      </w:r>
      <w:r>
        <w:t>researcher</w:t>
      </w:r>
      <w:r>
        <w:rPr>
          <w:spacing w:val="-3"/>
        </w:rPr>
        <w:t xml:space="preserve"> </w:t>
      </w:r>
      <w:r>
        <w:t>collects</w:t>
      </w:r>
      <w:r>
        <w:rPr>
          <w:spacing w:val="-5"/>
        </w:rPr>
        <w:t xml:space="preserve"> </w:t>
      </w:r>
      <w:r>
        <w:t>data</w:t>
      </w:r>
      <w:r>
        <w:rPr>
          <w:spacing w:val="-2"/>
        </w:rPr>
        <w:t xml:space="preserve"> </w:t>
      </w:r>
      <w:r>
        <w:t>on</w:t>
      </w:r>
      <w:r>
        <w:rPr>
          <w:spacing w:val="-3"/>
        </w:rPr>
        <w:t xml:space="preserve"> </w:t>
      </w:r>
      <w:r>
        <w:t>the</w:t>
      </w:r>
      <w:r>
        <w:rPr>
          <w:spacing w:val="-3"/>
        </w:rPr>
        <w:t xml:space="preserve"> </w:t>
      </w:r>
      <w:proofErr w:type="spellStart"/>
      <w:r>
        <w:t>behaviours</w:t>
      </w:r>
      <w:proofErr w:type="spellEnd"/>
      <w:r>
        <w:rPr>
          <w:spacing w:val="-3"/>
        </w:rPr>
        <w:t xml:space="preserve"> </w:t>
      </w:r>
      <w:r>
        <w:t>of</w:t>
      </w:r>
      <w:r>
        <w:rPr>
          <w:spacing w:val="-5"/>
        </w:rPr>
        <w:t xml:space="preserve"> </w:t>
      </w:r>
      <w:r>
        <w:t>children</w:t>
      </w:r>
      <w:r>
        <w:rPr>
          <w:spacing w:val="-4"/>
        </w:rPr>
        <w:t xml:space="preserve"> </w:t>
      </w:r>
      <w:r>
        <w:t>during</w:t>
      </w:r>
    </w:p>
    <w:p w14:paraId="61C7562B" w14:textId="77777777" w:rsidR="003D621F" w:rsidRDefault="003D621F">
      <w:pPr>
        <w:sectPr w:rsidR="003D621F">
          <w:pgSz w:w="11910" w:h="16840"/>
          <w:pgMar w:top="1340" w:right="1340" w:bottom="280" w:left="1340" w:header="720" w:footer="720" w:gutter="0"/>
          <w:cols w:space="720"/>
        </w:sectPr>
      </w:pPr>
    </w:p>
    <w:p w14:paraId="61C7562C" w14:textId="77777777" w:rsidR="003D621F" w:rsidRDefault="00000000">
      <w:pPr>
        <w:pStyle w:val="BodyText"/>
        <w:spacing w:before="82"/>
      </w:pPr>
      <w:r>
        <w:lastRenderedPageBreak/>
        <w:t>observation</w:t>
      </w:r>
      <w:r>
        <w:rPr>
          <w:spacing w:val="-5"/>
        </w:rPr>
        <w:t xml:space="preserve"> </w:t>
      </w:r>
      <w:r>
        <w:t>and</w:t>
      </w:r>
      <w:r>
        <w:rPr>
          <w:spacing w:val="-5"/>
        </w:rPr>
        <w:t xml:space="preserve"> </w:t>
      </w:r>
      <w:r>
        <w:t>the</w:t>
      </w:r>
      <w:r>
        <w:rPr>
          <w:spacing w:val="-3"/>
        </w:rPr>
        <w:t xml:space="preserve"> </w:t>
      </w:r>
      <w:r>
        <w:t>viewpoints</w:t>
      </w:r>
      <w:r>
        <w:rPr>
          <w:spacing w:val="-6"/>
        </w:rPr>
        <w:t xml:space="preserve"> </w:t>
      </w:r>
      <w:r>
        <w:t>of</w:t>
      </w:r>
      <w:r>
        <w:rPr>
          <w:spacing w:val="-5"/>
        </w:rPr>
        <w:t xml:space="preserve"> </w:t>
      </w:r>
      <w:r>
        <w:t>practitioners surrounding</w:t>
      </w:r>
      <w:r>
        <w:rPr>
          <w:spacing w:val="-3"/>
        </w:rPr>
        <w:t xml:space="preserve"> </w:t>
      </w:r>
      <w:r>
        <w:t>risky</w:t>
      </w:r>
      <w:r>
        <w:rPr>
          <w:spacing w:val="-3"/>
        </w:rPr>
        <w:t xml:space="preserve"> </w:t>
      </w:r>
      <w:r>
        <w:t>play</w:t>
      </w:r>
      <w:r>
        <w:rPr>
          <w:spacing w:val="-2"/>
        </w:rPr>
        <w:t xml:space="preserve"> </w:t>
      </w:r>
      <w:r>
        <w:t>and</w:t>
      </w:r>
      <w:r>
        <w:rPr>
          <w:spacing w:val="-3"/>
        </w:rPr>
        <w:t xml:space="preserve"> </w:t>
      </w:r>
      <w:r>
        <w:t>whether</w:t>
      </w:r>
      <w:r>
        <w:rPr>
          <w:spacing w:val="-3"/>
        </w:rPr>
        <w:t xml:space="preserve"> </w:t>
      </w:r>
      <w:r>
        <w:t>it supports children’s holistic development.</w:t>
      </w:r>
    </w:p>
    <w:p w14:paraId="61C7562D" w14:textId="77777777" w:rsidR="003D621F" w:rsidRDefault="00000000">
      <w:pPr>
        <w:pStyle w:val="BodyText"/>
        <w:ind w:right="172"/>
      </w:pPr>
      <w:r>
        <w:t>The</w:t>
      </w:r>
      <w:r>
        <w:rPr>
          <w:spacing w:val="-1"/>
        </w:rPr>
        <w:t xml:space="preserve"> </w:t>
      </w:r>
      <w:r>
        <w:t>researcher’s</w:t>
      </w:r>
      <w:r>
        <w:rPr>
          <w:spacing w:val="-2"/>
        </w:rPr>
        <w:t xml:space="preserve"> </w:t>
      </w:r>
      <w:r>
        <w:t>aim</w:t>
      </w:r>
      <w:r>
        <w:rPr>
          <w:spacing w:val="-1"/>
        </w:rPr>
        <w:t xml:space="preserve"> </w:t>
      </w:r>
      <w:r>
        <w:t>is</w:t>
      </w:r>
      <w:r>
        <w:rPr>
          <w:spacing w:val="-1"/>
        </w:rPr>
        <w:t xml:space="preserve"> </w:t>
      </w:r>
      <w:r>
        <w:t>to</w:t>
      </w:r>
      <w:r>
        <w:rPr>
          <w:spacing w:val="-1"/>
        </w:rPr>
        <w:t xml:space="preserve"> </w:t>
      </w:r>
      <w:r>
        <w:t>spend</w:t>
      </w:r>
      <w:r>
        <w:rPr>
          <w:spacing w:val="-2"/>
        </w:rPr>
        <w:t xml:space="preserve"> </w:t>
      </w:r>
      <w:r>
        <w:t>a</w:t>
      </w:r>
      <w:r>
        <w:rPr>
          <w:spacing w:val="-1"/>
        </w:rPr>
        <w:t xml:space="preserve"> </w:t>
      </w:r>
      <w:r>
        <w:t>week</w:t>
      </w:r>
      <w:r>
        <w:rPr>
          <w:spacing w:val="-1"/>
        </w:rPr>
        <w:t xml:space="preserve"> </w:t>
      </w:r>
      <w:r>
        <w:t>in</w:t>
      </w:r>
      <w:r>
        <w:rPr>
          <w:spacing w:val="-3"/>
        </w:rPr>
        <w:t xml:space="preserve"> </w:t>
      </w:r>
      <w:r>
        <w:t>a</w:t>
      </w:r>
      <w:r>
        <w:rPr>
          <w:spacing w:val="-4"/>
        </w:rPr>
        <w:t xml:space="preserve"> </w:t>
      </w:r>
      <w:r>
        <w:t>forest</w:t>
      </w:r>
      <w:r>
        <w:rPr>
          <w:spacing w:val="-2"/>
        </w:rPr>
        <w:t xml:space="preserve"> </w:t>
      </w:r>
      <w:r>
        <w:t>school</w:t>
      </w:r>
      <w:r>
        <w:rPr>
          <w:spacing w:val="-3"/>
        </w:rPr>
        <w:t xml:space="preserve"> </w:t>
      </w:r>
      <w:r>
        <w:t>setting</w:t>
      </w:r>
      <w:r>
        <w:rPr>
          <w:spacing w:val="-2"/>
        </w:rPr>
        <w:t xml:space="preserve"> </w:t>
      </w:r>
      <w:r>
        <w:t>and a</w:t>
      </w:r>
      <w:r>
        <w:rPr>
          <w:spacing w:val="-4"/>
        </w:rPr>
        <w:t xml:space="preserve"> </w:t>
      </w:r>
      <w:r>
        <w:t>week</w:t>
      </w:r>
      <w:r>
        <w:rPr>
          <w:spacing w:val="-2"/>
        </w:rPr>
        <w:t xml:space="preserve"> </w:t>
      </w:r>
      <w:r>
        <w:t>in</w:t>
      </w:r>
      <w:r>
        <w:rPr>
          <w:spacing w:val="-3"/>
        </w:rPr>
        <w:t xml:space="preserve"> </w:t>
      </w:r>
      <w:r>
        <w:t>an early years setting with indoor and outdoor learning environments in South Wales and carry out observations in each setting who will be the children themselves.</w:t>
      </w:r>
    </w:p>
    <w:p w14:paraId="61C7562E" w14:textId="77777777" w:rsidR="003D621F" w:rsidRDefault="00000000">
      <w:pPr>
        <w:pStyle w:val="BodyText"/>
      </w:pPr>
      <w:proofErr w:type="spellStart"/>
      <w:r>
        <w:t>Papathedorou</w:t>
      </w:r>
      <w:proofErr w:type="spellEnd"/>
      <w:r>
        <w:t>,</w:t>
      </w:r>
      <w:r>
        <w:rPr>
          <w:spacing w:val="-1"/>
        </w:rPr>
        <w:t xml:space="preserve"> </w:t>
      </w:r>
      <w:r>
        <w:t>Luff</w:t>
      </w:r>
      <w:r>
        <w:rPr>
          <w:spacing w:val="-3"/>
        </w:rPr>
        <w:t xml:space="preserve"> </w:t>
      </w:r>
      <w:r>
        <w:t>and</w:t>
      </w:r>
      <w:r>
        <w:rPr>
          <w:spacing w:val="-1"/>
        </w:rPr>
        <w:t xml:space="preserve"> </w:t>
      </w:r>
      <w:r>
        <w:t>Gill</w:t>
      </w:r>
      <w:r>
        <w:rPr>
          <w:spacing w:val="-2"/>
        </w:rPr>
        <w:t xml:space="preserve"> </w:t>
      </w:r>
      <w:r>
        <w:t>(2013) recommends</w:t>
      </w:r>
      <w:r>
        <w:rPr>
          <w:spacing w:val="-2"/>
        </w:rPr>
        <w:t xml:space="preserve"> </w:t>
      </w:r>
      <w:r>
        <w:t>that</w:t>
      </w:r>
      <w:r>
        <w:rPr>
          <w:spacing w:val="-4"/>
        </w:rPr>
        <w:t xml:space="preserve"> </w:t>
      </w:r>
      <w:r>
        <w:t>the</w:t>
      </w:r>
      <w:r>
        <w:rPr>
          <w:spacing w:val="-4"/>
        </w:rPr>
        <w:t xml:space="preserve"> </w:t>
      </w:r>
      <w:r>
        <w:t>consideration</w:t>
      </w:r>
      <w:r>
        <w:rPr>
          <w:spacing w:val="-1"/>
        </w:rPr>
        <w:t xml:space="preserve"> </w:t>
      </w:r>
      <w:r>
        <w:t>of</w:t>
      </w:r>
      <w:r>
        <w:rPr>
          <w:spacing w:val="-4"/>
        </w:rPr>
        <w:t xml:space="preserve"> </w:t>
      </w:r>
      <w:r>
        <w:t>selecting</w:t>
      </w:r>
      <w:r>
        <w:rPr>
          <w:spacing w:val="-2"/>
        </w:rPr>
        <w:t xml:space="preserve"> </w:t>
      </w:r>
      <w:r>
        <w:t>a setting that has clear processes to make observational research easier. Spending a week in each setting will allow the researcher a stronger understanding of the participants</w:t>
      </w:r>
      <w:r>
        <w:rPr>
          <w:spacing w:val="-3"/>
        </w:rPr>
        <w:t xml:space="preserve"> </w:t>
      </w:r>
      <w:r>
        <w:t>that</w:t>
      </w:r>
      <w:r>
        <w:rPr>
          <w:spacing w:val="-3"/>
        </w:rPr>
        <w:t xml:space="preserve"> </w:t>
      </w:r>
      <w:r>
        <w:t>they</w:t>
      </w:r>
      <w:r>
        <w:rPr>
          <w:spacing w:val="-5"/>
        </w:rPr>
        <w:t xml:space="preserve"> </w:t>
      </w:r>
      <w:r>
        <w:t>are</w:t>
      </w:r>
      <w:r>
        <w:rPr>
          <w:spacing w:val="-3"/>
        </w:rPr>
        <w:t xml:space="preserve"> </w:t>
      </w:r>
      <w:r>
        <w:t>researching</w:t>
      </w:r>
      <w:r>
        <w:rPr>
          <w:spacing w:val="-3"/>
        </w:rPr>
        <w:t xml:space="preserve"> </w:t>
      </w:r>
      <w:r>
        <w:t>as</w:t>
      </w:r>
      <w:r>
        <w:rPr>
          <w:spacing w:val="-6"/>
        </w:rPr>
        <w:t xml:space="preserve"> </w:t>
      </w:r>
      <w:r>
        <w:t>individuals,</w:t>
      </w:r>
      <w:r>
        <w:rPr>
          <w:spacing w:val="-5"/>
        </w:rPr>
        <w:t xml:space="preserve"> </w:t>
      </w:r>
      <w:r>
        <w:t>how</w:t>
      </w:r>
      <w:r>
        <w:rPr>
          <w:spacing w:val="-4"/>
        </w:rPr>
        <w:t xml:space="preserve"> </w:t>
      </w:r>
      <w:r>
        <w:t>they</w:t>
      </w:r>
      <w:r>
        <w:rPr>
          <w:spacing w:val="-3"/>
        </w:rPr>
        <w:t xml:space="preserve"> </w:t>
      </w:r>
      <w:r>
        <w:t>behave</w:t>
      </w:r>
      <w:r>
        <w:rPr>
          <w:spacing w:val="-3"/>
        </w:rPr>
        <w:t xml:space="preserve"> </w:t>
      </w:r>
      <w:r>
        <w:t>and</w:t>
      </w:r>
      <w:r>
        <w:rPr>
          <w:spacing w:val="-3"/>
        </w:rPr>
        <w:t xml:space="preserve"> </w:t>
      </w:r>
      <w:r>
        <w:t>interact to attain</w:t>
      </w:r>
      <w:r>
        <w:rPr>
          <w:spacing w:val="-2"/>
        </w:rPr>
        <w:t xml:space="preserve"> </w:t>
      </w:r>
      <w:r>
        <w:t>stronger knowledge</w:t>
      </w:r>
      <w:r>
        <w:rPr>
          <w:spacing w:val="-2"/>
        </w:rPr>
        <w:t xml:space="preserve"> </w:t>
      </w:r>
      <w:r>
        <w:t>and collect</w:t>
      </w:r>
      <w:r>
        <w:rPr>
          <w:spacing w:val="-1"/>
        </w:rPr>
        <w:t xml:space="preserve"> </w:t>
      </w:r>
      <w:r>
        <w:t>a reasonable amount</w:t>
      </w:r>
      <w:r>
        <w:rPr>
          <w:spacing w:val="-2"/>
        </w:rPr>
        <w:t xml:space="preserve"> </w:t>
      </w:r>
      <w:r>
        <w:t>of</w:t>
      </w:r>
      <w:r>
        <w:rPr>
          <w:spacing w:val="-1"/>
        </w:rPr>
        <w:t xml:space="preserve"> </w:t>
      </w:r>
      <w:r>
        <w:t>data</w:t>
      </w:r>
      <w:r>
        <w:rPr>
          <w:spacing w:val="-1"/>
        </w:rPr>
        <w:t xml:space="preserve"> </w:t>
      </w:r>
      <w:r>
        <w:t>for their</w:t>
      </w:r>
      <w:r>
        <w:rPr>
          <w:spacing w:val="-2"/>
        </w:rPr>
        <w:t xml:space="preserve"> </w:t>
      </w:r>
      <w:r>
        <w:t>research project (Burton and Bartlett, 2009).</w:t>
      </w:r>
    </w:p>
    <w:p w14:paraId="61C7562F" w14:textId="77777777" w:rsidR="003D621F" w:rsidRDefault="00000000">
      <w:pPr>
        <w:pStyle w:val="BodyText"/>
        <w:ind w:right="153"/>
      </w:pPr>
      <w:r>
        <w:t xml:space="preserve">They intend to record children’s </w:t>
      </w:r>
      <w:proofErr w:type="spellStart"/>
      <w:r>
        <w:t>behaviour</w:t>
      </w:r>
      <w:proofErr w:type="spellEnd"/>
      <w:r>
        <w:t>, attitudes, interactions with others and respond</w:t>
      </w:r>
      <w:r>
        <w:rPr>
          <w:spacing w:val="-3"/>
        </w:rPr>
        <w:t xml:space="preserve"> </w:t>
      </w:r>
      <w:r>
        <w:t>to</w:t>
      </w:r>
      <w:r>
        <w:rPr>
          <w:spacing w:val="-5"/>
        </w:rPr>
        <w:t xml:space="preserve"> </w:t>
      </w:r>
      <w:r>
        <w:t>challenge</w:t>
      </w:r>
      <w:r>
        <w:rPr>
          <w:spacing w:val="-5"/>
        </w:rPr>
        <w:t xml:space="preserve"> </w:t>
      </w:r>
      <w:r>
        <w:t>and</w:t>
      </w:r>
      <w:r>
        <w:rPr>
          <w:spacing w:val="-3"/>
        </w:rPr>
        <w:t xml:space="preserve"> </w:t>
      </w:r>
      <w:r>
        <w:t>their</w:t>
      </w:r>
      <w:r>
        <w:rPr>
          <w:spacing w:val="-5"/>
        </w:rPr>
        <w:t xml:space="preserve"> </w:t>
      </w:r>
      <w:r>
        <w:t>resilience</w:t>
      </w:r>
      <w:r>
        <w:rPr>
          <w:spacing w:val="-5"/>
        </w:rPr>
        <w:t xml:space="preserve"> </w:t>
      </w:r>
      <w:r>
        <w:t>to</w:t>
      </w:r>
      <w:r>
        <w:rPr>
          <w:spacing w:val="-2"/>
        </w:rPr>
        <w:t xml:space="preserve"> </w:t>
      </w:r>
      <w:r>
        <w:t>trial</w:t>
      </w:r>
      <w:r>
        <w:rPr>
          <w:spacing w:val="-4"/>
        </w:rPr>
        <w:t xml:space="preserve"> </w:t>
      </w:r>
      <w:r>
        <w:t>and</w:t>
      </w:r>
      <w:r>
        <w:rPr>
          <w:spacing w:val="-3"/>
        </w:rPr>
        <w:t xml:space="preserve"> </w:t>
      </w:r>
      <w:r>
        <w:t>error surrounding</w:t>
      </w:r>
      <w:r>
        <w:rPr>
          <w:spacing w:val="-3"/>
        </w:rPr>
        <w:t xml:space="preserve"> </w:t>
      </w:r>
      <w:r>
        <w:t>risky</w:t>
      </w:r>
      <w:r>
        <w:rPr>
          <w:spacing w:val="-3"/>
        </w:rPr>
        <w:t xml:space="preserve"> </w:t>
      </w:r>
      <w:r>
        <w:t>play</w:t>
      </w:r>
      <w:r>
        <w:rPr>
          <w:spacing w:val="-1"/>
        </w:rPr>
        <w:t xml:space="preserve"> </w:t>
      </w:r>
      <w:r>
        <w:t>and if children appear to be fearful or avoid aspects. (</w:t>
      </w:r>
      <w:proofErr w:type="spellStart"/>
      <w:r>
        <w:t>Jidoftseff</w:t>
      </w:r>
      <w:proofErr w:type="spellEnd"/>
      <w:r>
        <w:t xml:space="preserve"> et al, 2022). Quantitative data will be gathered from the areas of the risky play equipment that are the most popular</w:t>
      </w:r>
      <w:r>
        <w:rPr>
          <w:spacing w:val="-1"/>
        </w:rPr>
        <w:t xml:space="preserve"> </w:t>
      </w:r>
      <w:r>
        <w:t>and which</w:t>
      </w:r>
      <w:r>
        <w:rPr>
          <w:spacing w:val="-2"/>
        </w:rPr>
        <w:t xml:space="preserve"> </w:t>
      </w:r>
      <w:r>
        <w:t>different</w:t>
      </w:r>
      <w:r>
        <w:rPr>
          <w:spacing w:val="-2"/>
        </w:rPr>
        <w:t xml:space="preserve"> </w:t>
      </w:r>
      <w:proofErr w:type="spellStart"/>
      <w:r>
        <w:t>behaviours</w:t>
      </w:r>
      <w:proofErr w:type="spellEnd"/>
      <w:r>
        <w:rPr>
          <w:spacing w:val="-3"/>
        </w:rPr>
        <w:t xml:space="preserve"> </w:t>
      </w:r>
      <w:r>
        <w:t>are observed</w:t>
      </w:r>
      <w:r>
        <w:rPr>
          <w:spacing w:val="-1"/>
        </w:rPr>
        <w:t xml:space="preserve"> </w:t>
      </w:r>
      <w:r>
        <w:t>and how</w:t>
      </w:r>
      <w:r>
        <w:rPr>
          <w:spacing w:val="-1"/>
        </w:rPr>
        <w:t xml:space="preserve"> </w:t>
      </w:r>
      <w:r>
        <w:t>they</w:t>
      </w:r>
      <w:r>
        <w:rPr>
          <w:spacing w:val="-2"/>
        </w:rPr>
        <w:t xml:space="preserve"> </w:t>
      </w:r>
      <w:r>
        <w:t>reflect on overall development. The method of observation that will be implemented will be a semi- structured observation, where there is a probable idea of what the researcher is looking to attain in evidence, however the researcher is able to accommodate the flexibility of the child-initiated play and the circumstances of the setting and participants in order to attain the answers that they are searching for (Sharp,</w:t>
      </w:r>
    </w:p>
    <w:p w14:paraId="61C75630" w14:textId="77777777" w:rsidR="003D621F" w:rsidRDefault="00000000">
      <w:pPr>
        <w:pStyle w:val="BodyText"/>
        <w:spacing w:before="1"/>
        <w:ind w:right="144"/>
      </w:pPr>
      <w:r>
        <w:t>2012).</w:t>
      </w:r>
      <w:r>
        <w:rPr>
          <w:spacing w:val="80"/>
        </w:rPr>
        <w:t xml:space="preserve"> </w:t>
      </w:r>
      <w:r>
        <w:t xml:space="preserve">Cohen, Manion and Morrison (2011) agree that a semi-structured observation can record evidence to highlight the questions and make it simpler to </w:t>
      </w:r>
      <w:proofErr w:type="spellStart"/>
      <w:r>
        <w:t>analyse</w:t>
      </w:r>
      <w:proofErr w:type="spellEnd"/>
      <w:r>
        <w:t xml:space="preserve"> and manage than an unstructured observation but the rigidity of the exact system</w:t>
      </w:r>
      <w:r>
        <w:rPr>
          <w:spacing w:val="-3"/>
        </w:rPr>
        <w:t xml:space="preserve"> </w:t>
      </w:r>
      <w:r>
        <w:t>of</w:t>
      </w:r>
      <w:r>
        <w:rPr>
          <w:spacing w:val="-2"/>
        </w:rPr>
        <w:t xml:space="preserve"> </w:t>
      </w:r>
      <w:r>
        <w:t>what</w:t>
      </w:r>
      <w:r>
        <w:rPr>
          <w:spacing w:val="-2"/>
        </w:rPr>
        <w:t xml:space="preserve"> </w:t>
      </w:r>
      <w:r>
        <w:t>they</w:t>
      </w:r>
      <w:r>
        <w:rPr>
          <w:spacing w:val="-4"/>
        </w:rPr>
        <w:t xml:space="preserve"> </w:t>
      </w:r>
      <w:r>
        <w:t>hope</w:t>
      </w:r>
      <w:r>
        <w:rPr>
          <w:spacing w:val="-2"/>
        </w:rPr>
        <w:t xml:space="preserve"> </w:t>
      </w:r>
      <w:r>
        <w:t>to</w:t>
      </w:r>
      <w:r>
        <w:rPr>
          <w:spacing w:val="-2"/>
        </w:rPr>
        <w:t xml:space="preserve"> </w:t>
      </w:r>
      <w:r>
        <w:t>find is</w:t>
      </w:r>
      <w:r>
        <w:rPr>
          <w:spacing w:val="-3"/>
        </w:rPr>
        <w:t xml:space="preserve"> </w:t>
      </w:r>
      <w:r>
        <w:t>less</w:t>
      </w:r>
      <w:r>
        <w:rPr>
          <w:spacing w:val="-2"/>
        </w:rPr>
        <w:t xml:space="preserve"> </w:t>
      </w:r>
      <w:r>
        <w:t>than</w:t>
      </w:r>
      <w:r>
        <w:rPr>
          <w:spacing w:val="-4"/>
        </w:rPr>
        <w:t xml:space="preserve"> </w:t>
      </w:r>
      <w:r>
        <w:t>a</w:t>
      </w:r>
      <w:r>
        <w:rPr>
          <w:spacing w:val="-3"/>
        </w:rPr>
        <w:t xml:space="preserve"> </w:t>
      </w:r>
      <w:r>
        <w:t>structured</w:t>
      </w:r>
      <w:r>
        <w:rPr>
          <w:spacing w:val="-2"/>
        </w:rPr>
        <w:t xml:space="preserve"> </w:t>
      </w:r>
      <w:r>
        <w:t>observation. This</w:t>
      </w:r>
      <w:r>
        <w:rPr>
          <w:spacing w:val="-2"/>
        </w:rPr>
        <w:t xml:space="preserve"> </w:t>
      </w:r>
      <w:r>
        <w:t>evidence has</w:t>
      </w:r>
      <w:r>
        <w:rPr>
          <w:spacing w:val="-2"/>
        </w:rPr>
        <w:t xml:space="preserve"> </w:t>
      </w:r>
      <w:r>
        <w:t>advised</w:t>
      </w:r>
      <w:r>
        <w:rPr>
          <w:spacing w:val="-4"/>
        </w:rPr>
        <w:t xml:space="preserve"> </w:t>
      </w:r>
      <w:r>
        <w:t>them</w:t>
      </w:r>
      <w:r>
        <w:rPr>
          <w:spacing w:val="-3"/>
        </w:rPr>
        <w:t xml:space="preserve"> </w:t>
      </w:r>
      <w:r>
        <w:t>to</w:t>
      </w:r>
      <w:r>
        <w:rPr>
          <w:spacing w:val="-3"/>
        </w:rPr>
        <w:t xml:space="preserve"> </w:t>
      </w:r>
      <w:proofErr w:type="spellStart"/>
      <w:r>
        <w:t>utilise</w:t>
      </w:r>
      <w:proofErr w:type="spellEnd"/>
      <w:r>
        <w:rPr>
          <w:spacing w:val="-2"/>
        </w:rPr>
        <w:t xml:space="preserve"> </w:t>
      </w:r>
      <w:r>
        <w:t>the</w:t>
      </w:r>
      <w:r>
        <w:rPr>
          <w:spacing w:val="-2"/>
        </w:rPr>
        <w:t xml:space="preserve"> </w:t>
      </w:r>
      <w:r>
        <w:t>same</w:t>
      </w:r>
      <w:r>
        <w:rPr>
          <w:spacing w:val="-2"/>
        </w:rPr>
        <w:t xml:space="preserve"> </w:t>
      </w:r>
      <w:r>
        <w:t>semi-structured</w:t>
      </w:r>
      <w:r>
        <w:rPr>
          <w:spacing w:val="-4"/>
        </w:rPr>
        <w:t xml:space="preserve"> </w:t>
      </w:r>
      <w:r>
        <w:t>method</w:t>
      </w:r>
      <w:r>
        <w:rPr>
          <w:spacing w:val="-4"/>
        </w:rPr>
        <w:t xml:space="preserve"> </w:t>
      </w:r>
      <w:r>
        <w:t>for</w:t>
      </w:r>
      <w:r>
        <w:rPr>
          <w:spacing w:val="-2"/>
        </w:rPr>
        <w:t xml:space="preserve"> </w:t>
      </w:r>
      <w:r>
        <w:t>interviewing</w:t>
      </w:r>
      <w:r>
        <w:rPr>
          <w:spacing w:val="-2"/>
        </w:rPr>
        <w:t xml:space="preserve"> </w:t>
      </w:r>
      <w:r>
        <w:t>also</w:t>
      </w:r>
      <w:r>
        <w:rPr>
          <w:spacing w:val="-4"/>
        </w:rPr>
        <w:t xml:space="preserve"> </w:t>
      </w:r>
      <w:r>
        <w:t>as a result.</w:t>
      </w:r>
    </w:p>
    <w:p w14:paraId="61C75631" w14:textId="77777777" w:rsidR="003D621F" w:rsidRDefault="00000000">
      <w:pPr>
        <w:pStyle w:val="BodyText"/>
        <w:spacing w:before="1"/>
        <w:ind w:right="138"/>
      </w:pPr>
      <w:r>
        <w:t>The researchers role in the observation process will be participant observation. Getting</w:t>
      </w:r>
      <w:r>
        <w:rPr>
          <w:spacing w:val="-3"/>
        </w:rPr>
        <w:t xml:space="preserve"> </w:t>
      </w:r>
      <w:r>
        <w:t>to</w:t>
      </w:r>
      <w:r>
        <w:rPr>
          <w:spacing w:val="-4"/>
        </w:rPr>
        <w:t xml:space="preserve"> </w:t>
      </w:r>
      <w:r>
        <w:t>know</w:t>
      </w:r>
      <w:r>
        <w:rPr>
          <w:spacing w:val="-5"/>
        </w:rPr>
        <w:t xml:space="preserve"> </w:t>
      </w:r>
      <w:r>
        <w:t>the</w:t>
      </w:r>
      <w:r>
        <w:rPr>
          <w:spacing w:val="-4"/>
        </w:rPr>
        <w:t xml:space="preserve"> </w:t>
      </w:r>
      <w:r>
        <w:t>children</w:t>
      </w:r>
      <w:r>
        <w:rPr>
          <w:spacing w:val="-3"/>
        </w:rPr>
        <w:t xml:space="preserve"> </w:t>
      </w:r>
      <w:r>
        <w:t>and</w:t>
      </w:r>
      <w:r>
        <w:rPr>
          <w:spacing w:val="-3"/>
        </w:rPr>
        <w:t xml:space="preserve"> </w:t>
      </w:r>
      <w:r>
        <w:t>interacting</w:t>
      </w:r>
      <w:r>
        <w:rPr>
          <w:spacing w:val="-3"/>
        </w:rPr>
        <w:t xml:space="preserve"> </w:t>
      </w:r>
      <w:r>
        <w:t>with</w:t>
      </w:r>
      <w:r>
        <w:rPr>
          <w:spacing w:val="-3"/>
        </w:rPr>
        <w:t xml:space="preserve"> </w:t>
      </w:r>
      <w:r>
        <w:t>those</w:t>
      </w:r>
      <w:r>
        <w:rPr>
          <w:spacing w:val="-3"/>
        </w:rPr>
        <w:t xml:space="preserve"> </w:t>
      </w:r>
      <w:r>
        <w:t>that</w:t>
      </w:r>
      <w:r>
        <w:rPr>
          <w:spacing w:val="-4"/>
        </w:rPr>
        <w:t xml:space="preserve"> </w:t>
      </w:r>
      <w:r>
        <w:t>are</w:t>
      </w:r>
      <w:r>
        <w:rPr>
          <w:spacing w:val="-4"/>
        </w:rPr>
        <w:t xml:space="preserve"> </w:t>
      </w:r>
      <w:r>
        <w:t>being observed</w:t>
      </w:r>
      <w:r>
        <w:rPr>
          <w:spacing w:val="-2"/>
        </w:rPr>
        <w:t xml:space="preserve"> </w:t>
      </w:r>
      <w:r>
        <w:t xml:space="preserve">helps them feel more relaxed during the process and the researcher will gain some real research insight. (Sharp, 2012). Cohen, Manion and Morrison (2011) argue that there may be challenges, where if the researcher is participating in the play with the children themselves that there may potentially be unreliable outcomes for the observers findings as they would be too </w:t>
      </w:r>
      <w:proofErr w:type="spellStart"/>
      <w:r>
        <w:t>focussed</w:t>
      </w:r>
      <w:proofErr w:type="spellEnd"/>
      <w:r>
        <w:t xml:space="preserve"> on interacting with the Children.</w:t>
      </w:r>
    </w:p>
    <w:p w14:paraId="61C75632" w14:textId="77777777" w:rsidR="003D621F" w:rsidRDefault="00000000">
      <w:pPr>
        <w:pStyle w:val="BodyText"/>
        <w:ind w:right="123"/>
      </w:pPr>
      <w:r>
        <w:t xml:space="preserve">Sharp (2012) have suggested a solution to this problem, where taking notes as a method for recording evidence may be an issue for participant observation, and recommend an audio-visual recording of the observations to collect the evidence whilst the observer is participating in the play for the data to be </w:t>
      </w:r>
      <w:proofErr w:type="spellStart"/>
      <w:r>
        <w:t>analysed</w:t>
      </w:r>
      <w:proofErr w:type="spellEnd"/>
      <w:r>
        <w:t xml:space="preserve"> at a later date.</w:t>
      </w:r>
      <w:r>
        <w:rPr>
          <w:spacing w:val="-2"/>
        </w:rPr>
        <w:t xml:space="preserve"> </w:t>
      </w:r>
      <w:r>
        <w:t>This</w:t>
      </w:r>
      <w:r>
        <w:rPr>
          <w:spacing w:val="-3"/>
        </w:rPr>
        <w:t xml:space="preserve"> </w:t>
      </w:r>
      <w:r>
        <w:t>is</w:t>
      </w:r>
      <w:r>
        <w:rPr>
          <w:spacing w:val="-3"/>
        </w:rPr>
        <w:t xml:space="preserve"> </w:t>
      </w:r>
      <w:r>
        <w:t>also</w:t>
      </w:r>
      <w:r>
        <w:rPr>
          <w:spacing w:val="-2"/>
        </w:rPr>
        <w:t xml:space="preserve"> </w:t>
      </w:r>
      <w:r>
        <w:t>an</w:t>
      </w:r>
      <w:r>
        <w:rPr>
          <w:spacing w:val="-2"/>
        </w:rPr>
        <w:t xml:space="preserve"> </w:t>
      </w:r>
      <w:r>
        <w:t>effective</w:t>
      </w:r>
      <w:r>
        <w:rPr>
          <w:spacing w:val="-4"/>
        </w:rPr>
        <w:t xml:space="preserve"> </w:t>
      </w:r>
      <w:r>
        <w:t>method</w:t>
      </w:r>
      <w:r>
        <w:rPr>
          <w:spacing w:val="-2"/>
        </w:rPr>
        <w:t xml:space="preserve"> </w:t>
      </w:r>
      <w:r>
        <w:t>for</w:t>
      </w:r>
      <w:r>
        <w:rPr>
          <w:spacing w:val="-2"/>
        </w:rPr>
        <w:t xml:space="preserve"> </w:t>
      </w:r>
      <w:r>
        <w:t>capturing</w:t>
      </w:r>
      <w:r>
        <w:rPr>
          <w:spacing w:val="-2"/>
        </w:rPr>
        <w:t xml:space="preserve"> </w:t>
      </w:r>
      <w:r>
        <w:t>the</w:t>
      </w:r>
      <w:r>
        <w:rPr>
          <w:spacing w:val="-2"/>
        </w:rPr>
        <w:t xml:space="preserve"> </w:t>
      </w:r>
      <w:r>
        <w:t>non-verbal</w:t>
      </w:r>
      <w:r>
        <w:rPr>
          <w:spacing w:val="-2"/>
        </w:rPr>
        <w:t xml:space="preserve"> </w:t>
      </w:r>
      <w:r>
        <w:t>actions</w:t>
      </w:r>
      <w:r>
        <w:rPr>
          <w:spacing w:val="-2"/>
        </w:rPr>
        <w:t xml:space="preserve"> </w:t>
      </w:r>
      <w:r>
        <w:t>of</w:t>
      </w:r>
      <w:r>
        <w:rPr>
          <w:spacing w:val="-2"/>
        </w:rPr>
        <w:t xml:space="preserve"> </w:t>
      </w:r>
      <w:r>
        <w:t>the</w:t>
      </w:r>
      <w:r>
        <w:rPr>
          <w:spacing w:val="-2"/>
        </w:rPr>
        <w:t xml:space="preserve"> </w:t>
      </w:r>
      <w:r>
        <w:t xml:space="preserve">child as well as the interactions with others. This is the method of recording data that will be </w:t>
      </w:r>
      <w:proofErr w:type="spellStart"/>
      <w:r>
        <w:t>utilised</w:t>
      </w:r>
      <w:proofErr w:type="spellEnd"/>
      <w:r>
        <w:t xml:space="preserve"> for the interviewing process also. Burton and Bartlett (2009) and Sharp (2012) advise that the capturing of the physical environments, room plans and</w:t>
      </w:r>
      <w:r>
        <w:rPr>
          <w:spacing w:val="40"/>
        </w:rPr>
        <w:t xml:space="preserve"> </w:t>
      </w:r>
      <w:r>
        <w:t>lesson plans</w:t>
      </w:r>
      <w:r>
        <w:rPr>
          <w:spacing w:val="-1"/>
        </w:rPr>
        <w:t xml:space="preserve"> </w:t>
      </w:r>
      <w:r>
        <w:t>of both settings can</w:t>
      </w:r>
      <w:r>
        <w:rPr>
          <w:spacing w:val="-1"/>
        </w:rPr>
        <w:t xml:space="preserve"> </w:t>
      </w:r>
      <w:r>
        <w:t>provide</w:t>
      </w:r>
      <w:r>
        <w:rPr>
          <w:spacing w:val="-1"/>
        </w:rPr>
        <w:t xml:space="preserve"> </w:t>
      </w:r>
      <w:r>
        <w:t>the</w:t>
      </w:r>
      <w:r>
        <w:rPr>
          <w:spacing w:val="-1"/>
        </w:rPr>
        <w:t xml:space="preserve"> </w:t>
      </w:r>
      <w:r>
        <w:t>researcher with an initial understanding of where the observations will be carried out and plan their recordings. This can also allow the researcher the opportunity to conduct a small-group scan of the environment, which areas are the most popular and if the how the physical environment</w:t>
      </w:r>
      <w:r>
        <w:rPr>
          <w:spacing w:val="-2"/>
        </w:rPr>
        <w:t xml:space="preserve"> </w:t>
      </w:r>
      <w:r>
        <w:t>is</w:t>
      </w:r>
      <w:r>
        <w:rPr>
          <w:spacing w:val="-5"/>
        </w:rPr>
        <w:t xml:space="preserve"> </w:t>
      </w:r>
      <w:r>
        <w:t>beneficial</w:t>
      </w:r>
      <w:r>
        <w:rPr>
          <w:spacing w:val="-5"/>
        </w:rPr>
        <w:t xml:space="preserve"> </w:t>
      </w:r>
      <w:r>
        <w:t>in</w:t>
      </w:r>
      <w:r>
        <w:rPr>
          <w:spacing w:val="-4"/>
        </w:rPr>
        <w:t xml:space="preserve"> </w:t>
      </w:r>
      <w:r>
        <w:t>enhancing</w:t>
      </w:r>
      <w:r>
        <w:rPr>
          <w:spacing w:val="-3"/>
        </w:rPr>
        <w:t xml:space="preserve"> </w:t>
      </w:r>
      <w:r>
        <w:t>children’s</w:t>
      </w:r>
      <w:r>
        <w:rPr>
          <w:spacing w:val="-5"/>
        </w:rPr>
        <w:t xml:space="preserve"> </w:t>
      </w:r>
      <w:r>
        <w:t>overall</w:t>
      </w:r>
      <w:r>
        <w:rPr>
          <w:spacing w:val="-5"/>
        </w:rPr>
        <w:t xml:space="preserve"> </w:t>
      </w:r>
      <w:r>
        <w:t>development</w:t>
      </w:r>
      <w:r>
        <w:rPr>
          <w:spacing w:val="-1"/>
        </w:rPr>
        <w:t xml:space="preserve"> </w:t>
      </w:r>
      <w:r>
        <w:t>(</w:t>
      </w:r>
      <w:proofErr w:type="spellStart"/>
      <w:r>
        <w:t>Knauff</w:t>
      </w:r>
      <w:proofErr w:type="spellEnd"/>
      <w:r>
        <w:t>,</w:t>
      </w:r>
      <w:r>
        <w:rPr>
          <w:spacing w:val="-6"/>
        </w:rPr>
        <w:t xml:space="preserve"> </w:t>
      </w:r>
      <w:r>
        <w:t>2018). The second aspect of this mixed-method approach is interviewing practitioners.</w:t>
      </w:r>
    </w:p>
    <w:p w14:paraId="61C75633" w14:textId="77777777" w:rsidR="003D621F" w:rsidRDefault="00000000">
      <w:pPr>
        <w:pStyle w:val="BodyText"/>
        <w:spacing w:before="1"/>
      </w:pPr>
      <w:r>
        <w:t>Quantitative</w:t>
      </w:r>
      <w:r>
        <w:rPr>
          <w:spacing w:val="-5"/>
        </w:rPr>
        <w:t xml:space="preserve"> </w:t>
      </w:r>
      <w:r>
        <w:t>data</w:t>
      </w:r>
      <w:r>
        <w:rPr>
          <w:spacing w:val="-2"/>
        </w:rPr>
        <w:t xml:space="preserve"> </w:t>
      </w:r>
      <w:r>
        <w:t>will</w:t>
      </w:r>
      <w:r>
        <w:rPr>
          <w:spacing w:val="-4"/>
        </w:rPr>
        <w:t xml:space="preserve"> </w:t>
      </w:r>
      <w:r>
        <w:t>be</w:t>
      </w:r>
      <w:r>
        <w:rPr>
          <w:spacing w:val="-3"/>
        </w:rPr>
        <w:t xml:space="preserve"> </w:t>
      </w:r>
      <w:r>
        <w:t>collected</w:t>
      </w:r>
      <w:r>
        <w:rPr>
          <w:spacing w:val="-3"/>
        </w:rPr>
        <w:t xml:space="preserve"> </w:t>
      </w:r>
      <w:r>
        <w:t>through</w:t>
      </w:r>
      <w:r>
        <w:rPr>
          <w:spacing w:val="-2"/>
        </w:rPr>
        <w:t xml:space="preserve"> </w:t>
      </w:r>
      <w:r>
        <w:t>answers</w:t>
      </w:r>
      <w:r>
        <w:rPr>
          <w:spacing w:val="-4"/>
        </w:rPr>
        <w:t xml:space="preserve"> </w:t>
      </w:r>
      <w:r>
        <w:t>that</w:t>
      </w:r>
      <w:r>
        <w:rPr>
          <w:spacing w:val="-5"/>
        </w:rPr>
        <w:t xml:space="preserve"> </w:t>
      </w:r>
      <w:r>
        <w:t>practitioners</w:t>
      </w:r>
      <w:r>
        <w:rPr>
          <w:spacing w:val="-3"/>
        </w:rPr>
        <w:t xml:space="preserve"> </w:t>
      </w:r>
      <w:r>
        <w:t>offer</w:t>
      </w:r>
      <w:r>
        <w:rPr>
          <w:spacing w:val="-6"/>
        </w:rPr>
        <w:t xml:space="preserve"> </w:t>
      </w:r>
      <w:r>
        <w:t>during</w:t>
      </w:r>
      <w:r>
        <w:rPr>
          <w:spacing w:val="-5"/>
        </w:rPr>
        <w:t xml:space="preserve"> </w:t>
      </w:r>
      <w:r>
        <w:t>the interviews on the number of accidents that have occurred as a result of aspects of</w:t>
      </w:r>
    </w:p>
    <w:p w14:paraId="61C75634" w14:textId="77777777" w:rsidR="003D621F" w:rsidRDefault="003D621F">
      <w:pPr>
        <w:sectPr w:rsidR="003D621F">
          <w:pgSz w:w="11910" w:h="16840"/>
          <w:pgMar w:top="1340" w:right="1340" w:bottom="280" w:left="1340" w:header="720" w:footer="720" w:gutter="0"/>
          <w:cols w:space="720"/>
        </w:sectPr>
      </w:pPr>
    </w:p>
    <w:p w14:paraId="61C75635" w14:textId="77777777" w:rsidR="003D621F" w:rsidRDefault="00000000">
      <w:pPr>
        <w:pStyle w:val="BodyText"/>
        <w:spacing w:before="82"/>
        <w:ind w:right="102"/>
      </w:pPr>
      <w:r>
        <w:lastRenderedPageBreak/>
        <w:t>risky play, such as: heights, speed dangerous tools, near dangerous elements, rough-and-tumble play and play where children can disappear or get lost (</w:t>
      </w:r>
      <w:proofErr w:type="spellStart"/>
      <w:r>
        <w:t>Jidovtseff</w:t>
      </w:r>
      <w:proofErr w:type="spellEnd"/>
      <w:r>
        <w:t xml:space="preserve"> et al, 2022). The qualitative data will be gathered to understand the feelings and opinions of practitioners and using a variety of methodologies and techniques to examine a topic from several angles to gain a deeper understanding of it. The aim of this</w:t>
      </w:r>
      <w:r>
        <w:rPr>
          <w:spacing w:val="-4"/>
        </w:rPr>
        <w:t xml:space="preserve"> </w:t>
      </w:r>
      <w:r>
        <w:t>method</w:t>
      </w:r>
      <w:r>
        <w:rPr>
          <w:spacing w:val="-3"/>
        </w:rPr>
        <w:t xml:space="preserve"> </w:t>
      </w:r>
      <w:r>
        <w:t>would</w:t>
      </w:r>
      <w:r>
        <w:rPr>
          <w:spacing w:val="-5"/>
        </w:rPr>
        <w:t xml:space="preserve"> </w:t>
      </w:r>
      <w:r>
        <w:t>be</w:t>
      </w:r>
      <w:r>
        <w:rPr>
          <w:spacing w:val="-3"/>
        </w:rPr>
        <w:t xml:space="preserve"> </w:t>
      </w:r>
      <w:r>
        <w:t>to collect</w:t>
      </w:r>
      <w:r>
        <w:rPr>
          <w:spacing w:val="-5"/>
        </w:rPr>
        <w:t xml:space="preserve"> </w:t>
      </w:r>
      <w:r>
        <w:t>data</w:t>
      </w:r>
      <w:r>
        <w:rPr>
          <w:spacing w:val="-3"/>
        </w:rPr>
        <w:t xml:space="preserve"> </w:t>
      </w:r>
      <w:r>
        <w:t>regarding</w:t>
      </w:r>
      <w:r>
        <w:rPr>
          <w:spacing w:val="-3"/>
        </w:rPr>
        <w:t xml:space="preserve"> </w:t>
      </w:r>
      <w:r>
        <w:t>the</w:t>
      </w:r>
      <w:r>
        <w:rPr>
          <w:spacing w:val="-3"/>
        </w:rPr>
        <w:t xml:space="preserve"> </w:t>
      </w:r>
      <w:r>
        <w:t>more in-depth</w:t>
      </w:r>
      <w:r>
        <w:rPr>
          <w:spacing w:val="-3"/>
        </w:rPr>
        <w:t xml:space="preserve"> </w:t>
      </w:r>
      <w:r>
        <w:t>and</w:t>
      </w:r>
      <w:r>
        <w:rPr>
          <w:spacing w:val="-1"/>
        </w:rPr>
        <w:t xml:space="preserve"> </w:t>
      </w:r>
      <w:r>
        <w:t>complex</w:t>
      </w:r>
      <w:r>
        <w:rPr>
          <w:spacing w:val="-3"/>
        </w:rPr>
        <w:t xml:space="preserve"> </w:t>
      </w:r>
      <w:r>
        <w:t>issues surrounding the influence of practitioners’ views and anxieties on the risk-rich experiences that children are offered, the flexibility of risky play between both of the settings and the challenges that they face in adhering to health and safety procedures and whether it is supported by parents in this regard and suggest whether negotiations and compromises are made between the two for effective practice (Button and Wilde, 2019 and Spencer et al, 2021).</w:t>
      </w:r>
    </w:p>
    <w:p w14:paraId="61C75636" w14:textId="77777777" w:rsidR="003D621F" w:rsidRDefault="00000000">
      <w:pPr>
        <w:pStyle w:val="BodyText"/>
      </w:pPr>
      <w:r>
        <w:t>The atmosphere of an interview enables a greater comprehension of participants’ experiences,</w:t>
      </w:r>
      <w:r>
        <w:rPr>
          <w:spacing w:val="-3"/>
        </w:rPr>
        <w:t xml:space="preserve"> </w:t>
      </w:r>
      <w:r>
        <w:t>convictions</w:t>
      </w:r>
      <w:r>
        <w:rPr>
          <w:spacing w:val="-3"/>
        </w:rPr>
        <w:t xml:space="preserve"> </w:t>
      </w:r>
      <w:r>
        <w:t>and</w:t>
      </w:r>
      <w:r>
        <w:rPr>
          <w:spacing w:val="-3"/>
        </w:rPr>
        <w:t xml:space="preserve"> </w:t>
      </w:r>
      <w:r>
        <w:t>justifications</w:t>
      </w:r>
      <w:r>
        <w:rPr>
          <w:spacing w:val="-5"/>
        </w:rPr>
        <w:t xml:space="preserve"> </w:t>
      </w:r>
      <w:r>
        <w:t>for</w:t>
      </w:r>
      <w:r>
        <w:rPr>
          <w:spacing w:val="-7"/>
        </w:rPr>
        <w:t xml:space="preserve"> </w:t>
      </w:r>
      <w:r>
        <w:t>their</w:t>
      </w:r>
      <w:r>
        <w:rPr>
          <w:spacing w:val="-5"/>
        </w:rPr>
        <w:t xml:space="preserve"> </w:t>
      </w:r>
      <w:r>
        <w:t>strategies</w:t>
      </w:r>
      <w:r>
        <w:rPr>
          <w:spacing w:val="-5"/>
        </w:rPr>
        <w:t xml:space="preserve"> </w:t>
      </w:r>
      <w:r>
        <w:t>for</w:t>
      </w:r>
      <w:r>
        <w:rPr>
          <w:spacing w:val="-3"/>
        </w:rPr>
        <w:t xml:space="preserve"> </w:t>
      </w:r>
      <w:r>
        <w:t>encouraging</w:t>
      </w:r>
      <w:r>
        <w:rPr>
          <w:spacing w:val="-3"/>
        </w:rPr>
        <w:t xml:space="preserve"> </w:t>
      </w:r>
      <w:r>
        <w:t>risky activity. (Peters and Halcomb, 2015).</w:t>
      </w:r>
    </w:p>
    <w:p w14:paraId="61C75637" w14:textId="77777777" w:rsidR="003D621F" w:rsidRDefault="00000000">
      <w:pPr>
        <w:pStyle w:val="BodyText"/>
        <w:spacing w:before="1"/>
        <w:ind w:right="105"/>
      </w:pPr>
      <w:r>
        <w:t>Interviews were selected instead of questionnaires for this research project because of their ability to collect a detailed account of practitioners’ viewpoints and allow the researcher to explore subjects that are more complex and ask additional follow-up questions if required. Questionnaires may not provide the same detail of information as</w:t>
      </w:r>
      <w:r>
        <w:rPr>
          <w:spacing w:val="-4"/>
        </w:rPr>
        <w:t xml:space="preserve"> </w:t>
      </w:r>
      <w:r>
        <w:t>the</w:t>
      </w:r>
      <w:r>
        <w:rPr>
          <w:spacing w:val="-4"/>
        </w:rPr>
        <w:t xml:space="preserve"> </w:t>
      </w:r>
      <w:r>
        <w:t>interviewing</w:t>
      </w:r>
      <w:r>
        <w:rPr>
          <w:spacing w:val="-5"/>
        </w:rPr>
        <w:t xml:space="preserve"> </w:t>
      </w:r>
      <w:r>
        <w:t>method.</w:t>
      </w:r>
      <w:r>
        <w:rPr>
          <w:spacing w:val="-6"/>
        </w:rPr>
        <w:t xml:space="preserve"> </w:t>
      </w:r>
      <w:r>
        <w:t>Additionally,</w:t>
      </w:r>
      <w:r>
        <w:rPr>
          <w:spacing w:val="-4"/>
        </w:rPr>
        <w:t xml:space="preserve"> </w:t>
      </w:r>
      <w:r>
        <w:t>interviews</w:t>
      </w:r>
      <w:r>
        <w:rPr>
          <w:spacing w:val="-2"/>
        </w:rPr>
        <w:t xml:space="preserve"> </w:t>
      </w:r>
      <w:r>
        <w:t>allow</w:t>
      </w:r>
      <w:r>
        <w:rPr>
          <w:spacing w:val="-4"/>
        </w:rPr>
        <w:t xml:space="preserve"> </w:t>
      </w:r>
      <w:r>
        <w:t>researchers</w:t>
      </w:r>
      <w:r>
        <w:rPr>
          <w:spacing w:val="-3"/>
        </w:rPr>
        <w:t xml:space="preserve"> </w:t>
      </w:r>
      <w:r>
        <w:t>the</w:t>
      </w:r>
      <w:r>
        <w:rPr>
          <w:spacing w:val="-5"/>
        </w:rPr>
        <w:t xml:space="preserve"> </w:t>
      </w:r>
      <w:r>
        <w:t>opportunity to get to know their subjects, which promotes trust and openness and can result in responses that are more sincere. (Braun and Clarke, 2019. Smith, 2015. Rubin and Rubin, 2011).</w:t>
      </w:r>
    </w:p>
    <w:p w14:paraId="61C75638" w14:textId="77777777" w:rsidR="003D621F" w:rsidRDefault="003D621F">
      <w:pPr>
        <w:pStyle w:val="BodyText"/>
        <w:ind w:left="0"/>
      </w:pPr>
    </w:p>
    <w:p w14:paraId="61C75639" w14:textId="77777777" w:rsidR="003D621F" w:rsidRDefault="00000000">
      <w:pPr>
        <w:pStyle w:val="Heading1"/>
      </w:pPr>
      <w:r>
        <w:t>Ethical</w:t>
      </w:r>
      <w:r>
        <w:rPr>
          <w:spacing w:val="-6"/>
        </w:rPr>
        <w:t xml:space="preserve"> </w:t>
      </w:r>
      <w:r>
        <w:t>considerations.</w:t>
      </w:r>
      <w:r>
        <w:rPr>
          <w:spacing w:val="-1"/>
        </w:rPr>
        <w:t xml:space="preserve"> </w:t>
      </w:r>
      <w:r>
        <w:t>–</w:t>
      </w:r>
      <w:r>
        <w:rPr>
          <w:spacing w:val="-4"/>
        </w:rPr>
        <w:t xml:space="preserve"> </w:t>
      </w:r>
      <w:r>
        <w:t>1425</w:t>
      </w:r>
      <w:r>
        <w:rPr>
          <w:spacing w:val="-3"/>
        </w:rPr>
        <w:t xml:space="preserve"> </w:t>
      </w:r>
      <w:r>
        <w:rPr>
          <w:spacing w:val="-2"/>
        </w:rPr>
        <w:t>words.</w:t>
      </w:r>
    </w:p>
    <w:p w14:paraId="61C7563A" w14:textId="77777777" w:rsidR="003D621F" w:rsidRDefault="003D621F">
      <w:pPr>
        <w:pStyle w:val="BodyText"/>
        <w:spacing w:before="1"/>
        <w:ind w:left="0"/>
        <w:rPr>
          <w:b/>
        </w:rPr>
      </w:pPr>
    </w:p>
    <w:p w14:paraId="61C7563B" w14:textId="77777777" w:rsidR="003D621F" w:rsidRDefault="00000000">
      <w:pPr>
        <w:pStyle w:val="BodyText"/>
        <w:ind w:right="171"/>
      </w:pPr>
      <w:r>
        <w:t>According to Smith et al (2015), Jones (2017) and Johnson (2019), in order to protect</w:t>
      </w:r>
      <w:r>
        <w:rPr>
          <w:spacing w:val="-5"/>
        </w:rPr>
        <w:t xml:space="preserve"> </w:t>
      </w:r>
      <w:r>
        <w:t>the</w:t>
      </w:r>
      <w:r>
        <w:rPr>
          <w:spacing w:val="-5"/>
        </w:rPr>
        <w:t xml:space="preserve"> </w:t>
      </w:r>
      <w:r>
        <w:t>rights,</w:t>
      </w:r>
      <w:r>
        <w:rPr>
          <w:spacing w:val="-3"/>
        </w:rPr>
        <w:t xml:space="preserve"> </w:t>
      </w:r>
      <w:r>
        <w:t>and</w:t>
      </w:r>
      <w:r>
        <w:rPr>
          <w:spacing w:val="-4"/>
        </w:rPr>
        <w:t xml:space="preserve"> </w:t>
      </w:r>
      <w:r>
        <w:t>wellbeing</w:t>
      </w:r>
      <w:r>
        <w:rPr>
          <w:spacing w:val="-5"/>
        </w:rPr>
        <w:t xml:space="preserve"> </w:t>
      </w:r>
      <w:r>
        <w:t>of</w:t>
      </w:r>
      <w:r>
        <w:rPr>
          <w:spacing w:val="-3"/>
        </w:rPr>
        <w:t xml:space="preserve"> </w:t>
      </w:r>
      <w:r>
        <w:t>research</w:t>
      </w:r>
      <w:r>
        <w:rPr>
          <w:spacing w:val="-5"/>
        </w:rPr>
        <w:t xml:space="preserve"> </w:t>
      </w:r>
      <w:r>
        <w:t>participants, ensure</w:t>
      </w:r>
      <w:r>
        <w:rPr>
          <w:spacing w:val="-5"/>
        </w:rPr>
        <w:t xml:space="preserve"> </w:t>
      </w:r>
      <w:r>
        <w:t>the</w:t>
      </w:r>
      <w:r>
        <w:rPr>
          <w:spacing w:val="-2"/>
        </w:rPr>
        <w:t xml:space="preserve"> </w:t>
      </w:r>
      <w:r>
        <w:t>integrity</w:t>
      </w:r>
      <w:r>
        <w:rPr>
          <w:spacing w:val="-3"/>
        </w:rPr>
        <w:t xml:space="preserve"> </w:t>
      </w:r>
      <w:r>
        <w:t>of results, ethical guidelines and procedures are required to be adhered to.</w:t>
      </w:r>
    </w:p>
    <w:p w14:paraId="61C7563C" w14:textId="77777777" w:rsidR="003D621F" w:rsidRDefault="00000000">
      <w:pPr>
        <w:pStyle w:val="BodyText"/>
        <w:ind w:right="172"/>
      </w:pPr>
      <w:r>
        <w:t>Researchers can promote collaborative research environments, maintain the confidence of participants and the general public, progress knowledge, and ultimately protects society by upholding ethical norms. Therefore it is crucial for modern</w:t>
      </w:r>
      <w:r>
        <w:rPr>
          <w:spacing w:val="-3"/>
        </w:rPr>
        <w:t xml:space="preserve"> </w:t>
      </w:r>
      <w:r>
        <w:t>research</w:t>
      </w:r>
      <w:r>
        <w:rPr>
          <w:spacing w:val="-5"/>
        </w:rPr>
        <w:t xml:space="preserve"> </w:t>
      </w:r>
      <w:proofErr w:type="spellStart"/>
      <w:r>
        <w:t>endeavours</w:t>
      </w:r>
      <w:proofErr w:type="spellEnd"/>
      <w:r>
        <w:rPr>
          <w:spacing w:val="-3"/>
        </w:rPr>
        <w:t xml:space="preserve"> </w:t>
      </w:r>
      <w:r>
        <w:t>to</w:t>
      </w:r>
      <w:r>
        <w:rPr>
          <w:spacing w:val="-3"/>
        </w:rPr>
        <w:t xml:space="preserve"> </w:t>
      </w:r>
      <w:r>
        <w:t>comprehend</w:t>
      </w:r>
      <w:r>
        <w:rPr>
          <w:spacing w:val="-5"/>
        </w:rPr>
        <w:t xml:space="preserve"> </w:t>
      </w:r>
      <w:r>
        <w:t>and</w:t>
      </w:r>
      <w:r>
        <w:rPr>
          <w:spacing w:val="-5"/>
        </w:rPr>
        <w:t xml:space="preserve"> </w:t>
      </w:r>
      <w:r>
        <w:t>uphold</w:t>
      </w:r>
      <w:r>
        <w:rPr>
          <w:spacing w:val="-3"/>
        </w:rPr>
        <w:t xml:space="preserve"> </w:t>
      </w:r>
      <w:r>
        <w:t>research</w:t>
      </w:r>
      <w:r>
        <w:rPr>
          <w:spacing w:val="-5"/>
        </w:rPr>
        <w:t xml:space="preserve"> </w:t>
      </w:r>
      <w:r>
        <w:t>ethics. Ethics</w:t>
      </w:r>
      <w:r>
        <w:rPr>
          <w:spacing w:val="-6"/>
        </w:rPr>
        <w:t xml:space="preserve"> </w:t>
      </w:r>
      <w:r>
        <w:t xml:space="preserve">are to protect everyone involved in research and in particularly important in Early years </w:t>
      </w:r>
      <w:r>
        <w:rPr>
          <w:spacing w:val="-2"/>
        </w:rPr>
        <w:t>research.</w:t>
      </w:r>
    </w:p>
    <w:p w14:paraId="61C7563D" w14:textId="77777777" w:rsidR="003D621F" w:rsidRDefault="00000000">
      <w:pPr>
        <w:pStyle w:val="BodyText"/>
        <w:ind w:right="172"/>
      </w:pPr>
      <w:r>
        <w:t>Williams (2016) highlights the significance of informed consent prior to carrying out observations or interviews for a research project. In order to respect participants' autonomy and guarantee their voluntary involvement, informed consent must be obtained. Brown (2016) emphasizes the value of informed consent, that it enables participants to make free choices about taking part in the study. Johnson (2017) argues that to achieve the integrity of research findings, voluntary participation is essential.</w:t>
      </w:r>
      <w:r>
        <w:rPr>
          <w:spacing w:val="-2"/>
        </w:rPr>
        <w:t xml:space="preserve"> </w:t>
      </w:r>
      <w:r>
        <w:t>BERA</w:t>
      </w:r>
      <w:r>
        <w:rPr>
          <w:spacing w:val="-6"/>
        </w:rPr>
        <w:t xml:space="preserve"> </w:t>
      </w:r>
      <w:r>
        <w:t>(2018)</w:t>
      </w:r>
      <w:r>
        <w:rPr>
          <w:spacing w:val="-4"/>
        </w:rPr>
        <w:t xml:space="preserve"> </w:t>
      </w:r>
      <w:r>
        <w:t>advises</w:t>
      </w:r>
      <w:r>
        <w:rPr>
          <w:spacing w:val="-2"/>
        </w:rPr>
        <w:t xml:space="preserve"> </w:t>
      </w:r>
      <w:r>
        <w:t>the</w:t>
      </w:r>
      <w:r>
        <w:rPr>
          <w:spacing w:val="-4"/>
        </w:rPr>
        <w:t xml:space="preserve"> </w:t>
      </w:r>
      <w:r>
        <w:t>researcher</w:t>
      </w:r>
      <w:r>
        <w:rPr>
          <w:spacing w:val="-4"/>
        </w:rPr>
        <w:t xml:space="preserve"> </w:t>
      </w:r>
      <w:r>
        <w:t>should</w:t>
      </w:r>
      <w:r>
        <w:rPr>
          <w:spacing w:val="-4"/>
        </w:rPr>
        <w:t xml:space="preserve"> </w:t>
      </w:r>
      <w:r>
        <w:t>obtain</w:t>
      </w:r>
      <w:r>
        <w:rPr>
          <w:spacing w:val="-6"/>
        </w:rPr>
        <w:t xml:space="preserve"> </w:t>
      </w:r>
      <w:r>
        <w:t>participants’</w:t>
      </w:r>
      <w:r>
        <w:rPr>
          <w:spacing w:val="-5"/>
        </w:rPr>
        <w:t xml:space="preserve"> </w:t>
      </w:r>
      <w:r>
        <w:t>informed consent to participate in a study prior to conducting the observation or interview.</w:t>
      </w:r>
    </w:p>
    <w:p w14:paraId="61C7563E" w14:textId="77777777" w:rsidR="003D621F" w:rsidRDefault="00000000">
      <w:pPr>
        <w:pStyle w:val="BodyText"/>
        <w:spacing w:before="1"/>
        <w:ind w:right="105"/>
      </w:pPr>
      <w:r>
        <w:t>They should be sensitive and prepared for the possibility that the participants will withdraw and have the right do so at any stage of the research process without needing to offer a reason and not under any circumstance should they ever be coerced or incentivized to participate. With regard to this research project, Children will</w:t>
      </w:r>
      <w:r>
        <w:rPr>
          <w:spacing w:val="-4"/>
        </w:rPr>
        <w:t xml:space="preserve"> </w:t>
      </w:r>
      <w:r>
        <w:t>also</w:t>
      </w:r>
      <w:r>
        <w:rPr>
          <w:spacing w:val="-3"/>
        </w:rPr>
        <w:t xml:space="preserve"> </w:t>
      </w:r>
      <w:r>
        <w:t>be</w:t>
      </w:r>
      <w:r>
        <w:rPr>
          <w:spacing w:val="-3"/>
        </w:rPr>
        <w:t xml:space="preserve"> </w:t>
      </w:r>
      <w:r>
        <w:t>offered</w:t>
      </w:r>
      <w:r>
        <w:rPr>
          <w:spacing w:val="-3"/>
        </w:rPr>
        <w:t xml:space="preserve"> </w:t>
      </w:r>
      <w:r>
        <w:t>information</w:t>
      </w:r>
      <w:r>
        <w:rPr>
          <w:spacing w:val="-3"/>
        </w:rPr>
        <w:t xml:space="preserve"> </w:t>
      </w:r>
      <w:r>
        <w:t>in an</w:t>
      </w:r>
      <w:r>
        <w:rPr>
          <w:spacing w:val="-3"/>
        </w:rPr>
        <w:t xml:space="preserve"> </w:t>
      </w:r>
      <w:r>
        <w:t>age-appropriate</w:t>
      </w:r>
      <w:r>
        <w:rPr>
          <w:spacing w:val="-4"/>
        </w:rPr>
        <w:t xml:space="preserve"> </w:t>
      </w:r>
      <w:r>
        <w:t>manner</w:t>
      </w:r>
      <w:r>
        <w:rPr>
          <w:spacing w:val="-1"/>
        </w:rPr>
        <w:t xml:space="preserve"> </w:t>
      </w:r>
      <w:r>
        <w:t>about</w:t>
      </w:r>
      <w:r>
        <w:rPr>
          <w:spacing w:val="-7"/>
        </w:rPr>
        <w:t xml:space="preserve"> </w:t>
      </w:r>
      <w:r>
        <w:t>what</w:t>
      </w:r>
      <w:r>
        <w:rPr>
          <w:spacing w:val="-3"/>
        </w:rPr>
        <w:t xml:space="preserve"> </w:t>
      </w:r>
      <w:r>
        <w:t>is</w:t>
      </w:r>
      <w:r>
        <w:rPr>
          <w:spacing w:val="-4"/>
        </w:rPr>
        <w:t xml:space="preserve"> </w:t>
      </w:r>
      <w:r>
        <w:t>expected of them to participate, that they are just able to play freely outdoors as they normally would and the researcher will be there to join in if they are happy with this and that</w:t>
      </w:r>
    </w:p>
    <w:p w14:paraId="61C7563F" w14:textId="77777777" w:rsidR="003D621F" w:rsidRDefault="003D621F">
      <w:pPr>
        <w:sectPr w:rsidR="003D621F">
          <w:pgSz w:w="11910" w:h="16840"/>
          <w:pgMar w:top="1340" w:right="1340" w:bottom="280" w:left="1340" w:header="720" w:footer="720" w:gutter="0"/>
          <w:cols w:space="720"/>
        </w:sectPr>
      </w:pPr>
    </w:p>
    <w:p w14:paraId="61C75640" w14:textId="77777777" w:rsidR="003D621F" w:rsidRDefault="00000000">
      <w:pPr>
        <w:pStyle w:val="BodyText"/>
        <w:spacing w:before="82"/>
        <w:ind w:right="172"/>
      </w:pPr>
      <w:r>
        <w:lastRenderedPageBreak/>
        <w:t>the researcher will observe how they keep themselves safe and take risks. They should be informed that they are all welcome to participate or to go and play elsewhere and if they do wish to take part they can finish the play on their terms. At this age of 3-5 years of age, some children may not fully understand the consequences of what they are agreeing to when they say they would like to participate</w:t>
      </w:r>
      <w:r>
        <w:rPr>
          <w:spacing w:val="-3"/>
        </w:rPr>
        <w:t xml:space="preserve"> </w:t>
      </w:r>
      <w:r>
        <w:t>in</w:t>
      </w:r>
      <w:r>
        <w:rPr>
          <w:spacing w:val="-5"/>
        </w:rPr>
        <w:t xml:space="preserve"> </w:t>
      </w:r>
      <w:r>
        <w:t>an</w:t>
      </w:r>
      <w:r>
        <w:rPr>
          <w:spacing w:val="-5"/>
        </w:rPr>
        <w:t xml:space="preserve"> </w:t>
      </w:r>
      <w:r>
        <w:t>activity</w:t>
      </w:r>
      <w:r>
        <w:rPr>
          <w:spacing w:val="-3"/>
        </w:rPr>
        <w:t xml:space="preserve"> </w:t>
      </w:r>
      <w:r>
        <w:t>and</w:t>
      </w:r>
      <w:r>
        <w:rPr>
          <w:spacing w:val="-5"/>
        </w:rPr>
        <w:t xml:space="preserve"> </w:t>
      </w:r>
      <w:r>
        <w:t>the</w:t>
      </w:r>
      <w:r>
        <w:rPr>
          <w:spacing w:val="-3"/>
        </w:rPr>
        <w:t xml:space="preserve"> </w:t>
      </w:r>
      <w:r>
        <w:t>circumstances</w:t>
      </w:r>
      <w:r>
        <w:rPr>
          <w:spacing w:val="-3"/>
        </w:rPr>
        <w:t xml:space="preserve"> </w:t>
      </w:r>
      <w:r>
        <w:t>around</w:t>
      </w:r>
      <w:r>
        <w:rPr>
          <w:spacing w:val="-5"/>
        </w:rPr>
        <w:t xml:space="preserve"> </w:t>
      </w:r>
      <w:r>
        <w:t>the</w:t>
      </w:r>
      <w:r>
        <w:rPr>
          <w:spacing w:val="-5"/>
        </w:rPr>
        <w:t xml:space="preserve"> </w:t>
      </w:r>
      <w:r>
        <w:t>nature</w:t>
      </w:r>
      <w:r>
        <w:rPr>
          <w:spacing w:val="-5"/>
        </w:rPr>
        <w:t xml:space="preserve"> </w:t>
      </w:r>
      <w:r>
        <w:t>of</w:t>
      </w:r>
      <w:r>
        <w:rPr>
          <w:spacing w:val="-3"/>
        </w:rPr>
        <w:t xml:space="preserve"> </w:t>
      </w:r>
      <w:r>
        <w:t>the</w:t>
      </w:r>
      <w:r>
        <w:rPr>
          <w:spacing w:val="-5"/>
        </w:rPr>
        <w:t xml:space="preserve"> </w:t>
      </w:r>
      <w:r>
        <w:t xml:space="preserve">observation. NSCPCC Learning (2023) refers to this as informed assent and in order to achieve informed consent of child participation it is vital to ask that parents provide informed consent. (UCL Ethics, 2019). Walling (2005) suggests asking all parents to consent to their children being involved in the research projects, therefore if Children who do not wish to participate enter the camera shot then ethical considerations are </w:t>
      </w:r>
      <w:r>
        <w:rPr>
          <w:spacing w:val="-2"/>
        </w:rPr>
        <w:t>protected.</w:t>
      </w:r>
    </w:p>
    <w:p w14:paraId="61C75641" w14:textId="77777777" w:rsidR="003D621F" w:rsidRDefault="003D621F">
      <w:pPr>
        <w:pStyle w:val="BodyText"/>
        <w:spacing w:before="1"/>
        <w:ind w:left="0"/>
      </w:pPr>
    </w:p>
    <w:p w14:paraId="61C75642" w14:textId="77777777" w:rsidR="003D621F" w:rsidRDefault="00000000">
      <w:pPr>
        <w:pStyle w:val="Heading1"/>
      </w:pPr>
      <w:r>
        <w:t>Do</w:t>
      </w:r>
      <w:r>
        <w:rPr>
          <w:spacing w:val="-3"/>
        </w:rPr>
        <w:t xml:space="preserve"> </w:t>
      </w:r>
      <w:r>
        <w:t>no</w:t>
      </w:r>
      <w:r>
        <w:rPr>
          <w:spacing w:val="-2"/>
        </w:rPr>
        <w:t xml:space="preserve"> harm.</w:t>
      </w:r>
    </w:p>
    <w:p w14:paraId="61C75643" w14:textId="77777777" w:rsidR="003D621F" w:rsidRDefault="00000000">
      <w:pPr>
        <w:pStyle w:val="BodyText"/>
        <w:ind w:right="114"/>
      </w:pPr>
      <w:r>
        <w:t>Reducing the risk of harm to the participants should be an ethical requirement in research. Johnson et al. (2018) highlight the significance of reducing harm in research on risky play and disclose techniques to ensure the well-being, safety, and comfort of all participants are protected as a priority above all. BERA’s Ethical Guidelines (2018) describe harm as something that can entail any form of distress, discomfort or</w:t>
      </w:r>
      <w:r>
        <w:rPr>
          <w:spacing w:val="-3"/>
        </w:rPr>
        <w:t xml:space="preserve"> </w:t>
      </w:r>
      <w:r>
        <w:t>offense inflicted</w:t>
      </w:r>
      <w:r>
        <w:rPr>
          <w:spacing w:val="-2"/>
        </w:rPr>
        <w:t xml:space="preserve"> </w:t>
      </w:r>
      <w:r>
        <w:t>upon them as</w:t>
      </w:r>
      <w:r>
        <w:rPr>
          <w:spacing w:val="-5"/>
        </w:rPr>
        <w:t xml:space="preserve"> </w:t>
      </w:r>
      <w:r>
        <w:t>a result</w:t>
      </w:r>
      <w:r>
        <w:rPr>
          <w:spacing w:val="-2"/>
        </w:rPr>
        <w:t xml:space="preserve"> </w:t>
      </w:r>
      <w:r>
        <w:t>of the research</w:t>
      </w:r>
      <w:r>
        <w:rPr>
          <w:spacing w:val="-3"/>
        </w:rPr>
        <w:t xml:space="preserve"> </w:t>
      </w:r>
      <w:r>
        <w:t>study,</w:t>
      </w:r>
      <w:r>
        <w:rPr>
          <w:spacing w:val="-1"/>
        </w:rPr>
        <w:t xml:space="preserve"> </w:t>
      </w:r>
      <w:r>
        <w:t>whether it be physical or emotional. They argue that researchers have a responsibility for the well-being of the participants and the duties of the researcher will depend greatly on the well-being of the participant during the process and should be consistently observant</w:t>
      </w:r>
      <w:r>
        <w:rPr>
          <w:spacing w:val="-2"/>
        </w:rPr>
        <w:t xml:space="preserve"> </w:t>
      </w:r>
      <w:r>
        <w:t>of</w:t>
      </w:r>
      <w:r>
        <w:rPr>
          <w:spacing w:val="-2"/>
        </w:rPr>
        <w:t xml:space="preserve"> </w:t>
      </w:r>
      <w:r>
        <w:t>any</w:t>
      </w:r>
      <w:r>
        <w:rPr>
          <w:spacing w:val="-2"/>
        </w:rPr>
        <w:t xml:space="preserve"> </w:t>
      </w:r>
      <w:r>
        <w:t>signs</w:t>
      </w:r>
      <w:r>
        <w:rPr>
          <w:spacing w:val="-5"/>
        </w:rPr>
        <w:t xml:space="preserve"> </w:t>
      </w:r>
      <w:r>
        <w:t>that</w:t>
      </w:r>
      <w:r>
        <w:rPr>
          <w:spacing w:val="-4"/>
        </w:rPr>
        <w:t xml:space="preserve"> </w:t>
      </w:r>
      <w:r>
        <w:t>a</w:t>
      </w:r>
      <w:r>
        <w:rPr>
          <w:spacing w:val="-3"/>
        </w:rPr>
        <w:t xml:space="preserve"> </w:t>
      </w:r>
      <w:r>
        <w:t>participant</w:t>
      </w:r>
      <w:r>
        <w:rPr>
          <w:spacing w:val="-4"/>
        </w:rPr>
        <w:t xml:space="preserve"> </w:t>
      </w:r>
      <w:r>
        <w:t>may</w:t>
      </w:r>
      <w:r>
        <w:rPr>
          <w:spacing w:val="-4"/>
        </w:rPr>
        <w:t xml:space="preserve"> </w:t>
      </w:r>
      <w:r>
        <w:t>be</w:t>
      </w:r>
      <w:r>
        <w:rPr>
          <w:spacing w:val="-2"/>
        </w:rPr>
        <w:t xml:space="preserve"> </w:t>
      </w:r>
      <w:r>
        <w:t>experiencing</w:t>
      </w:r>
      <w:r>
        <w:rPr>
          <w:spacing w:val="-2"/>
        </w:rPr>
        <w:t xml:space="preserve"> </w:t>
      </w:r>
      <w:r>
        <w:t>distress,</w:t>
      </w:r>
      <w:r>
        <w:rPr>
          <w:spacing w:val="-2"/>
        </w:rPr>
        <w:t xml:space="preserve"> </w:t>
      </w:r>
      <w:r>
        <w:t>discomfort,</w:t>
      </w:r>
      <w:r>
        <w:rPr>
          <w:spacing w:val="-4"/>
        </w:rPr>
        <w:t xml:space="preserve"> </w:t>
      </w:r>
      <w:r>
        <w:t xml:space="preserve">or </w:t>
      </w:r>
      <w:r>
        <w:rPr>
          <w:spacing w:val="-2"/>
        </w:rPr>
        <w:t>offense.</w:t>
      </w:r>
    </w:p>
    <w:p w14:paraId="61C75644" w14:textId="77777777" w:rsidR="003D621F" w:rsidRDefault="00000000">
      <w:pPr>
        <w:pStyle w:val="Heading1"/>
      </w:pPr>
      <w:r>
        <w:t>Risk</w:t>
      </w:r>
      <w:r>
        <w:rPr>
          <w:spacing w:val="-1"/>
        </w:rPr>
        <w:t xml:space="preserve"> </w:t>
      </w:r>
      <w:r>
        <w:t>to</w:t>
      </w:r>
      <w:r>
        <w:rPr>
          <w:spacing w:val="-1"/>
        </w:rPr>
        <w:t xml:space="preserve"> </w:t>
      </w:r>
      <w:r>
        <w:rPr>
          <w:spacing w:val="-2"/>
        </w:rPr>
        <w:t>participants.</w:t>
      </w:r>
    </w:p>
    <w:p w14:paraId="61C75645" w14:textId="77777777" w:rsidR="003D621F" w:rsidRDefault="00000000">
      <w:pPr>
        <w:pStyle w:val="BodyText"/>
        <w:spacing w:before="1"/>
        <w:ind w:right="105"/>
      </w:pPr>
      <w:r>
        <w:t>Risky Play can potentially result in causing accidental injuries. (Hinchion McAuliffe and Lynch, 2021).</w:t>
      </w:r>
      <w:proofErr w:type="spellStart"/>
      <w:r>
        <w:t>Tytler</w:t>
      </w:r>
      <w:proofErr w:type="spellEnd"/>
      <w:r>
        <w:t xml:space="preserve"> (2016) and Little (2015)’s previous argument suggests that researchers should perform a risk assessment so they are aware of every risk involved but they share the duty of risk management with the children as the participants.</w:t>
      </w:r>
      <w:r>
        <w:rPr>
          <w:spacing w:val="-2"/>
        </w:rPr>
        <w:t xml:space="preserve"> </w:t>
      </w:r>
      <w:r>
        <w:t>Another</w:t>
      </w:r>
      <w:r>
        <w:rPr>
          <w:spacing w:val="-3"/>
        </w:rPr>
        <w:t xml:space="preserve"> </w:t>
      </w:r>
      <w:r>
        <w:t>risk</w:t>
      </w:r>
      <w:r>
        <w:rPr>
          <w:spacing w:val="-2"/>
        </w:rPr>
        <w:t xml:space="preserve"> </w:t>
      </w:r>
      <w:r>
        <w:t>could</w:t>
      </w:r>
      <w:r>
        <w:rPr>
          <w:spacing w:val="-5"/>
        </w:rPr>
        <w:t xml:space="preserve"> </w:t>
      </w:r>
      <w:r>
        <w:t>be</w:t>
      </w:r>
      <w:r>
        <w:rPr>
          <w:spacing w:val="-5"/>
        </w:rPr>
        <w:t xml:space="preserve"> </w:t>
      </w:r>
      <w:r>
        <w:t>that</w:t>
      </w:r>
      <w:r>
        <w:rPr>
          <w:spacing w:val="-3"/>
        </w:rPr>
        <w:t xml:space="preserve"> </w:t>
      </w:r>
      <w:r>
        <w:t>risky</w:t>
      </w:r>
      <w:r>
        <w:rPr>
          <w:spacing w:val="-3"/>
        </w:rPr>
        <w:t xml:space="preserve"> </w:t>
      </w:r>
      <w:r>
        <w:t>play</w:t>
      </w:r>
      <w:r>
        <w:rPr>
          <w:spacing w:val="-3"/>
        </w:rPr>
        <w:t xml:space="preserve"> </w:t>
      </w:r>
      <w:r>
        <w:t>often</w:t>
      </w:r>
      <w:r>
        <w:rPr>
          <w:spacing w:val="-5"/>
        </w:rPr>
        <w:t xml:space="preserve"> </w:t>
      </w:r>
      <w:r>
        <w:t>entails</w:t>
      </w:r>
      <w:r>
        <w:rPr>
          <w:spacing w:val="-3"/>
        </w:rPr>
        <w:t xml:space="preserve"> </w:t>
      </w:r>
      <w:r>
        <w:t>physical</w:t>
      </w:r>
      <w:r>
        <w:rPr>
          <w:spacing w:val="-4"/>
        </w:rPr>
        <w:t xml:space="preserve"> </w:t>
      </w:r>
      <w:r>
        <w:t>activity which raises the ethic of inclusion and discrimination and bias (NSPCC Learning, 2023).</w:t>
      </w:r>
    </w:p>
    <w:p w14:paraId="61C75646" w14:textId="77777777" w:rsidR="003D621F" w:rsidRDefault="00000000">
      <w:pPr>
        <w:pStyle w:val="BodyText"/>
      </w:pPr>
      <w:r>
        <w:t>The risk can be mitigated by ensuring there a wide-range of opportunities for reasonable risk-taking that are made accessible for all to participate, for example, a workbench, hammers, nails, and saws that are stationary could be implemented as well</w:t>
      </w:r>
      <w:r>
        <w:rPr>
          <w:spacing w:val="-3"/>
        </w:rPr>
        <w:t xml:space="preserve"> </w:t>
      </w:r>
      <w:r>
        <w:t>as</w:t>
      </w:r>
      <w:r>
        <w:rPr>
          <w:spacing w:val="-2"/>
        </w:rPr>
        <w:t xml:space="preserve"> </w:t>
      </w:r>
      <w:r>
        <w:t>other</w:t>
      </w:r>
      <w:r>
        <w:rPr>
          <w:spacing w:val="-2"/>
        </w:rPr>
        <w:t xml:space="preserve"> </w:t>
      </w:r>
      <w:r>
        <w:t>areas</w:t>
      </w:r>
      <w:r>
        <w:rPr>
          <w:spacing w:val="-2"/>
        </w:rPr>
        <w:t xml:space="preserve"> </w:t>
      </w:r>
      <w:r>
        <w:t>of</w:t>
      </w:r>
      <w:r>
        <w:rPr>
          <w:spacing w:val="-4"/>
        </w:rPr>
        <w:t xml:space="preserve"> </w:t>
      </w:r>
      <w:r>
        <w:t>risky</w:t>
      </w:r>
      <w:r>
        <w:rPr>
          <w:spacing w:val="-2"/>
        </w:rPr>
        <w:t xml:space="preserve"> </w:t>
      </w:r>
      <w:r>
        <w:t>play</w:t>
      </w:r>
      <w:r>
        <w:rPr>
          <w:spacing w:val="-2"/>
        </w:rPr>
        <w:t xml:space="preserve"> </w:t>
      </w:r>
      <w:r>
        <w:t>that</w:t>
      </w:r>
      <w:r>
        <w:rPr>
          <w:spacing w:val="-1"/>
        </w:rPr>
        <w:t xml:space="preserve"> </w:t>
      </w:r>
      <w:r>
        <w:t>entail</w:t>
      </w:r>
      <w:r>
        <w:rPr>
          <w:spacing w:val="-5"/>
        </w:rPr>
        <w:t xml:space="preserve"> </w:t>
      </w:r>
      <w:r>
        <w:t>physical</w:t>
      </w:r>
      <w:r>
        <w:rPr>
          <w:spacing w:val="-2"/>
        </w:rPr>
        <w:t xml:space="preserve"> </w:t>
      </w:r>
      <w:r>
        <w:t>body</w:t>
      </w:r>
      <w:r>
        <w:rPr>
          <w:spacing w:val="-4"/>
        </w:rPr>
        <w:t xml:space="preserve"> </w:t>
      </w:r>
      <w:r>
        <w:t>movement.</w:t>
      </w:r>
      <w:r>
        <w:rPr>
          <w:spacing w:val="-3"/>
        </w:rPr>
        <w:t xml:space="preserve"> </w:t>
      </w:r>
      <w:r>
        <w:t>(</w:t>
      </w:r>
      <w:proofErr w:type="spellStart"/>
      <w:r>
        <w:t>Jidovtseff</w:t>
      </w:r>
      <w:proofErr w:type="spellEnd"/>
      <w:r>
        <w:rPr>
          <w:spacing w:val="-4"/>
        </w:rPr>
        <w:t xml:space="preserve"> </w:t>
      </w:r>
      <w:r>
        <w:t>et</w:t>
      </w:r>
      <w:r>
        <w:rPr>
          <w:spacing w:val="-4"/>
        </w:rPr>
        <w:t xml:space="preserve"> </w:t>
      </w:r>
      <w:r>
        <w:t xml:space="preserve">al, </w:t>
      </w:r>
      <w:r>
        <w:rPr>
          <w:spacing w:val="-2"/>
        </w:rPr>
        <w:t>2022).</w:t>
      </w:r>
    </w:p>
    <w:p w14:paraId="61C75647" w14:textId="77777777" w:rsidR="003D621F" w:rsidRDefault="00000000">
      <w:pPr>
        <w:pStyle w:val="Heading1"/>
      </w:pPr>
      <w:r>
        <w:t>Risk</w:t>
      </w:r>
      <w:r>
        <w:rPr>
          <w:spacing w:val="-2"/>
        </w:rPr>
        <w:t xml:space="preserve"> </w:t>
      </w:r>
      <w:r>
        <w:t>to</w:t>
      </w:r>
      <w:r>
        <w:rPr>
          <w:spacing w:val="-2"/>
        </w:rPr>
        <w:t xml:space="preserve"> Parents.</w:t>
      </w:r>
    </w:p>
    <w:p w14:paraId="61C75648" w14:textId="77777777" w:rsidR="003D621F" w:rsidRDefault="00000000">
      <w:pPr>
        <w:pStyle w:val="BodyText"/>
        <w:ind w:right="105"/>
      </w:pPr>
      <w:r>
        <w:t>Button and Wilde (2019) have highlighted a risk that parents may feel uneasy or anxious</w:t>
      </w:r>
      <w:r>
        <w:rPr>
          <w:spacing w:val="-5"/>
        </w:rPr>
        <w:t xml:space="preserve"> </w:t>
      </w:r>
      <w:r>
        <w:t>about</w:t>
      </w:r>
      <w:r>
        <w:rPr>
          <w:spacing w:val="-3"/>
        </w:rPr>
        <w:t xml:space="preserve"> </w:t>
      </w:r>
      <w:r>
        <w:t>consenting</w:t>
      </w:r>
      <w:r>
        <w:rPr>
          <w:spacing w:val="-3"/>
        </w:rPr>
        <w:t xml:space="preserve"> </w:t>
      </w:r>
      <w:r>
        <w:t>for</w:t>
      </w:r>
      <w:r>
        <w:rPr>
          <w:spacing w:val="-3"/>
        </w:rPr>
        <w:t xml:space="preserve"> </w:t>
      </w:r>
      <w:r>
        <w:t>their</w:t>
      </w:r>
      <w:r>
        <w:rPr>
          <w:spacing w:val="-5"/>
        </w:rPr>
        <w:t xml:space="preserve"> </w:t>
      </w:r>
      <w:r>
        <w:t>children</w:t>
      </w:r>
      <w:r>
        <w:rPr>
          <w:spacing w:val="-2"/>
        </w:rPr>
        <w:t xml:space="preserve"> </w:t>
      </w:r>
      <w:r>
        <w:t>to</w:t>
      </w:r>
      <w:r>
        <w:rPr>
          <w:spacing w:val="-3"/>
        </w:rPr>
        <w:t xml:space="preserve"> </w:t>
      </w:r>
      <w:r>
        <w:t>take</w:t>
      </w:r>
      <w:r>
        <w:rPr>
          <w:spacing w:val="-3"/>
        </w:rPr>
        <w:t xml:space="preserve"> </w:t>
      </w:r>
      <w:r>
        <w:t>part</w:t>
      </w:r>
      <w:r>
        <w:rPr>
          <w:spacing w:val="-3"/>
        </w:rPr>
        <w:t xml:space="preserve"> </w:t>
      </w:r>
      <w:r>
        <w:t>in</w:t>
      </w:r>
      <w:r>
        <w:rPr>
          <w:spacing w:val="-3"/>
        </w:rPr>
        <w:t xml:space="preserve"> </w:t>
      </w:r>
      <w:r>
        <w:t>risky</w:t>
      </w:r>
      <w:r>
        <w:rPr>
          <w:spacing w:val="-3"/>
        </w:rPr>
        <w:t xml:space="preserve"> </w:t>
      </w:r>
      <w:r>
        <w:t>play, and</w:t>
      </w:r>
      <w:r>
        <w:rPr>
          <w:spacing w:val="-4"/>
        </w:rPr>
        <w:t xml:space="preserve"> </w:t>
      </w:r>
      <w:r>
        <w:t>may</w:t>
      </w:r>
      <w:r>
        <w:rPr>
          <w:spacing w:val="-4"/>
        </w:rPr>
        <w:t xml:space="preserve"> </w:t>
      </w:r>
      <w:r>
        <w:t>only have a negative view.</w:t>
      </w:r>
    </w:p>
    <w:p w14:paraId="61C75649" w14:textId="77777777" w:rsidR="003D621F" w:rsidRDefault="00000000">
      <w:pPr>
        <w:pStyle w:val="BodyText"/>
        <w:spacing w:before="1"/>
        <w:ind w:right="105"/>
      </w:pPr>
      <w:r>
        <w:t>The</w:t>
      </w:r>
      <w:r>
        <w:rPr>
          <w:spacing w:val="-2"/>
        </w:rPr>
        <w:t xml:space="preserve"> </w:t>
      </w:r>
      <w:r>
        <w:t>risk</w:t>
      </w:r>
      <w:r>
        <w:rPr>
          <w:spacing w:val="-2"/>
        </w:rPr>
        <w:t xml:space="preserve"> </w:t>
      </w:r>
      <w:r>
        <w:t>could</w:t>
      </w:r>
      <w:r>
        <w:rPr>
          <w:spacing w:val="-4"/>
        </w:rPr>
        <w:t xml:space="preserve"> </w:t>
      </w:r>
      <w:r>
        <w:t>be</w:t>
      </w:r>
      <w:r>
        <w:rPr>
          <w:spacing w:val="-4"/>
        </w:rPr>
        <w:t xml:space="preserve"> </w:t>
      </w:r>
      <w:r>
        <w:t>mitigated</w:t>
      </w:r>
      <w:r>
        <w:rPr>
          <w:spacing w:val="-3"/>
        </w:rPr>
        <w:t xml:space="preserve"> </w:t>
      </w:r>
      <w:r>
        <w:t>the</w:t>
      </w:r>
      <w:r>
        <w:rPr>
          <w:spacing w:val="-2"/>
        </w:rPr>
        <w:t xml:space="preserve"> </w:t>
      </w:r>
      <w:r>
        <w:t>risk</w:t>
      </w:r>
      <w:r>
        <w:rPr>
          <w:spacing w:val="-2"/>
        </w:rPr>
        <w:t xml:space="preserve"> </w:t>
      </w:r>
      <w:r>
        <w:t>by</w:t>
      </w:r>
      <w:r>
        <w:rPr>
          <w:spacing w:val="-2"/>
        </w:rPr>
        <w:t xml:space="preserve"> </w:t>
      </w:r>
      <w:r>
        <w:t>fully</w:t>
      </w:r>
      <w:r>
        <w:rPr>
          <w:spacing w:val="-2"/>
        </w:rPr>
        <w:t xml:space="preserve"> </w:t>
      </w:r>
      <w:r>
        <w:t>informing</w:t>
      </w:r>
      <w:r>
        <w:rPr>
          <w:spacing w:val="-3"/>
        </w:rPr>
        <w:t xml:space="preserve"> </w:t>
      </w:r>
      <w:r>
        <w:t>parents</w:t>
      </w:r>
      <w:r>
        <w:rPr>
          <w:spacing w:val="-4"/>
        </w:rPr>
        <w:t xml:space="preserve"> </w:t>
      </w:r>
      <w:r>
        <w:t>of</w:t>
      </w:r>
      <w:r>
        <w:rPr>
          <w:spacing w:val="-2"/>
        </w:rPr>
        <w:t xml:space="preserve"> </w:t>
      </w:r>
      <w:r>
        <w:t>why,</w:t>
      </w:r>
      <w:r>
        <w:rPr>
          <w:spacing w:val="-4"/>
        </w:rPr>
        <w:t xml:space="preserve"> </w:t>
      </w:r>
      <w:r>
        <w:t>reassurance, and sharing some literature on the benefits of risky play on the consent form.</w:t>
      </w:r>
    </w:p>
    <w:p w14:paraId="61C7564A" w14:textId="77777777" w:rsidR="003D621F" w:rsidRDefault="00000000">
      <w:pPr>
        <w:pStyle w:val="Heading1"/>
      </w:pPr>
      <w:r>
        <w:t>Risks to</w:t>
      </w:r>
      <w:r>
        <w:rPr>
          <w:spacing w:val="-2"/>
        </w:rPr>
        <w:t xml:space="preserve"> </w:t>
      </w:r>
      <w:r>
        <w:t>the</w:t>
      </w:r>
      <w:r>
        <w:rPr>
          <w:spacing w:val="-3"/>
        </w:rPr>
        <w:t xml:space="preserve"> </w:t>
      </w:r>
      <w:r>
        <w:rPr>
          <w:spacing w:val="-2"/>
        </w:rPr>
        <w:t>investigator.</w:t>
      </w:r>
    </w:p>
    <w:p w14:paraId="61C7564B" w14:textId="77777777" w:rsidR="003D621F" w:rsidRDefault="00000000">
      <w:pPr>
        <w:pStyle w:val="BodyText"/>
      </w:pPr>
      <w:r>
        <w:t>Personal</w:t>
      </w:r>
      <w:r>
        <w:rPr>
          <w:spacing w:val="-4"/>
        </w:rPr>
        <w:t xml:space="preserve"> </w:t>
      </w:r>
      <w:r>
        <w:t>health</w:t>
      </w:r>
      <w:r>
        <w:rPr>
          <w:spacing w:val="-4"/>
        </w:rPr>
        <w:t xml:space="preserve"> </w:t>
      </w:r>
      <w:r>
        <w:t>and</w:t>
      </w:r>
      <w:r>
        <w:rPr>
          <w:spacing w:val="-4"/>
        </w:rPr>
        <w:t xml:space="preserve"> </w:t>
      </w:r>
      <w:r>
        <w:t>safety –</w:t>
      </w:r>
      <w:r>
        <w:rPr>
          <w:spacing w:val="-3"/>
        </w:rPr>
        <w:t xml:space="preserve"> </w:t>
      </w:r>
      <w:r>
        <w:t>a</w:t>
      </w:r>
      <w:r>
        <w:rPr>
          <w:spacing w:val="-1"/>
        </w:rPr>
        <w:t xml:space="preserve"> </w:t>
      </w:r>
      <w:r>
        <w:t>child</w:t>
      </w:r>
      <w:r>
        <w:rPr>
          <w:spacing w:val="-2"/>
        </w:rPr>
        <w:t xml:space="preserve"> </w:t>
      </w:r>
      <w:r>
        <w:t>injuring</w:t>
      </w:r>
      <w:r>
        <w:rPr>
          <w:spacing w:val="-5"/>
        </w:rPr>
        <w:t xml:space="preserve"> </w:t>
      </w:r>
      <w:r>
        <w:t>the</w:t>
      </w:r>
      <w:r>
        <w:rPr>
          <w:spacing w:val="-2"/>
        </w:rPr>
        <w:t xml:space="preserve"> </w:t>
      </w:r>
      <w:r>
        <w:t>investigator</w:t>
      </w:r>
      <w:r>
        <w:rPr>
          <w:spacing w:val="-5"/>
        </w:rPr>
        <w:t xml:space="preserve"> </w:t>
      </w:r>
      <w:r>
        <w:t>through</w:t>
      </w:r>
      <w:r>
        <w:rPr>
          <w:spacing w:val="-2"/>
        </w:rPr>
        <w:t xml:space="preserve"> </w:t>
      </w:r>
      <w:r>
        <w:t>risky</w:t>
      </w:r>
      <w:r>
        <w:rPr>
          <w:spacing w:val="-3"/>
        </w:rPr>
        <w:t xml:space="preserve"> </w:t>
      </w:r>
      <w:r>
        <w:rPr>
          <w:spacing w:val="-2"/>
        </w:rPr>
        <w:t>play.</w:t>
      </w:r>
    </w:p>
    <w:p w14:paraId="61C7564C" w14:textId="77777777" w:rsidR="003D621F" w:rsidRDefault="00000000">
      <w:pPr>
        <w:pStyle w:val="BodyText"/>
        <w:ind w:right="105"/>
      </w:pPr>
      <w:r>
        <w:t>The</w:t>
      </w:r>
      <w:r>
        <w:rPr>
          <w:spacing w:val="-2"/>
        </w:rPr>
        <w:t xml:space="preserve"> </w:t>
      </w:r>
      <w:r>
        <w:t>risk</w:t>
      </w:r>
      <w:r>
        <w:rPr>
          <w:spacing w:val="-2"/>
        </w:rPr>
        <w:t xml:space="preserve"> </w:t>
      </w:r>
      <w:r>
        <w:t>will</w:t>
      </w:r>
      <w:r>
        <w:rPr>
          <w:spacing w:val="-3"/>
        </w:rPr>
        <w:t xml:space="preserve"> </w:t>
      </w:r>
      <w:r>
        <w:t>be</w:t>
      </w:r>
      <w:r>
        <w:rPr>
          <w:spacing w:val="-4"/>
        </w:rPr>
        <w:t xml:space="preserve"> </w:t>
      </w:r>
      <w:r>
        <w:t>mitigated</w:t>
      </w:r>
      <w:r>
        <w:rPr>
          <w:spacing w:val="-2"/>
        </w:rPr>
        <w:t xml:space="preserve"> </w:t>
      </w:r>
      <w:r>
        <w:t>by</w:t>
      </w:r>
      <w:r>
        <w:rPr>
          <w:spacing w:val="-4"/>
        </w:rPr>
        <w:t xml:space="preserve"> </w:t>
      </w:r>
      <w:r>
        <w:t>conducting</w:t>
      </w:r>
      <w:r>
        <w:rPr>
          <w:spacing w:val="-2"/>
        </w:rPr>
        <w:t xml:space="preserve"> </w:t>
      </w:r>
      <w:r>
        <w:t>a</w:t>
      </w:r>
      <w:r>
        <w:rPr>
          <w:spacing w:val="-3"/>
        </w:rPr>
        <w:t xml:space="preserve"> </w:t>
      </w:r>
      <w:r>
        <w:t>risk</w:t>
      </w:r>
      <w:r>
        <w:rPr>
          <w:spacing w:val="-2"/>
        </w:rPr>
        <w:t xml:space="preserve"> </w:t>
      </w:r>
      <w:r>
        <w:t>assessment and</w:t>
      </w:r>
      <w:r>
        <w:rPr>
          <w:spacing w:val="-3"/>
        </w:rPr>
        <w:t xml:space="preserve"> </w:t>
      </w:r>
      <w:r>
        <w:t>observing</w:t>
      </w:r>
      <w:r>
        <w:rPr>
          <w:spacing w:val="-1"/>
        </w:rPr>
        <w:t xml:space="preserve"> </w:t>
      </w:r>
      <w:r>
        <w:t>from</w:t>
      </w:r>
      <w:r>
        <w:rPr>
          <w:spacing w:val="-3"/>
        </w:rPr>
        <w:t xml:space="preserve"> </w:t>
      </w:r>
      <w:r>
        <w:t xml:space="preserve">afar, and intervening only if the child is at risk of injury (Health and Safety Executive, </w:t>
      </w:r>
      <w:r>
        <w:rPr>
          <w:spacing w:val="-2"/>
        </w:rPr>
        <w:t>2012).</w:t>
      </w:r>
    </w:p>
    <w:p w14:paraId="61C7564D" w14:textId="77777777" w:rsidR="003D621F" w:rsidRDefault="00000000">
      <w:pPr>
        <w:pStyle w:val="BodyText"/>
      </w:pPr>
      <w:r>
        <w:t>Being</w:t>
      </w:r>
      <w:r>
        <w:rPr>
          <w:spacing w:val="-5"/>
        </w:rPr>
        <w:t xml:space="preserve"> </w:t>
      </w:r>
      <w:r>
        <w:t>left</w:t>
      </w:r>
      <w:r>
        <w:rPr>
          <w:spacing w:val="-4"/>
        </w:rPr>
        <w:t xml:space="preserve"> </w:t>
      </w:r>
      <w:r>
        <w:t>alone</w:t>
      </w:r>
      <w:r>
        <w:rPr>
          <w:spacing w:val="-2"/>
        </w:rPr>
        <w:t xml:space="preserve"> </w:t>
      </w:r>
      <w:r>
        <w:t>with</w:t>
      </w:r>
      <w:r>
        <w:rPr>
          <w:spacing w:val="-2"/>
        </w:rPr>
        <w:t xml:space="preserve"> </w:t>
      </w:r>
      <w:r>
        <w:t>the</w:t>
      </w:r>
      <w:r>
        <w:rPr>
          <w:spacing w:val="-2"/>
        </w:rPr>
        <w:t xml:space="preserve"> </w:t>
      </w:r>
      <w:r>
        <w:t>children, a</w:t>
      </w:r>
      <w:r>
        <w:rPr>
          <w:spacing w:val="-1"/>
        </w:rPr>
        <w:t xml:space="preserve"> </w:t>
      </w:r>
      <w:r>
        <w:t>risk</w:t>
      </w:r>
      <w:r>
        <w:rPr>
          <w:spacing w:val="-2"/>
        </w:rPr>
        <w:t xml:space="preserve"> </w:t>
      </w:r>
      <w:r>
        <w:t>of</w:t>
      </w:r>
      <w:r>
        <w:rPr>
          <w:spacing w:val="-2"/>
        </w:rPr>
        <w:t xml:space="preserve"> </w:t>
      </w:r>
      <w:r>
        <w:t>accusation</w:t>
      </w:r>
      <w:r>
        <w:rPr>
          <w:spacing w:val="-2"/>
        </w:rPr>
        <w:t xml:space="preserve"> </w:t>
      </w:r>
      <w:r>
        <w:t>of</w:t>
      </w:r>
      <w:r>
        <w:rPr>
          <w:spacing w:val="-4"/>
        </w:rPr>
        <w:t xml:space="preserve"> </w:t>
      </w:r>
      <w:r>
        <w:rPr>
          <w:spacing w:val="-2"/>
        </w:rPr>
        <w:t>harm.</w:t>
      </w:r>
    </w:p>
    <w:p w14:paraId="61C7564E" w14:textId="77777777" w:rsidR="003D621F" w:rsidRDefault="003D621F">
      <w:pPr>
        <w:sectPr w:rsidR="003D621F">
          <w:pgSz w:w="11910" w:h="16840"/>
          <w:pgMar w:top="1340" w:right="1340" w:bottom="280" w:left="1340" w:header="720" w:footer="720" w:gutter="0"/>
          <w:cols w:space="720"/>
        </w:sectPr>
      </w:pPr>
    </w:p>
    <w:p w14:paraId="61C7564F" w14:textId="77777777" w:rsidR="003D621F" w:rsidRDefault="00000000">
      <w:pPr>
        <w:pStyle w:val="BodyText"/>
        <w:spacing w:before="82"/>
      </w:pPr>
      <w:r>
        <w:lastRenderedPageBreak/>
        <w:t>The risk will be mitigated by always ensuring the correct adult-to-child ratios are implemented</w:t>
      </w:r>
      <w:r>
        <w:rPr>
          <w:spacing w:val="-3"/>
        </w:rPr>
        <w:t xml:space="preserve"> </w:t>
      </w:r>
      <w:r>
        <w:t>and</w:t>
      </w:r>
      <w:r>
        <w:rPr>
          <w:spacing w:val="-2"/>
        </w:rPr>
        <w:t xml:space="preserve"> </w:t>
      </w:r>
      <w:r>
        <w:t>always</w:t>
      </w:r>
      <w:r>
        <w:rPr>
          <w:spacing w:val="-2"/>
        </w:rPr>
        <w:t xml:space="preserve"> </w:t>
      </w:r>
      <w:r>
        <w:t>having</w:t>
      </w:r>
      <w:r>
        <w:rPr>
          <w:spacing w:val="-2"/>
        </w:rPr>
        <w:t xml:space="preserve"> </w:t>
      </w:r>
      <w:r>
        <w:t>a</w:t>
      </w:r>
      <w:r>
        <w:rPr>
          <w:spacing w:val="-5"/>
        </w:rPr>
        <w:t xml:space="preserve"> </w:t>
      </w:r>
      <w:r>
        <w:t>member</w:t>
      </w:r>
      <w:r>
        <w:rPr>
          <w:spacing w:val="-3"/>
        </w:rPr>
        <w:t xml:space="preserve"> </w:t>
      </w:r>
      <w:r>
        <w:t>of</w:t>
      </w:r>
      <w:r>
        <w:rPr>
          <w:spacing w:val="-3"/>
        </w:rPr>
        <w:t xml:space="preserve"> </w:t>
      </w:r>
      <w:r>
        <w:t>staff</w:t>
      </w:r>
      <w:r>
        <w:rPr>
          <w:spacing w:val="-5"/>
        </w:rPr>
        <w:t xml:space="preserve"> </w:t>
      </w:r>
      <w:r>
        <w:t>accompanying</w:t>
      </w:r>
      <w:r>
        <w:rPr>
          <w:spacing w:val="-2"/>
        </w:rPr>
        <w:t xml:space="preserve"> </w:t>
      </w:r>
      <w:r>
        <w:t>the</w:t>
      </w:r>
      <w:r>
        <w:rPr>
          <w:spacing w:val="-3"/>
        </w:rPr>
        <w:t xml:space="preserve"> </w:t>
      </w:r>
      <w:r>
        <w:t>researcher. Researchers</w:t>
      </w:r>
      <w:r>
        <w:rPr>
          <w:spacing w:val="-2"/>
        </w:rPr>
        <w:t xml:space="preserve"> </w:t>
      </w:r>
      <w:r>
        <w:t>are obligated</w:t>
      </w:r>
      <w:r>
        <w:rPr>
          <w:spacing w:val="-1"/>
        </w:rPr>
        <w:t xml:space="preserve"> </w:t>
      </w:r>
      <w:r>
        <w:t>to undertake a DBS check prior to entering the setting (Cooper, 2020).</w:t>
      </w:r>
    </w:p>
    <w:p w14:paraId="61C75650" w14:textId="77777777" w:rsidR="003D621F" w:rsidRDefault="00000000">
      <w:pPr>
        <w:pStyle w:val="Heading1"/>
      </w:pPr>
      <w:r>
        <w:t>Risks</w:t>
      </w:r>
      <w:r>
        <w:rPr>
          <w:spacing w:val="-2"/>
        </w:rPr>
        <w:t xml:space="preserve"> </w:t>
      </w:r>
      <w:r>
        <w:t>to</w:t>
      </w:r>
      <w:r>
        <w:rPr>
          <w:spacing w:val="-2"/>
        </w:rPr>
        <w:t xml:space="preserve"> </w:t>
      </w:r>
      <w:r>
        <w:t>the</w:t>
      </w:r>
      <w:r>
        <w:rPr>
          <w:spacing w:val="1"/>
        </w:rPr>
        <w:t xml:space="preserve"> </w:t>
      </w:r>
      <w:r>
        <w:rPr>
          <w:spacing w:val="-2"/>
        </w:rPr>
        <w:t>University.</w:t>
      </w:r>
    </w:p>
    <w:p w14:paraId="61C75651" w14:textId="77777777" w:rsidR="003D621F" w:rsidRDefault="00000000">
      <w:pPr>
        <w:pStyle w:val="BodyText"/>
      </w:pPr>
      <w:r>
        <w:t>Professional conduct – if any researcher representing the university conducts themselves</w:t>
      </w:r>
      <w:r>
        <w:rPr>
          <w:spacing w:val="-4"/>
        </w:rPr>
        <w:t xml:space="preserve"> </w:t>
      </w:r>
      <w:r>
        <w:t>poorly,</w:t>
      </w:r>
      <w:r>
        <w:rPr>
          <w:spacing w:val="-1"/>
        </w:rPr>
        <w:t xml:space="preserve"> </w:t>
      </w:r>
      <w:r>
        <w:t>for</w:t>
      </w:r>
      <w:r>
        <w:rPr>
          <w:spacing w:val="-5"/>
        </w:rPr>
        <w:t xml:space="preserve"> </w:t>
      </w:r>
      <w:r>
        <w:t>example,</w:t>
      </w:r>
      <w:r>
        <w:rPr>
          <w:spacing w:val="-4"/>
        </w:rPr>
        <w:t xml:space="preserve"> </w:t>
      </w:r>
      <w:r>
        <w:t>poor</w:t>
      </w:r>
      <w:r>
        <w:rPr>
          <w:spacing w:val="-2"/>
        </w:rPr>
        <w:t xml:space="preserve"> </w:t>
      </w:r>
      <w:r>
        <w:t>storing</w:t>
      </w:r>
      <w:r>
        <w:rPr>
          <w:spacing w:val="-6"/>
        </w:rPr>
        <w:t xml:space="preserve"> </w:t>
      </w:r>
      <w:r>
        <w:t>and</w:t>
      </w:r>
      <w:r>
        <w:rPr>
          <w:spacing w:val="-2"/>
        </w:rPr>
        <w:t xml:space="preserve"> </w:t>
      </w:r>
      <w:r>
        <w:t>collecting</w:t>
      </w:r>
      <w:r>
        <w:rPr>
          <w:spacing w:val="-4"/>
        </w:rPr>
        <w:t xml:space="preserve"> </w:t>
      </w:r>
      <w:r>
        <w:t>of</w:t>
      </w:r>
      <w:r>
        <w:rPr>
          <w:spacing w:val="-4"/>
        </w:rPr>
        <w:t xml:space="preserve"> </w:t>
      </w:r>
      <w:r>
        <w:t>data or</w:t>
      </w:r>
      <w:r>
        <w:rPr>
          <w:spacing w:val="-2"/>
        </w:rPr>
        <w:t xml:space="preserve"> </w:t>
      </w:r>
      <w:r>
        <w:t>breaches</w:t>
      </w:r>
      <w:r>
        <w:rPr>
          <w:spacing w:val="-2"/>
        </w:rPr>
        <w:t xml:space="preserve"> </w:t>
      </w:r>
      <w:r>
        <w:t xml:space="preserve">in </w:t>
      </w:r>
      <w:r>
        <w:rPr>
          <w:spacing w:val="-2"/>
        </w:rPr>
        <w:t>confidentiality.</w:t>
      </w:r>
    </w:p>
    <w:p w14:paraId="61C75652" w14:textId="77777777" w:rsidR="003D621F" w:rsidRDefault="00000000">
      <w:pPr>
        <w:pStyle w:val="BodyText"/>
      </w:pPr>
      <w:r>
        <w:t>The</w:t>
      </w:r>
      <w:r>
        <w:rPr>
          <w:spacing w:val="-4"/>
        </w:rPr>
        <w:t xml:space="preserve"> </w:t>
      </w:r>
      <w:r>
        <w:t>risks</w:t>
      </w:r>
      <w:r>
        <w:rPr>
          <w:spacing w:val="-4"/>
        </w:rPr>
        <w:t xml:space="preserve"> </w:t>
      </w:r>
      <w:r>
        <w:t>will</w:t>
      </w:r>
      <w:r>
        <w:rPr>
          <w:spacing w:val="-5"/>
        </w:rPr>
        <w:t xml:space="preserve"> </w:t>
      </w:r>
      <w:r>
        <w:t>be</w:t>
      </w:r>
      <w:r>
        <w:rPr>
          <w:spacing w:val="-5"/>
        </w:rPr>
        <w:t xml:space="preserve"> </w:t>
      </w:r>
      <w:r>
        <w:t>mitigated</w:t>
      </w:r>
      <w:r>
        <w:rPr>
          <w:spacing w:val="-4"/>
        </w:rPr>
        <w:t xml:space="preserve"> </w:t>
      </w:r>
      <w:r>
        <w:t>by</w:t>
      </w:r>
      <w:r>
        <w:rPr>
          <w:spacing w:val="-4"/>
        </w:rPr>
        <w:t xml:space="preserve"> </w:t>
      </w:r>
      <w:r>
        <w:t>providing</w:t>
      </w:r>
      <w:r>
        <w:rPr>
          <w:spacing w:val="-4"/>
        </w:rPr>
        <w:t xml:space="preserve"> </w:t>
      </w:r>
      <w:r>
        <w:t>the</w:t>
      </w:r>
      <w:r>
        <w:rPr>
          <w:spacing w:val="-4"/>
        </w:rPr>
        <w:t xml:space="preserve"> </w:t>
      </w:r>
      <w:r>
        <w:t>students/researchers</w:t>
      </w:r>
      <w:r>
        <w:rPr>
          <w:spacing w:val="-4"/>
        </w:rPr>
        <w:t xml:space="preserve"> </w:t>
      </w:r>
      <w:r>
        <w:t>with</w:t>
      </w:r>
      <w:r>
        <w:rPr>
          <w:spacing w:val="-4"/>
        </w:rPr>
        <w:t xml:space="preserve"> </w:t>
      </w:r>
      <w:r>
        <w:t>the</w:t>
      </w:r>
      <w:r>
        <w:rPr>
          <w:spacing w:val="-4"/>
        </w:rPr>
        <w:t xml:space="preserve"> </w:t>
      </w:r>
      <w:r>
        <w:t>knowledge they need to carry out an effective research project and adhering to the university’s code of practice. (UWTSD Research Ethics, no date).</w:t>
      </w:r>
    </w:p>
    <w:p w14:paraId="61C75653" w14:textId="77777777" w:rsidR="003D621F" w:rsidRDefault="00000000">
      <w:pPr>
        <w:pStyle w:val="Heading1"/>
      </w:pPr>
      <w:r>
        <w:t>Risk</w:t>
      </w:r>
      <w:r>
        <w:rPr>
          <w:spacing w:val="-2"/>
        </w:rPr>
        <w:t xml:space="preserve"> </w:t>
      </w:r>
      <w:r>
        <w:t>of</w:t>
      </w:r>
      <w:r>
        <w:rPr>
          <w:spacing w:val="-2"/>
        </w:rPr>
        <w:t xml:space="preserve"> </w:t>
      </w:r>
      <w:r>
        <w:t>concerns</w:t>
      </w:r>
      <w:r>
        <w:rPr>
          <w:spacing w:val="-1"/>
        </w:rPr>
        <w:t xml:space="preserve"> </w:t>
      </w:r>
      <w:r>
        <w:t>raised</w:t>
      </w:r>
      <w:r>
        <w:rPr>
          <w:spacing w:val="-2"/>
        </w:rPr>
        <w:t xml:space="preserve"> </w:t>
      </w:r>
      <w:r>
        <w:t>of</w:t>
      </w:r>
      <w:r>
        <w:rPr>
          <w:spacing w:val="-1"/>
        </w:rPr>
        <w:t xml:space="preserve"> </w:t>
      </w:r>
      <w:r>
        <w:t>a</w:t>
      </w:r>
      <w:r>
        <w:rPr>
          <w:spacing w:val="-2"/>
        </w:rPr>
        <w:t xml:space="preserve"> </w:t>
      </w:r>
      <w:r>
        <w:t>Child</w:t>
      </w:r>
      <w:r>
        <w:rPr>
          <w:spacing w:val="-2"/>
        </w:rPr>
        <w:t xml:space="preserve"> </w:t>
      </w:r>
      <w:r>
        <w:t>being</w:t>
      </w:r>
      <w:r>
        <w:rPr>
          <w:spacing w:val="-1"/>
        </w:rPr>
        <w:t xml:space="preserve"> </w:t>
      </w:r>
      <w:r>
        <w:rPr>
          <w:spacing w:val="-2"/>
        </w:rPr>
        <w:t>abused.</w:t>
      </w:r>
    </w:p>
    <w:p w14:paraId="61C75654" w14:textId="77777777" w:rsidR="003D621F" w:rsidRDefault="00000000">
      <w:pPr>
        <w:pStyle w:val="BodyText"/>
        <w:ind w:right="105"/>
      </w:pPr>
      <w:r>
        <w:t>Ethical Research involving Children (no date) have highlighted the potential circumstance</w:t>
      </w:r>
      <w:r>
        <w:rPr>
          <w:spacing w:val="-2"/>
        </w:rPr>
        <w:t xml:space="preserve"> </w:t>
      </w:r>
      <w:r>
        <w:t>that</w:t>
      </w:r>
      <w:r>
        <w:rPr>
          <w:spacing w:val="-4"/>
        </w:rPr>
        <w:t xml:space="preserve"> </w:t>
      </w:r>
      <w:r>
        <w:t>may</w:t>
      </w:r>
      <w:r>
        <w:rPr>
          <w:spacing w:val="-5"/>
        </w:rPr>
        <w:t xml:space="preserve"> </w:t>
      </w:r>
      <w:r>
        <w:t>occur</w:t>
      </w:r>
      <w:r>
        <w:rPr>
          <w:spacing w:val="-1"/>
        </w:rPr>
        <w:t xml:space="preserve"> </w:t>
      </w:r>
      <w:r>
        <w:t>during</w:t>
      </w:r>
      <w:r>
        <w:rPr>
          <w:spacing w:val="-2"/>
        </w:rPr>
        <w:t xml:space="preserve"> </w:t>
      </w:r>
      <w:r>
        <w:t>the</w:t>
      </w:r>
      <w:r>
        <w:rPr>
          <w:spacing w:val="-4"/>
        </w:rPr>
        <w:t xml:space="preserve"> </w:t>
      </w:r>
      <w:r>
        <w:t>observation</w:t>
      </w:r>
      <w:r>
        <w:rPr>
          <w:spacing w:val="-4"/>
        </w:rPr>
        <w:t xml:space="preserve"> </w:t>
      </w:r>
      <w:r>
        <w:t>that a</w:t>
      </w:r>
      <w:r>
        <w:rPr>
          <w:spacing w:val="-2"/>
        </w:rPr>
        <w:t xml:space="preserve"> </w:t>
      </w:r>
      <w:r>
        <w:t>child</w:t>
      </w:r>
      <w:r>
        <w:rPr>
          <w:spacing w:val="-4"/>
        </w:rPr>
        <w:t xml:space="preserve"> </w:t>
      </w:r>
      <w:r>
        <w:t>may</w:t>
      </w:r>
      <w:r>
        <w:rPr>
          <w:spacing w:val="-3"/>
        </w:rPr>
        <w:t xml:space="preserve"> </w:t>
      </w:r>
      <w:r>
        <w:t>disclose</w:t>
      </w:r>
      <w:r>
        <w:rPr>
          <w:spacing w:val="-2"/>
        </w:rPr>
        <w:t xml:space="preserve"> </w:t>
      </w:r>
      <w:r>
        <w:t>to</w:t>
      </w:r>
      <w:r>
        <w:rPr>
          <w:spacing w:val="-2"/>
        </w:rPr>
        <w:t xml:space="preserve"> </w:t>
      </w:r>
      <w:r>
        <w:t>the researcher that</w:t>
      </w:r>
      <w:r>
        <w:rPr>
          <w:spacing w:val="-1"/>
        </w:rPr>
        <w:t xml:space="preserve"> </w:t>
      </w:r>
      <w:r>
        <w:t>they have been</w:t>
      </w:r>
      <w:r>
        <w:rPr>
          <w:spacing w:val="-1"/>
        </w:rPr>
        <w:t xml:space="preserve"> </w:t>
      </w:r>
      <w:r>
        <w:t>or are</w:t>
      </w:r>
      <w:r>
        <w:rPr>
          <w:spacing w:val="-1"/>
        </w:rPr>
        <w:t xml:space="preserve"> </w:t>
      </w:r>
      <w:r>
        <w:t>at risk</w:t>
      </w:r>
      <w:r>
        <w:rPr>
          <w:spacing w:val="-1"/>
        </w:rPr>
        <w:t xml:space="preserve"> </w:t>
      </w:r>
      <w:r>
        <w:t>of being abused</w:t>
      </w:r>
      <w:r>
        <w:rPr>
          <w:spacing w:val="-1"/>
        </w:rPr>
        <w:t xml:space="preserve"> </w:t>
      </w:r>
      <w:r>
        <w:t>or neglected in some manner. NSPCC Learning (2023) have advised that in the event that this is raised that</w:t>
      </w:r>
      <w:r>
        <w:rPr>
          <w:spacing w:val="-1"/>
        </w:rPr>
        <w:t xml:space="preserve"> </w:t>
      </w:r>
      <w:r>
        <w:t>the</w:t>
      </w:r>
      <w:r>
        <w:rPr>
          <w:spacing w:val="-1"/>
        </w:rPr>
        <w:t xml:space="preserve"> </w:t>
      </w:r>
      <w:r>
        <w:t>observation is</w:t>
      </w:r>
      <w:r>
        <w:rPr>
          <w:spacing w:val="-1"/>
        </w:rPr>
        <w:t xml:space="preserve"> </w:t>
      </w:r>
      <w:r>
        <w:t>to be halted</w:t>
      </w:r>
      <w:r>
        <w:rPr>
          <w:spacing w:val="-1"/>
        </w:rPr>
        <w:t xml:space="preserve"> </w:t>
      </w:r>
      <w:r>
        <w:t>immediately and</w:t>
      </w:r>
      <w:r>
        <w:rPr>
          <w:spacing w:val="-1"/>
        </w:rPr>
        <w:t xml:space="preserve"> </w:t>
      </w:r>
      <w:r>
        <w:t>to adhere to the setting’s Child protection procedures and report to the relevant authority.</w:t>
      </w:r>
    </w:p>
    <w:p w14:paraId="61C75655" w14:textId="77777777" w:rsidR="003D621F" w:rsidRDefault="00000000">
      <w:pPr>
        <w:pStyle w:val="BodyText"/>
        <w:spacing w:before="1"/>
        <w:ind w:right="153"/>
      </w:pPr>
      <w:r>
        <w:t>The</w:t>
      </w:r>
      <w:r>
        <w:rPr>
          <w:spacing w:val="-3"/>
        </w:rPr>
        <w:t xml:space="preserve"> </w:t>
      </w:r>
      <w:r>
        <w:t>General</w:t>
      </w:r>
      <w:r>
        <w:rPr>
          <w:spacing w:val="-3"/>
        </w:rPr>
        <w:t xml:space="preserve"> </w:t>
      </w:r>
      <w:r>
        <w:t>Data</w:t>
      </w:r>
      <w:r>
        <w:rPr>
          <w:spacing w:val="-4"/>
        </w:rPr>
        <w:t xml:space="preserve"> </w:t>
      </w:r>
      <w:r>
        <w:t>Protection</w:t>
      </w:r>
      <w:r>
        <w:rPr>
          <w:spacing w:val="-3"/>
        </w:rPr>
        <w:t xml:space="preserve"> </w:t>
      </w:r>
      <w:r>
        <w:t>Regulation</w:t>
      </w:r>
      <w:r>
        <w:rPr>
          <w:spacing w:val="-3"/>
        </w:rPr>
        <w:t xml:space="preserve"> </w:t>
      </w:r>
      <w:r>
        <w:t>(GDPR)</w:t>
      </w:r>
      <w:r>
        <w:rPr>
          <w:spacing w:val="-5"/>
        </w:rPr>
        <w:t xml:space="preserve"> </w:t>
      </w:r>
      <w:r>
        <w:t>and</w:t>
      </w:r>
      <w:r>
        <w:rPr>
          <w:spacing w:val="-3"/>
        </w:rPr>
        <w:t xml:space="preserve"> </w:t>
      </w:r>
      <w:r>
        <w:t>confidentiality</w:t>
      </w:r>
      <w:r>
        <w:rPr>
          <w:spacing w:val="-3"/>
        </w:rPr>
        <w:t xml:space="preserve"> </w:t>
      </w:r>
      <w:r>
        <w:t>legislation</w:t>
      </w:r>
      <w:r>
        <w:rPr>
          <w:spacing w:val="-5"/>
        </w:rPr>
        <w:t xml:space="preserve"> </w:t>
      </w:r>
      <w:r>
        <w:t>in</w:t>
      </w:r>
      <w:r>
        <w:rPr>
          <w:spacing w:val="-3"/>
        </w:rPr>
        <w:t xml:space="preserve"> </w:t>
      </w:r>
      <w:r>
        <w:t>the United kingdom are the primary sources to be adhered to ensure that participants’ privacy</w:t>
      </w:r>
      <w:r>
        <w:rPr>
          <w:spacing w:val="-3"/>
        </w:rPr>
        <w:t xml:space="preserve"> </w:t>
      </w:r>
      <w:r>
        <w:t>and</w:t>
      </w:r>
      <w:r>
        <w:rPr>
          <w:spacing w:val="-3"/>
        </w:rPr>
        <w:t xml:space="preserve"> </w:t>
      </w:r>
      <w:r>
        <w:t>that</w:t>
      </w:r>
      <w:r>
        <w:rPr>
          <w:spacing w:val="-5"/>
        </w:rPr>
        <w:t xml:space="preserve"> </w:t>
      </w:r>
      <w:r>
        <w:t>data collection,</w:t>
      </w:r>
      <w:r>
        <w:rPr>
          <w:spacing w:val="-4"/>
        </w:rPr>
        <w:t xml:space="preserve"> </w:t>
      </w:r>
      <w:r>
        <w:t>handling,</w:t>
      </w:r>
      <w:r>
        <w:rPr>
          <w:spacing w:val="-3"/>
        </w:rPr>
        <w:t xml:space="preserve"> </w:t>
      </w:r>
      <w:r>
        <w:t>storage</w:t>
      </w:r>
      <w:r>
        <w:rPr>
          <w:spacing w:val="-5"/>
        </w:rPr>
        <w:t xml:space="preserve"> </w:t>
      </w:r>
      <w:r>
        <w:t>and</w:t>
      </w:r>
      <w:r>
        <w:rPr>
          <w:spacing w:val="-5"/>
        </w:rPr>
        <w:t xml:space="preserve"> </w:t>
      </w:r>
      <w:r>
        <w:t>sharing</w:t>
      </w:r>
      <w:r>
        <w:rPr>
          <w:spacing w:val="-1"/>
        </w:rPr>
        <w:t xml:space="preserve"> </w:t>
      </w:r>
      <w:r>
        <w:t>practices</w:t>
      </w:r>
      <w:r>
        <w:rPr>
          <w:spacing w:val="-3"/>
        </w:rPr>
        <w:t xml:space="preserve"> </w:t>
      </w:r>
      <w:r>
        <w:t>are</w:t>
      </w:r>
      <w:r>
        <w:rPr>
          <w:spacing w:val="-4"/>
        </w:rPr>
        <w:t xml:space="preserve"> </w:t>
      </w:r>
      <w:r>
        <w:t>ethically sound. The GDPR which is a branch of the Data Protection Act 2018, provides leading guidance on how to protect the rights of the Children and the Practitioners regarding</w:t>
      </w:r>
      <w:r>
        <w:rPr>
          <w:spacing w:val="-2"/>
        </w:rPr>
        <w:t xml:space="preserve"> </w:t>
      </w:r>
      <w:r>
        <w:t>their</w:t>
      </w:r>
      <w:r>
        <w:rPr>
          <w:spacing w:val="-2"/>
        </w:rPr>
        <w:t xml:space="preserve"> </w:t>
      </w:r>
      <w:r>
        <w:t>personal</w:t>
      </w:r>
      <w:r>
        <w:rPr>
          <w:spacing w:val="-1"/>
        </w:rPr>
        <w:t xml:space="preserve"> </w:t>
      </w:r>
      <w:r>
        <w:t>data.</w:t>
      </w:r>
      <w:r>
        <w:rPr>
          <w:spacing w:val="-2"/>
        </w:rPr>
        <w:t xml:space="preserve"> </w:t>
      </w:r>
      <w:r>
        <w:t>Where confidentiality is</w:t>
      </w:r>
      <w:r>
        <w:rPr>
          <w:spacing w:val="-1"/>
        </w:rPr>
        <w:t xml:space="preserve"> </w:t>
      </w:r>
      <w:r>
        <w:t>concerned, it</w:t>
      </w:r>
      <w:r>
        <w:rPr>
          <w:spacing w:val="-2"/>
        </w:rPr>
        <w:t xml:space="preserve"> </w:t>
      </w:r>
      <w:r>
        <w:t>is</w:t>
      </w:r>
      <w:r>
        <w:rPr>
          <w:spacing w:val="-1"/>
        </w:rPr>
        <w:t xml:space="preserve"> </w:t>
      </w:r>
      <w:r>
        <w:t>the</w:t>
      </w:r>
      <w:r>
        <w:rPr>
          <w:spacing w:val="-2"/>
        </w:rPr>
        <w:t xml:space="preserve"> </w:t>
      </w:r>
      <w:r>
        <w:t>duty</w:t>
      </w:r>
      <w:r>
        <w:rPr>
          <w:spacing w:val="-2"/>
        </w:rPr>
        <w:t xml:space="preserve"> </w:t>
      </w:r>
      <w:r>
        <w:t>of the researcher to protect the privacy of the data of participants at all times and that their identity remained anonymous. Sociology Group (2023) has described a limitation of observations and interviews is that the participant does not have the opportunity to have their identity remain anonymous like in a questionnaire. However, the aim of the researcher for this study is that although they will not be remained anonymous from the researcher, however the data that is recorded, handled, shared and stored through the protection of a password on a laptop can allow the identities of the Children, the practitioners and the names of the settings be made anonymous, if deemed appropriate (Information Commissioner’s Office (ICO) guidance on GDPR and data protection).</w:t>
      </w:r>
    </w:p>
    <w:p w14:paraId="61C75656" w14:textId="77777777" w:rsidR="003D621F" w:rsidRDefault="00000000">
      <w:pPr>
        <w:pStyle w:val="BodyText"/>
        <w:spacing w:before="1"/>
        <w:ind w:right="107"/>
      </w:pPr>
      <w:r>
        <w:t>As</w:t>
      </w:r>
      <w:r>
        <w:rPr>
          <w:spacing w:val="-2"/>
        </w:rPr>
        <w:t xml:space="preserve"> </w:t>
      </w:r>
      <w:r>
        <w:t>a</w:t>
      </w:r>
      <w:r>
        <w:rPr>
          <w:spacing w:val="-1"/>
        </w:rPr>
        <w:t xml:space="preserve"> </w:t>
      </w:r>
      <w:r>
        <w:t>part</w:t>
      </w:r>
      <w:r>
        <w:rPr>
          <w:spacing w:val="-2"/>
        </w:rPr>
        <w:t xml:space="preserve"> </w:t>
      </w:r>
      <w:r>
        <w:t>of</w:t>
      </w:r>
      <w:r>
        <w:rPr>
          <w:spacing w:val="-2"/>
        </w:rPr>
        <w:t xml:space="preserve"> </w:t>
      </w:r>
      <w:r>
        <w:t>this</w:t>
      </w:r>
      <w:r>
        <w:rPr>
          <w:spacing w:val="-3"/>
        </w:rPr>
        <w:t xml:space="preserve"> </w:t>
      </w:r>
      <w:r>
        <w:t>research</w:t>
      </w:r>
      <w:r>
        <w:rPr>
          <w:spacing w:val="-2"/>
        </w:rPr>
        <w:t xml:space="preserve"> </w:t>
      </w:r>
      <w:r>
        <w:t>project,</w:t>
      </w:r>
      <w:r>
        <w:rPr>
          <w:spacing w:val="-2"/>
        </w:rPr>
        <w:t xml:space="preserve"> </w:t>
      </w:r>
      <w:r>
        <w:t>there</w:t>
      </w:r>
      <w:r>
        <w:rPr>
          <w:spacing w:val="-2"/>
        </w:rPr>
        <w:t xml:space="preserve"> </w:t>
      </w:r>
      <w:r>
        <w:t>will</w:t>
      </w:r>
      <w:r>
        <w:rPr>
          <w:spacing w:val="-3"/>
        </w:rPr>
        <w:t xml:space="preserve"> </w:t>
      </w:r>
      <w:r>
        <w:t>not</w:t>
      </w:r>
      <w:r>
        <w:rPr>
          <w:spacing w:val="-2"/>
        </w:rPr>
        <w:t xml:space="preserve"> </w:t>
      </w:r>
      <w:r>
        <w:t>be</w:t>
      </w:r>
      <w:r>
        <w:rPr>
          <w:spacing w:val="-4"/>
        </w:rPr>
        <w:t xml:space="preserve"> </w:t>
      </w:r>
      <w:r>
        <w:t>any</w:t>
      </w:r>
      <w:r>
        <w:rPr>
          <w:spacing w:val="-2"/>
        </w:rPr>
        <w:t xml:space="preserve"> </w:t>
      </w:r>
      <w:r>
        <w:t>recordings</w:t>
      </w:r>
      <w:r>
        <w:rPr>
          <w:spacing w:val="-5"/>
        </w:rPr>
        <w:t xml:space="preserve"> </w:t>
      </w:r>
      <w:r>
        <w:t>of</w:t>
      </w:r>
      <w:r>
        <w:rPr>
          <w:spacing w:val="-4"/>
        </w:rPr>
        <w:t xml:space="preserve"> </w:t>
      </w:r>
      <w:r>
        <w:t>data</w:t>
      </w:r>
      <w:r>
        <w:rPr>
          <w:spacing w:val="-3"/>
        </w:rPr>
        <w:t xml:space="preserve"> </w:t>
      </w:r>
      <w:r>
        <w:t>in</w:t>
      </w:r>
      <w:r>
        <w:rPr>
          <w:spacing w:val="-2"/>
        </w:rPr>
        <w:t xml:space="preserve"> </w:t>
      </w:r>
      <w:r>
        <w:t>regard</w:t>
      </w:r>
      <w:r>
        <w:rPr>
          <w:spacing w:val="-2"/>
        </w:rPr>
        <w:t xml:space="preserve"> </w:t>
      </w:r>
      <w:r>
        <w:t xml:space="preserve">to the age of practitioners, race, political or religious beliefs, sexual orientation or trade union membership. The only characteristics of a child that will be recorded is their age in months and any health or learning requirements so they will have the full support they require to be included in the observation if they choose (The University of Wales, Trinity and Saint David’s Research, Ethics and Integrity: Code of Practice, </w:t>
      </w:r>
      <w:r>
        <w:rPr>
          <w:spacing w:val="-2"/>
        </w:rPr>
        <w:t>2022).</w:t>
      </w:r>
    </w:p>
    <w:p w14:paraId="61C75657" w14:textId="77777777" w:rsidR="003D621F" w:rsidRDefault="00000000">
      <w:pPr>
        <w:pStyle w:val="BodyText"/>
        <w:spacing w:before="1"/>
        <w:ind w:right="135"/>
      </w:pPr>
      <w:r>
        <w:t>The responsibility of the researcher is to</w:t>
      </w:r>
      <w:r>
        <w:rPr>
          <w:spacing w:val="-1"/>
        </w:rPr>
        <w:t xml:space="preserve"> </w:t>
      </w:r>
      <w:r>
        <w:t>agree with the</w:t>
      </w:r>
      <w:r>
        <w:rPr>
          <w:spacing w:val="-1"/>
        </w:rPr>
        <w:t xml:space="preserve"> </w:t>
      </w:r>
      <w:r>
        <w:t>participants on the</w:t>
      </w:r>
      <w:r>
        <w:rPr>
          <w:spacing w:val="-1"/>
        </w:rPr>
        <w:t xml:space="preserve"> </w:t>
      </w:r>
      <w:r>
        <w:t>degree of anonymity</w:t>
      </w:r>
      <w:r>
        <w:rPr>
          <w:spacing w:val="-4"/>
        </w:rPr>
        <w:t xml:space="preserve"> </w:t>
      </w:r>
      <w:r>
        <w:t>and</w:t>
      </w:r>
      <w:r>
        <w:rPr>
          <w:spacing w:val="-2"/>
        </w:rPr>
        <w:t xml:space="preserve"> </w:t>
      </w:r>
      <w:r>
        <w:t>confidentiality</w:t>
      </w:r>
      <w:r>
        <w:rPr>
          <w:spacing w:val="-2"/>
        </w:rPr>
        <w:t xml:space="preserve"> </w:t>
      </w:r>
      <w:r>
        <w:t>and</w:t>
      </w:r>
      <w:r>
        <w:rPr>
          <w:spacing w:val="-2"/>
        </w:rPr>
        <w:t xml:space="preserve"> </w:t>
      </w:r>
      <w:r>
        <w:t>ensure</w:t>
      </w:r>
      <w:r>
        <w:rPr>
          <w:spacing w:val="-5"/>
        </w:rPr>
        <w:t xml:space="preserve"> </w:t>
      </w:r>
      <w:r>
        <w:t>that</w:t>
      </w:r>
      <w:r>
        <w:rPr>
          <w:spacing w:val="-4"/>
        </w:rPr>
        <w:t xml:space="preserve"> </w:t>
      </w:r>
      <w:r>
        <w:t>the</w:t>
      </w:r>
      <w:r>
        <w:rPr>
          <w:spacing w:val="-2"/>
        </w:rPr>
        <w:t xml:space="preserve"> </w:t>
      </w:r>
      <w:r>
        <w:t>level</w:t>
      </w:r>
      <w:r>
        <w:rPr>
          <w:spacing w:val="-3"/>
        </w:rPr>
        <w:t xml:space="preserve"> </w:t>
      </w:r>
      <w:r>
        <w:t>of</w:t>
      </w:r>
      <w:r>
        <w:rPr>
          <w:spacing w:val="-2"/>
        </w:rPr>
        <w:t xml:space="preserve"> </w:t>
      </w:r>
      <w:r>
        <w:t>privacy</w:t>
      </w:r>
      <w:r>
        <w:rPr>
          <w:spacing w:val="-1"/>
        </w:rPr>
        <w:t xml:space="preserve"> </w:t>
      </w:r>
      <w:r>
        <w:t>is</w:t>
      </w:r>
      <w:r>
        <w:rPr>
          <w:spacing w:val="-5"/>
        </w:rPr>
        <w:t xml:space="preserve"> </w:t>
      </w:r>
      <w:r>
        <w:t>secured</w:t>
      </w:r>
      <w:r>
        <w:rPr>
          <w:spacing w:val="-3"/>
        </w:rPr>
        <w:t xml:space="preserve"> </w:t>
      </w:r>
      <w:r>
        <w:t>by</w:t>
      </w:r>
      <w:r>
        <w:rPr>
          <w:spacing w:val="-2"/>
        </w:rPr>
        <w:t xml:space="preserve"> </w:t>
      </w:r>
      <w:r>
        <w:t>using the correct storing procedures</w:t>
      </w:r>
      <w:r>
        <w:rPr>
          <w:spacing w:val="-1"/>
        </w:rPr>
        <w:t xml:space="preserve"> </w:t>
      </w:r>
      <w:r>
        <w:t>of</w:t>
      </w:r>
      <w:r>
        <w:rPr>
          <w:spacing w:val="-1"/>
        </w:rPr>
        <w:t xml:space="preserve"> </w:t>
      </w:r>
      <w:r>
        <w:t>data (BERA</w:t>
      </w:r>
      <w:r>
        <w:rPr>
          <w:spacing w:val="-1"/>
        </w:rPr>
        <w:t xml:space="preserve"> </w:t>
      </w:r>
      <w:r>
        <w:t>guidelines, 2018). The</w:t>
      </w:r>
      <w:r>
        <w:rPr>
          <w:spacing w:val="-3"/>
        </w:rPr>
        <w:t xml:space="preserve"> </w:t>
      </w:r>
      <w:r>
        <w:t>Data Protection Act</w:t>
      </w:r>
      <w:r>
        <w:rPr>
          <w:spacing w:val="-2"/>
        </w:rPr>
        <w:t xml:space="preserve"> </w:t>
      </w:r>
      <w:r>
        <w:t>2018</w:t>
      </w:r>
      <w:r>
        <w:rPr>
          <w:spacing w:val="-2"/>
        </w:rPr>
        <w:t xml:space="preserve"> </w:t>
      </w:r>
      <w:r>
        <w:t>state</w:t>
      </w:r>
      <w:r>
        <w:rPr>
          <w:spacing w:val="-2"/>
        </w:rPr>
        <w:t xml:space="preserve"> </w:t>
      </w:r>
      <w:r>
        <w:t>that</w:t>
      </w:r>
      <w:r>
        <w:rPr>
          <w:spacing w:val="-4"/>
        </w:rPr>
        <w:t xml:space="preserve"> </w:t>
      </w:r>
      <w:r>
        <w:t>any</w:t>
      </w:r>
      <w:r>
        <w:rPr>
          <w:spacing w:val="-5"/>
        </w:rPr>
        <w:t xml:space="preserve"> </w:t>
      </w:r>
      <w:r>
        <w:t>participant</w:t>
      </w:r>
      <w:r>
        <w:rPr>
          <w:spacing w:val="-2"/>
        </w:rPr>
        <w:t xml:space="preserve"> </w:t>
      </w:r>
      <w:r>
        <w:t>that</w:t>
      </w:r>
      <w:r>
        <w:rPr>
          <w:spacing w:val="-2"/>
        </w:rPr>
        <w:t xml:space="preserve"> </w:t>
      </w:r>
      <w:r>
        <w:t>wishes</w:t>
      </w:r>
      <w:r>
        <w:rPr>
          <w:spacing w:val="-5"/>
        </w:rPr>
        <w:t xml:space="preserve"> </w:t>
      </w:r>
      <w:r>
        <w:t>to</w:t>
      </w:r>
      <w:r>
        <w:rPr>
          <w:spacing w:val="-2"/>
        </w:rPr>
        <w:t xml:space="preserve"> </w:t>
      </w:r>
      <w:r>
        <w:t>withdraw</w:t>
      </w:r>
      <w:r>
        <w:rPr>
          <w:spacing w:val="-2"/>
        </w:rPr>
        <w:t xml:space="preserve"> </w:t>
      </w:r>
      <w:r>
        <w:t>from</w:t>
      </w:r>
      <w:r>
        <w:rPr>
          <w:spacing w:val="-1"/>
        </w:rPr>
        <w:t xml:space="preserve"> </w:t>
      </w:r>
      <w:r>
        <w:t>the</w:t>
      </w:r>
      <w:r>
        <w:rPr>
          <w:spacing w:val="-2"/>
        </w:rPr>
        <w:t xml:space="preserve"> </w:t>
      </w:r>
      <w:r>
        <w:t>research</w:t>
      </w:r>
      <w:r>
        <w:rPr>
          <w:spacing w:val="-4"/>
        </w:rPr>
        <w:t xml:space="preserve"> </w:t>
      </w:r>
      <w:r>
        <w:t>has the right to have the data that involves removed from the recordings. The overall duty of this researcher is to ensure that data protection guidelines are managed effectively to strengthen the integrity of the research project. The only circumstance that it would be vital to breach confidentiality is in the event that a Child discloses a safety concern of abuse or neglect (Ethical Research Involving Children, no date).</w:t>
      </w:r>
    </w:p>
    <w:p w14:paraId="6E0AE5BA" w14:textId="77777777" w:rsidR="009A71F7" w:rsidRDefault="009A71F7">
      <w:pPr>
        <w:pStyle w:val="BodyText"/>
        <w:spacing w:before="1"/>
        <w:ind w:right="135"/>
      </w:pPr>
    </w:p>
    <w:p w14:paraId="535B14AD" w14:textId="77777777" w:rsidR="009A71F7" w:rsidRDefault="009A71F7">
      <w:pPr>
        <w:pStyle w:val="BodyText"/>
        <w:spacing w:before="1"/>
        <w:ind w:right="135"/>
      </w:pPr>
    </w:p>
    <w:p w14:paraId="1C673F2A" w14:textId="77777777" w:rsidR="009A71F7" w:rsidRDefault="009A71F7">
      <w:pPr>
        <w:pStyle w:val="BodyText"/>
        <w:spacing w:before="1"/>
        <w:ind w:right="135"/>
        <w:rPr>
          <w:b/>
          <w:bCs/>
        </w:rPr>
      </w:pPr>
    </w:p>
    <w:p w14:paraId="4F02852B" w14:textId="77777777" w:rsidR="009A71F7" w:rsidRDefault="009A71F7">
      <w:pPr>
        <w:pStyle w:val="BodyText"/>
        <w:spacing w:before="1"/>
        <w:ind w:right="135"/>
        <w:rPr>
          <w:b/>
          <w:bCs/>
        </w:rPr>
      </w:pPr>
    </w:p>
    <w:p w14:paraId="59D8C637" w14:textId="3FEF00E7" w:rsidR="009A71F7" w:rsidRDefault="009A71F7">
      <w:pPr>
        <w:pStyle w:val="BodyText"/>
        <w:spacing w:before="1"/>
        <w:ind w:right="135"/>
        <w:rPr>
          <w:b/>
          <w:bCs/>
        </w:rPr>
      </w:pPr>
      <w:r w:rsidRPr="009A71F7">
        <w:rPr>
          <w:b/>
          <w:bCs/>
        </w:rPr>
        <w:lastRenderedPageBreak/>
        <w:t>References</w:t>
      </w:r>
    </w:p>
    <w:p w14:paraId="156044DB" w14:textId="77777777" w:rsidR="009A71F7" w:rsidRDefault="009A71F7" w:rsidP="009A71F7">
      <w:pPr>
        <w:pStyle w:val="paragraph"/>
        <w:spacing w:before="0" w:after="0"/>
        <w:textAlignment w:val="baseline"/>
      </w:pPr>
    </w:p>
    <w:p w14:paraId="293E3DD5" w14:textId="77777777" w:rsidR="009A71F7" w:rsidRDefault="009A71F7" w:rsidP="009A71F7">
      <w:pPr>
        <w:pStyle w:val="paragraph"/>
        <w:spacing w:before="0" w:after="0"/>
        <w:textAlignment w:val="baseline"/>
      </w:pPr>
      <w:r>
        <w:rPr>
          <w:rFonts w:ascii="Calibri" w:hAnsi="Calibri" w:cs="Calibri"/>
          <w:color w:val="2C3E50"/>
          <w:sz w:val="27"/>
          <w:szCs w:val="27"/>
          <w:shd w:val="clear" w:color="auto" w:fill="C0C0C0"/>
        </w:rPr>
        <w:t xml:space="preserve">Aubrey, K. and Riley, A. (2022) </w:t>
      </w:r>
      <w:r>
        <w:rPr>
          <w:rFonts w:ascii="Calibri" w:hAnsi="Calibri" w:cs="Calibri"/>
          <w:i/>
          <w:iCs/>
          <w:color w:val="2C3E50"/>
          <w:sz w:val="27"/>
          <w:szCs w:val="27"/>
          <w:shd w:val="clear" w:color="auto" w:fill="C0C0C0"/>
        </w:rPr>
        <w:t>Understanding and using challenging educational theories</w:t>
      </w:r>
      <w:r>
        <w:rPr>
          <w:rFonts w:ascii="Calibri" w:hAnsi="Calibri" w:cs="Calibri"/>
          <w:color w:val="2C3E50"/>
          <w:sz w:val="27"/>
          <w:szCs w:val="27"/>
          <w:shd w:val="clear" w:color="auto" w:fill="C0C0C0"/>
        </w:rPr>
        <w:t>. 3rd ed. Thousand Oaks, Ca: Sage Publications.</w:t>
      </w:r>
    </w:p>
    <w:p w14:paraId="53D6D7AA" w14:textId="77777777" w:rsidR="009A71F7" w:rsidRDefault="009A71F7" w:rsidP="009A71F7">
      <w:pPr>
        <w:pStyle w:val="paragraph"/>
        <w:spacing w:before="0" w:after="0"/>
        <w:textAlignment w:val="baseline"/>
      </w:pPr>
    </w:p>
    <w:p w14:paraId="741C72F1" w14:textId="77777777" w:rsidR="009A71F7" w:rsidRDefault="009A71F7" w:rsidP="009A71F7">
      <w:r>
        <w:rPr>
          <w:color w:val="2C3E50"/>
          <w:sz w:val="24"/>
          <w:szCs w:val="24"/>
          <w:shd w:val="clear" w:color="auto" w:fill="C0C0C0"/>
        </w:rPr>
        <w:t>Bartlett, S. and Burton, D. (2009) </w:t>
      </w:r>
      <w:r>
        <w:rPr>
          <w:i/>
          <w:iCs/>
          <w:color w:val="2C3E50"/>
          <w:sz w:val="24"/>
          <w:szCs w:val="24"/>
          <w:shd w:val="clear" w:color="auto" w:fill="C0C0C0"/>
        </w:rPr>
        <w:t>Key issues for education researchers</w:t>
      </w:r>
      <w:r>
        <w:rPr>
          <w:color w:val="2C3E50"/>
          <w:sz w:val="24"/>
          <w:szCs w:val="24"/>
          <w:shd w:val="clear" w:color="auto" w:fill="C0C0C0"/>
        </w:rPr>
        <w:t>. London: Sage.</w:t>
      </w:r>
    </w:p>
    <w:p w14:paraId="02726DC2" w14:textId="77777777" w:rsidR="009A71F7" w:rsidRDefault="009A71F7" w:rsidP="009A71F7">
      <w:r>
        <w:rPr>
          <w:sz w:val="24"/>
          <w:szCs w:val="24"/>
          <w:shd w:val="clear" w:color="auto" w:fill="C0C0C0"/>
        </w:rPr>
        <w:t>Bell, J. and Waters, S. (2018) </w:t>
      </w:r>
      <w:r>
        <w:rPr>
          <w:i/>
          <w:iCs/>
          <w:sz w:val="24"/>
          <w:szCs w:val="24"/>
          <w:shd w:val="clear" w:color="auto" w:fill="C0C0C0"/>
        </w:rPr>
        <w:t>Doing your research project: A guide for first-time researchers</w:t>
      </w:r>
      <w:r>
        <w:rPr>
          <w:sz w:val="24"/>
          <w:szCs w:val="24"/>
          <w:shd w:val="clear" w:color="auto" w:fill="C0C0C0"/>
        </w:rPr>
        <w:t>. 7th ed. London: Open University Press.</w:t>
      </w:r>
    </w:p>
    <w:p w14:paraId="7AE955A8" w14:textId="77777777" w:rsidR="009A71F7" w:rsidRDefault="009A71F7" w:rsidP="009A71F7">
      <w:pPr>
        <w:pStyle w:val="paragraph"/>
        <w:spacing w:before="0" w:after="0"/>
        <w:textAlignment w:val="baseline"/>
      </w:pPr>
      <w:r>
        <w:rPr>
          <w:rFonts w:ascii="Calibri" w:hAnsi="Calibri" w:cs="Calibri"/>
          <w:color w:val="2C3E50"/>
          <w:sz w:val="27"/>
          <w:szCs w:val="27"/>
          <w:shd w:val="clear" w:color="auto" w:fill="C0C0C0"/>
        </w:rPr>
        <w:t xml:space="preserve">Bradbury, A. and </w:t>
      </w:r>
      <w:proofErr w:type="spellStart"/>
      <w:r>
        <w:rPr>
          <w:rFonts w:ascii="Calibri" w:hAnsi="Calibri" w:cs="Calibri"/>
          <w:color w:val="2C3E50"/>
          <w:sz w:val="27"/>
          <w:szCs w:val="27"/>
          <w:shd w:val="clear" w:color="auto" w:fill="C0C0C0"/>
        </w:rPr>
        <w:t>Swailes</w:t>
      </w:r>
      <w:proofErr w:type="spellEnd"/>
      <w:r>
        <w:rPr>
          <w:rFonts w:ascii="Calibri" w:hAnsi="Calibri" w:cs="Calibri"/>
          <w:color w:val="2C3E50"/>
          <w:sz w:val="27"/>
          <w:szCs w:val="27"/>
          <w:shd w:val="clear" w:color="auto" w:fill="C0C0C0"/>
        </w:rPr>
        <w:t>, R. (2022) </w:t>
      </w:r>
      <w:r>
        <w:rPr>
          <w:rFonts w:ascii="Calibri" w:hAnsi="Calibri" w:cs="Calibri"/>
          <w:i/>
          <w:iCs/>
          <w:color w:val="2C3E50"/>
          <w:sz w:val="27"/>
          <w:szCs w:val="27"/>
          <w:shd w:val="clear" w:color="auto" w:fill="C0C0C0"/>
        </w:rPr>
        <w:t>Early Childhood Theories Today</w:t>
      </w:r>
      <w:r>
        <w:rPr>
          <w:rFonts w:ascii="Calibri" w:hAnsi="Calibri" w:cs="Calibri"/>
          <w:color w:val="2C3E50"/>
          <w:sz w:val="27"/>
          <w:szCs w:val="27"/>
          <w:shd w:val="clear" w:color="auto" w:fill="C0C0C0"/>
        </w:rPr>
        <w:t>. London: Learning Matters.</w:t>
      </w:r>
    </w:p>
    <w:p w14:paraId="64881859" w14:textId="77777777" w:rsidR="009A71F7" w:rsidRDefault="009A71F7" w:rsidP="009A71F7">
      <w:pPr>
        <w:pStyle w:val="paragraph"/>
        <w:spacing w:before="0" w:after="0"/>
        <w:textAlignment w:val="baseline"/>
        <w:rPr>
          <w:rFonts w:ascii="Arial" w:hAnsi="Arial" w:cs="Arial"/>
          <w:color w:val="2C3E50"/>
          <w:shd w:val="clear" w:color="auto" w:fill="C0C0C0"/>
        </w:rPr>
      </w:pPr>
    </w:p>
    <w:p w14:paraId="541B0B16" w14:textId="77777777" w:rsidR="009A71F7" w:rsidRDefault="009A71F7" w:rsidP="009A71F7">
      <w:pPr>
        <w:pStyle w:val="paragraph"/>
        <w:spacing w:before="0" w:after="0"/>
        <w:textAlignment w:val="baseline"/>
      </w:pPr>
      <w:r>
        <w:rPr>
          <w:rFonts w:ascii="Arial" w:hAnsi="Arial" w:cs="Arial"/>
          <w:color w:val="2C3E50"/>
          <w:shd w:val="clear" w:color="auto" w:fill="C0C0C0"/>
        </w:rPr>
        <w:t>Braun, V. and Clarke, V. (2019) Reflecting on reflexive thematic analysis. </w:t>
      </w:r>
      <w:r>
        <w:rPr>
          <w:rFonts w:ascii="Arial" w:hAnsi="Arial" w:cs="Arial"/>
          <w:i/>
          <w:iCs/>
          <w:color w:val="2C3E50"/>
          <w:shd w:val="clear" w:color="auto" w:fill="C0C0C0"/>
        </w:rPr>
        <w:t>Qualitative Research in Sport, Exercise and Health</w:t>
      </w:r>
      <w:r>
        <w:rPr>
          <w:rFonts w:ascii="Arial" w:hAnsi="Arial" w:cs="Arial"/>
          <w:color w:val="2C3E50"/>
          <w:shd w:val="clear" w:color="auto" w:fill="C0C0C0"/>
        </w:rPr>
        <w:t xml:space="preserve">, 11(4), pp.589–597. </w:t>
      </w:r>
      <w:proofErr w:type="spellStart"/>
      <w:r>
        <w:rPr>
          <w:rFonts w:ascii="Arial" w:hAnsi="Arial" w:cs="Arial"/>
          <w:color w:val="2C3E50"/>
          <w:shd w:val="clear" w:color="auto" w:fill="C0C0C0"/>
        </w:rPr>
        <w:t>doi:https</w:t>
      </w:r>
      <w:proofErr w:type="spellEnd"/>
      <w:r>
        <w:rPr>
          <w:rFonts w:ascii="Arial" w:hAnsi="Arial" w:cs="Arial"/>
          <w:color w:val="2C3E50"/>
          <w:shd w:val="clear" w:color="auto" w:fill="C0C0C0"/>
        </w:rPr>
        <w:t>://doi.org/10.1080/2159676x.2019.1628806.</w:t>
      </w:r>
    </w:p>
    <w:p w14:paraId="2C853564" w14:textId="77777777" w:rsidR="009A71F7" w:rsidRDefault="009A71F7" w:rsidP="009A71F7">
      <w:pPr>
        <w:rPr>
          <w:sz w:val="24"/>
          <w:szCs w:val="24"/>
          <w:shd w:val="clear" w:color="auto" w:fill="C0C0C0"/>
        </w:rPr>
      </w:pPr>
    </w:p>
    <w:p w14:paraId="0D5E1479" w14:textId="77777777" w:rsidR="009A71F7" w:rsidRDefault="009A71F7" w:rsidP="009A71F7">
      <w:pPr>
        <w:rPr>
          <w:sz w:val="24"/>
          <w:szCs w:val="24"/>
          <w:shd w:val="clear" w:color="auto" w:fill="C0C0C0"/>
        </w:rPr>
      </w:pPr>
      <w:r>
        <w:rPr>
          <w:sz w:val="24"/>
          <w:szCs w:val="24"/>
          <w:shd w:val="clear" w:color="auto" w:fill="C0C0C0"/>
        </w:rPr>
        <w:t>British Educational Research Association [BERA] (2018) Ethical Guidelines for Educational Research, fourth edition, London. https://www.bera.ac.uk/researchers-resources/publications/ethicalguidelines-for-educational-research-201</w:t>
      </w:r>
    </w:p>
    <w:p w14:paraId="6D4422F2" w14:textId="77777777" w:rsidR="009A71F7" w:rsidRDefault="009A71F7" w:rsidP="009A71F7">
      <w:pPr>
        <w:pStyle w:val="paragraph"/>
        <w:spacing w:before="0" w:after="0"/>
        <w:textAlignment w:val="baseline"/>
      </w:pPr>
      <w:r>
        <w:rPr>
          <w:rFonts w:ascii="Arial" w:hAnsi="Arial" w:cs="Arial"/>
          <w:color w:val="374151"/>
          <w:shd w:val="clear" w:color="auto" w:fill="C0C0C0"/>
        </w:rPr>
        <w:t xml:space="preserve">Brown, J. (2016) </w:t>
      </w:r>
      <w:r>
        <w:rPr>
          <w:rFonts w:ascii="Arial" w:hAnsi="Arial" w:cs="Arial"/>
          <w:i/>
          <w:iCs/>
          <w:color w:val="374151"/>
          <w:shd w:val="clear" w:color="auto" w:fill="C0C0C0"/>
        </w:rPr>
        <w:t>Ethical Considerations in Child-Centred Play Therapy Research.</w:t>
      </w:r>
      <w:r>
        <w:rPr>
          <w:rFonts w:ascii="Arial" w:hAnsi="Arial" w:cs="Arial"/>
          <w:color w:val="374151"/>
          <w:shd w:val="clear" w:color="auto" w:fill="C0C0C0"/>
        </w:rPr>
        <w:t xml:space="preserve"> </w:t>
      </w:r>
    </w:p>
    <w:p w14:paraId="69FD9892" w14:textId="77777777" w:rsidR="009A71F7" w:rsidRDefault="009A71F7" w:rsidP="009A71F7">
      <w:pPr>
        <w:pStyle w:val="paragraph"/>
        <w:spacing w:before="0" w:after="0"/>
        <w:textAlignment w:val="baseline"/>
      </w:pPr>
    </w:p>
    <w:p w14:paraId="40D30037"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Button, J. and Wilde, A. (2019) ‘Exploring practitioners’ perceptions of risk when delivering Forest School for 3- to 5-year-old children’, </w:t>
      </w:r>
      <w:r>
        <w:rPr>
          <w:rStyle w:val="normaltextrun"/>
          <w:rFonts w:ascii="Arial" w:hAnsi="Arial" w:cs="Arial"/>
          <w:i/>
          <w:iCs/>
          <w:shd w:val="clear" w:color="auto" w:fill="C0C0C0"/>
        </w:rPr>
        <w:t>International Journal of Play</w:t>
      </w:r>
      <w:r>
        <w:rPr>
          <w:rStyle w:val="normaltextrun"/>
          <w:rFonts w:ascii="Arial" w:hAnsi="Arial" w:cs="Arial"/>
          <w:shd w:val="clear" w:color="auto" w:fill="C0C0C0"/>
        </w:rPr>
        <w:t xml:space="preserve">, 8(1), pp. 25–38. Available at: </w:t>
      </w:r>
      <w:hyperlink r:id="rId4" w:history="1">
        <w:r>
          <w:rPr>
            <w:rStyle w:val="normaltextrun"/>
            <w:rFonts w:ascii="Arial" w:hAnsi="Arial" w:cs="Arial"/>
            <w:shd w:val="clear" w:color="auto" w:fill="C0C0C0"/>
          </w:rPr>
          <w:t>https://doi.org/10.1080/21594937.2019.1580334</w:t>
        </w:r>
      </w:hyperlink>
      <w:r>
        <w:rPr>
          <w:rStyle w:val="normaltextrun"/>
          <w:rFonts w:ascii="Arial" w:hAnsi="Arial" w:cs="Arial"/>
          <w:shd w:val="clear" w:color="auto" w:fill="C0C0C0"/>
        </w:rPr>
        <w:t>.</w:t>
      </w:r>
      <w:r>
        <w:rPr>
          <w:rStyle w:val="eop"/>
          <w:rFonts w:ascii="Arial" w:hAnsi="Arial" w:cs="Arial"/>
          <w:shd w:val="clear" w:color="auto" w:fill="C0C0C0"/>
        </w:rPr>
        <w:t> </w:t>
      </w:r>
    </w:p>
    <w:p w14:paraId="79BC1C63" w14:textId="77777777" w:rsidR="009A71F7" w:rsidRDefault="009A71F7" w:rsidP="009A71F7">
      <w:pPr>
        <w:pStyle w:val="paragraph"/>
        <w:spacing w:before="0" w:after="0"/>
        <w:textAlignment w:val="baseline"/>
        <w:rPr>
          <w:rFonts w:ascii="Arial" w:hAnsi="Arial" w:cs="Arial"/>
          <w:color w:val="2C3E50"/>
          <w:shd w:val="clear" w:color="auto" w:fill="C0C0C0"/>
        </w:rPr>
      </w:pPr>
    </w:p>
    <w:p w14:paraId="4099FD13" w14:textId="77777777" w:rsidR="009A71F7" w:rsidRDefault="009A71F7" w:rsidP="009A71F7">
      <w:pPr>
        <w:pStyle w:val="paragraph"/>
        <w:spacing w:before="0" w:after="0"/>
        <w:textAlignment w:val="baseline"/>
      </w:pPr>
      <w:r>
        <w:rPr>
          <w:rFonts w:ascii="Arial" w:hAnsi="Arial" w:cs="Arial"/>
          <w:color w:val="2C3E50"/>
          <w:shd w:val="clear" w:color="auto" w:fill="C0C0C0"/>
        </w:rPr>
        <w:t xml:space="preserve">Campbell, S., Greenwood, M., Prior, S., Shearer, T., </w:t>
      </w:r>
      <w:proofErr w:type="spellStart"/>
      <w:r>
        <w:rPr>
          <w:rFonts w:ascii="Arial" w:hAnsi="Arial" w:cs="Arial"/>
          <w:color w:val="2C3E50"/>
          <w:shd w:val="clear" w:color="auto" w:fill="C0C0C0"/>
        </w:rPr>
        <w:t>Walkem</w:t>
      </w:r>
      <w:proofErr w:type="spellEnd"/>
      <w:r>
        <w:rPr>
          <w:rFonts w:ascii="Arial" w:hAnsi="Arial" w:cs="Arial"/>
          <w:color w:val="2C3E50"/>
          <w:shd w:val="clear" w:color="auto" w:fill="C0C0C0"/>
        </w:rPr>
        <w:t xml:space="preserve">, K., Young, S., </w:t>
      </w:r>
      <w:proofErr w:type="spellStart"/>
      <w:r>
        <w:rPr>
          <w:rFonts w:ascii="Arial" w:hAnsi="Arial" w:cs="Arial"/>
          <w:color w:val="2C3E50"/>
          <w:shd w:val="clear" w:color="auto" w:fill="C0C0C0"/>
        </w:rPr>
        <w:t>Bywaters</w:t>
      </w:r>
      <w:proofErr w:type="spellEnd"/>
      <w:r>
        <w:rPr>
          <w:rFonts w:ascii="Arial" w:hAnsi="Arial" w:cs="Arial"/>
          <w:color w:val="2C3E50"/>
          <w:shd w:val="clear" w:color="auto" w:fill="C0C0C0"/>
        </w:rPr>
        <w:t>, D. and Walker, K. (2020) Purposive Sampling: Complex or Simple? Research Case Examples. </w:t>
      </w:r>
      <w:r>
        <w:rPr>
          <w:rFonts w:ascii="Arial" w:hAnsi="Arial" w:cs="Arial"/>
          <w:i/>
          <w:iCs/>
          <w:color w:val="2C3E50"/>
          <w:shd w:val="clear" w:color="auto" w:fill="C0C0C0"/>
        </w:rPr>
        <w:t>Journal of Research in Nursing</w:t>
      </w:r>
      <w:r>
        <w:rPr>
          <w:rFonts w:ascii="Arial" w:hAnsi="Arial" w:cs="Arial"/>
          <w:color w:val="2C3E50"/>
          <w:shd w:val="clear" w:color="auto" w:fill="C0C0C0"/>
        </w:rPr>
        <w:t xml:space="preserve">, [online] 25(8), pp.652–661. </w:t>
      </w:r>
      <w:proofErr w:type="spellStart"/>
      <w:r>
        <w:rPr>
          <w:rFonts w:ascii="Arial" w:hAnsi="Arial" w:cs="Arial"/>
          <w:color w:val="2C3E50"/>
          <w:shd w:val="clear" w:color="auto" w:fill="C0C0C0"/>
        </w:rPr>
        <w:t>doi:https</w:t>
      </w:r>
      <w:proofErr w:type="spellEnd"/>
      <w:r>
        <w:rPr>
          <w:rFonts w:ascii="Arial" w:hAnsi="Arial" w:cs="Arial"/>
          <w:color w:val="2C3E50"/>
          <w:shd w:val="clear" w:color="auto" w:fill="C0C0C0"/>
        </w:rPr>
        <w:t>://doi.org/10.1177/1744987120927206.</w:t>
      </w:r>
    </w:p>
    <w:p w14:paraId="6E8E8629" w14:textId="77777777" w:rsidR="009A71F7" w:rsidRDefault="009A71F7" w:rsidP="009A71F7">
      <w:pPr>
        <w:pStyle w:val="paragraph"/>
        <w:spacing w:before="0" w:after="0"/>
        <w:textAlignment w:val="baseline"/>
      </w:pPr>
    </w:p>
    <w:p w14:paraId="6CBDBEF0"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Cheng, T. </w:t>
      </w:r>
      <w:r>
        <w:rPr>
          <w:rStyle w:val="normaltextrun"/>
          <w:rFonts w:ascii="Arial" w:hAnsi="Arial" w:cs="Arial"/>
          <w:i/>
          <w:iCs/>
          <w:shd w:val="clear" w:color="auto" w:fill="C0C0C0"/>
        </w:rPr>
        <w:t>et al.</w:t>
      </w:r>
      <w:r>
        <w:rPr>
          <w:rStyle w:val="normaltextrun"/>
          <w:rFonts w:ascii="Arial" w:hAnsi="Arial" w:cs="Arial"/>
          <w:shd w:val="clear" w:color="auto" w:fill="C0C0C0"/>
        </w:rPr>
        <w:t xml:space="preserve"> (2022) ‘Perceived challenges of early childhood educators in promoting unstructured outdoor play: an ecological systems perspective’, </w:t>
      </w:r>
      <w:r>
        <w:rPr>
          <w:rStyle w:val="normaltextrun"/>
          <w:rFonts w:ascii="Arial" w:hAnsi="Arial" w:cs="Arial"/>
          <w:i/>
          <w:iCs/>
          <w:shd w:val="clear" w:color="auto" w:fill="C0C0C0"/>
        </w:rPr>
        <w:t>Early Years</w:t>
      </w:r>
      <w:r>
        <w:rPr>
          <w:rStyle w:val="normaltextrun"/>
          <w:rFonts w:ascii="Arial" w:hAnsi="Arial" w:cs="Arial"/>
          <w:shd w:val="clear" w:color="auto" w:fill="C0C0C0"/>
        </w:rPr>
        <w:t xml:space="preserve">, pp. 1–17. Available at: </w:t>
      </w:r>
      <w:hyperlink r:id="rId5" w:history="1">
        <w:r>
          <w:rPr>
            <w:rStyle w:val="normaltextrun"/>
            <w:rFonts w:ascii="Arial" w:hAnsi="Arial" w:cs="Arial"/>
            <w:shd w:val="clear" w:color="auto" w:fill="C0C0C0"/>
          </w:rPr>
          <w:t>https://doi.org/10.1080/09575146.2022.2034140</w:t>
        </w:r>
      </w:hyperlink>
      <w:r>
        <w:rPr>
          <w:rStyle w:val="normaltextrun"/>
          <w:rFonts w:ascii="Arial" w:hAnsi="Arial" w:cs="Arial"/>
          <w:shd w:val="clear" w:color="auto" w:fill="C0C0C0"/>
        </w:rPr>
        <w:t>.</w:t>
      </w:r>
      <w:r>
        <w:rPr>
          <w:rStyle w:val="eop"/>
          <w:rFonts w:ascii="Arial" w:hAnsi="Arial" w:cs="Arial"/>
          <w:shd w:val="clear" w:color="auto" w:fill="C0C0C0"/>
        </w:rPr>
        <w:t> </w:t>
      </w:r>
    </w:p>
    <w:p w14:paraId="4652FAB1" w14:textId="77777777" w:rsidR="009A71F7" w:rsidRDefault="009A71F7" w:rsidP="009A71F7">
      <w:pPr>
        <w:rPr>
          <w:color w:val="2C3E50"/>
          <w:sz w:val="24"/>
          <w:szCs w:val="24"/>
          <w:shd w:val="clear" w:color="auto" w:fill="C0C0C0"/>
        </w:rPr>
      </w:pPr>
    </w:p>
    <w:p w14:paraId="78683BBA" w14:textId="77777777" w:rsidR="009A71F7" w:rsidRDefault="009A71F7" w:rsidP="009A71F7">
      <w:r>
        <w:rPr>
          <w:color w:val="2C3E50"/>
          <w:sz w:val="24"/>
          <w:szCs w:val="24"/>
          <w:shd w:val="clear" w:color="auto" w:fill="C0C0C0"/>
        </w:rPr>
        <w:t>Cohen, L., Manion, L. and Morrison, K. (2011) </w:t>
      </w:r>
      <w:r>
        <w:rPr>
          <w:i/>
          <w:iCs/>
          <w:color w:val="2C3E50"/>
          <w:sz w:val="24"/>
          <w:szCs w:val="24"/>
          <w:shd w:val="clear" w:color="auto" w:fill="C0C0C0"/>
        </w:rPr>
        <w:t>Research Methods in Education</w:t>
      </w:r>
      <w:r>
        <w:rPr>
          <w:color w:val="2C3E50"/>
          <w:sz w:val="24"/>
          <w:szCs w:val="24"/>
          <w:shd w:val="clear" w:color="auto" w:fill="C0C0C0"/>
        </w:rPr>
        <w:t>. 7th ed. New York: Routledge.</w:t>
      </w:r>
    </w:p>
    <w:p w14:paraId="51C85032" w14:textId="77777777" w:rsidR="009A71F7" w:rsidRDefault="009A71F7" w:rsidP="009A71F7">
      <w:r>
        <w:rPr>
          <w:color w:val="2C3E50"/>
          <w:sz w:val="24"/>
          <w:szCs w:val="24"/>
          <w:shd w:val="clear" w:color="auto" w:fill="C0C0C0"/>
        </w:rPr>
        <w:t>Cohen, L., Manion, L. and Morrison, K. (2018) </w:t>
      </w:r>
      <w:r>
        <w:rPr>
          <w:i/>
          <w:iCs/>
          <w:color w:val="2C3E50"/>
          <w:sz w:val="24"/>
          <w:szCs w:val="24"/>
          <w:shd w:val="clear" w:color="auto" w:fill="C0C0C0"/>
        </w:rPr>
        <w:t>Research Methods in Education</w:t>
      </w:r>
      <w:r>
        <w:rPr>
          <w:color w:val="2C3E50"/>
          <w:sz w:val="24"/>
          <w:szCs w:val="24"/>
          <w:shd w:val="clear" w:color="auto" w:fill="C0C0C0"/>
        </w:rPr>
        <w:t>. 8th ed. New York: Routledge.</w:t>
      </w:r>
    </w:p>
    <w:p w14:paraId="0CB9714C" w14:textId="77777777" w:rsidR="009A71F7" w:rsidRDefault="009A71F7" w:rsidP="009A71F7">
      <w:r>
        <w:rPr>
          <w:sz w:val="24"/>
          <w:szCs w:val="24"/>
          <w:shd w:val="clear" w:color="auto" w:fill="C0C0C0"/>
        </w:rPr>
        <w:t>Cooper, N. (2020) </w:t>
      </w:r>
      <w:r>
        <w:rPr>
          <w:i/>
          <w:iCs/>
          <w:sz w:val="24"/>
          <w:szCs w:val="24"/>
          <w:shd w:val="clear" w:color="auto" w:fill="C0C0C0"/>
        </w:rPr>
        <w:t>What is a DBS check, and when do you need one?</w:t>
      </w:r>
      <w:r>
        <w:rPr>
          <w:sz w:val="24"/>
          <w:szCs w:val="24"/>
          <w:shd w:val="clear" w:color="auto" w:fill="C0C0C0"/>
        </w:rPr>
        <w:t> [online] Latest News. Available at: https://www.ncchomelearning.co.uk/blog/what-is-a-dbs-check/#:~:text=In%20settings%20such%20as%20schools%2C%20nurseries%2C%20hospitals%20and [Accessed 21 May 2023].</w:t>
      </w:r>
    </w:p>
    <w:p w14:paraId="413C3000" w14:textId="77777777" w:rsidR="009A71F7" w:rsidRDefault="009A71F7" w:rsidP="009A71F7">
      <w:pPr>
        <w:rPr>
          <w:color w:val="2C3E50"/>
          <w:sz w:val="24"/>
          <w:szCs w:val="24"/>
          <w:shd w:val="clear" w:color="auto" w:fill="C0C0C0"/>
        </w:rPr>
      </w:pPr>
      <w:r>
        <w:rPr>
          <w:color w:val="2C3E50"/>
          <w:sz w:val="24"/>
          <w:szCs w:val="24"/>
          <w:shd w:val="clear" w:color="auto" w:fill="C0C0C0"/>
        </w:rPr>
        <w:t>Data Protection Act 2018 (UK). Available at: https://www.gov.uk/data-protection</w:t>
      </w:r>
    </w:p>
    <w:p w14:paraId="3D0A3D1A" w14:textId="77777777" w:rsidR="009A71F7" w:rsidRDefault="009A71F7" w:rsidP="009A71F7">
      <w:r>
        <w:rPr>
          <w:color w:val="2C3E50"/>
          <w:sz w:val="24"/>
          <w:szCs w:val="24"/>
          <w:shd w:val="clear" w:color="auto" w:fill="C0C0C0"/>
        </w:rPr>
        <w:t>Ethical Research Involving Children (no date) </w:t>
      </w:r>
      <w:r>
        <w:rPr>
          <w:i/>
          <w:iCs/>
          <w:color w:val="2C3E50"/>
          <w:sz w:val="24"/>
          <w:szCs w:val="24"/>
          <w:shd w:val="clear" w:color="auto" w:fill="C0C0C0"/>
        </w:rPr>
        <w:t>The Original ERIC Compendium</w:t>
      </w:r>
      <w:r>
        <w:rPr>
          <w:color w:val="2C3E50"/>
          <w:sz w:val="24"/>
          <w:szCs w:val="24"/>
          <w:shd w:val="clear" w:color="auto" w:fill="C0C0C0"/>
        </w:rPr>
        <w:t xml:space="preserve">. [online] Available at: </w:t>
      </w:r>
      <w:hyperlink r:id="rId6" w:history="1">
        <w:r>
          <w:rPr>
            <w:rStyle w:val="Hyperlink"/>
            <w:sz w:val="24"/>
            <w:szCs w:val="24"/>
            <w:shd w:val="clear" w:color="auto" w:fill="C0C0C0"/>
          </w:rPr>
          <w:t>https://childethics.com/home/compendium-downloads/</w:t>
        </w:r>
      </w:hyperlink>
      <w:r>
        <w:rPr>
          <w:color w:val="2C3E50"/>
          <w:sz w:val="24"/>
          <w:szCs w:val="24"/>
          <w:shd w:val="clear" w:color="auto" w:fill="C0C0C0"/>
        </w:rPr>
        <w:t>.</w:t>
      </w:r>
    </w:p>
    <w:p w14:paraId="4CD6E4C3" w14:textId="77777777" w:rsidR="009A71F7" w:rsidRDefault="009A71F7" w:rsidP="009A71F7">
      <w:r>
        <w:rPr>
          <w:color w:val="202F66"/>
          <w:sz w:val="24"/>
          <w:szCs w:val="24"/>
          <w:shd w:val="clear" w:color="auto" w:fill="C0C0C0"/>
        </w:rPr>
        <w:t>George, T. (2023, March 24) </w:t>
      </w:r>
      <w:r>
        <w:rPr>
          <w:rStyle w:val="HTMLCite"/>
          <w:color w:val="202F66"/>
          <w:sz w:val="24"/>
          <w:szCs w:val="24"/>
          <w:shd w:val="clear" w:color="auto" w:fill="C0C0C0"/>
        </w:rPr>
        <w:t>What Is an Observational Study? | Guide &amp; Examples.</w:t>
      </w:r>
      <w:r>
        <w:rPr>
          <w:color w:val="202F66"/>
          <w:sz w:val="24"/>
          <w:szCs w:val="24"/>
          <w:shd w:val="clear" w:color="auto" w:fill="C0C0C0"/>
        </w:rPr>
        <w:t> </w:t>
      </w:r>
      <w:proofErr w:type="spellStart"/>
      <w:r>
        <w:rPr>
          <w:color w:val="202F66"/>
          <w:sz w:val="24"/>
          <w:szCs w:val="24"/>
          <w:shd w:val="clear" w:color="auto" w:fill="C0C0C0"/>
        </w:rPr>
        <w:t>Scribbr</w:t>
      </w:r>
      <w:proofErr w:type="spellEnd"/>
      <w:r>
        <w:rPr>
          <w:color w:val="202F66"/>
          <w:sz w:val="24"/>
          <w:szCs w:val="24"/>
          <w:shd w:val="clear" w:color="auto" w:fill="C0C0C0"/>
        </w:rPr>
        <w:t xml:space="preserve">. Retrieved May 17, 2023, from </w:t>
      </w:r>
      <w:hyperlink r:id="rId7" w:history="1">
        <w:r>
          <w:rPr>
            <w:rStyle w:val="Hyperlink"/>
            <w:sz w:val="24"/>
            <w:szCs w:val="24"/>
            <w:shd w:val="clear" w:color="auto" w:fill="C0C0C0"/>
          </w:rPr>
          <w:t>https://www.scribbr.com/methodology/observational-study/</w:t>
        </w:r>
      </w:hyperlink>
    </w:p>
    <w:p w14:paraId="6B12F044"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Hinchion, S., McAuliffe, E. and Lynch, H. (2021) ‘Fraught with frights or full of fun: perspectives of risky play among six-to-eight-year olds’, </w:t>
      </w:r>
      <w:r>
        <w:rPr>
          <w:rStyle w:val="normaltextrun"/>
          <w:rFonts w:ascii="Arial" w:hAnsi="Arial" w:cs="Arial"/>
          <w:i/>
          <w:iCs/>
          <w:shd w:val="clear" w:color="auto" w:fill="C0C0C0"/>
        </w:rPr>
        <w:t>European Early Childhood Education Research Journal</w:t>
      </w:r>
      <w:r>
        <w:rPr>
          <w:rStyle w:val="normaltextrun"/>
          <w:rFonts w:ascii="Arial" w:hAnsi="Arial" w:cs="Arial"/>
          <w:shd w:val="clear" w:color="auto" w:fill="C0C0C0"/>
        </w:rPr>
        <w:t xml:space="preserve">, 29(5), pp. 1–19. Available at: </w:t>
      </w:r>
      <w:hyperlink r:id="rId8" w:history="1">
        <w:r>
          <w:rPr>
            <w:rStyle w:val="normaltextrun"/>
            <w:rFonts w:ascii="Arial" w:hAnsi="Arial" w:cs="Arial"/>
            <w:shd w:val="clear" w:color="auto" w:fill="C0C0C0"/>
          </w:rPr>
          <w:t>https://doi.org/10.1080/1350293x.2021.1968460</w:t>
        </w:r>
      </w:hyperlink>
      <w:r>
        <w:rPr>
          <w:rStyle w:val="normaltextrun"/>
          <w:rFonts w:ascii="Arial" w:hAnsi="Arial" w:cs="Arial"/>
          <w:shd w:val="clear" w:color="auto" w:fill="C0C0C0"/>
        </w:rPr>
        <w:t>.</w:t>
      </w:r>
      <w:r>
        <w:rPr>
          <w:rStyle w:val="eop"/>
          <w:rFonts w:ascii="Arial" w:hAnsi="Arial" w:cs="Arial"/>
          <w:shd w:val="clear" w:color="auto" w:fill="C0C0C0"/>
        </w:rPr>
        <w:t> </w:t>
      </w:r>
    </w:p>
    <w:p w14:paraId="50986254" w14:textId="77777777" w:rsidR="009A71F7" w:rsidRDefault="009A71F7" w:rsidP="009A71F7">
      <w:pPr>
        <w:rPr>
          <w:color w:val="2C3E50"/>
          <w:sz w:val="24"/>
          <w:szCs w:val="24"/>
          <w:shd w:val="clear" w:color="auto" w:fill="C0C0C0"/>
        </w:rPr>
      </w:pPr>
    </w:p>
    <w:p w14:paraId="010113A6" w14:textId="77777777" w:rsidR="009A71F7" w:rsidRDefault="009A71F7" w:rsidP="009A71F7">
      <w:pPr>
        <w:rPr>
          <w:color w:val="2C3E50"/>
          <w:sz w:val="24"/>
          <w:szCs w:val="24"/>
          <w:shd w:val="clear" w:color="auto" w:fill="C0C0C0"/>
        </w:rPr>
      </w:pPr>
      <w:r>
        <w:rPr>
          <w:color w:val="2C3E50"/>
          <w:sz w:val="24"/>
          <w:szCs w:val="24"/>
          <w:shd w:val="clear" w:color="auto" w:fill="C0C0C0"/>
        </w:rPr>
        <w:t xml:space="preserve">Information </w:t>
      </w:r>
      <w:proofErr w:type="spellStart"/>
      <w:r>
        <w:rPr>
          <w:color w:val="2C3E50"/>
          <w:sz w:val="24"/>
          <w:szCs w:val="24"/>
          <w:shd w:val="clear" w:color="auto" w:fill="C0C0C0"/>
        </w:rPr>
        <w:t>Commisioner’s</w:t>
      </w:r>
      <w:proofErr w:type="spellEnd"/>
      <w:r>
        <w:rPr>
          <w:color w:val="2C3E50"/>
          <w:sz w:val="24"/>
          <w:szCs w:val="24"/>
          <w:shd w:val="clear" w:color="auto" w:fill="C0C0C0"/>
        </w:rPr>
        <w:t xml:space="preserve"> Office (ICO) (no date) Guidance on Data Protection. Available at: https://ico.org.uk/for-organisations/uk-gdpr-guidance-and-resources/data-</w:t>
      </w:r>
      <w:r>
        <w:rPr>
          <w:color w:val="2C3E50"/>
          <w:sz w:val="24"/>
          <w:szCs w:val="24"/>
          <w:shd w:val="clear" w:color="auto" w:fill="C0C0C0"/>
        </w:rPr>
        <w:lastRenderedPageBreak/>
        <w:t>protection-principles/a-guide-to-the-data-protection-principles/</w:t>
      </w:r>
    </w:p>
    <w:p w14:paraId="215B86B2" w14:textId="77777777" w:rsidR="009A71F7" w:rsidRDefault="009A71F7" w:rsidP="009A71F7">
      <w:r>
        <w:rPr>
          <w:color w:val="2C3E50"/>
          <w:sz w:val="24"/>
          <w:szCs w:val="24"/>
          <w:shd w:val="clear" w:color="auto" w:fill="C0C0C0"/>
        </w:rPr>
        <w:t xml:space="preserve">Information </w:t>
      </w:r>
      <w:proofErr w:type="spellStart"/>
      <w:r>
        <w:rPr>
          <w:color w:val="2C3E50"/>
          <w:sz w:val="24"/>
          <w:szCs w:val="24"/>
          <w:shd w:val="clear" w:color="auto" w:fill="C0C0C0"/>
        </w:rPr>
        <w:t>Commisioner’s</w:t>
      </w:r>
      <w:proofErr w:type="spellEnd"/>
      <w:r>
        <w:rPr>
          <w:color w:val="2C3E50"/>
          <w:sz w:val="24"/>
          <w:szCs w:val="24"/>
          <w:shd w:val="clear" w:color="auto" w:fill="C0C0C0"/>
        </w:rPr>
        <w:t xml:space="preserve"> Office (ICO) (no date) Guidance on GDPR. Available at: </w:t>
      </w:r>
      <w:hyperlink r:id="rId9" w:history="1">
        <w:r>
          <w:rPr>
            <w:rStyle w:val="Hyperlink"/>
            <w:sz w:val="24"/>
            <w:szCs w:val="24"/>
            <w:shd w:val="clear" w:color="auto" w:fill="C0C0C0"/>
          </w:rPr>
          <w:t>https://ico.org.uk/for-organisations/uk-gdpr-guidance-and-resources/</w:t>
        </w:r>
      </w:hyperlink>
    </w:p>
    <w:p w14:paraId="4F4B27C4" w14:textId="77777777" w:rsidR="009A71F7" w:rsidRDefault="009A71F7" w:rsidP="009A71F7">
      <w:pPr>
        <w:pStyle w:val="paragraph"/>
        <w:spacing w:before="0" w:after="0"/>
        <w:textAlignment w:val="baseline"/>
      </w:pPr>
      <w:proofErr w:type="spellStart"/>
      <w:r>
        <w:rPr>
          <w:rStyle w:val="normaltextrun"/>
          <w:rFonts w:ascii="Arial" w:hAnsi="Arial" w:cs="Arial"/>
          <w:shd w:val="clear" w:color="auto" w:fill="C0C0C0"/>
        </w:rPr>
        <w:t>Jidovtseff</w:t>
      </w:r>
      <w:proofErr w:type="spellEnd"/>
      <w:r>
        <w:rPr>
          <w:rStyle w:val="normaltextrun"/>
          <w:rFonts w:ascii="Arial" w:hAnsi="Arial" w:cs="Arial"/>
          <w:shd w:val="clear" w:color="auto" w:fill="C0C0C0"/>
        </w:rPr>
        <w:t xml:space="preserve">, B. </w:t>
      </w:r>
      <w:r>
        <w:rPr>
          <w:rStyle w:val="normaltextrun"/>
          <w:rFonts w:ascii="Arial" w:hAnsi="Arial" w:cs="Arial"/>
          <w:i/>
          <w:iCs/>
          <w:shd w:val="clear" w:color="auto" w:fill="C0C0C0"/>
        </w:rPr>
        <w:t xml:space="preserve">et al. </w:t>
      </w:r>
      <w:r>
        <w:rPr>
          <w:rStyle w:val="normaltextrun"/>
          <w:rFonts w:ascii="Arial" w:hAnsi="Arial" w:cs="Arial"/>
          <w:shd w:val="clear" w:color="auto" w:fill="C0C0C0"/>
        </w:rPr>
        <w:t xml:space="preserve">(2022) Parental Assessment of Benefits and of Dangers Determines Children’s Permission to Play Outdoors. </w:t>
      </w:r>
      <w:hyperlink r:id="rId10" w:history="1">
        <w:r>
          <w:rPr>
            <w:rStyle w:val="normaltextrun"/>
            <w:rFonts w:ascii="Arial" w:hAnsi="Arial" w:cs="Arial"/>
            <w:i/>
            <w:iCs/>
            <w:shd w:val="clear" w:color="auto" w:fill="C0C0C0"/>
          </w:rPr>
          <w:t>International Journal of Environmental Research and Public Health,</w:t>
        </w:r>
      </w:hyperlink>
      <w:r>
        <w:rPr>
          <w:rStyle w:val="normaltextrun"/>
          <w:rFonts w:ascii="Arial" w:hAnsi="Arial" w:cs="Arial"/>
          <w:i/>
          <w:iCs/>
          <w:shd w:val="clear" w:color="auto" w:fill="C0C0C0"/>
        </w:rPr>
        <w:t xml:space="preserve"> </w:t>
      </w:r>
      <w:r>
        <w:rPr>
          <w:rStyle w:val="normaltextrun"/>
          <w:rFonts w:ascii="Arial" w:hAnsi="Arial" w:cs="Arial"/>
          <w:shd w:val="clear" w:color="auto" w:fill="C0C0C0"/>
        </w:rPr>
        <w:t>19(18). Available at: DOI:10.3390/ijerph191811467</w:t>
      </w:r>
      <w:r>
        <w:rPr>
          <w:rStyle w:val="eop"/>
          <w:rFonts w:ascii="Arial" w:hAnsi="Arial" w:cs="Arial"/>
          <w:shd w:val="clear" w:color="auto" w:fill="C0C0C0"/>
        </w:rPr>
        <w:t> </w:t>
      </w:r>
    </w:p>
    <w:p w14:paraId="11416C06" w14:textId="77777777" w:rsidR="009A71F7" w:rsidRDefault="009A71F7" w:rsidP="009A71F7">
      <w:pPr>
        <w:pStyle w:val="paragraph"/>
        <w:spacing w:before="0" w:after="0"/>
        <w:textAlignment w:val="baseline"/>
        <w:rPr>
          <w:rFonts w:ascii="Arial" w:hAnsi="Arial" w:cs="Arial"/>
          <w:color w:val="374151"/>
          <w:shd w:val="clear" w:color="auto" w:fill="C0C0C0"/>
        </w:rPr>
      </w:pPr>
    </w:p>
    <w:p w14:paraId="15D9EDDC" w14:textId="77777777" w:rsidR="009A71F7" w:rsidRDefault="009A71F7" w:rsidP="009A71F7">
      <w:pPr>
        <w:pStyle w:val="paragraph"/>
        <w:spacing w:before="0" w:after="0"/>
        <w:textAlignment w:val="baseline"/>
      </w:pPr>
      <w:r>
        <w:rPr>
          <w:rFonts w:ascii="Arial" w:hAnsi="Arial" w:cs="Arial"/>
          <w:color w:val="374151"/>
          <w:shd w:val="clear" w:color="auto" w:fill="C0C0C0"/>
        </w:rPr>
        <w:t xml:space="preserve">Johnson, R. (2017) </w:t>
      </w:r>
      <w:r>
        <w:rPr>
          <w:rFonts w:ascii="Arial" w:hAnsi="Arial" w:cs="Arial"/>
          <w:i/>
          <w:iCs/>
          <w:color w:val="374151"/>
          <w:shd w:val="clear" w:color="auto" w:fill="C0C0C0"/>
        </w:rPr>
        <w:t>Ethics in Professional Practice Research.</w:t>
      </w:r>
      <w:r>
        <w:rPr>
          <w:rFonts w:ascii="Arial" w:hAnsi="Arial" w:cs="Arial"/>
          <w:color w:val="374151"/>
          <w:shd w:val="clear" w:color="auto" w:fill="C0C0C0"/>
        </w:rPr>
        <w:t xml:space="preserve"> </w:t>
      </w:r>
    </w:p>
    <w:p w14:paraId="6486D5EE" w14:textId="77777777" w:rsidR="009A71F7" w:rsidRDefault="009A71F7" w:rsidP="009A71F7">
      <w:pPr>
        <w:pStyle w:val="paragraph"/>
        <w:spacing w:before="0" w:after="0"/>
        <w:textAlignment w:val="baseline"/>
        <w:rPr>
          <w:rFonts w:ascii="Arial" w:hAnsi="Arial" w:cs="Arial"/>
          <w:color w:val="374151"/>
          <w:shd w:val="clear" w:color="auto" w:fill="C0C0C0"/>
        </w:rPr>
      </w:pPr>
    </w:p>
    <w:p w14:paraId="23C9F077" w14:textId="77777777" w:rsidR="009A71F7" w:rsidRDefault="009A71F7" w:rsidP="009A71F7">
      <w:pPr>
        <w:pStyle w:val="paragraph"/>
        <w:spacing w:before="0" w:after="0"/>
        <w:textAlignment w:val="baseline"/>
      </w:pPr>
      <w:r>
        <w:rPr>
          <w:rFonts w:ascii="Arial" w:hAnsi="Arial" w:cs="Arial"/>
          <w:color w:val="374151"/>
          <w:shd w:val="clear" w:color="auto" w:fill="C0C0C0"/>
        </w:rPr>
        <w:t xml:space="preserve">Johnson, R., et al. (2018) </w:t>
      </w:r>
      <w:r>
        <w:rPr>
          <w:rFonts w:ascii="Arial" w:hAnsi="Arial" w:cs="Arial"/>
          <w:i/>
          <w:iCs/>
          <w:color w:val="374151"/>
          <w:shd w:val="clear" w:color="auto" w:fill="C0C0C0"/>
        </w:rPr>
        <w:t>Ethical Issues in Research on Risky Play.</w:t>
      </w:r>
    </w:p>
    <w:p w14:paraId="151AD961" w14:textId="77777777" w:rsidR="009A71F7" w:rsidRDefault="009A71F7" w:rsidP="009A71F7">
      <w:pPr>
        <w:pStyle w:val="paragraph"/>
        <w:spacing w:before="0" w:after="0"/>
        <w:textAlignment w:val="baseline"/>
        <w:rPr>
          <w:rFonts w:ascii="Arial" w:hAnsi="Arial" w:cs="Arial"/>
          <w:color w:val="2C3E50"/>
          <w:shd w:val="clear" w:color="auto" w:fill="C0C0C0"/>
        </w:rPr>
      </w:pPr>
    </w:p>
    <w:p w14:paraId="4212110A" w14:textId="77777777" w:rsidR="009A71F7" w:rsidRDefault="009A71F7" w:rsidP="009A71F7">
      <w:pPr>
        <w:pStyle w:val="paragraph"/>
        <w:spacing w:before="0" w:after="0"/>
        <w:textAlignment w:val="baseline"/>
      </w:pPr>
      <w:r>
        <w:rPr>
          <w:rFonts w:ascii="Arial" w:hAnsi="Arial" w:cs="Arial"/>
          <w:color w:val="2C3E50"/>
          <w:shd w:val="clear" w:color="auto" w:fill="C0C0C0"/>
        </w:rPr>
        <w:t>Knauf, H. (2018) Visual Environmental Scale: Analysing the Early Childhood Education Environment. </w:t>
      </w:r>
      <w:r>
        <w:rPr>
          <w:rFonts w:ascii="Arial" w:hAnsi="Arial" w:cs="Arial"/>
          <w:i/>
          <w:iCs/>
          <w:color w:val="2C3E50"/>
          <w:shd w:val="clear" w:color="auto" w:fill="C0C0C0"/>
        </w:rPr>
        <w:t>Early Childhood Education Journal</w:t>
      </w:r>
      <w:r>
        <w:rPr>
          <w:rFonts w:ascii="Arial" w:hAnsi="Arial" w:cs="Arial"/>
          <w:color w:val="2C3E50"/>
          <w:shd w:val="clear" w:color="auto" w:fill="C0C0C0"/>
        </w:rPr>
        <w:t xml:space="preserve">, 47(1), pp.43–51. </w:t>
      </w:r>
      <w:proofErr w:type="spellStart"/>
      <w:r>
        <w:rPr>
          <w:rFonts w:ascii="Arial" w:hAnsi="Arial" w:cs="Arial"/>
          <w:color w:val="2C3E50"/>
          <w:shd w:val="clear" w:color="auto" w:fill="C0C0C0"/>
        </w:rPr>
        <w:t>doi:https</w:t>
      </w:r>
      <w:proofErr w:type="spellEnd"/>
      <w:r>
        <w:rPr>
          <w:rFonts w:ascii="Arial" w:hAnsi="Arial" w:cs="Arial"/>
          <w:color w:val="2C3E50"/>
          <w:shd w:val="clear" w:color="auto" w:fill="C0C0C0"/>
        </w:rPr>
        <w:t>://doi.org/10.1007/s10643-018-0914-x.</w:t>
      </w:r>
    </w:p>
    <w:p w14:paraId="4A248C51" w14:textId="77777777" w:rsidR="009A71F7" w:rsidRDefault="009A71F7" w:rsidP="009A71F7">
      <w:pPr>
        <w:pStyle w:val="paragraph"/>
        <w:spacing w:before="0" w:after="0"/>
        <w:textAlignment w:val="baseline"/>
      </w:pPr>
    </w:p>
    <w:p w14:paraId="7727D78A"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Little, H. (2013) ‘Mothers’ beliefs about risk and risk-taking in children’s outdoor play’, </w:t>
      </w:r>
      <w:r>
        <w:rPr>
          <w:rStyle w:val="normaltextrun"/>
          <w:rFonts w:ascii="Arial" w:hAnsi="Arial" w:cs="Arial"/>
          <w:i/>
          <w:iCs/>
          <w:shd w:val="clear" w:color="auto" w:fill="C0C0C0"/>
        </w:rPr>
        <w:t>Journal of Adventure Education and Outdoor Learning</w:t>
      </w:r>
      <w:r>
        <w:rPr>
          <w:rStyle w:val="normaltextrun"/>
          <w:rFonts w:ascii="Arial" w:hAnsi="Arial" w:cs="Arial"/>
          <w:shd w:val="clear" w:color="auto" w:fill="C0C0C0"/>
        </w:rPr>
        <w:t xml:space="preserve">, 15(1), pp. 24–39. Available at: </w:t>
      </w:r>
      <w:hyperlink r:id="rId11" w:history="1">
        <w:r>
          <w:rPr>
            <w:rStyle w:val="normaltextrun"/>
            <w:rFonts w:ascii="Arial" w:hAnsi="Arial" w:cs="Arial"/>
            <w:shd w:val="clear" w:color="auto" w:fill="C0C0C0"/>
          </w:rPr>
          <w:t>https://doi.org/10.1080/14729679.2013.842178</w:t>
        </w:r>
      </w:hyperlink>
      <w:r>
        <w:rPr>
          <w:rStyle w:val="normaltextrun"/>
          <w:rFonts w:ascii="Arial" w:hAnsi="Arial" w:cs="Arial"/>
          <w:shd w:val="clear" w:color="auto" w:fill="C0C0C0"/>
        </w:rPr>
        <w:t>.</w:t>
      </w:r>
      <w:r>
        <w:rPr>
          <w:rStyle w:val="eop"/>
          <w:rFonts w:ascii="Arial" w:hAnsi="Arial" w:cs="Arial"/>
          <w:shd w:val="clear" w:color="auto" w:fill="C0C0C0"/>
        </w:rPr>
        <w:t> </w:t>
      </w:r>
    </w:p>
    <w:p w14:paraId="4E84BA59" w14:textId="77777777" w:rsidR="009A71F7" w:rsidRDefault="009A71F7" w:rsidP="009A71F7">
      <w:pPr>
        <w:pStyle w:val="paragraph"/>
        <w:spacing w:before="0" w:after="0"/>
        <w:textAlignment w:val="baseline"/>
        <w:rPr>
          <w:rFonts w:ascii="Arial" w:hAnsi="Arial" w:cs="Arial"/>
          <w:color w:val="2C3E50"/>
          <w:shd w:val="clear" w:color="auto" w:fill="C0C0C0"/>
        </w:rPr>
      </w:pPr>
    </w:p>
    <w:p w14:paraId="54EDD3DA" w14:textId="77777777" w:rsidR="009A71F7" w:rsidRDefault="009A71F7" w:rsidP="009A71F7">
      <w:pPr>
        <w:pStyle w:val="paragraph"/>
        <w:spacing w:before="0" w:after="0"/>
        <w:textAlignment w:val="baseline"/>
      </w:pPr>
      <w:r>
        <w:rPr>
          <w:rFonts w:ascii="Arial" w:hAnsi="Arial" w:cs="Arial"/>
          <w:color w:val="2C3E50"/>
          <w:shd w:val="clear" w:color="auto" w:fill="C0C0C0"/>
        </w:rPr>
        <w:t>McLeod, S. (2023) </w:t>
      </w:r>
      <w:r>
        <w:rPr>
          <w:rFonts w:ascii="Arial" w:hAnsi="Arial" w:cs="Arial"/>
          <w:i/>
          <w:iCs/>
          <w:color w:val="2C3E50"/>
          <w:shd w:val="clear" w:color="auto" w:fill="C0C0C0"/>
        </w:rPr>
        <w:t>What’s the Difference between Qualitative and Quantitative research?</w:t>
      </w:r>
      <w:r>
        <w:rPr>
          <w:rFonts w:ascii="Arial" w:hAnsi="Arial" w:cs="Arial"/>
          <w:color w:val="2C3E50"/>
          <w:shd w:val="clear" w:color="auto" w:fill="C0C0C0"/>
        </w:rPr>
        <w:t> [online] Simply Psychology. Available at: https://www.simplypsychology.org/qualitative-quantitative.html.</w:t>
      </w:r>
    </w:p>
    <w:p w14:paraId="42E54523" w14:textId="77777777" w:rsidR="009A71F7" w:rsidRDefault="009A71F7" w:rsidP="009A71F7">
      <w:pPr>
        <w:rPr>
          <w:color w:val="2C3E50"/>
          <w:sz w:val="24"/>
          <w:szCs w:val="24"/>
          <w:shd w:val="clear" w:color="auto" w:fill="C0C0C0"/>
        </w:rPr>
      </w:pPr>
    </w:p>
    <w:p w14:paraId="709A1B9D" w14:textId="77777777" w:rsidR="009A71F7" w:rsidRDefault="009A71F7" w:rsidP="009A71F7">
      <w:r>
        <w:rPr>
          <w:color w:val="2C3E50"/>
          <w:sz w:val="24"/>
          <w:szCs w:val="24"/>
          <w:shd w:val="clear" w:color="auto" w:fill="C0C0C0"/>
        </w:rPr>
        <w:t>Newby, P. (2014) </w:t>
      </w:r>
      <w:r>
        <w:rPr>
          <w:i/>
          <w:iCs/>
          <w:color w:val="2C3E50"/>
          <w:sz w:val="24"/>
          <w:szCs w:val="24"/>
          <w:shd w:val="clear" w:color="auto" w:fill="C0C0C0"/>
        </w:rPr>
        <w:t>Research Methods for Education</w:t>
      </w:r>
      <w:r>
        <w:rPr>
          <w:color w:val="2C3E50"/>
          <w:sz w:val="24"/>
          <w:szCs w:val="24"/>
          <w:shd w:val="clear" w:color="auto" w:fill="C0C0C0"/>
        </w:rPr>
        <w:t xml:space="preserve">. 2nd </w:t>
      </w:r>
      <w:proofErr w:type="spellStart"/>
      <w:r>
        <w:rPr>
          <w:color w:val="2C3E50"/>
          <w:sz w:val="24"/>
          <w:szCs w:val="24"/>
          <w:shd w:val="clear" w:color="auto" w:fill="C0C0C0"/>
        </w:rPr>
        <w:t>edn</w:t>
      </w:r>
      <w:proofErr w:type="spellEnd"/>
      <w:r>
        <w:rPr>
          <w:color w:val="2C3E50"/>
          <w:sz w:val="24"/>
          <w:szCs w:val="24"/>
          <w:shd w:val="clear" w:color="auto" w:fill="C0C0C0"/>
        </w:rPr>
        <w:t>. London: Routledge.</w:t>
      </w:r>
    </w:p>
    <w:p w14:paraId="63225650" w14:textId="77777777" w:rsidR="009A71F7" w:rsidRDefault="009A71F7" w:rsidP="009A71F7">
      <w:r>
        <w:rPr>
          <w:color w:val="2C3E50"/>
          <w:sz w:val="24"/>
          <w:szCs w:val="24"/>
          <w:shd w:val="clear" w:color="auto" w:fill="C0C0C0"/>
        </w:rPr>
        <w:t xml:space="preserve">Noble, H. and </w:t>
      </w:r>
      <w:proofErr w:type="spellStart"/>
      <w:r>
        <w:rPr>
          <w:color w:val="2C3E50"/>
          <w:sz w:val="24"/>
          <w:szCs w:val="24"/>
          <w:shd w:val="clear" w:color="auto" w:fill="C0C0C0"/>
        </w:rPr>
        <w:t>Heale</w:t>
      </w:r>
      <w:proofErr w:type="spellEnd"/>
      <w:r>
        <w:rPr>
          <w:color w:val="2C3E50"/>
          <w:sz w:val="24"/>
          <w:szCs w:val="24"/>
          <w:shd w:val="clear" w:color="auto" w:fill="C0C0C0"/>
        </w:rPr>
        <w:t>, R. (2019) Triangulation in Research. </w:t>
      </w:r>
      <w:r>
        <w:rPr>
          <w:i/>
          <w:iCs/>
          <w:color w:val="2C3E50"/>
          <w:sz w:val="24"/>
          <w:szCs w:val="24"/>
          <w:shd w:val="clear" w:color="auto" w:fill="C0C0C0"/>
        </w:rPr>
        <w:t>Evidence Based Nursing</w:t>
      </w:r>
      <w:r>
        <w:rPr>
          <w:color w:val="2C3E50"/>
          <w:sz w:val="24"/>
          <w:szCs w:val="24"/>
          <w:shd w:val="clear" w:color="auto" w:fill="C0C0C0"/>
        </w:rPr>
        <w:t xml:space="preserve">, [online] 22(3), pp.67–68. </w:t>
      </w:r>
      <w:proofErr w:type="spellStart"/>
      <w:r>
        <w:rPr>
          <w:color w:val="2C3E50"/>
          <w:sz w:val="24"/>
          <w:szCs w:val="24"/>
          <w:shd w:val="clear" w:color="auto" w:fill="C0C0C0"/>
        </w:rPr>
        <w:t>doi:https</w:t>
      </w:r>
      <w:proofErr w:type="spellEnd"/>
      <w:r>
        <w:rPr>
          <w:color w:val="2C3E50"/>
          <w:sz w:val="24"/>
          <w:szCs w:val="24"/>
          <w:shd w:val="clear" w:color="auto" w:fill="C0C0C0"/>
        </w:rPr>
        <w:t>://doi.org/10.1136/ebnurs-2019-103145.</w:t>
      </w:r>
    </w:p>
    <w:p w14:paraId="375613B4" w14:textId="77777777" w:rsidR="009A71F7" w:rsidRDefault="009A71F7" w:rsidP="009A71F7">
      <w:r>
        <w:rPr>
          <w:color w:val="2C3E50"/>
          <w:sz w:val="24"/>
          <w:szCs w:val="24"/>
          <w:shd w:val="clear" w:color="auto" w:fill="C0C0C0"/>
        </w:rPr>
        <w:t>NSPCC Learning. (2023) </w:t>
      </w:r>
      <w:r>
        <w:rPr>
          <w:i/>
          <w:iCs/>
          <w:color w:val="2C3E50"/>
          <w:sz w:val="24"/>
          <w:szCs w:val="24"/>
          <w:shd w:val="clear" w:color="auto" w:fill="C0C0C0"/>
        </w:rPr>
        <w:t>Research with children: ethics, safety and promoting inclusion</w:t>
      </w:r>
      <w:r>
        <w:rPr>
          <w:color w:val="2C3E50"/>
          <w:sz w:val="24"/>
          <w:szCs w:val="24"/>
          <w:shd w:val="clear" w:color="auto" w:fill="C0C0C0"/>
        </w:rPr>
        <w:t>. [online] Available at: https://learning.nspcc.org.uk/research-resources/briefings/research-with-children-ethics-safety-promoting-inclusion#:~:text=If%20you%20are%20concerned%20about%20a%20child%201 [Accessed 21 May 2023].</w:t>
      </w:r>
    </w:p>
    <w:p w14:paraId="7C3EB5A8" w14:textId="77777777" w:rsidR="009A71F7" w:rsidRDefault="009A71F7" w:rsidP="009A71F7">
      <w:pPr>
        <w:pStyle w:val="paragraph"/>
        <w:spacing w:before="0" w:after="0"/>
        <w:textAlignment w:val="baseline"/>
      </w:pPr>
      <w:proofErr w:type="spellStart"/>
      <w:r>
        <w:rPr>
          <w:rStyle w:val="normaltextrun"/>
          <w:rFonts w:ascii="Arial" w:hAnsi="Arial" w:cs="Arial"/>
          <w:shd w:val="clear" w:color="auto" w:fill="C0C0C0"/>
        </w:rPr>
        <w:t>Obee</w:t>
      </w:r>
      <w:proofErr w:type="spellEnd"/>
      <w:r>
        <w:rPr>
          <w:rStyle w:val="normaltextrun"/>
          <w:rFonts w:ascii="Arial" w:hAnsi="Arial" w:cs="Arial"/>
          <w:shd w:val="clear" w:color="auto" w:fill="C0C0C0"/>
        </w:rPr>
        <w:t xml:space="preserve">, P., </w:t>
      </w:r>
      <w:proofErr w:type="spellStart"/>
      <w:r>
        <w:rPr>
          <w:rStyle w:val="normaltextrun"/>
          <w:rFonts w:ascii="Arial" w:hAnsi="Arial" w:cs="Arial"/>
          <w:shd w:val="clear" w:color="auto" w:fill="C0C0C0"/>
        </w:rPr>
        <w:t>Sandseter</w:t>
      </w:r>
      <w:proofErr w:type="spellEnd"/>
      <w:r>
        <w:rPr>
          <w:rStyle w:val="normaltextrun"/>
          <w:rFonts w:ascii="Arial" w:hAnsi="Arial" w:cs="Arial"/>
          <w:shd w:val="clear" w:color="auto" w:fill="C0C0C0"/>
        </w:rPr>
        <w:t xml:space="preserve">, E.B.H. and Harper, N.J. (2020) Children’s use of environmental features affording risky play in early childhood education and care. </w:t>
      </w:r>
      <w:r>
        <w:rPr>
          <w:rStyle w:val="normaltextrun"/>
          <w:rFonts w:ascii="Arial" w:hAnsi="Arial" w:cs="Arial"/>
          <w:i/>
          <w:iCs/>
          <w:shd w:val="clear" w:color="auto" w:fill="C0C0C0"/>
        </w:rPr>
        <w:t>Early Child Development and Care</w:t>
      </w:r>
      <w:r>
        <w:rPr>
          <w:rStyle w:val="normaltextrun"/>
          <w:rFonts w:ascii="Arial" w:hAnsi="Arial" w:cs="Arial"/>
          <w:shd w:val="clear" w:color="auto" w:fill="C0C0C0"/>
        </w:rPr>
        <w:t xml:space="preserve">, 191(16), pp.1–19. </w:t>
      </w:r>
      <w:proofErr w:type="spellStart"/>
      <w:r>
        <w:rPr>
          <w:rStyle w:val="normaltextrun"/>
          <w:rFonts w:ascii="Arial" w:hAnsi="Arial" w:cs="Arial"/>
          <w:shd w:val="clear" w:color="auto" w:fill="C0C0C0"/>
        </w:rPr>
        <w:t>doi:https</w:t>
      </w:r>
      <w:proofErr w:type="spellEnd"/>
      <w:r>
        <w:rPr>
          <w:rStyle w:val="normaltextrun"/>
          <w:rFonts w:ascii="Arial" w:hAnsi="Arial" w:cs="Arial"/>
          <w:shd w:val="clear" w:color="auto" w:fill="C0C0C0"/>
        </w:rPr>
        <w:t>://doi.org/10.1080/03004430.2020.1726904.</w:t>
      </w:r>
      <w:r>
        <w:rPr>
          <w:rStyle w:val="eop"/>
          <w:rFonts w:ascii="Arial" w:hAnsi="Arial" w:cs="Arial"/>
          <w:shd w:val="clear" w:color="auto" w:fill="C0C0C0"/>
        </w:rPr>
        <w:t> </w:t>
      </w:r>
    </w:p>
    <w:p w14:paraId="0CCBE2FF" w14:textId="77777777" w:rsidR="009A71F7" w:rsidRDefault="009A71F7" w:rsidP="009A71F7"/>
    <w:p w14:paraId="04D018F2" w14:textId="77777777" w:rsidR="009A71F7" w:rsidRDefault="009A71F7" w:rsidP="009A71F7">
      <w:proofErr w:type="spellStart"/>
      <w:r>
        <w:rPr>
          <w:rStyle w:val="normaltextrun"/>
          <w:sz w:val="24"/>
          <w:szCs w:val="24"/>
          <w:shd w:val="clear" w:color="auto" w:fill="C0C0C0"/>
        </w:rPr>
        <w:t>Obee</w:t>
      </w:r>
      <w:proofErr w:type="spellEnd"/>
      <w:r>
        <w:rPr>
          <w:rStyle w:val="normaltextrun"/>
          <w:sz w:val="24"/>
          <w:szCs w:val="24"/>
          <w:shd w:val="clear" w:color="auto" w:fill="C0C0C0"/>
        </w:rPr>
        <w:t xml:space="preserve">, P., </w:t>
      </w:r>
      <w:proofErr w:type="spellStart"/>
      <w:r>
        <w:rPr>
          <w:rStyle w:val="normaltextrun"/>
          <w:sz w:val="24"/>
          <w:szCs w:val="24"/>
          <w:shd w:val="clear" w:color="auto" w:fill="C0C0C0"/>
        </w:rPr>
        <w:t>Sandseter</w:t>
      </w:r>
      <w:proofErr w:type="spellEnd"/>
      <w:r>
        <w:rPr>
          <w:rStyle w:val="normaltextrun"/>
          <w:sz w:val="24"/>
          <w:szCs w:val="24"/>
          <w:shd w:val="clear" w:color="auto" w:fill="C0C0C0"/>
        </w:rPr>
        <w:t xml:space="preserve">, E.B.H., Gerlach, A. and Harper, N.J. (2020) Lessons Learned from Norway on Risky Play in Early Childhood Education and Care (ECEC). </w:t>
      </w:r>
      <w:r>
        <w:rPr>
          <w:rStyle w:val="normaltextrun"/>
          <w:i/>
          <w:iCs/>
          <w:sz w:val="24"/>
          <w:szCs w:val="24"/>
          <w:shd w:val="clear" w:color="auto" w:fill="C0C0C0"/>
        </w:rPr>
        <w:t>Early Childhood Education Journal</w:t>
      </w:r>
      <w:r>
        <w:rPr>
          <w:rStyle w:val="normaltextrun"/>
          <w:sz w:val="24"/>
          <w:szCs w:val="24"/>
          <w:shd w:val="clear" w:color="auto" w:fill="C0C0C0"/>
        </w:rPr>
        <w:t xml:space="preserve">. </w:t>
      </w:r>
      <w:proofErr w:type="spellStart"/>
      <w:r>
        <w:rPr>
          <w:rStyle w:val="normaltextrun"/>
          <w:sz w:val="24"/>
          <w:szCs w:val="24"/>
          <w:shd w:val="clear" w:color="auto" w:fill="C0C0C0"/>
        </w:rPr>
        <w:t>doi:https</w:t>
      </w:r>
      <w:proofErr w:type="spellEnd"/>
      <w:r>
        <w:rPr>
          <w:rStyle w:val="normaltextrun"/>
          <w:sz w:val="24"/>
          <w:szCs w:val="24"/>
          <w:shd w:val="clear" w:color="auto" w:fill="C0C0C0"/>
        </w:rPr>
        <w:t>://doi.org/10.1007/s10643-020-01044-6.</w:t>
      </w:r>
      <w:r>
        <w:rPr>
          <w:rStyle w:val="eop"/>
          <w:sz w:val="24"/>
          <w:szCs w:val="24"/>
          <w:shd w:val="clear" w:color="auto" w:fill="C0C0C0"/>
        </w:rPr>
        <w:t> </w:t>
      </w:r>
    </w:p>
    <w:p w14:paraId="3E59BA41" w14:textId="77777777" w:rsidR="009A71F7" w:rsidRDefault="009A71F7" w:rsidP="009A71F7">
      <w:pPr>
        <w:rPr>
          <w:color w:val="2C3E50"/>
          <w:sz w:val="24"/>
          <w:szCs w:val="24"/>
          <w:shd w:val="clear" w:color="auto" w:fill="C0C0C0"/>
        </w:rPr>
      </w:pPr>
      <w:r>
        <w:rPr>
          <w:color w:val="2C3E50"/>
          <w:sz w:val="24"/>
          <w:szCs w:val="24"/>
          <w:shd w:val="clear" w:color="auto" w:fill="C0C0C0"/>
        </w:rPr>
        <w:t xml:space="preserve">Page, J., Clare, A. and Nutbrown, C. (2013) Working with Babies &amp; Children: From Birth to Three. </w:t>
      </w:r>
      <w:proofErr w:type="spellStart"/>
      <w:r>
        <w:rPr>
          <w:color w:val="2C3E50"/>
          <w:sz w:val="24"/>
          <w:szCs w:val="24"/>
          <w:shd w:val="clear" w:color="auto" w:fill="C0C0C0"/>
        </w:rPr>
        <w:t>doi:https</w:t>
      </w:r>
      <w:proofErr w:type="spellEnd"/>
      <w:r>
        <w:rPr>
          <w:color w:val="2C3E50"/>
          <w:sz w:val="24"/>
          <w:szCs w:val="24"/>
          <w:shd w:val="clear" w:color="auto" w:fill="C0C0C0"/>
        </w:rPr>
        <w:t>://doi.org/10.4135/9781526408099.</w:t>
      </w:r>
    </w:p>
    <w:p w14:paraId="134B2E40" w14:textId="77777777" w:rsidR="009A71F7" w:rsidRDefault="009A71F7" w:rsidP="009A71F7">
      <w:r>
        <w:rPr>
          <w:color w:val="212121"/>
          <w:sz w:val="24"/>
          <w:szCs w:val="24"/>
          <w:shd w:val="clear" w:color="auto" w:fill="C0C0C0"/>
        </w:rPr>
        <w:t xml:space="preserve">Peters K, Halcomb E. (2015) Interviews in qualitative research. </w:t>
      </w:r>
      <w:r>
        <w:rPr>
          <w:i/>
          <w:iCs/>
          <w:color w:val="212121"/>
          <w:sz w:val="24"/>
          <w:szCs w:val="24"/>
          <w:shd w:val="clear" w:color="auto" w:fill="C0C0C0"/>
        </w:rPr>
        <w:t>National Library of Medicine: National Center for Biotechnology Information, 22</w:t>
      </w:r>
      <w:r>
        <w:rPr>
          <w:color w:val="212121"/>
          <w:sz w:val="24"/>
          <w:szCs w:val="24"/>
          <w:shd w:val="clear" w:color="auto" w:fill="C0C0C0"/>
        </w:rPr>
        <w:t xml:space="preserve">(4):6-7. </w:t>
      </w:r>
      <w:proofErr w:type="spellStart"/>
      <w:r>
        <w:rPr>
          <w:color w:val="212121"/>
          <w:sz w:val="24"/>
          <w:szCs w:val="24"/>
          <w:shd w:val="clear" w:color="auto" w:fill="C0C0C0"/>
        </w:rPr>
        <w:t>doi</w:t>
      </w:r>
      <w:proofErr w:type="spellEnd"/>
      <w:r>
        <w:rPr>
          <w:color w:val="212121"/>
          <w:sz w:val="24"/>
          <w:szCs w:val="24"/>
          <w:shd w:val="clear" w:color="auto" w:fill="C0C0C0"/>
        </w:rPr>
        <w:t>: 10.7748/nr.22.4.6.s2. PMID: 25783145.</w:t>
      </w:r>
    </w:p>
    <w:p w14:paraId="463A1089" w14:textId="77777777" w:rsidR="009A71F7" w:rsidRDefault="009A71F7" w:rsidP="009A71F7">
      <w:r>
        <w:rPr>
          <w:color w:val="2C3E50"/>
          <w:sz w:val="24"/>
          <w:szCs w:val="24"/>
          <w:shd w:val="clear" w:color="auto" w:fill="C0C0C0"/>
        </w:rPr>
        <w:t>Research with Children and Young People. (2019) </w:t>
      </w:r>
      <w:r>
        <w:rPr>
          <w:i/>
          <w:iCs/>
          <w:color w:val="2C3E50"/>
          <w:sz w:val="24"/>
          <w:szCs w:val="24"/>
          <w:shd w:val="clear" w:color="auto" w:fill="C0C0C0"/>
        </w:rPr>
        <w:t>UCL REC</w:t>
      </w:r>
      <w:r>
        <w:rPr>
          <w:color w:val="2C3E50"/>
          <w:sz w:val="24"/>
          <w:szCs w:val="24"/>
          <w:shd w:val="clear" w:color="auto" w:fill="C0C0C0"/>
        </w:rPr>
        <w:t>. [online] Available at: https://ethics.grad.ucl.ac.uk/res_with_children.php#ericchart [Accessed 22 May 2023].</w:t>
      </w:r>
    </w:p>
    <w:p w14:paraId="3C9935F4" w14:textId="77777777" w:rsidR="009A71F7" w:rsidRDefault="009A71F7" w:rsidP="009A71F7">
      <w:pPr>
        <w:pStyle w:val="paragraph"/>
        <w:spacing w:before="0" w:after="0"/>
        <w:textAlignment w:val="baseline"/>
      </w:pPr>
    </w:p>
    <w:p w14:paraId="5CB7B7D7"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Roberts-Holmes, G. (2018) </w:t>
      </w:r>
      <w:r>
        <w:rPr>
          <w:rStyle w:val="normaltextrun"/>
          <w:rFonts w:ascii="Arial" w:hAnsi="Arial" w:cs="Arial"/>
          <w:i/>
          <w:iCs/>
          <w:shd w:val="clear" w:color="auto" w:fill="C0C0C0"/>
        </w:rPr>
        <w:t xml:space="preserve">Doing your Early Years Research Project: A step-by-step guide. </w:t>
      </w:r>
      <w:r>
        <w:rPr>
          <w:rStyle w:val="normaltextrun"/>
          <w:rFonts w:ascii="Arial" w:hAnsi="Arial" w:cs="Arial"/>
          <w:shd w:val="clear" w:color="auto" w:fill="C0C0C0"/>
        </w:rPr>
        <w:t xml:space="preserve">London: Sage Publications Ltd. </w:t>
      </w:r>
      <w:r>
        <w:rPr>
          <w:rStyle w:val="eop"/>
          <w:rFonts w:ascii="Arial" w:hAnsi="Arial" w:cs="Arial"/>
          <w:shd w:val="clear" w:color="auto" w:fill="C0C0C0"/>
        </w:rPr>
        <w:t> </w:t>
      </w:r>
    </w:p>
    <w:p w14:paraId="0F14AA05" w14:textId="77777777" w:rsidR="009A71F7" w:rsidRDefault="009A71F7" w:rsidP="009A71F7">
      <w:pPr>
        <w:pStyle w:val="paragraph"/>
        <w:spacing w:before="0" w:after="0"/>
        <w:textAlignment w:val="baseline"/>
        <w:rPr>
          <w:rFonts w:ascii="Arial" w:hAnsi="Arial" w:cs="Arial"/>
          <w:color w:val="2C3E50"/>
          <w:shd w:val="clear" w:color="auto" w:fill="C0C0C0"/>
        </w:rPr>
      </w:pPr>
    </w:p>
    <w:p w14:paraId="26CB3F69" w14:textId="77777777" w:rsidR="009A71F7" w:rsidRDefault="009A71F7" w:rsidP="009A71F7">
      <w:pPr>
        <w:pStyle w:val="paragraph"/>
        <w:spacing w:before="0" w:after="0"/>
        <w:textAlignment w:val="baseline"/>
      </w:pPr>
      <w:r>
        <w:rPr>
          <w:rFonts w:ascii="Arial" w:hAnsi="Arial" w:cs="Arial"/>
          <w:color w:val="2C3E50"/>
          <w:shd w:val="clear" w:color="auto" w:fill="C0C0C0"/>
        </w:rPr>
        <w:t xml:space="preserve">Rubin, H.J. and Rubin, I.S. (2011) </w:t>
      </w:r>
      <w:r>
        <w:rPr>
          <w:rFonts w:ascii="Arial" w:hAnsi="Arial" w:cs="Arial"/>
          <w:i/>
          <w:iCs/>
          <w:color w:val="2C3E50"/>
          <w:shd w:val="clear" w:color="auto" w:fill="C0C0C0"/>
        </w:rPr>
        <w:t>Qualitative interviewing: The art of hearing data</w:t>
      </w:r>
      <w:r>
        <w:rPr>
          <w:rFonts w:ascii="Arial" w:hAnsi="Arial" w:cs="Arial"/>
          <w:color w:val="2C3E50"/>
          <w:shd w:val="clear" w:color="auto" w:fill="C0C0C0"/>
        </w:rPr>
        <w:t xml:space="preserve">. 3rd </w:t>
      </w:r>
      <w:proofErr w:type="spellStart"/>
      <w:r>
        <w:rPr>
          <w:rFonts w:ascii="Arial" w:hAnsi="Arial" w:cs="Arial"/>
          <w:color w:val="2C3E50"/>
          <w:shd w:val="clear" w:color="auto" w:fill="C0C0C0"/>
        </w:rPr>
        <w:t>edn</w:t>
      </w:r>
      <w:proofErr w:type="spellEnd"/>
      <w:r>
        <w:rPr>
          <w:rFonts w:ascii="Arial" w:hAnsi="Arial" w:cs="Arial"/>
          <w:color w:val="2C3E50"/>
          <w:shd w:val="clear" w:color="auto" w:fill="C0C0C0"/>
        </w:rPr>
        <w:t>. Los Angeles: SAGE Publications.</w:t>
      </w:r>
    </w:p>
    <w:p w14:paraId="5E4C5E75" w14:textId="77777777" w:rsidR="009A71F7" w:rsidRDefault="009A71F7" w:rsidP="009A71F7">
      <w:pPr>
        <w:rPr>
          <w:color w:val="2C3E50"/>
          <w:sz w:val="24"/>
          <w:szCs w:val="24"/>
          <w:shd w:val="clear" w:color="auto" w:fill="C0C0C0"/>
        </w:rPr>
      </w:pPr>
    </w:p>
    <w:p w14:paraId="32D09B00" w14:textId="77777777" w:rsidR="009A71F7" w:rsidRDefault="009A71F7" w:rsidP="009A71F7">
      <w:r>
        <w:rPr>
          <w:color w:val="2C3E50"/>
          <w:sz w:val="24"/>
          <w:szCs w:val="24"/>
          <w:shd w:val="clear" w:color="auto" w:fill="C0C0C0"/>
        </w:rPr>
        <w:t>Sharp, J. (2012) </w:t>
      </w:r>
      <w:r>
        <w:rPr>
          <w:i/>
          <w:iCs/>
          <w:color w:val="2C3E50"/>
          <w:sz w:val="24"/>
          <w:szCs w:val="24"/>
          <w:shd w:val="clear" w:color="auto" w:fill="C0C0C0"/>
        </w:rPr>
        <w:t>Success with your education research project.</w:t>
      </w:r>
      <w:r>
        <w:rPr>
          <w:color w:val="2C3E50"/>
          <w:sz w:val="24"/>
          <w:szCs w:val="24"/>
          <w:shd w:val="clear" w:color="auto" w:fill="C0C0C0"/>
        </w:rPr>
        <w:t xml:space="preserve"> London: Sage </w:t>
      </w:r>
      <w:r>
        <w:rPr>
          <w:color w:val="2C3E50"/>
          <w:sz w:val="24"/>
          <w:szCs w:val="24"/>
          <w:shd w:val="clear" w:color="auto" w:fill="C0C0C0"/>
        </w:rPr>
        <w:lastRenderedPageBreak/>
        <w:t>Publications Ltd.</w:t>
      </w:r>
    </w:p>
    <w:p w14:paraId="07D72971" w14:textId="77777777" w:rsidR="009A71F7" w:rsidRDefault="009A71F7" w:rsidP="009A71F7">
      <w:r>
        <w:rPr>
          <w:color w:val="2C3E50"/>
          <w:sz w:val="24"/>
          <w:szCs w:val="24"/>
          <w:shd w:val="clear" w:color="auto" w:fill="C0C0C0"/>
        </w:rPr>
        <w:t xml:space="preserve">Shortcuts TV. (2018) </w:t>
      </w:r>
      <w:r>
        <w:rPr>
          <w:i/>
          <w:iCs/>
          <w:color w:val="2C3E50"/>
          <w:sz w:val="24"/>
          <w:szCs w:val="24"/>
          <w:shd w:val="clear" w:color="auto" w:fill="C0C0C0"/>
        </w:rPr>
        <w:t>Core Concepts in Research: Sampling</w:t>
      </w:r>
      <w:r>
        <w:rPr>
          <w:color w:val="2C3E50"/>
          <w:sz w:val="24"/>
          <w:szCs w:val="24"/>
          <w:shd w:val="clear" w:color="auto" w:fill="C0C0C0"/>
        </w:rPr>
        <w:t>. [Video] Available at: https://video-alexanderstreet.com.ezproxy.uwtsd.ac.uk/watch/sampling?utm_campaign=Video&amp;utm_medium=MARC&amp;utm_source=aspresolver</w:t>
      </w:r>
    </w:p>
    <w:p w14:paraId="645D90BE" w14:textId="77777777" w:rsidR="009A71F7" w:rsidRDefault="009A71F7" w:rsidP="009A71F7">
      <w:pPr>
        <w:pStyle w:val="paragraph"/>
        <w:spacing w:before="0" w:after="0"/>
        <w:textAlignment w:val="baseline"/>
      </w:pPr>
      <w:r>
        <w:rPr>
          <w:rFonts w:ascii="Arial" w:hAnsi="Arial" w:cs="Arial"/>
          <w:color w:val="374151"/>
          <w:shd w:val="clear" w:color="auto" w:fill="C0C0C0"/>
        </w:rPr>
        <w:t xml:space="preserve">Smith, A. (2018) </w:t>
      </w:r>
      <w:r>
        <w:rPr>
          <w:rFonts w:ascii="Arial" w:hAnsi="Arial" w:cs="Arial"/>
          <w:i/>
          <w:iCs/>
          <w:color w:val="374151"/>
          <w:shd w:val="clear" w:color="auto" w:fill="C0C0C0"/>
        </w:rPr>
        <w:t>Ethics in Educational Research.</w:t>
      </w:r>
      <w:r>
        <w:rPr>
          <w:rFonts w:ascii="Arial" w:hAnsi="Arial" w:cs="Arial"/>
          <w:color w:val="374151"/>
          <w:shd w:val="clear" w:color="auto" w:fill="C0C0C0"/>
        </w:rPr>
        <w:t xml:space="preserve">  </w:t>
      </w:r>
    </w:p>
    <w:p w14:paraId="7486A7CE" w14:textId="77777777" w:rsidR="009A71F7" w:rsidRDefault="009A71F7" w:rsidP="009A71F7">
      <w:pPr>
        <w:pStyle w:val="paragraph"/>
        <w:spacing w:before="0" w:after="0"/>
        <w:textAlignment w:val="baseline"/>
        <w:rPr>
          <w:rFonts w:ascii="Arial" w:hAnsi="Arial" w:cs="Arial"/>
          <w:color w:val="2C3E50"/>
          <w:shd w:val="clear" w:color="auto" w:fill="C0C0C0"/>
        </w:rPr>
      </w:pPr>
    </w:p>
    <w:p w14:paraId="6CE0816B" w14:textId="77777777" w:rsidR="009A71F7" w:rsidRDefault="009A71F7" w:rsidP="009A71F7">
      <w:pPr>
        <w:pStyle w:val="paragraph"/>
        <w:spacing w:before="0" w:after="0"/>
        <w:textAlignment w:val="baseline"/>
      </w:pPr>
      <w:r>
        <w:rPr>
          <w:rFonts w:ascii="Arial" w:hAnsi="Arial" w:cs="Arial"/>
          <w:color w:val="2C3E50"/>
          <w:shd w:val="clear" w:color="auto" w:fill="C0C0C0"/>
        </w:rPr>
        <w:t xml:space="preserve">Smith, J.A. (2015) </w:t>
      </w:r>
      <w:r>
        <w:rPr>
          <w:rFonts w:ascii="Arial" w:hAnsi="Arial" w:cs="Arial"/>
          <w:i/>
          <w:iCs/>
          <w:color w:val="2C3E50"/>
          <w:shd w:val="clear" w:color="auto" w:fill="C0C0C0"/>
        </w:rPr>
        <w:t>Qualitative Psychology: A Practical Guide to Research Methods.</w:t>
      </w:r>
      <w:r>
        <w:rPr>
          <w:rFonts w:ascii="Arial" w:hAnsi="Arial" w:cs="Arial"/>
          <w:color w:val="2C3E50"/>
          <w:shd w:val="clear" w:color="auto" w:fill="C0C0C0"/>
        </w:rPr>
        <w:t xml:space="preserve"> 3rd </w:t>
      </w:r>
      <w:proofErr w:type="spellStart"/>
      <w:r>
        <w:rPr>
          <w:rFonts w:ascii="Arial" w:hAnsi="Arial" w:cs="Arial"/>
          <w:color w:val="2C3E50"/>
          <w:shd w:val="clear" w:color="auto" w:fill="C0C0C0"/>
        </w:rPr>
        <w:t>edn</w:t>
      </w:r>
      <w:proofErr w:type="spellEnd"/>
      <w:r>
        <w:rPr>
          <w:rFonts w:ascii="Arial" w:hAnsi="Arial" w:cs="Arial"/>
          <w:color w:val="2C3E50"/>
          <w:shd w:val="clear" w:color="auto" w:fill="C0C0C0"/>
        </w:rPr>
        <w:t>. Los Angeles: SAGE Publications.</w:t>
      </w:r>
    </w:p>
    <w:p w14:paraId="7BD1E22C" w14:textId="77777777" w:rsidR="009A71F7" w:rsidRDefault="009A71F7" w:rsidP="009A71F7">
      <w:pPr>
        <w:rPr>
          <w:color w:val="2C3E50"/>
          <w:sz w:val="24"/>
          <w:szCs w:val="24"/>
          <w:shd w:val="clear" w:color="auto" w:fill="C0C0C0"/>
        </w:rPr>
      </w:pPr>
    </w:p>
    <w:p w14:paraId="3DDEBF60" w14:textId="77777777" w:rsidR="009A71F7" w:rsidRDefault="009A71F7" w:rsidP="009A71F7">
      <w:r>
        <w:rPr>
          <w:color w:val="2C3E50"/>
          <w:sz w:val="24"/>
          <w:szCs w:val="24"/>
          <w:shd w:val="clear" w:color="auto" w:fill="C0C0C0"/>
        </w:rPr>
        <w:t>Sociology group. (2019) </w:t>
      </w:r>
      <w:r>
        <w:rPr>
          <w:i/>
          <w:iCs/>
          <w:color w:val="2C3E50"/>
          <w:sz w:val="24"/>
          <w:szCs w:val="24"/>
          <w:shd w:val="clear" w:color="auto" w:fill="C0C0C0"/>
        </w:rPr>
        <w:t>Advantages and Disadvantages of Interview in Research</w:t>
      </w:r>
      <w:r>
        <w:rPr>
          <w:color w:val="2C3E50"/>
          <w:sz w:val="24"/>
          <w:szCs w:val="24"/>
          <w:shd w:val="clear" w:color="auto" w:fill="C0C0C0"/>
        </w:rPr>
        <w:t xml:space="preserve">. [online] Sociology Group: Sociology and Other Social Sciences Blog. Available at: </w:t>
      </w:r>
      <w:hyperlink r:id="rId12" w:history="1">
        <w:r>
          <w:rPr>
            <w:rStyle w:val="Hyperlink"/>
            <w:sz w:val="24"/>
            <w:szCs w:val="24"/>
            <w:shd w:val="clear" w:color="auto" w:fill="C0C0C0"/>
          </w:rPr>
          <w:t>https://www.sociologygroup.com/advantages-disadvantages-interview-research/#:~:text=There%20are%20certain%20disadvantages%20of%20interview%20studies%20as</w:t>
        </w:r>
      </w:hyperlink>
      <w:r>
        <w:rPr>
          <w:color w:val="2C3E50"/>
          <w:sz w:val="24"/>
          <w:szCs w:val="24"/>
          <w:shd w:val="clear" w:color="auto" w:fill="C0C0C0"/>
        </w:rPr>
        <w:t>.</w:t>
      </w:r>
    </w:p>
    <w:p w14:paraId="2560966D"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Spencer, R.A. </w:t>
      </w:r>
      <w:r>
        <w:rPr>
          <w:rStyle w:val="normaltextrun"/>
          <w:rFonts w:ascii="Arial" w:hAnsi="Arial" w:cs="Arial"/>
          <w:i/>
          <w:iCs/>
          <w:shd w:val="clear" w:color="auto" w:fill="C0C0C0"/>
        </w:rPr>
        <w:t>et al.</w:t>
      </w:r>
      <w:r>
        <w:rPr>
          <w:rStyle w:val="normaltextrun"/>
          <w:rFonts w:ascii="Arial" w:hAnsi="Arial" w:cs="Arial"/>
          <w:shd w:val="clear" w:color="auto" w:fill="C0C0C0"/>
        </w:rPr>
        <w:t xml:space="preserve"> (2021) ‘Early childhood educator perceptions of risky play in an outdoor loose parts intervention’, </w:t>
      </w:r>
      <w:r>
        <w:rPr>
          <w:rStyle w:val="normaltextrun"/>
          <w:rFonts w:ascii="Arial" w:hAnsi="Arial" w:cs="Arial"/>
          <w:i/>
          <w:iCs/>
          <w:shd w:val="clear" w:color="auto" w:fill="C0C0C0"/>
        </w:rPr>
        <w:t>AIMS Public Health</w:t>
      </w:r>
      <w:r>
        <w:rPr>
          <w:rStyle w:val="normaltextrun"/>
          <w:rFonts w:ascii="Arial" w:hAnsi="Arial" w:cs="Arial"/>
          <w:shd w:val="clear" w:color="auto" w:fill="C0C0C0"/>
        </w:rPr>
        <w:t xml:space="preserve">, 8(2), pp. 213–228. Available at: </w:t>
      </w:r>
      <w:hyperlink r:id="rId13" w:history="1">
        <w:r>
          <w:rPr>
            <w:rStyle w:val="normaltextrun"/>
            <w:rFonts w:ascii="Arial" w:hAnsi="Arial" w:cs="Arial"/>
            <w:shd w:val="clear" w:color="auto" w:fill="C0C0C0"/>
          </w:rPr>
          <w:t>https://doi.org/10.3934/publichealth.2021017</w:t>
        </w:r>
      </w:hyperlink>
      <w:r>
        <w:rPr>
          <w:rStyle w:val="normaltextrun"/>
          <w:rFonts w:ascii="Arial" w:hAnsi="Arial" w:cs="Arial"/>
          <w:shd w:val="clear" w:color="auto" w:fill="C0C0C0"/>
        </w:rPr>
        <w:t>.</w:t>
      </w:r>
      <w:r>
        <w:rPr>
          <w:rStyle w:val="eop"/>
          <w:rFonts w:ascii="Arial" w:hAnsi="Arial" w:cs="Arial"/>
          <w:shd w:val="clear" w:color="auto" w:fill="C0C0C0"/>
        </w:rPr>
        <w:t> </w:t>
      </w:r>
    </w:p>
    <w:p w14:paraId="05779131" w14:textId="77777777" w:rsidR="009A71F7" w:rsidRDefault="009A71F7" w:rsidP="009A71F7">
      <w:pPr>
        <w:pStyle w:val="paragraph"/>
        <w:spacing w:before="0" w:after="0"/>
        <w:textAlignment w:val="baseline"/>
        <w:rPr>
          <w:rFonts w:ascii="Arial" w:hAnsi="Arial" w:cs="Arial"/>
          <w:shd w:val="clear" w:color="auto" w:fill="C0C0C0"/>
        </w:rPr>
      </w:pPr>
    </w:p>
    <w:p w14:paraId="5709C41D" w14:textId="77777777" w:rsidR="009A71F7" w:rsidRDefault="009A71F7" w:rsidP="009A71F7">
      <w:pPr>
        <w:pStyle w:val="paragraph"/>
        <w:spacing w:before="0" w:after="0"/>
        <w:textAlignment w:val="baseline"/>
      </w:pPr>
      <w:r>
        <w:rPr>
          <w:rFonts w:ascii="Arial" w:hAnsi="Arial" w:cs="Arial"/>
          <w:shd w:val="clear" w:color="auto" w:fill="C0C0C0"/>
        </w:rPr>
        <w:t xml:space="preserve">The Health and Safety Executive. (2012) </w:t>
      </w:r>
      <w:r>
        <w:rPr>
          <w:rFonts w:ascii="Arial" w:hAnsi="Arial" w:cs="Arial"/>
          <w:i/>
          <w:iCs/>
          <w:shd w:val="clear" w:color="auto" w:fill="C0C0C0"/>
        </w:rPr>
        <w:t>CHILDREN’S PLAY AND LEISURE -PROMOTING A BALANCED APPROACH.</w:t>
      </w:r>
      <w:r>
        <w:rPr>
          <w:rFonts w:ascii="Arial" w:hAnsi="Arial" w:cs="Arial"/>
          <w:shd w:val="clear" w:color="auto" w:fill="C0C0C0"/>
        </w:rPr>
        <w:t xml:space="preserve"> Available at: </w:t>
      </w:r>
      <w:hyperlink r:id="rId14" w:history="1">
        <w:r>
          <w:rPr>
            <w:rStyle w:val="Hyperlink"/>
            <w:rFonts w:ascii="Arial" w:hAnsi="Arial" w:cs="Arial"/>
            <w:shd w:val="clear" w:color="auto" w:fill="C0C0C0"/>
          </w:rPr>
          <w:t>https://www.hse.gov.uk/entertainment/childrens-play-july-2012.pdf</w:t>
        </w:r>
      </w:hyperlink>
      <w:r>
        <w:rPr>
          <w:rFonts w:ascii="Arial" w:hAnsi="Arial" w:cs="Arial"/>
          <w:shd w:val="clear" w:color="auto" w:fill="C0C0C0"/>
        </w:rPr>
        <w:t>.</w:t>
      </w:r>
    </w:p>
    <w:p w14:paraId="2CB57908" w14:textId="77777777" w:rsidR="009A71F7" w:rsidRDefault="009A71F7" w:rsidP="009A71F7">
      <w:pPr>
        <w:pStyle w:val="paragraph"/>
        <w:spacing w:before="0" w:after="0"/>
        <w:textAlignment w:val="baseline"/>
      </w:pPr>
      <w:r>
        <w:rPr>
          <w:rStyle w:val="normaltextrun"/>
          <w:rFonts w:ascii="Arial" w:hAnsi="Arial" w:cs="Arial"/>
          <w:shd w:val="clear" w:color="auto" w:fill="C0C0C0"/>
        </w:rPr>
        <w:t xml:space="preserve">Theodora </w:t>
      </w:r>
      <w:proofErr w:type="spellStart"/>
      <w:r>
        <w:rPr>
          <w:rStyle w:val="normaltextrun"/>
          <w:rFonts w:ascii="Arial" w:hAnsi="Arial" w:cs="Arial"/>
          <w:shd w:val="clear" w:color="auto" w:fill="C0C0C0"/>
        </w:rPr>
        <w:t>Papatheodorou</w:t>
      </w:r>
      <w:proofErr w:type="spellEnd"/>
      <w:r>
        <w:rPr>
          <w:rStyle w:val="normaltextrun"/>
          <w:rFonts w:ascii="Arial" w:hAnsi="Arial" w:cs="Arial"/>
          <w:shd w:val="clear" w:color="auto" w:fill="C0C0C0"/>
        </w:rPr>
        <w:t>, Paulette Luff, &amp; Janet Gill. (2013). Child Observation for Learning and Research. Routledge.</w:t>
      </w:r>
      <w:r>
        <w:rPr>
          <w:rStyle w:val="eop"/>
          <w:rFonts w:ascii="Arial" w:hAnsi="Arial" w:cs="Arial"/>
          <w:shd w:val="clear" w:color="auto" w:fill="C0C0C0"/>
        </w:rPr>
        <w:t> </w:t>
      </w:r>
    </w:p>
    <w:p w14:paraId="48F10258" w14:textId="77777777" w:rsidR="009A71F7" w:rsidRDefault="009A71F7" w:rsidP="009A71F7">
      <w:pPr>
        <w:pStyle w:val="paragraph"/>
        <w:spacing w:before="0" w:after="0"/>
        <w:textAlignment w:val="baseline"/>
      </w:pPr>
    </w:p>
    <w:p w14:paraId="60F3CD06" w14:textId="77777777" w:rsidR="009A71F7" w:rsidRDefault="009A71F7" w:rsidP="009A71F7">
      <w:pPr>
        <w:pStyle w:val="paragraph"/>
        <w:spacing w:before="0" w:after="0"/>
        <w:textAlignment w:val="baseline"/>
      </w:pPr>
      <w:proofErr w:type="spellStart"/>
      <w:r>
        <w:rPr>
          <w:rStyle w:val="normaltextrun"/>
          <w:rFonts w:ascii="Arial" w:hAnsi="Arial" w:cs="Arial"/>
          <w:shd w:val="clear" w:color="auto" w:fill="C0C0C0"/>
        </w:rPr>
        <w:t>Tytler</w:t>
      </w:r>
      <w:proofErr w:type="spellEnd"/>
      <w:r>
        <w:rPr>
          <w:rStyle w:val="normaltextrun"/>
          <w:rFonts w:ascii="Arial" w:hAnsi="Arial" w:cs="Arial"/>
          <w:shd w:val="clear" w:color="auto" w:fill="C0C0C0"/>
        </w:rPr>
        <w:t xml:space="preserve">, K. (2016) ‘“It’s Just Because It Went Really High and We Go </w:t>
      </w:r>
      <w:proofErr w:type="spellStart"/>
      <w:r>
        <w:rPr>
          <w:rStyle w:val="normaltextrun"/>
          <w:rFonts w:ascii="Arial" w:hAnsi="Arial" w:cs="Arial"/>
          <w:shd w:val="clear" w:color="auto" w:fill="C0C0C0"/>
        </w:rPr>
        <w:t>Wheeeee</w:t>
      </w:r>
      <w:proofErr w:type="spellEnd"/>
      <w:r>
        <w:rPr>
          <w:rStyle w:val="normaltextrun"/>
          <w:rFonts w:ascii="Arial" w:hAnsi="Arial" w:cs="Arial"/>
          <w:shd w:val="clear" w:color="auto" w:fill="C0C0C0"/>
        </w:rPr>
        <w:t xml:space="preserve">…!”: Young Children’s Views on Risk-Taking Play in Their Early Years Setting’ </w:t>
      </w:r>
      <w:r>
        <w:rPr>
          <w:rStyle w:val="normaltextrun"/>
          <w:rFonts w:ascii="Arial" w:hAnsi="Arial" w:cs="Arial"/>
          <w:i/>
          <w:iCs/>
          <w:shd w:val="clear" w:color="auto" w:fill="C0C0C0"/>
        </w:rPr>
        <w:t xml:space="preserve">Educational Psychology Research and Practice. </w:t>
      </w:r>
      <w:r>
        <w:rPr>
          <w:rStyle w:val="normaltextrun"/>
          <w:rFonts w:ascii="Arial" w:hAnsi="Arial" w:cs="Arial"/>
          <w:shd w:val="clear" w:color="auto" w:fill="C0C0C0"/>
        </w:rPr>
        <w:t xml:space="preserve">2 (1), p. 21-32. Available at: </w:t>
      </w:r>
      <w:hyperlink r:id="rId15" w:history="1">
        <w:r>
          <w:rPr>
            <w:rStyle w:val="normaltextrun"/>
            <w:rFonts w:ascii="Arial" w:hAnsi="Arial" w:cs="Arial"/>
            <w:shd w:val="clear" w:color="auto" w:fill="C0C0C0"/>
          </w:rPr>
          <w:t>https://doi.org/10.15123/uel.88583</w:t>
        </w:r>
      </w:hyperlink>
      <w:r>
        <w:rPr>
          <w:rStyle w:val="normaltextrun"/>
          <w:rFonts w:ascii="Arial" w:hAnsi="Arial" w:cs="Arial"/>
          <w:shd w:val="clear" w:color="auto" w:fill="C0C0C0"/>
        </w:rPr>
        <w:t>.</w:t>
      </w:r>
      <w:r>
        <w:rPr>
          <w:rStyle w:val="eop"/>
          <w:rFonts w:ascii="Arial" w:hAnsi="Arial" w:cs="Arial"/>
          <w:shd w:val="clear" w:color="auto" w:fill="C0C0C0"/>
        </w:rPr>
        <w:t> </w:t>
      </w:r>
    </w:p>
    <w:p w14:paraId="040D3DF8" w14:textId="77777777" w:rsidR="009A71F7" w:rsidRDefault="009A71F7" w:rsidP="009A71F7">
      <w:pPr>
        <w:rPr>
          <w:sz w:val="24"/>
          <w:szCs w:val="24"/>
          <w:shd w:val="clear" w:color="auto" w:fill="C0C0C0"/>
        </w:rPr>
      </w:pPr>
    </w:p>
    <w:p w14:paraId="0B0EFDF5" w14:textId="77777777" w:rsidR="009A71F7" w:rsidRDefault="009A71F7" w:rsidP="009A71F7">
      <w:r>
        <w:rPr>
          <w:sz w:val="24"/>
          <w:szCs w:val="24"/>
          <w:shd w:val="clear" w:color="auto" w:fill="C0C0C0"/>
        </w:rPr>
        <w:t xml:space="preserve">University of Wales Trinity Saint David. (2022) </w:t>
      </w:r>
      <w:r>
        <w:rPr>
          <w:i/>
          <w:iCs/>
          <w:sz w:val="24"/>
          <w:szCs w:val="24"/>
          <w:shd w:val="clear" w:color="auto" w:fill="C0C0C0"/>
        </w:rPr>
        <w:t>Research Ethics &amp; Integrity Code of Practice</w:t>
      </w:r>
      <w:r>
        <w:rPr>
          <w:sz w:val="24"/>
          <w:szCs w:val="24"/>
          <w:shd w:val="clear" w:color="auto" w:fill="C0C0C0"/>
        </w:rPr>
        <w:t xml:space="preserve">. Available at: </w:t>
      </w:r>
      <w:hyperlink r:id="rId16" w:history="1">
        <w:r>
          <w:rPr>
            <w:rStyle w:val="Hyperlink"/>
            <w:sz w:val="24"/>
            <w:szCs w:val="24"/>
            <w:shd w:val="clear" w:color="auto" w:fill="C0C0C0"/>
          </w:rPr>
          <w:t>https://www.uwtsd.ac.uk/media/uwtsd-website/content-assets/documents/research/REICoP-July-2022.pdf</w:t>
        </w:r>
      </w:hyperlink>
      <w:r>
        <w:rPr>
          <w:color w:val="2C3E50"/>
          <w:sz w:val="24"/>
          <w:szCs w:val="24"/>
          <w:shd w:val="clear" w:color="auto" w:fill="C0C0C0"/>
        </w:rPr>
        <w:t xml:space="preserve"> [Accessed 21st May 2023]</w:t>
      </w:r>
    </w:p>
    <w:p w14:paraId="59314F95" w14:textId="77777777" w:rsidR="009A71F7" w:rsidRDefault="009A71F7" w:rsidP="009A71F7">
      <w:pPr>
        <w:rPr>
          <w:color w:val="2C3E50"/>
          <w:sz w:val="24"/>
          <w:szCs w:val="24"/>
          <w:shd w:val="clear" w:color="auto" w:fill="C0C0C0"/>
        </w:rPr>
      </w:pPr>
    </w:p>
    <w:p w14:paraId="53C6EE14" w14:textId="77777777" w:rsidR="009A71F7" w:rsidRDefault="009A71F7" w:rsidP="009A71F7">
      <w:r>
        <w:rPr>
          <w:color w:val="2C3E50"/>
          <w:sz w:val="24"/>
          <w:szCs w:val="24"/>
          <w:shd w:val="clear" w:color="auto" w:fill="C0C0C0"/>
        </w:rPr>
        <w:t>Wellington, J. (2000) </w:t>
      </w:r>
      <w:r>
        <w:rPr>
          <w:i/>
          <w:iCs/>
          <w:color w:val="2C3E50"/>
          <w:sz w:val="24"/>
          <w:szCs w:val="24"/>
          <w:shd w:val="clear" w:color="auto" w:fill="C0C0C0"/>
        </w:rPr>
        <w:t>Educational research : contemporary issues and practical approaches</w:t>
      </w:r>
      <w:r>
        <w:rPr>
          <w:color w:val="2C3E50"/>
          <w:sz w:val="24"/>
          <w:szCs w:val="24"/>
          <w:shd w:val="clear" w:color="auto" w:fill="C0C0C0"/>
        </w:rPr>
        <w:t>. London: Bloomsbury Academic.</w:t>
      </w:r>
    </w:p>
    <w:p w14:paraId="11A86523" w14:textId="77777777" w:rsidR="009A71F7" w:rsidRDefault="009A71F7" w:rsidP="009A71F7">
      <w:pPr>
        <w:pStyle w:val="paragraph"/>
        <w:spacing w:before="0" w:after="0"/>
        <w:textAlignment w:val="baseline"/>
        <w:rPr>
          <w:rFonts w:ascii="Arial" w:hAnsi="Arial" w:cs="Arial"/>
          <w:color w:val="374151"/>
          <w:shd w:val="clear" w:color="auto" w:fill="C0C0C0"/>
        </w:rPr>
      </w:pPr>
    </w:p>
    <w:p w14:paraId="043CAA76" w14:textId="77777777" w:rsidR="009A71F7" w:rsidRDefault="009A71F7" w:rsidP="009A71F7">
      <w:pPr>
        <w:pStyle w:val="paragraph"/>
        <w:spacing w:before="0" w:after="0"/>
        <w:textAlignment w:val="baseline"/>
      </w:pPr>
      <w:r>
        <w:rPr>
          <w:rFonts w:ascii="Arial" w:hAnsi="Arial" w:cs="Arial"/>
          <w:color w:val="374151"/>
          <w:shd w:val="clear" w:color="auto" w:fill="C0C0C0"/>
        </w:rPr>
        <w:t xml:space="preserve">Williams, M. (2016) </w:t>
      </w:r>
      <w:r>
        <w:rPr>
          <w:rFonts w:ascii="Arial" w:hAnsi="Arial" w:cs="Arial"/>
          <w:i/>
          <w:iCs/>
          <w:color w:val="374151"/>
          <w:shd w:val="clear" w:color="auto" w:fill="C0C0C0"/>
        </w:rPr>
        <w:t>Ethical Issues in Observational Research.</w:t>
      </w:r>
    </w:p>
    <w:p w14:paraId="266433EE" w14:textId="77777777" w:rsidR="009A71F7" w:rsidRDefault="009A71F7" w:rsidP="009A71F7">
      <w:r>
        <w:rPr>
          <w:sz w:val="24"/>
          <w:szCs w:val="24"/>
          <w:shd w:val="clear" w:color="auto" w:fill="C0C0C0"/>
        </w:rPr>
        <w:t>www.uwtsd.ac.uk (no date) </w:t>
      </w:r>
      <w:r>
        <w:rPr>
          <w:i/>
          <w:iCs/>
          <w:sz w:val="24"/>
          <w:szCs w:val="24"/>
          <w:shd w:val="clear" w:color="auto" w:fill="C0C0C0"/>
        </w:rPr>
        <w:t>Research Ethics | University of Wales Trinity Saint David</w:t>
      </w:r>
      <w:r>
        <w:rPr>
          <w:sz w:val="24"/>
          <w:szCs w:val="24"/>
          <w:shd w:val="clear" w:color="auto" w:fill="C0C0C0"/>
        </w:rPr>
        <w:t xml:space="preserve">. [online] Available at: </w:t>
      </w:r>
      <w:hyperlink r:id="rId17" w:history="1">
        <w:r>
          <w:rPr>
            <w:rStyle w:val="Hyperlink"/>
            <w:sz w:val="24"/>
            <w:szCs w:val="24"/>
            <w:shd w:val="clear" w:color="auto" w:fill="C0C0C0"/>
          </w:rPr>
          <w:t>https://www.uwtsd.ac.uk/research/research-ethics/</w:t>
        </w:r>
      </w:hyperlink>
      <w:r>
        <w:rPr>
          <w:sz w:val="24"/>
          <w:szCs w:val="24"/>
          <w:shd w:val="clear" w:color="auto" w:fill="C0C0C0"/>
        </w:rPr>
        <w:t>.</w:t>
      </w:r>
    </w:p>
    <w:p w14:paraId="5F31D25E" w14:textId="77777777" w:rsidR="009A71F7" w:rsidRPr="009A71F7" w:rsidRDefault="009A71F7">
      <w:pPr>
        <w:pStyle w:val="BodyText"/>
        <w:spacing w:before="1"/>
        <w:ind w:right="135"/>
        <w:rPr>
          <w:b/>
          <w:bCs/>
        </w:rPr>
      </w:pPr>
    </w:p>
    <w:sectPr w:rsidR="009A71F7" w:rsidRPr="009A71F7">
      <w:pgSz w:w="11910" w:h="16840"/>
      <w:pgMar w:top="134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1F"/>
    <w:rsid w:val="00044761"/>
    <w:rsid w:val="000A4B3D"/>
    <w:rsid w:val="003D621F"/>
    <w:rsid w:val="009A71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75613"/>
  <w15:docId w15:val="{20E4B020-0347-4221-9327-7460D4CE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normaltextrun">
    <w:name w:val="normaltextrun"/>
    <w:basedOn w:val="DefaultParagraphFont"/>
    <w:rsid w:val="009A71F7"/>
  </w:style>
  <w:style w:type="character" w:customStyle="1" w:styleId="eop">
    <w:name w:val="eop"/>
    <w:basedOn w:val="DefaultParagraphFont"/>
    <w:rsid w:val="009A71F7"/>
  </w:style>
  <w:style w:type="paragraph" w:customStyle="1" w:styleId="paragraph">
    <w:name w:val="paragraph"/>
    <w:basedOn w:val="Normal"/>
    <w:rsid w:val="009A71F7"/>
    <w:pPr>
      <w:widowControl/>
      <w:suppressAutoHyphens/>
      <w:autoSpaceDE/>
      <w:spacing w:before="100" w:after="100"/>
    </w:pPr>
    <w:rPr>
      <w:rFonts w:ascii="Times New Roman" w:eastAsia="Times New Roman" w:hAnsi="Times New Roman" w:cs="Times New Roman"/>
      <w:sz w:val="24"/>
      <w:szCs w:val="24"/>
      <w:lang w:val="en-GB" w:eastAsia="en-GB"/>
    </w:rPr>
  </w:style>
  <w:style w:type="character" w:styleId="Hyperlink">
    <w:name w:val="Hyperlink"/>
    <w:basedOn w:val="DefaultParagraphFont"/>
    <w:rsid w:val="009A71F7"/>
    <w:rPr>
      <w:color w:val="0000FF"/>
      <w:u w:val="single"/>
    </w:rPr>
  </w:style>
  <w:style w:type="character" w:styleId="HTMLCite">
    <w:name w:val="HTML Cite"/>
    <w:basedOn w:val="DefaultParagraphFont"/>
    <w:rsid w:val="009A71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80/1350293x.2021.1968460" TargetMode="External"/><Relationship Id="rId13" Type="http://schemas.openxmlformats.org/officeDocument/2006/relationships/hyperlink" Target="https://doi.org/10.3934/publichealth.202101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cribbr.com/methodology/observational-study/" TargetMode="External"/><Relationship Id="rId12" Type="http://schemas.openxmlformats.org/officeDocument/2006/relationships/hyperlink" Target="https://www.sociologygroup.com/advantages-disadvantages-interview-research/#:~:text=There%20are%20certain%20disadvantages%20of%20interview%20studies%20as" TargetMode="External"/><Relationship Id="rId17" Type="http://schemas.openxmlformats.org/officeDocument/2006/relationships/hyperlink" Target="https://www.uwtsd.ac.uk/research/research-ethics/" TargetMode="External"/><Relationship Id="rId2" Type="http://schemas.openxmlformats.org/officeDocument/2006/relationships/settings" Target="settings.xml"/><Relationship Id="rId16" Type="http://schemas.openxmlformats.org/officeDocument/2006/relationships/hyperlink" Target="https://www.uwtsd.ac.uk/media/uwtsd-website/content-assets/documents/research/REICoP-July-2022.pdf" TargetMode="External"/><Relationship Id="rId1" Type="http://schemas.openxmlformats.org/officeDocument/2006/relationships/styles" Target="styles.xml"/><Relationship Id="rId6" Type="http://schemas.openxmlformats.org/officeDocument/2006/relationships/hyperlink" Target="https://childethics.com/home/compendium-downloads/" TargetMode="External"/><Relationship Id="rId11" Type="http://schemas.openxmlformats.org/officeDocument/2006/relationships/hyperlink" Target="https://doi.org/10.1080/14729679.2013.842178" TargetMode="External"/><Relationship Id="rId5" Type="http://schemas.openxmlformats.org/officeDocument/2006/relationships/hyperlink" Target="https://doi.org/10.1080/09575146.2022.2034140" TargetMode="External"/><Relationship Id="rId15" Type="http://schemas.openxmlformats.org/officeDocument/2006/relationships/hyperlink" Target="https://doi.org/10.15123/uel.88583" TargetMode="External"/><Relationship Id="rId10" Type="http://schemas.openxmlformats.org/officeDocument/2006/relationships/hyperlink" Target="https://www.proquest.com/docview/2716548062?accountid=130472&amp;parentSessionId=aKtgSIYLJCfIgzOFLo38Fi5rCqFOQkKwmswxSrW3pL0%3D&amp;pq-origsite=primo" TargetMode="External"/><Relationship Id="rId19" Type="http://schemas.openxmlformats.org/officeDocument/2006/relationships/theme" Target="theme/theme1.xml"/><Relationship Id="rId4" Type="http://schemas.openxmlformats.org/officeDocument/2006/relationships/hyperlink" Target="https://doi.org/10.1080/21594937.2019.1580334" TargetMode="External"/><Relationship Id="rId9" Type="http://schemas.openxmlformats.org/officeDocument/2006/relationships/hyperlink" Target="https://ico.org.uk/for-organisations/uk-gdpr-guidance-and-resources/" TargetMode="External"/><Relationship Id="rId14" Type="http://schemas.openxmlformats.org/officeDocument/2006/relationships/hyperlink" Target="https://www.hse.gov.uk/entertainment/childrens-play-july-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5315</Words>
  <Characters>30300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dc:creator>
  <cp:lastModifiedBy>Natalie MacDonald</cp:lastModifiedBy>
  <cp:revision>3</cp:revision>
  <dcterms:created xsi:type="dcterms:W3CDTF">2023-05-22T13:51:00Z</dcterms:created>
  <dcterms:modified xsi:type="dcterms:W3CDTF">2023-05-22T14:02:00Z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2023-05-21T00:00:00Z</vt:filetime>
  </property>
  <property fmtid="{D5CDD505-2E9C-101B-9397-08002B2CF9AE}" pid="3" name="Creator">
    <vt:lpwstr>Microsoft® Word for Microsoft 365</vt:lpwstr>
  </property>
  <property fmtid="{D5CDD505-2E9C-101B-9397-08002B2CF9AE}" pid="4" name="LastSaved">
    <vt:filetime>2023-05-22T00:00:00Z</vt:filetime>
  </property>
  <property fmtid="{D5CDD505-2E9C-101B-9397-08002B2CF9AE}" pid="5" name="Producer">
    <vt:lpwstr>Microsoft® Word for Microsoft 365</vt:lpwstr>
  </property>
</Properties>
</file>