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A7BDB" w14:textId="6685AC0F" w:rsidR="00126606" w:rsidRPr="00654BF7" w:rsidRDefault="00661D05" w:rsidP="00661D05">
      <w:pPr>
        <w:jc w:val="center"/>
        <w:rPr>
          <w:sz w:val="44"/>
          <w:szCs w:val="44"/>
        </w:rPr>
      </w:pPr>
      <w:r w:rsidRPr="00654BF7">
        <w:rPr>
          <w:sz w:val="44"/>
          <w:szCs w:val="44"/>
        </w:rPr>
        <w:t xml:space="preserve">“COMMUNITY ENGAGEMENT PROCESS IN </w:t>
      </w:r>
      <w:r w:rsidR="00654BF7" w:rsidRPr="00654BF7">
        <w:rPr>
          <w:sz w:val="44"/>
          <w:szCs w:val="44"/>
        </w:rPr>
        <w:t>CO</w:t>
      </w:r>
      <w:r w:rsidR="00654BF7">
        <w:rPr>
          <w:sz w:val="44"/>
          <w:szCs w:val="44"/>
        </w:rPr>
        <w:t xml:space="preserve">MMONWEALTH </w:t>
      </w:r>
      <w:r w:rsidR="00654BF7" w:rsidRPr="00654BF7">
        <w:rPr>
          <w:sz w:val="44"/>
          <w:szCs w:val="44"/>
        </w:rPr>
        <w:t>GAMES IN BIRMINGHAM”</w:t>
      </w:r>
    </w:p>
    <w:p w14:paraId="70B56D95" w14:textId="175EB9B0" w:rsidR="00661D05" w:rsidRPr="00654BF7" w:rsidRDefault="00661D05" w:rsidP="00661D05">
      <w:pPr>
        <w:jc w:val="center"/>
        <w:rPr>
          <w:sz w:val="44"/>
          <w:szCs w:val="44"/>
        </w:rPr>
      </w:pPr>
    </w:p>
    <w:p w14:paraId="280654C7" w14:textId="7249FD75" w:rsidR="00661D05" w:rsidRDefault="00661D05" w:rsidP="00661D05">
      <w:pPr>
        <w:jc w:val="center"/>
        <w:rPr>
          <w:sz w:val="36"/>
          <w:szCs w:val="36"/>
        </w:rPr>
      </w:pPr>
    </w:p>
    <w:p w14:paraId="1B8D6353" w14:textId="1A281755" w:rsidR="00654BF7" w:rsidRDefault="00654BF7" w:rsidP="00661D05">
      <w:pPr>
        <w:jc w:val="center"/>
        <w:rPr>
          <w:sz w:val="36"/>
          <w:szCs w:val="36"/>
        </w:rPr>
      </w:pPr>
    </w:p>
    <w:p w14:paraId="0F13E9DB" w14:textId="3126B06A" w:rsidR="00654BF7" w:rsidRDefault="00654BF7" w:rsidP="00661D05">
      <w:pPr>
        <w:jc w:val="center"/>
        <w:rPr>
          <w:sz w:val="36"/>
          <w:szCs w:val="36"/>
        </w:rPr>
      </w:pPr>
    </w:p>
    <w:p w14:paraId="344A9ABD" w14:textId="77777777" w:rsidR="00654BF7" w:rsidRDefault="00654BF7" w:rsidP="00661D05">
      <w:pPr>
        <w:jc w:val="center"/>
        <w:rPr>
          <w:sz w:val="36"/>
          <w:szCs w:val="36"/>
        </w:rPr>
      </w:pPr>
    </w:p>
    <w:p w14:paraId="1B58BFD3" w14:textId="36C3CEE8" w:rsidR="00654BF7" w:rsidRDefault="00654BF7" w:rsidP="00661D05">
      <w:pPr>
        <w:jc w:val="center"/>
        <w:rPr>
          <w:sz w:val="36"/>
          <w:szCs w:val="36"/>
        </w:rPr>
      </w:pPr>
    </w:p>
    <w:p w14:paraId="10E5582D" w14:textId="77777777" w:rsidR="00654BF7" w:rsidRDefault="00654BF7" w:rsidP="00661D05">
      <w:pPr>
        <w:jc w:val="center"/>
        <w:rPr>
          <w:sz w:val="36"/>
          <w:szCs w:val="36"/>
        </w:rPr>
      </w:pPr>
    </w:p>
    <w:p w14:paraId="12B1EA10" w14:textId="4E6D2720" w:rsidR="00661D05" w:rsidRDefault="00661D05" w:rsidP="00661D05">
      <w:pPr>
        <w:jc w:val="center"/>
        <w:rPr>
          <w:sz w:val="36"/>
          <w:szCs w:val="36"/>
        </w:rPr>
      </w:pPr>
    </w:p>
    <w:p w14:paraId="4C82E31F" w14:textId="77777777" w:rsidR="00661D05" w:rsidRDefault="00661D05" w:rsidP="00661D05">
      <w:pPr>
        <w:jc w:val="center"/>
        <w:rPr>
          <w:sz w:val="36"/>
          <w:szCs w:val="36"/>
        </w:rPr>
      </w:pPr>
    </w:p>
    <w:p w14:paraId="7513ED13" w14:textId="187ADB08" w:rsidR="00661D05" w:rsidRDefault="00661D05" w:rsidP="00661D05">
      <w:pPr>
        <w:jc w:val="center"/>
        <w:rPr>
          <w:sz w:val="36"/>
          <w:szCs w:val="36"/>
        </w:rPr>
      </w:pPr>
    </w:p>
    <w:p w14:paraId="5BE1C82D" w14:textId="01A8F2FC" w:rsidR="00661D05" w:rsidRPr="00661D05" w:rsidRDefault="00661D05" w:rsidP="00661D05">
      <w:pPr>
        <w:jc w:val="center"/>
        <w:rPr>
          <w:sz w:val="32"/>
          <w:szCs w:val="32"/>
        </w:rPr>
      </w:pPr>
      <w:r w:rsidRPr="00661D05">
        <w:rPr>
          <w:sz w:val="32"/>
          <w:szCs w:val="32"/>
        </w:rPr>
        <w:t>STUDENT NAME: RADOSLAV ENGEROV</w:t>
      </w:r>
    </w:p>
    <w:p w14:paraId="2AF70C0E" w14:textId="497E709C" w:rsidR="00661D05" w:rsidRPr="00661D05" w:rsidRDefault="00661D05" w:rsidP="00661D05">
      <w:pPr>
        <w:jc w:val="center"/>
        <w:rPr>
          <w:sz w:val="32"/>
          <w:szCs w:val="32"/>
        </w:rPr>
      </w:pPr>
      <w:r w:rsidRPr="00661D05">
        <w:rPr>
          <w:sz w:val="32"/>
          <w:szCs w:val="32"/>
        </w:rPr>
        <w:t>STUDENT NUMBER:2171113</w:t>
      </w:r>
    </w:p>
    <w:p w14:paraId="12B2D9F5" w14:textId="4BB0AFC4" w:rsidR="00661D05" w:rsidRPr="00661D05" w:rsidRDefault="00661D05" w:rsidP="00661D05">
      <w:pPr>
        <w:jc w:val="center"/>
        <w:rPr>
          <w:sz w:val="32"/>
          <w:szCs w:val="32"/>
        </w:rPr>
      </w:pPr>
      <w:r w:rsidRPr="00661D05">
        <w:rPr>
          <w:sz w:val="32"/>
          <w:szCs w:val="32"/>
        </w:rPr>
        <w:t>UNIVERSITY OF WALES TRINITY SAINT DAVID</w:t>
      </w:r>
    </w:p>
    <w:p w14:paraId="5453C838" w14:textId="1AB81416" w:rsidR="00661D05" w:rsidRDefault="00661D05" w:rsidP="00661D05">
      <w:pPr>
        <w:jc w:val="center"/>
        <w:rPr>
          <w:sz w:val="32"/>
          <w:szCs w:val="32"/>
        </w:rPr>
      </w:pPr>
      <w:r w:rsidRPr="00661D05">
        <w:rPr>
          <w:sz w:val="32"/>
          <w:szCs w:val="32"/>
        </w:rPr>
        <w:t>MODULE:</w:t>
      </w:r>
      <w:r>
        <w:rPr>
          <w:sz w:val="32"/>
          <w:szCs w:val="32"/>
        </w:rPr>
        <w:t xml:space="preserve"> </w:t>
      </w:r>
      <w:r w:rsidRPr="00661D05">
        <w:rPr>
          <w:sz w:val="32"/>
          <w:szCs w:val="32"/>
        </w:rPr>
        <w:t xml:space="preserve">COMMUNITY ENGAGEMENT </w:t>
      </w:r>
    </w:p>
    <w:p w14:paraId="01876EEE" w14:textId="43B75762" w:rsidR="00661D05" w:rsidRDefault="00661D05" w:rsidP="00661D05">
      <w:pPr>
        <w:jc w:val="center"/>
        <w:rPr>
          <w:sz w:val="32"/>
          <w:szCs w:val="32"/>
        </w:rPr>
      </w:pPr>
    </w:p>
    <w:p w14:paraId="6BA029E9" w14:textId="7A74B6BE" w:rsidR="00661D05" w:rsidRDefault="00661D05" w:rsidP="00661D05">
      <w:pPr>
        <w:jc w:val="center"/>
        <w:rPr>
          <w:sz w:val="32"/>
          <w:szCs w:val="32"/>
        </w:rPr>
      </w:pPr>
    </w:p>
    <w:p w14:paraId="6A9394D3" w14:textId="3AC161F5" w:rsidR="00661D05" w:rsidRDefault="00661D05" w:rsidP="00661D05">
      <w:pPr>
        <w:jc w:val="center"/>
        <w:rPr>
          <w:sz w:val="32"/>
          <w:szCs w:val="32"/>
        </w:rPr>
      </w:pPr>
    </w:p>
    <w:p w14:paraId="27D7BEC9" w14:textId="1ABEE323" w:rsidR="00661D05" w:rsidRDefault="00661D05" w:rsidP="00661D05">
      <w:pPr>
        <w:jc w:val="center"/>
        <w:rPr>
          <w:sz w:val="32"/>
          <w:szCs w:val="32"/>
        </w:rPr>
      </w:pPr>
    </w:p>
    <w:p w14:paraId="281C7F72" w14:textId="68520810" w:rsidR="00661D05" w:rsidRDefault="00661D05" w:rsidP="00661D05">
      <w:pPr>
        <w:jc w:val="center"/>
        <w:rPr>
          <w:sz w:val="32"/>
          <w:szCs w:val="32"/>
        </w:rPr>
      </w:pPr>
    </w:p>
    <w:p w14:paraId="2E0C2AE0" w14:textId="23D59DC8" w:rsidR="00661D05" w:rsidRDefault="00661D05" w:rsidP="00661D05">
      <w:pPr>
        <w:jc w:val="center"/>
        <w:rPr>
          <w:sz w:val="32"/>
          <w:szCs w:val="32"/>
        </w:rPr>
      </w:pPr>
    </w:p>
    <w:p w14:paraId="5512C34B" w14:textId="4BDAF295" w:rsidR="00661D05" w:rsidRDefault="00661D05" w:rsidP="00661D05">
      <w:pPr>
        <w:jc w:val="center"/>
        <w:rPr>
          <w:sz w:val="32"/>
          <w:szCs w:val="32"/>
        </w:rPr>
      </w:pPr>
    </w:p>
    <w:p w14:paraId="29990BE8" w14:textId="6F6A8B96" w:rsidR="00661D05" w:rsidRDefault="00661D05" w:rsidP="00661D05">
      <w:pPr>
        <w:jc w:val="center"/>
        <w:rPr>
          <w:sz w:val="32"/>
          <w:szCs w:val="32"/>
        </w:rPr>
      </w:pPr>
    </w:p>
    <w:p w14:paraId="6579DE32" w14:textId="0F4E02CD" w:rsidR="00661D05" w:rsidRDefault="00661D05" w:rsidP="00661D05">
      <w:pPr>
        <w:jc w:val="center"/>
        <w:rPr>
          <w:sz w:val="32"/>
          <w:szCs w:val="32"/>
        </w:rPr>
      </w:pPr>
    </w:p>
    <w:p w14:paraId="3ECE35C2" w14:textId="07F131AA" w:rsidR="00661D05" w:rsidRDefault="00661D05" w:rsidP="00661D05">
      <w:pPr>
        <w:jc w:val="center"/>
        <w:rPr>
          <w:sz w:val="32"/>
          <w:szCs w:val="32"/>
        </w:rPr>
      </w:pPr>
    </w:p>
    <w:p w14:paraId="4B0B0699" w14:textId="0108EC22" w:rsidR="00661D05" w:rsidRDefault="00661D05" w:rsidP="00661D05">
      <w:pPr>
        <w:jc w:val="center"/>
        <w:rPr>
          <w:sz w:val="32"/>
          <w:szCs w:val="32"/>
        </w:rPr>
      </w:pPr>
    </w:p>
    <w:p w14:paraId="4E5791F1" w14:textId="1086B03C" w:rsidR="00661D05" w:rsidRDefault="00661D05" w:rsidP="00661D05">
      <w:pPr>
        <w:jc w:val="center"/>
        <w:rPr>
          <w:sz w:val="32"/>
          <w:szCs w:val="32"/>
        </w:rPr>
      </w:pPr>
    </w:p>
    <w:p w14:paraId="1A239908" w14:textId="62B29A53" w:rsidR="00661D05" w:rsidRDefault="00661D05" w:rsidP="00661D05">
      <w:pPr>
        <w:jc w:val="center"/>
        <w:rPr>
          <w:sz w:val="32"/>
          <w:szCs w:val="32"/>
        </w:rPr>
      </w:pPr>
    </w:p>
    <w:p w14:paraId="78D75ADC" w14:textId="78C59BA9" w:rsidR="00661D05" w:rsidRDefault="00661D05" w:rsidP="00661D05">
      <w:pPr>
        <w:jc w:val="center"/>
        <w:rPr>
          <w:sz w:val="32"/>
          <w:szCs w:val="32"/>
        </w:rPr>
      </w:pPr>
    </w:p>
    <w:p w14:paraId="4FF19868" w14:textId="0270AAEC" w:rsidR="00661D05" w:rsidRDefault="00661D05" w:rsidP="00661D05">
      <w:pPr>
        <w:jc w:val="center"/>
        <w:rPr>
          <w:sz w:val="32"/>
          <w:szCs w:val="32"/>
        </w:rPr>
      </w:pPr>
    </w:p>
    <w:p w14:paraId="6715AA50" w14:textId="49746B2C" w:rsidR="00C5448D" w:rsidRDefault="00C5448D" w:rsidP="00C5448D">
      <w:pPr>
        <w:jc w:val="both"/>
        <w:rPr>
          <w:sz w:val="32"/>
          <w:szCs w:val="32"/>
        </w:rPr>
      </w:pPr>
    </w:p>
    <w:p w14:paraId="395754D1" w14:textId="2D1F2266" w:rsidR="00C5448D" w:rsidRDefault="00C5448D" w:rsidP="00C5448D">
      <w:pPr>
        <w:jc w:val="both"/>
        <w:rPr>
          <w:sz w:val="32"/>
          <w:szCs w:val="32"/>
        </w:rPr>
      </w:pPr>
    </w:p>
    <w:p w14:paraId="1E775F73" w14:textId="77777777" w:rsidR="00654BF7" w:rsidRDefault="00654BF7" w:rsidP="00C5448D">
      <w:pPr>
        <w:jc w:val="both"/>
        <w:rPr>
          <w:sz w:val="32"/>
          <w:szCs w:val="32"/>
        </w:rPr>
      </w:pPr>
    </w:p>
    <w:p w14:paraId="318ED680" w14:textId="77777777" w:rsidR="00C5448D" w:rsidRDefault="00C5448D" w:rsidP="00C5448D">
      <w:pPr>
        <w:jc w:val="both"/>
        <w:rPr>
          <w:sz w:val="32"/>
          <w:szCs w:val="32"/>
        </w:rPr>
      </w:pPr>
    </w:p>
    <w:p w14:paraId="35986D5C" w14:textId="77777777" w:rsidR="00B56F65" w:rsidRDefault="00B56F65">
      <w:pPr>
        <w:rPr>
          <w:sz w:val="32"/>
          <w:szCs w:val="32"/>
        </w:rPr>
      </w:pPr>
      <w:r>
        <w:rPr>
          <w:sz w:val="32"/>
          <w:szCs w:val="32"/>
        </w:rPr>
        <w:br w:type="page"/>
      </w:r>
    </w:p>
    <w:p w14:paraId="4AED633A" w14:textId="0C6843E8" w:rsidR="00467A42" w:rsidRDefault="00C5448D" w:rsidP="00C16F66">
      <w:pPr>
        <w:spacing w:line="360" w:lineRule="auto"/>
        <w:jc w:val="both"/>
        <w:rPr>
          <w:sz w:val="32"/>
          <w:szCs w:val="32"/>
        </w:rPr>
      </w:pPr>
      <w:r>
        <w:rPr>
          <w:sz w:val="32"/>
          <w:szCs w:val="32"/>
        </w:rPr>
        <w:lastRenderedPageBreak/>
        <w:t>INTRODUCTION</w:t>
      </w:r>
    </w:p>
    <w:p w14:paraId="01F2F6A1" w14:textId="69FC3867" w:rsidR="00661D05" w:rsidRDefault="00B56F65" w:rsidP="00C16F66">
      <w:pPr>
        <w:spacing w:line="360" w:lineRule="auto"/>
        <w:jc w:val="both"/>
      </w:pPr>
      <w:r>
        <w:t xml:space="preserve">          </w:t>
      </w:r>
      <w:r w:rsidR="00467A42">
        <w:t>Strong economic and social change in society is primarily concerned with community involvement. The ethical issues related to ‘spin,' or rather deceptive strategies, have been resolved thanks to community engagement's contribution to the creation of an efficient and sustainable environment. The increased influence on people who make and enforce the laws of society is another consequence of the strengthened ties that have emerged from this. By delving into the processes that form the bedrock of community involvement, we may better understand how these guiding concepts and practises emerge and spread across society.</w:t>
      </w:r>
    </w:p>
    <w:p w14:paraId="688F4465" w14:textId="77777777" w:rsidR="00467A42" w:rsidRDefault="00467A42" w:rsidP="00C16F66">
      <w:pPr>
        <w:spacing w:line="360" w:lineRule="auto"/>
        <w:jc w:val="both"/>
      </w:pPr>
    </w:p>
    <w:p w14:paraId="17B9CE31" w14:textId="6A6B2A2A" w:rsidR="000900F8" w:rsidRDefault="008E70DD" w:rsidP="00C16F66">
      <w:pPr>
        <w:spacing w:line="360" w:lineRule="auto"/>
        <w:jc w:val="both"/>
      </w:pPr>
      <w:r>
        <w:t xml:space="preserve">Recently, I was community engagement practitioner at Commonwealth games health in Birmingham. As a community engagement practitioner, I have evaluated how the local community conducted community engagement. In this essay will show the areas they were most active in and will discuss what approaches were adopted. Will discuss different options for the organizations utilized to engage the community </w:t>
      </w:r>
      <w:r w:rsidR="00382C80">
        <w:t>consultations,</w:t>
      </w:r>
      <w:r>
        <w:t xml:space="preserve"> community development, empowerment, inclusion and issues like deprivation, discrimination, and environmental concerns. </w:t>
      </w:r>
      <w:r w:rsidR="00467A42" w:rsidRPr="00467A42">
        <w:t>The goals of community involvement are to foster long-term success, promote fairness in decision-making, and strengthen connections of trust between local governments and their constituents.</w:t>
      </w:r>
    </w:p>
    <w:p w14:paraId="2C3D8632" w14:textId="77777777" w:rsidR="00C16F66" w:rsidRPr="00C16F66" w:rsidRDefault="00C16F66" w:rsidP="00C16F66">
      <w:pPr>
        <w:spacing w:line="360" w:lineRule="auto"/>
        <w:jc w:val="both"/>
      </w:pPr>
    </w:p>
    <w:p w14:paraId="79B8C847" w14:textId="4F51E615" w:rsidR="000900F8" w:rsidRDefault="000900F8" w:rsidP="00C16F66">
      <w:pPr>
        <w:spacing w:line="360" w:lineRule="auto"/>
        <w:jc w:val="both"/>
        <w:rPr>
          <w:sz w:val="32"/>
          <w:szCs w:val="32"/>
        </w:rPr>
      </w:pPr>
      <w:r>
        <w:rPr>
          <w:sz w:val="32"/>
          <w:szCs w:val="32"/>
        </w:rPr>
        <w:t>MAIN BODY</w:t>
      </w:r>
    </w:p>
    <w:p w14:paraId="41857CD9" w14:textId="443719BD" w:rsidR="007C3912" w:rsidRDefault="00B56F65" w:rsidP="00C16F66">
      <w:pPr>
        <w:spacing w:line="360" w:lineRule="auto"/>
        <w:jc w:val="both"/>
      </w:pPr>
      <w:r>
        <w:t xml:space="preserve">               </w:t>
      </w:r>
      <w:r w:rsidR="007837DD">
        <w:t xml:space="preserve">The project in which I took participation are the Commonwealth Games in Birmingham. </w:t>
      </w:r>
    </w:p>
    <w:p w14:paraId="4F79D4A4" w14:textId="75E2F748" w:rsidR="00FD7702" w:rsidRDefault="00FD7702" w:rsidP="00C16F66">
      <w:pPr>
        <w:spacing w:line="360" w:lineRule="auto"/>
        <w:jc w:val="both"/>
      </w:pPr>
      <w:r>
        <w:t>A colourful celebration of sport and human achievement, the Commonwealth Games unite countries from across the world. However, from its inception in 1930, the Olympic Games have undergone significant changes.</w:t>
      </w:r>
      <w:r w:rsidR="007C3912">
        <w:t xml:space="preserve"> </w:t>
      </w:r>
      <w:r>
        <w:t>After starting with just 11 countries and 400 competitors, and taking a break during World War II, the Games are now held every four years and attract participants from 72 countries and territories.</w:t>
      </w:r>
    </w:p>
    <w:p w14:paraId="1F3570FB" w14:textId="77777777" w:rsidR="007C3912" w:rsidRDefault="007C3912" w:rsidP="00C16F66">
      <w:pPr>
        <w:spacing w:line="360" w:lineRule="auto"/>
        <w:jc w:val="both"/>
      </w:pPr>
    </w:p>
    <w:p w14:paraId="2922F9B2" w14:textId="52620CE1" w:rsidR="000900F8" w:rsidRDefault="00FD7702" w:rsidP="00C16F66">
      <w:pPr>
        <w:spacing w:line="360" w:lineRule="auto"/>
        <w:jc w:val="both"/>
      </w:pPr>
      <w:r>
        <w:t xml:space="preserve">The Games are an attempt to bring the people of the Commonwealth closer together via a spectacular celebration of sports while upholding the principles of humanity, equality, and destiny. The event is often known as the "Friendly Games" because of its reputation for encouraging friendly competition and mutual respect among competitors. The Commonwealth Games have hosted some of the most iconic moments in sports history. The "Miracle Mile," in which Roger Bannister and John Landy ran the mile in under four minutes, took place in the 1954 Vancouver Olympics and is widely considered to be the first time this was accomplished. In 2002, Paralympic history was made when Chantal Petitclerc won the first ever Gold Medal in a Paralympic Sport. It was a historic event, since it was the first time an event for a disabled athlete had been included in the official schedule. When Nicola Adams of Team England won the flyweight gold medal </w:t>
      </w:r>
      <w:r>
        <w:lastRenderedPageBreak/>
        <w:t>at the 2014 Commonwealth Games, women's boxing was officially established as a permanent fixture at the games. Athletes have been inspired by the positive spirit of the Games to run faster, jump higher, and test the boundaries of human performance. In addition to London in 1934 and Manchester in 2002, the West Midlands will host the Games for the first time in 2022. The West Midlands become an integral part of history as plans for the Birmingham 2022 Commonwealth Games take form. one with exceptional examples of cooperation, physical prowess, and friendship on a global scale.</w:t>
      </w:r>
    </w:p>
    <w:p w14:paraId="1694FCDE" w14:textId="77777777" w:rsidR="006D1595" w:rsidRPr="000900F8" w:rsidRDefault="006D1595" w:rsidP="00C16F66">
      <w:pPr>
        <w:spacing w:line="360" w:lineRule="auto"/>
        <w:jc w:val="both"/>
      </w:pPr>
    </w:p>
    <w:p w14:paraId="4B97CD48" w14:textId="6CB57E0D" w:rsidR="006D1595" w:rsidRDefault="006D1595" w:rsidP="00C16F66">
      <w:pPr>
        <w:spacing w:line="360" w:lineRule="auto"/>
        <w:jc w:val="both"/>
      </w:pPr>
      <w:r>
        <w:t>Since there will be more than a hundred attendees, including representatives from the Commonwealth Games Federation, the Birmingham 2022 Organising Committee, Team England athletes, sponsors, and members of the local sports community, it was essential that the event be interactive for everyone.</w:t>
      </w:r>
    </w:p>
    <w:p w14:paraId="3CCAE1A1" w14:textId="09B1BBC7" w:rsidR="00661D05" w:rsidRDefault="006D1595" w:rsidP="00C16F66">
      <w:pPr>
        <w:spacing w:line="360" w:lineRule="auto"/>
        <w:jc w:val="both"/>
      </w:pPr>
      <w:r>
        <w:t>Birmingham 2022 Commonwealth Games and Commonwealth Games England leaders gave opening remarks, and then an entertaining Q&amp;A with a special guest panel got things rolling.</w:t>
      </w:r>
    </w:p>
    <w:p w14:paraId="5C7F2CE9" w14:textId="545EB91D" w:rsidR="006D1595" w:rsidRDefault="006D1595" w:rsidP="00C16F66">
      <w:pPr>
        <w:spacing w:line="360" w:lineRule="auto"/>
        <w:jc w:val="both"/>
      </w:pPr>
      <w:r>
        <w:t>A great event depends on more than just the skill of the organisers and participants; the setting is also crucial. To top it all off, The Exchange was the natural option when looking for a location fit for one of the city's largest events.</w:t>
      </w:r>
      <w:r w:rsidR="005B3555">
        <w:t xml:space="preserve"> </w:t>
      </w:r>
      <w:r>
        <w:t>The majestic Grade II listed building that formerly housed the Birmingham Municipal Bank has been a fixture in the heart of Birmingham's municipal centre for more than a century. Thus, it was only natural for such a monument to play a pivotal part in the city's future. But the fact that The Exchange is among the city's most illustrious landmarks wasn't the only thing that made it so perfect.</w:t>
      </w:r>
    </w:p>
    <w:p w14:paraId="15EABEFD" w14:textId="77777777" w:rsidR="006D1595" w:rsidRDefault="006D1595" w:rsidP="00C16F66">
      <w:pPr>
        <w:spacing w:line="360" w:lineRule="auto"/>
        <w:jc w:val="both"/>
      </w:pPr>
    </w:p>
    <w:p w14:paraId="027D68EF" w14:textId="69ADA94E" w:rsidR="006D1595" w:rsidRPr="006D1595" w:rsidRDefault="006D1595" w:rsidP="00C16F66">
      <w:pPr>
        <w:spacing w:line="360" w:lineRule="auto"/>
        <w:jc w:val="both"/>
      </w:pPr>
      <w:r>
        <w:t>Two of the primary goals of the 1 Year to Go Stakeholder Reception were to facilitate stakeholder networking, collaboration, and relationship building, and to educate, excite, and inspire attendees about the Games. The purpose of the event, along with the mission of The Exchange itself, was to facilitate interpersonal connections amongst attendees.</w:t>
      </w:r>
    </w:p>
    <w:p w14:paraId="3AC263AE" w14:textId="2D185633" w:rsidR="00C16F66" w:rsidRDefault="003E6791" w:rsidP="00C16F66">
      <w:pPr>
        <w:spacing w:line="360" w:lineRule="auto"/>
        <w:jc w:val="both"/>
      </w:pPr>
      <w:r w:rsidRPr="003E6791">
        <w:t xml:space="preserve">The Birmingham 2022 sports event was a tremendous success. There were tremendous victories for </w:t>
      </w:r>
      <w:r w:rsidR="00C16F66" w:rsidRPr="003E6791">
        <w:t>all</w:t>
      </w:r>
      <w:r w:rsidRPr="003E6791">
        <w:t xml:space="preserve"> the Home Nations, with 877 medals being given; 96 Commonwealth Games records being broken; and 4 world records being broken.</w:t>
      </w:r>
    </w:p>
    <w:p w14:paraId="19AFBBD8" w14:textId="77777777" w:rsidR="00D64D9D" w:rsidRDefault="00D64D9D" w:rsidP="00C16F66">
      <w:pPr>
        <w:spacing w:line="360" w:lineRule="auto"/>
        <w:jc w:val="both"/>
      </w:pPr>
    </w:p>
    <w:p w14:paraId="5CF77FA2" w14:textId="0CF725F1" w:rsidR="00661D05" w:rsidRPr="00654BF7" w:rsidRDefault="00C16F66" w:rsidP="00654BF7">
      <w:pPr>
        <w:spacing w:line="360" w:lineRule="auto"/>
        <w:jc w:val="both"/>
      </w:pPr>
      <w:r>
        <w:t>The educated have decided to use various methods and projects in their quest to enlighten the populace, each tailored to the specifics of the society in question. Realizing community participation can be achieved through institutional programme development and community-based programme creation. As a result, people have come to appreciate the value of volunteering in their communities to make a positive impact. Ethical theories, citizenship theories, stakeholder theories, and democratic theory, among others, will shed light on the connection between community involvement and the moral challenges posed by transitions.</w:t>
      </w:r>
    </w:p>
    <w:p w14:paraId="71F2950C" w14:textId="37742A01" w:rsidR="00661D05" w:rsidRDefault="00AE6436" w:rsidP="00AE6436">
      <w:pPr>
        <w:jc w:val="both"/>
      </w:pPr>
      <w:r w:rsidRPr="00AE6436">
        <w:t>There were 14,000 volunteer roles and 40,000 paid ones made available because of the event. Over £10 million was spent in a Jobs and Skills Academy to help the jobless prepare for jobs during the Games.</w:t>
      </w:r>
    </w:p>
    <w:p w14:paraId="1586DA8A" w14:textId="6DC04F54" w:rsidR="00AE6436" w:rsidRDefault="00AE6436" w:rsidP="00AE6436">
      <w:pPr>
        <w:jc w:val="both"/>
      </w:pPr>
    </w:p>
    <w:p w14:paraId="072A0EE7" w14:textId="0E953B5B" w:rsidR="002829F0" w:rsidRPr="002829F0" w:rsidRDefault="00AE6436" w:rsidP="002829F0">
      <w:pPr>
        <w:jc w:val="both"/>
      </w:pPr>
      <w:r>
        <w:t xml:space="preserve">On this event a few social media channels were used. </w:t>
      </w:r>
      <w:r w:rsidR="0031159E">
        <w:t xml:space="preserve">Twitter, </w:t>
      </w:r>
      <w:r w:rsidR="00C10189">
        <w:t>Instagram,</w:t>
      </w:r>
      <w:r w:rsidR="0031159E">
        <w:t xml:space="preserve"> and Facebook</w:t>
      </w:r>
      <w:r>
        <w:t xml:space="preserve"> were the main platforms where everything was shared with the community. </w:t>
      </w:r>
      <w:r w:rsidR="00C10189">
        <w:t xml:space="preserve">They were updated regularly and that was useful for the people interested at home who cannot join the games in person. </w:t>
      </w:r>
      <w:r w:rsidR="007F2CCA">
        <w:t xml:space="preserve"> </w:t>
      </w:r>
      <w:r w:rsidR="002829F0" w:rsidRPr="002829F0">
        <w:t>After captivating Birmingham for four years, the 2022 Commonwealth Games ended with a bang, a flurry of gold, and a blast of Ozzy Osbourne's Black Sabbath. The subject of legacy is always a focal point in the community after a significant athletic event. In what ways do you expect the city of Birmingham and the surrounding area to gain from hosting the Commonwealth Games?</w:t>
      </w:r>
    </w:p>
    <w:p w14:paraId="738A5AA7" w14:textId="77777777" w:rsidR="002829F0" w:rsidRPr="002829F0" w:rsidRDefault="002829F0" w:rsidP="002829F0">
      <w:pPr>
        <w:jc w:val="both"/>
      </w:pPr>
    </w:p>
    <w:p w14:paraId="7C39E619" w14:textId="3B026D81" w:rsidR="002829F0" w:rsidRPr="002829F0" w:rsidRDefault="002829F0" w:rsidP="002829F0">
      <w:pPr>
        <w:jc w:val="both"/>
      </w:pPr>
      <w:r w:rsidRPr="002829F0">
        <w:t>Journalists, legislators, council members, and others involved will all have their own ideas about what this legacy means to them, and few will bother to try to quantify it in any meaningful manner over the long haul. This is since relying only on quantitative indicators may be misleading when attempting to assess a person's lasting impact. To what extent do we, for instance, encourage people to engage in sports in the years leading up to and after the Olympics? Community sports centre proliferation and improvement? More generally, how might a rise in regional investment affect things like job creation and building maintenance?</w:t>
      </w:r>
      <w:r>
        <w:t xml:space="preserve"> </w:t>
      </w:r>
      <w:r w:rsidRPr="002829F0">
        <w:t>The word "legacy" may seem too abstract to adequately explain the need for such a massive and costly event as these Games. Some estimates placed the cost of the Games at about £780 million, with most suggesting that the 2022 iteration were the costliest Commonwealth Games to date, despite organisers praising the advantages for the area. Stakeholders and the public have a right to anticipate a sizable return that provides advantages to local inhabitants given the project's high price tag. This legacy, however, must be articulated in a less mechanical and more holistic fashion.</w:t>
      </w:r>
    </w:p>
    <w:p w14:paraId="543D566D" w14:textId="77777777" w:rsidR="002829F0" w:rsidRPr="002829F0" w:rsidRDefault="002829F0" w:rsidP="002829F0">
      <w:pPr>
        <w:jc w:val="both"/>
      </w:pPr>
    </w:p>
    <w:p w14:paraId="50296B7D" w14:textId="77777777" w:rsidR="002829F0" w:rsidRPr="002829F0" w:rsidRDefault="002829F0" w:rsidP="002829F0">
      <w:pPr>
        <w:jc w:val="both"/>
      </w:pPr>
      <w:r w:rsidRPr="002829F0">
        <w:t>Thinking about issues of local pride and individual identification is a good place to begin. The government's recent white paper on communities vowed to "establish a feeling of community, local pride and belonging, particularly in those regions where these have been lost." Public critics mostly agreed that the Games were a great opportunity for Birmingham to show the world who it is. As a proud Brummie and a proud Coventrian, we can say that the closing ceremony was an inspiring example of the best of what our city and area have to offer in terms of quality, originality, and good humour. The Games unmistakably provided a platform upon which residents of Birmingham and the surrounding area could see the expression of regional identities and where residents of cities like Birmingham and Coventry could feel pride in their local roots. Broader policy conversations, such as the national "levelling up" debate, might overlook the importance of the Games' emphasis on local identity, belonging, and sport.</w:t>
      </w:r>
    </w:p>
    <w:p w14:paraId="600D76B8" w14:textId="77777777" w:rsidR="002829F0" w:rsidRPr="002829F0" w:rsidRDefault="002829F0" w:rsidP="002829F0">
      <w:pPr>
        <w:jc w:val="both"/>
      </w:pPr>
    </w:p>
    <w:p w14:paraId="59300B47" w14:textId="2E8C754B" w:rsidR="00654BF7" w:rsidRPr="002829F0" w:rsidRDefault="002829F0" w:rsidP="00654BF7">
      <w:pPr>
        <w:jc w:val="both"/>
      </w:pPr>
      <w:r w:rsidRPr="002829F0">
        <w:t xml:space="preserve">We are involved in character and virtues research, and there is a large body of literature demonstrating the positive effects of sports on young people, particularly in terms of helping to form their sense of self, providing positive role models, and instilling in them a sense of community and belonging. This positive impact on society that sports may have been often overlooked. by the Jubilee Centre for Character and Virtues has polled youth on their affiliation with their neighbourhoods and the larger community. Teens who took part in the study commonly mentioned how joining a sports club gave them a feeling of community and helped them make friends in their neighbourhoods. An eighth grader said that becoming a youth sports leader provides a way for them to "get out and assist other people in the community," which is an important element of being a good citizen. Another said it was tough to meet people and make friends 'outside of a sports club. </w:t>
      </w:r>
      <w:r w:rsidR="007F2CCA" w:rsidRPr="002829F0">
        <w:t>Therefore,</w:t>
      </w:r>
      <w:r w:rsidRPr="002829F0">
        <w:t xml:space="preserve"> it's important for politicians to recognise sports teams and community sports programmes as platforms for fostering good citizenship and expressing civic values. This is consistent with earlier studies that have shown that participation in sports and exposure to athletic role models favourably affects young people's ideals of what it means to have a successful life.</w:t>
      </w:r>
      <w:r w:rsidR="007F2CCA">
        <w:t xml:space="preserve"> </w:t>
      </w:r>
      <w:r w:rsidRPr="002829F0">
        <w:t xml:space="preserve">Civic virtues are "character attributes that are important for active, responsible citizenship, contributing to the common good," as defined by the Jubilee Centre. While concepts like "legacy" and "common good" can be debated, it is evident that a shared sense of citizenship can develop when young people are encouraged to work towards a common goal that highlights the "double benefit" - the benefit accrued to both the individual taking part in the social action and the recipient of such action. The Commonwealth Games have shown the strength of sport via the </w:t>
      </w:r>
      <w:r w:rsidRPr="002829F0">
        <w:lastRenderedPageBreak/>
        <w:t>extraordinary performances on display. However, the Games will leave a legacy if they inspire people to take pride in their communities and work together as citizens, qualities that the people of Birmingham have shown in spades in recent weeks.</w:t>
      </w:r>
      <w:r w:rsidR="00654BF7">
        <w:t xml:space="preserve"> The notion of community participation, as well as the tasks and obligations that come with it, may be better grasped with the help of an explanation of stakeholder theory. In this scenario, the community's stakeholders are essential, since they will be the ones to come up with a workable solution, which can then be utilised to motivate discussion and action. Stakeholders are consequently in a prime position to provide information about community involvement. This may provide some insight into perplexing communal problems and work to forge stronger, more mutually respected ties within the community. However, the theory does not specify the procedures that should be followed by specialists in bringing people together, nor does it specify how success should be attained (Vandenberg, 2000). The ethical issues that arise while using spin are addressed by stakeholder theory. Stakeholders get insight into the range of values held by members of the community and may utilise this knowledge to shape the future of their neighbourhood.</w:t>
      </w:r>
    </w:p>
    <w:p w14:paraId="242D3E0D" w14:textId="76B245F9" w:rsidR="00661D05" w:rsidRDefault="00661D05" w:rsidP="00661D05">
      <w:pPr>
        <w:jc w:val="center"/>
        <w:rPr>
          <w:sz w:val="32"/>
          <w:szCs w:val="32"/>
        </w:rPr>
      </w:pPr>
    </w:p>
    <w:p w14:paraId="1ACA7618" w14:textId="28EE587D" w:rsidR="00661D05" w:rsidRDefault="00654BF7" w:rsidP="00654BF7">
      <w:pPr>
        <w:rPr>
          <w:sz w:val="32"/>
          <w:szCs w:val="32"/>
        </w:rPr>
      </w:pPr>
      <w:r>
        <w:rPr>
          <w:sz w:val="32"/>
          <w:szCs w:val="32"/>
        </w:rPr>
        <w:t>CONCLUSION</w:t>
      </w:r>
    </w:p>
    <w:p w14:paraId="5AC5702D" w14:textId="5E796F2D" w:rsidR="00654BF7" w:rsidRDefault="00654BF7" w:rsidP="00654BF7">
      <w:pPr>
        <w:rPr>
          <w:sz w:val="32"/>
          <w:szCs w:val="32"/>
        </w:rPr>
      </w:pPr>
    </w:p>
    <w:p w14:paraId="72D53951" w14:textId="5CAEC2A5" w:rsidR="00654BF7" w:rsidRDefault="00B56F65" w:rsidP="00654BF7">
      <w:pPr>
        <w:jc w:val="both"/>
      </w:pPr>
      <w:r>
        <w:t xml:space="preserve">     </w:t>
      </w:r>
      <w:r w:rsidR="00654BF7">
        <w:t>From what has been said above, it should be clear that since the notion of "community participation" originated, a wide range of instances have been brought up, all with the intention of tackling problems of inequality and injustice. Indeed, today's community involvement is a vital weapon in the fight against societal ills. Because of efforts to increase community involvement in company strategies, legislation, and other social spheres, the educational sector has shifted its focus to include volunteer work in its mission.</w:t>
      </w:r>
    </w:p>
    <w:p w14:paraId="73AAF4C6" w14:textId="525DF468" w:rsidR="00654BF7" w:rsidRPr="00654BF7" w:rsidRDefault="00654BF7" w:rsidP="00654BF7">
      <w:pPr>
        <w:jc w:val="both"/>
      </w:pPr>
      <w:r>
        <w:t>However, not only is this shift currently in progress, but it also needs social backing. It is also crucial to recognise that the persons involved in community development have a long way to go before they succeed in stemming such features in the minds of the people. As a result, this shift in practise of community participation has been bolstered by the information learned in service-learning programmes and the theories employed to support this approach. Community involvement, which works to address ethical concerns related to propaganda, is strengthened by collective efforts to create more efficient and long-lasting forms of commonality within society. The ideas (stakeholder, democratic, and citizenship) outlined above help to clarify why community involvement is so important: it makes a significant impact in people's lives. Furthermore, this understanding has led to the development of new concepts for the institutional frameworks that are essential to successful community participation. In essence, for community participation to be effective in overcoming the challenges facing society and transforming society into a better place, society must offer the institutions and a conducive atmosphere necessary for this to occur.</w:t>
      </w:r>
    </w:p>
    <w:p w14:paraId="7440368B" w14:textId="61808069" w:rsidR="00654BF7" w:rsidRDefault="00654BF7" w:rsidP="00654BF7"/>
    <w:p w14:paraId="19CB1A7B" w14:textId="1FC3AE76" w:rsidR="00867027" w:rsidRDefault="00867027" w:rsidP="00654BF7"/>
    <w:p w14:paraId="3108AD2D" w14:textId="34E855B0" w:rsidR="00867027" w:rsidRDefault="00867027" w:rsidP="00654BF7"/>
    <w:p w14:paraId="502C1F92" w14:textId="47C40DB0" w:rsidR="00867027" w:rsidRDefault="00867027" w:rsidP="00654BF7"/>
    <w:p w14:paraId="474DF71F" w14:textId="150E4678" w:rsidR="00867027" w:rsidRDefault="00867027" w:rsidP="00654BF7"/>
    <w:p w14:paraId="5FB213C7" w14:textId="4DAD9D3F" w:rsidR="00867027" w:rsidRDefault="00867027" w:rsidP="00654BF7"/>
    <w:p w14:paraId="18765F91" w14:textId="103D03D0" w:rsidR="00867027" w:rsidRDefault="00867027" w:rsidP="00654BF7"/>
    <w:p w14:paraId="0FC7F6A4" w14:textId="054DAE46" w:rsidR="00867027" w:rsidRDefault="00867027" w:rsidP="00654BF7"/>
    <w:p w14:paraId="10236BDB" w14:textId="39ED5B6B" w:rsidR="00867027" w:rsidRDefault="00867027" w:rsidP="00654BF7"/>
    <w:p w14:paraId="61D8EDD0" w14:textId="5A282B83" w:rsidR="00867027" w:rsidRDefault="00867027" w:rsidP="00654BF7"/>
    <w:p w14:paraId="521A3075" w14:textId="51C1D99C" w:rsidR="00867027" w:rsidRDefault="00867027" w:rsidP="00654BF7"/>
    <w:p w14:paraId="14C61F19" w14:textId="0FA3CB5D" w:rsidR="00867027" w:rsidRDefault="00867027" w:rsidP="00654BF7"/>
    <w:p w14:paraId="19BD7AFD" w14:textId="15240B56" w:rsidR="00867027" w:rsidRDefault="00867027" w:rsidP="00654BF7"/>
    <w:p w14:paraId="22D3AA66" w14:textId="2D3CE1D3" w:rsidR="00867027" w:rsidRDefault="00867027" w:rsidP="00654BF7"/>
    <w:p w14:paraId="748EED57" w14:textId="2A3422BC" w:rsidR="00867027" w:rsidRDefault="00867027" w:rsidP="00654BF7"/>
    <w:p w14:paraId="13E58566" w14:textId="77777777" w:rsidR="00B56F65" w:rsidRDefault="00B56F65">
      <w:pPr>
        <w:rPr>
          <w:sz w:val="32"/>
          <w:szCs w:val="32"/>
        </w:rPr>
      </w:pPr>
      <w:r>
        <w:rPr>
          <w:sz w:val="32"/>
          <w:szCs w:val="32"/>
        </w:rPr>
        <w:br w:type="page"/>
      </w:r>
    </w:p>
    <w:p w14:paraId="2D255127" w14:textId="376E0C95" w:rsidR="00867027" w:rsidRDefault="00867027" w:rsidP="00B56F65">
      <w:pPr>
        <w:rPr>
          <w:sz w:val="32"/>
          <w:szCs w:val="32"/>
        </w:rPr>
      </w:pPr>
      <w:r>
        <w:rPr>
          <w:sz w:val="32"/>
          <w:szCs w:val="32"/>
        </w:rPr>
        <w:lastRenderedPageBreak/>
        <w:t>REFERENCES</w:t>
      </w:r>
    </w:p>
    <w:p w14:paraId="6034CB68" w14:textId="75A5B888" w:rsidR="00867027" w:rsidRPr="0080133B" w:rsidRDefault="00867027" w:rsidP="0080133B">
      <w:pPr>
        <w:rPr>
          <w:rFonts w:asciiTheme="majorHAnsi" w:hAnsiTheme="majorHAnsi" w:cstheme="majorHAnsi"/>
          <w:sz w:val="28"/>
          <w:szCs w:val="28"/>
        </w:rPr>
      </w:pPr>
    </w:p>
    <w:p w14:paraId="1B265244" w14:textId="5F0EF6E1" w:rsidR="0080133B" w:rsidRPr="0080133B" w:rsidRDefault="00000000" w:rsidP="0080133B">
      <w:pPr>
        <w:rPr>
          <w:rFonts w:asciiTheme="majorHAnsi" w:hAnsiTheme="majorHAnsi" w:cstheme="majorHAnsi"/>
          <w:sz w:val="28"/>
          <w:szCs w:val="28"/>
        </w:rPr>
      </w:pPr>
      <w:hyperlink r:id="rId6" w:history="1">
        <w:r w:rsidR="0080133B" w:rsidRPr="0080133B">
          <w:rPr>
            <w:rStyle w:val="Hyperlink"/>
            <w:rFonts w:asciiTheme="majorHAnsi" w:hAnsiTheme="majorHAnsi" w:cstheme="majorHAnsi"/>
            <w:sz w:val="28"/>
            <w:szCs w:val="28"/>
          </w:rPr>
          <w:t>https://www.birmingham2022.com/</w:t>
        </w:r>
      </w:hyperlink>
      <w:r w:rsidR="0080133B" w:rsidRPr="0080133B">
        <w:rPr>
          <w:rFonts w:asciiTheme="majorHAnsi" w:hAnsiTheme="majorHAnsi" w:cstheme="majorHAnsi"/>
          <w:sz w:val="28"/>
          <w:szCs w:val="28"/>
        </w:rPr>
        <w:t xml:space="preserve"> , Accessed on 26/11/2022.</w:t>
      </w:r>
    </w:p>
    <w:p w14:paraId="5C2210EB" w14:textId="77777777" w:rsidR="0080133B" w:rsidRPr="0080133B" w:rsidRDefault="0080133B" w:rsidP="0080133B">
      <w:pPr>
        <w:rPr>
          <w:rFonts w:asciiTheme="majorHAnsi" w:hAnsiTheme="majorHAnsi" w:cstheme="majorHAnsi"/>
          <w:sz w:val="28"/>
          <w:szCs w:val="28"/>
        </w:rPr>
      </w:pPr>
    </w:p>
    <w:p w14:paraId="15E7E0D4" w14:textId="77777777" w:rsidR="0080133B" w:rsidRPr="0080133B" w:rsidRDefault="0080133B" w:rsidP="0080133B">
      <w:pPr>
        <w:pStyle w:val="NormalWeb"/>
        <w:shd w:val="clear" w:color="auto" w:fill="FFFFFF"/>
        <w:spacing w:before="0" w:beforeAutospacing="0" w:line="420" w:lineRule="atLeast"/>
        <w:rPr>
          <w:rFonts w:asciiTheme="majorHAnsi" w:hAnsiTheme="majorHAnsi" w:cstheme="majorHAnsi"/>
          <w:color w:val="1F2024"/>
          <w:sz w:val="28"/>
          <w:szCs w:val="28"/>
        </w:rPr>
      </w:pPr>
      <w:r w:rsidRPr="0080133B">
        <w:rPr>
          <w:rFonts w:asciiTheme="majorHAnsi" w:hAnsiTheme="majorHAnsi" w:cstheme="majorHAnsi"/>
          <w:color w:val="1F2024"/>
          <w:sz w:val="28"/>
          <w:szCs w:val="28"/>
        </w:rPr>
        <w:t>Alasdair, R. S. 2005. “Spin Control and Freedom of Information: Lessons for the United Kingdom from Canada”. </w:t>
      </w:r>
      <w:r w:rsidRPr="0080133B">
        <w:rPr>
          <w:rStyle w:val="Emphasis"/>
          <w:rFonts w:asciiTheme="majorHAnsi" w:hAnsiTheme="majorHAnsi" w:cstheme="majorHAnsi"/>
          <w:color w:val="1F2024"/>
          <w:sz w:val="28"/>
          <w:szCs w:val="28"/>
        </w:rPr>
        <w:t>Public Administration</w:t>
      </w:r>
      <w:r w:rsidRPr="0080133B">
        <w:rPr>
          <w:rFonts w:asciiTheme="majorHAnsi" w:hAnsiTheme="majorHAnsi" w:cstheme="majorHAnsi"/>
          <w:color w:val="1F2024"/>
          <w:sz w:val="28"/>
          <w:szCs w:val="28"/>
        </w:rPr>
        <w:t>, 83: 1.</w:t>
      </w:r>
    </w:p>
    <w:p w14:paraId="7BA8E36D" w14:textId="77777777" w:rsidR="0080133B" w:rsidRPr="0080133B" w:rsidRDefault="0080133B" w:rsidP="0080133B">
      <w:pPr>
        <w:pStyle w:val="NormalWeb"/>
        <w:shd w:val="clear" w:color="auto" w:fill="FFFFFF"/>
        <w:spacing w:before="0" w:beforeAutospacing="0" w:line="420" w:lineRule="atLeast"/>
        <w:rPr>
          <w:rFonts w:asciiTheme="majorHAnsi" w:hAnsiTheme="majorHAnsi" w:cstheme="majorHAnsi"/>
          <w:color w:val="1F2024"/>
          <w:sz w:val="28"/>
          <w:szCs w:val="28"/>
        </w:rPr>
      </w:pPr>
      <w:r w:rsidRPr="0080133B">
        <w:rPr>
          <w:rFonts w:asciiTheme="majorHAnsi" w:hAnsiTheme="majorHAnsi" w:cstheme="majorHAnsi"/>
          <w:color w:val="1F2024"/>
          <w:sz w:val="28"/>
          <w:szCs w:val="28"/>
        </w:rPr>
        <w:t>CDC., 1997. </w:t>
      </w:r>
      <w:r w:rsidRPr="0080133B">
        <w:rPr>
          <w:rStyle w:val="Emphasis"/>
          <w:rFonts w:asciiTheme="majorHAnsi" w:hAnsiTheme="majorHAnsi" w:cstheme="majorHAnsi"/>
          <w:color w:val="1F2024"/>
          <w:sz w:val="28"/>
          <w:szCs w:val="28"/>
        </w:rPr>
        <w:t>Principles of Community Engagement.</w:t>
      </w:r>
      <w:r w:rsidRPr="0080133B">
        <w:rPr>
          <w:rFonts w:asciiTheme="majorHAnsi" w:hAnsiTheme="majorHAnsi" w:cstheme="majorHAnsi"/>
          <w:color w:val="1F2024"/>
          <w:sz w:val="28"/>
          <w:szCs w:val="28"/>
        </w:rPr>
        <w:t xml:space="preserve"> Atlanta, GA: </w:t>
      </w:r>
      <w:proofErr w:type="spellStart"/>
      <w:r w:rsidRPr="0080133B">
        <w:rPr>
          <w:rFonts w:asciiTheme="majorHAnsi" w:hAnsiTheme="majorHAnsi" w:cstheme="majorHAnsi"/>
          <w:color w:val="1F2024"/>
          <w:sz w:val="28"/>
          <w:szCs w:val="28"/>
        </w:rPr>
        <w:t>Centers</w:t>
      </w:r>
      <w:proofErr w:type="spellEnd"/>
      <w:r w:rsidRPr="0080133B">
        <w:rPr>
          <w:rFonts w:asciiTheme="majorHAnsi" w:hAnsiTheme="majorHAnsi" w:cstheme="majorHAnsi"/>
          <w:color w:val="1F2024"/>
          <w:sz w:val="28"/>
          <w:szCs w:val="28"/>
        </w:rPr>
        <w:t xml:space="preserve"> of Disease Control and Prevention. [online] Available at: &lt;</w:t>
      </w:r>
      <w:hyperlink r:id="rId7" w:tgtFrame="_blank" w:history="1">
        <w:r w:rsidRPr="0080133B">
          <w:rPr>
            <w:rStyle w:val="Hyperlink"/>
            <w:rFonts w:asciiTheme="majorHAnsi" w:hAnsiTheme="majorHAnsi" w:cstheme="majorHAnsi"/>
            <w:color w:val="00988A"/>
            <w:sz w:val="28"/>
            <w:szCs w:val="28"/>
          </w:rPr>
          <w:t>https://www.atsdr.cdc.gov/communityengagement/pdf/PCE_Report_508_FINAL.pdf</w:t>
        </w:r>
      </w:hyperlink>
      <w:proofErr w:type="gramStart"/>
      <w:r w:rsidRPr="0080133B">
        <w:rPr>
          <w:rFonts w:asciiTheme="majorHAnsi" w:hAnsiTheme="majorHAnsi" w:cstheme="majorHAnsi"/>
          <w:color w:val="1F2024"/>
          <w:sz w:val="28"/>
          <w:szCs w:val="28"/>
        </w:rPr>
        <w:t>&gt; .</w:t>
      </w:r>
      <w:proofErr w:type="gramEnd"/>
    </w:p>
    <w:p w14:paraId="1929D891" w14:textId="77777777" w:rsidR="0080133B" w:rsidRPr="0080133B" w:rsidRDefault="0080133B" w:rsidP="0080133B">
      <w:pPr>
        <w:pStyle w:val="NormalWeb"/>
        <w:shd w:val="clear" w:color="auto" w:fill="FFFFFF"/>
        <w:spacing w:before="0" w:beforeAutospacing="0" w:line="420" w:lineRule="atLeast"/>
        <w:rPr>
          <w:rFonts w:asciiTheme="majorHAnsi" w:hAnsiTheme="majorHAnsi" w:cstheme="majorHAnsi"/>
          <w:color w:val="1F2024"/>
          <w:sz w:val="28"/>
          <w:szCs w:val="28"/>
        </w:rPr>
      </w:pPr>
      <w:proofErr w:type="spellStart"/>
      <w:r w:rsidRPr="0080133B">
        <w:rPr>
          <w:rFonts w:asciiTheme="majorHAnsi" w:hAnsiTheme="majorHAnsi" w:cstheme="majorHAnsi"/>
          <w:color w:val="1F2024"/>
          <w:sz w:val="28"/>
          <w:szCs w:val="28"/>
        </w:rPr>
        <w:t>Gastil</w:t>
      </w:r>
      <w:proofErr w:type="spellEnd"/>
      <w:r w:rsidRPr="0080133B">
        <w:rPr>
          <w:rFonts w:asciiTheme="majorHAnsi" w:hAnsiTheme="majorHAnsi" w:cstheme="majorHAnsi"/>
          <w:color w:val="1F2024"/>
          <w:sz w:val="28"/>
          <w:szCs w:val="28"/>
        </w:rPr>
        <w:t>, J. and Levine, P., 2005. </w:t>
      </w:r>
      <w:r w:rsidRPr="0080133B">
        <w:rPr>
          <w:rStyle w:val="Emphasis"/>
          <w:rFonts w:asciiTheme="majorHAnsi" w:hAnsiTheme="majorHAnsi" w:cstheme="majorHAnsi"/>
          <w:color w:val="1F2024"/>
          <w:sz w:val="28"/>
          <w:szCs w:val="28"/>
        </w:rPr>
        <w:t>The deliberative democracy and handbook: strategies for effective civil engagement in the twenty first centuries</w:t>
      </w:r>
      <w:r w:rsidRPr="0080133B">
        <w:rPr>
          <w:rFonts w:asciiTheme="majorHAnsi" w:hAnsiTheme="majorHAnsi" w:cstheme="majorHAnsi"/>
          <w:color w:val="1F2024"/>
          <w:sz w:val="28"/>
          <w:szCs w:val="28"/>
        </w:rPr>
        <w:t>, San Francisco: Jossey- Bass.</w:t>
      </w:r>
    </w:p>
    <w:p w14:paraId="7565F1D6" w14:textId="77777777" w:rsidR="0080133B" w:rsidRPr="0080133B" w:rsidRDefault="0080133B" w:rsidP="0080133B">
      <w:pPr>
        <w:pStyle w:val="NormalWeb"/>
        <w:shd w:val="clear" w:color="auto" w:fill="FFFFFF"/>
        <w:spacing w:before="0" w:beforeAutospacing="0" w:line="420" w:lineRule="atLeast"/>
        <w:rPr>
          <w:rFonts w:asciiTheme="majorHAnsi" w:hAnsiTheme="majorHAnsi" w:cstheme="majorHAnsi"/>
          <w:color w:val="1F2024"/>
          <w:sz w:val="28"/>
          <w:szCs w:val="28"/>
        </w:rPr>
      </w:pPr>
      <w:proofErr w:type="spellStart"/>
      <w:r w:rsidRPr="0080133B">
        <w:rPr>
          <w:rFonts w:asciiTheme="majorHAnsi" w:hAnsiTheme="majorHAnsi" w:cstheme="majorHAnsi"/>
          <w:color w:val="1F2024"/>
          <w:sz w:val="28"/>
          <w:szCs w:val="28"/>
        </w:rPr>
        <w:t>Goldlust</w:t>
      </w:r>
      <w:proofErr w:type="spellEnd"/>
      <w:r w:rsidRPr="0080133B">
        <w:rPr>
          <w:rFonts w:asciiTheme="majorHAnsi" w:hAnsiTheme="majorHAnsi" w:cstheme="majorHAnsi"/>
          <w:color w:val="1F2024"/>
          <w:sz w:val="28"/>
          <w:szCs w:val="28"/>
        </w:rPr>
        <w:t>, J.,1996. </w:t>
      </w:r>
      <w:r w:rsidRPr="0080133B">
        <w:rPr>
          <w:rStyle w:val="Emphasis"/>
          <w:rFonts w:asciiTheme="majorHAnsi" w:hAnsiTheme="majorHAnsi" w:cstheme="majorHAnsi"/>
          <w:color w:val="1F2024"/>
          <w:sz w:val="28"/>
          <w:szCs w:val="28"/>
        </w:rPr>
        <w:t>Understanding citizenship in Australia, Bureau of immigration, multicultural and population research</w:t>
      </w:r>
      <w:r w:rsidRPr="0080133B">
        <w:rPr>
          <w:rFonts w:asciiTheme="majorHAnsi" w:hAnsiTheme="majorHAnsi" w:cstheme="majorHAnsi"/>
          <w:color w:val="1F2024"/>
          <w:sz w:val="28"/>
          <w:szCs w:val="28"/>
        </w:rPr>
        <w:t>. London: Australian Government Publishing service.</w:t>
      </w:r>
    </w:p>
    <w:p w14:paraId="62FBA3AA" w14:textId="77777777" w:rsidR="0080133B" w:rsidRPr="0080133B" w:rsidRDefault="0080133B" w:rsidP="0080133B">
      <w:pPr>
        <w:pStyle w:val="NormalWeb"/>
        <w:shd w:val="clear" w:color="auto" w:fill="FFFFFF"/>
        <w:spacing w:before="0" w:beforeAutospacing="0" w:line="420" w:lineRule="atLeast"/>
        <w:rPr>
          <w:rFonts w:asciiTheme="majorHAnsi" w:hAnsiTheme="majorHAnsi" w:cstheme="majorHAnsi"/>
          <w:color w:val="1F2024"/>
          <w:sz w:val="28"/>
          <w:szCs w:val="28"/>
        </w:rPr>
      </w:pPr>
      <w:r w:rsidRPr="0080133B">
        <w:rPr>
          <w:rFonts w:asciiTheme="majorHAnsi" w:hAnsiTheme="majorHAnsi" w:cstheme="majorHAnsi"/>
          <w:color w:val="1F2024"/>
          <w:sz w:val="28"/>
          <w:szCs w:val="28"/>
        </w:rPr>
        <w:t>Sarkissian, W., Hofer, N., Shore, Y, Vajda, S. and Wilkinson, C., 2009. </w:t>
      </w:r>
      <w:r w:rsidRPr="0080133B">
        <w:rPr>
          <w:rStyle w:val="Emphasis"/>
          <w:rFonts w:asciiTheme="majorHAnsi" w:hAnsiTheme="majorHAnsi" w:cstheme="majorHAnsi"/>
          <w:color w:val="1F2024"/>
          <w:sz w:val="28"/>
          <w:szCs w:val="28"/>
        </w:rPr>
        <w:t>Kitchen stable sustainability: practical recipes for community engagement with sustainability</w:t>
      </w:r>
      <w:r w:rsidRPr="0080133B">
        <w:rPr>
          <w:rFonts w:asciiTheme="majorHAnsi" w:hAnsiTheme="majorHAnsi" w:cstheme="majorHAnsi"/>
          <w:color w:val="1F2024"/>
          <w:sz w:val="28"/>
          <w:szCs w:val="28"/>
        </w:rPr>
        <w:t>. Earthscan: London.</w:t>
      </w:r>
    </w:p>
    <w:p w14:paraId="6AC29396" w14:textId="77777777" w:rsidR="0080133B" w:rsidRPr="0080133B" w:rsidRDefault="0080133B" w:rsidP="0080133B">
      <w:pPr>
        <w:pStyle w:val="NormalWeb"/>
        <w:shd w:val="clear" w:color="auto" w:fill="FFFFFF"/>
        <w:spacing w:before="0" w:beforeAutospacing="0" w:line="420" w:lineRule="atLeast"/>
        <w:rPr>
          <w:rFonts w:asciiTheme="majorHAnsi" w:hAnsiTheme="majorHAnsi" w:cstheme="majorHAnsi"/>
          <w:color w:val="1F2024"/>
          <w:sz w:val="28"/>
          <w:szCs w:val="28"/>
        </w:rPr>
      </w:pPr>
      <w:proofErr w:type="spellStart"/>
      <w:r w:rsidRPr="0080133B">
        <w:rPr>
          <w:rFonts w:asciiTheme="majorHAnsi" w:hAnsiTheme="majorHAnsi" w:cstheme="majorHAnsi"/>
          <w:color w:val="1F2024"/>
          <w:sz w:val="28"/>
          <w:szCs w:val="28"/>
        </w:rPr>
        <w:t>Superstone</w:t>
      </w:r>
      <w:proofErr w:type="spellEnd"/>
      <w:r w:rsidRPr="0080133B">
        <w:rPr>
          <w:rFonts w:asciiTheme="majorHAnsi" w:hAnsiTheme="majorHAnsi" w:cstheme="majorHAnsi"/>
          <w:color w:val="1F2024"/>
          <w:sz w:val="28"/>
          <w:szCs w:val="28"/>
        </w:rPr>
        <w:t>, A., 2009. </w:t>
      </w:r>
      <w:r w:rsidRPr="0080133B">
        <w:rPr>
          <w:rStyle w:val="Emphasis"/>
          <w:rFonts w:asciiTheme="majorHAnsi" w:hAnsiTheme="majorHAnsi" w:cstheme="majorHAnsi"/>
          <w:color w:val="1F2024"/>
          <w:sz w:val="28"/>
          <w:szCs w:val="28"/>
        </w:rPr>
        <w:t xml:space="preserve">The Moral </w:t>
      </w:r>
      <w:proofErr w:type="spellStart"/>
      <w:r w:rsidRPr="0080133B">
        <w:rPr>
          <w:rStyle w:val="Emphasis"/>
          <w:rFonts w:asciiTheme="majorHAnsi" w:hAnsiTheme="majorHAnsi" w:cstheme="majorHAnsi"/>
          <w:color w:val="1F2024"/>
          <w:sz w:val="28"/>
          <w:szCs w:val="28"/>
        </w:rPr>
        <w:t>Skeptic</w:t>
      </w:r>
      <w:proofErr w:type="spellEnd"/>
      <w:r w:rsidRPr="0080133B">
        <w:rPr>
          <w:rFonts w:asciiTheme="majorHAnsi" w:hAnsiTheme="majorHAnsi" w:cstheme="majorHAnsi"/>
          <w:color w:val="1F2024"/>
          <w:sz w:val="28"/>
          <w:szCs w:val="28"/>
        </w:rPr>
        <w:t>. New York: Oxford University Press.</w:t>
      </w:r>
    </w:p>
    <w:p w14:paraId="45A4D1BC" w14:textId="48A5F3B9" w:rsidR="0080133B" w:rsidRPr="0080133B" w:rsidRDefault="0080133B" w:rsidP="0080133B">
      <w:pPr>
        <w:pStyle w:val="NormalWeb"/>
        <w:shd w:val="clear" w:color="auto" w:fill="FFFFFF"/>
        <w:spacing w:before="0" w:beforeAutospacing="0" w:line="420" w:lineRule="atLeast"/>
        <w:rPr>
          <w:rFonts w:asciiTheme="majorHAnsi" w:hAnsiTheme="majorHAnsi" w:cstheme="majorHAnsi"/>
          <w:color w:val="1F2024"/>
          <w:sz w:val="28"/>
          <w:szCs w:val="28"/>
        </w:rPr>
      </w:pPr>
      <w:r w:rsidRPr="0080133B">
        <w:rPr>
          <w:rFonts w:asciiTheme="majorHAnsi" w:hAnsiTheme="majorHAnsi" w:cstheme="majorHAnsi"/>
          <w:color w:val="1F2024"/>
          <w:sz w:val="28"/>
          <w:szCs w:val="28"/>
        </w:rPr>
        <w:t>Vandenberg, A., 2000. </w:t>
      </w:r>
      <w:r w:rsidRPr="0080133B">
        <w:rPr>
          <w:rStyle w:val="Emphasis"/>
          <w:rFonts w:asciiTheme="majorHAnsi" w:hAnsiTheme="majorHAnsi" w:cstheme="majorHAnsi"/>
          <w:color w:val="1F2024"/>
          <w:sz w:val="28"/>
          <w:szCs w:val="28"/>
        </w:rPr>
        <w:t>Citizenship and democracy in a global era.</w:t>
      </w:r>
      <w:r w:rsidRPr="0080133B">
        <w:rPr>
          <w:rFonts w:asciiTheme="majorHAnsi" w:hAnsiTheme="majorHAnsi" w:cstheme="majorHAnsi"/>
          <w:color w:val="1F2024"/>
          <w:sz w:val="28"/>
          <w:szCs w:val="28"/>
        </w:rPr>
        <w:t> London: St Martin’s Press.</w:t>
      </w:r>
    </w:p>
    <w:p w14:paraId="22D70122" w14:textId="77777777" w:rsidR="0080133B" w:rsidRPr="0080133B" w:rsidRDefault="0080133B" w:rsidP="0080133B">
      <w:pPr>
        <w:rPr>
          <w:rFonts w:asciiTheme="majorHAnsi" w:hAnsiTheme="majorHAnsi" w:cstheme="majorHAnsi"/>
          <w:sz w:val="28"/>
          <w:szCs w:val="28"/>
        </w:rPr>
      </w:pPr>
    </w:p>
    <w:p w14:paraId="71A52B25" w14:textId="282EB4B3" w:rsidR="0080133B" w:rsidRPr="0080133B" w:rsidRDefault="0080133B" w:rsidP="0080133B">
      <w:pPr>
        <w:rPr>
          <w:rFonts w:asciiTheme="majorHAnsi" w:hAnsiTheme="majorHAnsi" w:cstheme="majorHAnsi"/>
          <w:sz w:val="28"/>
          <w:szCs w:val="28"/>
        </w:rPr>
      </w:pPr>
      <w:r w:rsidRPr="0080133B">
        <w:rPr>
          <w:rFonts w:asciiTheme="majorHAnsi" w:hAnsiTheme="majorHAnsi" w:cstheme="majorHAnsi"/>
          <w:sz w:val="28"/>
          <w:szCs w:val="28"/>
        </w:rPr>
        <w:t xml:space="preserve"> </w:t>
      </w:r>
    </w:p>
    <w:p w14:paraId="03BFC19D" w14:textId="77777777" w:rsidR="0080133B" w:rsidRPr="0080133B" w:rsidRDefault="0080133B" w:rsidP="0080133B">
      <w:pPr>
        <w:jc w:val="both"/>
        <w:rPr>
          <w:rFonts w:asciiTheme="majorHAnsi" w:hAnsiTheme="majorHAnsi" w:cstheme="majorHAnsi"/>
          <w:sz w:val="28"/>
          <w:szCs w:val="28"/>
        </w:rPr>
      </w:pPr>
    </w:p>
    <w:sectPr w:rsidR="0080133B" w:rsidRPr="0080133B" w:rsidSect="00C5448D">
      <w:footerReference w:type="even" r:id="rId8"/>
      <w:foot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FBA42" w14:textId="77777777" w:rsidR="001C65E8" w:rsidRDefault="001C65E8" w:rsidP="00654BF7">
      <w:r>
        <w:separator/>
      </w:r>
    </w:p>
  </w:endnote>
  <w:endnote w:type="continuationSeparator" w:id="0">
    <w:p w14:paraId="45CB9A6C" w14:textId="77777777" w:rsidR="001C65E8" w:rsidRDefault="001C65E8" w:rsidP="00654B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6623155"/>
      <w:docPartObj>
        <w:docPartGallery w:val="Page Numbers (Bottom of Page)"/>
        <w:docPartUnique/>
      </w:docPartObj>
    </w:sdtPr>
    <w:sdtContent>
      <w:p w14:paraId="1764E2A1" w14:textId="67B45A3A" w:rsidR="00654BF7" w:rsidRDefault="00654BF7" w:rsidP="0094569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E954BE" w14:textId="77777777" w:rsidR="00654BF7" w:rsidRDefault="00654BF7" w:rsidP="00654BF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57108405"/>
      <w:docPartObj>
        <w:docPartGallery w:val="Page Numbers (Bottom of Page)"/>
        <w:docPartUnique/>
      </w:docPartObj>
    </w:sdtPr>
    <w:sdtContent>
      <w:p w14:paraId="1C44A616" w14:textId="4F79C13D" w:rsidR="00654BF7" w:rsidRDefault="00654BF7" w:rsidP="0094569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4D4A180" w14:textId="77777777" w:rsidR="00654BF7" w:rsidRDefault="00654BF7" w:rsidP="00654BF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263CC8" w14:textId="77777777" w:rsidR="001C65E8" w:rsidRDefault="001C65E8" w:rsidP="00654BF7">
      <w:r>
        <w:separator/>
      </w:r>
    </w:p>
  </w:footnote>
  <w:footnote w:type="continuationSeparator" w:id="0">
    <w:p w14:paraId="6A1160F8" w14:textId="77777777" w:rsidR="001C65E8" w:rsidRDefault="001C65E8" w:rsidP="00654BF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D05"/>
    <w:rsid w:val="000900F8"/>
    <w:rsid w:val="00126606"/>
    <w:rsid w:val="001B7C0F"/>
    <w:rsid w:val="001C0990"/>
    <w:rsid w:val="001C65E8"/>
    <w:rsid w:val="00211493"/>
    <w:rsid w:val="002829F0"/>
    <w:rsid w:val="0031159E"/>
    <w:rsid w:val="00382C80"/>
    <w:rsid w:val="003E6791"/>
    <w:rsid w:val="00467A42"/>
    <w:rsid w:val="005B3555"/>
    <w:rsid w:val="00654BF7"/>
    <w:rsid w:val="00661D05"/>
    <w:rsid w:val="006D1595"/>
    <w:rsid w:val="0076145E"/>
    <w:rsid w:val="007837DD"/>
    <w:rsid w:val="007C3912"/>
    <w:rsid w:val="007F2CCA"/>
    <w:rsid w:val="0080133B"/>
    <w:rsid w:val="00867027"/>
    <w:rsid w:val="008E70DD"/>
    <w:rsid w:val="00AE6436"/>
    <w:rsid w:val="00B56F65"/>
    <w:rsid w:val="00C10189"/>
    <w:rsid w:val="00C16F66"/>
    <w:rsid w:val="00C5448D"/>
    <w:rsid w:val="00D64D9D"/>
    <w:rsid w:val="00FD0691"/>
    <w:rsid w:val="00FD77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1C34D"/>
  <w15:chartTrackingRefBased/>
  <w15:docId w15:val="{8B2ADBC8-0BC5-3848-A811-CCF7AEA85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54BF7"/>
    <w:pPr>
      <w:tabs>
        <w:tab w:val="center" w:pos="4513"/>
        <w:tab w:val="right" w:pos="9026"/>
      </w:tabs>
    </w:pPr>
  </w:style>
  <w:style w:type="character" w:customStyle="1" w:styleId="FooterChar">
    <w:name w:val="Footer Char"/>
    <w:basedOn w:val="DefaultParagraphFont"/>
    <w:link w:val="Footer"/>
    <w:uiPriority w:val="99"/>
    <w:rsid w:val="00654BF7"/>
  </w:style>
  <w:style w:type="character" w:styleId="PageNumber">
    <w:name w:val="page number"/>
    <w:basedOn w:val="DefaultParagraphFont"/>
    <w:uiPriority w:val="99"/>
    <w:semiHidden/>
    <w:unhideWhenUsed/>
    <w:rsid w:val="00654BF7"/>
  </w:style>
  <w:style w:type="character" w:styleId="Hyperlink">
    <w:name w:val="Hyperlink"/>
    <w:basedOn w:val="DefaultParagraphFont"/>
    <w:uiPriority w:val="99"/>
    <w:unhideWhenUsed/>
    <w:rsid w:val="0080133B"/>
    <w:rPr>
      <w:color w:val="0563C1" w:themeColor="hyperlink"/>
      <w:u w:val="single"/>
    </w:rPr>
  </w:style>
  <w:style w:type="character" w:styleId="UnresolvedMention">
    <w:name w:val="Unresolved Mention"/>
    <w:basedOn w:val="DefaultParagraphFont"/>
    <w:uiPriority w:val="99"/>
    <w:semiHidden/>
    <w:unhideWhenUsed/>
    <w:rsid w:val="0080133B"/>
    <w:rPr>
      <w:color w:val="605E5C"/>
      <w:shd w:val="clear" w:color="auto" w:fill="E1DFDD"/>
    </w:rPr>
  </w:style>
  <w:style w:type="paragraph" w:styleId="NormalWeb">
    <w:name w:val="Normal (Web)"/>
    <w:basedOn w:val="Normal"/>
    <w:uiPriority w:val="99"/>
    <w:semiHidden/>
    <w:unhideWhenUsed/>
    <w:rsid w:val="0080133B"/>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80133B"/>
    <w:rPr>
      <w:i/>
      <w:iCs/>
    </w:rPr>
  </w:style>
  <w:style w:type="character" w:styleId="HTMLCite">
    <w:name w:val="HTML Cite"/>
    <w:basedOn w:val="DefaultParagraphFont"/>
    <w:uiPriority w:val="99"/>
    <w:semiHidden/>
    <w:unhideWhenUsed/>
    <w:rsid w:val="0080133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2735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atsdr.cdc.gov/communityengagement/pdf/PCE_Report_508_FINAL.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irmingham2022.com/"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2282</Words>
  <Characters>13013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2131117@student.uwtsd.ac.uk</dc:creator>
  <cp:keywords/>
  <dc:description/>
  <cp:lastModifiedBy>Radoslav Engerov (2131117)</cp:lastModifiedBy>
  <cp:revision>2</cp:revision>
  <dcterms:created xsi:type="dcterms:W3CDTF">2022-12-02T20:17:00Z</dcterms:created>
  <dcterms:modified xsi:type="dcterms:W3CDTF">2022-12-02T20:17:00Z</dcterms:modified>
</cp:coreProperties>
</file>