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MENGYING HUANG</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Segoe UI Symbol" w:hAnsi="Segoe UI Symbol" w:eastAsia="MS Gothic" w:cs="Segoe UI Symbol"/>
                    <w:sz w:val="22"/>
                    <w:szCs w:val="22"/>
                  </w:rPr>
                  <w:t>☐</w:t>
                </w:r>
              </w:p>
            </w:tc>
          </w:sdtContent>
        </w:sdt>
      </w:tr>
    </w:tbl>
    <w:p w14:paraId="27426EAC">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FD612A7">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Education &amp; Humanities</w:t>
            </w:r>
          </w:p>
          <w:p w14:paraId="72964C02">
            <w:pPr>
              <w:rPr>
                <w:rFonts w:ascii="Arial" w:hAnsi="Arial" w:cs="Arial"/>
                <w:sz w:val="22"/>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39283D7C">
            <w:pPr>
              <w:rPr>
                <w:rFonts w:ascii="Arial" w:hAnsi="Arial" w:cs="Arial"/>
                <w:sz w:val="22"/>
                <w:szCs w:val="22"/>
              </w:rPr>
            </w:pPr>
          </w:p>
          <w:p w14:paraId="57CB938A">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Swansea campus</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6D16D89E">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2306791@student.uwtsd.ac.uk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+4407879938032</w:t>
            </w:r>
          </w:p>
          <w:p w14:paraId="331BC1EA">
            <w:pPr>
              <w:rPr>
                <w:rFonts w:ascii="Arial" w:hAnsi="Arial" w:cs="Arial"/>
                <w:sz w:val="22"/>
                <w:szCs w:val="22"/>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2306791</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hint="eastAsia" w:ascii="Arial" w:hAnsi="Arial" w:cs="Arial"/>
                <w:sz w:val="22"/>
                <w:szCs w:val="22"/>
              </w:rPr>
              <w:t>Research Design and Management in Education (ECDE7020)</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Catherine Morgan</w:t>
            </w: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14:paraId="12B500FD">
            <w:pPr>
              <w:autoSpaceDE w:val="0"/>
              <w:autoSpaceDN w:val="0"/>
              <w:adjustRightInd w:val="0"/>
              <w:jc w:val="cente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20 March 2025</w:t>
            </w: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eastAsia="宋体" w:cs="Arial"/>
                <w:b w:val="0"/>
                <w:bCs w:val="0"/>
                <w:i/>
                <w:iCs/>
                <w:caps w:val="0"/>
                <w:color w:val="000000"/>
                <w:spacing w:val="0"/>
                <w:sz w:val="22"/>
                <w:szCs w:val="22"/>
                <w:shd w:val="clear" w:fill="FFFFFF"/>
                <w:lang w:val="en-US"/>
              </w:rPr>
              <w:t>BERA (2024)</w:t>
            </w:r>
            <w:r>
              <w:rPr>
                <w:rFonts w:hint="default" w:ascii="Times New Roman" w:hAnsi="Times New Roman" w:eastAsia="宋体" w:cs="Times New Roman"/>
                <w:b w:val="0"/>
                <w:bCs w:val="0"/>
                <w:i w:val="0"/>
                <w:iCs w:val="0"/>
                <w:caps w:val="0"/>
                <w:color w:val="000000"/>
                <w:spacing w:val="0"/>
                <w:sz w:val="21"/>
                <w:szCs w:val="21"/>
                <w:shd w:val="clear" w:fill="FFFFFF"/>
                <w:lang w:val="en-US"/>
              </w:rPr>
              <w:t xml:space="preserve"> </w:t>
            </w:r>
            <w:r>
              <w:rPr>
                <w:rFonts w:hint="default" w:ascii="Arial" w:hAnsi="Arial" w:eastAsia="宋体" w:cs="Arial"/>
                <w:b w:val="0"/>
                <w:bCs w:val="0"/>
                <w:i/>
                <w:iCs/>
                <w:caps w:val="0"/>
                <w:color w:val="000000"/>
                <w:spacing w:val="0"/>
                <w:sz w:val="22"/>
                <w:szCs w:val="22"/>
                <w:shd w:val="clear" w:fill="FFFFFF"/>
                <w:lang w:val="en-US"/>
              </w:rPr>
              <w:t>Research Design and Management in Education</w:t>
            </w:r>
            <w:r>
              <w:rPr>
                <w:rFonts w:hint="default" w:ascii="Arial" w:hAnsi="Arial" w:eastAsia="宋体" w:cs="Arial"/>
                <w:i w:val="0"/>
                <w:iCs w:val="0"/>
                <w:caps w:val="0"/>
                <w:color w:val="000000"/>
                <w:spacing w:val="0"/>
                <w:sz w:val="22"/>
                <w:szCs w:val="22"/>
                <w:shd w:val="clear" w:fill="FFFFFF"/>
              </w:rPr>
              <w:t> </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The relationship between Chenguang middle school students</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growth mindset and mathematics anxiety in Jiangxi province in China</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 March 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30 Sept 2025</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0"/>
              <w:numPr>
                <w:ilvl w:val="0"/>
                <w:numId w:val="1"/>
              </w:numPr>
              <w:ind w:left="0"/>
              <w:contextualSpacing w:val="0"/>
              <w:rPr>
                <w:rFonts w:ascii="Arial" w:hAnsi="Arial" w:cs="Arial"/>
                <w:i/>
              </w:rPr>
            </w:pPr>
            <w:r>
              <w:rPr>
                <w:rFonts w:ascii="Arial" w:hAnsi="Arial" w:cs="Arial"/>
                <w:i/>
              </w:rPr>
              <w:t>Purpose of Research Activity</w:t>
            </w:r>
          </w:p>
          <w:p w14:paraId="51A7B78C">
            <w:pPr>
              <w:pStyle w:val="30"/>
              <w:numPr>
                <w:ilvl w:val="0"/>
                <w:numId w:val="1"/>
              </w:numPr>
              <w:ind w:left="0"/>
              <w:contextualSpacing w:val="0"/>
              <w:rPr>
                <w:rFonts w:ascii="Arial" w:hAnsi="Arial" w:cs="Arial"/>
                <w:i/>
              </w:rPr>
            </w:pPr>
            <w:r>
              <w:rPr>
                <w:rFonts w:ascii="Arial" w:hAnsi="Arial" w:cs="Arial"/>
                <w:i/>
              </w:rPr>
              <w:t>Proposed Research Question</w:t>
            </w:r>
          </w:p>
          <w:p w14:paraId="2A394C41">
            <w:pPr>
              <w:pStyle w:val="30"/>
              <w:numPr>
                <w:ilvl w:val="0"/>
                <w:numId w:val="1"/>
              </w:numPr>
              <w:ind w:left="0"/>
              <w:contextualSpacing w:val="0"/>
              <w:rPr>
                <w:rFonts w:ascii="Arial" w:hAnsi="Arial" w:cs="Arial"/>
                <w:i/>
              </w:rPr>
            </w:pPr>
            <w:r>
              <w:rPr>
                <w:rFonts w:ascii="Arial" w:hAnsi="Arial" w:cs="Arial"/>
                <w:i/>
              </w:rPr>
              <w:t>Aims of Research Activity</w:t>
            </w:r>
          </w:p>
          <w:p w14:paraId="732F1DA5">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5F64A457">
            <w:pPr>
              <w:keepNext w:val="0"/>
              <w:keepLines w:val="0"/>
              <w:pageBreakBefore w:val="0"/>
              <w:widowControl/>
              <w:kinsoku/>
              <w:wordWrap/>
              <w:overflowPunct/>
              <w:topLinePunct w:val="0"/>
              <w:autoSpaceDE/>
              <w:autoSpaceDN/>
              <w:bidi w:val="0"/>
              <w:adjustRightInd/>
              <w:snapToGrid/>
              <w:spacing w:line="360" w:lineRule="auto"/>
              <w:ind w:firstLine="400" w:firstLineChars="200"/>
              <w:jc w:val="both"/>
              <w:textAlignment w:val="auto"/>
              <w:rPr>
                <w:rFonts w:ascii="Arial" w:hAnsi="Arial" w:cs="Arial"/>
              </w:rPr>
            </w:pPr>
            <w:r>
              <w:rPr>
                <w:rFonts w:hint="eastAsia" w:ascii="Arial" w:hAnsi="Arial" w:cs="Arial"/>
              </w:rPr>
              <w:t>This study aims to explore the relationship between growth mindset and math anxiety among junior high school students at Chenguang Middle School in Jiujiang City, Jiangxi Province. By administering standardized questionnaires based on the PISA 2022 growth mindset and math anxiety scales to all junior high students at the school, the research will analyze the correlation between these two factors and their underlying mechanisms. The study seeks to determine whether a growth mindset (e.g., belief in the malleability of ability) can mitigate students' math anxiety, thereby providing theoretical support for educational practices. This study aims to quantitatively examine the correlation between growth mindset and math anxiety among Chinese junior high students, filling a gap in existing literature that primarily focuses on Western contexts. The findings will contribute to the theoretical debate on whether cultural factors moderate this relationship. Ultimately, the research aims to enhance students' math learning efficacy and promote their overall academic and psychological well-being.</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76C0468A">
            <w:pPr>
              <w:autoSpaceDE w:val="0"/>
              <w:autoSpaceDN w:val="0"/>
              <w:adjustRightInd w:val="0"/>
              <w:rPr>
                <w:rFonts w:ascii="Arial" w:hAnsi="Arial" w:cs="Arial"/>
                <w:b/>
                <w:bCs/>
                <w:sz w:val="22"/>
                <w:szCs w:val="22"/>
              </w:rPr>
            </w:pPr>
            <w:r>
              <w:rPr>
                <w:rFonts w:hint="eastAsia" w:ascii="Arial" w:hAnsi="Arial" w:cs="Arial"/>
              </w:rPr>
              <w:t xml:space="preserve">What is the relationship between growth mindset and mathematics anxiety among junior high school students at Chenguang Middle School in Jiujiang, Jiangxi under traditional Chinese culture and the "double reduction" policy？ </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5469C46B">
            <w:pPr>
              <w:keepNext w:val="0"/>
              <w:keepLines w:val="0"/>
              <w:pageBreakBefore w:val="0"/>
              <w:widowControl/>
              <w:kinsoku/>
              <w:wordWrap/>
              <w:overflowPunct/>
              <w:topLinePunct w:val="0"/>
              <w:autoSpaceDE/>
              <w:autoSpaceDN/>
              <w:bidi w:val="0"/>
              <w:adjustRightInd/>
              <w:snapToGrid/>
              <w:spacing w:line="360" w:lineRule="auto"/>
              <w:ind w:firstLine="400" w:firstLineChars="200"/>
              <w:jc w:val="both"/>
              <w:textAlignment w:val="auto"/>
              <w:rPr>
                <w:rFonts w:hint="eastAsia" w:ascii="Arial" w:hAnsi="Arial" w:cs="Arial"/>
              </w:rPr>
            </w:pPr>
            <w:r>
              <w:rPr>
                <w:rFonts w:hint="eastAsia" w:ascii="Arial" w:hAnsi="Arial" w:cs="Arial"/>
              </w:rPr>
              <w:t xml:space="preserve">This study aims to explore the relationship between growth mindset and math anxiety among </w:t>
            </w:r>
            <w:r>
              <w:rPr>
                <w:rFonts w:hint="eastAsia" w:ascii="Arial" w:hAnsi="Arial" w:eastAsia="宋体" w:cs="Arial"/>
                <w:lang w:val="en-US" w:eastAsia="zh-CN"/>
              </w:rPr>
              <w:t xml:space="preserve">junior high </w:t>
            </w:r>
            <w:r>
              <w:rPr>
                <w:rFonts w:hint="eastAsia" w:ascii="Arial" w:hAnsi="Arial" w:cs="Arial"/>
              </w:rPr>
              <w:t xml:space="preserve">school students in the context of Chinese culture. Numerous Western studies have shown that growth mindset can alleviate math anxiety and enhance students' academic performance, especially in countries like the UK and the US, where this relationship has been widely confirmed. However, in the Confucian culture that emphasizes diligence, obedience, and achievement, whether growth mindset still has the same positive effects remains to be investigated. Currently, relevant research is still limited. Therefore, this study takes Chenguang Middle School, a representative school in China, as an example to attempt to explore whether there are similar or different correlation patterns between students' growth mindset and math anxiety in this cultural context. </w:t>
            </w:r>
          </w:p>
          <w:p w14:paraId="574A3C8C">
            <w:pPr>
              <w:keepNext w:val="0"/>
              <w:keepLines w:val="0"/>
              <w:pageBreakBefore w:val="0"/>
              <w:widowControl/>
              <w:kinsoku/>
              <w:wordWrap/>
              <w:overflowPunct/>
              <w:topLinePunct w:val="0"/>
              <w:autoSpaceDE/>
              <w:autoSpaceDN/>
              <w:bidi w:val="0"/>
              <w:adjustRightInd/>
              <w:snapToGrid/>
              <w:spacing w:line="360" w:lineRule="auto"/>
              <w:ind w:firstLine="400" w:firstLineChars="200"/>
              <w:jc w:val="both"/>
              <w:textAlignment w:val="auto"/>
              <w:rPr>
                <w:rFonts w:ascii="Arial" w:hAnsi="Arial" w:cs="Arial"/>
              </w:rPr>
            </w:pPr>
            <w:r>
              <w:rPr>
                <w:rFonts w:hint="eastAsia" w:ascii="Arial" w:hAnsi="Arial" w:cs="Arial"/>
              </w:rPr>
              <w:t>By comparing with the research results from the West, this study not only helps to verify the applicability of the growth mindset theory in different cultural contexts, but also may reveal the moderating role of cultural factors in the relationship between students' psychological states and academic emotions. The research results are expected to provide theoretical support and practical references for the formulation of local educational intervention strategies, helping teachers to guide students more targetedly to establish a positive learning attitude, thereby alleviating their anxiety in mathematics learning.</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37171CA">
            <w:pPr>
              <w:autoSpaceDE w:val="0"/>
              <w:autoSpaceDN w:val="0"/>
              <w:adjustRightInd w:val="0"/>
              <w:rPr>
                <w:rFonts w:ascii="Arial" w:hAnsi="Arial" w:cs="Arial"/>
              </w:rPr>
            </w:pPr>
            <w:r>
              <w:rPr>
                <w:rFonts w:ascii="Arial" w:hAnsi="Arial" w:cs="Arial"/>
                <w:b/>
                <w:bCs/>
                <w:sz w:val="22"/>
                <w:szCs w:val="22"/>
              </w:rPr>
              <w:t>Objectives of Research Activity</w:t>
            </w:r>
          </w:p>
          <w:p w14:paraId="195CBC88">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textAlignment w:val="auto"/>
              <w:rPr>
                <w:rFonts w:hint="eastAsia" w:ascii="Arial" w:hAnsi="Arial" w:eastAsia="宋体" w:cs="Arial"/>
                <w:sz w:val="20"/>
                <w:szCs w:val="20"/>
                <w:lang w:val="en-US" w:eastAsia="zh-CN"/>
              </w:rPr>
            </w:pPr>
            <w:r>
              <w:rPr>
                <w:rFonts w:hint="eastAsia" w:ascii="Arial" w:hAnsi="Arial" w:eastAsia="宋体" w:cs="Arial"/>
                <w:sz w:val="20"/>
                <w:szCs w:val="20"/>
                <w:lang w:val="en-US" w:eastAsia="zh-CN"/>
              </w:rPr>
              <w:t>To examine the correlation between growth mindset and mathematics anxiety among junior high students at Chenguang Middle School.</w:t>
            </w:r>
          </w:p>
          <w:p w14:paraId="765195E5">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textAlignment w:val="auto"/>
              <w:rPr>
                <w:rFonts w:hint="eastAsia" w:ascii="Arial" w:hAnsi="Arial" w:eastAsia="宋体" w:cs="Arial"/>
                <w:sz w:val="20"/>
                <w:szCs w:val="20"/>
                <w:lang w:val="en-US" w:eastAsia="zh-CN"/>
              </w:rPr>
            </w:pPr>
            <w:r>
              <w:rPr>
                <w:rFonts w:hint="eastAsia" w:ascii="Arial" w:hAnsi="Arial" w:eastAsia="宋体" w:cs="Arial"/>
                <w:sz w:val="20"/>
                <w:szCs w:val="20"/>
                <w:lang w:val="en-US" w:eastAsia="zh-CN"/>
              </w:rPr>
              <w:t>To establish baseline data on both psychological constructs within the sample population.</w:t>
            </w:r>
          </w:p>
          <w:p w14:paraId="1AB296AD">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textAlignment w:val="auto"/>
              <w:rPr>
                <w:rFonts w:hint="default" w:ascii="Arial" w:hAnsi="Arial" w:eastAsia="宋体" w:cs="Arial"/>
                <w:sz w:val="20"/>
                <w:szCs w:val="20"/>
                <w:lang w:val="en-US" w:eastAsia="zh-CN"/>
              </w:rPr>
            </w:pPr>
            <w:r>
              <w:rPr>
                <w:rFonts w:hint="default" w:ascii="Arial" w:hAnsi="Arial" w:eastAsia="宋体" w:cs="Arial"/>
                <w:sz w:val="20"/>
                <w:szCs w:val="20"/>
                <w:lang w:val="en-US" w:eastAsia="zh-CN"/>
              </w:rPr>
              <w:t>To provide evidence-based recommendations for mindset intervention programs</w:t>
            </w:r>
            <w:r>
              <w:rPr>
                <w:rFonts w:hint="eastAsia" w:ascii="Arial" w:hAnsi="Arial" w:eastAsia="宋体" w:cs="Arial"/>
                <w:sz w:val="20"/>
                <w:szCs w:val="20"/>
                <w:lang w:val="en-US" w:eastAsia="zh-CN"/>
              </w:rPr>
              <w:t>.</w:t>
            </w:r>
          </w:p>
          <w:p w14:paraId="0BDCF927">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textAlignment w:val="auto"/>
              <w:rPr>
                <w:rFonts w:hint="default" w:ascii="Arial" w:hAnsi="Arial" w:eastAsia="宋体" w:cs="Arial"/>
                <w:sz w:val="20"/>
                <w:szCs w:val="20"/>
                <w:lang w:val="en-US" w:eastAsia="zh-CN"/>
              </w:rPr>
            </w:pPr>
            <w:r>
              <w:rPr>
                <w:rFonts w:hint="default" w:ascii="Arial" w:hAnsi="Arial" w:eastAsia="宋体" w:cs="Arial"/>
                <w:sz w:val="20"/>
                <w:szCs w:val="20"/>
                <w:lang w:val="en-US" w:eastAsia="zh-CN"/>
              </w:rPr>
              <w:t>To develop targeted strategies for reducing math anxiety in classroom settings</w:t>
            </w:r>
            <w:r>
              <w:rPr>
                <w:rFonts w:hint="eastAsia" w:ascii="Arial" w:hAnsi="Arial" w:eastAsia="宋体" w:cs="Arial"/>
                <w:sz w:val="20"/>
                <w:szCs w:val="20"/>
                <w:lang w:val="en-US" w:eastAsia="zh-CN"/>
              </w:rPr>
              <w:t>.</w:t>
            </w:r>
          </w:p>
          <w:p w14:paraId="5825666D">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textAlignment w:val="auto"/>
              <w:rPr>
                <w:rFonts w:hint="default" w:ascii="Arial" w:hAnsi="Arial" w:eastAsia="宋体" w:cs="Arial"/>
                <w:sz w:val="22"/>
                <w:szCs w:val="22"/>
                <w:lang w:val="en-US" w:eastAsia="zh-CN"/>
              </w:rPr>
            </w:pPr>
            <w:r>
              <w:rPr>
                <w:rFonts w:hint="default" w:ascii="Arial" w:hAnsi="Arial" w:eastAsia="宋体" w:cs="Arial"/>
                <w:sz w:val="20"/>
                <w:szCs w:val="20"/>
                <w:lang w:val="en-US" w:eastAsia="zh-CN"/>
              </w:rPr>
              <w:t>To create reference materials for teacher training on psychological factors in math education</w:t>
            </w:r>
            <w:r>
              <w:rPr>
                <w:rFonts w:hint="eastAsia" w:ascii="Arial" w:hAnsi="Arial" w:eastAsia="宋体" w:cs="Arial"/>
                <w:sz w:val="20"/>
                <w:szCs w:val="20"/>
                <w:lang w:val="en-US" w:eastAsia="zh-CN"/>
              </w:rPr>
              <w:t>.</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79321A55">
            <w:pPr>
              <w:keepNext w:val="0"/>
              <w:keepLines w:val="0"/>
              <w:pageBreakBefore w:val="0"/>
              <w:widowControl/>
              <w:kinsoku/>
              <w:wordWrap/>
              <w:overflowPunct/>
              <w:topLinePunct w:val="0"/>
              <w:autoSpaceDE/>
              <w:autoSpaceDN/>
              <w:bidi w:val="0"/>
              <w:adjustRightInd w:val="0"/>
              <w:snapToGrid/>
              <w:spacing w:line="360" w:lineRule="auto"/>
              <w:ind w:firstLine="440" w:firstLineChars="200"/>
              <w:textAlignment w:val="auto"/>
              <w:rPr>
                <w:rFonts w:hint="eastAsia" w:ascii="Arial" w:hAnsi="Arial" w:cs="Arial"/>
                <w:sz w:val="22"/>
                <w:szCs w:val="22"/>
              </w:rPr>
            </w:pPr>
            <w:r>
              <w:rPr>
                <w:rFonts w:hint="eastAsia" w:ascii="Arial" w:hAnsi="Arial" w:cs="Arial"/>
                <w:sz w:val="22"/>
                <w:szCs w:val="22"/>
              </w:rPr>
              <w:t>This study adopts a quantitative research approach to investigate the relationship between growth mindset and mathematics anxiety among all 7th to 9th grade students (estimated N=1200) at Chenguang Middle School in Jiujiang, Jiangxi Province. The research utilizes PISA 2022's 5-item Growth Mindset Scale and 6-item Mathematics Anxiety Scale, both employing a 4-point Likert scale for measurement. Additionally, the study collects demographic information (including grade level, gender, and age) and academic performance data such as students' most recent mathematics examination scores.</w:t>
            </w:r>
          </w:p>
          <w:p w14:paraId="108EF2F7">
            <w:pPr>
              <w:keepNext w:val="0"/>
              <w:keepLines w:val="0"/>
              <w:pageBreakBefore w:val="0"/>
              <w:widowControl/>
              <w:kinsoku/>
              <w:wordWrap/>
              <w:overflowPunct/>
              <w:topLinePunct w:val="0"/>
              <w:autoSpaceDE/>
              <w:autoSpaceDN/>
              <w:bidi w:val="0"/>
              <w:adjustRightInd w:val="0"/>
              <w:snapToGrid/>
              <w:spacing w:line="360" w:lineRule="auto"/>
              <w:ind w:firstLine="440" w:firstLineChars="200"/>
              <w:textAlignment w:val="auto"/>
              <w:rPr>
                <w:rFonts w:hint="eastAsia" w:ascii="Arial" w:hAnsi="Arial" w:cs="Arial"/>
                <w:sz w:val="22"/>
                <w:szCs w:val="22"/>
              </w:rPr>
            </w:pPr>
            <w:r>
              <w:rPr>
                <w:rFonts w:hint="eastAsia" w:ascii="Arial" w:hAnsi="Arial" w:cs="Arial"/>
                <w:sz w:val="22"/>
                <w:szCs w:val="22"/>
              </w:rPr>
              <w:t>Data collection will be conducted during regular class hours, with paper-based questionnaires administered by the researcher (my</w:t>
            </w:r>
            <w:bookmarkStart w:id="0" w:name="_GoBack"/>
            <w:r>
              <w:rPr>
                <w:rFonts w:hint="eastAsia" w:ascii="Arial" w:hAnsi="Arial" w:cs="Arial"/>
                <w:sz w:val="22"/>
                <w:szCs w:val="22"/>
              </w:rPr>
              <w:t>self</w:t>
            </w:r>
            <w:bookmarkEnd w:id="0"/>
            <w:r>
              <w:rPr>
                <w:rFonts w:hint="eastAsia" w:ascii="Arial" w:hAnsi="Arial" w:cs="Arial"/>
                <w:sz w:val="22"/>
                <w:szCs w:val="22"/>
              </w:rPr>
              <w:t>) in person. The completion process requires approximately 20 minutes. To ensure data quality, I will assign anonymous unique identification codes to each participant during on-site data collection. For data management, the study employs Epidata software for double-entry procedures, with all data stored on password-protected servers. Rigorous data cleaning protocols are implemented to address missing or inconsistent responses.</w:t>
            </w:r>
          </w:p>
          <w:p w14:paraId="1032D7F2">
            <w:pPr>
              <w:keepNext w:val="0"/>
              <w:keepLines w:val="0"/>
              <w:pageBreakBefore w:val="0"/>
              <w:widowControl/>
              <w:kinsoku/>
              <w:wordWrap/>
              <w:overflowPunct/>
              <w:topLinePunct w:val="0"/>
              <w:autoSpaceDE/>
              <w:autoSpaceDN/>
              <w:bidi w:val="0"/>
              <w:adjustRightInd w:val="0"/>
              <w:snapToGrid/>
              <w:spacing w:line="360" w:lineRule="auto"/>
              <w:ind w:firstLine="440" w:firstLineChars="200"/>
              <w:textAlignment w:val="auto"/>
              <w:rPr>
                <w:rFonts w:hint="eastAsia" w:ascii="Arial" w:hAnsi="Arial" w:cs="Arial"/>
                <w:sz w:val="22"/>
                <w:szCs w:val="22"/>
              </w:rPr>
            </w:pPr>
            <w:r>
              <w:rPr>
                <w:rFonts w:hint="eastAsia" w:ascii="Arial" w:hAnsi="Arial" w:cs="Arial"/>
                <w:sz w:val="22"/>
                <w:szCs w:val="22"/>
              </w:rPr>
              <w:t>All participants are required to provide parental/guardian consent forms and student assent forms. Data confidentiality is maintained throughout the research process, and participation is voluntary with no impact on academic performance. This systematic research design aims to provide reliable data support for understanding the relationship between growth mindset and mathematics anxiety among junior high school students.</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1E4484B6">
            <w:pPr>
              <w:rPr>
                <w:rFonts w:hint="default" w:ascii="Arial" w:hAnsi="Arial" w:eastAsia="宋体" w:cs="Arial"/>
                <w:b/>
                <w:sz w:val="22"/>
                <w:szCs w:val="22"/>
                <w:lang w:val="en-US" w:eastAsia="zh-CN"/>
              </w:rPr>
            </w:pPr>
            <w:r>
              <w:rPr>
                <w:rFonts w:hint="eastAsia" w:ascii="Arial" w:hAnsi="Arial" w:cs="Arial"/>
                <w:sz w:val="22"/>
                <w:szCs w:val="22"/>
              </w:rPr>
              <w:t>Regular classrooms at Chenguang Middle Schoo</w:t>
            </w:r>
            <w:r>
              <w:rPr>
                <w:rFonts w:hint="eastAsia" w:ascii="Arial" w:hAnsi="Arial" w:eastAsia="宋体" w:cs="Arial"/>
                <w:sz w:val="22"/>
                <w:szCs w:val="22"/>
                <w:lang w:val="en-US" w:eastAsia="zh-CN"/>
              </w:rPr>
              <w:t>l</w:t>
            </w:r>
            <w:r>
              <w:rPr>
                <w:rFonts w:hint="eastAsia" w:ascii="Arial" w:hAnsi="Arial" w:cs="Arial"/>
                <w:sz w:val="22"/>
                <w:szCs w:val="22"/>
              </w:rPr>
              <w:t>. Questionnaire administration will occur during normal class hours in students' assigned classrooms.</w:t>
            </w:r>
            <w:r>
              <w:rPr>
                <w:rFonts w:hint="eastAsia" w:ascii="Arial" w:hAnsi="Arial" w:eastAsia="宋体" w:cs="Arial"/>
                <w:sz w:val="22"/>
                <w:szCs w:val="22"/>
                <w:lang w:val="en-US" w:eastAsia="zh-CN"/>
              </w:rPr>
              <w:t xml:space="preserve"> And school conference room (for researcher training).</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4DCEEDF4">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This study may encounter several potential risks during implementation: First, certain items in the mathematics anxiety scale may cause temporary psychological discomfort to participants; second, the association between academic performance and questionnaire data may lead to privacy leakage risks; third, cross-border data usage in the research must strictly comply with relevant provisions of the Personal Information Protection Law; finally, the wording of Western-developed scales may present cultural adaptation issues.</w:t>
            </w:r>
          </w:p>
          <w:p w14:paraId="39A8D446">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To address these risks, the research must strictly adhere to multiple Chinese laws and regulations, including Article 40 of the Education Law, which states that "educational scientific research shall follow academic norms, respect and protect human rights, and safeguard the legitimate rights and interests of educatees," and Article 44, which requires that "educational research involving minors shall obtain consent from their guardians"; Article 39 of the Law on the Protection of Minors, which mandates that "schools organizing student activities shall prevent increased academic burden," and Article 43, which specifies that "processing minors' personal information shall obtain consent in accordance with the law"; as well as Article 21 of the Data Security Law, which clearly stipulates that "important data shall be stored domestically."</w:t>
            </w:r>
          </w:p>
          <w:p w14:paraId="58A0FBB1">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Regarding departmental regulations, the study strictly implements the specific requirements of the Ministry of Education's Management Measures for Primary and Secondary School Educational Research, including Article 12, which states that "on-campus research requires school ethics committee review," and Appendix 3, which specifies that "questionnaire duration shall not exceed 30 minutes for junior high students." The research also complies with relevant provisions of the Chinese Psychological Society's Code of Ethics for Clinical and Counseling Psychology, including Article 2.3, which requires that "research shall protect participants from psychological harm," and Article 4.2, which mandates that "use of foreign scales requires cultural adaptation procedures."</w:t>
            </w:r>
          </w:p>
          <w:p w14:paraId="2477C605">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eastAsia="宋体" w:cs="Arial"/>
                <w:sz w:val="22"/>
                <w:szCs w:val="22"/>
                <w:lang w:val="en-US" w:eastAsia="zh-CN"/>
              </w:rPr>
            </w:pPr>
            <w:r>
              <w:rPr>
                <w:rFonts w:hint="eastAsia" w:ascii="Arial" w:hAnsi="Arial" w:cs="Arial"/>
                <w:sz w:val="22"/>
                <w:szCs w:val="22"/>
              </w:rPr>
              <w:t>To address the aforementioned risks and regulatory requirements, the study has developed systematic solutions: For psychological risk prevention and control, the research</w:t>
            </w:r>
            <w:r>
              <w:rPr>
                <w:rFonts w:hint="eastAsia" w:ascii="Arial" w:hAnsi="Arial" w:eastAsia="宋体" w:cs="Arial"/>
                <w:sz w:val="22"/>
                <w:szCs w:val="22"/>
                <w:lang w:val="en-US" w:eastAsia="zh-CN"/>
              </w:rPr>
              <w:t>er (myself)</w:t>
            </w:r>
            <w:r>
              <w:rPr>
                <w:rFonts w:hint="eastAsia" w:ascii="Arial" w:hAnsi="Arial" w:cs="Arial"/>
                <w:sz w:val="22"/>
                <w:szCs w:val="22"/>
              </w:rPr>
              <w:t xml:space="preserve"> will</w:t>
            </w:r>
            <w:r>
              <w:rPr>
                <w:rFonts w:hint="eastAsia" w:ascii="Arial" w:hAnsi="Arial" w:eastAsia="宋体" w:cs="Arial"/>
                <w:sz w:val="22"/>
                <w:szCs w:val="22"/>
                <w:lang w:val="en-US" w:eastAsia="zh-CN"/>
              </w:rPr>
              <w:t xml:space="preserve"> </w:t>
            </w:r>
            <w:r>
              <w:rPr>
                <w:rFonts w:hint="eastAsia" w:ascii="Arial" w:hAnsi="Arial" w:cs="Arial"/>
                <w:sz w:val="22"/>
                <w:szCs w:val="22"/>
              </w:rPr>
              <w:t>establish comprehensive emergency intervention mechanisms, and optimize scale wording through pilot testing. For data security, triple anonymization techniques will be applied to process data, with strict limitations on data storage to domestic servers. For legal compliance, a dual informed consent system will be strictly implemented, scales will undergo localized adaptation and validation, and formal data processing agreements will be signed with education authorities. These measures not only fully comply with Chinese legal and regulatory requirements but also meet internationally recognized research ethics standards, including the British Psychological Society's guidelines and the Declaration of Helsinki, thereby ensuring the scientific rigor and ethical compliance of the research.</w:t>
            </w:r>
            <w:r>
              <w:rPr>
                <w:rFonts w:hint="eastAsia" w:ascii="Arial" w:hAnsi="Arial" w:eastAsia="宋体" w:cs="Arial"/>
                <w:sz w:val="22"/>
                <w:szCs w:val="22"/>
                <w:lang w:val="en-US" w:eastAsia="zh-CN"/>
              </w:rPr>
              <w:t xml:space="preserve"> Also, the PISA scales were translated and piloted with a small group of Chinese students to ensure cultural appropriateness prior to formal data collection.</w:t>
            </w:r>
          </w:p>
        </w:tc>
      </w:tr>
    </w:tbl>
    <w:p w14:paraId="2D0B4848">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MS Gothic" w:hAnsi="MS Gothic" w:eastAsia="MS Gothic" w:cs="Segoe UI Symbol"/>
                    <w:bCs/>
                    <w:sz w:val="22"/>
                    <w:szCs w:val="22"/>
                    <w:lang w:val="en-GB" w:eastAsia="en-US" w:bidi="ar-SA"/>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b/>
                <w:bCs/>
                <w:sz w:val="22"/>
                <w:szCs w:val="22"/>
              </w:rPr>
            </w:pPr>
            <w:r>
              <w:rPr>
                <w:rFonts w:hint="eastAsia" w:ascii="Arial" w:hAnsi="Arial" w:cs="Arial"/>
                <w:sz w:val="22"/>
                <w:szCs w:val="22"/>
              </w:rPr>
              <w:t>This study examines the impact of growth mindset on mathematics anxiety, aiming to enhance adolescents' mental health (aligning with the 'A healthier Wales' objective) and reduce educational inequality through pedagogical interventions (supporting the 'A more equal Wales' goal). While data collection complies with Chinese legal regulations, the research outcomes may provide cross-cultural insights to inform educational policymaking in Wales.</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2254D4A">
            <w:pPr>
              <w:rPr>
                <w:rFonts w:hint="default" w:ascii="Arial" w:hAnsi="Arial" w:eastAsia="宋体" w:cs="Arial"/>
                <w:b/>
                <w:sz w:val="22"/>
                <w:szCs w:val="22"/>
                <w:lang w:val="en-US" w:eastAsia="zh-CN"/>
              </w:rPr>
            </w:pPr>
            <w:r>
              <w:rPr>
                <w:rFonts w:hint="eastAsia" w:ascii="Arial" w:hAnsi="Arial" w:eastAsia="宋体" w:cs="Arial"/>
                <w:sz w:val="22"/>
                <w:szCs w:val="22"/>
                <w:lang w:val="en-US" w:eastAsia="zh-CN"/>
              </w:rPr>
              <w:t>1200</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545C3450">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 xml:space="preserve">This research project plans to include all junior high school students currently enrolled at Chenguang Middle School in Jiujiang City, Jiangxi Province as research subjects, specifically including: </w:t>
            </w:r>
          </w:p>
          <w:p w14:paraId="5F88937D">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 xml:space="preserve">Grade 7: Approximately 400 students (10 teaching classes) </w:t>
            </w:r>
          </w:p>
          <w:p w14:paraId="1309F4B5">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 xml:space="preserve">Grade 8: Approximately 420 students (10 teaching classes) </w:t>
            </w:r>
          </w:p>
          <w:p w14:paraId="5D585C8A">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ascii="Arial" w:hAnsi="Arial" w:cs="Arial"/>
                <w:i/>
                <w:color w:val="808080"/>
                <w:sz w:val="18"/>
                <w:szCs w:val="18"/>
              </w:rPr>
            </w:pPr>
            <w:r>
              <w:rPr>
                <w:rFonts w:hint="eastAsia" w:ascii="Arial" w:hAnsi="Arial" w:cs="Arial"/>
                <w:sz w:val="22"/>
                <w:szCs w:val="22"/>
              </w:rPr>
              <w:t>Grade 9: Approximately 380 students (9 teaching classes)</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404B1A3D">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ascii="Arial" w:hAnsi="Arial" w:cs="Arial"/>
                <w:color w:val="808080"/>
                <w:sz w:val="18"/>
                <w:szCs w:val="18"/>
              </w:rPr>
            </w:pPr>
            <w:r>
              <w:rPr>
                <w:rFonts w:hint="eastAsia" w:ascii="Arial" w:hAnsi="Arial" w:cs="Arial"/>
                <w:color w:val="auto"/>
                <w:sz w:val="22"/>
                <w:szCs w:val="22"/>
              </w:rPr>
              <w:t xml:space="preserve">This study will adopt a school-wide census approach. The list of all registered students in grades 7-9 from the Academic Affairs Office of Chenguang Middle School will be used as the research subject pool. The recruitment process will involve two steps: </w:t>
            </w:r>
            <w:r>
              <w:rPr>
                <w:rFonts w:hint="eastAsia" w:ascii="Arial" w:hAnsi="Arial" w:eastAsia="宋体" w:cs="Arial"/>
                <w:color w:val="auto"/>
                <w:sz w:val="22"/>
                <w:szCs w:val="22"/>
                <w:lang w:val="en-US" w:eastAsia="zh-CN"/>
              </w:rPr>
              <w:t>firstly, t</w:t>
            </w:r>
            <w:r>
              <w:rPr>
                <w:rFonts w:hint="eastAsia" w:ascii="Arial" w:hAnsi="Arial" w:cs="Arial"/>
                <w:color w:val="auto"/>
                <w:sz w:val="22"/>
                <w:szCs w:val="22"/>
              </w:rPr>
              <w:t xml:space="preserve">he researcher </w:t>
            </w:r>
            <w:r>
              <w:rPr>
                <w:rFonts w:hint="eastAsia" w:ascii="Arial" w:hAnsi="Arial" w:eastAsia="宋体" w:cs="Arial"/>
                <w:color w:val="auto"/>
                <w:sz w:val="22"/>
                <w:szCs w:val="22"/>
                <w:lang w:val="en-US" w:eastAsia="zh-CN"/>
              </w:rPr>
              <w:t xml:space="preserve">(myself) </w:t>
            </w:r>
            <w:r>
              <w:rPr>
                <w:rFonts w:hint="eastAsia" w:ascii="Arial" w:hAnsi="Arial" w:cs="Arial"/>
                <w:color w:val="auto"/>
                <w:sz w:val="22"/>
                <w:szCs w:val="22"/>
              </w:rPr>
              <w:t xml:space="preserve">will distribute electronic consent forms through the school's official communication channels (e.g., email or school-approved platform), with parents/guardians required to submit digital consent; </w:t>
            </w:r>
            <w:r>
              <w:rPr>
                <w:rFonts w:hint="eastAsia" w:ascii="Arial" w:hAnsi="Arial" w:eastAsia="宋体" w:cs="Arial"/>
                <w:color w:val="auto"/>
                <w:sz w:val="22"/>
                <w:szCs w:val="22"/>
                <w:lang w:val="en-US" w:eastAsia="zh-CN"/>
              </w:rPr>
              <w:t>secondly, o</w:t>
            </w:r>
            <w:r>
              <w:rPr>
                <w:rFonts w:hint="eastAsia" w:ascii="Arial" w:hAnsi="Arial" w:cs="Arial"/>
                <w:color w:val="auto"/>
                <w:sz w:val="22"/>
                <w:szCs w:val="22"/>
              </w:rPr>
              <w:t>n the survey day, I will personally verify participation by obtaining verbal assent from students before questionnaire administration.</w:t>
            </w:r>
            <w:r>
              <w:rPr>
                <w:rFonts w:hint="eastAsia" w:ascii="Arial" w:hAnsi="Arial" w:eastAsia="宋体" w:cs="Arial"/>
                <w:color w:val="auto"/>
                <w:sz w:val="22"/>
                <w:szCs w:val="22"/>
                <w:lang w:val="en-US" w:eastAsia="zh-CN"/>
              </w:rPr>
              <w:t xml:space="preserve"> </w:t>
            </w:r>
            <w:r>
              <w:rPr>
                <w:rFonts w:hint="eastAsia" w:ascii="Arial" w:hAnsi="Arial" w:cs="Arial"/>
                <w:color w:val="auto"/>
                <w:sz w:val="22"/>
                <w:szCs w:val="22"/>
              </w:rPr>
              <w:t>A secure anonymized database will be maintained by the researcher</w:t>
            </w:r>
            <w:r>
              <w:rPr>
                <w:rFonts w:hint="eastAsia" w:ascii="Arial" w:hAnsi="Arial" w:eastAsia="宋体" w:cs="Arial"/>
                <w:color w:val="auto"/>
                <w:sz w:val="22"/>
                <w:szCs w:val="22"/>
                <w:lang w:val="en-US" w:eastAsia="zh-CN"/>
              </w:rPr>
              <w:t xml:space="preserve"> (myself)</w:t>
            </w:r>
            <w:r>
              <w:rPr>
                <w:rFonts w:hint="eastAsia" w:ascii="Arial" w:hAnsi="Arial" w:cs="Arial"/>
                <w:color w:val="auto"/>
                <w:sz w:val="22"/>
                <w:szCs w:val="22"/>
              </w:rPr>
              <w:t xml:space="preserve"> only. The entire recruitment process will strictly follow the requirements of the "Personal Information Protection Law" and the "Law on the Protection of Minors", and special channels for confirming the grandparents of left-behind children and alternative solutions for students who refuse to be interviewed will be set up. Attention detection questions and contradictory options will be used to ensure data quality. All operations will be carried out under the supervision of the school's ethics committee.</w:t>
            </w:r>
          </w:p>
        </w:tc>
      </w:tr>
    </w:tbl>
    <w:p w14:paraId="07917111">
      <w:pPr>
        <w:rPr>
          <w:rFonts w:ascii="Arial" w:hAnsi="Arial" w:cs="Arial"/>
          <w:bCs/>
          <w:sz w:val="24"/>
          <w:szCs w:val="24"/>
        </w:rPr>
      </w:pPr>
    </w:p>
    <w:p w14:paraId="71AB43E2">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221905F9">
            <w:pPr>
              <w:keepNext w:val="0"/>
              <w:keepLines w:val="0"/>
              <w:pageBreakBefore w:val="0"/>
              <w:widowControl/>
              <w:numPr>
                <w:ilvl w:val="0"/>
                <w:numId w:val="0"/>
              </w:numPr>
              <w:kinsoku/>
              <w:wordWrap/>
              <w:overflowPunct/>
              <w:topLinePunct w:val="0"/>
              <w:autoSpaceDE w:val="0"/>
              <w:autoSpaceDN w:val="0"/>
              <w:bidi w:val="0"/>
              <w:adjustRightInd w:val="0"/>
              <w:snapToGrid/>
              <w:spacing w:line="360" w:lineRule="auto"/>
              <w:jc w:val="both"/>
              <w:textAlignment w:val="auto"/>
              <w:rPr>
                <w:rFonts w:hint="default" w:ascii="Arial" w:hAnsi="Arial" w:eastAsia="宋体" w:cs="Arial"/>
                <w:sz w:val="22"/>
                <w:szCs w:val="22"/>
                <w:lang w:val="en-US" w:eastAsia="zh-CN"/>
              </w:rPr>
            </w:pPr>
            <w:r>
              <w:rPr>
                <w:rFonts w:hint="eastAsia" w:ascii="Arial" w:hAnsi="Arial" w:eastAsia="宋体" w:cs="Arial"/>
                <w:sz w:val="22"/>
                <w:szCs w:val="22"/>
                <w:lang w:val="en-US" w:eastAsia="zh-CN"/>
              </w:rPr>
              <w:t>Risks to participants</w:t>
            </w:r>
          </w:p>
          <w:p w14:paraId="0787107E">
            <w:pPr>
              <w:keepNext w:val="0"/>
              <w:keepLines w:val="0"/>
              <w:pageBreakBefore w:val="0"/>
              <w:widowControl/>
              <w:numPr>
                <w:ilvl w:val="0"/>
                <w:numId w:val="3"/>
              </w:numPr>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The Math Anxiety Scale may cause temporary anxiety or self-doubt. </w:t>
            </w:r>
          </w:p>
          <w:p w14:paraId="2980CB47">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2. The electronic questionnaire system harbors potential risks of data leakage. </w:t>
            </w:r>
          </w:p>
          <w:p w14:paraId="3015E855">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3. Cross-border data transmission may violate Article 38 of the Personal Information Protection Law. </w:t>
            </w:r>
          </w:p>
          <w:p w14:paraId="47D8E8E4">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4. Research activities may intensify the academic pressure under the "Double Reduction" policy. </w:t>
            </w:r>
          </w:p>
          <w:p w14:paraId="2695E7D9">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5. Some expressions in the PISA scale do not conform to the cultural context of China.</w:t>
            </w:r>
          </w:p>
          <w:p w14:paraId="6645975A">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hint="eastAsia" w:ascii="Arial" w:hAnsi="Arial" w:cs="Arial"/>
                <w:sz w:val="22"/>
                <w:szCs w:val="22"/>
              </w:rPr>
              <w:t>6. The electronic questionnaire system may be subject to cyber attacks.</w:t>
            </w:r>
          </w:p>
        </w:tc>
        <w:tc>
          <w:tcPr>
            <w:tcW w:w="4932" w:type="dxa"/>
            <w:gridSpan w:val="3"/>
            <w:tcBorders>
              <w:top w:val="single" w:color="auto" w:sz="4" w:space="0"/>
              <w:bottom w:val="single" w:color="auto" w:sz="4" w:space="0"/>
            </w:tcBorders>
          </w:tcPr>
          <w:p w14:paraId="16CC4C10">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i/>
                <w:sz w:val="22"/>
                <w:szCs w:val="22"/>
              </w:rPr>
            </w:pPr>
            <w:r>
              <w:rPr>
                <w:rFonts w:ascii="Arial" w:hAnsi="Arial" w:cs="Arial"/>
                <w:i/>
                <w:sz w:val="22"/>
                <w:szCs w:val="22"/>
              </w:rPr>
              <w:t>How you will mitigate the risk to participants:</w:t>
            </w:r>
          </w:p>
          <w:p w14:paraId="063F35E8">
            <w:pPr>
              <w:keepNext w:val="0"/>
              <w:keepLines w:val="0"/>
              <w:pageBreakBefore w:val="0"/>
              <w:widowControl/>
              <w:numPr>
                <w:ilvl w:val="0"/>
                <w:numId w:val="4"/>
              </w:numPr>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The researcher </w:t>
            </w:r>
            <w:r>
              <w:rPr>
                <w:rFonts w:hint="eastAsia" w:ascii="Arial" w:hAnsi="Arial" w:eastAsia="宋体" w:cs="Arial"/>
                <w:sz w:val="22"/>
                <w:szCs w:val="22"/>
                <w:lang w:val="en-US" w:eastAsia="zh-CN"/>
              </w:rPr>
              <w:t xml:space="preserve">(myself) </w:t>
            </w:r>
            <w:r>
              <w:rPr>
                <w:rFonts w:hint="eastAsia" w:ascii="Arial" w:hAnsi="Arial" w:cs="Arial"/>
                <w:sz w:val="22"/>
                <w:szCs w:val="22"/>
              </w:rPr>
              <w:t xml:space="preserve">will coordinate with the school's existing counseling office to provide contact information for local psychological support services if participants report distress during or after the survey. </w:t>
            </w:r>
          </w:p>
          <w:p w14:paraId="2D5D4894">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2. Adopt end-to-end encryption transmission (using national cryptography SM2/SM3 algorithms)</w:t>
            </w:r>
          </w:p>
          <w:p w14:paraId="111F6C09">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3. Establish a data classification outbound system: original data is stored within the country, and only statistical results are allowed to be exported</w:t>
            </w:r>
          </w:p>
          <w:p w14:paraId="46DB2AA0">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4. Obtain special approval from the education bureau for research proof, clearly stating that it does not count towards the assessment of academic burden</w:t>
            </w:r>
          </w:p>
          <w:p w14:paraId="4A907373">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 Set up an "excessive academic pressure" exit option, which does not affect the normal teaching order </w:t>
            </w:r>
          </w:p>
          <w:p w14:paraId="67AF7D70">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5. Add the "Cultural Annotation" floating explanatory function to the questionnaire. </w:t>
            </w:r>
          </w:p>
          <w:p w14:paraId="5D00AF2B">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i/>
              </w:rPr>
            </w:pPr>
            <w:r>
              <w:rPr>
                <w:rFonts w:hint="eastAsia" w:ascii="Arial" w:hAnsi="Arial" w:cs="Arial"/>
                <w:sz w:val="22"/>
                <w:szCs w:val="22"/>
              </w:rPr>
              <w:t>6. Implement multi-level protection: Web Application Firewall + Intrusion Detection System + AI Anomaly Behavior Analysis</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27012CE9">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 xml:space="preserve">There might be two aspects of potentially sensitive content that require special attention: Firstly, some items in the PISA Mathematics Anxiety Scale (such as "I tremble when doing math problems" and other expressions) may trigger students' past negative learning experiences and cause temporary emotional fluctuations. To address this situation, it is recommended to clearly state in the informed consent form that "This research may involve discussions on students' feelings about mathematics learning. If you feel uncomfortable, you can withdraw at any time", and at the end of the questionnaire, attach the Jiujiang Youth Psychological Assistance Hotline 0792-8223001 (24-hour service) for seeking professional support when needed. </w:t>
            </w:r>
          </w:p>
          <w:p w14:paraId="27D860D6">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rPr>
            </w:pPr>
            <w:r>
              <w:rPr>
                <w:rFonts w:hint="eastAsia" w:ascii="Arial" w:hAnsi="Arial" w:cs="Arial"/>
                <w:sz w:val="22"/>
                <w:szCs w:val="22"/>
              </w:rPr>
              <w:t>Secondly, the analysis of academic performance data involved in the research may indirectly reflect students' psychological stress status. In this regard, it is suggested to state in the data collection protocol that "academic performance is only used for research analysis and the results will not be fed back to the school or parents", and establish corresponding privacy protection mechanisms. When extreme abnormal values (such as sudden drop in grades and so on) are found during the data analysis process, anonymous notification should be made to the school's psychological counseling room to provide necessary psychological attention and support without infringing on students' privacy. These measures not only comply with research ethics requirements but also effectively safeguard the mental health rights of participating students.</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25" w:hRule="atLeast"/>
        </w:trPr>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ascii="Arial" w:hAnsi="Arial" w:cs="Arial"/>
                <w:sz w:val="22"/>
                <w:szCs w:val="22"/>
              </w:rPr>
              <w:t>Risk to the investigator:</w:t>
            </w:r>
          </w:p>
          <w:p w14:paraId="0D6D8D2D">
            <w:pPr>
              <w:keepNext w:val="0"/>
              <w:keepLines w:val="0"/>
              <w:pageBreakBefore w:val="0"/>
              <w:widowControl/>
              <w:numPr>
                <w:ilvl w:val="0"/>
                <w:numId w:val="5"/>
              </w:numPr>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hint="eastAsia" w:ascii="Arial" w:hAnsi="Arial" w:cs="Arial"/>
                <w:sz w:val="22"/>
                <w:szCs w:val="22"/>
              </w:rPr>
              <w:t xml:space="preserve">Handling feedback from students regarding their negative emotions (such as discomfort caused by anxiety scales) may impose psychological burdens on researchers. </w:t>
            </w:r>
          </w:p>
          <w:p w14:paraId="0435A036">
            <w:pPr>
              <w:keepNext w:val="0"/>
              <w:keepLines w:val="0"/>
              <w:pageBreakBefore w:val="0"/>
              <w:widowControl/>
              <w:numPr>
                <w:ilvl w:val="0"/>
                <w:numId w:val="0"/>
              </w:numPr>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hint="eastAsia" w:ascii="Arial" w:hAnsi="Arial" w:cs="Arial"/>
                <w:sz w:val="22"/>
                <w:szCs w:val="22"/>
              </w:rPr>
              <w:t>2. Suspected of violating regulations due to data privacy issues (such as complaints from parents about data leakage).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3A25E522">
            <w:pPr>
              <w:keepNext w:val="0"/>
              <w:keepLines w:val="0"/>
              <w:pageBreakBefore w:val="0"/>
              <w:widowControl/>
              <w:numPr>
                <w:ilvl w:val="0"/>
                <w:numId w:val="6"/>
              </w:numPr>
              <w:kinsoku/>
              <w:wordWrap/>
              <w:overflowPunct/>
              <w:topLinePunct w:val="0"/>
              <w:autoSpaceDE w:val="0"/>
              <w:autoSpaceDN w:val="0"/>
              <w:bidi w:val="0"/>
              <w:adjustRightInd w:val="0"/>
              <w:snapToGrid/>
              <w:spacing w:line="360" w:lineRule="auto"/>
              <w:jc w:val="both"/>
              <w:textAlignment w:val="auto"/>
              <w:rPr>
                <w:rFonts w:ascii="Arial" w:hAnsi="Arial" w:cs="Arial"/>
              </w:rPr>
            </w:pPr>
            <w:r>
              <w:rPr>
                <w:rFonts w:hint="eastAsia" w:ascii="Arial" w:hAnsi="Arial" w:eastAsia="宋体" w:cs="Arial"/>
                <w:sz w:val="22"/>
                <w:szCs w:val="22"/>
                <w:lang w:val="en-US" w:eastAsia="zh-CN"/>
              </w:rPr>
              <w:t>The researcher (myself) p</w:t>
            </w:r>
            <w:r>
              <w:rPr>
                <w:rFonts w:hint="eastAsia" w:ascii="Arial" w:hAnsi="Arial" w:cs="Arial"/>
                <w:sz w:val="22"/>
                <w:szCs w:val="22"/>
              </w:rPr>
              <w:t xml:space="preserve">rovide psychological support resources. </w:t>
            </w:r>
          </w:p>
          <w:p w14:paraId="4416A3BD">
            <w:pPr>
              <w:keepNext w:val="0"/>
              <w:keepLines w:val="0"/>
              <w:pageBreakBefore w:val="0"/>
              <w:widowControl/>
              <w:numPr>
                <w:ilvl w:val="0"/>
                <w:numId w:val="0"/>
              </w:numPr>
              <w:kinsoku/>
              <w:wordWrap/>
              <w:overflowPunct/>
              <w:topLinePunct w:val="0"/>
              <w:autoSpaceDE w:val="0"/>
              <w:autoSpaceDN w:val="0"/>
              <w:bidi w:val="0"/>
              <w:adjustRightInd w:val="0"/>
              <w:snapToGrid/>
              <w:spacing w:line="360" w:lineRule="auto"/>
              <w:jc w:val="both"/>
              <w:textAlignment w:val="auto"/>
              <w:rPr>
                <w:rFonts w:ascii="Arial" w:hAnsi="Arial" w:cs="Arial"/>
              </w:rPr>
            </w:pPr>
            <w:r>
              <w:rPr>
                <w:rFonts w:hint="eastAsia" w:ascii="Arial" w:hAnsi="Arial" w:cs="Arial"/>
                <w:sz w:val="22"/>
                <w:szCs w:val="22"/>
              </w:rPr>
              <w:t>2. Strictly abide by the Personal Information Protection Law and the Law on the Protection of Minors, and ensure that all processes are compliant. (Data leakage)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3CC70174">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hint="eastAsia" w:ascii="Arial" w:hAnsi="Arial" w:cs="Arial"/>
                <w:sz w:val="22"/>
                <w:szCs w:val="22"/>
              </w:rPr>
              <w:t>If there are fluctuations in students' emotions or problems in data management during the research process, it may lead to negative media coverage.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35C5940">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rPr>
            </w:pPr>
            <w:r>
              <w:rPr>
                <w:rFonts w:hint="eastAsia" w:ascii="Arial" w:hAnsi="Arial" w:cs="Arial"/>
                <w:sz w:val="22"/>
                <w:szCs w:val="22"/>
              </w:rPr>
              <w:t>A statement was released through official channels, emphasizing that the research has undergone strict ethical review and is equipped with comprehensive psychological support measures. At the same time, transparent progress of the incident handling was provided to safeguard the academic reputation of the institution.</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03328CC0">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hint="eastAsia" w:ascii="Arial" w:hAnsi="Arial" w:cs="Arial"/>
                <w:sz w:val="22"/>
                <w:szCs w:val="22"/>
              </w:rPr>
              <w:t>The electronic questionnaire relies on the server to operate and may increase energy consumption.</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2D9B576E">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rPr>
            </w:pPr>
            <w:r>
              <w:rPr>
                <w:rFonts w:hint="eastAsia" w:ascii="Arial" w:hAnsi="Arial" w:cs="Arial"/>
                <w:sz w:val="22"/>
                <w:szCs w:val="22"/>
              </w:rPr>
              <w:t>Choose green data centers (such as cloud service providers that utilize renewable energy).</w:t>
            </w:r>
          </w:p>
        </w:tc>
      </w:tr>
    </w:tbl>
    <w:p w14:paraId="366FFC79">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Pending</w:t>
            </w: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3E747859">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hint="eastAsia" w:ascii="Arial" w:hAnsi="Arial" w:eastAsia="宋体" w:cs="Arial"/>
                <w:lang w:val="en-US" w:eastAsia="zh-CN"/>
              </w:rPr>
            </w:pPr>
            <w:r>
              <w:rPr>
                <w:rFonts w:hint="eastAsia" w:ascii="Arial" w:hAnsi="Arial" w:cs="Arial"/>
                <w:sz w:val="22"/>
                <w:szCs w:val="22"/>
              </w:rPr>
              <w:t>Before the survey, I would send a letter to each student or parent via text message or cloud platform, telling them that the participants' responses would provide important references for educational research, which would help educators better understand the psychological factors that affect math learning outcomes, and provide scientific basis for improving math teaching methods. It also encourages schools to build more effective learning support systems. They are also informed that during the entire research process, participation is completely voluntary, can be withdrawn at any time without any adverse effects, and all data will be strictly confidential and used only for academic research. Personal information will not appear in any research report or publication. The results of the study will be fed back to the school in a non-personalized form</w:t>
            </w:r>
            <w:r>
              <w:rPr>
                <w:rFonts w:hint="eastAsia" w:ascii="Arial" w:hAnsi="Arial" w:eastAsia="宋体" w:cs="Arial"/>
                <w:sz w:val="22"/>
                <w:szCs w:val="22"/>
                <w:lang w:val="en-US" w:eastAsia="zh-CN"/>
              </w:rPr>
              <w:t>.</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39FFDC65">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hint="eastAsia" w:ascii="Arial" w:hAnsi="Arial" w:eastAsia="宋体" w:cs="Arial"/>
                <w:lang w:val="en-US" w:eastAsia="zh-CN"/>
              </w:rPr>
            </w:pPr>
            <w:r>
              <w:rPr>
                <w:rFonts w:hint="eastAsia" w:ascii="Arial" w:hAnsi="Arial" w:cs="Arial"/>
                <w:sz w:val="22"/>
                <w:szCs w:val="22"/>
              </w:rPr>
              <w:t xml:space="preserve">This study will strictly follow the principle of informed consent. Consent will be obtained through a two-step process: </w:t>
            </w:r>
            <w:r>
              <w:rPr>
                <w:rFonts w:hint="eastAsia" w:ascii="Arial" w:hAnsi="Arial" w:eastAsia="宋体" w:cs="Arial"/>
                <w:sz w:val="22"/>
                <w:szCs w:val="22"/>
                <w:lang w:val="en-US" w:eastAsia="zh-CN"/>
              </w:rPr>
              <w:t>firstly p</w:t>
            </w:r>
            <w:r>
              <w:rPr>
                <w:rFonts w:hint="eastAsia" w:ascii="Arial" w:hAnsi="Arial" w:cs="Arial"/>
                <w:sz w:val="22"/>
                <w:szCs w:val="22"/>
              </w:rPr>
              <w:t>arents/guardians will receive a digital consent form via the school’s official email system, with a clear option to decline;</w:t>
            </w:r>
            <w:r>
              <w:rPr>
                <w:rFonts w:hint="eastAsia" w:ascii="Arial" w:hAnsi="Arial" w:eastAsia="宋体" w:cs="Arial"/>
                <w:sz w:val="22"/>
                <w:szCs w:val="22"/>
                <w:lang w:val="en-US" w:eastAsia="zh-CN"/>
              </w:rPr>
              <w:t xml:space="preserve"> secondly s</w:t>
            </w:r>
            <w:r>
              <w:rPr>
                <w:rFonts w:hint="eastAsia" w:ascii="Arial" w:hAnsi="Arial" w:cs="Arial"/>
                <w:sz w:val="22"/>
                <w:szCs w:val="22"/>
              </w:rPr>
              <w:t>tudents will provide verbal assent directly to the researcher before questionnaire administration.</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4B749E1A">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rPr>
            </w:pPr>
            <w:r>
              <w:rPr>
                <w:rFonts w:hint="eastAsia" w:ascii="Arial" w:hAnsi="Arial" w:cs="Arial"/>
                <w:sz w:val="22"/>
                <w:szCs w:val="22"/>
              </w:rPr>
              <w:t>Multiple measures will be taken to ensure participants' anonymity and data confidentiality: all questionnaires will use randomly generated codes (such as CG2023-001) instead of personal information; Electronic data is encrypted and stored using SM4 national secret algorithm, and only researchers can access it through two-factor authentication; Only aggregated statistics are presented when the findings are published, ensuring that individual identities cannot be traced.</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9"/>
              <w:autoSpaceDE w:val="0"/>
              <w:autoSpaceDN w:val="0"/>
              <w:adjustRightInd w:val="0"/>
              <w:jc w:val="center"/>
              <w:rPr>
                <w:rFonts w:ascii="Arial" w:hAnsi="Arial" w:eastAsia="MS Gothic" w:cs="Arial"/>
                <w:sz w:val="22"/>
                <w:szCs w:val="22"/>
                <w:lang w:val="en-US"/>
              </w:rPr>
            </w:pPr>
            <w:r>
              <w:rPr>
                <w:rFonts w:hint="eastAsia" w:ascii="Segoe UI Symbol" w:hAnsi="Segoe UI Symbol" w:eastAsia="MS Gothic" w:cs="Segoe UI Symbol"/>
                <w:sz w:val="22"/>
                <w:szCs w:val="22"/>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rPr>
                <w:rFonts w:ascii="Arial" w:hAnsi="Arial" w:cs="Arial"/>
                <w:sz w:val="22"/>
                <w:szCs w:val="22"/>
              </w:rPr>
            </w:pP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9"/>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9"/>
              <w:autoSpaceDE w:val="0"/>
              <w:autoSpaceDN w:val="0"/>
              <w:adjustRightInd w:val="0"/>
              <w:jc w:val="center"/>
              <w:rPr>
                <w:rFonts w:ascii="Arial" w:hAnsi="Arial" w:cs="Arial"/>
              </w:rPr>
            </w:pPr>
            <w:r>
              <w:rPr>
                <w:rFonts w:hint="eastAsia" w:ascii="Segoe UI Symbol" w:hAnsi="Segoe UI Symbol" w:eastAsia="MS Gothic" w:cs="Segoe UI Symbol"/>
                <w:sz w:val="22"/>
                <w:szCs w:val="22"/>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3993C9F4">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b/>
                <w:bCs/>
                <w:sz w:val="22"/>
                <w:szCs w:val="22"/>
              </w:rPr>
            </w:pPr>
            <w:r>
              <w:rPr>
                <w:rFonts w:hint="eastAsia" w:ascii="Arial" w:hAnsi="Arial" w:cs="Arial"/>
                <w:sz w:val="22"/>
                <w:szCs w:val="22"/>
              </w:rPr>
              <w:t>In order to ensure the security and confidentiality of the research data, the following comprehensive protection measures will be taken: All the collected questionnaire data will be immediately de-identified, and direct identifiers such as name and student number will be deleted and replaced with randomly generated codes (such as CG2023-001); When data is stored in a personal computer, it will be encrypted in a dedicated folder and set double password protection (boot password + folder password); Firewalls and anti-virus software will be installed, cloud synchronization will be disabled to prevent accidental uploads, and all operation logs will be fully saved. These measures strictly follow the requirements of China's Cybersecurity Law and Personal Information Protection Law to ensure that even if a device is lost, it will not lead to data leakage. After the end of the study, the original data will be completely deleted under supervision, and only the anonymized analytical data sets will be retained.</w:t>
            </w:r>
          </w:p>
        </w:tc>
      </w:tr>
    </w:tbl>
    <w:p w14:paraId="0D05EC9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84"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25112752">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rPr>
            </w:pPr>
            <w:r>
              <w:rPr>
                <w:rFonts w:hint="eastAsia" w:ascii="Arial" w:hAnsi="Arial" w:cs="Arial"/>
                <w:sz w:val="22"/>
                <w:szCs w:val="22"/>
              </w:rPr>
              <w:t>This study will strictly protect the privacy of students. All questionnaire data will be anonymized (random number will be used instead of name), encrypted and stored in a password-protected computer, and transmitted through encryption. Only the necessary information is collected, nothing personally identifiable will appear in the research report, the original data is safely deleted within 6 months after the end of the study, the whole process complies with the requirements of Chinese and EU data protection regulations, and is subject to the supervision of the school and relevant departments.</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7F9CFD02">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Researcher</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033AC69F">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Researcher</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718D7CC2">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sz w:val="22"/>
                <w:szCs w:val="22"/>
              </w:rPr>
            </w:pPr>
            <w:r>
              <w:rPr>
                <w:rFonts w:hint="eastAsia" w:ascii="Arial" w:hAnsi="Arial" w:cs="Arial"/>
                <w:sz w:val="22"/>
                <w:szCs w:val="22"/>
              </w:rPr>
              <w:t>Data is not archived, because according to the requirements of China's Personal Information Protection Law and the EU GDPR, research data should be deleted in a timely manner after completing the analysis, and the six-month retention period ensures the integrity of the paper writing and review, while avoiding the risk of personal information being stored for a long time, which is the most responsible way to protect the privacy of students.</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87434F5">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Mengying Huang</w:t>
            </w:r>
          </w:p>
        </w:tc>
        <w:tc>
          <w:tcPr>
            <w:tcW w:w="2139" w:type="dxa"/>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 March 2025</w:t>
            </w: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0"/>
              <w:ind w:left="0"/>
              <w:rPr>
                <w:rFonts w:hint="default" w:ascii="Arial" w:hAnsi="Arial" w:eastAsia="宋体" w:cs="Arial"/>
                <w:lang w:val="en-US" w:eastAsia="zh-CN"/>
              </w:rPr>
            </w:pPr>
            <w:r>
              <w:rPr>
                <w:rFonts w:hint="eastAsia" w:ascii="Arial" w:hAnsi="Arial" w:eastAsia="宋体" w:cs="Arial"/>
                <w:lang w:val="en-US" w:eastAsia="zh-CN"/>
              </w:rPr>
              <w:t>Catherine Morgan</w:t>
            </w:r>
          </w:p>
        </w:tc>
        <w:tc>
          <w:tcPr>
            <w:tcW w:w="1014" w:type="pct"/>
            <w:vMerge w:val="restart"/>
          </w:tcPr>
          <w:p w14:paraId="7BA89991">
            <w:pPr>
              <w:pStyle w:val="30"/>
              <w:ind w:left="0"/>
              <w:rPr>
                <w:rFonts w:ascii="Arial" w:hAnsi="Arial" w:cs="Arial"/>
              </w:rPr>
            </w:pPr>
            <w:r>
              <w:rPr>
                <w:rFonts w:ascii="Arial" w:hAnsi="Arial" w:cs="Arial"/>
                <w:b/>
                <w:bCs/>
              </w:rPr>
              <w:t>Date:</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2176" w:type="pct"/>
            <w:shd w:val="clear" w:color="auto" w:fill="auto"/>
            <w:vAlign w:val="center"/>
          </w:tcPr>
          <w:p w14:paraId="7D041473">
            <w:pPr>
              <w:pStyle w:val="30"/>
              <w:ind w:left="0"/>
              <w:rPr>
                <w:rFonts w:ascii="Arial" w:hAnsi="Arial" w:cs="Arial"/>
              </w:rPr>
            </w:pPr>
          </w:p>
          <w:p w14:paraId="20916ADA">
            <w:pPr>
              <w:pStyle w:val="30"/>
              <w:ind w:left="0"/>
              <w:rPr>
                <w:rFonts w:ascii="Arial" w:hAnsi="Arial" w:cs="Arial"/>
              </w:rPr>
            </w:pPr>
          </w:p>
        </w:tc>
        <w:tc>
          <w:tcPr>
            <w:tcW w:w="1014" w:type="pct"/>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0"/>
              <w:ind w:left="0"/>
              <w:rPr>
                <w:rFonts w:ascii="Arial" w:hAnsi="Arial" w:cs="Arial"/>
              </w:rPr>
            </w:pPr>
          </w:p>
        </w:tc>
        <w:tc>
          <w:tcPr>
            <w:tcW w:w="1013" w:type="pct"/>
            <w:vMerge w:val="restart"/>
          </w:tcPr>
          <w:p w14:paraId="68B145B4">
            <w:pPr>
              <w:pStyle w:val="30"/>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0"/>
              <w:ind w:left="0"/>
              <w:rPr>
                <w:rFonts w:ascii="Arial" w:hAnsi="Arial" w:cs="Arial"/>
              </w:rPr>
            </w:pPr>
            <w:r>
              <w:rPr>
                <w:rFonts w:ascii="Arial" w:hAnsi="Arial" w:cs="Arial"/>
              </w:rPr>
              <w:t>Signature:</w:t>
            </w:r>
          </w:p>
        </w:tc>
        <w:tc>
          <w:tcPr>
            <w:tcW w:w="2176" w:type="pct"/>
            <w:shd w:val="clear" w:color="auto" w:fill="auto"/>
            <w:vAlign w:val="center"/>
          </w:tcPr>
          <w:p w14:paraId="3AC0A20C">
            <w:pPr>
              <w:pStyle w:val="30"/>
              <w:ind w:left="0"/>
              <w:rPr>
                <w:rFonts w:ascii="Arial" w:hAnsi="Arial" w:cs="Arial"/>
              </w:rPr>
            </w:pPr>
          </w:p>
          <w:p w14:paraId="0B158BE4">
            <w:pPr>
              <w:pStyle w:val="30"/>
              <w:ind w:left="0"/>
              <w:rPr>
                <w:rFonts w:ascii="Arial" w:hAnsi="Arial" w:cs="Arial"/>
              </w:rPr>
            </w:pPr>
          </w:p>
        </w:tc>
        <w:tc>
          <w:tcPr>
            <w:tcW w:w="1013" w:type="pct"/>
            <w:vMerge w:val="continue"/>
            <w:vAlign w:val="center"/>
          </w:tcPr>
          <w:p w14:paraId="54A46206">
            <w:pPr>
              <w:pStyle w:val="30"/>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p w14:paraId="402F7CC4">
      <w:pPr>
        <w:tabs>
          <w:tab w:val="left" w:pos="5103"/>
        </w:tabs>
        <w:rPr>
          <w:rFonts w:ascii="Arial" w:hAnsi="Arial" w:cs="Arial"/>
          <w:bCs/>
          <w:sz w:val="22"/>
          <w:szCs w:val="22"/>
        </w:rPr>
      </w:pPr>
    </w:p>
    <w:p w14:paraId="343B4961">
      <w:pPr>
        <w:tabs>
          <w:tab w:val="left" w:pos="5103"/>
        </w:tabs>
        <w:rPr>
          <w:rFonts w:ascii="Arial" w:hAnsi="Arial" w:cs="Arial"/>
          <w:bCs/>
          <w:sz w:val="22"/>
          <w:szCs w:val="22"/>
        </w:rPr>
      </w:pPr>
    </w:p>
    <w:p w14:paraId="4212255A">
      <w:pPr>
        <w:tabs>
          <w:tab w:val="left" w:pos="5103"/>
        </w:tabs>
        <w:rPr>
          <w:rFonts w:ascii="Arial" w:hAnsi="Arial" w:cs="Arial"/>
          <w:bCs/>
          <w:sz w:val="22"/>
          <w:szCs w:val="22"/>
        </w:rPr>
      </w:pPr>
    </w:p>
    <w:p w14:paraId="35F62E2A">
      <w:pPr>
        <w:rPr>
          <w:rFonts w:asciiTheme="minorHAnsi" w:hAnsiTheme="minorHAnsi" w:cstheme="minorHAnsi"/>
          <w:b/>
          <w:bCs/>
          <w:sz w:val="28"/>
          <w:szCs w:val="28"/>
        </w:rPr>
      </w:pPr>
    </w:p>
    <w:p w14:paraId="4203DE5F">
      <w:pPr>
        <w:rPr>
          <w:rFonts w:ascii="Arial" w:hAnsi="Arial" w:cs="Arial"/>
          <w:b/>
          <w:bCs/>
          <w:sz w:val="32"/>
          <w:szCs w:val="32"/>
          <w:u w:val="single"/>
        </w:rPr>
      </w:pPr>
      <w:r>
        <w:rPr>
          <w:rFonts w:ascii="Arial" w:hAnsi="Arial" w:cs="Arial"/>
          <w:b/>
          <w:bCs/>
          <w:sz w:val="32"/>
          <w:szCs w:val="32"/>
          <w:u w:val="single"/>
        </w:rPr>
        <w:t>AI Acknowledgement</w:t>
      </w:r>
    </w:p>
    <w:p w14:paraId="2976AA85"/>
    <w:p w14:paraId="65662EF2">
      <w:pPr>
        <w:rPr>
          <w:rFonts w:ascii="Aptos" w:hAnsi="Aptos"/>
          <w:sz w:val="21"/>
          <w:szCs w:val="21"/>
        </w:rPr>
      </w:pPr>
      <w:r>
        <w:rPr>
          <w:rFonts w:ascii="Aptos" w:hAnsi="Aptos"/>
          <w:sz w:val="21"/>
          <w:szCs w:val="21"/>
        </w:rPr>
        <w:t xml:space="preserve">I acknowledge the use of </w:t>
      </w:r>
      <w:r>
        <w:rPr>
          <w:rFonts w:hint="eastAsia" w:ascii="Aptos" w:hAnsi="Aptos" w:eastAsia="宋体"/>
          <w:sz w:val="21"/>
          <w:szCs w:val="21"/>
          <w:lang w:val="en-US" w:eastAsia="zh-CN"/>
        </w:rPr>
        <w:t>Wenxinyiyan</w:t>
      </w:r>
      <w:r>
        <w:rPr>
          <w:rFonts w:ascii="Aptos" w:hAnsi="Aptos"/>
          <w:sz w:val="21"/>
          <w:szCs w:val="21"/>
        </w:rPr>
        <w:t xml:space="preserve"> (</w:t>
      </w:r>
      <w:r>
        <w:rPr>
          <w:rFonts w:hint="eastAsia" w:ascii="Aptos" w:hAnsi="Aptos"/>
          <w:sz w:val="21"/>
          <w:szCs w:val="21"/>
        </w:rPr>
        <w:t>https://yiyan.baidu.com/welcome</w:t>
      </w:r>
      <w:r>
        <w:rPr>
          <w:rFonts w:ascii="Aptos" w:hAnsi="Aptos"/>
          <w:sz w:val="21"/>
          <w:szCs w:val="21"/>
        </w:rPr>
        <w:t xml:space="preserve">) on </w:t>
      </w:r>
      <w:r>
        <w:rPr>
          <w:rFonts w:hint="eastAsia" w:ascii="Aptos" w:hAnsi="Aptos" w:eastAsia="宋体"/>
          <w:sz w:val="21"/>
          <w:szCs w:val="21"/>
          <w:lang w:val="en-US" w:eastAsia="zh-CN"/>
        </w:rPr>
        <w:t>2</w:t>
      </w:r>
      <w:r>
        <w:rPr>
          <w:rFonts w:ascii="Aptos" w:hAnsi="Aptos"/>
          <w:sz w:val="21"/>
          <w:szCs w:val="21"/>
        </w:rPr>
        <w:t xml:space="preserve"> </w:t>
      </w:r>
      <w:r>
        <w:rPr>
          <w:rFonts w:hint="eastAsia" w:ascii="Aptos" w:hAnsi="Aptos" w:eastAsia="宋体"/>
          <w:sz w:val="21"/>
          <w:szCs w:val="21"/>
          <w:lang w:val="en-US" w:eastAsia="zh-CN"/>
        </w:rPr>
        <w:t>May</w:t>
      </w:r>
      <w:r>
        <w:rPr>
          <w:rFonts w:ascii="Aptos" w:hAnsi="Aptos"/>
          <w:sz w:val="21"/>
          <w:szCs w:val="21"/>
        </w:rPr>
        <w:t xml:space="preserve"> 202</w:t>
      </w:r>
      <w:r>
        <w:rPr>
          <w:rFonts w:hint="eastAsia" w:ascii="Aptos" w:hAnsi="Aptos" w:eastAsia="宋体"/>
          <w:sz w:val="21"/>
          <w:szCs w:val="21"/>
          <w:lang w:val="en-US" w:eastAsia="zh-CN"/>
        </w:rPr>
        <w:t>5</w:t>
      </w:r>
      <w:r>
        <w:rPr>
          <w:rFonts w:ascii="Aptos" w:hAnsi="Aptos"/>
          <w:sz w:val="21"/>
          <w:szCs w:val="21"/>
        </w:rPr>
        <w:t xml:space="preserve"> to support my research using the prompt(s): </w:t>
      </w:r>
    </w:p>
    <w:p w14:paraId="1C23E105">
      <w:pPr>
        <w:rPr>
          <w:rFonts w:ascii="Aptos" w:hAnsi="Aptos"/>
          <w:sz w:val="21"/>
          <w:szCs w:val="21"/>
        </w:rPr>
      </w:pPr>
      <w:r>
        <w:rPr>
          <w:rFonts w:ascii="Aptos" w:hAnsi="Aptos"/>
          <w:sz w:val="21"/>
          <w:szCs w:val="21"/>
        </w:rPr>
        <w:t xml:space="preserve">1. Please provide me with materials on the </w:t>
      </w:r>
      <w:r>
        <w:rPr>
          <w:rFonts w:hint="eastAsia" w:ascii="Aptos" w:hAnsi="Aptos" w:eastAsia="宋体"/>
          <w:sz w:val="21"/>
          <w:szCs w:val="21"/>
          <w:lang w:val="en-US" w:eastAsia="zh-CN"/>
        </w:rPr>
        <w:t>law of protecting data in Jiangxi Province.</w:t>
      </w:r>
      <w:r>
        <w:rPr>
          <w:rFonts w:ascii="Aptos" w:hAnsi="Aptos"/>
          <w:sz w:val="21"/>
          <w:szCs w:val="21"/>
        </w:rPr>
        <w:t xml:space="preserve"> </w:t>
      </w:r>
    </w:p>
    <w:p w14:paraId="277C2DE5">
      <w:pPr>
        <w:rPr>
          <w:rFonts w:ascii="Aptos" w:hAnsi="Aptos"/>
          <w:sz w:val="21"/>
          <w:szCs w:val="21"/>
        </w:rPr>
      </w:pPr>
      <w:r>
        <w:rPr>
          <w:rFonts w:ascii="Aptos" w:hAnsi="Aptos"/>
          <w:sz w:val="21"/>
          <w:szCs w:val="21"/>
        </w:rPr>
        <w:t xml:space="preserve">2. Please provide me with materials on the </w:t>
      </w:r>
      <w:r>
        <w:rPr>
          <w:rFonts w:hint="eastAsia" w:ascii="Aptos" w:hAnsi="Aptos" w:eastAsia="宋体"/>
          <w:sz w:val="21"/>
          <w:szCs w:val="21"/>
          <w:lang w:val="en-US" w:eastAsia="zh-CN"/>
        </w:rPr>
        <w:t>DBS</w:t>
      </w:r>
      <w:r>
        <w:rPr>
          <w:rFonts w:ascii="Aptos" w:hAnsi="Aptos"/>
          <w:sz w:val="21"/>
          <w:szCs w:val="21"/>
        </w:rPr>
        <w:t xml:space="preserve">. </w:t>
      </w:r>
    </w:p>
    <w:p w14:paraId="62BAAA6A">
      <w:pPr>
        <w:rPr>
          <w:rFonts w:hint="eastAsia" w:ascii="Aptos" w:hAnsi="Aptos" w:eastAsia="宋体"/>
          <w:sz w:val="21"/>
          <w:szCs w:val="21"/>
          <w:lang w:val="en-US" w:eastAsia="zh-CN"/>
        </w:rPr>
      </w:pPr>
      <w:r>
        <w:rPr>
          <w:rFonts w:hint="eastAsia" w:ascii="Aptos" w:hAnsi="Aptos" w:eastAsia="宋体"/>
          <w:sz w:val="21"/>
          <w:szCs w:val="21"/>
          <w:lang w:val="en-US" w:eastAsia="zh-CN"/>
        </w:rPr>
        <w:t>3. Please provide me with some information about the store of questionnaire data.</w:t>
      </w:r>
    </w:p>
    <w:p w14:paraId="1AB0BC81">
      <w:pPr>
        <w:rPr>
          <w:rFonts w:hint="default" w:ascii="Aptos" w:hAnsi="Aptos" w:eastAsia="宋体"/>
          <w:sz w:val="21"/>
          <w:szCs w:val="21"/>
          <w:lang w:val="en-US" w:eastAsia="zh-CN"/>
        </w:rPr>
      </w:pPr>
      <w:r>
        <w:rPr>
          <w:rFonts w:hint="eastAsia" w:ascii="Aptos" w:hAnsi="Aptos" w:eastAsia="宋体"/>
          <w:sz w:val="21"/>
          <w:szCs w:val="21"/>
          <w:lang w:val="en-US" w:eastAsia="zh-CN"/>
        </w:rPr>
        <w:t>4. Please provide me with some information on the law of protecting research data in the UK and China.</w:t>
      </w:r>
    </w:p>
    <w:p w14:paraId="61F9830E">
      <w:pPr>
        <w:rPr>
          <w:rFonts w:ascii="Aptos" w:hAnsi="Aptos"/>
          <w:sz w:val="21"/>
          <w:szCs w:val="21"/>
        </w:rPr>
      </w:pPr>
      <w:r>
        <w:rPr>
          <w:rFonts w:ascii="Aptos" w:hAnsi="Aptos"/>
          <w:sz w:val="21"/>
          <w:szCs w:val="21"/>
        </w:rPr>
        <w:t xml:space="preserve">I confirm that I have not presented any AI generated text as my own work. I confirm that I have copies of my drafts, notes, and other resources I used before, and after the use of AI tools which I may be asked to provide in evidence. </w:t>
      </w:r>
    </w:p>
    <w:p w14:paraId="3EC15087">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Aptos">
    <w:altName w:val="Segoe Print"/>
    <w:panose1 w:val="00000000000000000000"/>
    <w:charset w:val="00"/>
    <w:family w:val="swiss"/>
    <w:pitch w:val="default"/>
    <w:sig w:usb0="00000000" w:usb1="00000000" w:usb2="00000000" w:usb3="00000000" w:csb0="0000019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97F6FF1"/>
    <w:multiLevelType w:val="singleLevel"/>
    <w:tmpl w:val="F97F6FF1"/>
    <w:lvl w:ilvl="0" w:tentative="0">
      <w:start w:val="1"/>
      <w:numFmt w:val="decimal"/>
      <w:suff w:val="space"/>
      <w:lvlText w:val="%1."/>
      <w:lvlJc w:val="left"/>
    </w:lvl>
  </w:abstractNum>
  <w:abstractNum w:abstractNumId="1">
    <w:nsid w:val="F9EEA47E"/>
    <w:multiLevelType w:val="singleLevel"/>
    <w:tmpl w:val="F9EEA47E"/>
    <w:lvl w:ilvl="0" w:tentative="0">
      <w:start w:val="1"/>
      <w:numFmt w:val="decimal"/>
      <w:suff w:val="space"/>
      <w:lvlText w:val="%1."/>
      <w:lvlJc w:val="left"/>
    </w:lvl>
  </w:abstractNum>
  <w:abstractNum w:abstractNumId="2">
    <w:nsid w:val="1B4F5161"/>
    <w:multiLevelType w:val="singleLevel"/>
    <w:tmpl w:val="1B4F5161"/>
    <w:lvl w:ilvl="0" w:tentative="0">
      <w:start w:val="1"/>
      <w:numFmt w:val="bullet"/>
      <w:lvlText w:val=""/>
      <w:lvlJc w:val="left"/>
      <w:pPr>
        <w:ind w:left="420" w:hanging="420"/>
      </w:pPr>
      <w:rPr>
        <w:rFonts w:hint="default" w:ascii="Wingdings" w:hAnsi="Wingdings"/>
      </w:rPr>
    </w:lvl>
  </w:abstractNum>
  <w:abstractNum w:abstractNumId="3">
    <w:nsid w:val="1B90B82F"/>
    <w:multiLevelType w:val="singleLevel"/>
    <w:tmpl w:val="1B90B82F"/>
    <w:lvl w:ilvl="0" w:tentative="0">
      <w:start w:val="1"/>
      <w:numFmt w:val="decimal"/>
      <w:suff w:val="space"/>
      <w:lvlText w:val="%1."/>
      <w:lvlJc w:val="left"/>
    </w:lvl>
  </w:abstractNum>
  <w:abstractNum w:abstractNumId="4">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D732B84"/>
    <w:multiLevelType w:val="singleLevel"/>
    <w:tmpl w:val="7D732B84"/>
    <w:lvl w:ilvl="0" w:tentative="0">
      <w:start w:val="1"/>
      <w:numFmt w:val="decimal"/>
      <w:suff w:val="space"/>
      <w:lvlText w:val="%1."/>
      <w:lvlJc w:val="left"/>
    </w:lvl>
  </w:abstractNum>
  <w:num w:numId="1">
    <w:abstractNumId w:val="4"/>
  </w:num>
  <w:num w:numId="2">
    <w:abstractNumId w:val="2"/>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0003"/>
    <w:rsid w:val="00003E64"/>
    <w:rsid w:val="00004CF7"/>
    <w:rsid w:val="000142F0"/>
    <w:rsid w:val="00021B2B"/>
    <w:rsid w:val="00025AC4"/>
    <w:rsid w:val="00025D7B"/>
    <w:rsid w:val="00025F69"/>
    <w:rsid w:val="00026523"/>
    <w:rsid w:val="00030BE1"/>
    <w:rsid w:val="00030F51"/>
    <w:rsid w:val="000314CE"/>
    <w:rsid w:val="0003212E"/>
    <w:rsid w:val="000352E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8D5"/>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5352"/>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16E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46CF"/>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7C8"/>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0CE9"/>
    <w:rsid w:val="00EA26D8"/>
    <w:rsid w:val="00EA47DC"/>
    <w:rsid w:val="00EA5DE3"/>
    <w:rsid w:val="00EB6877"/>
    <w:rsid w:val="00EB722E"/>
    <w:rsid w:val="00EC0070"/>
    <w:rsid w:val="00EC11CA"/>
    <w:rsid w:val="00ED0C59"/>
    <w:rsid w:val="00ED4396"/>
    <w:rsid w:val="00ED4E18"/>
    <w:rsid w:val="00ED7B18"/>
    <w:rsid w:val="00EE2953"/>
    <w:rsid w:val="00EE29BA"/>
    <w:rsid w:val="00EE3A7B"/>
    <w:rsid w:val="00EE44C0"/>
    <w:rsid w:val="00EF0051"/>
    <w:rsid w:val="00EF6306"/>
    <w:rsid w:val="00F039C7"/>
    <w:rsid w:val="00F03BA1"/>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2B5"/>
    <w:rsid w:val="00FB4F7A"/>
    <w:rsid w:val="00FB58A3"/>
    <w:rsid w:val="00FB6B35"/>
    <w:rsid w:val="00FD436F"/>
    <w:rsid w:val="00FD5A26"/>
    <w:rsid w:val="00FE3EC4"/>
    <w:rsid w:val="00FF3E46"/>
    <w:rsid w:val="00FF5A58"/>
    <w:rsid w:val="054542BE"/>
    <w:rsid w:val="084F7B9A"/>
    <w:rsid w:val="1BB770AB"/>
    <w:rsid w:val="2D081AB5"/>
    <w:rsid w:val="3E944E47"/>
    <w:rsid w:val="48B2278C"/>
    <w:rsid w:val="554D1082"/>
    <w:rsid w:val="565E1151"/>
    <w:rsid w:val="609C372E"/>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0"/>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BC5284CE-34FD-4106-8995-A918ACFEB8E6}">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16</Pages>
  <Words>2353</Words>
  <Characters>13737</Characters>
  <Lines>194</Lines>
  <Paragraphs>54</Paragraphs>
  <TotalTime>50</TotalTime>
  <ScaleCrop>false</ScaleCrop>
  <LinksUpToDate>false</LinksUpToDate>
  <CharactersWithSpaces>15895</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lastModifiedBy>黄梦莹</cp:lastModifiedBy>
  <cp:lastPrinted>2016-10-24T12:21:00Z</cp:lastPrinted>
  <dcterms:modified xsi:type="dcterms:W3CDTF">2025-05-09T20:54:04Z</dcterms:modified>
  <dc:title>PG2-E1</dc:title>
  <cp:revision>41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TemplateDocerSaveRecord">
    <vt:lpwstr>eyJoZGlkIjoiNGU4NzUzOGFjZGQ5NGEyZTQ4Yzk2MTNjNzNmMjJhN2EiLCJ1c2VySWQiOiI0MzkzOTgwOTYifQ==</vt:lpwstr>
  </property>
  <property fmtid="{D5CDD505-2E9C-101B-9397-08002B2CF9AE}" pid="5" name="KSOProductBuildVer">
    <vt:lpwstr>2052-12.1.0.20784</vt:lpwstr>
  </property>
  <property fmtid="{D5CDD505-2E9C-101B-9397-08002B2CF9AE}" pid="6" name="ICV">
    <vt:lpwstr>66A3560B77464ACD8BE7C4DED888BA09_13</vt:lpwstr>
  </property>
</Properties>
</file>