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81097A" w14:textId="77777777" w:rsidR="00281E81" w:rsidRPr="00281E81" w:rsidRDefault="00281E81" w:rsidP="00281E81">
      <w:pPr>
        <w:spacing w:before="1540" w:after="240"/>
        <w:jc w:val="center"/>
        <w:rPr>
          <w:rFonts w:ascii="Calibri" w:eastAsia="宋体" w:hAnsi="Calibri" w:cs="Arial"/>
          <w:color w:val="5B9BD5"/>
          <w:sz w:val="22"/>
          <w:szCs w:val="22"/>
          <w:lang w:eastAsia="zh-CN"/>
        </w:rPr>
      </w:pPr>
      <w:bookmarkStart w:id="0" w:name="introduction"/>
      <w:r w:rsidRPr="00281E81">
        <w:rPr>
          <w:rFonts w:ascii="Calibri" w:eastAsia="宋体" w:hAnsi="Calibri" w:cs="Arial"/>
          <w:noProof/>
          <w:sz w:val="22"/>
          <w:szCs w:val="22"/>
          <w:lang w:eastAsia="zh-CN"/>
        </w:rPr>
        <w:drawing>
          <wp:inline distT="0" distB="0" distL="0" distR="0" wp14:anchorId="45F41262" wp14:editId="7F89FE08">
            <wp:extent cx="1416050" cy="749300"/>
            <wp:effectExtent l="0" t="0" r="0" b="0"/>
            <wp:docPr id="10" name="图片 9" descr="卡通人物&#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9" descr="卡通人物&#10;&#10;中度可信度描述已自动生成"/>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16050" cy="749300"/>
                    </a:xfrm>
                    <a:prstGeom prst="rect">
                      <a:avLst/>
                    </a:prstGeom>
                    <a:noFill/>
                    <a:ln>
                      <a:noFill/>
                    </a:ln>
                  </pic:spPr>
                </pic:pic>
              </a:graphicData>
            </a:graphic>
          </wp:inline>
        </w:drawing>
      </w:r>
    </w:p>
    <w:p w14:paraId="7219AF72" w14:textId="77777777" w:rsidR="00281E81" w:rsidRPr="00281E81" w:rsidRDefault="00281E81" w:rsidP="00281E81">
      <w:pPr>
        <w:spacing w:before="1540" w:after="240"/>
        <w:jc w:val="center"/>
        <w:rPr>
          <w:rFonts w:ascii="Calibri Light" w:eastAsia="宋体" w:hAnsi="Calibri Light" w:cs="Times New Roman"/>
          <w:b/>
          <w:bCs/>
          <w:caps/>
          <w:color w:val="5B9BD5"/>
          <w:sz w:val="80"/>
          <w:szCs w:val="80"/>
          <w:lang w:eastAsia="zh-CN"/>
        </w:rPr>
      </w:pPr>
      <w:r w:rsidRPr="00281E81">
        <w:rPr>
          <w:rFonts w:ascii="Calibri Light" w:eastAsia="宋体" w:hAnsi="Calibri Light" w:cs="Times New Roman"/>
          <w:b/>
          <w:bCs/>
          <w:caps/>
          <w:color w:val="5B9BD5"/>
          <w:sz w:val="80"/>
          <w:szCs w:val="80"/>
          <w:lang w:eastAsia="zh-CN"/>
        </w:rPr>
        <w:t>A Comprehensive Financial Analysis of Unilever (2021–2023): Performance, Challenges, and Recommendations</w:t>
      </w:r>
    </w:p>
    <w:sdt>
      <w:sdtPr>
        <w:rPr>
          <w:color w:val="4F81BD" w:themeColor="accent1"/>
          <w:sz w:val="28"/>
          <w:szCs w:val="28"/>
          <w:lang w:eastAsia="zh-CN"/>
        </w:rPr>
        <w:alias w:val="Subtitle"/>
        <w:id w:val="328029620"/>
        <w:text/>
      </w:sdtPr>
      <w:sdtContent>
        <w:p w14:paraId="6974A0CA" w14:textId="4BFF3C1E" w:rsidR="00281E81" w:rsidRPr="00281E81" w:rsidRDefault="00281E81" w:rsidP="00281E81">
          <w:pPr>
            <w:pBdr>
              <w:top w:val="single" w:sz="6" w:space="6" w:color="5B9BD5"/>
              <w:bottom w:val="single" w:sz="6" w:space="6" w:color="5B9BD5"/>
            </w:pBdr>
            <w:spacing w:before="100" w:beforeAutospacing="1" w:after="240"/>
            <w:jc w:val="center"/>
            <w:rPr>
              <w:rFonts w:ascii="Calibri" w:eastAsia="宋体" w:hAnsi="Calibri" w:cs="Arial"/>
              <w:color w:val="5B9BD5"/>
              <w:sz w:val="28"/>
              <w:szCs w:val="28"/>
              <w:lang w:eastAsia="zh-CN"/>
            </w:rPr>
          </w:pPr>
          <w:r w:rsidRPr="00281E81">
            <w:rPr>
              <w:color w:val="4F81BD" w:themeColor="accent1"/>
              <w:sz w:val="28"/>
              <w:szCs w:val="28"/>
              <w:lang w:eastAsia="zh-CN"/>
            </w:rPr>
            <w:t>[</w:t>
          </w:r>
          <w:r>
            <w:rPr>
              <w:rFonts w:hint="eastAsia"/>
              <w:color w:val="4F81BD" w:themeColor="accent1"/>
              <w:sz w:val="28"/>
              <w:szCs w:val="28"/>
              <w:lang w:eastAsia="zh-CN"/>
            </w:rPr>
            <w:t xml:space="preserve">Wang </w:t>
          </w:r>
          <w:proofErr w:type="gramStart"/>
          <w:r>
            <w:rPr>
              <w:rFonts w:hint="eastAsia"/>
              <w:color w:val="4F81BD" w:themeColor="accent1"/>
              <w:sz w:val="28"/>
              <w:szCs w:val="28"/>
              <w:lang w:eastAsia="zh-CN"/>
            </w:rPr>
            <w:t>Yitong(</w:t>
          </w:r>
          <w:proofErr w:type="gramEnd"/>
          <w:r>
            <w:rPr>
              <w:rFonts w:hint="eastAsia"/>
              <w:color w:val="4F81BD" w:themeColor="accent1"/>
              <w:sz w:val="28"/>
              <w:szCs w:val="28"/>
              <w:lang w:eastAsia="zh-CN"/>
            </w:rPr>
            <w:t>2409469)</w:t>
          </w:r>
          <w:r w:rsidRPr="00281E81">
            <w:rPr>
              <w:color w:val="4F81BD" w:themeColor="accent1"/>
              <w:sz w:val="28"/>
              <w:szCs w:val="28"/>
              <w:lang w:eastAsia="zh-CN"/>
            </w:rPr>
            <w:t>]</w:t>
          </w:r>
        </w:p>
      </w:sdtContent>
    </w:sdt>
    <w:sdt>
      <w:sdtPr>
        <w:rPr>
          <w:rFonts w:ascii="Calibri" w:eastAsia="宋体" w:hAnsi="Calibri" w:cs="Arial"/>
          <w:caps/>
          <w:color w:val="5B9BD5"/>
          <w:sz w:val="28"/>
          <w:szCs w:val="28"/>
        </w:rPr>
        <w:alias w:val="Date"/>
        <w:id w:val="197127006"/>
        <w:dataBinding w:prefixMappings="xmlns:ns0='http://schemas.microsoft.com/office/2006/coverPageProps' " w:xpath="/ns0:CoverPageProperties[1]/ns0:PublishDate[1]" w:storeItemID="{55AF091B-3C7A-41E3-B477-F2FDAA23CFDA}"/>
        <w:date w:fullDate="2025-01-20T00:00:00Z">
          <w:dateFormat w:val="MMMM d, yyyy"/>
          <w:lid w:val="en-US"/>
          <w:storeMappedDataAs w:val="dateTime"/>
          <w:calendar w:val="gregorian"/>
        </w:date>
      </w:sdtPr>
      <w:sdtContent>
        <w:p w14:paraId="719CCC3F" w14:textId="63BE88FC" w:rsidR="00281E81" w:rsidRPr="00281E81" w:rsidRDefault="00281E81" w:rsidP="00281E81">
          <w:pPr>
            <w:spacing w:after="40"/>
            <w:jc w:val="center"/>
            <w:rPr>
              <w:rFonts w:ascii="Calibri" w:eastAsia="宋体" w:hAnsi="Calibri" w:cs="Arial"/>
              <w:caps/>
              <w:color w:val="5B9BD5"/>
              <w:sz w:val="28"/>
              <w:szCs w:val="28"/>
            </w:rPr>
          </w:pPr>
          <w:r>
            <w:rPr>
              <w:rFonts w:ascii="Calibri" w:eastAsia="宋体" w:hAnsi="Calibri" w:cs="Arial"/>
              <w:caps/>
              <w:color w:val="5B9BD5"/>
              <w:sz w:val="28"/>
              <w:szCs w:val="28"/>
            </w:rPr>
            <w:t>January 20, 2025</w:t>
          </w:r>
        </w:p>
      </w:sdtContent>
    </w:sdt>
    <w:p w14:paraId="2905289F" w14:textId="4D972FCA" w:rsidR="00281E81" w:rsidRPr="00281E81" w:rsidRDefault="00281E81" w:rsidP="00281E81">
      <w:pPr>
        <w:spacing w:after="0"/>
        <w:jc w:val="center"/>
        <w:rPr>
          <w:rFonts w:ascii="Calibri" w:eastAsia="宋体" w:hAnsi="Calibri" w:cs="Arial" w:hint="eastAsia"/>
          <w:color w:val="5B9BD5"/>
          <w:sz w:val="22"/>
          <w:szCs w:val="22"/>
          <w:lang w:eastAsia="zh-CN"/>
        </w:rPr>
      </w:pPr>
      <w:sdt>
        <w:sdtPr>
          <w:rPr>
            <w:caps/>
            <w:color w:val="4F81BD" w:themeColor="accent1"/>
            <w:sz w:val="22"/>
            <w:szCs w:val="22"/>
          </w:rPr>
          <w:alias w:val="Company"/>
          <w:id w:val="1390145197"/>
          <w:dataBinding w:prefixMappings="xmlns:ns0='http://schemas.openxmlformats.org/officeDocument/2006/extended-properties' " w:xpath="/ns0:Properties[1]/ns0:Company[1]" w:storeItemID="{6668398D-A668-4E3E-A5EB-62B293D839F1}"/>
          <w:text/>
        </w:sdtPr>
        <w:sdtContent>
          <w:r w:rsidRPr="00281E81">
            <w:rPr>
              <w:caps/>
              <w:color w:val="4F81BD" w:themeColor="accent1"/>
              <w:sz w:val="22"/>
              <w:szCs w:val="22"/>
            </w:rPr>
            <w:t>UNIVERSITY OF WALES TRINITY SAINT DAVID</w:t>
          </w:r>
        </w:sdtContent>
      </w:sdt>
    </w:p>
    <w:p w14:paraId="622332AB" w14:textId="7A7B0FC4" w:rsidR="00281E81" w:rsidRDefault="00281E81">
      <w:pPr>
        <w:pStyle w:val="3"/>
        <w:spacing w:before="0" w:line="480" w:lineRule="auto"/>
        <w:jc w:val="both"/>
        <w:rPr>
          <w:rFonts w:ascii="Arial" w:hAnsi="Arial" w:cs="Arial" w:hint="eastAsia"/>
          <w:color w:val="auto"/>
          <w:lang w:eastAsia="zh-CN"/>
        </w:rPr>
      </w:pPr>
    </w:p>
    <w:p w14:paraId="7AC28AC0" w14:textId="51206082" w:rsidR="00C3197C" w:rsidRDefault="00000000">
      <w:pPr>
        <w:pStyle w:val="3"/>
        <w:spacing w:before="0" w:line="480" w:lineRule="auto"/>
        <w:jc w:val="both"/>
        <w:rPr>
          <w:rFonts w:ascii="Arial" w:hAnsi="Arial" w:cs="Arial"/>
          <w:color w:val="auto"/>
        </w:rPr>
      </w:pPr>
      <w:bookmarkStart w:id="1" w:name="_Hlk188284232"/>
      <w:r>
        <w:rPr>
          <w:rFonts w:ascii="Arial" w:hAnsi="Arial" w:cs="Arial"/>
          <w:color w:val="auto"/>
        </w:rPr>
        <w:t>A Comprehensive Financial Analysis of Unilever (2021–2023): Performance, Challenges, and Recommendations</w:t>
      </w:r>
    </w:p>
    <w:bookmarkEnd w:id="1"/>
    <w:p w14:paraId="1451EC87" w14:textId="77777777" w:rsidR="00C3197C" w:rsidRDefault="00000000">
      <w:pPr>
        <w:pStyle w:val="3"/>
        <w:spacing w:before="0" w:line="480" w:lineRule="auto"/>
        <w:jc w:val="both"/>
        <w:rPr>
          <w:rFonts w:ascii="Arial" w:hAnsi="Arial" w:cs="Arial"/>
          <w:color w:val="auto"/>
        </w:rPr>
      </w:pPr>
      <w:r>
        <w:rPr>
          <w:rFonts w:ascii="Arial" w:hAnsi="Arial" w:cs="Arial"/>
          <w:color w:val="auto"/>
        </w:rPr>
        <w:t>1. Introduction</w:t>
      </w:r>
    </w:p>
    <w:p w14:paraId="25EBA56D" w14:textId="77777777" w:rsidR="00C3197C" w:rsidRDefault="00000000">
      <w:pPr>
        <w:pStyle w:val="FirstParagraph"/>
        <w:spacing w:before="0" w:after="0" w:line="480" w:lineRule="auto"/>
        <w:jc w:val="both"/>
        <w:rPr>
          <w:rFonts w:ascii="Arial" w:hAnsi="Arial" w:cs="Arial"/>
        </w:rPr>
      </w:pPr>
      <w:r>
        <w:rPr>
          <w:rFonts w:ascii="Arial" w:hAnsi="Arial" w:cs="Arial"/>
        </w:rPr>
        <w:t xml:space="preserve">In my study, I pay attention to Unilever, a very big multinational consumer goods company. Unilever’s stocks are on the London Stock Exchange list, and </w:t>
      </w:r>
      <w:proofErr w:type="gramStart"/>
      <w:r>
        <w:rPr>
          <w:rFonts w:ascii="Arial" w:hAnsi="Arial" w:cs="Arial"/>
        </w:rPr>
        <w:t>it is</w:t>
      </w:r>
      <w:proofErr w:type="gramEnd"/>
      <w:r>
        <w:rPr>
          <w:rFonts w:ascii="Arial" w:hAnsi="Arial" w:cs="Arial"/>
        </w:rPr>
        <w:t xml:space="preserve"> a very important part of the FTSE 100 Index. Its business spreads </w:t>
      </w:r>
      <w:proofErr w:type="gramStart"/>
      <w:r>
        <w:rPr>
          <w:rFonts w:ascii="Arial" w:hAnsi="Arial" w:cs="Arial"/>
        </w:rPr>
        <w:t>over</w:t>
      </w:r>
      <w:proofErr w:type="gramEnd"/>
      <w:r>
        <w:rPr>
          <w:rFonts w:ascii="Arial" w:hAnsi="Arial" w:cs="Arial"/>
        </w:rPr>
        <w:t xml:space="preserve"> more than 190 countries, and lots of its brands are very famous in fields like food, drinks, personal care and home care.</w:t>
      </w:r>
    </w:p>
    <w:p w14:paraId="5C360AC8" w14:textId="77777777" w:rsidR="00C3197C" w:rsidRDefault="00000000">
      <w:pPr>
        <w:pStyle w:val="a0"/>
        <w:spacing w:before="0" w:after="0" w:line="480" w:lineRule="auto"/>
        <w:jc w:val="both"/>
        <w:rPr>
          <w:rFonts w:ascii="Arial" w:hAnsi="Arial" w:cs="Arial"/>
        </w:rPr>
      </w:pPr>
      <w:r>
        <w:rPr>
          <w:rFonts w:ascii="Arial" w:hAnsi="Arial" w:cs="Arial"/>
        </w:rPr>
        <w:t xml:space="preserve">I want to fully and deeply see how Unilever’s financial situation is and how it does in business. </w:t>
      </w:r>
      <w:proofErr w:type="gramStart"/>
      <w:r>
        <w:rPr>
          <w:rFonts w:ascii="Arial" w:hAnsi="Arial" w:cs="Arial"/>
        </w:rPr>
        <w:t>So</w:t>
      </w:r>
      <w:proofErr w:type="gramEnd"/>
      <w:r>
        <w:rPr>
          <w:rFonts w:ascii="Arial" w:hAnsi="Arial" w:cs="Arial"/>
        </w:rPr>
        <w:t xml:space="preserve"> I decide to mainly analyze and understand the important financial ratios of the company in the past three years, that is 2023, 2022 and 2021.</w:t>
      </w:r>
    </w:p>
    <w:p w14:paraId="20487FBD" w14:textId="77777777" w:rsidR="00C3197C" w:rsidRDefault="00000000">
      <w:pPr>
        <w:pStyle w:val="a0"/>
        <w:spacing w:before="0" w:after="0" w:line="480" w:lineRule="auto"/>
        <w:jc w:val="both"/>
        <w:rPr>
          <w:rFonts w:ascii="Arial" w:hAnsi="Arial" w:cs="Arial"/>
        </w:rPr>
      </w:pPr>
      <w:r>
        <w:rPr>
          <w:rFonts w:ascii="Arial" w:hAnsi="Arial" w:cs="Arial"/>
        </w:rPr>
        <w:t>I have three main aims for this report. First, from many sides like profitability, liquidity, how much debt it has (leverage level), how well it works (operational efficiency) and how it attracts investors, I will completely and systematically see how Unilever does in all these things. Second, I will find out and say strongly the possible reasons why the above financial ratios change or have certain trends in these three years. Third, through strict analysis, I will make a good base for the later useful suggestions to make Unilever’s financial management better.</w:t>
      </w:r>
    </w:p>
    <w:p w14:paraId="18592A6A" w14:textId="77777777" w:rsidR="00C3197C" w:rsidRDefault="00000000">
      <w:pPr>
        <w:pStyle w:val="a0"/>
        <w:spacing w:before="0" w:after="0" w:line="480" w:lineRule="auto"/>
        <w:jc w:val="both"/>
        <w:rPr>
          <w:rFonts w:ascii="Arial" w:hAnsi="Arial" w:cs="Arial"/>
        </w:rPr>
      </w:pPr>
      <w:r>
        <w:rPr>
          <w:rFonts w:ascii="Arial" w:hAnsi="Arial" w:cs="Arial"/>
        </w:rPr>
        <w:t xml:space="preserve">Although financial ratio analysis can give me lots of useful information and help me know how the company makes money and manages different resources, I know it is not perfect and has some problems. For example, this </w:t>
      </w:r>
      <w:proofErr w:type="gramStart"/>
      <w:r>
        <w:rPr>
          <w:rFonts w:ascii="Arial" w:hAnsi="Arial" w:cs="Arial"/>
        </w:rPr>
        <w:t>analysis way</w:t>
      </w:r>
      <w:proofErr w:type="gramEnd"/>
      <w:r>
        <w:rPr>
          <w:rFonts w:ascii="Arial" w:hAnsi="Arial" w:cs="Arial"/>
        </w:rPr>
        <w:t xml:space="preserve"> depends too much on old data, and these data only show what happened before. Maybe they can’t quickly and exactly show the market changes now and how the company really works. Also, different companies calculate things in different ways in accounting, so the ratio calculation results may not be compared. But even </w:t>
      </w:r>
      <w:proofErr w:type="gramStart"/>
      <w:r>
        <w:rPr>
          <w:rFonts w:ascii="Arial" w:hAnsi="Arial" w:cs="Arial"/>
        </w:rPr>
        <w:t>with</w:t>
      </w:r>
      <w:proofErr w:type="gramEnd"/>
      <w:r>
        <w:rPr>
          <w:rFonts w:ascii="Arial" w:hAnsi="Arial" w:cs="Arial"/>
        </w:rPr>
        <w:t xml:space="preserve"> these bad points, I think financial ratios are still important ways to find out the company’s good sides in business (like it can make much money, its investment returns are stable) and </w:t>
      </w:r>
      <w:r>
        <w:rPr>
          <w:rFonts w:ascii="Arial" w:hAnsi="Arial" w:cs="Arial"/>
        </w:rPr>
        <w:lastRenderedPageBreak/>
        <w:t xml:space="preserve">possible problems (like it may have problems with money flowing, or too much debt pressure). In the following chapters, I will say in detail how I collected and calculated these financial ratios. Then I will show the detailed analysis results and give some </w:t>
      </w:r>
      <w:proofErr w:type="gramStart"/>
      <w:r>
        <w:rPr>
          <w:rFonts w:ascii="Arial" w:hAnsi="Arial" w:cs="Arial"/>
        </w:rPr>
        <w:t xml:space="preserve">first - </w:t>
      </w:r>
      <w:proofErr w:type="gramEnd"/>
      <w:r>
        <w:rPr>
          <w:rFonts w:ascii="Arial" w:hAnsi="Arial" w:cs="Arial"/>
        </w:rPr>
        <w:t>step analysis words about how Unilever does in different financial areas.</w:t>
      </w:r>
    </w:p>
    <w:p w14:paraId="2FBCD331" w14:textId="77777777" w:rsidR="00C3197C" w:rsidRDefault="00000000">
      <w:pPr>
        <w:pStyle w:val="3"/>
        <w:spacing w:before="0" w:line="480" w:lineRule="auto"/>
        <w:jc w:val="both"/>
        <w:rPr>
          <w:rFonts w:ascii="Arial" w:hAnsi="Arial" w:cs="Arial"/>
          <w:color w:val="auto"/>
        </w:rPr>
      </w:pPr>
      <w:bookmarkStart w:id="2" w:name="methodology-and-data"/>
      <w:bookmarkEnd w:id="0"/>
      <w:r>
        <w:rPr>
          <w:rFonts w:ascii="Arial" w:hAnsi="Arial" w:cs="Arial"/>
          <w:color w:val="auto"/>
        </w:rPr>
        <w:t>2. Methodology and Data</w:t>
      </w:r>
    </w:p>
    <w:p w14:paraId="79FEB87E" w14:textId="77777777" w:rsidR="00C3197C" w:rsidRDefault="00000000">
      <w:pPr>
        <w:pStyle w:val="FirstParagraph"/>
        <w:spacing w:before="0" w:after="0" w:line="480" w:lineRule="auto"/>
        <w:jc w:val="both"/>
        <w:rPr>
          <w:rFonts w:ascii="Arial" w:hAnsi="Arial" w:cs="Arial"/>
        </w:rPr>
      </w:pPr>
      <w:r>
        <w:rPr>
          <w:rFonts w:ascii="Arial" w:hAnsi="Arial" w:cs="Arial"/>
        </w:rPr>
        <w:t xml:space="preserve">To do this financial ratio analysis accurately and fast, I carefully study Unilever’s annual reports of 2021, 2022 and 2023. From its combined income statement, I </w:t>
      </w:r>
      <w:proofErr w:type="gramStart"/>
      <w:r>
        <w:rPr>
          <w:rFonts w:ascii="Arial" w:hAnsi="Arial" w:cs="Arial"/>
        </w:rPr>
        <w:t>pick</w:t>
      </w:r>
      <w:proofErr w:type="gramEnd"/>
      <w:r>
        <w:rPr>
          <w:rFonts w:ascii="Arial" w:hAnsi="Arial" w:cs="Arial"/>
        </w:rPr>
        <w:t xml:space="preserve"> out important things like Turnover, Operating Profit, Net Profit. And from the combined balance sheet, I choose important data such as Total Assets, Current Liabilities, Shareholders’ Equity, Long - Term Borrowings, Current Assets. Besides, when calculating ratios about investors, I also add other information like Cost of Sales, Number of Ordinary Shares and Market Value per share. I do this to calculate important things like Earnings per Share (EPS) and Dividend Yield correctly.</w:t>
      </w:r>
    </w:p>
    <w:p w14:paraId="3BF8B4BB" w14:textId="77777777" w:rsidR="00C3197C" w:rsidRDefault="00000000">
      <w:pPr>
        <w:pStyle w:val="a0"/>
        <w:spacing w:before="0" w:after="0" w:line="480" w:lineRule="auto"/>
        <w:jc w:val="both"/>
        <w:rPr>
          <w:rFonts w:ascii="Arial" w:hAnsi="Arial" w:cs="Arial"/>
        </w:rPr>
      </w:pPr>
      <w:r>
        <w:rPr>
          <w:rFonts w:ascii="Arial" w:hAnsi="Arial" w:cs="Arial"/>
        </w:rPr>
        <w:t xml:space="preserve">The way I get the data is strict and in order. First, according to what I need for calculating financial ratios, I find out the needed data from Unilever’s combined statements, like important data points such as Turnover and Net Profit. Second, I put these data into a spreadsheet year by year and make clear and same labels for each year’s data. This can make sure the data is </w:t>
      </w:r>
      <w:proofErr w:type="gramStart"/>
      <w:r>
        <w:rPr>
          <w:rFonts w:ascii="Arial" w:hAnsi="Arial" w:cs="Arial"/>
        </w:rPr>
        <w:t>right</w:t>
      </w:r>
      <w:proofErr w:type="gramEnd"/>
      <w:r>
        <w:rPr>
          <w:rFonts w:ascii="Arial" w:hAnsi="Arial" w:cs="Arial"/>
        </w:rPr>
        <w:t xml:space="preserve"> and I can find where it comes from. </w:t>
      </w:r>
      <w:proofErr w:type="gramStart"/>
      <w:r>
        <w:rPr>
          <w:rFonts w:ascii="Arial" w:hAnsi="Arial" w:cs="Arial"/>
        </w:rPr>
        <w:t>At last</w:t>
      </w:r>
      <w:proofErr w:type="gramEnd"/>
      <w:r>
        <w:rPr>
          <w:rFonts w:ascii="Arial" w:hAnsi="Arial" w:cs="Arial"/>
        </w:rPr>
        <w:t xml:space="preserve">, for some special situations, like if the annual report groups some costs in a different way, or when I need to get the right market price, I </w:t>
      </w:r>
      <w:proofErr w:type="gramStart"/>
      <w:r>
        <w:rPr>
          <w:rFonts w:ascii="Arial" w:hAnsi="Arial" w:cs="Arial"/>
        </w:rPr>
        <w:t>have to</w:t>
      </w:r>
      <w:proofErr w:type="gramEnd"/>
      <w:r>
        <w:rPr>
          <w:rFonts w:ascii="Arial" w:hAnsi="Arial" w:cs="Arial"/>
        </w:rPr>
        <w:t xml:space="preserve"> average the public stock data. Then I use some ways to get the about - right values or placeholders.</w:t>
      </w:r>
    </w:p>
    <w:p w14:paraId="4F3A469F" w14:textId="77777777" w:rsidR="00C3197C" w:rsidRDefault="00000000">
      <w:pPr>
        <w:pStyle w:val="a0"/>
        <w:spacing w:before="0" w:after="0" w:line="480" w:lineRule="auto"/>
        <w:jc w:val="both"/>
        <w:rPr>
          <w:rFonts w:ascii="Arial" w:hAnsi="Arial" w:cs="Arial"/>
        </w:rPr>
      </w:pPr>
      <w:r>
        <w:rPr>
          <w:rFonts w:ascii="Arial" w:hAnsi="Arial" w:cs="Arial"/>
        </w:rPr>
        <w:t xml:space="preserve">After getting the data, I </w:t>
      </w:r>
      <w:proofErr w:type="gramStart"/>
      <w:r>
        <w:rPr>
          <w:rFonts w:ascii="Arial" w:hAnsi="Arial" w:cs="Arial"/>
        </w:rPr>
        <w:t>divide</w:t>
      </w:r>
      <w:proofErr w:type="gramEnd"/>
      <w:r>
        <w:rPr>
          <w:rFonts w:ascii="Arial" w:hAnsi="Arial" w:cs="Arial"/>
        </w:rPr>
        <w:t xml:space="preserve"> the financial ratios into five groups. They are: ratios about making money (profitability), like Return on Capital Employed, Net Profit Margin; ratios about having enough money quickly (liquidity), like Current Ratio, Quick Ratio; ratios about debt (leverage), like Gearing Percentage, Interest Cover; ratios about how well the company uses </w:t>
      </w:r>
      <w:r>
        <w:rPr>
          <w:rFonts w:ascii="Arial" w:hAnsi="Arial" w:cs="Arial"/>
        </w:rPr>
        <w:lastRenderedPageBreak/>
        <w:t xml:space="preserve">things (operational efficiency), like Stock Turnover, Debtor Collection Days, etc.; and ratios about investors, like EPS, Dividend Yield, P/E. I calculate each ratio following the normal formulas in financial analysis. This can make the data of different years can be compared. After calculating all the ratios, I put these results into a special summary table in order. From this table, we can see clearly how the ratios </w:t>
      </w:r>
      <w:proofErr w:type="gramStart"/>
      <w:r>
        <w:rPr>
          <w:rFonts w:ascii="Arial" w:hAnsi="Arial" w:cs="Arial"/>
        </w:rPr>
        <w:t>change</w:t>
      </w:r>
      <w:proofErr w:type="gramEnd"/>
      <w:r>
        <w:rPr>
          <w:rFonts w:ascii="Arial" w:hAnsi="Arial" w:cs="Arial"/>
        </w:rPr>
        <w:t xml:space="preserve"> in the past three years. I know that although the original data comes from Unilever’s annual reports and is reliable, outside things like exchange rate changes all the time, inflation, and the </w:t>
      </w:r>
      <w:proofErr w:type="gramStart"/>
      <w:r>
        <w:rPr>
          <w:rFonts w:ascii="Arial" w:hAnsi="Arial" w:cs="Arial"/>
        </w:rPr>
        <w:t>company’s</w:t>
      </w:r>
      <w:proofErr w:type="gramEnd"/>
      <w:r>
        <w:rPr>
          <w:rFonts w:ascii="Arial" w:hAnsi="Arial" w:cs="Arial"/>
        </w:rPr>
        <w:t xml:space="preserve"> inside plan changes may all affect the final ratio calculation results.</w:t>
      </w:r>
    </w:p>
    <w:p w14:paraId="09B40FB1" w14:textId="77777777" w:rsidR="00C3197C" w:rsidRDefault="00000000">
      <w:pPr>
        <w:pStyle w:val="3"/>
        <w:spacing w:before="0" w:line="480" w:lineRule="auto"/>
        <w:jc w:val="both"/>
        <w:rPr>
          <w:rFonts w:ascii="Arial" w:hAnsi="Arial" w:cs="Arial"/>
          <w:color w:val="auto"/>
        </w:rPr>
      </w:pPr>
      <w:bookmarkStart w:id="3" w:name="ratio-calculations-and-results"/>
      <w:bookmarkEnd w:id="2"/>
      <w:r>
        <w:rPr>
          <w:rFonts w:ascii="Arial" w:hAnsi="Arial" w:cs="Arial"/>
          <w:color w:val="auto"/>
        </w:rPr>
        <w:t>3. Ratio Calculations and Results</w:t>
      </w:r>
    </w:p>
    <w:p w14:paraId="5BCAA92E" w14:textId="77777777" w:rsidR="00C3197C" w:rsidRDefault="00000000">
      <w:pPr>
        <w:pStyle w:val="FirstParagraph"/>
        <w:spacing w:before="0" w:after="0" w:line="480" w:lineRule="auto"/>
        <w:jc w:val="both"/>
        <w:rPr>
          <w:rFonts w:ascii="Arial" w:hAnsi="Arial" w:cs="Arial"/>
        </w:rPr>
      </w:pPr>
      <w:r>
        <w:rPr>
          <w:rFonts w:ascii="Arial" w:hAnsi="Arial" w:cs="Arial"/>
        </w:rPr>
        <w:t>The following is the detailed ratio table of Unilever for 2023, 2022 and 2021. The columns of 2023, 2022 and 2021 show the ratio values I calculated for each year. And the middle column shows the formulas for calculating each ratio clearly:</w:t>
      </w:r>
    </w:p>
    <w:tbl>
      <w:tblPr>
        <w:tblStyle w:val="Table"/>
        <w:tblW w:w="5000" w:type="pc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37"/>
        <w:gridCol w:w="3458"/>
        <w:gridCol w:w="1564"/>
        <w:gridCol w:w="1564"/>
        <w:gridCol w:w="1565"/>
      </w:tblGrid>
      <w:tr w:rsidR="00C3197C" w14:paraId="127E9045" w14:textId="77777777" w:rsidTr="00C3197C">
        <w:trPr>
          <w:cnfStyle w:val="100000000000" w:firstRow="1" w:lastRow="0" w:firstColumn="0" w:lastColumn="0" w:oddVBand="0" w:evenVBand="0" w:oddHBand="0" w:evenHBand="0" w:firstRowFirstColumn="0" w:firstRowLastColumn="0" w:lastRowFirstColumn="0" w:lastRowLastColumn="0"/>
          <w:trHeight w:val="340"/>
          <w:tblHeader/>
        </w:trPr>
        <w:tc>
          <w:tcPr>
            <w:tcW w:w="2037" w:type="dxa"/>
            <w:tcBorders>
              <w:bottom w:val="nil"/>
            </w:tcBorders>
            <w:vAlign w:val="center"/>
          </w:tcPr>
          <w:p w14:paraId="08C9262D" w14:textId="77777777" w:rsidR="00C3197C" w:rsidRDefault="00000000">
            <w:pPr>
              <w:pStyle w:val="Compact"/>
              <w:spacing w:before="0" w:after="0" w:line="480" w:lineRule="auto"/>
              <w:jc w:val="center"/>
              <w:rPr>
                <w:rFonts w:ascii="Arial" w:hAnsi="Arial" w:cs="Arial"/>
                <w:b/>
                <w:bCs/>
              </w:rPr>
            </w:pPr>
            <w:r>
              <w:rPr>
                <w:rFonts w:ascii="Arial" w:hAnsi="Arial" w:cs="Arial"/>
                <w:b/>
                <w:bCs/>
              </w:rPr>
              <w:t>Ratio Name</w:t>
            </w:r>
          </w:p>
        </w:tc>
        <w:tc>
          <w:tcPr>
            <w:tcW w:w="3458" w:type="dxa"/>
            <w:tcBorders>
              <w:bottom w:val="nil"/>
            </w:tcBorders>
            <w:vAlign w:val="center"/>
          </w:tcPr>
          <w:p w14:paraId="27CA455F" w14:textId="77777777" w:rsidR="00C3197C" w:rsidRDefault="00000000">
            <w:pPr>
              <w:pStyle w:val="Compact"/>
              <w:spacing w:before="0" w:after="0" w:line="480" w:lineRule="auto"/>
              <w:jc w:val="center"/>
              <w:rPr>
                <w:rFonts w:ascii="Arial" w:hAnsi="Arial" w:cs="Arial"/>
                <w:b/>
                <w:bCs/>
              </w:rPr>
            </w:pPr>
            <w:r>
              <w:rPr>
                <w:rFonts w:ascii="Arial" w:hAnsi="Arial" w:cs="Arial"/>
                <w:b/>
                <w:bCs/>
              </w:rPr>
              <w:t>Formula / Explanation</w:t>
            </w:r>
          </w:p>
        </w:tc>
        <w:tc>
          <w:tcPr>
            <w:tcW w:w="1564" w:type="dxa"/>
            <w:tcBorders>
              <w:bottom w:val="nil"/>
            </w:tcBorders>
            <w:vAlign w:val="center"/>
          </w:tcPr>
          <w:p w14:paraId="15D409C2" w14:textId="77777777" w:rsidR="00C3197C" w:rsidRDefault="00000000">
            <w:pPr>
              <w:pStyle w:val="Compact"/>
              <w:spacing w:before="0" w:after="0" w:line="480" w:lineRule="auto"/>
              <w:jc w:val="center"/>
              <w:rPr>
                <w:rFonts w:ascii="Arial" w:hAnsi="Arial" w:cs="Arial"/>
                <w:b/>
                <w:bCs/>
              </w:rPr>
            </w:pPr>
            <w:r>
              <w:rPr>
                <w:rFonts w:ascii="Arial" w:hAnsi="Arial" w:cs="Arial"/>
                <w:b/>
                <w:bCs/>
              </w:rPr>
              <w:t>2023</w:t>
            </w:r>
          </w:p>
        </w:tc>
        <w:tc>
          <w:tcPr>
            <w:tcW w:w="1564" w:type="dxa"/>
            <w:tcBorders>
              <w:bottom w:val="nil"/>
            </w:tcBorders>
            <w:vAlign w:val="center"/>
          </w:tcPr>
          <w:p w14:paraId="02870C74" w14:textId="77777777" w:rsidR="00C3197C" w:rsidRDefault="00000000">
            <w:pPr>
              <w:pStyle w:val="Compact"/>
              <w:spacing w:before="0" w:after="0" w:line="480" w:lineRule="auto"/>
              <w:jc w:val="center"/>
              <w:rPr>
                <w:rFonts w:ascii="Arial" w:hAnsi="Arial" w:cs="Arial"/>
                <w:b/>
                <w:bCs/>
              </w:rPr>
            </w:pPr>
            <w:r>
              <w:rPr>
                <w:rFonts w:ascii="Arial" w:hAnsi="Arial" w:cs="Arial"/>
                <w:b/>
                <w:bCs/>
              </w:rPr>
              <w:t>2022</w:t>
            </w:r>
          </w:p>
        </w:tc>
        <w:tc>
          <w:tcPr>
            <w:tcW w:w="1565" w:type="dxa"/>
            <w:tcBorders>
              <w:bottom w:val="nil"/>
            </w:tcBorders>
            <w:vAlign w:val="center"/>
          </w:tcPr>
          <w:p w14:paraId="11F581BB" w14:textId="77777777" w:rsidR="00C3197C" w:rsidRDefault="00000000">
            <w:pPr>
              <w:pStyle w:val="Compact"/>
              <w:spacing w:before="0" w:after="0" w:line="480" w:lineRule="auto"/>
              <w:jc w:val="center"/>
              <w:rPr>
                <w:rFonts w:ascii="Arial" w:hAnsi="Arial" w:cs="Arial"/>
                <w:b/>
                <w:bCs/>
              </w:rPr>
            </w:pPr>
            <w:r>
              <w:rPr>
                <w:rFonts w:ascii="Arial" w:hAnsi="Arial" w:cs="Arial"/>
                <w:b/>
                <w:bCs/>
              </w:rPr>
              <w:t>2021</w:t>
            </w:r>
          </w:p>
        </w:tc>
      </w:tr>
      <w:tr w:rsidR="00C3197C" w14:paraId="0AEEB81D" w14:textId="77777777" w:rsidTr="00C3197C">
        <w:trPr>
          <w:trHeight w:val="340"/>
        </w:trPr>
        <w:tc>
          <w:tcPr>
            <w:tcW w:w="2037" w:type="dxa"/>
            <w:vAlign w:val="center"/>
          </w:tcPr>
          <w:p w14:paraId="1C716D6D" w14:textId="77777777" w:rsidR="00C3197C" w:rsidRDefault="00000000">
            <w:pPr>
              <w:pStyle w:val="Compact"/>
              <w:spacing w:before="0" w:after="0" w:line="480" w:lineRule="auto"/>
              <w:jc w:val="both"/>
              <w:rPr>
                <w:rFonts w:ascii="Arial" w:hAnsi="Arial" w:cs="Arial"/>
              </w:rPr>
            </w:pPr>
            <w:r>
              <w:rPr>
                <w:rFonts w:ascii="Arial" w:hAnsi="Arial" w:cs="Arial"/>
              </w:rPr>
              <w:t>Return on Capital Employed (ROCE)</w:t>
            </w:r>
          </w:p>
        </w:tc>
        <w:tc>
          <w:tcPr>
            <w:tcW w:w="3458" w:type="dxa"/>
            <w:vAlign w:val="center"/>
          </w:tcPr>
          <w:p w14:paraId="467FB794" w14:textId="77777777" w:rsidR="00C3197C" w:rsidRDefault="00000000">
            <w:pPr>
              <w:pStyle w:val="Compact"/>
              <w:spacing w:before="0" w:after="0" w:line="480" w:lineRule="auto"/>
              <w:jc w:val="both"/>
              <w:rPr>
                <w:rFonts w:ascii="Arial" w:hAnsi="Arial" w:cs="Arial"/>
              </w:rPr>
            </w:pPr>
            <w:r>
              <w:rPr>
                <w:rFonts w:ascii="Arial" w:hAnsi="Arial" w:cs="Arial"/>
              </w:rPr>
              <w:t xml:space="preserve">= Operating Profit / (Total Assets - Current Liabilities) * 100%. </w:t>
            </w:r>
          </w:p>
        </w:tc>
        <w:tc>
          <w:tcPr>
            <w:tcW w:w="1564" w:type="dxa"/>
            <w:vAlign w:val="center"/>
          </w:tcPr>
          <w:p w14:paraId="2CB27F76" w14:textId="77777777" w:rsidR="00C3197C" w:rsidRDefault="00000000">
            <w:pPr>
              <w:pStyle w:val="Compact"/>
              <w:spacing w:before="0" w:after="0" w:line="480" w:lineRule="auto"/>
              <w:jc w:val="right"/>
              <w:rPr>
                <w:rFonts w:ascii="Arial" w:hAnsi="Arial" w:cs="Arial"/>
              </w:rPr>
            </w:pPr>
            <w:r>
              <w:rPr>
                <w:rFonts w:ascii="Arial" w:hAnsi="Arial" w:cs="Arial"/>
              </w:rPr>
              <w:t>18.85%</w:t>
            </w:r>
          </w:p>
        </w:tc>
        <w:tc>
          <w:tcPr>
            <w:tcW w:w="1564" w:type="dxa"/>
            <w:vAlign w:val="center"/>
          </w:tcPr>
          <w:p w14:paraId="56D08B69" w14:textId="77777777" w:rsidR="00C3197C" w:rsidRDefault="00000000">
            <w:pPr>
              <w:pStyle w:val="Compact"/>
              <w:spacing w:before="0" w:after="0" w:line="480" w:lineRule="auto"/>
              <w:jc w:val="right"/>
              <w:rPr>
                <w:rFonts w:ascii="Arial" w:hAnsi="Arial" w:cs="Arial"/>
              </w:rPr>
            </w:pPr>
            <w:r>
              <w:rPr>
                <w:rFonts w:ascii="Arial" w:hAnsi="Arial" w:cs="Arial"/>
              </w:rPr>
              <w:t>20.53%</w:t>
            </w:r>
          </w:p>
        </w:tc>
        <w:tc>
          <w:tcPr>
            <w:tcW w:w="1565" w:type="dxa"/>
            <w:vAlign w:val="center"/>
          </w:tcPr>
          <w:p w14:paraId="1981282B" w14:textId="77777777" w:rsidR="00C3197C" w:rsidRDefault="00000000">
            <w:pPr>
              <w:pStyle w:val="Compact"/>
              <w:spacing w:before="0" w:after="0" w:line="480" w:lineRule="auto"/>
              <w:jc w:val="right"/>
              <w:rPr>
                <w:rFonts w:ascii="Arial" w:hAnsi="Arial" w:cs="Arial"/>
              </w:rPr>
            </w:pPr>
            <w:r>
              <w:rPr>
                <w:rFonts w:ascii="Arial" w:hAnsi="Arial" w:cs="Arial"/>
              </w:rPr>
              <w:t>17.29%</w:t>
            </w:r>
          </w:p>
        </w:tc>
      </w:tr>
      <w:tr w:rsidR="00C3197C" w14:paraId="6F1E92D3" w14:textId="77777777" w:rsidTr="00C3197C">
        <w:trPr>
          <w:trHeight w:val="340"/>
        </w:trPr>
        <w:tc>
          <w:tcPr>
            <w:tcW w:w="2037" w:type="dxa"/>
            <w:vAlign w:val="center"/>
          </w:tcPr>
          <w:p w14:paraId="0319F6BF" w14:textId="77777777" w:rsidR="00C3197C" w:rsidRDefault="00000000">
            <w:pPr>
              <w:pStyle w:val="Compact"/>
              <w:spacing w:before="0" w:after="0" w:line="480" w:lineRule="auto"/>
              <w:jc w:val="both"/>
              <w:rPr>
                <w:rFonts w:ascii="Arial" w:hAnsi="Arial" w:cs="Arial"/>
              </w:rPr>
            </w:pPr>
            <w:r>
              <w:rPr>
                <w:rFonts w:ascii="Arial" w:hAnsi="Arial" w:cs="Arial"/>
              </w:rPr>
              <w:t>% Net Profit</w:t>
            </w:r>
          </w:p>
        </w:tc>
        <w:tc>
          <w:tcPr>
            <w:tcW w:w="3458" w:type="dxa"/>
            <w:vAlign w:val="center"/>
          </w:tcPr>
          <w:p w14:paraId="161BB86F" w14:textId="77777777" w:rsidR="00C3197C" w:rsidRDefault="00000000">
            <w:pPr>
              <w:pStyle w:val="Compact"/>
              <w:spacing w:before="0" w:after="0" w:line="480" w:lineRule="auto"/>
              <w:jc w:val="both"/>
              <w:rPr>
                <w:rFonts w:ascii="Arial" w:hAnsi="Arial" w:cs="Arial"/>
              </w:rPr>
            </w:pPr>
            <w:r>
              <w:rPr>
                <w:rFonts w:ascii="Arial" w:hAnsi="Arial" w:cs="Arial"/>
              </w:rPr>
              <w:t xml:space="preserve">= Net Profit / Turnover * 100%. </w:t>
            </w:r>
          </w:p>
        </w:tc>
        <w:tc>
          <w:tcPr>
            <w:tcW w:w="1564" w:type="dxa"/>
            <w:vAlign w:val="center"/>
          </w:tcPr>
          <w:p w14:paraId="407F32E6" w14:textId="77777777" w:rsidR="00C3197C" w:rsidRDefault="00000000">
            <w:pPr>
              <w:pStyle w:val="Compact"/>
              <w:spacing w:before="0" w:after="0" w:line="480" w:lineRule="auto"/>
              <w:jc w:val="right"/>
              <w:rPr>
                <w:rFonts w:ascii="Arial" w:hAnsi="Arial" w:cs="Arial"/>
              </w:rPr>
            </w:pPr>
            <w:r>
              <w:rPr>
                <w:rFonts w:ascii="Arial" w:hAnsi="Arial" w:cs="Arial"/>
              </w:rPr>
              <w:t>11.98%</w:t>
            </w:r>
          </w:p>
        </w:tc>
        <w:tc>
          <w:tcPr>
            <w:tcW w:w="1564" w:type="dxa"/>
            <w:vAlign w:val="center"/>
          </w:tcPr>
          <w:p w14:paraId="6AD0715A" w14:textId="77777777" w:rsidR="00C3197C" w:rsidRDefault="00000000">
            <w:pPr>
              <w:pStyle w:val="Compact"/>
              <w:spacing w:before="0" w:after="0" w:line="480" w:lineRule="auto"/>
              <w:jc w:val="right"/>
              <w:rPr>
                <w:rFonts w:ascii="Arial" w:hAnsi="Arial" w:cs="Arial"/>
              </w:rPr>
            </w:pPr>
            <w:r>
              <w:rPr>
                <w:rFonts w:ascii="Arial" w:hAnsi="Arial" w:cs="Arial"/>
              </w:rPr>
              <w:t>13.76%</w:t>
            </w:r>
          </w:p>
        </w:tc>
        <w:tc>
          <w:tcPr>
            <w:tcW w:w="1565" w:type="dxa"/>
            <w:vAlign w:val="center"/>
          </w:tcPr>
          <w:p w14:paraId="599974B1" w14:textId="77777777" w:rsidR="00C3197C" w:rsidRDefault="00000000">
            <w:pPr>
              <w:pStyle w:val="Compact"/>
              <w:spacing w:before="0" w:after="0" w:line="480" w:lineRule="auto"/>
              <w:jc w:val="right"/>
              <w:rPr>
                <w:rFonts w:ascii="Arial" w:hAnsi="Arial" w:cs="Arial"/>
              </w:rPr>
            </w:pPr>
            <w:r>
              <w:rPr>
                <w:rFonts w:ascii="Arial" w:hAnsi="Arial" w:cs="Arial"/>
              </w:rPr>
              <w:t>12.62%</w:t>
            </w:r>
          </w:p>
        </w:tc>
      </w:tr>
      <w:tr w:rsidR="00C3197C" w14:paraId="2F74F935" w14:textId="77777777" w:rsidTr="00C3197C">
        <w:trPr>
          <w:trHeight w:val="340"/>
        </w:trPr>
        <w:tc>
          <w:tcPr>
            <w:tcW w:w="2037" w:type="dxa"/>
            <w:vAlign w:val="center"/>
          </w:tcPr>
          <w:p w14:paraId="02F39168" w14:textId="77777777" w:rsidR="00C3197C" w:rsidRDefault="00000000">
            <w:pPr>
              <w:pStyle w:val="Compact"/>
              <w:spacing w:before="0" w:after="0" w:line="480" w:lineRule="auto"/>
              <w:jc w:val="both"/>
              <w:rPr>
                <w:rFonts w:ascii="Arial" w:hAnsi="Arial" w:cs="Arial"/>
              </w:rPr>
            </w:pPr>
            <w:r>
              <w:rPr>
                <w:rFonts w:ascii="Arial" w:hAnsi="Arial" w:cs="Arial"/>
              </w:rPr>
              <w:t>% Operating Profit</w:t>
            </w:r>
          </w:p>
        </w:tc>
        <w:tc>
          <w:tcPr>
            <w:tcW w:w="3458" w:type="dxa"/>
            <w:vAlign w:val="center"/>
          </w:tcPr>
          <w:p w14:paraId="551DF3DC" w14:textId="77777777" w:rsidR="00C3197C" w:rsidRDefault="00000000">
            <w:pPr>
              <w:pStyle w:val="Compact"/>
              <w:spacing w:before="0" w:after="0" w:line="480" w:lineRule="auto"/>
              <w:jc w:val="both"/>
              <w:rPr>
                <w:rFonts w:ascii="Arial" w:hAnsi="Arial" w:cs="Arial"/>
              </w:rPr>
            </w:pPr>
            <w:r>
              <w:rPr>
                <w:rFonts w:ascii="Arial" w:hAnsi="Arial" w:cs="Arial"/>
              </w:rPr>
              <w:t xml:space="preserve">= Operating Profit / Turnover * 100%. </w:t>
            </w:r>
          </w:p>
        </w:tc>
        <w:tc>
          <w:tcPr>
            <w:tcW w:w="1564" w:type="dxa"/>
            <w:vAlign w:val="center"/>
          </w:tcPr>
          <w:p w14:paraId="792117C9" w14:textId="77777777" w:rsidR="00C3197C" w:rsidRDefault="00000000">
            <w:pPr>
              <w:pStyle w:val="Compact"/>
              <w:spacing w:before="0" w:after="0" w:line="480" w:lineRule="auto"/>
              <w:jc w:val="right"/>
              <w:rPr>
                <w:rFonts w:ascii="Arial" w:hAnsi="Arial" w:cs="Arial"/>
              </w:rPr>
            </w:pPr>
            <w:r>
              <w:rPr>
                <w:rFonts w:ascii="Arial" w:hAnsi="Arial" w:cs="Arial"/>
              </w:rPr>
              <w:t>16.37%</w:t>
            </w:r>
          </w:p>
        </w:tc>
        <w:tc>
          <w:tcPr>
            <w:tcW w:w="1564" w:type="dxa"/>
            <w:vAlign w:val="center"/>
          </w:tcPr>
          <w:p w14:paraId="059A7B33" w14:textId="77777777" w:rsidR="00C3197C" w:rsidRDefault="00000000">
            <w:pPr>
              <w:pStyle w:val="Compact"/>
              <w:spacing w:before="0" w:after="0" w:line="480" w:lineRule="auto"/>
              <w:jc w:val="right"/>
              <w:rPr>
                <w:rFonts w:ascii="Arial" w:hAnsi="Arial" w:cs="Arial"/>
              </w:rPr>
            </w:pPr>
            <w:r>
              <w:rPr>
                <w:rFonts w:ascii="Arial" w:hAnsi="Arial" w:cs="Arial"/>
              </w:rPr>
              <w:t>17.90%</w:t>
            </w:r>
          </w:p>
        </w:tc>
        <w:tc>
          <w:tcPr>
            <w:tcW w:w="1565" w:type="dxa"/>
            <w:vAlign w:val="center"/>
          </w:tcPr>
          <w:p w14:paraId="12750CB3" w14:textId="77777777" w:rsidR="00C3197C" w:rsidRDefault="00000000">
            <w:pPr>
              <w:pStyle w:val="Compact"/>
              <w:spacing w:before="0" w:after="0" w:line="480" w:lineRule="auto"/>
              <w:jc w:val="right"/>
              <w:rPr>
                <w:rFonts w:ascii="Arial" w:hAnsi="Arial" w:cs="Arial"/>
              </w:rPr>
            </w:pPr>
            <w:r>
              <w:rPr>
                <w:rFonts w:ascii="Arial" w:hAnsi="Arial" w:cs="Arial"/>
              </w:rPr>
              <w:t>16.59%</w:t>
            </w:r>
          </w:p>
        </w:tc>
      </w:tr>
      <w:tr w:rsidR="00C3197C" w14:paraId="5B20CF88" w14:textId="77777777" w:rsidTr="00C3197C">
        <w:trPr>
          <w:trHeight w:val="340"/>
        </w:trPr>
        <w:tc>
          <w:tcPr>
            <w:tcW w:w="2037" w:type="dxa"/>
            <w:vAlign w:val="center"/>
          </w:tcPr>
          <w:p w14:paraId="3589395A" w14:textId="77777777" w:rsidR="00C3197C" w:rsidRDefault="00000000">
            <w:pPr>
              <w:pStyle w:val="Compact"/>
              <w:spacing w:before="0" w:after="0" w:line="480" w:lineRule="auto"/>
              <w:jc w:val="both"/>
              <w:rPr>
                <w:rFonts w:ascii="Arial" w:hAnsi="Arial" w:cs="Arial"/>
              </w:rPr>
            </w:pPr>
            <w:r>
              <w:rPr>
                <w:rFonts w:ascii="Arial" w:hAnsi="Arial" w:cs="Arial"/>
              </w:rPr>
              <w:t>% Gross Profit</w:t>
            </w:r>
          </w:p>
        </w:tc>
        <w:tc>
          <w:tcPr>
            <w:tcW w:w="3458" w:type="dxa"/>
            <w:vAlign w:val="center"/>
          </w:tcPr>
          <w:p w14:paraId="6C69F607" w14:textId="77777777" w:rsidR="00C3197C" w:rsidRDefault="00000000">
            <w:pPr>
              <w:pStyle w:val="Compact"/>
              <w:spacing w:before="0" w:after="0" w:line="480" w:lineRule="auto"/>
              <w:jc w:val="both"/>
              <w:rPr>
                <w:rFonts w:ascii="Arial" w:hAnsi="Arial" w:cs="Arial"/>
              </w:rPr>
            </w:pPr>
            <w:r>
              <w:rPr>
                <w:rFonts w:ascii="Arial" w:hAnsi="Arial" w:cs="Arial"/>
              </w:rPr>
              <w:t xml:space="preserve">= Gross Profit / Turnover * 100%. </w:t>
            </w:r>
          </w:p>
        </w:tc>
        <w:tc>
          <w:tcPr>
            <w:tcW w:w="1564" w:type="dxa"/>
            <w:vAlign w:val="center"/>
          </w:tcPr>
          <w:p w14:paraId="38105D8F" w14:textId="77777777" w:rsidR="00C3197C" w:rsidRDefault="00000000">
            <w:pPr>
              <w:pStyle w:val="Compact"/>
              <w:spacing w:before="0" w:after="0" w:line="480" w:lineRule="auto"/>
              <w:jc w:val="right"/>
              <w:rPr>
                <w:rFonts w:ascii="Arial" w:hAnsi="Arial" w:cs="Arial"/>
              </w:rPr>
            </w:pPr>
            <w:r>
              <w:rPr>
                <w:rFonts w:ascii="Arial" w:hAnsi="Arial" w:cs="Arial"/>
              </w:rPr>
              <w:t>16.37%</w:t>
            </w:r>
          </w:p>
        </w:tc>
        <w:tc>
          <w:tcPr>
            <w:tcW w:w="1564" w:type="dxa"/>
            <w:vAlign w:val="center"/>
          </w:tcPr>
          <w:p w14:paraId="66E209E5" w14:textId="77777777" w:rsidR="00C3197C" w:rsidRDefault="00000000">
            <w:pPr>
              <w:pStyle w:val="Compact"/>
              <w:spacing w:before="0" w:after="0" w:line="480" w:lineRule="auto"/>
              <w:jc w:val="right"/>
              <w:rPr>
                <w:rFonts w:ascii="Arial" w:hAnsi="Arial" w:cs="Arial"/>
              </w:rPr>
            </w:pPr>
            <w:r>
              <w:rPr>
                <w:rFonts w:ascii="Arial" w:hAnsi="Arial" w:cs="Arial"/>
              </w:rPr>
              <w:t>17.90%</w:t>
            </w:r>
          </w:p>
        </w:tc>
        <w:tc>
          <w:tcPr>
            <w:tcW w:w="1565" w:type="dxa"/>
            <w:vAlign w:val="center"/>
          </w:tcPr>
          <w:p w14:paraId="08A272F5" w14:textId="77777777" w:rsidR="00C3197C" w:rsidRDefault="00000000">
            <w:pPr>
              <w:pStyle w:val="Compact"/>
              <w:spacing w:before="0" w:after="0" w:line="480" w:lineRule="auto"/>
              <w:jc w:val="right"/>
              <w:rPr>
                <w:rFonts w:ascii="Arial" w:hAnsi="Arial" w:cs="Arial"/>
              </w:rPr>
            </w:pPr>
            <w:r>
              <w:rPr>
                <w:rFonts w:ascii="Arial" w:hAnsi="Arial" w:cs="Arial"/>
              </w:rPr>
              <w:t>16.59%</w:t>
            </w:r>
          </w:p>
        </w:tc>
      </w:tr>
      <w:tr w:rsidR="00C3197C" w14:paraId="6B392E10" w14:textId="77777777" w:rsidTr="00C3197C">
        <w:trPr>
          <w:trHeight w:val="340"/>
        </w:trPr>
        <w:tc>
          <w:tcPr>
            <w:tcW w:w="2037" w:type="dxa"/>
            <w:vAlign w:val="center"/>
          </w:tcPr>
          <w:p w14:paraId="14C68CE5" w14:textId="77777777" w:rsidR="00C3197C" w:rsidRDefault="00000000">
            <w:pPr>
              <w:pStyle w:val="Compact"/>
              <w:spacing w:before="0" w:after="0" w:line="480" w:lineRule="auto"/>
              <w:jc w:val="both"/>
              <w:rPr>
                <w:rFonts w:ascii="Arial" w:hAnsi="Arial" w:cs="Arial"/>
              </w:rPr>
            </w:pPr>
            <w:r>
              <w:rPr>
                <w:rFonts w:ascii="Arial" w:hAnsi="Arial" w:cs="Arial"/>
              </w:rPr>
              <w:t xml:space="preserve">% Asset </w:t>
            </w:r>
            <w:r>
              <w:rPr>
                <w:rFonts w:ascii="Arial" w:hAnsi="Arial" w:cs="Arial"/>
              </w:rPr>
              <w:lastRenderedPageBreak/>
              <w:t>Turnover</w:t>
            </w:r>
          </w:p>
        </w:tc>
        <w:tc>
          <w:tcPr>
            <w:tcW w:w="3458" w:type="dxa"/>
            <w:vAlign w:val="center"/>
          </w:tcPr>
          <w:p w14:paraId="2017E3AB" w14:textId="77777777" w:rsidR="00C3197C" w:rsidRDefault="00000000">
            <w:pPr>
              <w:pStyle w:val="Compact"/>
              <w:spacing w:before="0" w:after="0" w:line="480" w:lineRule="auto"/>
              <w:jc w:val="both"/>
              <w:rPr>
                <w:rFonts w:ascii="Arial" w:hAnsi="Arial" w:cs="Arial"/>
              </w:rPr>
            </w:pPr>
            <w:r>
              <w:rPr>
                <w:rFonts w:ascii="Arial" w:hAnsi="Arial" w:cs="Arial"/>
              </w:rPr>
              <w:lastRenderedPageBreak/>
              <w:t xml:space="preserve">= Operating Profit / (Total </w:t>
            </w:r>
            <w:r>
              <w:rPr>
                <w:rFonts w:ascii="Arial" w:hAnsi="Arial" w:cs="Arial"/>
              </w:rPr>
              <w:lastRenderedPageBreak/>
              <w:t xml:space="preserve">Assets - Current Liabilities) * 100%. </w:t>
            </w:r>
          </w:p>
        </w:tc>
        <w:tc>
          <w:tcPr>
            <w:tcW w:w="1564" w:type="dxa"/>
            <w:vAlign w:val="center"/>
          </w:tcPr>
          <w:p w14:paraId="4F85CC9F" w14:textId="77777777" w:rsidR="00C3197C" w:rsidRDefault="00000000">
            <w:pPr>
              <w:pStyle w:val="Compact"/>
              <w:spacing w:before="0" w:after="0" w:line="480" w:lineRule="auto"/>
              <w:jc w:val="right"/>
              <w:rPr>
                <w:rFonts w:ascii="Arial" w:hAnsi="Arial" w:cs="Arial"/>
              </w:rPr>
            </w:pPr>
            <w:r>
              <w:rPr>
                <w:rFonts w:ascii="Arial" w:hAnsi="Arial" w:cs="Arial"/>
              </w:rPr>
              <w:lastRenderedPageBreak/>
              <w:t>18.85%</w:t>
            </w:r>
          </w:p>
        </w:tc>
        <w:tc>
          <w:tcPr>
            <w:tcW w:w="1564" w:type="dxa"/>
            <w:vAlign w:val="center"/>
          </w:tcPr>
          <w:p w14:paraId="5B07BDC3" w14:textId="77777777" w:rsidR="00C3197C" w:rsidRDefault="00000000">
            <w:pPr>
              <w:pStyle w:val="Compact"/>
              <w:spacing w:before="0" w:after="0" w:line="480" w:lineRule="auto"/>
              <w:jc w:val="right"/>
              <w:rPr>
                <w:rFonts w:ascii="Arial" w:hAnsi="Arial" w:cs="Arial"/>
              </w:rPr>
            </w:pPr>
            <w:r>
              <w:rPr>
                <w:rFonts w:ascii="Arial" w:hAnsi="Arial" w:cs="Arial"/>
              </w:rPr>
              <w:t>20.53%</w:t>
            </w:r>
          </w:p>
        </w:tc>
        <w:tc>
          <w:tcPr>
            <w:tcW w:w="1565" w:type="dxa"/>
            <w:vAlign w:val="center"/>
          </w:tcPr>
          <w:p w14:paraId="5307BF0D" w14:textId="77777777" w:rsidR="00C3197C" w:rsidRDefault="00000000">
            <w:pPr>
              <w:pStyle w:val="Compact"/>
              <w:spacing w:before="0" w:after="0" w:line="480" w:lineRule="auto"/>
              <w:jc w:val="right"/>
              <w:rPr>
                <w:rFonts w:ascii="Arial" w:hAnsi="Arial" w:cs="Arial"/>
              </w:rPr>
            </w:pPr>
            <w:r>
              <w:rPr>
                <w:rFonts w:ascii="Arial" w:hAnsi="Arial" w:cs="Arial"/>
              </w:rPr>
              <w:t>17.29%</w:t>
            </w:r>
          </w:p>
        </w:tc>
      </w:tr>
      <w:tr w:rsidR="00C3197C" w14:paraId="5D0D2CBD" w14:textId="77777777" w:rsidTr="00C3197C">
        <w:trPr>
          <w:trHeight w:val="340"/>
        </w:trPr>
        <w:tc>
          <w:tcPr>
            <w:tcW w:w="2037" w:type="dxa"/>
            <w:vAlign w:val="center"/>
          </w:tcPr>
          <w:p w14:paraId="0BA8FB93" w14:textId="77777777" w:rsidR="00C3197C" w:rsidRDefault="00000000">
            <w:pPr>
              <w:pStyle w:val="Compact"/>
              <w:spacing w:before="0" w:after="0" w:line="480" w:lineRule="auto"/>
              <w:jc w:val="both"/>
              <w:rPr>
                <w:rFonts w:ascii="Arial" w:hAnsi="Arial" w:cs="Arial"/>
              </w:rPr>
            </w:pPr>
            <w:r>
              <w:rPr>
                <w:rFonts w:ascii="Arial" w:hAnsi="Arial" w:cs="Arial"/>
              </w:rPr>
              <w:t>% Return on owners’ equity</w:t>
            </w:r>
          </w:p>
        </w:tc>
        <w:tc>
          <w:tcPr>
            <w:tcW w:w="3458" w:type="dxa"/>
            <w:vAlign w:val="center"/>
          </w:tcPr>
          <w:p w14:paraId="6CC7EF45" w14:textId="77777777" w:rsidR="00C3197C" w:rsidRDefault="00000000">
            <w:pPr>
              <w:pStyle w:val="Compact"/>
              <w:spacing w:before="0" w:after="0" w:line="480" w:lineRule="auto"/>
              <w:jc w:val="both"/>
              <w:rPr>
                <w:rFonts w:ascii="Arial" w:hAnsi="Arial" w:cs="Arial"/>
              </w:rPr>
            </w:pPr>
            <w:r>
              <w:rPr>
                <w:rFonts w:ascii="Arial" w:hAnsi="Arial" w:cs="Arial"/>
              </w:rPr>
              <w:t xml:space="preserve">= Net Profit / Shareholders’ Equity * 100%. </w:t>
            </w:r>
          </w:p>
        </w:tc>
        <w:tc>
          <w:tcPr>
            <w:tcW w:w="1564" w:type="dxa"/>
            <w:vAlign w:val="center"/>
          </w:tcPr>
          <w:p w14:paraId="4D332519" w14:textId="77777777" w:rsidR="00C3197C" w:rsidRDefault="00000000">
            <w:pPr>
              <w:pStyle w:val="Compact"/>
              <w:spacing w:before="0" w:after="0" w:line="480" w:lineRule="auto"/>
              <w:jc w:val="right"/>
              <w:rPr>
                <w:rFonts w:ascii="Arial" w:hAnsi="Arial" w:cs="Arial"/>
              </w:rPr>
            </w:pPr>
            <w:r>
              <w:rPr>
                <w:rFonts w:ascii="Arial" w:hAnsi="Arial" w:cs="Arial"/>
              </w:rPr>
              <w:t>39.44%</w:t>
            </w:r>
          </w:p>
        </w:tc>
        <w:tc>
          <w:tcPr>
            <w:tcW w:w="1564" w:type="dxa"/>
            <w:vAlign w:val="center"/>
          </w:tcPr>
          <w:p w14:paraId="3E2313D0" w14:textId="77777777" w:rsidR="00C3197C" w:rsidRDefault="00000000">
            <w:pPr>
              <w:pStyle w:val="Compact"/>
              <w:spacing w:before="0" w:after="0" w:line="480" w:lineRule="auto"/>
              <w:jc w:val="right"/>
              <w:rPr>
                <w:rFonts w:ascii="Arial" w:hAnsi="Arial" w:cs="Arial"/>
              </w:rPr>
            </w:pPr>
            <w:r>
              <w:rPr>
                <w:rFonts w:ascii="Arial" w:hAnsi="Arial" w:cs="Arial"/>
              </w:rPr>
              <w:t>43.47%</w:t>
            </w:r>
          </w:p>
        </w:tc>
        <w:tc>
          <w:tcPr>
            <w:tcW w:w="1565" w:type="dxa"/>
            <w:vAlign w:val="center"/>
          </w:tcPr>
          <w:p w14:paraId="62BBE355" w14:textId="77777777" w:rsidR="00C3197C" w:rsidRDefault="00000000">
            <w:pPr>
              <w:pStyle w:val="Compact"/>
              <w:spacing w:before="0" w:after="0" w:line="480" w:lineRule="auto"/>
              <w:jc w:val="right"/>
              <w:rPr>
                <w:rFonts w:ascii="Arial" w:hAnsi="Arial" w:cs="Arial"/>
              </w:rPr>
            </w:pPr>
            <w:r>
              <w:rPr>
                <w:rFonts w:ascii="Arial" w:hAnsi="Arial" w:cs="Arial"/>
              </w:rPr>
              <w:t>38.70%</w:t>
            </w:r>
          </w:p>
        </w:tc>
      </w:tr>
      <w:tr w:rsidR="00C3197C" w14:paraId="29659F29" w14:textId="77777777" w:rsidTr="00C3197C">
        <w:trPr>
          <w:trHeight w:val="340"/>
        </w:trPr>
        <w:tc>
          <w:tcPr>
            <w:tcW w:w="2037" w:type="dxa"/>
            <w:vAlign w:val="center"/>
          </w:tcPr>
          <w:p w14:paraId="5D7A27F9" w14:textId="77777777" w:rsidR="00C3197C" w:rsidRDefault="00000000">
            <w:pPr>
              <w:pStyle w:val="Compact"/>
              <w:spacing w:before="0" w:after="0" w:line="480" w:lineRule="auto"/>
              <w:jc w:val="both"/>
              <w:rPr>
                <w:rFonts w:ascii="Arial" w:hAnsi="Arial" w:cs="Arial"/>
              </w:rPr>
            </w:pPr>
            <w:r>
              <w:rPr>
                <w:rFonts w:ascii="Arial" w:hAnsi="Arial" w:cs="Arial"/>
              </w:rPr>
              <w:t>Current Ratio</w:t>
            </w:r>
          </w:p>
        </w:tc>
        <w:tc>
          <w:tcPr>
            <w:tcW w:w="3458" w:type="dxa"/>
            <w:vAlign w:val="center"/>
          </w:tcPr>
          <w:p w14:paraId="325C6914" w14:textId="77777777" w:rsidR="00C3197C" w:rsidRDefault="00000000">
            <w:pPr>
              <w:pStyle w:val="Compact"/>
              <w:spacing w:before="0" w:after="0" w:line="480" w:lineRule="auto"/>
              <w:jc w:val="both"/>
              <w:rPr>
                <w:rFonts w:ascii="Arial" w:hAnsi="Arial" w:cs="Arial"/>
              </w:rPr>
            </w:pPr>
            <w:r>
              <w:rPr>
                <w:rFonts w:ascii="Arial" w:hAnsi="Arial" w:cs="Arial"/>
              </w:rPr>
              <w:t xml:space="preserve">= Current Assets / Current Liabilities. </w:t>
            </w:r>
          </w:p>
        </w:tc>
        <w:tc>
          <w:tcPr>
            <w:tcW w:w="1564" w:type="dxa"/>
            <w:vAlign w:val="center"/>
          </w:tcPr>
          <w:p w14:paraId="1E37F424" w14:textId="77777777" w:rsidR="00C3197C" w:rsidRDefault="00000000">
            <w:pPr>
              <w:pStyle w:val="Compact"/>
              <w:spacing w:before="0" w:after="0" w:line="480" w:lineRule="auto"/>
              <w:jc w:val="right"/>
              <w:rPr>
                <w:rFonts w:ascii="Arial" w:hAnsi="Arial" w:cs="Arial"/>
              </w:rPr>
            </w:pPr>
            <w:r>
              <w:rPr>
                <w:rFonts w:ascii="Arial" w:hAnsi="Arial" w:cs="Arial"/>
              </w:rPr>
              <w:t>0.76</w:t>
            </w:r>
          </w:p>
        </w:tc>
        <w:tc>
          <w:tcPr>
            <w:tcW w:w="1564" w:type="dxa"/>
            <w:vAlign w:val="center"/>
          </w:tcPr>
          <w:p w14:paraId="639DD4AE" w14:textId="77777777" w:rsidR="00C3197C" w:rsidRDefault="00000000">
            <w:pPr>
              <w:pStyle w:val="Compact"/>
              <w:spacing w:before="0" w:after="0" w:line="480" w:lineRule="auto"/>
              <w:jc w:val="right"/>
              <w:rPr>
                <w:rFonts w:ascii="Arial" w:hAnsi="Arial" w:cs="Arial"/>
              </w:rPr>
            </w:pPr>
            <w:r>
              <w:rPr>
                <w:rFonts w:ascii="Arial" w:hAnsi="Arial" w:cs="Arial"/>
              </w:rPr>
              <w:t>0.75</w:t>
            </w:r>
          </w:p>
        </w:tc>
        <w:tc>
          <w:tcPr>
            <w:tcW w:w="1565" w:type="dxa"/>
            <w:vAlign w:val="center"/>
          </w:tcPr>
          <w:p w14:paraId="38F4FB9E" w14:textId="77777777" w:rsidR="00C3197C" w:rsidRDefault="00000000">
            <w:pPr>
              <w:pStyle w:val="Compact"/>
              <w:spacing w:before="0" w:after="0" w:line="480" w:lineRule="auto"/>
              <w:jc w:val="right"/>
              <w:rPr>
                <w:rFonts w:ascii="Arial" w:hAnsi="Arial" w:cs="Arial"/>
              </w:rPr>
            </w:pPr>
            <w:r>
              <w:rPr>
                <w:rFonts w:ascii="Arial" w:hAnsi="Arial" w:cs="Arial"/>
              </w:rPr>
              <w:t>0.70</w:t>
            </w:r>
          </w:p>
        </w:tc>
      </w:tr>
      <w:tr w:rsidR="00C3197C" w14:paraId="0F8D34C8" w14:textId="77777777" w:rsidTr="00C3197C">
        <w:trPr>
          <w:trHeight w:val="340"/>
        </w:trPr>
        <w:tc>
          <w:tcPr>
            <w:tcW w:w="2037" w:type="dxa"/>
            <w:vAlign w:val="center"/>
          </w:tcPr>
          <w:p w14:paraId="3A97BBAA" w14:textId="77777777" w:rsidR="00C3197C" w:rsidRDefault="00000000">
            <w:pPr>
              <w:pStyle w:val="Compact"/>
              <w:spacing w:before="0" w:after="0" w:line="480" w:lineRule="auto"/>
              <w:jc w:val="both"/>
              <w:rPr>
                <w:rFonts w:ascii="Arial" w:hAnsi="Arial" w:cs="Arial"/>
              </w:rPr>
            </w:pPr>
            <w:r>
              <w:rPr>
                <w:rFonts w:ascii="Arial" w:hAnsi="Arial" w:cs="Arial"/>
              </w:rPr>
              <w:t>Quick Ratio</w:t>
            </w:r>
          </w:p>
        </w:tc>
        <w:tc>
          <w:tcPr>
            <w:tcW w:w="3458" w:type="dxa"/>
            <w:vAlign w:val="center"/>
          </w:tcPr>
          <w:p w14:paraId="6A074571" w14:textId="77777777" w:rsidR="00C3197C" w:rsidRDefault="00000000">
            <w:pPr>
              <w:pStyle w:val="Compact"/>
              <w:spacing w:before="0" w:after="0" w:line="480" w:lineRule="auto"/>
              <w:jc w:val="both"/>
              <w:rPr>
                <w:rFonts w:ascii="Arial" w:hAnsi="Arial" w:cs="Arial"/>
              </w:rPr>
            </w:pPr>
            <w:r>
              <w:rPr>
                <w:rFonts w:ascii="Arial" w:hAnsi="Arial" w:cs="Arial"/>
              </w:rPr>
              <w:t xml:space="preserve">= (Current Assets - Inventory)/Current Liabilities. </w:t>
            </w:r>
          </w:p>
        </w:tc>
        <w:tc>
          <w:tcPr>
            <w:tcW w:w="1564" w:type="dxa"/>
            <w:vAlign w:val="center"/>
          </w:tcPr>
          <w:p w14:paraId="33FFF457" w14:textId="77777777" w:rsidR="00C3197C" w:rsidRDefault="00000000">
            <w:pPr>
              <w:pStyle w:val="Compact"/>
              <w:spacing w:before="0" w:after="0" w:line="480" w:lineRule="auto"/>
              <w:jc w:val="right"/>
              <w:rPr>
                <w:rFonts w:ascii="Arial" w:hAnsi="Arial" w:cs="Arial"/>
              </w:rPr>
            </w:pPr>
            <w:r>
              <w:rPr>
                <w:rFonts w:ascii="Arial" w:hAnsi="Arial" w:cs="Arial"/>
              </w:rPr>
              <w:t>- 2.44</w:t>
            </w:r>
          </w:p>
        </w:tc>
        <w:tc>
          <w:tcPr>
            <w:tcW w:w="1564" w:type="dxa"/>
            <w:vAlign w:val="center"/>
          </w:tcPr>
          <w:p w14:paraId="7D4D83D8" w14:textId="77777777" w:rsidR="00C3197C" w:rsidRDefault="00000000">
            <w:pPr>
              <w:pStyle w:val="Compact"/>
              <w:spacing w:before="0" w:after="0" w:line="480" w:lineRule="auto"/>
              <w:jc w:val="right"/>
              <w:rPr>
                <w:rFonts w:ascii="Arial" w:hAnsi="Arial" w:cs="Arial"/>
              </w:rPr>
            </w:pPr>
            <w:r>
              <w:rPr>
                <w:rFonts w:ascii="Arial" w:hAnsi="Arial" w:cs="Arial"/>
              </w:rPr>
              <w:t>- 2.31</w:t>
            </w:r>
          </w:p>
        </w:tc>
        <w:tc>
          <w:tcPr>
            <w:tcW w:w="1565" w:type="dxa"/>
            <w:vAlign w:val="center"/>
          </w:tcPr>
          <w:p w14:paraId="21C7F84C" w14:textId="77777777" w:rsidR="00C3197C" w:rsidRDefault="00000000">
            <w:pPr>
              <w:pStyle w:val="Compact"/>
              <w:spacing w:before="0" w:after="0" w:line="480" w:lineRule="auto"/>
              <w:jc w:val="right"/>
              <w:rPr>
                <w:rFonts w:ascii="Arial" w:hAnsi="Arial" w:cs="Arial"/>
              </w:rPr>
            </w:pPr>
            <w:r>
              <w:rPr>
                <w:rFonts w:ascii="Arial" w:hAnsi="Arial" w:cs="Arial"/>
              </w:rPr>
              <w:t>- 2.33</w:t>
            </w:r>
          </w:p>
        </w:tc>
      </w:tr>
      <w:tr w:rsidR="00C3197C" w14:paraId="6F758D21" w14:textId="77777777" w:rsidTr="00C3197C">
        <w:trPr>
          <w:trHeight w:val="340"/>
        </w:trPr>
        <w:tc>
          <w:tcPr>
            <w:tcW w:w="2037" w:type="dxa"/>
            <w:vAlign w:val="center"/>
          </w:tcPr>
          <w:p w14:paraId="372EA6D6" w14:textId="77777777" w:rsidR="00C3197C" w:rsidRDefault="00000000">
            <w:pPr>
              <w:pStyle w:val="Compact"/>
              <w:spacing w:before="0" w:after="0" w:line="480" w:lineRule="auto"/>
              <w:jc w:val="both"/>
              <w:rPr>
                <w:rFonts w:ascii="Arial" w:hAnsi="Arial" w:cs="Arial"/>
              </w:rPr>
            </w:pPr>
            <w:r>
              <w:rPr>
                <w:rFonts w:ascii="Arial" w:hAnsi="Arial" w:cs="Arial"/>
              </w:rPr>
              <w:t>Stock Turnover (days)</w:t>
            </w:r>
          </w:p>
        </w:tc>
        <w:tc>
          <w:tcPr>
            <w:tcW w:w="3458" w:type="dxa"/>
            <w:vAlign w:val="center"/>
          </w:tcPr>
          <w:p w14:paraId="13C332D7" w14:textId="77777777" w:rsidR="00C3197C" w:rsidRDefault="00000000">
            <w:pPr>
              <w:pStyle w:val="Compact"/>
              <w:spacing w:before="0" w:after="0" w:line="480" w:lineRule="auto"/>
              <w:jc w:val="both"/>
              <w:rPr>
                <w:rFonts w:ascii="Arial" w:hAnsi="Arial" w:cs="Arial"/>
              </w:rPr>
            </w:pPr>
            <w:r>
              <w:rPr>
                <w:rFonts w:ascii="Arial" w:hAnsi="Arial" w:cs="Arial"/>
              </w:rPr>
              <w:t xml:space="preserve">= Inventory / Cost of Sales * 365. </w:t>
            </w:r>
          </w:p>
        </w:tc>
        <w:tc>
          <w:tcPr>
            <w:tcW w:w="1564" w:type="dxa"/>
            <w:vAlign w:val="center"/>
          </w:tcPr>
          <w:p w14:paraId="42822671" w14:textId="77777777" w:rsidR="00C3197C" w:rsidRDefault="00000000">
            <w:pPr>
              <w:pStyle w:val="Compact"/>
              <w:spacing w:before="0" w:after="0" w:line="480" w:lineRule="auto"/>
              <w:jc w:val="right"/>
              <w:rPr>
                <w:rFonts w:ascii="Arial" w:hAnsi="Arial" w:cs="Arial"/>
              </w:rPr>
            </w:pPr>
            <w:r>
              <w:rPr>
                <w:rFonts w:ascii="Arial" w:hAnsi="Arial" w:cs="Arial"/>
              </w:rPr>
              <w:t>551.14</w:t>
            </w:r>
          </w:p>
        </w:tc>
        <w:tc>
          <w:tcPr>
            <w:tcW w:w="1564" w:type="dxa"/>
            <w:vAlign w:val="center"/>
          </w:tcPr>
          <w:p w14:paraId="160989B5" w14:textId="77777777" w:rsidR="00C3197C" w:rsidRDefault="00000000">
            <w:pPr>
              <w:pStyle w:val="Compact"/>
              <w:spacing w:before="0" w:after="0" w:line="480" w:lineRule="auto"/>
              <w:jc w:val="right"/>
              <w:rPr>
                <w:rFonts w:ascii="Arial" w:hAnsi="Arial" w:cs="Arial"/>
              </w:rPr>
            </w:pPr>
            <w:r>
              <w:rPr>
                <w:rFonts w:ascii="Arial" w:hAnsi="Arial" w:cs="Arial"/>
              </w:rPr>
              <w:t>575.95</w:t>
            </w:r>
          </w:p>
        </w:tc>
        <w:tc>
          <w:tcPr>
            <w:tcW w:w="1565" w:type="dxa"/>
            <w:vAlign w:val="center"/>
          </w:tcPr>
          <w:p w14:paraId="06F49144" w14:textId="77777777" w:rsidR="00C3197C" w:rsidRDefault="00000000">
            <w:pPr>
              <w:pStyle w:val="Compact"/>
              <w:spacing w:before="0" w:after="0" w:line="480" w:lineRule="auto"/>
              <w:jc w:val="right"/>
              <w:rPr>
                <w:rFonts w:ascii="Arial" w:hAnsi="Arial" w:cs="Arial"/>
              </w:rPr>
            </w:pPr>
            <w:r>
              <w:rPr>
                <w:rFonts w:ascii="Arial" w:hAnsi="Arial" w:cs="Arial"/>
              </w:rPr>
              <w:t>626.62</w:t>
            </w:r>
          </w:p>
        </w:tc>
      </w:tr>
      <w:tr w:rsidR="00C3197C" w14:paraId="32CBED45" w14:textId="77777777" w:rsidTr="00C3197C">
        <w:trPr>
          <w:trHeight w:val="340"/>
        </w:trPr>
        <w:tc>
          <w:tcPr>
            <w:tcW w:w="2037" w:type="dxa"/>
            <w:vAlign w:val="center"/>
          </w:tcPr>
          <w:p w14:paraId="0BB42A5F" w14:textId="77777777" w:rsidR="00C3197C" w:rsidRDefault="00000000">
            <w:pPr>
              <w:pStyle w:val="Compact"/>
              <w:spacing w:before="0" w:after="0" w:line="480" w:lineRule="auto"/>
              <w:jc w:val="both"/>
              <w:rPr>
                <w:rFonts w:ascii="Arial" w:hAnsi="Arial" w:cs="Arial"/>
              </w:rPr>
            </w:pPr>
            <w:r>
              <w:rPr>
                <w:rFonts w:ascii="Arial" w:hAnsi="Arial" w:cs="Arial"/>
              </w:rPr>
              <w:t>Debtor Collection (days)</w:t>
            </w:r>
          </w:p>
        </w:tc>
        <w:tc>
          <w:tcPr>
            <w:tcW w:w="3458" w:type="dxa"/>
            <w:vAlign w:val="center"/>
          </w:tcPr>
          <w:p w14:paraId="19CA29E6" w14:textId="77777777" w:rsidR="00C3197C" w:rsidRDefault="00000000">
            <w:pPr>
              <w:pStyle w:val="Compact"/>
              <w:spacing w:before="0" w:after="0" w:line="480" w:lineRule="auto"/>
              <w:jc w:val="both"/>
              <w:rPr>
                <w:rFonts w:ascii="Arial" w:hAnsi="Arial" w:cs="Arial"/>
              </w:rPr>
            </w:pPr>
            <w:r>
              <w:rPr>
                <w:rFonts w:ascii="Arial" w:hAnsi="Arial" w:cs="Arial"/>
              </w:rPr>
              <w:t xml:space="preserve">= Receivables / Turnover * 365. </w:t>
            </w:r>
          </w:p>
        </w:tc>
        <w:tc>
          <w:tcPr>
            <w:tcW w:w="1564" w:type="dxa"/>
            <w:vAlign w:val="center"/>
          </w:tcPr>
          <w:p w14:paraId="7BB6168C" w14:textId="77777777" w:rsidR="00C3197C" w:rsidRDefault="00000000">
            <w:pPr>
              <w:pStyle w:val="Compact"/>
              <w:spacing w:before="0" w:after="0" w:line="480" w:lineRule="auto"/>
              <w:jc w:val="right"/>
              <w:rPr>
                <w:rFonts w:ascii="Arial" w:hAnsi="Arial" w:cs="Arial"/>
              </w:rPr>
            </w:pPr>
            <w:r>
              <w:rPr>
                <w:rFonts w:ascii="Arial" w:hAnsi="Arial" w:cs="Arial"/>
              </w:rPr>
              <w:t>143.95</w:t>
            </w:r>
          </w:p>
        </w:tc>
        <w:tc>
          <w:tcPr>
            <w:tcW w:w="1564" w:type="dxa"/>
            <w:vAlign w:val="center"/>
          </w:tcPr>
          <w:p w14:paraId="138BE954" w14:textId="77777777" w:rsidR="00C3197C" w:rsidRDefault="00000000">
            <w:pPr>
              <w:pStyle w:val="Compact"/>
              <w:spacing w:before="0" w:after="0" w:line="480" w:lineRule="auto"/>
              <w:jc w:val="right"/>
              <w:rPr>
                <w:rFonts w:ascii="Arial" w:hAnsi="Arial" w:cs="Arial"/>
              </w:rPr>
            </w:pPr>
            <w:r>
              <w:rPr>
                <w:rFonts w:ascii="Arial" w:hAnsi="Arial" w:cs="Arial"/>
              </w:rPr>
              <w:t>154.49</w:t>
            </w:r>
          </w:p>
        </w:tc>
        <w:tc>
          <w:tcPr>
            <w:tcW w:w="1565" w:type="dxa"/>
            <w:vAlign w:val="center"/>
          </w:tcPr>
          <w:p w14:paraId="798307B7" w14:textId="77777777" w:rsidR="00C3197C" w:rsidRDefault="00000000">
            <w:pPr>
              <w:pStyle w:val="Compact"/>
              <w:spacing w:before="0" w:after="0" w:line="480" w:lineRule="auto"/>
              <w:jc w:val="right"/>
              <w:rPr>
                <w:rFonts w:ascii="Arial" w:hAnsi="Arial" w:cs="Arial"/>
              </w:rPr>
            </w:pPr>
            <w:r>
              <w:rPr>
                <w:rFonts w:ascii="Arial" w:hAnsi="Arial" w:cs="Arial"/>
              </w:rPr>
              <w:t>172.45</w:t>
            </w:r>
          </w:p>
        </w:tc>
      </w:tr>
      <w:tr w:rsidR="00C3197C" w14:paraId="28A312DE" w14:textId="77777777" w:rsidTr="00C3197C">
        <w:trPr>
          <w:trHeight w:val="340"/>
        </w:trPr>
        <w:tc>
          <w:tcPr>
            <w:tcW w:w="2037" w:type="dxa"/>
            <w:vAlign w:val="center"/>
          </w:tcPr>
          <w:p w14:paraId="545A3839" w14:textId="77777777" w:rsidR="00C3197C" w:rsidRDefault="00000000">
            <w:pPr>
              <w:pStyle w:val="Compact"/>
              <w:spacing w:before="0" w:after="0" w:line="480" w:lineRule="auto"/>
              <w:jc w:val="both"/>
              <w:rPr>
                <w:rFonts w:ascii="Arial" w:hAnsi="Arial" w:cs="Arial"/>
              </w:rPr>
            </w:pPr>
            <w:r>
              <w:rPr>
                <w:rFonts w:ascii="Arial" w:hAnsi="Arial" w:cs="Arial"/>
              </w:rPr>
              <w:t>Creditor Payment (days)</w:t>
            </w:r>
          </w:p>
        </w:tc>
        <w:tc>
          <w:tcPr>
            <w:tcW w:w="3458" w:type="dxa"/>
            <w:vAlign w:val="center"/>
          </w:tcPr>
          <w:p w14:paraId="242BB97A" w14:textId="77777777" w:rsidR="00C3197C" w:rsidRDefault="00000000">
            <w:pPr>
              <w:pStyle w:val="Compact"/>
              <w:spacing w:before="0" w:after="0" w:line="480" w:lineRule="auto"/>
              <w:jc w:val="both"/>
              <w:rPr>
                <w:rFonts w:ascii="Arial" w:hAnsi="Arial" w:cs="Arial"/>
              </w:rPr>
            </w:pPr>
            <w:r>
              <w:rPr>
                <w:rFonts w:ascii="Arial" w:hAnsi="Arial" w:cs="Arial"/>
              </w:rPr>
              <w:t xml:space="preserve">= Payables / Cost of Sales * 365. </w:t>
            </w:r>
          </w:p>
        </w:tc>
        <w:tc>
          <w:tcPr>
            <w:tcW w:w="1564" w:type="dxa"/>
            <w:vAlign w:val="center"/>
          </w:tcPr>
          <w:p w14:paraId="3C773DD6" w14:textId="77777777" w:rsidR="00C3197C" w:rsidRDefault="00000000">
            <w:pPr>
              <w:pStyle w:val="Compact"/>
              <w:spacing w:before="0" w:after="0" w:line="480" w:lineRule="auto"/>
              <w:jc w:val="right"/>
              <w:rPr>
                <w:rFonts w:ascii="Arial" w:hAnsi="Arial" w:cs="Arial"/>
              </w:rPr>
            </w:pPr>
            <w:r>
              <w:rPr>
                <w:rFonts w:ascii="Arial" w:hAnsi="Arial" w:cs="Arial"/>
              </w:rPr>
              <w:t>132.55</w:t>
            </w:r>
          </w:p>
        </w:tc>
        <w:tc>
          <w:tcPr>
            <w:tcW w:w="1564" w:type="dxa"/>
            <w:vAlign w:val="center"/>
          </w:tcPr>
          <w:p w14:paraId="458BFD47" w14:textId="77777777" w:rsidR="00C3197C" w:rsidRDefault="00000000">
            <w:pPr>
              <w:pStyle w:val="Compact"/>
              <w:spacing w:before="0" w:after="0" w:line="480" w:lineRule="auto"/>
              <w:jc w:val="right"/>
              <w:rPr>
                <w:rFonts w:ascii="Arial" w:hAnsi="Arial" w:cs="Arial"/>
              </w:rPr>
            </w:pPr>
            <w:r>
              <w:rPr>
                <w:rFonts w:ascii="Arial" w:hAnsi="Arial" w:cs="Arial"/>
              </w:rPr>
              <w:t>140.77</w:t>
            </w:r>
          </w:p>
        </w:tc>
        <w:tc>
          <w:tcPr>
            <w:tcW w:w="1565" w:type="dxa"/>
            <w:vAlign w:val="center"/>
          </w:tcPr>
          <w:p w14:paraId="26807206" w14:textId="77777777" w:rsidR="00C3197C" w:rsidRDefault="00000000">
            <w:pPr>
              <w:pStyle w:val="Compact"/>
              <w:spacing w:before="0" w:after="0" w:line="480" w:lineRule="auto"/>
              <w:jc w:val="right"/>
              <w:rPr>
                <w:rFonts w:ascii="Arial" w:hAnsi="Arial" w:cs="Arial"/>
              </w:rPr>
            </w:pPr>
            <w:r>
              <w:rPr>
                <w:rFonts w:ascii="Arial" w:hAnsi="Arial" w:cs="Arial"/>
              </w:rPr>
              <w:t>142.75</w:t>
            </w:r>
          </w:p>
        </w:tc>
      </w:tr>
      <w:tr w:rsidR="00C3197C" w14:paraId="767902BF" w14:textId="77777777" w:rsidTr="00C3197C">
        <w:trPr>
          <w:trHeight w:val="340"/>
        </w:trPr>
        <w:tc>
          <w:tcPr>
            <w:tcW w:w="2037" w:type="dxa"/>
            <w:vAlign w:val="center"/>
          </w:tcPr>
          <w:p w14:paraId="13179B74" w14:textId="77777777" w:rsidR="00C3197C" w:rsidRDefault="00000000">
            <w:pPr>
              <w:pStyle w:val="Compact"/>
              <w:spacing w:before="0" w:after="0" w:line="480" w:lineRule="auto"/>
              <w:jc w:val="both"/>
              <w:rPr>
                <w:rFonts w:ascii="Arial" w:hAnsi="Arial" w:cs="Arial"/>
              </w:rPr>
            </w:pPr>
            <w:r>
              <w:rPr>
                <w:rFonts w:ascii="Arial" w:hAnsi="Arial" w:cs="Arial"/>
              </w:rPr>
              <w:t>Gearing (%)</w:t>
            </w:r>
          </w:p>
        </w:tc>
        <w:tc>
          <w:tcPr>
            <w:tcW w:w="3458" w:type="dxa"/>
            <w:vAlign w:val="center"/>
          </w:tcPr>
          <w:p w14:paraId="0BB36B97" w14:textId="77777777" w:rsidR="00C3197C" w:rsidRDefault="00000000">
            <w:pPr>
              <w:pStyle w:val="Compact"/>
              <w:spacing w:before="0" w:after="0" w:line="480" w:lineRule="auto"/>
              <w:jc w:val="both"/>
              <w:rPr>
                <w:rFonts w:ascii="Arial" w:hAnsi="Arial" w:cs="Arial"/>
              </w:rPr>
            </w:pPr>
            <w:r>
              <w:rPr>
                <w:rFonts w:ascii="Arial" w:hAnsi="Arial" w:cs="Arial"/>
              </w:rPr>
              <w:t xml:space="preserve">= (Long - Term Borrowings / (Long - Term Borrowings + Shareholders’ Equity)) * 100%. </w:t>
            </w:r>
          </w:p>
        </w:tc>
        <w:tc>
          <w:tcPr>
            <w:tcW w:w="1564" w:type="dxa"/>
            <w:vAlign w:val="center"/>
          </w:tcPr>
          <w:p w14:paraId="7D33270A" w14:textId="77777777" w:rsidR="00C3197C" w:rsidRDefault="00000000">
            <w:pPr>
              <w:pStyle w:val="Compact"/>
              <w:spacing w:before="0" w:after="0" w:line="480" w:lineRule="auto"/>
              <w:jc w:val="right"/>
              <w:rPr>
                <w:rFonts w:ascii="Arial" w:hAnsi="Arial" w:cs="Arial"/>
              </w:rPr>
            </w:pPr>
            <w:r>
              <w:rPr>
                <w:rFonts w:ascii="Arial" w:hAnsi="Arial" w:cs="Arial"/>
              </w:rPr>
              <w:t>59.59%</w:t>
            </w:r>
          </w:p>
        </w:tc>
        <w:tc>
          <w:tcPr>
            <w:tcW w:w="1564" w:type="dxa"/>
            <w:vAlign w:val="center"/>
          </w:tcPr>
          <w:p w14:paraId="2E6DAAC3" w14:textId="77777777" w:rsidR="00C3197C" w:rsidRDefault="00000000">
            <w:pPr>
              <w:pStyle w:val="Compact"/>
              <w:spacing w:before="0" w:after="0" w:line="480" w:lineRule="auto"/>
              <w:jc w:val="right"/>
              <w:rPr>
                <w:rFonts w:ascii="Arial" w:hAnsi="Arial" w:cs="Arial"/>
              </w:rPr>
            </w:pPr>
            <w:r>
              <w:rPr>
                <w:rFonts w:ascii="Arial" w:hAnsi="Arial" w:cs="Arial"/>
              </w:rPr>
              <w:t>58.23%</w:t>
            </w:r>
          </w:p>
        </w:tc>
        <w:tc>
          <w:tcPr>
            <w:tcW w:w="1565" w:type="dxa"/>
            <w:vAlign w:val="center"/>
          </w:tcPr>
          <w:p w14:paraId="403CC5B2" w14:textId="77777777" w:rsidR="00C3197C" w:rsidRDefault="00000000">
            <w:pPr>
              <w:pStyle w:val="Compact"/>
              <w:spacing w:before="0" w:after="0" w:line="480" w:lineRule="auto"/>
              <w:jc w:val="right"/>
              <w:rPr>
                <w:rFonts w:ascii="Arial" w:hAnsi="Arial" w:cs="Arial"/>
              </w:rPr>
            </w:pPr>
            <w:r>
              <w:rPr>
                <w:rFonts w:ascii="Arial" w:hAnsi="Arial" w:cs="Arial"/>
              </w:rPr>
              <w:t>61.75%</w:t>
            </w:r>
          </w:p>
        </w:tc>
      </w:tr>
      <w:tr w:rsidR="00C3197C" w14:paraId="7BF1106D" w14:textId="77777777" w:rsidTr="00C3197C">
        <w:trPr>
          <w:trHeight w:val="340"/>
        </w:trPr>
        <w:tc>
          <w:tcPr>
            <w:tcW w:w="2037" w:type="dxa"/>
            <w:vAlign w:val="center"/>
          </w:tcPr>
          <w:p w14:paraId="1B6B455C" w14:textId="77777777" w:rsidR="00C3197C" w:rsidRDefault="00000000">
            <w:pPr>
              <w:pStyle w:val="Compact"/>
              <w:spacing w:before="0" w:after="0" w:line="480" w:lineRule="auto"/>
              <w:jc w:val="both"/>
              <w:rPr>
                <w:rFonts w:ascii="Arial" w:hAnsi="Arial" w:cs="Arial"/>
              </w:rPr>
            </w:pPr>
            <w:r>
              <w:rPr>
                <w:rFonts w:ascii="Arial" w:hAnsi="Arial" w:cs="Arial"/>
              </w:rPr>
              <w:t>Earnings per share (EPS)</w:t>
            </w:r>
          </w:p>
        </w:tc>
        <w:tc>
          <w:tcPr>
            <w:tcW w:w="3458" w:type="dxa"/>
            <w:vAlign w:val="center"/>
          </w:tcPr>
          <w:p w14:paraId="7D50AA84" w14:textId="77777777" w:rsidR="00C3197C" w:rsidRDefault="00000000">
            <w:pPr>
              <w:pStyle w:val="Compact"/>
              <w:spacing w:before="0" w:after="0" w:line="480" w:lineRule="auto"/>
              <w:jc w:val="both"/>
              <w:rPr>
                <w:rFonts w:ascii="Arial" w:hAnsi="Arial" w:cs="Arial"/>
              </w:rPr>
            </w:pPr>
            <w:r>
              <w:rPr>
                <w:rFonts w:ascii="Arial" w:hAnsi="Arial" w:cs="Arial"/>
              </w:rPr>
              <w:t xml:space="preserve">= Net </w:t>
            </w:r>
            <w:proofErr w:type="gramStart"/>
            <w:r>
              <w:rPr>
                <w:rFonts w:ascii="Arial" w:hAnsi="Arial" w:cs="Arial"/>
              </w:rPr>
              <w:t>Profit / #</w:t>
            </w:r>
            <w:proofErr w:type="gramEnd"/>
            <w:r>
              <w:rPr>
                <w:rFonts w:ascii="Arial" w:hAnsi="Arial" w:cs="Arial"/>
              </w:rPr>
              <w:t>Shares.</w:t>
            </w:r>
          </w:p>
        </w:tc>
        <w:tc>
          <w:tcPr>
            <w:tcW w:w="1564" w:type="dxa"/>
            <w:vAlign w:val="center"/>
          </w:tcPr>
          <w:p w14:paraId="1AAA90D4" w14:textId="77777777" w:rsidR="00C3197C" w:rsidRDefault="00000000">
            <w:pPr>
              <w:pStyle w:val="Compact"/>
              <w:spacing w:before="0" w:after="0" w:line="480" w:lineRule="auto"/>
              <w:jc w:val="right"/>
              <w:rPr>
                <w:rFonts w:ascii="Arial" w:hAnsi="Arial" w:cs="Arial"/>
              </w:rPr>
            </w:pPr>
            <w:r>
              <w:rPr>
                <w:rFonts w:ascii="Arial" w:hAnsi="Arial" w:cs="Arial"/>
              </w:rPr>
              <w:t>2.84</w:t>
            </w:r>
          </w:p>
        </w:tc>
        <w:tc>
          <w:tcPr>
            <w:tcW w:w="1564" w:type="dxa"/>
            <w:vAlign w:val="center"/>
          </w:tcPr>
          <w:p w14:paraId="1C82C6B2" w14:textId="77777777" w:rsidR="00C3197C" w:rsidRDefault="00000000">
            <w:pPr>
              <w:pStyle w:val="Compact"/>
              <w:spacing w:before="0" w:after="0" w:line="480" w:lineRule="auto"/>
              <w:jc w:val="right"/>
              <w:rPr>
                <w:rFonts w:ascii="Arial" w:hAnsi="Arial" w:cs="Arial"/>
              </w:rPr>
            </w:pPr>
            <w:r>
              <w:rPr>
                <w:rFonts w:ascii="Arial" w:hAnsi="Arial" w:cs="Arial"/>
              </w:rPr>
              <w:t>3.15</w:t>
            </w:r>
          </w:p>
        </w:tc>
        <w:tc>
          <w:tcPr>
            <w:tcW w:w="1565" w:type="dxa"/>
            <w:vAlign w:val="center"/>
          </w:tcPr>
          <w:p w14:paraId="600D5E8C" w14:textId="77777777" w:rsidR="00C3197C" w:rsidRDefault="00000000">
            <w:pPr>
              <w:pStyle w:val="Compact"/>
              <w:spacing w:before="0" w:after="0" w:line="480" w:lineRule="auto"/>
              <w:jc w:val="right"/>
              <w:rPr>
                <w:rFonts w:ascii="Arial" w:hAnsi="Arial" w:cs="Arial"/>
              </w:rPr>
            </w:pPr>
            <w:r>
              <w:rPr>
                <w:rFonts w:ascii="Arial" w:hAnsi="Arial" w:cs="Arial"/>
              </w:rPr>
              <w:t>2.52</w:t>
            </w:r>
          </w:p>
        </w:tc>
      </w:tr>
      <w:tr w:rsidR="00C3197C" w14:paraId="628DA084" w14:textId="77777777" w:rsidTr="00C3197C">
        <w:trPr>
          <w:trHeight w:val="340"/>
        </w:trPr>
        <w:tc>
          <w:tcPr>
            <w:tcW w:w="2037" w:type="dxa"/>
            <w:vAlign w:val="center"/>
          </w:tcPr>
          <w:p w14:paraId="6A101131" w14:textId="77777777" w:rsidR="00C3197C" w:rsidRDefault="00000000">
            <w:pPr>
              <w:pStyle w:val="Compact"/>
              <w:spacing w:before="0" w:after="0" w:line="480" w:lineRule="auto"/>
              <w:jc w:val="both"/>
              <w:rPr>
                <w:rFonts w:ascii="Arial" w:hAnsi="Arial" w:cs="Arial"/>
              </w:rPr>
            </w:pPr>
            <w:r>
              <w:rPr>
                <w:rFonts w:ascii="Arial" w:hAnsi="Arial" w:cs="Arial"/>
              </w:rPr>
              <w:t>Dividend Cover</w:t>
            </w:r>
          </w:p>
        </w:tc>
        <w:tc>
          <w:tcPr>
            <w:tcW w:w="3458" w:type="dxa"/>
            <w:vAlign w:val="center"/>
          </w:tcPr>
          <w:p w14:paraId="05707EB7" w14:textId="77777777" w:rsidR="00C3197C" w:rsidRDefault="00000000">
            <w:pPr>
              <w:pStyle w:val="Compact"/>
              <w:spacing w:before="0" w:after="0" w:line="480" w:lineRule="auto"/>
              <w:jc w:val="both"/>
              <w:rPr>
                <w:rFonts w:ascii="Arial" w:hAnsi="Arial" w:cs="Arial"/>
              </w:rPr>
            </w:pPr>
            <w:r>
              <w:rPr>
                <w:rFonts w:ascii="Arial" w:hAnsi="Arial" w:cs="Arial"/>
              </w:rPr>
              <w:t>= Net Profit / Dividends.</w:t>
            </w:r>
          </w:p>
        </w:tc>
        <w:tc>
          <w:tcPr>
            <w:tcW w:w="1564" w:type="dxa"/>
            <w:vAlign w:val="center"/>
          </w:tcPr>
          <w:p w14:paraId="47B9D3E6" w14:textId="77777777" w:rsidR="00C3197C" w:rsidRDefault="00000000">
            <w:pPr>
              <w:pStyle w:val="Compact"/>
              <w:spacing w:before="0" w:after="0" w:line="480" w:lineRule="auto"/>
              <w:jc w:val="right"/>
              <w:rPr>
                <w:rFonts w:ascii="Arial" w:hAnsi="Arial" w:cs="Arial"/>
              </w:rPr>
            </w:pPr>
            <w:r>
              <w:rPr>
                <w:rFonts w:ascii="Arial" w:hAnsi="Arial" w:cs="Arial"/>
              </w:rPr>
              <w:t>1.65</w:t>
            </w:r>
          </w:p>
        </w:tc>
        <w:tc>
          <w:tcPr>
            <w:tcW w:w="1564" w:type="dxa"/>
            <w:vAlign w:val="center"/>
          </w:tcPr>
          <w:p w14:paraId="3F02F8D8" w14:textId="77777777" w:rsidR="00C3197C" w:rsidRDefault="00000000">
            <w:pPr>
              <w:pStyle w:val="Compact"/>
              <w:spacing w:before="0" w:after="0" w:line="480" w:lineRule="auto"/>
              <w:jc w:val="right"/>
              <w:rPr>
                <w:rFonts w:ascii="Arial" w:hAnsi="Arial" w:cs="Arial"/>
              </w:rPr>
            </w:pPr>
            <w:r>
              <w:rPr>
                <w:rFonts w:ascii="Arial" w:hAnsi="Arial" w:cs="Arial"/>
              </w:rPr>
              <w:t>1.90</w:t>
            </w:r>
          </w:p>
        </w:tc>
        <w:tc>
          <w:tcPr>
            <w:tcW w:w="1565" w:type="dxa"/>
            <w:vAlign w:val="center"/>
          </w:tcPr>
          <w:p w14:paraId="70114B96" w14:textId="77777777" w:rsidR="00C3197C" w:rsidRDefault="00000000">
            <w:pPr>
              <w:pStyle w:val="Compact"/>
              <w:spacing w:before="0" w:after="0" w:line="480" w:lineRule="auto"/>
              <w:jc w:val="right"/>
              <w:rPr>
                <w:rFonts w:ascii="Arial" w:hAnsi="Arial" w:cs="Arial"/>
              </w:rPr>
            </w:pPr>
            <w:r>
              <w:rPr>
                <w:rFonts w:ascii="Arial" w:hAnsi="Arial" w:cs="Arial"/>
              </w:rPr>
              <w:t>1.49</w:t>
            </w:r>
          </w:p>
        </w:tc>
      </w:tr>
      <w:tr w:rsidR="00C3197C" w14:paraId="07CD39CA" w14:textId="77777777" w:rsidTr="00C3197C">
        <w:trPr>
          <w:trHeight w:val="340"/>
        </w:trPr>
        <w:tc>
          <w:tcPr>
            <w:tcW w:w="2037" w:type="dxa"/>
            <w:vAlign w:val="center"/>
          </w:tcPr>
          <w:p w14:paraId="6E53DEDD" w14:textId="77777777" w:rsidR="00C3197C" w:rsidRDefault="00000000">
            <w:pPr>
              <w:pStyle w:val="Compact"/>
              <w:spacing w:before="0" w:after="0" w:line="480" w:lineRule="auto"/>
              <w:jc w:val="both"/>
              <w:rPr>
                <w:rFonts w:ascii="Arial" w:hAnsi="Arial" w:cs="Arial"/>
              </w:rPr>
            </w:pPr>
            <w:r>
              <w:rPr>
                <w:rFonts w:ascii="Arial" w:hAnsi="Arial" w:cs="Arial"/>
              </w:rPr>
              <w:t>Dividend Yield (%)</w:t>
            </w:r>
          </w:p>
        </w:tc>
        <w:tc>
          <w:tcPr>
            <w:tcW w:w="3458" w:type="dxa"/>
            <w:vAlign w:val="center"/>
          </w:tcPr>
          <w:p w14:paraId="2299A83E" w14:textId="77777777" w:rsidR="00C3197C" w:rsidRDefault="00000000">
            <w:pPr>
              <w:pStyle w:val="Compact"/>
              <w:spacing w:before="0" w:after="0" w:line="480" w:lineRule="auto"/>
              <w:jc w:val="both"/>
              <w:rPr>
                <w:rFonts w:ascii="Arial" w:hAnsi="Arial" w:cs="Arial"/>
              </w:rPr>
            </w:pPr>
            <w:r>
              <w:rPr>
                <w:rFonts w:ascii="Arial" w:hAnsi="Arial" w:cs="Arial"/>
              </w:rPr>
              <w:t>= ((</w:t>
            </w:r>
            <w:proofErr w:type="gramStart"/>
            <w:r>
              <w:rPr>
                <w:rFonts w:ascii="Arial" w:hAnsi="Arial" w:cs="Arial"/>
              </w:rPr>
              <w:t>Dividends/#</w:t>
            </w:r>
            <w:proofErr w:type="gramEnd"/>
            <w:r>
              <w:rPr>
                <w:rFonts w:ascii="Arial" w:hAnsi="Arial" w:cs="Arial"/>
              </w:rPr>
              <w:t xml:space="preserve">Shares)/Market </w:t>
            </w:r>
            <w:proofErr w:type="gramStart"/>
            <w:r>
              <w:rPr>
                <w:rFonts w:ascii="Arial" w:hAnsi="Arial" w:cs="Arial"/>
              </w:rPr>
              <w:lastRenderedPageBreak/>
              <w:t>Price)*</w:t>
            </w:r>
            <w:proofErr w:type="gramEnd"/>
            <w:r>
              <w:rPr>
                <w:rFonts w:ascii="Arial" w:hAnsi="Arial" w:cs="Arial"/>
              </w:rPr>
              <w:t xml:space="preserve">100. </w:t>
            </w:r>
          </w:p>
        </w:tc>
        <w:tc>
          <w:tcPr>
            <w:tcW w:w="1564" w:type="dxa"/>
            <w:vAlign w:val="center"/>
          </w:tcPr>
          <w:p w14:paraId="7BD811FC" w14:textId="77777777" w:rsidR="00C3197C" w:rsidRDefault="00000000">
            <w:pPr>
              <w:pStyle w:val="Compact"/>
              <w:spacing w:before="0" w:after="0" w:line="480" w:lineRule="auto"/>
              <w:jc w:val="right"/>
              <w:rPr>
                <w:rFonts w:ascii="Arial" w:hAnsi="Arial" w:cs="Arial"/>
              </w:rPr>
            </w:pPr>
            <w:r>
              <w:rPr>
                <w:rFonts w:ascii="Arial" w:hAnsi="Arial" w:cs="Arial"/>
              </w:rPr>
              <w:lastRenderedPageBreak/>
              <w:t>3.76%</w:t>
            </w:r>
          </w:p>
        </w:tc>
        <w:tc>
          <w:tcPr>
            <w:tcW w:w="1564" w:type="dxa"/>
            <w:vAlign w:val="center"/>
          </w:tcPr>
          <w:p w14:paraId="2B36EAFB" w14:textId="77777777" w:rsidR="00C3197C" w:rsidRDefault="00000000">
            <w:pPr>
              <w:pStyle w:val="Compact"/>
              <w:spacing w:before="0" w:after="0" w:line="480" w:lineRule="auto"/>
              <w:jc w:val="right"/>
              <w:rPr>
                <w:rFonts w:ascii="Arial" w:hAnsi="Arial" w:cs="Arial"/>
              </w:rPr>
            </w:pPr>
            <w:r>
              <w:rPr>
                <w:rFonts w:ascii="Arial" w:hAnsi="Arial" w:cs="Arial"/>
              </w:rPr>
              <w:t>3.99%</w:t>
            </w:r>
          </w:p>
        </w:tc>
        <w:tc>
          <w:tcPr>
            <w:tcW w:w="1565" w:type="dxa"/>
            <w:vAlign w:val="center"/>
          </w:tcPr>
          <w:p w14:paraId="74E17187" w14:textId="77777777" w:rsidR="00C3197C" w:rsidRDefault="00000000">
            <w:pPr>
              <w:pStyle w:val="Compact"/>
              <w:spacing w:before="0" w:after="0" w:line="480" w:lineRule="auto"/>
              <w:jc w:val="right"/>
              <w:rPr>
                <w:rFonts w:ascii="Arial" w:hAnsi="Arial" w:cs="Arial"/>
              </w:rPr>
            </w:pPr>
            <w:r>
              <w:rPr>
                <w:rFonts w:ascii="Arial" w:hAnsi="Arial" w:cs="Arial"/>
              </w:rPr>
              <w:t>3.56%</w:t>
            </w:r>
          </w:p>
        </w:tc>
      </w:tr>
      <w:tr w:rsidR="00C3197C" w14:paraId="3FE766B3" w14:textId="77777777" w:rsidTr="00C3197C">
        <w:trPr>
          <w:trHeight w:val="340"/>
        </w:trPr>
        <w:tc>
          <w:tcPr>
            <w:tcW w:w="2037" w:type="dxa"/>
            <w:vAlign w:val="center"/>
          </w:tcPr>
          <w:p w14:paraId="672EA3AB" w14:textId="77777777" w:rsidR="00C3197C" w:rsidRDefault="00000000">
            <w:pPr>
              <w:pStyle w:val="Compact"/>
              <w:spacing w:before="0" w:after="0" w:line="480" w:lineRule="auto"/>
              <w:jc w:val="both"/>
              <w:rPr>
                <w:rFonts w:ascii="Arial" w:hAnsi="Arial" w:cs="Arial"/>
              </w:rPr>
            </w:pPr>
            <w:r>
              <w:rPr>
                <w:rFonts w:ascii="Arial" w:hAnsi="Arial" w:cs="Arial"/>
              </w:rPr>
              <w:t>Interest Cover</w:t>
            </w:r>
          </w:p>
        </w:tc>
        <w:tc>
          <w:tcPr>
            <w:tcW w:w="3458" w:type="dxa"/>
            <w:vAlign w:val="center"/>
          </w:tcPr>
          <w:p w14:paraId="0349B430" w14:textId="77777777" w:rsidR="00C3197C" w:rsidRDefault="00000000">
            <w:pPr>
              <w:pStyle w:val="Compact"/>
              <w:spacing w:before="0" w:after="0" w:line="480" w:lineRule="auto"/>
              <w:jc w:val="both"/>
              <w:rPr>
                <w:rFonts w:ascii="Arial" w:hAnsi="Arial" w:cs="Arial"/>
              </w:rPr>
            </w:pPr>
            <w:r>
              <w:rPr>
                <w:rFonts w:ascii="Arial" w:hAnsi="Arial" w:cs="Arial"/>
              </w:rPr>
              <w:t xml:space="preserve">= Operating Profit / Interest Expense. </w:t>
            </w:r>
          </w:p>
        </w:tc>
        <w:tc>
          <w:tcPr>
            <w:tcW w:w="1564" w:type="dxa"/>
            <w:vAlign w:val="center"/>
          </w:tcPr>
          <w:p w14:paraId="3D92397A" w14:textId="77777777" w:rsidR="00C3197C" w:rsidRDefault="00000000">
            <w:pPr>
              <w:pStyle w:val="Compact"/>
              <w:spacing w:before="0" w:after="0" w:line="480" w:lineRule="auto"/>
              <w:jc w:val="right"/>
              <w:rPr>
                <w:rFonts w:ascii="Arial" w:hAnsi="Arial" w:cs="Arial"/>
              </w:rPr>
            </w:pPr>
            <w:r>
              <w:rPr>
                <w:rFonts w:ascii="Arial" w:hAnsi="Arial" w:cs="Arial"/>
              </w:rPr>
              <w:t>9.40</w:t>
            </w:r>
          </w:p>
        </w:tc>
        <w:tc>
          <w:tcPr>
            <w:tcW w:w="1564" w:type="dxa"/>
            <w:vAlign w:val="center"/>
          </w:tcPr>
          <w:p w14:paraId="2DB3E553" w14:textId="77777777" w:rsidR="00C3197C" w:rsidRDefault="00000000">
            <w:pPr>
              <w:pStyle w:val="Compact"/>
              <w:spacing w:before="0" w:after="0" w:line="480" w:lineRule="auto"/>
              <w:jc w:val="right"/>
              <w:rPr>
                <w:rFonts w:ascii="Arial" w:hAnsi="Arial" w:cs="Arial"/>
              </w:rPr>
            </w:pPr>
            <w:r>
              <w:rPr>
                <w:rFonts w:ascii="Arial" w:hAnsi="Arial" w:cs="Arial"/>
              </w:rPr>
              <w:t>13.15</w:t>
            </w:r>
          </w:p>
        </w:tc>
        <w:tc>
          <w:tcPr>
            <w:tcW w:w="1565" w:type="dxa"/>
            <w:vAlign w:val="center"/>
          </w:tcPr>
          <w:p w14:paraId="69717020" w14:textId="77777777" w:rsidR="00C3197C" w:rsidRDefault="00000000">
            <w:pPr>
              <w:pStyle w:val="Compact"/>
              <w:spacing w:before="0" w:after="0" w:line="480" w:lineRule="auto"/>
              <w:jc w:val="right"/>
              <w:rPr>
                <w:rFonts w:ascii="Arial" w:hAnsi="Arial" w:cs="Arial"/>
              </w:rPr>
            </w:pPr>
            <w:r>
              <w:rPr>
                <w:rFonts w:ascii="Arial" w:hAnsi="Arial" w:cs="Arial"/>
              </w:rPr>
              <w:t>17.72</w:t>
            </w:r>
          </w:p>
        </w:tc>
      </w:tr>
      <w:tr w:rsidR="00C3197C" w14:paraId="0ADF882D" w14:textId="77777777" w:rsidTr="00C3197C">
        <w:trPr>
          <w:trHeight w:val="340"/>
        </w:trPr>
        <w:tc>
          <w:tcPr>
            <w:tcW w:w="2037" w:type="dxa"/>
            <w:vAlign w:val="center"/>
          </w:tcPr>
          <w:p w14:paraId="2B5BAA29" w14:textId="77777777" w:rsidR="00C3197C" w:rsidRDefault="00000000">
            <w:pPr>
              <w:pStyle w:val="Compact"/>
              <w:spacing w:before="0" w:after="0" w:line="480" w:lineRule="auto"/>
              <w:jc w:val="both"/>
              <w:rPr>
                <w:rFonts w:ascii="Arial" w:hAnsi="Arial" w:cs="Arial"/>
              </w:rPr>
            </w:pPr>
            <w:r>
              <w:rPr>
                <w:rFonts w:ascii="Arial" w:hAnsi="Arial" w:cs="Arial"/>
              </w:rPr>
              <w:t>Return on Equity (ROE) (%)</w:t>
            </w:r>
          </w:p>
        </w:tc>
        <w:tc>
          <w:tcPr>
            <w:tcW w:w="3458" w:type="dxa"/>
            <w:vAlign w:val="center"/>
          </w:tcPr>
          <w:p w14:paraId="769BA528" w14:textId="77777777" w:rsidR="00C3197C" w:rsidRDefault="00000000">
            <w:pPr>
              <w:pStyle w:val="Compact"/>
              <w:spacing w:before="0" w:after="0" w:line="480" w:lineRule="auto"/>
              <w:jc w:val="both"/>
              <w:rPr>
                <w:rFonts w:ascii="Arial" w:hAnsi="Arial" w:cs="Arial"/>
              </w:rPr>
            </w:pPr>
            <w:r>
              <w:rPr>
                <w:rFonts w:ascii="Arial" w:hAnsi="Arial" w:cs="Arial"/>
              </w:rPr>
              <w:t xml:space="preserve">= Net Profit / Shareholders’ Equity * 100%. </w:t>
            </w:r>
          </w:p>
        </w:tc>
        <w:tc>
          <w:tcPr>
            <w:tcW w:w="1564" w:type="dxa"/>
            <w:vAlign w:val="center"/>
          </w:tcPr>
          <w:p w14:paraId="4C1BED8F" w14:textId="77777777" w:rsidR="00C3197C" w:rsidRDefault="00000000">
            <w:pPr>
              <w:pStyle w:val="Compact"/>
              <w:spacing w:before="0" w:after="0" w:line="480" w:lineRule="auto"/>
              <w:jc w:val="right"/>
              <w:rPr>
                <w:rFonts w:ascii="Arial" w:hAnsi="Arial" w:cs="Arial"/>
              </w:rPr>
            </w:pPr>
            <w:r>
              <w:rPr>
                <w:rFonts w:ascii="Arial" w:hAnsi="Arial" w:cs="Arial"/>
              </w:rPr>
              <w:t>39.44%</w:t>
            </w:r>
          </w:p>
        </w:tc>
        <w:tc>
          <w:tcPr>
            <w:tcW w:w="1564" w:type="dxa"/>
            <w:vAlign w:val="center"/>
          </w:tcPr>
          <w:p w14:paraId="667574DE" w14:textId="77777777" w:rsidR="00C3197C" w:rsidRDefault="00000000">
            <w:pPr>
              <w:pStyle w:val="Compact"/>
              <w:spacing w:before="0" w:after="0" w:line="480" w:lineRule="auto"/>
              <w:jc w:val="right"/>
              <w:rPr>
                <w:rFonts w:ascii="Arial" w:hAnsi="Arial" w:cs="Arial"/>
              </w:rPr>
            </w:pPr>
            <w:r>
              <w:rPr>
                <w:rFonts w:ascii="Arial" w:hAnsi="Arial" w:cs="Arial"/>
              </w:rPr>
              <w:t>43.47%</w:t>
            </w:r>
          </w:p>
        </w:tc>
        <w:tc>
          <w:tcPr>
            <w:tcW w:w="1565" w:type="dxa"/>
            <w:vAlign w:val="center"/>
          </w:tcPr>
          <w:p w14:paraId="43115465" w14:textId="77777777" w:rsidR="00C3197C" w:rsidRDefault="00000000">
            <w:pPr>
              <w:pStyle w:val="Compact"/>
              <w:spacing w:before="0" w:after="0" w:line="480" w:lineRule="auto"/>
              <w:jc w:val="right"/>
              <w:rPr>
                <w:rFonts w:ascii="Arial" w:hAnsi="Arial" w:cs="Arial"/>
              </w:rPr>
            </w:pPr>
            <w:r>
              <w:rPr>
                <w:rFonts w:ascii="Arial" w:hAnsi="Arial" w:cs="Arial"/>
              </w:rPr>
              <w:t>38.70%</w:t>
            </w:r>
          </w:p>
        </w:tc>
      </w:tr>
      <w:tr w:rsidR="00C3197C" w14:paraId="0501A549" w14:textId="77777777" w:rsidTr="00C3197C">
        <w:trPr>
          <w:trHeight w:val="340"/>
        </w:trPr>
        <w:tc>
          <w:tcPr>
            <w:tcW w:w="2037" w:type="dxa"/>
            <w:vAlign w:val="center"/>
          </w:tcPr>
          <w:p w14:paraId="3C77E5E3" w14:textId="77777777" w:rsidR="00C3197C" w:rsidRDefault="00000000">
            <w:pPr>
              <w:pStyle w:val="Compact"/>
              <w:spacing w:before="0" w:after="0" w:line="480" w:lineRule="auto"/>
              <w:jc w:val="both"/>
              <w:rPr>
                <w:rFonts w:ascii="Arial" w:hAnsi="Arial" w:cs="Arial"/>
              </w:rPr>
            </w:pPr>
            <w:r>
              <w:rPr>
                <w:rFonts w:ascii="Arial" w:hAnsi="Arial" w:cs="Arial"/>
              </w:rPr>
              <w:t>Price/Earnings (P/E)</w:t>
            </w:r>
          </w:p>
        </w:tc>
        <w:tc>
          <w:tcPr>
            <w:tcW w:w="3458" w:type="dxa"/>
            <w:vAlign w:val="center"/>
          </w:tcPr>
          <w:p w14:paraId="5EBB1080" w14:textId="77777777" w:rsidR="00C3197C" w:rsidRDefault="00000000">
            <w:pPr>
              <w:pStyle w:val="Compact"/>
              <w:spacing w:before="0" w:after="0" w:line="480" w:lineRule="auto"/>
              <w:jc w:val="both"/>
              <w:rPr>
                <w:rFonts w:ascii="Arial" w:hAnsi="Arial" w:cs="Arial"/>
              </w:rPr>
            </w:pPr>
            <w:r>
              <w:rPr>
                <w:rFonts w:ascii="Arial" w:hAnsi="Arial" w:cs="Arial"/>
              </w:rPr>
              <w:t xml:space="preserve">= Market Price / (Net </w:t>
            </w:r>
            <w:proofErr w:type="gramStart"/>
            <w:r>
              <w:rPr>
                <w:rFonts w:ascii="Arial" w:hAnsi="Arial" w:cs="Arial"/>
              </w:rPr>
              <w:t>Profit/#</w:t>
            </w:r>
            <w:proofErr w:type="gramEnd"/>
            <w:r>
              <w:rPr>
                <w:rFonts w:ascii="Arial" w:hAnsi="Arial" w:cs="Arial"/>
              </w:rPr>
              <w:t>Shares).</w:t>
            </w:r>
          </w:p>
        </w:tc>
        <w:tc>
          <w:tcPr>
            <w:tcW w:w="1564" w:type="dxa"/>
            <w:vAlign w:val="center"/>
          </w:tcPr>
          <w:p w14:paraId="4974F2F0" w14:textId="77777777" w:rsidR="00C3197C" w:rsidRDefault="00000000">
            <w:pPr>
              <w:pStyle w:val="Compact"/>
              <w:spacing w:before="0" w:after="0" w:line="480" w:lineRule="auto"/>
              <w:jc w:val="right"/>
              <w:rPr>
                <w:rFonts w:ascii="Arial" w:hAnsi="Arial" w:cs="Arial"/>
              </w:rPr>
            </w:pPr>
            <w:r>
              <w:rPr>
                <w:rFonts w:ascii="Arial" w:hAnsi="Arial" w:cs="Arial"/>
              </w:rPr>
              <w:t>16.11</w:t>
            </w:r>
          </w:p>
        </w:tc>
        <w:tc>
          <w:tcPr>
            <w:tcW w:w="1564" w:type="dxa"/>
            <w:vAlign w:val="center"/>
          </w:tcPr>
          <w:p w14:paraId="2698C55E" w14:textId="77777777" w:rsidR="00C3197C" w:rsidRDefault="00000000">
            <w:pPr>
              <w:pStyle w:val="Compact"/>
              <w:spacing w:before="0" w:after="0" w:line="480" w:lineRule="auto"/>
              <w:jc w:val="right"/>
              <w:rPr>
                <w:rFonts w:ascii="Arial" w:hAnsi="Arial" w:cs="Arial"/>
              </w:rPr>
            </w:pPr>
            <w:r>
              <w:rPr>
                <w:rFonts w:ascii="Arial" w:hAnsi="Arial" w:cs="Arial"/>
              </w:rPr>
              <w:t>13.21</w:t>
            </w:r>
          </w:p>
        </w:tc>
        <w:tc>
          <w:tcPr>
            <w:tcW w:w="1565" w:type="dxa"/>
            <w:vAlign w:val="center"/>
          </w:tcPr>
          <w:p w14:paraId="4DD87B5E" w14:textId="77777777" w:rsidR="00C3197C" w:rsidRDefault="00000000">
            <w:pPr>
              <w:pStyle w:val="Compact"/>
              <w:spacing w:before="0" w:after="0" w:line="480" w:lineRule="auto"/>
              <w:jc w:val="right"/>
              <w:rPr>
                <w:rFonts w:ascii="Arial" w:hAnsi="Arial" w:cs="Arial"/>
              </w:rPr>
            </w:pPr>
            <w:r>
              <w:rPr>
                <w:rFonts w:ascii="Arial" w:hAnsi="Arial" w:cs="Arial"/>
              </w:rPr>
              <w:t>18.92</w:t>
            </w:r>
          </w:p>
        </w:tc>
      </w:tr>
    </w:tbl>
    <w:p w14:paraId="2B2E96B8" w14:textId="77777777" w:rsidR="00C3197C" w:rsidRDefault="00000000">
      <w:pPr>
        <w:pStyle w:val="3"/>
        <w:spacing w:before="0" w:line="480" w:lineRule="auto"/>
        <w:jc w:val="both"/>
        <w:rPr>
          <w:rFonts w:ascii="Arial" w:hAnsi="Arial" w:cs="Arial"/>
          <w:color w:val="auto"/>
        </w:rPr>
      </w:pPr>
      <w:bookmarkStart w:id="4" w:name="critical-evaluation-of-the-ratios"/>
      <w:bookmarkEnd w:id="3"/>
      <w:r>
        <w:rPr>
          <w:rFonts w:ascii="Arial" w:hAnsi="Arial" w:cs="Arial"/>
          <w:color w:val="auto"/>
        </w:rPr>
        <w:t>4. Critical Evaluation of the Ratios</w:t>
      </w:r>
    </w:p>
    <w:p w14:paraId="3558E956" w14:textId="77777777" w:rsidR="00C3197C" w:rsidRDefault="00000000">
      <w:pPr>
        <w:pStyle w:val="FirstParagraph"/>
        <w:spacing w:before="0" w:after="0" w:line="480" w:lineRule="auto"/>
        <w:jc w:val="both"/>
        <w:rPr>
          <w:rFonts w:ascii="Arial" w:hAnsi="Arial" w:cs="Arial"/>
        </w:rPr>
      </w:pPr>
      <w:r>
        <w:rPr>
          <w:rFonts w:ascii="Arial" w:hAnsi="Arial" w:cs="Arial"/>
        </w:rPr>
        <w:t>A close look at Unilever’s ratio figures for three years shows both positive developments and areas of concern in aspects like profitability, liquidity, efficiency, gearing, and the perspective of investors.</w:t>
      </w:r>
    </w:p>
    <w:p w14:paraId="2EFC4F93" w14:textId="77777777" w:rsidR="00C3197C" w:rsidRDefault="00000000">
      <w:pPr>
        <w:pStyle w:val="a0"/>
        <w:spacing w:before="0" w:after="0" w:line="480" w:lineRule="auto"/>
        <w:jc w:val="both"/>
        <w:rPr>
          <w:rFonts w:ascii="Arial" w:hAnsi="Arial" w:cs="Arial"/>
        </w:rPr>
      </w:pPr>
      <w:r>
        <w:rPr>
          <w:rFonts w:ascii="Arial" w:hAnsi="Arial" w:cs="Arial"/>
        </w:rPr>
        <w:t xml:space="preserve">In terms of profitability, the Return on Capital Employed (ROCE) </w:t>
      </w:r>
      <w:proofErr w:type="gramStart"/>
      <w:r>
        <w:rPr>
          <w:rFonts w:ascii="Arial" w:hAnsi="Arial" w:cs="Arial"/>
        </w:rPr>
        <w:t>has</w:t>
      </w:r>
      <w:proofErr w:type="gramEnd"/>
      <w:r>
        <w:rPr>
          <w:rFonts w:ascii="Arial" w:hAnsi="Arial" w:cs="Arial"/>
        </w:rPr>
        <w:t xml:space="preserve"> a notable decline from 20.53% to 18.85%. Although this ratio is still relatively strong compared with some industry benchmarks, the decrease may signal increased cost pressures or strategic shifts in product lines, which have weakened the company’s ability to get the maximum returns from its long-term funding (Unilever, 2023). The Net Profit Margin also goes down in parallel, from 13.76% to 11.98%, highlighting how the overall profitability after all expenses has been squeezed. This trend can be attributed to a combination of higher input prices, changes in promotional strategies, or adverse impacts of currency (Financial Times, 2023). The Operating Profit Margin and Gross Profit Margin have also dropped slightly, suggesting that even though Unilever has strong global brands, it’s not immune to the rising production costs and changing consumer preferences. The annual report indicates that some of these challenges are offset partly through procurement savings and selective price increases (Unilever, 2023), but the </w:t>
      </w:r>
      <w:r>
        <w:rPr>
          <w:rFonts w:ascii="Arial" w:hAnsi="Arial" w:cs="Arial"/>
        </w:rPr>
        <w:lastRenderedPageBreak/>
        <w:t>results mean that these measures haven’t fully counterbalanced the macroeconomic and competitive pressures.</w:t>
      </w:r>
    </w:p>
    <w:p w14:paraId="2085913F" w14:textId="77777777" w:rsidR="00C3197C" w:rsidRDefault="00000000">
      <w:pPr>
        <w:pStyle w:val="a0"/>
        <w:spacing w:before="0" w:after="0" w:line="480" w:lineRule="auto"/>
        <w:jc w:val="both"/>
        <w:rPr>
          <w:rFonts w:ascii="Arial" w:hAnsi="Arial" w:cs="Arial"/>
        </w:rPr>
      </w:pPr>
      <w:r>
        <w:rPr>
          <w:rFonts w:ascii="Arial" w:hAnsi="Arial" w:cs="Arial"/>
        </w:rPr>
        <w:t>When it comes to liquidity ratios, the Current Ratio is 0.76 in 2023, which is below the commonly recognized threshold of 1.0 for short-term solvency (Wall Street Journal, 2023). This relatively low figure makes it possible that Unilever may rely on timely inventory turnover or strict collection of receivables to meet short-term obligations promptly. Meanwhile, the Quick Ratio is even more concerning. A negative value indicates that after subtracting inventory, the remaining current assets can’t match the current liabilities. This anomaly can reflect the fact that a large part of Unilever’s current assets is in forms that are not easily convertible into cash or that certain liabilities have increased unexpectedly, putting short-term liquidity under pressure. Although negative quick ratios are unusual, it may be affected by specific classification issues or short-term financing methods. Nevertheless, this finding requires further investigation into working capital management to make sure that inventory strategies, supplier terms, and short-term financing remain optimally balanced (Wall Street Journal, 2023).</w:t>
      </w:r>
    </w:p>
    <w:p w14:paraId="3F21E55E" w14:textId="77777777" w:rsidR="00C3197C" w:rsidRDefault="00000000">
      <w:pPr>
        <w:pStyle w:val="a0"/>
        <w:spacing w:before="0" w:after="0" w:line="480" w:lineRule="auto"/>
        <w:jc w:val="both"/>
        <w:rPr>
          <w:rFonts w:ascii="Arial" w:hAnsi="Arial" w:cs="Arial"/>
        </w:rPr>
      </w:pPr>
      <w:r>
        <w:rPr>
          <w:rFonts w:ascii="Arial" w:hAnsi="Arial" w:cs="Arial"/>
        </w:rPr>
        <w:t xml:space="preserve">The efficiency metrics present a more encouraging picture in some respects. The Stock Turnover (days) has been consistently improved, dropping from as high as 626.62 days to 551.14 days over three years, indicating enhanced inventory management and quicker product throughput (Unilever, 2023). However, this figure is still high for a consumer goods company, which may mean either a broad and complex product portfolio or slower-moving product categories that still tie up a significant amount of capital. The Debtor Collection (days) has trended downward from 172.45 to 143.95, meaning that Unilever is getting payments from customers faster. This improvement benefits cash flow by reducing the duration of accounts receivable. The Creditor Payment (days) has changed from 142.75 to 132.55, suggesting that the company is settling supplier invoices more promptly. Although early or </w:t>
      </w:r>
      <w:r>
        <w:rPr>
          <w:rFonts w:ascii="Arial" w:hAnsi="Arial" w:cs="Arial"/>
        </w:rPr>
        <w:lastRenderedPageBreak/>
        <w:t>timely payments may strengthen supply chain relationships and potentially secure better trade terms, accelerated cash outflows can reduce immediate liquidity if not managed along with improvements in sales or receivable patterns.</w:t>
      </w:r>
    </w:p>
    <w:p w14:paraId="12692BEE" w14:textId="77777777" w:rsidR="00C3197C" w:rsidRDefault="00000000">
      <w:pPr>
        <w:pStyle w:val="a0"/>
        <w:spacing w:before="0" w:after="0" w:line="480" w:lineRule="auto"/>
        <w:jc w:val="both"/>
        <w:rPr>
          <w:rFonts w:ascii="Arial" w:hAnsi="Arial" w:cs="Arial"/>
        </w:rPr>
      </w:pPr>
      <w:r>
        <w:rPr>
          <w:rFonts w:ascii="Arial" w:hAnsi="Arial" w:cs="Arial"/>
        </w:rPr>
        <w:t xml:space="preserve">The gearing is close to 60%, implying a heavy reliance on debt financing in the capital structure (Financial Times, 2023). In periods of stable or growing earnings, such a model can amplify returns, but it also magnifies risks. The Interest Cover ratio has declined from a more comfortable level of 17.72 to about 9.40, a drop that indicates that changes in operating profit or interest charges have </w:t>
      </w:r>
      <w:proofErr w:type="gramStart"/>
      <w:r>
        <w:rPr>
          <w:rFonts w:ascii="Arial" w:hAnsi="Arial" w:cs="Arial"/>
        </w:rPr>
        <w:t>cut</w:t>
      </w:r>
      <w:proofErr w:type="gramEnd"/>
      <w:r>
        <w:rPr>
          <w:rFonts w:ascii="Arial" w:hAnsi="Arial" w:cs="Arial"/>
        </w:rPr>
        <w:t xml:space="preserve"> into the margin for covering debt costs (Unilever, 2023). This situation becomes even more significant if interest rates rise or if operating earnings contract further. A </w:t>
      </w:r>
      <w:proofErr w:type="gramStart"/>
      <w:r>
        <w:rPr>
          <w:rFonts w:ascii="Arial" w:hAnsi="Arial" w:cs="Arial"/>
        </w:rPr>
        <w:t>high gearing</w:t>
      </w:r>
      <w:proofErr w:type="gramEnd"/>
      <w:r>
        <w:rPr>
          <w:rFonts w:ascii="Arial" w:hAnsi="Arial" w:cs="Arial"/>
        </w:rPr>
        <w:t xml:space="preserve"> ratio can be acceptable when operating profits are robust, but the combination of falling margins and weaker coverage may heighten financial risks in the medium term.</w:t>
      </w:r>
    </w:p>
    <w:p w14:paraId="67C708B3" w14:textId="77777777" w:rsidR="00C3197C" w:rsidRDefault="00000000">
      <w:pPr>
        <w:pStyle w:val="a0"/>
        <w:spacing w:before="0" w:after="0" w:line="480" w:lineRule="auto"/>
        <w:jc w:val="both"/>
        <w:rPr>
          <w:rFonts w:ascii="Arial" w:hAnsi="Arial" w:cs="Arial"/>
        </w:rPr>
      </w:pPr>
      <w:r>
        <w:rPr>
          <w:rFonts w:ascii="Arial" w:hAnsi="Arial" w:cs="Arial"/>
        </w:rPr>
        <w:t xml:space="preserve">The investor ratios show a mixed but relatively stable indication of shareholder returns. </w:t>
      </w:r>
      <w:proofErr w:type="gramStart"/>
      <w:r>
        <w:rPr>
          <w:rFonts w:ascii="Arial" w:hAnsi="Arial" w:cs="Arial"/>
        </w:rPr>
        <w:t>The Earnings</w:t>
      </w:r>
      <w:proofErr w:type="gramEnd"/>
      <w:r>
        <w:rPr>
          <w:rFonts w:ascii="Arial" w:hAnsi="Arial" w:cs="Arial"/>
        </w:rPr>
        <w:t xml:space="preserve"> per Share (EPS) has fluctuated between about €2.52 and €3.15, in line with the overall profit performance (Unilever, 2023). The Dividend Cover, hovering around 1.65 to 1.90, reveals that while dividend payouts remain consistent, there is limited room if earnings fall sharply or if capital expenditures demand more internal financing. The Dividend Yield, moving in the 3 - 4% range, appeals to income-oriented investors but partly depends on market price levels and the firm’s dividend policy. The P/E ratio has increased from 13.21 to 16.11, suggesting that the market may now be paying a higher multiple for Unilever’s earnings, though this optimism could reverse quickly if earnings projections are not met (Financial Times, 2023).</w:t>
      </w:r>
    </w:p>
    <w:p w14:paraId="59A5A08E" w14:textId="77777777" w:rsidR="00C3197C" w:rsidRDefault="00000000">
      <w:pPr>
        <w:pStyle w:val="a0"/>
        <w:spacing w:before="0" w:after="0" w:line="480" w:lineRule="auto"/>
        <w:jc w:val="both"/>
        <w:rPr>
          <w:rFonts w:ascii="Arial" w:hAnsi="Arial" w:cs="Arial"/>
        </w:rPr>
      </w:pPr>
      <w:r>
        <w:rPr>
          <w:rFonts w:ascii="Arial" w:hAnsi="Arial" w:cs="Arial"/>
        </w:rPr>
        <w:t xml:space="preserve">Overall, these ratios demonstrate that Unilever remains fundamentally profitable and capable of generating strong brand-led </w:t>
      </w:r>
      <w:proofErr w:type="gramStart"/>
      <w:r>
        <w:rPr>
          <w:rFonts w:ascii="Arial" w:hAnsi="Arial" w:cs="Arial"/>
        </w:rPr>
        <w:t>sales, yet</w:t>
      </w:r>
      <w:proofErr w:type="gramEnd"/>
      <w:r>
        <w:rPr>
          <w:rFonts w:ascii="Arial" w:hAnsi="Arial" w:cs="Arial"/>
        </w:rPr>
        <w:t xml:space="preserve"> faces increasing cost and margin headwinds. Liquidity measures emphasize the importance of vigilant working capital management, </w:t>
      </w:r>
      <w:r>
        <w:rPr>
          <w:rFonts w:ascii="Arial" w:hAnsi="Arial" w:cs="Arial"/>
        </w:rPr>
        <w:lastRenderedPageBreak/>
        <w:t xml:space="preserve">especially given the negative quick ratio. The company’s </w:t>
      </w:r>
      <w:proofErr w:type="gramStart"/>
      <w:r>
        <w:rPr>
          <w:rFonts w:ascii="Arial" w:hAnsi="Arial" w:cs="Arial"/>
        </w:rPr>
        <w:t>efficiency</w:t>
      </w:r>
      <w:proofErr w:type="gramEnd"/>
      <w:r>
        <w:rPr>
          <w:rFonts w:ascii="Arial" w:hAnsi="Arial" w:cs="Arial"/>
        </w:rPr>
        <w:t xml:space="preserve"> metrics, especially stock turnover and debtor collection, show signs of improvement but still leave room for optimization. The gearing is at a level that may make it more sensitive to economic and interest rate changes, and the investor view remains generally supportive, though relying on stable dividend policies and market perceptions. The limitations of ratio analysis come into play here, as external macroeconomic and structural accounting differences can mask underlying issues or successes. Ratios also provide mainly a historical snapshot, not a forward-looking guarantee. Despite these constraints, the analysis offers a solid starting point for prioritizing actions in cost management, debt structure, and working capital to secure Unilever’s performance in a volatile global environment (Unilever, 2023; Wall Street Journal, 2023; Financial Times, 2023).</w:t>
      </w:r>
    </w:p>
    <w:p w14:paraId="420D4625" w14:textId="77777777" w:rsidR="00C3197C" w:rsidRDefault="00000000">
      <w:pPr>
        <w:pStyle w:val="3"/>
        <w:spacing w:before="0" w:line="480" w:lineRule="auto"/>
        <w:jc w:val="both"/>
        <w:rPr>
          <w:rFonts w:ascii="Arial" w:hAnsi="Arial" w:cs="Arial"/>
          <w:color w:val="auto"/>
        </w:rPr>
      </w:pPr>
      <w:bookmarkStart w:id="5" w:name="X03bdad4302cecf96ccc765c7eb216b4a71d4997"/>
      <w:bookmarkEnd w:id="4"/>
      <w:r>
        <w:rPr>
          <w:rFonts w:ascii="Arial" w:hAnsi="Arial" w:cs="Arial"/>
          <w:color w:val="auto"/>
        </w:rPr>
        <w:t>5. Recommendations for Improving Financial Management</w:t>
      </w:r>
    </w:p>
    <w:p w14:paraId="1248DC20" w14:textId="77777777" w:rsidR="00C3197C" w:rsidRDefault="00000000">
      <w:pPr>
        <w:pStyle w:val="FirstParagraph"/>
        <w:spacing w:before="0" w:after="0" w:line="480" w:lineRule="auto"/>
        <w:jc w:val="both"/>
        <w:rPr>
          <w:rFonts w:ascii="Arial" w:hAnsi="Arial" w:cs="Arial"/>
        </w:rPr>
      </w:pPr>
      <w:r>
        <w:rPr>
          <w:rFonts w:ascii="Arial" w:hAnsi="Arial" w:cs="Arial"/>
        </w:rPr>
        <w:t>Based on the findings of the ratios, there are several targeted steps that Unilever could take to strengthen both short-term resilience and long-term competitiveness.</w:t>
      </w:r>
    </w:p>
    <w:p w14:paraId="10317392" w14:textId="77777777" w:rsidR="00C3197C" w:rsidRDefault="00000000">
      <w:pPr>
        <w:pStyle w:val="a0"/>
        <w:spacing w:before="0" w:after="0" w:line="480" w:lineRule="auto"/>
        <w:jc w:val="both"/>
        <w:rPr>
          <w:rFonts w:ascii="Arial" w:hAnsi="Arial" w:cs="Arial"/>
        </w:rPr>
      </w:pPr>
      <w:r>
        <w:rPr>
          <w:rFonts w:ascii="Arial" w:hAnsi="Arial" w:cs="Arial"/>
        </w:rPr>
        <w:t>In the area of profitability, one approach is to refocus on strategic cost controls, especially in procurement and supply chain operations. By taking advantage of its extensive global footprint and negotiating power with suppliers, Unilever might offset some of the margin erosion shown in the decline of the Net Profit Margin and Operating Profit Margin (Unilever, 2023). Evaluating the product mix to emphasize lines with higher gross margins could help maintain profitability levels while keeping brand diversity. Since external pressures like inflation and currency volatility may continue, further hedging strategies or cost-hedging instruments might mitigate spikes in raw material prices.</w:t>
      </w:r>
    </w:p>
    <w:p w14:paraId="542B6781" w14:textId="77777777" w:rsidR="00C3197C" w:rsidRDefault="00000000">
      <w:pPr>
        <w:pStyle w:val="a0"/>
        <w:spacing w:before="0" w:after="0" w:line="480" w:lineRule="auto"/>
        <w:jc w:val="both"/>
        <w:rPr>
          <w:rFonts w:ascii="Arial" w:hAnsi="Arial" w:cs="Arial"/>
        </w:rPr>
      </w:pPr>
      <w:r>
        <w:rPr>
          <w:rFonts w:ascii="Arial" w:hAnsi="Arial" w:cs="Arial"/>
        </w:rPr>
        <w:t>To address liquidity concerns, enhanced working capital management is needed. The negative Quick Ratio</w:t>
      </w:r>
      <w:proofErr w:type="gramStart"/>
      <w:r>
        <w:rPr>
          <w:rFonts w:ascii="Arial" w:hAnsi="Arial" w:cs="Arial"/>
        </w:rPr>
        <w:t>, in particular, calls</w:t>
      </w:r>
      <w:proofErr w:type="gramEnd"/>
      <w:r>
        <w:rPr>
          <w:rFonts w:ascii="Arial" w:hAnsi="Arial" w:cs="Arial"/>
        </w:rPr>
        <w:t xml:space="preserve"> for a deep review of inventory policies. Steps could include implementing advanced forecasting models to reduce overstocking, accelerating </w:t>
      </w:r>
      <w:r>
        <w:rPr>
          <w:rFonts w:ascii="Arial" w:hAnsi="Arial" w:cs="Arial"/>
        </w:rPr>
        <w:lastRenderedPageBreak/>
        <w:t xml:space="preserve">digital transformation to track real-time inventory flows, or rationalizing SKUs that contribute disproportionately to inventory holding costs (Wall Street Journal, 2023). Analyzing how the classification of current assets is done may highlight whether the reported quick ratio is distorted by certain items that shouldn’t be categorized as readily convertible. Management may also reevaluate the terms of creditors and debtors, aiming to fine-tune payment schedules without damaging the goodwill of suppliers or the loyalty of buyers. Where feasible, slightly lengthening payment terms could improve short-term liquidity, </w:t>
      </w:r>
      <w:proofErr w:type="gramStart"/>
      <w:r>
        <w:rPr>
          <w:rFonts w:ascii="Arial" w:hAnsi="Arial" w:cs="Arial"/>
        </w:rPr>
        <w:t>as long as</w:t>
      </w:r>
      <w:proofErr w:type="gramEnd"/>
      <w:r>
        <w:rPr>
          <w:rFonts w:ascii="Arial" w:hAnsi="Arial" w:cs="Arial"/>
        </w:rPr>
        <w:t xml:space="preserve"> it doesn’t undermine relationships with strategic suppliers.</w:t>
      </w:r>
    </w:p>
    <w:p w14:paraId="202E93EF" w14:textId="77777777" w:rsidR="00C3197C" w:rsidRDefault="00000000">
      <w:pPr>
        <w:pStyle w:val="a0"/>
        <w:spacing w:before="0" w:after="0" w:line="480" w:lineRule="auto"/>
        <w:jc w:val="both"/>
        <w:rPr>
          <w:rFonts w:ascii="Arial" w:hAnsi="Arial" w:cs="Arial"/>
        </w:rPr>
      </w:pPr>
      <w:r>
        <w:rPr>
          <w:rFonts w:ascii="Arial" w:hAnsi="Arial" w:cs="Arial"/>
        </w:rPr>
        <w:t>From the gearing perspective, it might be prudent for Unilever to formulate a gradual plan to reduce its reliance on long-term borrowings. Although a gearing ratio of 59 - 60% can be manageable in stable market conditions, sensitivity to interest rates and currency shifts becomes more pronounced when margins narrow (Financial Times, 2023). Allocating a portion of net earnings to debt reduction might restore a better balance between equity and borrowings, thus strengthening the company’s ability to withstand economic cycles or potential crises. At the same time, strategies for refinancing existing debt at more advantageous rates or lengthening maturities could boost the Interest Cover ratio if rising interest expenses are a factor in the drop from 17.72 to 9.40 (Unilever, 2023). Furthermore, while acquisitions may boost top-line growth, a careful approach to financing them with new debt is crucial to avoid overextending the capital structure.</w:t>
      </w:r>
    </w:p>
    <w:p w14:paraId="35EE0A06" w14:textId="77777777" w:rsidR="00C3197C" w:rsidRDefault="00000000">
      <w:pPr>
        <w:pStyle w:val="a0"/>
        <w:spacing w:before="0" w:after="0" w:line="480" w:lineRule="auto"/>
        <w:jc w:val="both"/>
        <w:rPr>
          <w:rFonts w:ascii="Arial" w:hAnsi="Arial" w:cs="Arial"/>
        </w:rPr>
      </w:pPr>
      <w:r>
        <w:rPr>
          <w:rFonts w:ascii="Arial" w:hAnsi="Arial" w:cs="Arial"/>
        </w:rPr>
        <w:t xml:space="preserve">The efficiency metric like stock turnover has shown improvement, but further inventory rationalization could bring these days figures closer to industry norms. Emphasizing agile supply chain responses, supported by data analytics, might help keep inventory levels more responsive to actual consumer demand, especially in volatile markets. The positive trend in Debtor Collection implies that credit policies are already tightening in a favorable way, yet consistency is essential to ensure that overall working capital remains well-managed. A </w:t>
      </w:r>
      <w:r>
        <w:rPr>
          <w:rFonts w:ascii="Arial" w:hAnsi="Arial" w:cs="Arial"/>
        </w:rPr>
        <w:lastRenderedPageBreak/>
        <w:t>moderate approach to creditor payment terms can safeguard beneficial trade relationships while avoiding a negative impact on the firm’s short-term cash position.</w:t>
      </w:r>
    </w:p>
    <w:p w14:paraId="080345A0" w14:textId="77777777" w:rsidR="00C3197C" w:rsidRDefault="00000000">
      <w:pPr>
        <w:pStyle w:val="a0"/>
        <w:spacing w:before="0" w:after="0" w:line="480" w:lineRule="auto"/>
        <w:jc w:val="both"/>
        <w:rPr>
          <w:rFonts w:ascii="Arial" w:hAnsi="Arial" w:cs="Arial"/>
        </w:rPr>
      </w:pPr>
      <w:r>
        <w:rPr>
          <w:rFonts w:ascii="Arial" w:hAnsi="Arial" w:cs="Arial"/>
        </w:rPr>
        <w:t>The investor ratios are relatively stable, but management might consider fine-tuning the dividend policy if the decline in profitability becomes more pronounced. A Dividend Cover hovering around 1.65 to 1.90 indicates that dividends take up a large portion of net profit, leaving less internal funding for investment in new product development or digital transformation. If the market environment becomes more uncertain, a modest temporary reduction in dividend growth or a partial redirection of these funds to strategic initiatives might preserve long-term shareholder value (Unilever, 2023). Meanwhile, a rising Price/Earnings ratio indicates solid market confidence. However, this optimism depends on Unilever delivering consistent earnings growth. If earnings fall short, the share price may experience volatility, making it necessary for management to clearly communicate its strategy for cost containment and margin improvement.</w:t>
      </w:r>
    </w:p>
    <w:p w14:paraId="0092BC82" w14:textId="77777777" w:rsidR="00C3197C" w:rsidRDefault="00000000">
      <w:pPr>
        <w:pStyle w:val="a0"/>
        <w:spacing w:before="0" w:after="0" w:line="480" w:lineRule="auto"/>
        <w:jc w:val="both"/>
        <w:rPr>
          <w:rFonts w:ascii="Arial" w:hAnsi="Arial" w:cs="Arial"/>
        </w:rPr>
      </w:pPr>
      <w:r>
        <w:rPr>
          <w:rFonts w:ascii="Arial" w:hAnsi="Arial" w:cs="Arial"/>
        </w:rPr>
        <w:t>Overall, the recommendations follow a common theme of strengthening core profit generation, minimizing balance sheet risks, and optimizing operational processes. By focusing on cost efficiencies, controlling debt exposure, refining inventory and receivables practices, and ensuring the sustainability of dividend distributions, Unilever can address the vulnerabilities highlighted by the ratio analysis in its recent financials. If these measures are integrated coherently, they not only reduce downside risks but also position the firm to seize new market opportunities and maintain investor confidence in a complex global marketplace.</w:t>
      </w:r>
    </w:p>
    <w:p w14:paraId="18566F3E" w14:textId="77777777" w:rsidR="00C3197C" w:rsidRDefault="00000000">
      <w:pPr>
        <w:pStyle w:val="3"/>
        <w:spacing w:before="0" w:line="480" w:lineRule="auto"/>
        <w:jc w:val="both"/>
        <w:rPr>
          <w:rFonts w:ascii="Arial" w:hAnsi="Arial" w:cs="Arial"/>
          <w:color w:val="auto"/>
        </w:rPr>
      </w:pPr>
      <w:bookmarkStart w:id="6" w:name="references"/>
      <w:bookmarkEnd w:id="5"/>
      <w:r>
        <w:rPr>
          <w:rFonts w:ascii="Arial" w:hAnsi="Arial" w:cs="Arial"/>
          <w:color w:val="auto"/>
        </w:rPr>
        <w:br w:type="page"/>
      </w:r>
    </w:p>
    <w:p w14:paraId="46F650DA" w14:textId="77777777" w:rsidR="00C3197C" w:rsidRDefault="00000000">
      <w:pPr>
        <w:pStyle w:val="3"/>
        <w:spacing w:before="0" w:line="480" w:lineRule="auto"/>
        <w:jc w:val="both"/>
        <w:rPr>
          <w:rFonts w:ascii="Arial" w:hAnsi="Arial" w:cs="Arial"/>
          <w:color w:val="auto"/>
        </w:rPr>
      </w:pPr>
      <w:r>
        <w:rPr>
          <w:rFonts w:ascii="Arial" w:hAnsi="Arial" w:cs="Arial"/>
          <w:color w:val="auto"/>
        </w:rPr>
        <w:lastRenderedPageBreak/>
        <w:t>References</w:t>
      </w:r>
    </w:p>
    <w:p w14:paraId="72888A6E" w14:textId="77777777" w:rsidR="00C3197C" w:rsidRDefault="00000000">
      <w:pPr>
        <w:pStyle w:val="FirstParagraph"/>
        <w:numPr>
          <w:ilvl w:val="0"/>
          <w:numId w:val="1"/>
        </w:numPr>
        <w:spacing w:before="0" w:after="0" w:line="480" w:lineRule="auto"/>
        <w:jc w:val="both"/>
        <w:rPr>
          <w:rFonts w:ascii="Arial" w:hAnsi="Arial" w:cs="Arial"/>
        </w:rPr>
      </w:pPr>
      <w:r>
        <w:rPr>
          <w:rFonts w:ascii="Arial" w:hAnsi="Arial" w:cs="Arial"/>
        </w:rPr>
        <w:t xml:space="preserve">Financial Times. (2023) ‘Annual Financial Report – Company Announcement’. </w:t>
      </w:r>
      <w:r>
        <w:rPr>
          <w:rFonts w:ascii="Arial" w:hAnsi="Arial" w:cs="Arial"/>
          <w:i/>
          <w:iCs/>
        </w:rPr>
        <w:t>Financial Times</w:t>
      </w:r>
      <w:r>
        <w:rPr>
          <w:rFonts w:ascii="Arial" w:hAnsi="Arial" w:cs="Arial"/>
        </w:rPr>
        <w:t xml:space="preserve">, 14 March. Available at: </w:t>
      </w:r>
      <w:hyperlink r:id="rId10">
        <w:r>
          <w:rPr>
            <w:rStyle w:val="af"/>
            <w:rFonts w:ascii="Arial" w:hAnsi="Arial" w:cs="Arial"/>
            <w:color w:val="auto"/>
          </w:rPr>
          <w:t>https://markets.ft.com/data/announce/full?dockey=1323-16378456-6TMHUUEC565PSA3C6UO4UVDCGQ</w:t>
        </w:r>
      </w:hyperlink>
      <w:r>
        <w:rPr>
          <w:rFonts w:ascii="Arial" w:hAnsi="Arial" w:cs="Arial"/>
        </w:rPr>
        <w:t xml:space="preserve"> (Accessed: 7 January 2025).</w:t>
      </w:r>
    </w:p>
    <w:p w14:paraId="7B338E33" w14:textId="77777777" w:rsidR="00C3197C" w:rsidRDefault="00000000">
      <w:pPr>
        <w:pStyle w:val="a0"/>
        <w:numPr>
          <w:ilvl w:val="0"/>
          <w:numId w:val="1"/>
        </w:numPr>
        <w:spacing w:before="0" w:after="0" w:line="480" w:lineRule="auto"/>
        <w:jc w:val="both"/>
        <w:rPr>
          <w:rFonts w:ascii="Arial" w:hAnsi="Arial" w:cs="Arial"/>
        </w:rPr>
      </w:pPr>
      <w:r>
        <w:rPr>
          <w:rFonts w:ascii="Arial" w:hAnsi="Arial" w:cs="Arial"/>
        </w:rPr>
        <w:t>Financial Times. (</w:t>
      </w:r>
      <w:proofErr w:type="gramStart"/>
      <w:r>
        <w:rPr>
          <w:rFonts w:ascii="Arial" w:hAnsi="Arial" w:cs="Arial"/>
        </w:rPr>
        <w:t>2023) ‘</w:t>
      </w:r>
      <w:proofErr w:type="gramEnd"/>
      <w:r>
        <w:rPr>
          <w:rFonts w:ascii="Arial" w:hAnsi="Arial" w:cs="Arial"/>
        </w:rPr>
        <w:t xml:space="preserve">Unilever PLC, </w:t>
      </w:r>
      <w:proofErr w:type="gramStart"/>
      <w:r>
        <w:rPr>
          <w:rFonts w:ascii="Arial" w:hAnsi="Arial" w:cs="Arial"/>
        </w:rPr>
        <w:t>ULVR:LSE</w:t>
      </w:r>
      <w:proofErr w:type="gramEnd"/>
      <w:r>
        <w:rPr>
          <w:rFonts w:ascii="Arial" w:hAnsi="Arial" w:cs="Arial"/>
        </w:rPr>
        <w:t xml:space="preserve"> summary’. </w:t>
      </w:r>
      <w:r>
        <w:rPr>
          <w:rFonts w:ascii="Arial" w:hAnsi="Arial" w:cs="Arial"/>
          <w:i/>
          <w:iCs/>
        </w:rPr>
        <w:t>Financial Times</w:t>
      </w:r>
      <w:r>
        <w:rPr>
          <w:rFonts w:ascii="Arial" w:hAnsi="Arial" w:cs="Arial"/>
        </w:rPr>
        <w:t xml:space="preserve">. Available at: </w:t>
      </w:r>
      <w:hyperlink r:id="rId11">
        <w:r>
          <w:rPr>
            <w:rStyle w:val="af"/>
            <w:rFonts w:ascii="Arial" w:hAnsi="Arial" w:cs="Arial"/>
            <w:color w:val="auto"/>
          </w:rPr>
          <w:t>https://markets.ft.com/data/equities/tearsheet/summary?s=ULVR%3ALSE</w:t>
        </w:r>
      </w:hyperlink>
      <w:r>
        <w:rPr>
          <w:rFonts w:ascii="Arial" w:hAnsi="Arial" w:cs="Arial"/>
        </w:rPr>
        <w:t xml:space="preserve"> (Accessed: 7 January 2025).</w:t>
      </w:r>
    </w:p>
    <w:p w14:paraId="03E33EA1" w14:textId="77777777" w:rsidR="00C3197C" w:rsidRDefault="00000000">
      <w:pPr>
        <w:pStyle w:val="a0"/>
        <w:numPr>
          <w:ilvl w:val="0"/>
          <w:numId w:val="1"/>
        </w:numPr>
        <w:spacing w:before="0" w:after="0" w:line="480" w:lineRule="auto"/>
        <w:jc w:val="both"/>
        <w:rPr>
          <w:rFonts w:ascii="Arial" w:hAnsi="Arial" w:cs="Arial"/>
        </w:rPr>
      </w:pPr>
      <w:r>
        <w:rPr>
          <w:rFonts w:ascii="Arial" w:hAnsi="Arial" w:cs="Arial"/>
        </w:rPr>
        <w:t xml:space="preserve">Unilever. (2023) </w:t>
      </w:r>
      <w:r>
        <w:rPr>
          <w:rFonts w:ascii="Arial" w:hAnsi="Arial" w:cs="Arial"/>
          <w:i/>
          <w:iCs/>
        </w:rPr>
        <w:t>Annual Report and Accounts 2023</w:t>
      </w:r>
      <w:r>
        <w:rPr>
          <w:rFonts w:ascii="Arial" w:hAnsi="Arial" w:cs="Arial"/>
        </w:rPr>
        <w:t xml:space="preserve">. Available at: </w:t>
      </w:r>
      <w:hyperlink r:id="rId12">
        <w:r>
          <w:rPr>
            <w:rStyle w:val="af"/>
            <w:rFonts w:ascii="Arial" w:hAnsi="Arial" w:cs="Arial"/>
            <w:color w:val="auto"/>
          </w:rPr>
          <w:t>https://www.unilever.com/investors/annual-report-and-accounts/</w:t>
        </w:r>
      </w:hyperlink>
      <w:r>
        <w:rPr>
          <w:rFonts w:ascii="Arial" w:hAnsi="Arial" w:cs="Arial"/>
        </w:rPr>
        <w:t xml:space="preserve"> (Accessed: 7 January 2025).</w:t>
      </w:r>
    </w:p>
    <w:p w14:paraId="3FE662F5" w14:textId="77777777" w:rsidR="00C3197C" w:rsidRDefault="00000000">
      <w:pPr>
        <w:pStyle w:val="a0"/>
        <w:numPr>
          <w:ilvl w:val="0"/>
          <w:numId w:val="1"/>
        </w:numPr>
        <w:spacing w:before="0" w:after="0" w:line="480" w:lineRule="auto"/>
        <w:jc w:val="both"/>
        <w:rPr>
          <w:rFonts w:ascii="Arial" w:hAnsi="Arial" w:cs="Arial"/>
        </w:rPr>
      </w:pPr>
      <w:r>
        <w:rPr>
          <w:rFonts w:ascii="Arial" w:hAnsi="Arial" w:cs="Arial"/>
        </w:rPr>
        <w:t>Unilever. (</w:t>
      </w:r>
      <w:proofErr w:type="gramStart"/>
      <w:r>
        <w:rPr>
          <w:rFonts w:ascii="Arial" w:hAnsi="Arial" w:cs="Arial"/>
        </w:rPr>
        <w:t>2023) ‘</w:t>
      </w:r>
      <w:proofErr w:type="gramEnd"/>
      <w:r>
        <w:rPr>
          <w:rFonts w:ascii="Arial" w:hAnsi="Arial" w:cs="Arial"/>
        </w:rPr>
        <w:t xml:space="preserve">FY 2023 Results’. Available at: </w:t>
      </w:r>
      <w:hyperlink r:id="rId13">
        <w:r>
          <w:rPr>
            <w:rStyle w:val="af"/>
            <w:rFonts w:ascii="Arial" w:hAnsi="Arial" w:cs="Arial"/>
            <w:color w:val="auto"/>
          </w:rPr>
          <w:t>https://www.unilever.com/files/92ui5egz/production/799d1a197ba9b5e8f652d95f01861c36c9c64494.pdf</w:t>
        </w:r>
      </w:hyperlink>
      <w:r>
        <w:rPr>
          <w:rFonts w:ascii="Arial" w:hAnsi="Arial" w:cs="Arial"/>
        </w:rPr>
        <w:t xml:space="preserve"> (Accessed: 7 January 2025).</w:t>
      </w:r>
    </w:p>
    <w:p w14:paraId="046F1AE3" w14:textId="77777777" w:rsidR="00C3197C" w:rsidRDefault="00000000">
      <w:pPr>
        <w:pStyle w:val="a0"/>
        <w:numPr>
          <w:ilvl w:val="0"/>
          <w:numId w:val="1"/>
        </w:numPr>
        <w:spacing w:before="0" w:after="0" w:line="480" w:lineRule="auto"/>
        <w:jc w:val="both"/>
        <w:rPr>
          <w:rFonts w:ascii="Arial" w:hAnsi="Arial" w:cs="Arial"/>
        </w:rPr>
      </w:pPr>
      <w:r>
        <w:rPr>
          <w:rFonts w:ascii="Arial" w:hAnsi="Arial" w:cs="Arial"/>
        </w:rPr>
        <w:t>Wall Street Journal. (</w:t>
      </w:r>
      <w:proofErr w:type="gramStart"/>
      <w:r>
        <w:rPr>
          <w:rFonts w:ascii="Arial" w:hAnsi="Arial" w:cs="Arial"/>
        </w:rPr>
        <w:t>2023) ‘</w:t>
      </w:r>
      <w:proofErr w:type="gramEnd"/>
      <w:r>
        <w:rPr>
          <w:rFonts w:ascii="Arial" w:hAnsi="Arial" w:cs="Arial"/>
        </w:rPr>
        <w:t xml:space="preserve">Unilever PLC ADR Financial Statements’. </w:t>
      </w:r>
      <w:r>
        <w:rPr>
          <w:rFonts w:ascii="Arial" w:hAnsi="Arial" w:cs="Arial"/>
          <w:i/>
          <w:iCs/>
        </w:rPr>
        <w:t>Wall Street Journal</w:t>
      </w:r>
      <w:r>
        <w:rPr>
          <w:rFonts w:ascii="Arial" w:hAnsi="Arial" w:cs="Arial"/>
        </w:rPr>
        <w:t xml:space="preserve">. Available at: </w:t>
      </w:r>
      <w:hyperlink r:id="rId14">
        <w:r>
          <w:rPr>
            <w:rStyle w:val="af"/>
            <w:rFonts w:ascii="Arial" w:hAnsi="Arial" w:cs="Arial"/>
            <w:color w:val="auto"/>
          </w:rPr>
          <w:t>https://www.wsj.com/market-data/quotes/UL/financials</w:t>
        </w:r>
      </w:hyperlink>
      <w:r>
        <w:rPr>
          <w:rFonts w:ascii="Arial" w:hAnsi="Arial" w:cs="Arial"/>
        </w:rPr>
        <w:t xml:space="preserve"> (Accessed: 7 January 2025).</w:t>
      </w:r>
      <w:bookmarkEnd w:id="6"/>
    </w:p>
    <w:sectPr w:rsidR="00C3197C">
      <w:pgSz w:w="12240" w:h="15840"/>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FE914D" w14:textId="77777777" w:rsidR="00AE54F9" w:rsidRDefault="00AE54F9">
      <w:pPr>
        <w:spacing w:after="0"/>
      </w:pPr>
      <w:r>
        <w:separator/>
      </w:r>
    </w:p>
  </w:endnote>
  <w:endnote w:type="continuationSeparator" w:id="0">
    <w:p w14:paraId="399DD69A" w14:textId="77777777" w:rsidR="00AE54F9" w:rsidRDefault="00AE54F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default"/>
    <w:sig w:usb0="E00006FF" w:usb1="0000FCFF" w:usb2="00000001" w:usb3="00000000" w:csb0="6000019F" w:csb1="DFD7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DC2038" w14:textId="77777777" w:rsidR="00AE54F9" w:rsidRDefault="00AE54F9">
      <w:pPr>
        <w:spacing w:after="0"/>
      </w:pPr>
      <w:r>
        <w:separator/>
      </w:r>
    </w:p>
  </w:footnote>
  <w:footnote w:type="continuationSeparator" w:id="0">
    <w:p w14:paraId="7C2CFCFF" w14:textId="77777777" w:rsidR="00AE54F9" w:rsidRDefault="00AE54F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C3559F"/>
    <w:multiLevelType w:val="multilevel"/>
    <w:tmpl w:val="7AC3559F"/>
    <w:lvl w:ilvl="0">
      <w:start w:val="1"/>
      <w:numFmt w:val="decimal"/>
      <w:lvlText w:val="%1."/>
      <w:lvlJc w:val="left"/>
      <w:pPr>
        <w:ind w:left="420" w:hanging="420"/>
      </w:pPr>
      <w:rPr>
        <w:rFonts w:hint="eastAsia"/>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num w:numId="1" w16cid:durableId="1822692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D1DB7"/>
    <w:rsid w:val="000125F4"/>
    <w:rsid w:val="001A61CC"/>
    <w:rsid w:val="001D1DB7"/>
    <w:rsid w:val="00281E81"/>
    <w:rsid w:val="00495A71"/>
    <w:rsid w:val="00AE54F9"/>
    <w:rsid w:val="00C3197C"/>
    <w:rsid w:val="00CC3880"/>
    <w:rsid w:val="761070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33B00AB4"/>
  <w15:docId w15:val="{4C01BC5A-2546-4C24-AC27-22166739B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uiPriority="9" w:unhideWhenUsed="1" w:qFormat="1"/>
    <w:lsdException w:name="heading 8" w:uiPriority="9" w:unhideWhenUsed="1" w:qFormat="1"/>
    <w:lsdException w:name="heading 9" w:uiPriority="9"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uiPriority="9" w:unhideWhenUsed="1" w:qFormat="1"/>
    <w:lsdException w:name="annotation text" w:semiHidden="1" w:unhideWhenUsed="1"/>
    <w:lsdException w:name="header" w:unhideWhenUsed="1"/>
    <w:lsdException w:name="footer" w:unhideWhenUsed="1"/>
    <w:lsdException w:name="index heading" w:semiHidden="1" w:unhideWhenUsed="1"/>
    <w:lsdException w:name="table of figures" w:semiHidden="1" w:unhideWhenUsed="1"/>
    <w:lsdException w:name="envelope address" w:semiHidden="1" w:unhideWhenUsed="1"/>
    <w:lsdException w:name="envelope return"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qFormat="1"/>
    <w:lsdException w:name="Body Text"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qFormat="1"/>
    <w:lsdException w:name="Body Text First Indent" w:semiHidden="1" w:unhideWhenUsed="1"/>
    <w:lsdException w:name="Body Text Indent 2" w:semiHidden="1" w:unhideWhenUsed="1"/>
    <w:lsdException w:name="Body Text Indent 3" w:semiHidden="1" w:unhideWhenUsed="1"/>
    <w:lsdException w:name="Block Text" w:uiPriority="9" w:unhideWhenUsed="1" w:qFormat="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spacing w:after="200"/>
    </w:pPr>
    <w:rPr>
      <w:sz w:val="24"/>
      <w:szCs w:val="24"/>
      <w:lang w:eastAsia="en-US"/>
    </w:rPr>
  </w:style>
  <w:style w:type="paragraph" w:styleId="1">
    <w:name w:val="heading 1"/>
    <w:basedOn w:val="a"/>
    <w:next w:val="a0"/>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2">
    <w:name w:val="heading 2"/>
    <w:basedOn w:val="a"/>
    <w:next w:val="a0"/>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3">
    <w:name w:val="heading 3"/>
    <w:basedOn w:val="a"/>
    <w:next w:val="a0"/>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4">
    <w:name w:val="heading 4"/>
    <w:basedOn w:val="a"/>
    <w:next w:val="a0"/>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5">
    <w:name w:val="heading 5"/>
    <w:basedOn w:val="a"/>
    <w:next w:val="a0"/>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6">
    <w:name w:val="heading 6"/>
    <w:basedOn w:val="a"/>
    <w:next w:val="a0"/>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7">
    <w:name w:val="heading 7"/>
    <w:basedOn w:val="a"/>
    <w:next w:val="a0"/>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8">
    <w:name w:val="heading 8"/>
    <w:basedOn w:val="a"/>
    <w:next w:val="a0"/>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9">
    <w:name w:val="heading 9"/>
    <w:basedOn w:val="a"/>
    <w:next w:val="a0"/>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a1">
    <w:name w:val="Default Paragraph Font"/>
    <w:uiPriority w:val="1"/>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Body Text"/>
    <w:basedOn w:val="a"/>
    <w:qFormat/>
    <w:pPr>
      <w:spacing w:before="180" w:after="180"/>
    </w:pPr>
  </w:style>
  <w:style w:type="paragraph" w:styleId="a4">
    <w:name w:val="caption"/>
    <w:basedOn w:val="a"/>
    <w:link w:val="a5"/>
    <w:pPr>
      <w:spacing w:after="120"/>
    </w:pPr>
    <w:rPr>
      <w:i/>
    </w:rPr>
  </w:style>
  <w:style w:type="paragraph" w:styleId="a6">
    <w:name w:val="Block Text"/>
    <w:basedOn w:val="a0"/>
    <w:next w:val="a0"/>
    <w:uiPriority w:val="9"/>
    <w:unhideWhenUsed/>
    <w:qFormat/>
    <w:pPr>
      <w:spacing w:before="100" w:after="100"/>
      <w:ind w:left="480" w:right="480"/>
    </w:pPr>
  </w:style>
  <w:style w:type="paragraph" w:styleId="a7">
    <w:name w:val="Date"/>
    <w:next w:val="a0"/>
    <w:qFormat/>
    <w:pPr>
      <w:keepNext/>
      <w:keepLines/>
      <w:spacing w:after="200"/>
      <w:jc w:val="center"/>
    </w:pPr>
    <w:rPr>
      <w:sz w:val="24"/>
      <w:szCs w:val="24"/>
      <w:lang w:eastAsia="en-US"/>
    </w:rPr>
  </w:style>
  <w:style w:type="paragraph" w:styleId="a8">
    <w:name w:val="footer"/>
    <w:basedOn w:val="a"/>
    <w:link w:val="a9"/>
    <w:unhideWhenUsed/>
    <w:pPr>
      <w:tabs>
        <w:tab w:val="center" w:pos="4153"/>
        <w:tab w:val="right" w:pos="8306"/>
      </w:tabs>
      <w:snapToGrid w:val="0"/>
    </w:pPr>
    <w:rPr>
      <w:sz w:val="18"/>
      <w:szCs w:val="18"/>
    </w:rPr>
  </w:style>
  <w:style w:type="paragraph" w:styleId="aa">
    <w:name w:val="header"/>
    <w:basedOn w:val="a"/>
    <w:link w:val="ab"/>
    <w:unhideWhenUsed/>
    <w:pPr>
      <w:pBdr>
        <w:bottom w:val="single" w:sz="6" w:space="1" w:color="auto"/>
      </w:pBdr>
      <w:tabs>
        <w:tab w:val="center" w:pos="4153"/>
        <w:tab w:val="right" w:pos="8306"/>
      </w:tabs>
      <w:snapToGrid w:val="0"/>
      <w:jc w:val="center"/>
    </w:pPr>
    <w:rPr>
      <w:sz w:val="18"/>
      <w:szCs w:val="18"/>
    </w:rPr>
  </w:style>
  <w:style w:type="paragraph" w:styleId="ac">
    <w:name w:val="Subtitle"/>
    <w:basedOn w:val="ad"/>
    <w:next w:val="a0"/>
    <w:qFormat/>
    <w:pPr>
      <w:spacing w:before="240"/>
    </w:pPr>
    <w:rPr>
      <w:sz w:val="30"/>
      <w:szCs w:val="30"/>
    </w:rPr>
  </w:style>
  <w:style w:type="paragraph" w:styleId="ad">
    <w:name w:val="Title"/>
    <w:basedOn w:val="a"/>
    <w:next w:val="a0"/>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ae">
    <w:name w:val="footnote text"/>
    <w:basedOn w:val="a"/>
    <w:uiPriority w:val="9"/>
    <w:unhideWhenUsed/>
    <w:qFormat/>
  </w:style>
  <w:style w:type="character" w:styleId="af">
    <w:name w:val="Hyperlink"/>
    <w:basedOn w:val="a5"/>
    <w:rPr>
      <w:color w:val="4F81BD" w:themeColor="accent1"/>
    </w:rPr>
  </w:style>
  <w:style w:type="character" w:customStyle="1" w:styleId="a5">
    <w:name w:val="题注 字符"/>
    <w:basedOn w:val="a1"/>
    <w:link w:val="a4"/>
  </w:style>
  <w:style w:type="character" w:styleId="af0">
    <w:name w:val="footnote reference"/>
    <w:basedOn w:val="a5"/>
    <w:rPr>
      <w:vertAlign w:val="superscript"/>
    </w:rPr>
  </w:style>
  <w:style w:type="paragraph" w:customStyle="1" w:styleId="FirstParagraph">
    <w:name w:val="First Paragraph"/>
    <w:basedOn w:val="a0"/>
    <w:next w:val="a0"/>
    <w:qFormat/>
  </w:style>
  <w:style w:type="paragraph" w:customStyle="1" w:styleId="Compact">
    <w:name w:val="Compact"/>
    <w:basedOn w:val="a0"/>
    <w:qFormat/>
    <w:pPr>
      <w:spacing w:before="36" w:after="36"/>
    </w:pPr>
  </w:style>
  <w:style w:type="paragraph" w:customStyle="1" w:styleId="Author">
    <w:name w:val="Author"/>
    <w:next w:val="a0"/>
    <w:qFormat/>
    <w:pPr>
      <w:keepNext/>
      <w:keepLines/>
      <w:spacing w:after="200"/>
      <w:jc w:val="center"/>
    </w:pPr>
    <w:rPr>
      <w:sz w:val="24"/>
      <w:szCs w:val="24"/>
      <w:lang w:eastAsia="en-US"/>
    </w:rPr>
  </w:style>
  <w:style w:type="paragraph" w:customStyle="1" w:styleId="AbstractTitle">
    <w:name w:val="Abstract Title"/>
    <w:basedOn w:val="a"/>
    <w:next w:val="Abstract"/>
    <w:qFormat/>
    <w:pPr>
      <w:keepNext/>
      <w:keepLines/>
      <w:spacing w:before="300" w:after="0"/>
      <w:jc w:val="center"/>
    </w:pPr>
    <w:rPr>
      <w:b/>
      <w:color w:val="345A8A"/>
      <w:sz w:val="20"/>
      <w:szCs w:val="20"/>
    </w:rPr>
  </w:style>
  <w:style w:type="paragraph" w:customStyle="1" w:styleId="Abstract">
    <w:name w:val="Abstract"/>
    <w:basedOn w:val="a"/>
    <w:next w:val="a0"/>
    <w:qFormat/>
    <w:pPr>
      <w:keepNext/>
      <w:keepLines/>
      <w:spacing w:before="100" w:after="300"/>
    </w:pPr>
    <w:rPr>
      <w:sz w:val="20"/>
      <w:szCs w:val="20"/>
    </w:rPr>
  </w:style>
  <w:style w:type="paragraph" w:customStyle="1" w:styleId="10">
    <w:name w:val="书目1"/>
    <w:basedOn w:val="a"/>
    <w:qFormat/>
  </w:style>
  <w:style w:type="paragraph" w:customStyle="1" w:styleId="FootnoteBlockText">
    <w:name w:val="Footnote Block Text"/>
    <w:uiPriority w:val="9"/>
    <w:unhideWhenUsed/>
    <w:qFormat/>
    <w:pPr>
      <w:spacing w:before="100" w:after="100"/>
      <w:ind w:left="480" w:right="480"/>
    </w:pPr>
    <w:rPr>
      <w:sz w:val="24"/>
      <w:szCs w:val="24"/>
      <w:lang w:eastAsia="en-US"/>
    </w:rPr>
  </w:style>
  <w:style w:type="table" w:customStyle="1" w:styleId="Table">
    <w:name w:val="Table"/>
    <w:semiHidden/>
    <w:unhideWhenUsed/>
    <w:qFormat/>
    <w:tblPr>
      <w:tblCellMar>
        <w:top w:w="0" w:type="dxa"/>
        <w:left w:w="108" w:type="dxa"/>
        <w:bottom w:w="0" w:type="dxa"/>
        <w:right w:w="108" w:type="dxa"/>
      </w:tblCellMar>
    </w:tblPr>
    <w:tblStylePr w:type="firstRow">
      <w:tblPr/>
      <w:tcPr>
        <w:tcBorders>
          <w:bottom w:val="single" w:sz="0" w:space="0" w:color="auto"/>
        </w:tcBorders>
        <w:vAlign w:val="bottom"/>
      </w:tcPr>
    </w:tblStylePr>
  </w:style>
  <w:style w:type="paragraph" w:customStyle="1" w:styleId="DefinitionTerm">
    <w:name w:val="Definition Term"/>
    <w:basedOn w:val="a"/>
    <w:next w:val="Definition"/>
    <w:qFormat/>
    <w:pPr>
      <w:keepNext/>
      <w:keepLines/>
      <w:spacing w:after="0"/>
    </w:pPr>
    <w:rPr>
      <w:b/>
    </w:rPr>
  </w:style>
  <w:style w:type="paragraph" w:customStyle="1" w:styleId="Definition">
    <w:name w:val="Definition"/>
    <w:basedOn w:val="a"/>
    <w:qFormat/>
  </w:style>
  <w:style w:type="paragraph" w:customStyle="1" w:styleId="TableCaption">
    <w:name w:val="Table Caption"/>
    <w:basedOn w:val="a4"/>
    <w:pPr>
      <w:keepNext/>
    </w:pPr>
  </w:style>
  <w:style w:type="paragraph" w:customStyle="1" w:styleId="ImageCaption">
    <w:name w:val="Image Caption"/>
    <w:basedOn w:val="a4"/>
  </w:style>
  <w:style w:type="paragraph" w:customStyle="1" w:styleId="Figure">
    <w:name w:val="Figure"/>
    <w:basedOn w:val="a"/>
    <w:qFormat/>
  </w:style>
  <w:style w:type="paragraph" w:customStyle="1" w:styleId="CaptionedFigure">
    <w:name w:val="Captioned Figure"/>
    <w:basedOn w:val="Figure"/>
    <w:qFormat/>
    <w:pPr>
      <w:keepNext/>
    </w:pPr>
  </w:style>
  <w:style w:type="character" w:customStyle="1" w:styleId="VerbatimChar">
    <w:name w:val="Verbatim Char"/>
    <w:basedOn w:val="a5"/>
    <w:link w:val="SourceCode"/>
    <w:qFormat/>
    <w:rPr>
      <w:rFonts w:ascii="Consolas" w:hAnsi="Consolas"/>
      <w:sz w:val="22"/>
    </w:rPr>
  </w:style>
  <w:style w:type="paragraph" w:customStyle="1" w:styleId="SourceCode">
    <w:name w:val="Source Code"/>
    <w:basedOn w:val="a"/>
    <w:link w:val="VerbatimChar"/>
    <w:pPr>
      <w:shd w:val="clear" w:color="auto" w:fill="F8F8F8"/>
      <w:wordWrap w:val="0"/>
    </w:pPr>
  </w:style>
  <w:style w:type="character" w:customStyle="1" w:styleId="SectionNumber">
    <w:name w:val="Section Number"/>
    <w:basedOn w:val="a5"/>
  </w:style>
  <w:style w:type="paragraph" w:customStyle="1" w:styleId="TOC1">
    <w:name w:val="TOC 标题1"/>
    <w:basedOn w:val="1"/>
    <w:next w:val="a0"/>
    <w:uiPriority w:val="39"/>
    <w:unhideWhenUsed/>
    <w:qFormat/>
    <w:pPr>
      <w:spacing w:before="240" w:line="259" w:lineRule="auto"/>
      <w:outlineLvl w:val="9"/>
    </w:pPr>
    <w:rPr>
      <w:b w:val="0"/>
      <w:bCs w:val="0"/>
      <w:color w:val="365F91" w:themeColor="accent1" w:themeShade="BF"/>
    </w:rPr>
  </w:style>
  <w:style w:type="character" w:customStyle="1" w:styleId="KeywordTok">
    <w:name w:val="KeywordTok"/>
    <w:basedOn w:val="VerbatimChar"/>
    <w:rPr>
      <w:rFonts w:ascii="Consolas" w:hAnsi="Consolas"/>
      <w:b/>
      <w:color w:val="204A87"/>
      <w:sz w:val="22"/>
      <w:shd w:val="clear" w:color="auto" w:fill="F8F8F8"/>
    </w:rPr>
  </w:style>
  <w:style w:type="character" w:customStyle="1" w:styleId="DataTypeTok">
    <w:name w:val="DataTypeTok"/>
    <w:basedOn w:val="VerbatimChar"/>
    <w:rPr>
      <w:rFonts w:ascii="Consolas" w:hAnsi="Consolas"/>
      <w:color w:val="204A87"/>
      <w:sz w:val="22"/>
      <w:shd w:val="clear" w:color="auto" w:fill="F8F8F8"/>
    </w:rPr>
  </w:style>
  <w:style w:type="character" w:customStyle="1" w:styleId="DecValTok">
    <w:name w:val="DecValTok"/>
    <w:basedOn w:val="VerbatimChar"/>
    <w:rPr>
      <w:rFonts w:ascii="Consolas" w:hAnsi="Consolas"/>
      <w:color w:val="0000CF"/>
      <w:sz w:val="22"/>
      <w:shd w:val="clear" w:color="auto" w:fill="F8F8F8"/>
    </w:rPr>
  </w:style>
  <w:style w:type="character" w:customStyle="1" w:styleId="BaseNTok">
    <w:name w:val="BaseNTok"/>
    <w:basedOn w:val="VerbatimChar"/>
    <w:rPr>
      <w:rFonts w:ascii="Consolas" w:hAnsi="Consolas"/>
      <w:color w:val="0000CF"/>
      <w:sz w:val="22"/>
      <w:shd w:val="clear" w:color="auto" w:fill="F8F8F8"/>
    </w:rPr>
  </w:style>
  <w:style w:type="character" w:customStyle="1" w:styleId="FloatTok">
    <w:name w:val="FloatTok"/>
    <w:basedOn w:val="VerbatimChar"/>
    <w:qFormat/>
    <w:rPr>
      <w:rFonts w:ascii="Consolas" w:hAnsi="Consolas"/>
      <w:color w:val="0000CF"/>
      <w:sz w:val="22"/>
      <w:shd w:val="clear" w:color="auto" w:fill="F8F8F8"/>
    </w:rPr>
  </w:style>
  <w:style w:type="character" w:customStyle="1" w:styleId="ConstantTok">
    <w:name w:val="ConstantTok"/>
    <w:basedOn w:val="VerbatimChar"/>
    <w:rPr>
      <w:rFonts w:ascii="Consolas" w:hAnsi="Consolas"/>
      <w:color w:val="8F5902"/>
      <w:sz w:val="22"/>
      <w:shd w:val="clear" w:color="auto" w:fill="F8F8F8"/>
    </w:rPr>
  </w:style>
  <w:style w:type="character" w:customStyle="1" w:styleId="CharTok">
    <w:name w:val="CharTok"/>
    <w:basedOn w:val="VerbatimChar"/>
    <w:rPr>
      <w:rFonts w:ascii="Consolas" w:hAnsi="Consolas"/>
      <w:color w:val="4E9A06"/>
      <w:sz w:val="22"/>
      <w:shd w:val="clear" w:color="auto" w:fill="F8F8F8"/>
    </w:rPr>
  </w:style>
  <w:style w:type="character" w:customStyle="1" w:styleId="SpecialCharTok">
    <w:name w:val="SpecialCharTok"/>
    <w:basedOn w:val="VerbatimChar"/>
    <w:qFormat/>
    <w:rPr>
      <w:rFonts w:ascii="Consolas" w:hAnsi="Consolas"/>
      <w:b/>
      <w:color w:val="CE5C00"/>
      <w:sz w:val="22"/>
      <w:shd w:val="clear" w:color="auto" w:fill="F8F8F8"/>
    </w:rPr>
  </w:style>
  <w:style w:type="character" w:customStyle="1" w:styleId="StringTok">
    <w:name w:val="StringTok"/>
    <w:basedOn w:val="VerbatimChar"/>
    <w:qFormat/>
    <w:rPr>
      <w:rFonts w:ascii="Consolas" w:hAnsi="Consolas"/>
      <w:color w:val="4E9A06"/>
      <w:sz w:val="22"/>
      <w:shd w:val="clear" w:color="auto" w:fill="F8F8F8"/>
    </w:rPr>
  </w:style>
  <w:style w:type="character" w:customStyle="1" w:styleId="VerbatimStringTok">
    <w:name w:val="VerbatimStringTok"/>
    <w:basedOn w:val="VerbatimChar"/>
    <w:qFormat/>
    <w:rPr>
      <w:rFonts w:ascii="Consolas" w:hAnsi="Consolas"/>
      <w:color w:val="4E9A06"/>
      <w:sz w:val="22"/>
      <w:shd w:val="clear" w:color="auto" w:fill="F8F8F8"/>
    </w:rPr>
  </w:style>
  <w:style w:type="character" w:customStyle="1" w:styleId="SpecialStringTok">
    <w:name w:val="SpecialStringTok"/>
    <w:basedOn w:val="VerbatimChar"/>
    <w:rPr>
      <w:rFonts w:ascii="Consolas" w:hAnsi="Consolas"/>
      <w:color w:val="4E9A06"/>
      <w:sz w:val="22"/>
      <w:shd w:val="clear" w:color="auto" w:fill="F8F8F8"/>
    </w:rPr>
  </w:style>
  <w:style w:type="character" w:customStyle="1" w:styleId="ImportTok">
    <w:name w:val="ImportTok"/>
    <w:basedOn w:val="VerbatimChar"/>
    <w:qFormat/>
    <w:rPr>
      <w:rFonts w:ascii="Consolas" w:hAnsi="Consolas"/>
      <w:sz w:val="22"/>
      <w:shd w:val="clear" w:color="auto" w:fill="F8F8F8"/>
    </w:rPr>
  </w:style>
  <w:style w:type="character" w:customStyle="1" w:styleId="CommentTok">
    <w:name w:val="CommentTok"/>
    <w:basedOn w:val="VerbatimChar"/>
    <w:rPr>
      <w:rFonts w:ascii="Consolas" w:hAnsi="Consolas"/>
      <w:i/>
      <w:color w:val="8F5902"/>
      <w:sz w:val="22"/>
      <w:shd w:val="clear" w:color="auto" w:fill="F8F8F8"/>
    </w:rPr>
  </w:style>
  <w:style w:type="character" w:customStyle="1" w:styleId="DocumentationTok">
    <w:name w:val="DocumentationTok"/>
    <w:basedOn w:val="VerbatimChar"/>
    <w:rPr>
      <w:rFonts w:ascii="Consolas" w:hAnsi="Consolas"/>
      <w:b/>
      <w:i/>
      <w:color w:val="8F5902"/>
      <w:sz w:val="22"/>
      <w:shd w:val="clear" w:color="auto" w:fill="F8F8F8"/>
    </w:rPr>
  </w:style>
  <w:style w:type="character" w:customStyle="1" w:styleId="AnnotationTok">
    <w:name w:val="AnnotationTok"/>
    <w:basedOn w:val="VerbatimChar"/>
    <w:rPr>
      <w:rFonts w:ascii="Consolas" w:hAnsi="Consolas"/>
      <w:b/>
      <w:i/>
      <w:color w:val="8F5902"/>
      <w:sz w:val="22"/>
      <w:shd w:val="clear" w:color="auto" w:fill="F8F8F8"/>
    </w:rPr>
  </w:style>
  <w:style w:type="character" w:customStyle="1" w:styleId="CommentVarTok">
    <w:name w:val="CommentVarTok"/>
    <w:basedOn w:val="VerbatimChar"/>
    <w:rPr>
      <w:rFonts w:ascii="Consolas" w:hAnsi="Consolas"/>
      <w:b/>
      <w:i/>
      <w:color w:val="8F5902"/>
      <w:sz w:val="22"/>
      <w:shd w:val="clear" w:color="auto" w:fill="F8F8F8"/>
    </w:rPr>
  </w:style>
  <w:style w:type="character" w:customStyle="1" w:styleId="OtherTok">
    <w:name w:val="OtherTok"/>
    <w:basedOn w:val="VerbatimChar"/>
    <w:qFormat/>
    <w:rPr>
      <w:rFonts w:ascii="Consolas" w:hAnsi="Consolas"/>
      <w:color w:val="8F5902"/>
      <w:sz w:val="22"/>
      <w:shd w:val="clear" w:color="auto" w:fill="F8F8F8"/>
    </w:rPr>
  </w:style>
  <w:style w:type="character" w:customStyle="1" w:styleId="FunctionTok">
    <w:name w:val="FunctionTok"/>
    <w:basedOn w:val="VerbatimChar"/>
    <w:rPr>
      <w:rFonts w:ascii="Consolas" w:hAnsi="Consolas"/>
      <w:b/>
      <w:color w:val="204A87"/>
      <w:sz w:val="22"/>
      <w:shd w:val="clear" w:color="auto" w:fill="F8F8F8"/>
    </w:rPr>
  </w:style>
  <w:style w:type="character" w:customStyle="1" w:styleId="VariableTok">
    <w:name w:val="VariableTok"/>
    <w:basedOn w:val="VerbatimChar"/>
    <w:rPr>
      <w:rFonts w:ascii="Consolas" w:hAnsi="Consolas"/>
      <w:color w:val="000000"/>
      <w:sz w:val="22"/>
      <w:shd w:val="clear" w:color="auto" w:fill="F8F8F8"/>
    </w:rPr>
  </w:style>
  <w:style w:type="character" w:customStyle="1" w:styleId="ControlFlowTok">
    <w:name w:val="ControlFlowTok"/>
    <w:basedOn w:val="VerbatimChar"/>
    <w:qFormat/>
    <w:rPr>
      <w:rFonts w:ascii="Consolas" w:hAnsi="Consolas"/>
      <w:b/>
      <w:color w:val="204A87"/>
      <w:sz w:val="22"/>
      <w:shd w:val="clear" w:color="auto" w:fill="F8F8F8"/>
    </w:rPr>
  </w:style>
  <w:style w:type="character" w:customStyle="1" w:styleId="OperatorTok">
    <w:name w:val="OperatorTok"/>
    <w:basedOn w:val="VerbatimChar"/>
    <w:rPr>
      <w:rFonts w:ascii="Consolas" w:hAnsi="Consolas"/>
      <w:b/>
      <w:color w:val="CE5C00"/>
      <w:sz w:val="22"/>
      <w:shd w:val="clear" w:color="auto" w:fill="F8F8F8"/>
    </w:rPr>
  </w:style>
  <w:style w:type="character" w:customStyle="1" w:styleId="BuiltInTok">
    <w:name w:val="BuiltInTok"/>
    <w:basedOn w:val="VerbatimChar"/>
    <w:rPr>
      <w:rFonts w:ascii="Consolas" w:hAnsi="Consolas"/>
      <w:sz w:val="22"/>
      <w:shd w:val="clear" w:color="auto" w:fill="F8F8F8"/>
    </w:rPr>
  </w:style>
  <w:style w:type="character" w:customStyle="1" w:styleId="ExtensionTok">
    <w:name w:val="ExtensionTok"/>
    <w:basedOn w:val="VerbatimChar"/>
    <w:rPr>
      <w:rFonts w:ascii="Consolas" w:hAnsi="Consolas"/>
      <w:sz w:val="22"/>
      <w:shd w:val="clear" w:color="auto" w:fill="F8F8F8"/>
    </w:rPr>
  </w:style>
  <w:style w:type="character" w:customStyle="1" w:styleId="PreprocessorTok">
    <w:name w:val="PreprocessorTok"/>
    <w:basedOn w:val="VerbatimChar"/>
    <w:rPr>
      <w:rFonts w:ascii="Consolas" w:hAnsi="Consolas"/>
      <w:i/>
      <w:color w:val="8F5902"/>
      <w:sz w:val="22"/>
      <w:shd w:val="clear" w:color="auto" w:fill="F8F8F8"/>
    </w:rPr>
  </w:style>
  <w:style w:type="character" w:customStyle="1" w:styleId="AttributeTok">
    <w:name w:val="AttributeTok"/>
    <w:basedOn w:val="VerbatimChar"/>
    <w:rPr>
      <w:rFonts w:ascii="Consolas" w:hAnsi="Consolas"/>
      <w:color w:val="204A87"/>
      <w:sz w:val="22"/>
      <w:shd w:val="clear" w:color="auto" w:fill="F8F8F8"/>
    </w:rPr>
  </w:style>
  <w:style w:type="character" w:customStyle="1" w:styleId="RegionMarkerTok">
    <w:name w:val="RegionMarkerTok"/>
    <w:basedOn w:val="VerbatimChar"/>
    <w:rPr>
      <w:rFonts w:ascii="Consolas" w:hAnsi="Consolas"/>
      <w:sz w:val="22"/>
      <w:shd w:val="clear" w:color="auto" w:fill="F8F8F8"/>
    </w:rPr>
  </w:style>
  <w:style w:type="character" w:customStyle="1" w:styleId="InformationTok">
    <w:name w:val="InformationTok"/>
    <w:basedOn w:val="VerbatimChar"/>
    <w:qFormat/>
    <w:rPr>
      <w:rFonts w:ascii="Consolas" w:hAnsi="Consolas"/>
      <w:b/>
      <w:i/>
      <w:color w:val="8F5902"/>
      <w:sz w:val="22"/>
      <w:shd w:val="clear" w:color="auto" w:fill="F8F8F8"/>
    </w:rPr>
  </w:style>
  <w:style w:type="character" w:customStyle="1" w:styleId="WarningTok">
    <w:name w:val="WarningTok"/>
    <w:basedOn w:val="VerbatimChar"/>
    <w:qFormat/>
    <w:rPr>
      <w:rFonts w:ascii="Consolas" w:hAnsi="Consolas"/>
      <w:b/>
      <w:i/>
      <w:color w:val="8F5902"/>
      <w:sz w:val="22"/>
      <w:shd w:val="clear" w:color="auto" w:fill="F8F8F8"/>
    </w:rPr>
  </w:style>
  <w:style w:type="character" w:customStyle="1" w:styleId="AlertTok">
    <w:name w:val="AlertTok"/>
    <w:basedOn w:val="VerbatimChar"/>
    <w:qFormat/>
    <w:rPr>
      <w:rFonts w:ascii="Consolas" w:hAnsi="Consolas"/>
      <w:color w:val="EF2929"/>
      <w:sz w:val="22"/>
      <w:shd w:val="clear" w:color="auto" w:fill="F8F8F8"/>
    </w:rPr>
  </w:style>
  <w:style w:type="character" w:customStyle="1" w:styleId="ErrorTok">
    <w:name w:val="ErrorTok"/>
    <w:basedOn w:val="VerbatimChar"/>
    <w:rPr>
      <w:rFonts w:ascii="Consolas" w:hAnsi="Consolas"/>
      <w:b/>
      <w:color w:val="A40000"/>
      <w:sz w:val="22"/>
      <w:shd w:val="clear" w:color="auto" w:fill="F8F8F8"/>
    </w:rPr>
  </w:style>
  <w:style w:type="character" w:customStyle="1" w:styleId="NormalTok">
    <w:name w:val="NormalTok"/>
    <w:basedOn w:val="VerbatimChar"/>
    <w:rPr>
      <w:rFonts w:ascii="Consolas" w:hAnsi="Consolas"/>
      <w:sz w:val="22"/>
      <w:shd w:val="clear" w:color="auto" w:fill="F8F8F8"/>
    </w:rPr>
  </w:style>
  <w:style w:type="character" w:customStyle="1" w:styleId="ab">
    <w:name w:val="页眉 字符"/>
    <w:basedOn w:val="a1"/>
    <w:link w:val="aa"/>
    <w:rPr>
      <w:sz w:val="18"/>
      <w:szCs w:val="18"/>
    </w:rPr>
  </w:style>
  <w:style w:type="character" w:customStyle="1" w:styleId="a9">
    <w:name w:val="页脚 字符"/>
    <w:basedOn w:val="a1"/>
    <w:link w:val="a8"/>
    <w:qFormat/>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45571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unilever.com/files/92ui5egz/production/799d1a197ba9b5e8f652d95f01861c36c9c64494.pdf"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unilever.com/investors/annual-report-and-account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arkets.ft.com/data/equities/tearsheet/summary?s=ULVR%3ALSE"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markets.ft.com/data/announce/full?dockey=1323-16378456-6TMHUUEC565PSA3C6UO4UVDCGQ"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wsj.com/market-data/quotes/UL/financi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2025-01-20T00:00:00</PublishDate>
  <Abstract/>
  <CompanyAddress/>
  <CompanyPhone/>
  <CompanyFax/>
  <CompanyEmail/>
</CoverPageProperties>
</file>

<file path=customXml/item2.xml><?xml version="1.0" encoding="utf-8"?>
<s:customData xmlns="http://www.wps.cn/officeDocument/2013/wpsCustomData" xmlns:s="http://www.wps.cn/officeDocument/2013/wpsCustomData">
  <customSectProps/>
  <customShpExts>
    <customShpInfo spid="_x0000_s1027"/>
  </customShpExt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2959</Words>
  <Characters>16869</Characters>
  <Application>Microsoft Office Word</Application>
  <DocSecurity>0</DocSecurity>
  <Lines>140</Lines>
  <Paragraphs>39</Paragraphs>
  <ScaleCrop>false</ScaleCrop>
  <Company>UNIVERSITY OF WALES TRINITY SAINT DAVID</Company>
  <LinksUpToDate>false</LinksUpToDate>
  <CharactersWithSpaces>19789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Wang Yitong (2409469)</dc:subject>
  <dc:creator>mo</dc:creator>
  <cp:lastModifiedBy>一同 王</cp:lastModifiedBy>
  <cp:revision>3</cp:revision>
  <dcterms:created xsi:type="dcterms:W3CDTF">2025-01-07T01:26:00Z</dcterms:created>
  <dcterms:modified xsi:type="dcterms:W3CDTF">2025-01-20T08:53:00Z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utput">
    <vt:lpwstr>word_document</vt:lpwstr>
  </property>
  <property fmtid="{D5CDD505-2E9C-101B-9397-08002B2CF9AE}" pid="3" name="KSOTemplateDocerSaveRecord">
    <vt:lpwstr>eyJoZGlkIjoiZTg5ZDA0NTFiZDkyMTU2MWMxYzc2NmNlODI4OTI1OTMiLCJ1c2VySWQiOiI2OTA2MTI4NTAifQ==</vt:lpwstr>
  </property>
  <property fmtid="{D5CDD505-2E9C-101B-9397-08002B2CF9AE}" pid="4" name="KSOProductBuildVer">
    <vt:lpwstr>2052-12.1.0.19770</vt:lpwstr>
  </property>
  <property fmtid="{D5CDD505-2E9C-101B-9397-08002B2CF9AE}" pid="5" name="ICV">
    <vt:lpwstr>3351BE0FC5734184A0A76317D5DF7326_12</vt:lpwstr>
  </property>
</Properties>
</file>