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D3B69" w14:textId="34314490" w:rsidR="00525D77" w:rsidRDefault="000F3165" w:rsidP="000B5C6F">
      <w:pPr>
        <w:spacing w:line="360" w:lineRule="auto"/>
      </w:pPr>
      <w:r>
        <w:t>HPLA7021</w:t>
      </w:r>
    </w:p>
    <w:p w14:paraId="253BCCD7" w14:textId="40D591C1" w:rsidR="000F3165" w:rsidRDefault="000F3165" w:rsidP="000B5C6F">
      <w:pPr>
        <w:spacing w:line="360" w:lineRule="auto"/>
      </w:pPr>
      <w:r>
        <w:t>Charles-Elizabeth Boyles</w:t>
      </w:r>
    </w:p>
    <w:p w14:paraId="6EB6D38D" w14:textId="49CE3384" w:rsidR="000F3165" w:rsidRDefault="000F3165" w:rsidP="000B5C6F">
      <w:pPr>
        <w:spacing w:line="360" w:lineRule="auto"/>
      </w:pPr>
      <w:r>
        <w:t>Essay</w:t>
      </w:r>
    </w:p>
    <w:p w14:paraId="0C41A559" w14:textId="77777777" w:rsidR="000F3165" w:rsidRDefault="000F3165" w:rsidP="000B5C6F">
      <w:pPr>
        <w:spacing w:line="360" w:lineRule="auto"/>
      </w:pPr>
    </w:p>
    <w:p w14:paraId="045251DB" w14:textId="180C3870" w:rsidR="000F3165" w:rsidRPr="00FC64BB" w:rsidRDefault="00FC64BB" w:rsidP="000B5C6F">
      <w:pPr>
        <w:spacing w:line="360" w:lineRule="auto"/>
        <w:jc w:val="center"/>
      </w:pPr>
      <w:r>
        <w:rPr>
          <w:u w:val="single"/>
        </w:rPr>
        <w:t xml:space="preserve">Blind Theban, Black </w:t>
      </w:r>
      <w:r w:rsidR="00EF404D">
        <w:rPr>
          <w:u w:val="single"/>
        </w:rPr>
        <w:t>Ram</w:t>
      </w:r>
      <w:r>
        <w:rPr>
          <w:u w:val="single"/>
        </w:rPr>
        <w:t xml:space="preserve">: Homeric Tiresias in </w:t>
      </w:r>
      <w:r>
        <w:rPr>
          <w:i/>
          <w:iCs/>
          <w:u w:val="single"/>
        </w:rPr>
        <w:t>Thebaid</w:t>
      </w:r>
      <w:r>
        <w:rPr>
          <w:u w:val="single"/>
        </w:rPr>
        <w:t xml:space="preserve"> IV</w:t>
      </w:r>
    </w:p>
    <w:p w14:paraId="0B67F010" w14:textId="77777777" w:rsidR="000F3165" w:rsidRDefault="000F3165" w:rsidP="000B5C6F">
      <w:pPr>
        <w:spacing w:line="360" w:lineRule="auto"/>
        <w:jc w:val="center"/>
      </w:pPr>
    </w:p>
    <w:p w14:paraId="5A83E8C4" w14:textId="4E5A2134" w:rsidR="00F755C3" w:rsidRDefault="000F3165" w:rsidP="000B5C6F">
      <w:pPr>
        <w:spacing w:line="360" w:lineRule="auto"/>
        <w:ind w:firstLine="720"/>
      </w:pPr>
      <w:r>
        <w:t xml:space="preserve">In Book IV of Statius’ </w:t>
      </w:r>
      <w:r>
        <w:rPr>
          <w:i/>
          <w:iCs/>
        </w:rPr>
        <w:t>Thebaid</w:t>
      </w:r>
      <w:r>
        <w:t xml:space="preserve">, the figure of Tiresias makes one of his </w:t>
      </w:r>
      <w:r w:rsidR="00822190">
        <w:t>two</w:t>
      </w:r>
      <w:r>
        <w:t xml:space="preserve"> notable appearances in the epic, and the most sustained: with the aid of his daughter, he calls up the spirits of the dead in an act of necromancy to try to assuage Eteocles’ fears about the direction of the fratricidal war in which he is engaged. Much of this sequence of infernal divination draws on patterns found in </w:t>
      </w:r>
      <w:proofErr w:type="spellStart"/>
      <w:r>
        <w:rPr>
          <w:i/>
          <w:iCs/>
        </w:rPr>
        <w:t>nekuia</w:t>
      </w:r>
      <w:proofErr w:type="spellEnd"/>
      <w:r>
        <w:t xml:space="preserve"> of earlier epics, including the presentation of the figure of Tiresias himself. However, by </w:t>
      </w:r>
      <w:r w:rsidR="001906CD">
        <w:t xml:space="preserve">referencing and strategically </w:t>
      </w:r>
      <w:r>
        <w:t>deviating at critical moments from the ways Tiresias has been portrayed in earlier works, even aligning him with depictions of sinister figures,</w:t>
      </w:r>
      <w:r w:rsidR="001906CD">
        <w:t xml:space="preserve"> </w:t>
      </w:r>
      <w:r w:rsidR="00B86466">
        <w:t xml:space="preserve">and specifically referencing </w:t>
      </w:r>
      <w:r w:rsidR="001906CD">
        <w:t>his earliest appearance in Homer,</w:t>
      </w:r>
      <w:r>
        <w:t xml:space="preserve"> Statius uses the character to point to one of his greater themes in </w:t>
      </w:r>
      <w:r>
        <w:rPr>
          <w:i/>
          <w:iCs/>
        </w:rPr>
        <w:t>Thebaid</w:t>
      </w:r>
      <w:r>
        <w:t xml:space="preserve">: the </w:t>
      </w:r>
      <w:r w:rsidR="001906CD">
        <w:t>distortion of self that arises from</w:t>
      </w:r>
      <w:r>
        <w:t xml:space="preserve"> participation in a society-wide event that transgresses divine law.</w:t>
      </w:r>
    </w:p>
    <w:p w14:paraId="5A983A6F" w14:textId="76751BA2" w:rsidR="000F3165" w:rsidRDefault="00F755C3" w:rsidP="000B5C6F">
      <w:pPr>
        <w:spacing w:line="360" w:lineRule="auto"/>
        <w:ind w:firstLine="720"/>
      </w:pPr>
      <w:r>
        <w:t xml:space="preserve">The scene of necromancy in Book IV of </w:t>
      </w:r>
      <w:r>
        <w:rPr>
          <w:i/>
          <w:iCs/>
        </w:rPr>
        <w:t>Thebaid</w:t>
      </w:r>
      <w:r>
        <w:t xml:space="preserve"> comes after a parade of ill omens among the Thebans. To try to determine the outcome of the war with the Argives, led by his own brother, Eteocles calls upon the aid of Tiresias, whose affiliation with the house of Thebes is long-lived. Aided by his daughter Manto, Tiresias presides over an involved necromantic ceremony, opening a gateway to the underworld by means of prodigious sacrifices, which draws many of the notorious dead – some of whom Tiresias recognizes personally – who are dismissed in favor of advice from Laius, Oedipus’ father who Oedipus, himself the father of the warring brothers, famously murdered. Laius is </w:t>
      </w:r>
      <w:r w:rsidR="0037537C">
        <w:t>angry, both with Tiresias for approaching him at all, and in general because he cannot cross the Lethe; Tiresias promises him peace, and in return, Laius proffers a blistering and cryptic prophecy before the story moves on, refocusing on the Argive forces.</w:t>
      </w:r>
    </w:p>
    <w:p w14:paraId="6C43C281" w14:textId="0B0B7CBA" w:rsidR="000F3165" w:rsidRDefault="000F3165" w:rsidP="000B5C6F">
      <w:pPr>
        <w:spacing w:line="360" w:lineRule="auto"/>
        <w:ind w:firstLine="720"/>
      </w:pPr>
      <w:r>
        <w:t xml:space="preserve">Tiresias was, by the time Statius composed </w:t>
      </w:r>
      <w:r>
        <w:rPr>
          <w:i/>
          <w:iCs/>
        </w:rPr>
        <w:t>Thebaid</w:t>
      </w:r>
      <w:r>
        <w:t>, a well-known mythological figure</w:t>
      </w:r>
      <w:r w:rsidR="00B73A07">
        <w:t xml:space="preserve">, </w:t>
      </w:r>
      <w:r w:rsidR="00197B9B">
        <w:t>r</w:t>
      </w:r>
      <w:r w:rsidR="00B73A07">
        <w:t xml:space="preserve">eferenced first in </w:t>
      </w:r>
      <w:r w:rsidR="00B73A07">
        <w:rPr>
          <w:i/>
          <w:iCs/>
        </w:rPr>
        <w:t>Odyssey</w:t>
      </w:r>
      <w:r w:rsidR="005F66BA">
        <w:t xml:space="preserve"> Book X when Circe tells Odysseus how to find his way home. She directs him: </w:t>
      </w:r>
    </w:p>
    <w:p w14:paraId="298D4658" w14:textId="77777777" w:rsidR="005F66BA" w:rsidRDefault="005F66BA" w:rsidP="000B5C6F">
      <w:pPr>
        <w:spacing w:line="360" w:lineRule="auto"/>
        <w:ind w:firstLine="720"/>
      </w:pPr>
      <w:proofErr w:type="spellStart"/>
      <w:r>
        <w:lastRenderedPageBreak/>
        <w:t>ψυχῇ</w:t>
      </w:r>
      <w:proofErr w:type="spellEnd"/>
      <w:r>
        <w:t xml:space="preserve"> </w:t>
      </w:r>
      <w:proofErr w:type="spellStart"/>
      <w:r>
        <w:t>χρησομένους</w:t>
      </w:r>
      <w:proofErr w:type="spellEnd"/>
      <w:r>
        <w:t xml:space="preserve"> </w:t>
      </w:r>
      <w:proofErr w:type="spellStart"/>
      <w:r>
        <w:t>Θη</w:t>
      </w:r>
      <w:proofErr w:type="spellEnd"/>
      <w:r>
        <w:t xml:space="preserve">βαίου </w:t>
      </w:r>
      <w:proofErr w:type="spellStart"/>
      <w:r>
        <w:t>Τειρεσί</w:t>
      </w:r>
      <w:proofErr w:type="spellEnd"/>
      <w:r>
        <w:t>αο,</w:t>
      </w:r>
    </w:p>
    <w:p w14:paraId="2BD05A4A" w14:textId="77777777" w:rsidR="005F66BA" w:rsidRDefault="005F66BA" w:rsidP="000B5C6F">
      <w:pPr>
        <w:spacing w:line="360" w:lineRule="auto"/>
        <w:ind w:firstLine="720"/>
      </w:pPr>
      <w:proofErr w:type="spellStart"/>
      <w:r>
        <w:t>μάντηος</w:t>
      </w:r>
      <w:proofErr w:type="spellEnd"/>
      <w:r>
        <w:t xml:space="preserve"> </w:t>
      </w:r>
      <w:proofErr w:type="spellStart"/>
      <w:r>
        <w:t>ἀλ</w:t>
      </w:r>
      <w:proofErr w:type="spellEnd"/>
      <w:r>
        <w:t xml:space="preserve">αοῦ, </w:t>
      </w:r>
      <w:proofErr w:type="spellStart"/>
      <w:r>
        <w:t>τοῦ</w:t>
      </w:r>
      <w:proofErr w:type="spellEnd"/>
      <w:r>
        <w:t xml:space="preserve"> </w:t>
      </w:r>
      <w:proofErr w:type="spellStart"/>
      <w:r>
        <w:t>τε</w:t>
      </w:r>
      <w:proofErr w:type="spellEnd"/>
      <w:r>
        <w:t xml:space="preserve"> </w:t>
      </w:r>
      <w:proofErr w:type="spellStart"/>
      <w:r>
        <w:t>φρένες</w:t>
      </w:r>
      <w:proofErr w:type="spellEnd"/>
      <w:r>
        <w:t xml:space="preserve"> </w:t>
      </w:r>
      <w:proofErr w:type="spellStart"/>
      <w:r>
        <w:t>ἔμ</w:t>
      </w:r>
      <w:proofErr w:type="spellEnd"/>
      <w:r>
        <w:t xml:space="preserve">πεδοί </w:t>
      </w:r>
      <w:proofErr w:type="spellStart"/>
      <w:r>
        <w:t>εἰσι</w:t>
      </w:r>
      <w:proofErr w:type="spellEnd"/>
      <w:r>
        <w:t>:</w:t>
      </w:r>
    </w:p>
    <w:p w14:paraId="35B600AF" w14:textId="77777777" w:rsidR="00055DE8" w:rsidRDefault="005F66BA" w:rsidP="000B5C6F">
      <w:pPr>
        <w:spacing w:line="360" w:lineRule="auto"/>
        <w:ind w:firstLine="720"/>
      </w:pPr>
      <w:proofErr w:type="spellStart"/>
      <w:r>
        <w:t>τῷ</w:t>
      </w:r>
      <w:proofErr w:type="spellEnd"/>
      <w:r>
        <w:t xml:space="preserve"> καὶ </w:t>
      </w:r>
      <w:proofErr w:type="spellStart"/>
      <w:r>
        <w:t>τεθνηῶτι</w:t>
      </w:r>
      <w:proofErr w:type="spellEnd"/>
      <w:r>
        <w:t xml:space="preserve"> </w:t>
      </w:r>
      <w:proofErr w:type="spellStart"/>
      <w:r>
        <w:t>νόον</w:t>
      </w:r>
      <w:proofErr w:type="spellEnd"/>
      <w:r>
        <w:t xml:space="preserve"> π</w:t>
      </w:r>
      <w:proofErr w:type="spellStart"/>
      <w:r>
        <w:t>όρε</w:t>
      </w:r>
      <w:proofErr w:type="spellEnd"/>
      <w:r>
        <w:t xml:space="preserve"> </w:t>
      </w:r>
      <w:proofErr w:type="spellStart"/>
      <w:r>
        <w:t>Περσεφόνει</w:t>
      </w:r>
      <w:proofErr w:type="spellEnd"/>
      <w:r>
        <w:t>α</w:t>
      </w:r>
    </w:p>
    <w:p w14:paraId="4A3E7855" w14:textId="101DCA85" w:rsidR="005F66BA" w:rsidRPr="00055DE8" w:rsidRDefault="005F66BA" w:rsidP="000B5C6F">
      <w:pPr>
        <w:spacing w:line="360" w:lineRule="auto"/>
        <w:ind w:firstLine="720"/>
      </w:pPr>
      <w:r>
        <w:t xml:space="preserve"> </w:t>
      </w:r>
      <w:proofErr w:type="spellStart"/>
      <w:r w:rsidR="00055DE8" w:rsidRPr="00055DE8">
        <w:t>οἴῳ</w:t>
      </w:r>
      <w:proofErr w:type="spellEnd"/>
      <w:r w:rsidR="00055DE8" w:rsidRPr="00055DE8">
        <w:t xml:space="preserve"> πεπ</w:t>
      </w:r>
      <w:proofErr w:type="spellStart"/>
      <w:r w:rsidR="00055DE8" w:rsidRPr="00055DE8">
        <w:t>νῦσθ</w:t>
      </w:r>
      <w:proofErr w:type="spellEnd"/>
      <w:r w:rsidR="00055DE8" w:rsidRPr="00055DE8">
        <w:t xml:space="preserve">αι, </w:t>
      </w:r>
      <w:proofErr w:type="spellStart"/>
      <w:r w:rsidR="00055DE8" w:rsidRPr="00055DE8">
        <w:t>τοὶ</w:t>
      </w:r>
      <w:proofErr w:type="spellEnd"/>
      <w:r w:rsidR="00055DE8" w:rsidRPr="00055DE8">
        <w:t xml:space="preserve"> </w:t>
      </w:r>
      <w:proofErr w:type="spellStart"/>
      <w:r w:rsidR="00055DE8" w:rsidRPr="00055DE8">
        <w:t>δὲ</w:t>
      </w:r>
      <w:proofErr w:type="spellEnd"/>
      <w:r w:rsidR="00055DE8" w:rsidRPr="00055DE8">
        <w:t xml:space="preserve"> </w:t>
      </w:r>
      <w:proofErr w:type="spellStart"/>
      <w:r w:rsidR="00055DE8" w:rsidRPr="00055DE8">
        <w:t>σκι</w:t>
      </w:r>
      <w:proofErr w:type="spellEnd"/>
      <w:r w:rsidR="00055DE8" w:rsidRPr="00055DE8">
        <w:t xml:space="preserve">αὶ </w:t>
      </w:r>
      <w:proofErr w:type="spellStart"/>
      <w:r w:rsidR="00055DE8" w:rsidRPr="00055DE8">
        <w:t>ἀίσσουσιν</w:t>
      </w:r>
      <w:proofErr w:type="spellEnd"/>
      <w:r w:rsidR="00055DE8" w:rsidRPr="00055DE8">
        <w:t>.</w:t>
      </w:r>
      <w:r w:rsidR="00055DE8">
        <w:t xml:space="preserve"> (</w:t>
      </w:r>
      <w:r w:rsidR="00055DE8">
        <w:rPr>
          <w:i/>
          <w:iCs/>
        </w:rPr>
        <w:t>Od</w:t>
      </w:r>
      <w:r w:rsidR="00055DE8">
        <w:t>.X.492-5)</w:t>
      </w:r>
    </w:p>
    <w:p w14:paraId="2694E714" w14:textId="5B88BC79" w:rsidR="005F66BA" w:rsidRDefault="005F66BA" w:rsidP="000B5C6F">
      <w:pPr>
        <w:spacing w:line="360" w:lineRule="auto"/>
        <w:ind w:firstLine="720"/>
      </w:pPr>
      <w:r>
        <w:t>… You’ll speak to the spirit of Theban Tiresias,</w:t>
      </w:r>
    </w:p>
    <w:p w14:paraId="248586E5" w14:textId="621D4F12" w:rsidR="005F66BA" w:rsidRDefault="005F66BA" w:rsidP="000B5C6F">
      <w:pPr>
        <w:spacing w:line="360" w:lineRule="auto"/>
        <w:ind w:firstLine="720"/>
      </w:pPr>
      <w:r>
        <w:t xml:space="preserve">the blind seer, </w:t>
      </w:r>
      <w:r w:rsidR="00055DE8">
        <w:t>who is confirmed in his reason:</w:t>
      </w:r>
    </w:p>
    <w:p w14:paraId="5593FD08" w14:textId="5A2BCE06" w:rsidR="00055DE8" w:rsidRDefault="00055DE8" w:rsidP="000B5C6F">
      <w:pPr>
        <w:spacing w:line="360" w:lineRule="auto"/>
        <w:ind w:firstLine="720"/>
      </w:pPr>
      <w:r>
        <w:t>Persephone bestowed him reason in death,</w:t>
      </w:r>
    </w:p>
    <w:p w14:paraId="428C3557" w14:textId="77777777" w:rsidR="0088426E" w:rsidRDefault="00055DE8" w:rsidP="0088426E">
      <w:pPr>
        <w:spacing w:line="360" w:lineRule="auto"/>
        <w:ind w:firstLine="720"/>
      </w:pPr>
      <w:r>
        <w:t xml:space="preserve">for him alone to be cognizant, while the other shades float aimlessly. </w:t>
      </w:r>
    </w:p>
    <w:p w14:paraId="52D583A5" w14:textId="398F1E5A" w:rsidR="00055DE8" w:rsidRDefault="00055DE8" w:rsidP="0088426E">
      <w:pPr>
        <w:spacing w:line="360" w:lineRule="auto"/>
        <w:ind w:firstLine="720"/>
      </w:pPr>
      <w:r>
        <w:t>(</w:t>
      </w:r>
      <w:r w:rsidR="0088426E">
        <w:t>All t</w:t>
      </w:r>
      <w:r>
        <w:t>ranslation</w:t>
      </w:r>
      <w:r w:rsidR="0088426E">
        <w:t>s</w:t>
      </w:r>
      <w:r>
        <w:t xml:space="preserve"> mine)</w:t>
      </w:r>
    </w:p>
    <w:p w14:paraId="42B561F2" w14:textId="07A30B42" w:rsidR="00055DE8" w:rsidRDefault="00055DE8" w:rsidP="000B5C6F">
      <w:pPr>
        <w:spacing w:line="360" w:lineRule="auto"/>
      </w:pPr>
      <w:r>
        <w:t xml:space="preserve">In the same section, Circe is careful to note that Tiresias should receive </w:t>
      </w:r>
      <w:proofErr w:type="spellStart"/>
      <w:r>
        <w:t>ὄιν</w:t>
      </w:r>
      <w:proofErr w:type="spellEnd"/>
      <w:r>
        <w:t xml:space="preserve"> … / πα</w:t>
      </w:r>
      <w:proofErr w:type="spellStart"/>
      <w:r>
        <w:t>μμέλ</w:t>
      </w:r>
      <w:proofErr w:type="spellEnd"/>
      <w:r>
        <w:t>αν</w:t>
      </w:r>
      <w:proofErr w:type="gramStart"/>
      <w:r>
        <w:t>᾽,</w:t>
      </w:r>
      <w:r w:rsidRPr="00055DE8">
        <w:t>ὃς</w:t>
      </w:r>
      <w:proofErr w:type="gramEnd"/>
      <w:r w:rsidRPr="00055DE8">
        <w:t xml:space="preserve"> </w:t>
      </w:r>
      <w:proofErr w:type="spellStart"/>
      <w:r w:rsidRPr="00055DE8">
        <w:t>μήλοισι</w:t>
      </w:r>
      <w:proofErr w:type="spellEnd"/>
      <w:r w:rsidRPr="00055DE8">
        <w:t xml:space="preserve"> </w:t>
      </w:r>
      <w:proofErr w:type="spellStart"/>
      <w:r w:rsidRPr="00055DE8">
        <w:t>μετ</w:t>
      </w:r>
      <w:proofErr w:type="spellEnd"/>
      <w:r w:rsidRPr="00055DE8">
        <w:t xml:space="preserve">απρέπει </w:t>
      </w:r>
      <w:proofErr w:type="spellStart"/>
      <w:r w:rsidRPr="00055DE8">
        <w:t>ὑμετέροισιν</w:t>
      </w:r>
      <w:proofErr w:type="spellEnd"/>
      <w:r>
        <w:t xml:space="preserve"> (</w:t>
      </w:r>
      <w:r>
        <w:rPr>
          <w:i/>
          <w:iCs/>
        </w:rPr>
        <w:t>Od</w:t>
      </w:r>
      <w:r>
        <w:t>.X.524-5)</w:t>
      </w:r>
      <w:r w:rsidR="005F1359">
        <w:rPr>
          <w:rStyle w:val="FootnoteReference"/>
        </w:rPr>
        <w:footnoteReference w:id="1"/>
      </w:r>
      <w:r>
        <w:t xml:space="preserve"> – “an all-black ram / distinguished among your flock” – in sacrifice on Odysseus’ return to Ithaca. </w:t>
      </w:r>
    </w:p>
    <w:p w14:paraId="7F2BAC55" w14:textId="47DC6639" w:rsidR="007439C7" w:rsidRDefault="00F755C3" w:rsidP="000B5C6F">
      <w:pPr>
        <w:spacing w:line="360" w:lineRule="auto"/>
        <w:ind w:firstLine="720"/>
      </w:pPr>
      <w:r>
        <w:t xml:space="preserve">While it is easy to spot Homeric references in classical texts, much as it is to spot Shakespearean allusions in anglophone ones, it is nonetheless a useful endeavor. Why are these references being made? What is the context of their source? In this case, Statius reaches back to Homer to remind the reader of the lengthy literary history of the figure of Tiresias, recalling the character’s typical qualities and affiliations. </w:t>
      </w:r>
      <w:r w:rsidR="00055DE8">
        <w:t>From the jump, then, Tiresias is blind, Theban, and a seer.</w:t>
      </w:r>
      <w:r w:rsidR="001906CD">
        <w:t xml:space="preserve"> He is to be vouchsafed a black ram. Let’s keep an eye on these attributes. </w:t>
      </w:r>
      <w:r w:rsidR="00055DE8">
        <w:t xml:space="preserve"> </w:t>
      </w:r>
    </w:p>
    <w:p w14:paraId="3FB1ABE8" w14:textId="570DAA15" w:rsidR="00055DE8" w:rsidRDefault="00197B9B" w:rsidP="000B5C6F">
      <w:pPr>
        <w:spacing w:line="360" w:lineRule="auto"/>
        <w:ind w:firstLine="720"/>
      </w:pPr>
      <w:r>
        <w:t>As Beek notes in his discussion of Manto, in subsequent works Tiresias is presented “in the role of a religious authority, one who is familiar with the will of the gods”</w:t>
      </w:r>
      <w:r w:rsidR="00822190">
        <w:rPr>
          <w:rStyle w:val="FootnoteReference"/>
        </w:rPr>
        <w:footnoteReference w:id="2"/>
      </w:r>
      <w:r>
        <w:t xml:space="preserve"> and that he is “much respected in his role as a priest and seer; his prestige is only challenged by kings […] who anticipate personal losses as a consequence of Tiresias’ prophecies</w:t>
      </w:r>
      <w:r w:rsidR="00822190">
        <w:t>.</w:t>
      </w:r>
      <w:r>
        <w:t>”</w:t>
      </w:r>
      <w:r w:rsidR="00822190">
        <w:rPr>
          <w:rStyle w:val="FootnoteReference"/>
        </w:rPr>
        <w:footnoteReference w:id="3"/>
      </w:r>
      <w:r>
        <w:t xml:space="preserve"> </w:t>
      </w:r>
      <w:r w:rsidR="007439C7">
        <w:t xml:space="preserve">Beek further points out that, in other parts of </w:t>
      </w:r>
      <w:r w:rsidR="007439C7">
        <w:rPr>
          <w:i/>
          <w:iCs/>
        </w:rPr>
        <w:t>Thebaid</w:t>
      </w:r>
      <w:r w:rsidR="007439C7">
        <w:t>, Tiresias has been “consistently associated with the celestial gods</w:t>
      </w:r>
      <w:r w:rsidR="00822190">
        <w:t>,</w:t>
      </w:r>
      <w:r w:rsidR="007439C7">
        <w:t>”</w:t>
      </w:r>
      <w:r w:rsidR="00822190">
        <w:rPr>
          <w:rStyle w:val="FootnoteReference"/>
        </w:rPr>
        <w:footnoteReference w:id="4"/>
      </w:r>
      <w:r w:rsidR="007439C7">
        <w:t xml:space="preserve"> but that, when he is associated with necromancy, “his work is sanctioned by powerful people, and he takes refuge in the protection of kings and gods, but nevertheless, this is an unsavory procedure</w:t>
      </w:r>
      <w:r w:rsidR="00822190">
        <w:t>.</w:t>
      </w:r>
      <w:r w:rsidR="007439C7">
        <w:t>”</w:t>
      </w:r>
      <w:r w:rsidR="00822190">
        <w:rPr>
          <w:rStyle w:val="FootnoteReference"/>
        </w:rPr>
        <w:footnoteReference w:id="5"/>
      </w:r>
      <w:r w:rsidR="007439C7">
        <w:t xml:space="preserve"> </w:t>
      </w:r>
    </w:p>
    <w:p w14:paraId="3BAE1BE4" w14:textId="38E817A0" w:rsidR="00F4270B" w:rsidRPr="00BA78E2" w:rsidRDefault="00F4270B" w:rsidP="000B5C6F">
      <w:pPr>
        <w:spacing w:line="360" w:lineRule="auto"/>
        <w:ind w:firstLine="720"/>
      </w:pPr>
      <w:r>
        <w:lastRenderedPageBreak/>
        <w:t xml:space="preserve">Before we move on from Manto, let’s note, too, that Statius explicitly aligns her with Circe, who first tells Odysseus to seek out Tiresias’ shade: </w:t>
      </w:r>
      <w:r w:rsidR="00BA78E2">
        <w:t xml:space="preserve">she is </w:t>
      </w:r>
      <w:proofErr w:type="spellStart"/>
      <w:r w:rsidR="00BA78E2">
        <w:rPr>
          <w:i/>
          <w:iCs/>
        </w:rPr>
        <w:t>qualis</w:t>
      </w:r>
      <w:proofErr w:type="spellEnd"/>
      <w:r w:rsidR="00BA78E2">
        <w:rPr>
          <w:i/>
          <w:iCs/>
        </w:rPr>
        <w:t xml:space="preserve">… </w:t>
      </w:r>
      <w:proofErr w:type="spellStart"/>
      <w:r w:rsidR="00BA78E2">
        <w:rPr>
          <w:i/>
          <w:iCs/>
        </w:rPr>
        <w:t>Aeaeo</w:t>
      </w:r>
      <w:proofErr w:type="spellEnd"/>
      <w:r w:rsidR="00BA78E2">
        <w:rPr>
          <w:i/>
          <w:iCs/>
        </w:rPr>
        <w:t xml:space="preserve"> </w:t>
      </w:r>
      <w:proofErr w:type="spellStart"/>
      <w:r w:rsidR="00BA78E2">
        <w:rPr>
          <w:i/>
          <w:iCs/>
        </w:rPr>
        <w:t>simulatrix</w:t>
      </w:r>
      <w:proofErr w:type="spellEnd"/>
      <w:r w:rsidR="00BA78E2">
        <w:rPr>
          <w:i/>
          <w:iCs/>
        </w:rPr>
        <w:t xml:space="preserve"> </w:t>
      </w:r>
      <w:proofErr w:type="spellStart"/>
      <w:r w:rsidR="00BA78E2">
        <w:rPr>
          <w:i/>
          <w:iCs/>
        </w:rPr>
        <w:t>litore</w:t>
      </w:r>
      <w:proofErr w:type="spellEnd"/>
      <w:r w:rsidR="00BA78E2">
        <w:rPr>
          <w:i/>
          <w:iCs/>
        </w:rPr>
        <w:t xml:space="preserve"> Circe</w:t>
      </w:r>
      <w:r w:rsidR="00BA78E2">
        <w:t xml:space="preserve"> (“just like… Circe, the illusionist from the </w:t>
      </w:r>
      <w:proofErr w:type="spellStart"/>
      <w:r w:rsidR="00BA78E2">
        <w:t>Aeaean</w:t>
      </w:r>
      <w:proofErr w:type="spellEnd"/>
      <w:r w:rsidR="00BA78E2">
        <w:t xml:space="preserve"> shore,” Stat.</w:t>
      </w:r>
      <w:r w:rsidR="00BA78E2">
        <w:rPr>
          <w:i/>
          <w:iCs/>
        </w:rPr>
        <w:t>Theb</w:t>
      </w:r>
      <w:r w:rsidR="00BA78E2">
        <w:t xml:space="preserve">.IV.550-1) – if you take away the crimes, of course. Indeed, the analogy could be said to run deeper: just as Circe outlines the actions Odysseus is to take to raise the spirits at the end of </w:t>
      </w:r>
      <w:r w:rsidR="00BA78E2">
        <w:rPr>
          <w:i/>
          <w:iCs/>
        </w:rPr>
        <w:t>Odyssey</w:t>
      </w:r>
      <w:r w:rsidR="00BA78E2">
        <w:t xml:space="preserve"> X, which he then repeats when he narrates his necromantic ritual at the beginning of </w:t>
      </w:r>
      <w:r w:rsidR="00BA78E2">
        <w:rPr>
          <w:i/>
          <w:iCs/>
        </w:rPr>
        <w:t>Odyssey</w:t>
      </w:r>
      <w:r w:rsidR="00BA78E2">
        <w:t xml:space="preserve"> XI, so Manto describes for her father what appears before them</w:t>
      </w:r>
      <w:r w:rsidR="00EB6DDB">
        <w:t xml:space="preserve"> (Stat.</w:t>
      </w:r>
      <w:r w:rsidR="00EB6DDB">
        <w:rPr>
          <w:i/>
          <w:iCs/>
        </w:rPr>
        <w:t>Theb</w:t>
      </w:r>
      <w:r w:rsidR="00EB6DDB">
        <w:t>.IV.519-35)</w:t>
      </w:r>
      <w:r w:rsidR="00BA78E2">
        <w:t xml:space="preserve">. She offers a kind of double-layer narrative, describing for Tiresias and for the reader the horrors of the underworld, recalling the near-identical description and performance of Circe and Odysseus; by capably carrying out important elements of the ritual in </w:t>
      </w:r>
      <w:r w:rsidR="00BA78E2">
        <w:rPr>
          <w:i/>
          <w:iCs/>
        </w:rPr>
        <w:t>Thebaid</w:t>
      </w:r>
      <w:r w:rsidR="00BA78E2">
        <w:t xml:space="preserve"> – she knows how to do this, she could tell you in detail how to do this</w:t>
      </w:r>
      <w:r w:rsidR="00EB6DDB">
        <w:t xml:space="preserve"> (witness Stat.</w:t>
      </w:r>
      <w:r w:rsidR="00EB6DDB">
        <w:rPr>
          <w:i/>
          <w:iCs/>
        </w:rPr>
        <w:t>Theb</w:t>
      </w:r>
      <w:r w:rsidR="00EB6DDB">
        <w:t>.IV.463-8)</w:t>
      </w:r>
      <w:r w:rsidR="00BA78E2">
        <w:t xml:space="preserve"> – she cements her similarity to Circe.</w:t>
      </w:r>
    </w:p>
    <w:p w14:paraId="315EA522" w14:textId="336B8EB7" w:rsidR="007439C7" w:rsidRDefault="007439C7" w:rsidP="000B5C6F">
      <w:pPr>
        <w:spacing w:line="360" w:lineRule="auto"/>
        <w:ind w:firstLine="720"/>
      </w:pPr>
      <w:r>
        <w:t xml:space="preserve">Vessey, in his examination of the links between Statius’ </w:t>
      </w:r>
      <w:proofErr w:type="spellStart"/>
      <w:r>
        <w:rPr>
          <w:i/>
          <w:iCs/>
        </w:rPr>
        <w:t>nekuia</w:t>
      </w:r>
      <w:proofErr w:type="spellEnd"/>
      <w:r>
        <w:t xml:space="preserve"> and other, similar scenes, takes a structuralist approach, tidily charting out the events of the </w:t>
      </w:r>
      <w:proofErr w:type="spellStart"/>
      <w:r>
        <w:t>nekyomanteia</w:t>
      </w:r>
      <w:proofErr w:type="spellEnd"/>
      <w:r>
        <w:t xml:space="preserve"> </w:t>
      </w:r>
      <w:r w:rsidR="00477201">
        <w:t xml:space="preserve">after exploring its similarities to other, </w:t>
      </w:r>
      <w:r w:rsidR="00D6420A">
        <w:t xml:space="preserve">related </w:t>
      </w:r>
      <w:r w:rsidR="00477201">
        <w:t>scenes.</w:t>
      </w:r>
      <w:r w:rsidR="00822190">
        <w:rPr>
          <w:rStyle w:val="FootnoteReference"/>
        </w:rPr>
        <w:footnoteReference w:id="6"/>
      </w:r>
      <w:r w:rsidR="00477201">
        <w:t xml:space="preserve"> Although Vessey focuses largely on the relation between this scene in Statius and a similar father-daughter tag-team in Seneca’s </w:t>
      </w:r>
      <w:r w:rsidR="00477201">
        <w:rPr>
          <w:i/>
          <w:iCs/>
        </w:rPr>
        <w:t>Oedipus</w:t>
      </w:r>
      <w:r w:rsidR="00D6420A">
        <w:t xml:space="preserve"> (to say nothing of his rather involved discussion of the </w:t>
      </w:r>
      <w:proofErr w:type="spellStart"/>
      <w:r w:rsidR="00D6420A">
        <w:t>nekyomanteia</w:t>
      </w:r>
      <w:proofErr w:type="spellEnd"/>
      <w:r w:rsidR="00D6420A">
        <w:t xml:space="preserve"> Silius includes in </w:t>
      </w:r>
      <w:r w:rsidR="00D6420A" w:rsidRPr="00D6420A">
        <w:rPr>
          <w:i/>
          <w:iCs/>
        </w:rPr>
        <w:t>Punica</w:t>
      </w:r>
      <w:r w:rsidR="00D6420A">
        <w:t xml:space="preserve">) </w:t>
      </w:r>
      <w:r w:rsidR="00477201" w:rsidRPr="00D6420A">
        <w:t>he</w:t>
      </w:r>
      <w:r w:rsidR="00477201">
        <w:t xml:space="preserve"> notes that Vergil offered a katabasis rather than the </w:t>
      </w:r>
      <w:proofErr w:type="spellStart"/>
      <w:r w:rsidR="00477201">
        <w:t>nekyomanteia</w:t>
      </w:r>
      <w:proofErr w:type="spellEnd"/>
      <w:r w:rsidR="00477201">
        <w:t xml:space="preserve"> performed by Odysseus,</w:t>
      </w:r>
      <w:r w:rsidR="00822190">
        <w:rPr>
          <w:rStyle w:val="FootnoteReference"/>
        </w:rPr>
        <w:footnoteReference w:id="7"/>
      </w:r>
      <w:r w:rsidR="00477201">
        <w:t xml:space="preserve"> and that Lucan, in </w:t>
      </w:r>
      <w:r w:rsidR="00477201">
        <w:rPr>
          <w:i/>
          <w:iCs/>
        </w:rPr>
        <w:t>Bellum civile</w:t>
      </w:r>
      <w:r w:rsidR="00477201">
        <w:t xml:space="preserve"> “rejects both katabasis and the traditional </w:t>
      </w:r>
      <w:proofErr w:type="spellStart"/>
      <w:r w:rsidR="00477201">
        <w:t>nekyomanteia</w:t>
      </w:r>
      <w:proofErr w:type="spellEnd"/>
      <w:r w:rsidR="00477201">
        <w:t xml:space="preserve"> in favor of a more hideous form of post-mortem communication. The details of the ritual are gruesome, bizarre, recherch</w:t>
      </w:r>
      <w:r w:rsidR="00B86466">
        <w:rPr>
          <w:rFonts w:cs="Times New Roman"/>
        </w:rPr>
        <w:t>é</w:t>
      </w:r>
      <w:r w:rsidR="00E418C9">
        <w:t>; the incantations… are… in language that is obscure and hermetic</w:t>
      </w:r>
      <w:r w:rsidR="00822190">
        <w:t>.</w:t>
      </w:r>
      <w:r w:rsidR="00E418C9">
        <w:t>”</w:t>
      </w:r>
      <w:r w:rsidR="00822190">
        <w:rPr>
          <w:rStyle w:val="FootnoteReference"/>
        </w:rPr>
        <w:footnoteReference w:id="8"/>
      </w:r>
      <w:r w:rsidR="00E418C9">
        <w:t xml:space="preserve"> He further notes that Statius here “offers a purely literary creation…. The rites carried out by Tiresias and Manto exist entirely in the realm of fantasy</w:t>
      </w:r>
      <w:r w:rsidR="00822190">
        <w:t>.</w:t>
      </w:r>
      <w:r w:rsidR="00E418C9">
        <w:t>”</w:t>
      </w:r>
      <w:r w:rsidR="00822190">
        <w:rPr>
          <w:rStyle w:val="FootnoteReference"/>
        </w:rPr>
        <w:footnoteReference w:id="9"/>
      </w:r>
      <w:r w:rsidR="00E418C9">
        <w:t xml:space="preserve"> Most critically, for our purposes, he too notes that Tiresias “has a considerable background in literature extending from early Greek epic to Seneca, </w:t>
      </w:r>
      <w:proofErr w:type="gramStart"/>
      <w:r w:rsidR="00E418C9">
        <w:t>and,</w:t>
      </w:r>
      <w:proofErr w:type="gramEnd"/>
      <w:r w:rsidR="00E418C9">
        <w:t xml:space="preserve"> partly because he was heir to a respectful portrait of Tiresias from which he could not deviate” avoids the extravagance of Lucan’s </w:t>
      </w:r>
      <w:proofErr w:type="spellStart"/>
      <w:r w:rsidR="00E418C9">
        <w:t>nekyomantei</w:t>
      </w:r>
      <w:r w:rsidR="00C121F2">
        <w:t>a</w:t>
      </w:r>
      <w:proofErr w:type="spellEnd"/>
      <w:r w:rsidR="00E418C9">
        <w:t>.</w:t>
      </w:r>
      <w:r w:rsidR="00C121F2">
        <w:rPr>
          <w:rStyle w:val="FootnoteReference"/>
        </w:rPr>
        <w:footnoteReference w:id="10"/>
      </w:r>
      <w:r w:rsidR="00E418C9">
        <w:t xml:space="preserve"> </w:t>
      </w:r>
    </w:p>
    <w:p w14:paraId="145D498A" w14:textId="52CA8822" w:rsidR="004928CA" w:rsidRPr="003E75AA" w:rsidRDefault="00E418C9" w:rsidP="000B5C6F">
      <w:pPr>
        <w:spacing w:line="360" w:lineRule="auto"/>
        <w:ind w:firstLine="720"/>
      </w:pPr>
      <w:r>
        <w:lastRenderedPageBreak/>
        <w:t xml:space="preserve">Even so, </w:t>
      </w:r>
      <w:proofErr w:type="gramStart"/>
      <w:r>
        <w:t>it is clear that something</w:t>
      </w:r>
      <w:proofErr w:type="gramEnd"/>
      <w:r>
        <w:t xml:space="preserve"> is not quite right in Tiresias’ practice of necromancy.</w:t>
      </w:r>
      <w:r w:rsidR="0003679F">
        <w:t xml:space="preserve"> Tiresias’ dismissal of other modes of divination, coming as it does on the heels of a brisk and damning description of the Thebans’ dismay at having to prepare for war, with its touching expression of concern for loved ones and other potential losses (Stat.</w:t>
      </w:r>
      <w:r w:rsidR="0003679F">
        <w:rPr>
          <w:i/>
          <w:iCs/>
        </w:rPr>
        <w:t>Theb</w:t>
      </w:r>
      <w:r w:rsidR="0003679F">
        <w:t>.IV.353-5), the simile comparing Eteocles to a wolf hunted from among a fold it has already savaged (Stat.</w:t>
      </w:r>
      <w:r w:rsidR="0003679F">
        <w:rPr>
          <w:i/>
          <w:iCs/>
        </w:rPr>
        <w:t>Theb</w:t>
      </w:r>
      <w:r w:rsidR="0003679F">
        <w:t xml:space="preserve">.IV.364-8), and the prophecy by </w:t>
      </w:r>
      <w:r w:rsidR="00B86466">
        <w:t xml:space="preserve">the </w:t>
      </w:r>
      <w:r w:rsidR="0003679F">
        <w:t>maenad (Stat.</w:t>
      </w:r>
      <w:r w:rsidR="0003679F">
        <w:rPr>
          <w:i/>
          <w:iCs/>
        </w:rPr>
        <w:t>Theb</w:t>
      </w:r>
      <w:r w:rsidR="0003679F">
        <w:t xml:space="preserve">.IV.383-404) feels uncharacteristically desperate for such a storied prophet. </w:t>
      </w:r>
      <w:r w:rsidR="004928CA">
        <w:t>I</w:t>
      </w:r>
      <w:r w:rsidR="0003679F">
        <w:t>ntervening authors associated Tiresias with heavenly powers, such as when Ovid positions Tiresias as one punished with blindness</w:t>
      </w:r>
      <w:r w:rsidR="00D6420A">
        <w:t xml:space="preserve"> by Juno</w:t>
      </w:r>
      <w:r w:rsidR="0003679F">
        <w:t xml:space="preserve"> but rewarded with second sight by </w:t>
      </w:r>
      <w:r w:rsidR="00D6420A">
        <w:t>Jove</w:t>
      </w:r>
      <w:r w:rsidR="0003679F">
        <w:t xml:space="preserve"> (Ovid.</w:t>
      </w:r>
      <w:r w:rsidR="0003679F">
        <w:rPr>
          <w:i/>
          <w:iCs/>
        </w:rPr>
        <w:t>Met</w:t>
      </w:r>
      <w:r w:rsidR="0003679F">
        <w:t>.</w:t>
      </w:r>
      <w:r w:rsidR="00D6420A">
        <w:t>III.316-38)</w:t>
      </w:r>
      <w:r w:rsidR="005F1359">
        <w:rPr>
          <w:rStyle w:val="FootnoteReference"/>
        </w:rPr>
        <w:footnoteReference w:id="11"/>
      </w:r>
      <w:r w:rsidR="004928CA">
        <w:t>. Keith in particular draws attention to the parallels between Tiresias’ depiction in Ovid and his role there as a voice in favor of submission to divine will.</w:t>
      </w:r>
      <w:r w:rsidR="00C121F2">
        <w:rPr>
          <w:rStyle w:val="FootnoteReference"/>
        </w:rPr>
        <w:footnoteReference w:id="12"/>
      </w:r>
      <w:r w:rsidR="003E75AA">
        <w:t xml:space="preserve"> She positions Tiresias’ interruption of Manto’s description of the horrors of the underworld as an “effort to stave off this renewed threat of entanglement in the toils of Thebes’ textual history</w:t>
      </w:r>
      <w:r w:rsidR="00C121F2">
        <w:t>,</w:t>
      </w:r>
      <w:r w:rsidR="003E75AA">
        <w:t>”</w:t>
      </w:r>
      <w:r w:rsidR="00C121F2">
        <w:rPr>
          <w:rStyle w:val="FootnoteReference"/>
        </w:rPr>
        <w:footnoteReference w:id="13"/>
      </w:r>
      <w:r w:rsidR="003E75AA">
        <w:t xml:space="preserve"> and notes that the language and thematization of the necromancy scene in </w:t>
      </w:r>
      <w:r w:rsidR="003E75AA">
        <w:rPr>
          <w:i/>
          <w:iCs/>
        </w:rPr>
        <w:t>Thebaid</w:t>
      </w:r>
      <w:r w:rsidR="003E75AA">
        <w:t xml:space="preserve"> is distinctly Ovidian in its language use and approach, leaving the characters “forever doomed to repeat their literary ancestors’ successes and failures</w:t>
      </w:r>
      <w:r w:rsidR="00C121F2">
        <w:t>.</w:t>
      </w:r>
      <w:r w:rsidR="003E75AA">
        <w:t>”</w:t>
      </w:r>
      <w:r w:rsidR="00C121F2">
        <w:rPr>
          <w:rStyle w:val="FootnoteReference"/>
        </w:rPr>
        <w:footnoteReference w:id="14"/>
      </w:r>
      <w:r w:rsidR="003E75AA">
        <w:t xml:space="preserve"> </w:t>
      </w:r>
      <w:r w:rsidR="00C62497">
        <w:t>But Ovid’s Tiresias is not the character we see here, for all Keith’s elegantly-drawn parallels.</w:t>
      </w:r>
    </w:p>
    <w:p w14:paraId="330DAE7A" w14:textId="50E94B9B" w:rsidR="00E418C9" w:rsidRDefault="004928CA" w:rsidP="000B5C6F">
      <w:pPr>
        <w:spacing w:line="360" w:lineRule="auto"/>
        <w:ind w:firstLine="720"/>
      </w:pPr>
      <w:r>
        <w:t>I</w:t>
      </w:r>
      <w:r w:rsidR="00D6420A">
        <w:t>t is worth bearing in mind that two of the earliest associations Tiresias has in literature are present here: necromancy, and black sacrificial animals (Stat.</w:t>
      </w:r>
      <w:r w:rsidR="00D6420A">
        <w:rPr>
          <w:i/>
          <w:iCs/>
        </w:rPr>
        <w:t>Theb</w:t>
      </w:r>
      <w:r w:rsidR="00D6420A">
        <w:t xml:space="preserve">.IV.445-6). In </w:t>
      </w:r>
      <w:r w:rsidR="00D6420A">
        <w:rPr>
          <w:i/>
          <w:iCs/>
        </w:rPr>
        <w:t>Thebaid</w:t>
      </w:r>
      <w:r w:rsidR="00D6420A">
        <w:t>, however, these attributes are inverted: where Homer has Tiresias as the subject of a necromantic ritual, the recipient of that black ram, distinguished among its herd, Statius places Tiresias in the position of necromancer, ordering dark sacrifices to be offered up to raise an unmanageable number of shades. And if Odysseus must keep the spirits of the beloved dead</w:t>
      </w:r>
      <w:r w:rsidR="00071740">
        <w:t xml:space="preserve"> away from his sacrifice</w:t>
      </w:r>
      <w:r w:rsidR="00D6420A">
        <w:t xml:space="preserve">, as Circe enjoins him and he informs his audience in </w:t>
      </w:r>
      <w:proofErr w:type="spellStart"/>
      <w:r w:rsidR="00D6420A">
        <w:t>Phaiacia</w:t>
      </w:r>
      <w:proofErr w:type="spellEnd"/>
      <w:r w:rsidR="00D6420A">
        <w:t xml:space="preserve"> that he did, Tiresias here is </w:t>
      </w:r>
      <w:r w:rsidR="00C62497">
        <w:t>almost</w:t>
      </w:r>
      <w:r w:rsidR="00D6420A">
        <w:t xml:space="preserve"> dismissive of the gathered dead</w:t>
      </w:r>
      <w:r w:rsidR="00C62497">
        <w:t xml:space="preserve"> and, indeed, his faithful daughter’s dark visions, enjoining her, </w:t>
      </w:r>
      <w:r w:rsidR="00C62497">
        <w:rPr>
          <w:i/>
          <w:iCs/>
        </w:rPr>
        <w:t xml:space="preserve">nec </w:t>
      </w:r>
      <w:proofErr w:type="spellStart"/>
      <w:r w:rsidR="00C62497">
        <w:rPr>
          <w:i/>
          <w:iCs/>
        </w:rPr>
        <w:t>vulgata</w:t>
      </w:r>
      <w:proofErr w:type="spellEnd"/>
      <w:r w:rsidR="00C62497">
        <w:rPr>
          <w:i/>
          <w:iCs/>
        </w:rPr>
        <w:t xml:space="preserve"> mihi</w:t>
      </w:r>
      <w:r w:rsidR="00C62497">
        <w:t xml:space="preserve"> – “Don’t tell me what’s widely known” (Stat.</w:t>
      </w:r>
      <w:r w:rsidR="00C62497">
        <w:rPr>
          <w:i/>
          <w:iCs/>
        </w:rPr>
        <w:t>Theb</w:t>
      </w:r>
      <w:r w:rsidR="00C62497">
        <w:t>.IV.537).</w:t>
      </w:r>
    </w:p>
    <w:p w14:paraId="0A858C6C" w14:textId="1445060E" w:rsidR="00071740" w:rsidRDefault="00071740" w:rsidP="000B5C6F">
      <w:pPr>
        <w:spacing w:line="360" w:lineRule="auto"/>
        <w:ind w:firstLine="720"/>
      </w:pPr>
      <w:r>
        <w:t xml:space="preserve">Indeed, it is not only Manto’s descriptions of the underworld’s best-known punishments that Tiresias dismisses, but all other forms of divination. In five brisk lines, Tiresias informs </w:t>
      </w:r>
      <w:r>
        <w:lastRenderedPageBreak/>
        <w:t>Eteocles of what will not work before stating in no uncertain terms that it’s going to have to be necromancy:</w:t>
      </w:r>
    </w:p>
    <w:p w14:paraId="68C47371" w14:textId="7837CFD2" w:rsidR="00BD3700" w:rsidRPr="00BD3700" w:rsidRDefault="00BD3700" w:rsidP="000B5C6F">
      <w:pPr>
        <w:spacing w:line="360" w:lineRule="auto"/>
        <w:ind w:firstLine="720"/>
        <w:rPr>
          <w:i/>
          <w:iCs/>
        </w:rPr>
      </w:pPr>
      <w:r>
        <w:t xml:space="preserve">… </w:t>
      </w:r>
      <w:proofErr w:type="spellStart"/>
      <w:r w:rsidRPr="00BD3700">
        <w:rPr>
          <w:i/>
          <w:iCs/>
        </w:rPr>
        <w:t>ille</w:t>
      </w:r>
      <w:proofErr w:type="spellEnd"/>
      <w:r w:rsidRPr="00BD3700">
        <w:rPr>
          <w:i/>
          <w:iCs/>
        </w:rPr>
        <w:t xml:space="preserve"> </w:t>
      </w:r>
      <w:proofErr w:type="spellStart"/>
      <w:r w:rsidRPr="00BD3700">
        <w:rPr>
          <w:i/>
          <w:iCs/>
        </w:rPr>
        <w:t>deos</w:t>
      </w:r>
      <w:proofErr w:type="spellEnd"/>
      <w:r w:rsidRPr="00BD3700">
        <w:rPr>
          <w:i/>
          <w:iCs/>
        </w:rPr>
        <w:t xml:space="preserve"> non </w:t>
      </w:r>
      <w:proofErr w:type="spellStart"/>
      <w:r w:rsidRPr="00BD3700">
        <w:rPr>
          <w:i/>
          <w:iCs/>
        </w:rPr>
        <w:t>larga</w:t>
      </w:r>
      <w:proofErr w:type="spellEnd"/>
      <w:r w:rsidRPr="00BD3700">
        <w:rPr>
          <w:i/>
          <w:iCs/>
        </w:rPr>
        <w:t xml:space="preserve"> </w:t>
      </w:r>
      <w:proofErr w:type="spellStart"/>
      <w:r w:rsidRPr="00BD3700">
        <w:rPr>
          <w:i/>
          <w:iCs/>
        </w:rPr>
        <w:t>caede</w:t>
      </w:r>
      <w:proofErr w:type="spellEnd"/>
      <w:r w:rsidRPr="00BD3700">
        <w:rPr>
          <w:i/>
          <w:iCs/>
        </w:rPr>
        <w:t xml:space="preserve"> </w:t>
      </w:r>
      <w:proofErr w:type="spellStart"/>
      <w:r w:rsidRPr="00BD3700">
        <w:rPr>
          <w:i/>
          <w:iCs/>
        </w:rPr>
        <w:t>iuuencum</w:t>
      </w:r>
      <w:proofErr w:type="spellEnd"/>
      <w:r w:rsidRPr="00BD3700">
        <w:rPr>
          <w:i/>
          <w:iCs/>
        </w:rPr>
        <w:t>,</w:t>
      </w:r>
    </w:p>
    <w:p w14:paraId="538D9968" w14:textId="48CBAC25" w:rsidR="00BD3700" w:rsidRPr="00BD3700" w:rsidRDefault="00BD3700" w:rsidP="000B5C6F">
      <w:pPr>
        <w:spacing w:line="360" w:lineRule="auto"/>
        <w:ind w:firstLine="720"/>
        <w:rPr>
          <w:i/>
          <w:iCs/>
        </w:rPr>
      </w:pPr>
      <w:r w:rsidRPr="00BD3700">
        <w:rPr>
          <w:i/>
          <w:iCs/>
        </w:rPr>
        <w:t xml:space="preserve">non </w:t>
      </w:r>
      <w:proofErr w:type="spellStart"/>
      <w:r w:rsidRPr="00BD3700">
        <w:rPr>
          <w:i/>
          <w:iCs/>
        </w:rPr>
        <w:t>alacri</w:t>
      </w:r>
      <w:proofErr w:type="spellEnd"/>
      <w:r w:rsidRPr="00BD3700">
        <w:rPr>
          <w:i/>
          <w:iCs/>
        </w:rPr>
        <w:t xml:space="preserve"> </w:t>
      </w:r>
      <w:proofErr w:type="spellStart"/>
      <w:r w:rsidRPr="00BD3700">
        <w:rPr>
          <w:i/>
          <w:iCs/>
        </w:rPr>
        <w:t>penna</w:t>
      </w:r>
      <w:proofErr w:type="spellEnd"/>
      <w:r w:rsidRPr="00BD3700">
        <w:rPr>
          <w:i/>
          <w:iCs/>
        </w:rPr>
        <w:t xml:space="preserve"> </w:t>
      </w:r>
      <w:proofErr w:type="spellStart"/>
      <w:r w:rsidRPr="00BD3700">
        <w:rPr>
          <w:i/>
          <w:iCs/>
        </w:rPr>
        <w:t>aut</w:t>
      </w:r>
      <w:proofErr w:type="spellEnd"/>
      <w:r w:rsidRPr="00BD3700">
        <w:rPr>
          <w:i/>
          <w:iCs/>
        </w:rPr>
        <w:t xml:space="preserve"> </w:t>
      </w:r>
      <w:proofErr w:type="spellStart"/>
      <w:r w:rsidRPr="00BD3700">
        <w:rPr>
          <w:i/>
          <w:iCs/>
        </w:rPr>
        <w:t>uerum</w:t>
      </w:r>
      <w:proofErr w:type="spellEnd"/>
      <w:r w:rsidRPr="00BD3700">
        <w:rPr>
          <w:i/>
          <w:iCs/>
        </w:rPr>
        <w:t xml:space="preserve"> </w:t>
      </w:r>
      <w:proofErr w:type="spellStart"/>
      <w:r w:rsidRPr="00BD3700">
        <w:rPr>
          <w:i/>
          <w:iCs/>
        </w:rPr>
        <w:t>salientibus</w:t>
      </w:r>
      <w:proofErr w:type="spellEnd"/>
      <w:r w:rsidRPr="00BD3700">
        <w:rPr>
          <w:i/>
          <w:iCs/>
        </w:rPr>
        <w:t xml:space="preserve"> </w:t>
      </w:r>
      <w:proofErr w:type="spellStart"/>
      <w:r w:rsidRPr="00BD3700">
        <w:rPr>
          <w:i/>
          <w:iCs/>
        </w:rPr>
        <w:t>extis</w:t>
      </w:r>
      <w:proofErr w:type="spellEnd"/>
      <w:r w:rsidRPr="00BD3700">
        <w:rPr>
          <w:i/>
          <w:iCs/>
        </w:rPr>
        <w:t>,</w:t>
      </w:r>
    </w:p>
    <w:p w14:paraId="7A42FF13" w14:textId="77777777" w:rsidR="00BD3700" w:rsidRPr="00BD3700" w:rsidRDefault="00BD3700" w:rsidP="000B5C6F">
      <w:pPr>
        <w:spacing w:line="360" w:lineRule="auto"/>
        <w:ind w:firstLine="720"/>
        <w:rPr>
          <w:i/>
          <w:iCs/>
        </w:rPr>
      </w:pPr>
      <w:r w:rsidRPr="00BD3700">
        <w:rPr>
          <w:i/>
          <w:iCs/>
        </w:rPr>
        <w:t xml:space="preserve">nec </w:t>
      </w:r>
      <w:proofErr w:type="spellStart"/>
      <w:r w:rsidRPr="00BD3700">
        <w:rPr>
          <w:i/>
          <w:iCs/>
        </w:rPr>
        <w:t>tripode</w:t>
      </w:r>
      <w:proofErr w:type="spellEnd"/>
      <w:r w:rsidRPr="00BD3700">
        <w:rPr>
          <w:i/>
          <w:iCs/>
        </w:rPr>
        <w:t xml:space="preserve"> </w:t>
      </w:r>
      <w:proofErr w:type="spellStart"/>
      <w:r w:rsidRPr="00BD3700">
        <w:rPr>
          <w:i/>
          <w:iCs/>
        </w:rPr>
        <w:t>implicito</w:t>
      </w:r>
      <w:proofErr w:type="spellEnd"/>
      <w:r w:rsidRPr="00BD3700">
        <w:rPr>
          <w:i/>
          <w:iCs/>
        </w:rPr>
        <w:t xml:space="preserve"> </w:t>
      </w:r>
      <w:proofErr w:type="spellStart"/>
      <w:r w:rsidRPr="00BD3700">
        <w:rPr>
          <w:i/>
          <w:iCs/>
        </w:rPr>
        <w:t>numerisque</w:t>
      </w:r>
      <w:proofErr w:type="spellEnd"/>
      <w:r w:rsidRPr="00BD3700">
        <w:rPr>
          <w:i/>
          <w:iCs/>
        </w:rPr>
        <w:t xml:space="preserve"> </w:t>
      </w:r>
      <w:proofErr w:type="spellStart"/>
      <w:r w:rsidRPr="00BD3700">
        <w:rPr>
          <w:i/>
          <w:iCs/>
        </w:rPr>
        <w:t>sequentibus</w:t>
      </w:r>
      <w:proofErr w:type="spellEnd"/>
      <w:r w:rsidRPr="00BD3700">
        <w:rPr>
          <w:i/>
          <w:iCs/>
        </w:rPr>
        <w:t xml:space="preserve"> astra,</w:t>
      </w:r>
    </w:p>
    <w:p w14:paraId="77406300" w14:textId="77777777" w:rsidR="00BD3700" w:rsidRPr="00BD3700" w:rsidRDefault="00BD3700" w:rsidP="000B5C6F">
      <w:pPr>
        <w:spacing w:line="360" w:lineRule="auto"/>
        <w:ind w:firstLine="720"/>
        <w:rPr>
          <w:i/>
          <w:iCs/>
        </w:rPr>
      </w:pPr>
      <w:proofErr w:type="spellStart"/>
      <w:r w:rsidRPr="00BD3700">
        <w:rPr>
          <w:i/>
          <w:iCs/>
        </w:rPr>
        <w:t>turea</w:t>
      </w:r>
      <w:proofErr w:type="spellEnd"/>
      <w:r w:rsidRPr="00BD3700">
        <w:rPr>
          <w:i/>
          <w:iCs/>
        </w:rPr>
        <w:t xml:space="preserve"> nec supra </w:t>
      </w:r>
      <w:proofErr w:type="spellStart"/>
      <w:r w:rsidRPr="00BD3700">
        <w:rPr>
          <w:i/>
          <w:iCs/>
        </w:rPr>
        <w:t>uolitante</w:t>
      </w:r>
      <w:proofErr w:type="spellEnd"/>
      <w:r w:rsidRPr="00BD3700">
        <w:rPr>
          <w:i/>
          <w:iCs/>
        </w:rPr>
        <w:t xml:space="preserve"> </w:t>
      </w:r>
      <w:proofErr w:type="spellStart"/>
      <w:r w:rsidRPr="00BD3700">
        <w:rPr>
          <w:i/>
          <w:iCs/>
        </w:rPr>
        <w:t>altaria</w:t>
      </w:r>
      <w:proofErr w:type="spellEnd"/>
      <w:r w:rsidRPr="00BD3700">
        <w:rPr>
          <w:i/>
          <w:iCs/>
        </w:rPr>
        <w:t xml:space="preserve"> </w:t>
      </w:r>
      <w:proofErr w:type="spellStart"/>
      <w:r w:rsidRPr="00BD3700">
        <w:rPr>
          <w:i/>
          <w:iCs/>
        </w:rPr>
        <w:t>fumo</w:t>
      </w:r>
      <w:proofErr w:type="spellEnd"/>
    </w:p>
    <w:p w14:paraId="7C22F4CD" w14:textId="77777777" w:rsidR="00BD3700" w:rsidRPr="00BD3700" w:rsidRDefault="00BD3700" w:rsidP="000B5C6F">
      <w:pPr>
        <w:spacing w:line="360" w:lineRule="auto"/>
        <w:ind w:firstLine="720"/>
        <w:rPr>
          <w:i/>
          <w:iCs/>
        </w:rPr>
      </w:pPr>
      <w:r w:rsidRPr="00BD3700">
        <w:rPr>
          <w:i/>
          <w:iCs/>
        </w:rPr>
        <w:t xml:space="preserve">tam </w:t>
      </w:r>
      <w:proofErr w:type="spellStart"/>
      <w:r w:rsidRPr="00BD3700">
        <w:rPr>
          <w:i/>
          <w:iCs/>
        </w:rPr>
        <w:t>penitus</w:t>
      </w:r>
      <w:proofErr w:type="spellEnd"/>
      <w:r w:rsidRPr="00BD3700">
        <w:rPr>
          <w:i/>
          <w:iCs/>
        </w:rPr>
        <w:t xml:space="preserve">, </w:t>
      </w:r>
      <w:proofErr w:type="spellStart"/>
      <w:r w:rsidRPr="00BD3700">
        <w:rPr>
          <w:i/>
          <w:iCs/>
        </w:rPr>
        <w:t>durae</w:t>
      </w:r>
      <w:proofErr w:type="spellEnd"/>
      <w:r w:rsidRPr="00BD3700">
        <w:rPr>
          <w:i/>
          <w:iCs/>
        </w:rPr>
        <w:t xml:space="preserve"> </w:t>
      </w:r>
      <w:proofErr w:type="spellStart"/>
      <w:r w:rsidRPr="00BD3700">
        <w:rPr>
          <w:i/>
          <w:iCs/>
        </w:rPr>
        <w:t>quam</w:t>
      </w:r>
      <w:proofErr w:type="spellEnd"/>
      <w:r w:rsidRPr="00BD3700">
        <w:rPr>
          <w:i/>
          <w:iCs/>
        </w:rPr>
        <w:t xml:space="preserve"> Mortis </w:t>
      </w:r>
      <w:proofErr w:type="spellStart"/>
      <w:r w:rsidRPr="00BD3700">
        <w:rPr>
          <w:i/>
          <w:iCs/>
        </w:rPr>
        <w:t>limite</w:t>
      </w:r>
      <w:proofErr w:type="spellEnd"/>
      <w:r w:rsidRPr="00BD3700">
        <w:rPr>
          <w:i/>
          <w:iCs/>
        </w:rPr>
        <w:t xml:space="preserve"> manes</w:t>
      </w:r>
    </w:p>
    <w:p w14:paraId="7ED410AA" w14:textId="0CE880DC" w:rsidR="00071740" w:rsidRDefault="00BD3700" w:rsidP="000B5C6F">
      <w:pPr>
        <w:spacing w:line="360" w:lineRule="auto"/>
        <w:ind w:firstLine="720"/>
      </w:pPr>
      <w:proofErr w:type="spellStart"/>
      <w:r w:rsidRPr="00BD3700">
        <w:rPr>
          <w:i/>
          <w:iCs/>
        </w:rPr>
        <w:t>elicitos</w:t>
      </w:r>
      <w:proofErr w:type="spellEnd"/>
      <w:r w:rsidRPr="00BD3700">
        <w:rPr>
          <w:i/>
          <w:iCs/>
        </w:rPr>
        <w:t xml:space="preserve">, </w:t>
      </w:r>
      <w:proofErr w:type="spellStart"/>
      <w:r w:rsidRPr="00BD3700">
        <w:rPr>
          <w:i/>
          <w:iCs/>
        </w:rPr>
        <w:t>patuisse</w:t>
      </w:r>
      <w:proofErr w:type="spellEnd"/>
      <w:r w:rsidRPr="00BD3700">
        <w:rPr>
          <w:i/>
          <w:iCs/>
        </w:rPr>
        <w:t xml:space="preserve"> </w:t>
      </w:r>
      <w:proofErr w:type="spellStart"/>
      <w:r w:rsidRPr="00BD3700">
        <w:rPr>
          <w:i/>
          <w:iCs/>
        </w:rPr>
        <w:t>refert</w:t>
      </w:r>
      <w:proofErr w:type="spellEnd"/>
      <w:r>
        <w:t>… (Stat.</w:t>
      </w:r>
      <w:r>
        <w:rPr>
          <w:i/>
          <w:iCs/>
        </w:rPr>
        <w:t>Theb</w:t>
      </w:r>
      <w:r>
        <w:t>.IV.409-14)</w:t>
      </w:r>
    </w:p>
    <w:p w14:paraId="0CEDA50A" w14:textId="3DDDCAF0" w:rsidR="00BD3700" w:rsidRDefault="00BD3700" w:rsidP="000B5C6F">
      <w:pPr>
        <w:spacing w:line="360" w:lineRule="auto"/>
        <w:ind w:firstLine="720"/>
      </w:pPr>
      <w:r>
        <w:t>… He answers that the gods were accessible not with lavish sacrifice of young bulls,</w:t>
      </w:r>
    </w:p>
    <w:p w14:paraId="40D93371" w14:textId="5C0F1FE3" w:rsidR="00BD3700" w:rsidRDefault="00BD3700" w:rsidP="000B5C6F">
      <w:pPr>
        <w:spacing w:line="360" w:lineRule="auto"/>
        <w:ind w:firstLine="720"/>
      </w:pPr>
      <w:r>
        <w:t>nor the fluttering of wings or with entrails</w:t>
      </w:r>
      <w:r w:rsidR="00BD7AFA">
        <w:t xml:space="preserve"> pulsing truth</w:t>
      </w:r>
      <w:r>
        <w:t>,</w:t>
      </w:r>
    </w:p>
    <w:p w14:paraId="7B426397" w14:textId="771429E9" w:rsidR="00BD3700" w:rsidRDefault="00BD3700" w:rsidP="000B5C6F">
      <w:pPr>
        <w:spacing w:line="360" w:lineRule="auto"/>
        <w:ind w:firstLine="720"/>
      </w:pPr>
      <w:r>
        <w:t xml:space="preserve">nor the obscure tripod and the </w:t>
      </w:r>
      <w:r w:rsidR="00FC64BB">
        <w:t>stars in their vast number,</w:t>
      </w:r>
    </w:p>
    <w:p w14:paraId="10DD8469" w14:textId="713EA9C4" w:rsidR="00FC64BB" w:rsidRDefault="00FC64BB" w:rsidP="000B5C6F">
      <w:pPr>
        <w:spacing w:line="360" w:lineRule="auto"/>
        <w:ind w:firstLine="720"/>
      </w:pPr>
      <w:r>
        <w:t>nor smoking incense twisting above the altar</w:t>
      </w:r>
    </w:p>
    <w:p w14:paraId="032BCE3A" w14:textId="7383151A" w:rsidR="00FC64BB" w:rsidRDefault="00FC64BB" w:rsidP="000B5C6F">
      <w:pPr>
        <w:spacing w:line="360" w:lineRule="auto"/>
        <w:ind w:firstLine="720"/>
      </w:pPr>
      <w:r>
        <w:t>so thoroughly as spirits called up to the borders of stern Death…</w:t>
      </w:r>
    </w:p>
    <w:p w14:paraId="3BC44307" w14:textId="4B47311D" w:rsidR="00375DFB" w:rsidRDefault="00FC64BB" w:rsidP="000B5C6F">
      <w:pPr>
        <w:spacing w:line="360" w:lineRule="auto"/>
        <w:ind w:firstLine="720"/>
      </w:pPr>
      <w:r>
        <w:t>Rattling through a string of ablatives (</w:t>
      </w:r>
      <w:proofErr w:type="spellStart"/>
      <w:r>
        <w:rPr>
          <w:i/>
          <w:iCs/>
        </w:rPr>
        <w:t>caede</w:t>
      </w:r>
      <w:proofErr w:type="spellEnd"/>
      <w:r>
        <w:rPr>
          <w:i/>
          <w:iCs/>
        </w:rPr>
        <w:t xml:space="preserve">, </w:t>
      </w:r>
      <w:proofErr w:type="spellStart"/>
      <w:r>
        <w:rPr>
          <w:i/>
          <w:iCs/>
        </w:rPr>
        <w:t>penna</w:t>
      </w:r>
      <w:proofErr w:type="spellEnd"/>
      <w:r>
        <w:rPr>
          <w:i/>
          <w:iCs/>
        </w:rPr>
        <w:t xml:space="preserve">, </w:t>
      </w:r>
      <w:proofErr w:type="spellStart"/>
      <w:r>
        <w:rPr>
          <w:i/>
          <w:iCs/>
        </w:rPr>
        <w:t>extis</w:t>
      </w:r>
      <w:proofErr w:type="spellEnd"/>
      <w:r>
        <w:rPr>
          <w:i/>
          <w:iCs/>
        </w:rPr>
        <w:t xml:space="preserve">, </w:t>
      </w:r>
      <w:proofErr w:type="spellStart"/>
      <w:r>
        <w:rPr>
          <w:i/>
          <w:iCs/>
        </w:rPr>
        <w:t>tripode</w:t>
      </w:r>
      <w:proofErr w:type="spellEnd"/>
      <w:r>
        <w:rPr>
          <w:i/>
          <w:iCs/>
        </w:rPr>
        <w:t>,</w:t>
      </w:r>
      <w:r w:rsidR="00BD7AFA">
        <w:rPr>
          <w:i/>
          <w:iCs/>
        </w:rPr>
        <w:t xml:space="preserve"> </w:t>
      </w:r>
      <w:r>
        <w:rPr>
          <w:i/>
          <w:iCs/>
        </w:rPr>
        <w:t xml:space="preserve">astra, </w:t>
      </w:r>
      <w:proofErr w:type="spellStart"/>
      <w:r>
        <w:rPr>
          <w:i/>
          <w:iCs/>
        </w:rPr>
        <w:t>fumo</w:t>
      </w:r>
      <w:proofErr w:type="spellEnd"/>
      <w:r>
        <w:t>) as if counting them off on his fingers, Tiresias here turns from the rites with which he has been associated in Ovid, preferring necromancy as the most expeditious (</w:t>
      </w:r>
      <w:r>
        <w:rPr>
          <w:i/>
          <w:iCs/>
        </w:rPr>
        <w:t xml:space="preserve">tam </w:t>
      </w:r>
      <w:proofErr w:type="spellStart"/>
      <w:r w:rsidRPr="00FC64BB">
        <w:rPr>
          <w:i/>
          <w:iCs/>
        </w:rPr>
        <w:t>penitus</w:t>
      </w:r>
      <w:proofErr w:type="spellEnd"/>
      <w:r>
        <w:t xml:space="preserve">) </w:t>
      </w:r>
      <w:r w:rsidRPr="00FC64BB">
        <w:t>way</w:t>
      </w:r>
      <w:r>
        <w:t xml:space="preserve"> to learn what the future holds. The brevity of the passage might feel comical if it weren’t so at odds with the divine gift and talent for ornithomancy Tiresias is elsewhere maintained to hold. It is worth remarking, at least in passing, that Callimachus</w:t>
      </w:r>
      <w:r w:rsidR="007B556D">
        <w:t xml:space="preserve"> maintains that Tiresias was given the gift of prophecy by Athena, and that it was specifically</w:t>
      </w:r>
      <w:r w:rsidR="00F755C3">
        <w:t xml:space="preserve"> through</w:t>
      </w:r>
      <w:r w:rsidR="007B556D">
        <w:t xml:space="preserve"> ornithomancy that he would </w:t>
      </w:r>
      <w:r w:rsidR="001F3FDF">
        <w:t>exercise it</w:t>
      </w:r>
      <w:r w:rsidR="007B556D">
        <w:t xml:space="preserve"> (</w:t>
      </w:r>
      <w:proofErr w:type="spellStart"/>
      <w:r w:rsidR="007B556D">
        <w:t>Call</w:t>
      </w:r>
      <w:r w:rsidR="005F1359">
        <w:t>im</w:t>
      </w:r>
      <w:r w:rsidR="007B556D">
        <w:t>.</w:t>
      </w:r>
      <w:r w:rsidR="007B556D">
        <w:rPr>
          <w:i/>
          <w:iCs/>
        </w:rPr>
        <w:t>Hymn</w:t>
      </w:r>
      <w:proofErr w:type="spellEnd"/>
      <w:r w:rsidR="007B556D">
        <w:rPr>
          <w:i/>
          <w:iCs/>
        </w:rPr>
        <w:t xml:space="preserve"> 5</w:t>
      </w:r>
      <w:r w:rsidR="007B556D">
        <w:t>.123-4)</w:t>
      </w:r>
      <w:r w:rsidR="005F1359">
        <w:rPr>
          <w:rStyle w:val="FootnoteReference"/>
        </w:rPr>
        <w:footnoteReference w:id="15"/>
      </w:r>
      <w:r w:rsidR="007B556D">
        <w:t>, but that lies a little beyond the scope of this paper; Ovid notes only that he is gifted with knowledge of the future (</w:t>
      </w:r>
      <w:r w:rsidR="001F3FDF">
        <w:rPr>
          <w:i/>
          <w:iCs/>
        </w:rPr>
        <w:t xml:space="preserve">scire </w:t>
      </w:r>
      <w:proofErr w:type="spellStart"/>
      <w:r w:rsidR="001F3FDF">
        <w:rPr>
          <w:i/>
          <w:iCs/>
        </w:rPr>
        <w:t>futura</w:t>
      </w:r>
      <w:proofErr w:type="spellEnd"/>
      <w:r w:rsidR="001F3FDF">
        <w:rPr>
          <w:i/>
          <w:iCs/>
        </w:rPr>
        <w:t xml:space="preserve"> </w:t>
      </w:r>
      <w:proofErr w:type="spellStart"/>
      <w:r w:rsidR="001F3FDF" w:rsidRPr="001F3FDF">
        <w:rPr>
          <w:i/>
          <w:iCs/>
        </w:rPr>
        <w:t>dedit</w:t>
      </w:r>
      <w:proofErr w:type="spellEnd"/>
      <w:r w:rsidR="001F3FDF">
        <w:t xml:space="preserve"> – “</w:t>
      </w:r>
      <w:r w:rsidR="00A52D96">
        <w:t>[Jove]</w:t>
      </w:r>
      <w:r w:rsidR="001F3FDF">
        <w:t xml:space="preserve"> </w:t>
      </w:r>
      <w:r w:rsidR="00A52D96">
        <w:t xml:space="preserve">allowed [Tiresias] to know the future,” </w:t>
      </w:r>
      <w:r w:rsidR="007B556D" w:rsidRPr="001F3FDF">
        <w:t>Ov</w:t>
      </w:r>
      <w:r w:rsidR="007B556D">
        <w:t>.</w:t>
      </w:r>
      <w:r w:rsidR="007B556D">
        <w:rPr>
          <w:i/>
          <w:iCs/>
        </w:rPr>
        <w:t>Met</w:t>
      </w:r>
      <w:r w:rsidR="007B556D">
        <w:t xml:space="preserve">.III.338). </w:t>
      </w:r>
    </w:p>
    <w:p w14:paraId="6F2B71B6" w14:textId="0657C352" w:rsidR="00EB6DDB" w:rsidRDefault="007B556D" w:rsidP="000B5C6F">
      <w:pPr>
        <w:spacing w:line="360" w:lineRule="auto"/>
        <w:ind w:firstLine="720"/>
      </w:pPr>
      <w:r>
        <w:t>Homer</w:t>
      </w:r>
      <w:r w:rsidR="00375DFB">
        <w:t xml:space="preserve"> </w:t>
      </w:r>
      <w:r>
        <w:t xml:space="preserve">does not specify how Tiresias comes </w:t>
      </w:r>
      <w:r w:rsidR="001F3FDF">
        <w:t>by his gift of prophecy</w:t>
      </w:r>
      <w:r w:rsidR="00375DFB">
        <w:t xml:space="preserve">, but he does also establish one of Tiresias’ other – admittedly, less </w:t>
      </w:r>
      <w:r w:rsidR="00A314E1">
        <w:t xml:space="preserve">dramatic – traits: Tiresias’ staff. From the moment of Tiresias’ appearance in the story, he is </w:t>
      </w:r>
      <w:proofErr w:type="spellStart"/>
      <w:r w:rsidR="00A314E1" w:rsidRPr="00A314E1">
        <w:t>χρύσεον</w:t>
      </w:r>
      <w:proofErr w:type="spellEnd"/>
      <w:r w:rsidR="00A314E1" w:rsidRPr="00A314E1">
        <w:t xml:space="preserve"> </w:t>
      </w:r>
      <w:proofErr w:type="spellStart"/>
      <w:r w:rsidR="00A314E1" w:rsidRPr="00A314E1">
        <w:t>σκῆ</w:t>
      </w:r>
      <w:proofErr w:type="spellEnd"/>
      <w:r w:rsidR="00A314E1" w:rsidRPr="00A314E1">
        <w:t xml:space="preserve">πτρον </w:t>
      </w:r>
      <w:proofErr w:type="spellStart"/>
      <w:r w:rsidR="00A314E1" w:rsidRPr="00A314E1">
        <w:t>ἔχων</w:t>
      </w:r>
      <w:proofErr w:type="spellEnd"/>
      <w:r w:rsidR="00A314E1">
        <w:t xml:space="preserve"> (“holding a golden </w:t>
      </w:r>
      <w:proofErr w:type="spellStart"/>
      <w:r w:rsidR="00A314E1">
        <w:t>sceptre</w:t>
      </w:r>
      <w:proofErr w:type="spellEnd"/>
      <w:r w:rsidR="00A314E1">
        <w:t xml:space="preserve">,” </w:t>
      </w:r>
      <w:r w:rsidR="00A314E1">
        <w:rPr>
          <w:i/>
          <w:iCs/>
        </w:rPr>
        <w:t>Od</w:t>
      </w:r>
      <w:r w:rsidR="00A314E1">
        <w:t xml:space="preserve">.XI.92). Ovid notes this detail only in passing, as the item by which Tiresias beat apart the snakes, causing his transformation into a woman: </w:t>
      </w:r>
    </w:p>
    <w:p w14:paraId="63A4E555" w14:textId="29B7C5E5" w:rsidR="00A314E1" w:rsidRDefault="00A314E1" w:rsidP="000B5C6F">
      <w:pPr>
        <w:spacing w:line="360" w:lineRule="auto"/>
        <w:ind w:left="720"/>
      </w:pPr>
      <w:r w:rsidRPr="009D05C4">
        <w:rPr>
          <w:i/>
          <w:iCs/>
        </w:rPr>
        <w:lastRenderedPageBreak/>
        <w:t>…</w:t>
      </w:r>
      <w:proofErr w:type="spellStart"/>
      <w:r w:rsidRPr="009D05C4">
        <w:rPr>
          <w:i/>
          <w:iCs/>
        </w:rPr>
        <w:t>nam</w:t>
      </w:r>
      <w:proofErr w:type="spellEnd"/>
      <w:r w:rsidRPr="009D05C4">
        <w:rPr>
          <w:i/>
          <w:iCs/>
        </w:rPr>
        <w:t xml:space="preserve"> duo </w:t>
      </w:r>
      <w:proofErr w:type="spellStart"/>
      <w:r w:rsidRPr="009D05C4">
        <w:rPr>
          <w:i/>
          <w:iCs/>
        </w:rPr>
        <w:t>magnorum</w:t>
      </w:r>
      <w:proofErr w:type="spellEnd"/>
      <w:r w:rsidRPr="009D05C4">
        <w:rPr>
          <w:i/>
          <w:iCs/>
        </w:rPr>
        <w:t xml:space="preserve"> </w:t>
      </w:r>
      <w:proofErr w:type="spellStart"/>
      <w:r w:rsidRPr="009D05C4">
        <w:rPr>
          <w:i/>
          <w:iCs/>
        </w:rPr>
        <w:t>viridi</w:t>
      </w:r>
      <w:proofErr w:type="spellEnd"/>
      <w:r w:rsidRPr="009D05C4">
        <w:rPr>
          <w:i/>
          <w:iCs/>
        </w:rPr>
        <w:t xml:space="preserve"> </w:t>
      </w:r>
      <w:proofErr w:type="spellStart"/>
      <w:r w:rsidRPr="009D05C4">
        <w:rPr>
          <w:i/>
          <w:iCs/>
        </w:rPr>
        <w:t>coeuntia</w:t>
      </w:r>
      <w:proofErr w:type="spellEnd"/>
      <w:r w:rsidRPr="009D05C4">
        <w:rPr>
          <w:i/>
          <w:iCs/>
        </w:rPr>
        <w:t xml:space="preserve"> silva</w:t>
      </w:r>
      <w:r w:rsidRPr="009D05C4">
        <w:rPr>
          <w:i/>
          <w:iCs/>
        </w:rPr>
        <w:br/>
        <w:t xml:space="preserve">corpora </w:t>
      </w:r>
      <w:proofErr w:type="spellStart"/>
      <w:r w:rsidRPr="009D05C4">
        <w:rPr>
          <w:i/>
          <w:iCs/>
        </w:rPr>
        <w:t>serpentum</w:t>
      </w:r>
      <w:proofErr w:type="spellEnd"/>
      <w:r w:rsidRPr="009D05C4">
        <w:rPr>
          <w:i/>
          <w:iCs/>
        </w:rPr>
        <w:t xml:space="preserve"> </w:t>
      </w:r>
      <w:proofErr w:type="spellStart"/>
      <w:r w:rsidRPr="009D05C4">
        <w:rPr>
          <w:i/>
          <w:iCs/>
        </w:rPr>
        <w:t>baculi</w:t>
      </w:r>
      <w:proofErr w:type="spellEnd"/>
      <w:r w:rsidRPr="009D05C4">
        <w:rPr>
          <w:i/>
          <w:iCs/>
        </w:rPr>
        <w:t xml:space="preserve"> </w:t>
      </w:r>
      <w:proofErr w:type="spellStart"/>
      <w:r w:rsidRPr="009D05C4">
        <w:rPr>
          <w:i/>
          <w:iCs/>
        </w:rPr>
        <w:t>violaverat</w:t>
      </w:r>
      <w:proofErr w:type="spellEnd"/>
      <w:r w:rsidRPr="009D05C4">
        <w:rPr>
          <w:i/>
          <w:iCs/>
        </w:rPr>
        <w:t xml:space="preserve"> </w:t>
      </w:r>
      <w:proofErr w:type="spellStart"/>
      <w:r w:rsidRPr="009D05C4">
        <w:rPr>
          <w:i/>
          <w:iCs/>
        </w:rPr>
        <w:t>ictu</w:t>
      </w:r>
      <w:proofErr w:type="spellEnd"/>
      <w:r w:rsidR="009D05C4" w:rsidRPr="009D05C4">
        <w:rPr>
          <w:i/>
          <w:iCs/>
        </w:rPr>
        <w:t>…</w:t>
      </w:r>
      <w:r w:rsidRPr="00A314E1">
        <w:t> </w:t>
      </w:r>
      <w:r>
        <w:t>(Ov.</w:t>
      </w:r>
      <w:r>
        <w:rPr>
          <w:i/>
          <w:iCs/>
        </w:rPr>
        <w:t>Met</w:t>
      </w:r>
      <w:r>
        <w:t>.III.324-5)</w:t>
      </w:r>
    </w:p>
    <w:p w14:paraId="2D55CA7B" w14:textId="6811108E" w:rsidR="00A314E1" w:rsidRDefault="00A314E1" w:rsidP="000B5C6F">
      <w:pPr>
        <w:spacing w:line="360" w:lineRule="auto"/>
        <w:ind w:left="720"/>
      </w:pPr>
      <w:r>
        <w:t xml:space="preserve">… For the two bodies, entwined in the </w:t>
      </w:r>
      <w:proofErr w:type="gramStart"/>
      <w:r>
        <w:t>green-wood</w:t>
      </w:r>
      <w:proofErr w:type="gramEnd"/>
      <w:r>
        <w:t xml:space="preserve">, </w:t>
      </w:r>
    </w:p>
    <w:p w14:paraId="45FAB022" w14:textId="15E17BD1" w:rsidR="00A314E1" w:rsidRDefault="00A314E1" w:rsidP="000B5C6F">
      <w:pPr>
        <w:spacing w:line="360" w:lineRule="auto"/>
        <w:ind w:left="720"/>
      </w:pPr>
      <w:r>
        <w:t>of the great serpents did he outrage with a blow from his staff</w:t>
      </w:r>
      <w:r w:rsidR="009D05C4">
        <w:t>…</w:t>
      </w:r>
    </w:p>
    <w:p w14:paraId="68E90548" w14:textId="4B1E643C" w:rsidR="009D05C4" w:rsidRDefault="009D05C4" w:rsidP="000B5C6F">
      <w:pPr>
        <w:spacing w:line="360" w:lineRule="auto"/>
      </w:pPr>
      <w:r>
        <w:t>Statius seems to make a point of mentioning the staff, though only in a negative sense: rejuvenated by the necromantic act,</w:t>
      </w:r>
    </w:p>
    <w:p w14:paraId="69B48070" w14:textId="77777777" w:rsidR="009D05C4" w:rsidRPr="009D05C4" w:rsidRDefault="009D05C4" w:rsidP="000B5C6F">
      <w:pPr>
        <w:spacing w:line="360" w:lineRule="auto"/>
        <w:ind w:firstLine="720"/>
        <w:rPr>
          <w:i/>
          <w:iCs/>
        </w:rPr>
      </w:pPr>
      <w:r w:rsidRPr="009D05C4">
        <w:rPr>
          <w:i/>
          <w:iCs/>
        </w:rPr>
        <w:t xml:space="preserve">nec </w:t>
      </w:r>
      <w:proofErr w:type="spellStart"/>
      <w:r w:rsidRPr="009D05C4">
        <w:rPr>
          <w:i/>
          <w:iCs/>
        </w:rPr>
        <w:t>iam</w:t>
      </w:r>
      <w:proofErr w:type="spellEnd"/>
      <w:r w:rsidRPr="009D05C4">
        <w:rPr>
          <w:i/>
          <w:iCs/>
        </w:rPr>
        <w:t xml:space="preserve"> </w:t>
      </w:r>
      <w:proofErr w:type="spellStart"/>
      <w:r w:rsidRPr="009D05C4">
        <w:rPr>
          <w:i/>
          <w:iCs/>
        </w:rPr>
        <w:t>firmanti</w:t>
      </w:r>
      <w:proofErr w:type="spellEnd"/>
      <w:r w:rsidRPr="009D05C4">
        <w:rPr>
          <w:i/>
          <w:iCs/>
        </w:rPr>
        <w:t xml:space="preserve"> </w:t>
      </w:r>
      <w:proofErr w:type="spellStart"/>
      <w:r w:rsidRPr="009D05C4">
        <w:rPr>
          <w:i/>
          <w:iCs/>
        </w:rPr>
        <w:t>baculo</w:t>
      </w:r>
      <w:proofErr w:type="spellEnd"/>
      <w:r w:rsidRPr="009D05C4">
        <w:rPr>
          <w:i/>
          <w:iCs/>
        </w:rPr>
        <w:t xml:space="preserve"> nec </w:t>
      </w:r>
      <w:proofErr w:type="spellStart"/>
      <w:r w:rsidRPr="009D05C4">
        <w:rPr>
          <w:i/>
          <w:iCs/>
        </w:rPr>
        <w:t>uirgine</w:t>
      </w:r>
      <w:proofErr w:type="spellEnd"/>
      <w:r w:rsidRPr="009D05C4">
        <w:rPr>
          <w:i/>
          <w:iCs/>
        </w:rPr>
        <w:t xml:space="preserve"> </w:t>
      </w:r>
      <w:proofErr w:type="spellStart"/>
      <w:r w:rsidRPr="009D05C4">
        <w:rPr>
          <w:i/>
          <w:iCs/>
        </w:rPr>
        <w:t>fida</w:t>
      </w:r>
      <w:proofErr w:type="spellEnd"/>
    </w:p>
    <w:p w14:paraId="295C3DCD" w14:textId="1BB3BEC4" w:rsidR="009D05C4" w:rsidRDefault="009D05C4" w:rsidP="000B5C6F">
      <w:pPr>
        <w:spacing w:line="360" w:lineRule="auto"/>
        <w:ind w:firstLine="720"/>
      </w:pPr>
      <w:proofErr w:type="spellStart"/>
      <w:r w:rsidRPr="009D05C4">
        <w:rPr>
          <w:i/>
          <w:iCs/>
        </w:rPr>
        <w:t>nititur</w:t>
      </w:r>
      <w:proofErr w:type="spellEnd"/>
      <w:r w:rsidRPr="009D05C4">
        <w:rPr>
          <w:i/>
          <w:iCs/>
        </w:rPr>
        <w:t xml:space="preserve">, </w:t>
      </w:r>
      <w:proofErr w:type="spellStart"/>
      <w:r w:rsidRPr="009D05C4">
        <w:rPr>
          <w:i/>
          <w:iCs/>
        </w:rPr>
        <w:t>erectusque</w:t>
      </w:r>
      <w:proofErr w:type="spellEnd"/>
      <w:r w:rsidRPr="009D05C4">
        <w:rPr>
          <w:i/>
          <w:iCs/>
        </w:rPr>
        <w:t xml:space="preserve"> solo…</w:t>
      </w:r>
      <w:r>
        <w:t xml:space="preserve"> (Stat.</w:t>
      </w:r>
      <w:r>
        <w:rPr>
          <w:i/>
          <w:iCs/>
        </w:rPr>
        <w:t>Theb</w:t>
      </w:r>
      <w:r>
        <w:t>.IV.582-3)</w:t>
      </w:r>
    </w:p>
    <w:p w14:paraId="70D196BB" w14:textId="49742DB7" w:rsidR="009D05C4" w:rsidRDefault="009D05C4" w:rsidP="000B5C6F">
      <w:pPr>
        <w:spacing w:line="360" w:lineRule="auto"/>
        <w:ind w:firstLine="720"/>
      </w:pPr>
      <w:r>
        <w:t>Now neither on his stout staff nor his faithful daughter</w:t>
      </w:r>
    </w:p>
    <w:p w14:paraId="75C01348" w14:textId="6C554B0A" w:rsidR="009D05C4" w:rsidRDefault="009D05C4" w:rsidP="000B5C6F">
      <w:pPr>
        <w:spacing w:line="360" w:lineRule="auto"/>
        <w:ind w:firstLine="720"/>
      </w:pPr>
      <w:r>
        <w:t>does he depend, and stands upright unaided…</w:t>
      </w:r>
    </w:p>
    <w:p w14:paraId="1B309546" w14:textId="3F0F5AAC" w:rsidR="00670519" w:rsidRDefault="009D05C4" w:rsidP="000B5C6F">
      <w:pPr>
        <w:spacing w:line="360" w:lineRule="auto"/>
      </w:pPr>
      <w:r>
        <w:t xml:space="preserve">The use of the negative here, </w:t>
      </w:r>
      <w:r w:rsidR="00A50876">
        <w:t>[</w:t>
      </w:r>
      <w:r>
        <w:rPr>
          <w:i/>
          <w:iCs/>
        </w:rPr>
        <w:t>ne</w:t>
      </w:r>
      <w:r w:rsidR="00A50876">
        <w:t>]</w:t>
      </w:r>
      <w:r>
        <w:rPr>
          <w:i/>
          <w:iCs/>
        </w:rPr>
        <w:t xml:space="preserve">… </w:t>
      </w:r>
      <w:proofErr w:type="spellStart"/>
      <w:r>
        <w:rPr>
          <w:i/>
          <w:iCs/>
        </w:rPr>
        <w:t>baculo</w:t>
      </w:r>
      <w:proofErr w:type="spellEnd"/>
      <w:r>
        <w:rPr>
          <w:i/>
          <w:iCs/>
        </w:rPr>
        <w:t xml:space="preserve">…/ </w:t>
      </w:r>
      <w:proofErr w:type="spellStart"/>
      <w:r>
        <w:rPr>
          <w:i/>
          <w:iCs/>
        </w:rPr>
        <w:t>nititur</w:t>
      </w:r>
      <w:proofErr w:type="spellEnd"/>
      <w:r>
        <w:t xml:space="preserve">, bears some consideration, especially in contrast with the language of Homer. </w:t>
      </w:r>
      <w:r w:rsidR="00A50876">
        <w:t xml:space="preserve">While </w:t>
      </w:r>
      <w:proofErr w:type="spellStart"/>
      <w:r w:rsidR="00A50876" w:rsidRPr="00A314E1">
        <w:t>ἔχων</w:t>
      </w:r>
      <w:proofErr w:type="spellEnd"/>
      <w:r w:rsidR="00A50876">
        <w:t xml:space="preserve">, the present participle of </w:t>
      </w:r>
      <w:proofErr w:type="spellStart"/>
      <w:r w:rsidR="00A50876" w:rsidRPr="00A314E1">
        <w:t>ἔχω</w:t>
      </w:r>
      <w:proofErr w:type="spellEnd"/>
      <w:r w:rsidR="00A50876">
        <w:t>, is incredibly common, it nonetheless carries the sense of holding: the first dictionary definition is “</w:t>
      </w:r>
      <w:r w:rsidR="00A50876" w:rsidRPr="00A50876">
        <w:rPr>
          <w:i/>
          <w:iCs/>
        </w:rPr>
        <w:t>to have</w:t>
      </w:r>
      <w:r w:rsidR="00A50876">
        <w:t xml:space="preserve"> or </w:t>
      </w:r>
      <w:r w:rsidR="00A50876" w:rsidRPr="00A50876">
        <w:rPr>
          <w:i/>
          <w:iCs/>
        </w:rPr>
        <w:t>to hold</w:t>
      </w:r>
      <w:r w:rsidR="00A50876">
        <w:t>.”</w:t>
      </w:r>
      <w:r w:rsidR="00A50876">
        <w:rPr>
          <w:rStyle w:val="FootnoteReference"/>
        </w:rPr>
        <w:footnoteReference w:id="16"/>
      </w:r>
      <w:r w:rsidR="00A50876">
        <w:t xml:space="preserve"> The sense of </w:t>
      </w:r>
      <w:proofErr w:type="spellStart"/>
      <w:r w:rsidR="00A50876">
        <w:rPr>
          <w:i/>
          <w:iCs/>
        </w:rPr>
        <w:t>nitor</w:t>
      </w:r>
      <w:proofErr w:type="spellEnd"/>
      <w:r w:rsidR="00A50876">
        <w:t xml:space="preserve"> is similar:</w:t>
      </w:r>
      <w:r w:rsidR="00C54419">
        <w:t xml:space="preserve"> “</w:t>
      </w:r>
      <w:r w:rsidR="00C54419">
        <w:rPr>
          <w:i/>
          <w:iCs/>
        </w:rPr>
        <w:t>to support oneself</w:t>
      </w:r>
      <w:r w:rsidR="00C54419">
        <w:t>….</w:t>
      </w:r>
      <w:r w:rsidR="00C54419">
        <w:rPr>
          <w:i/>
          <w:iCs/>
        </w:rPr>
        <w:t xml:space="preserve"> to lean</w:t>
      </w:r>
      <w:r w:rsidR="00C54419">
        <w:t xml:space="preserve">, or </w:t>
      </w:r>
      <w:r w:rsidR="00C54419">
        <w:rPr>
          <w:i/>
          <w:iCs/>
        </w:rPr>
        <w:t>rest upon</w:t>
      </w:r>
      <w:r w:rsidR="00C54419">
        <w:t>.”</w:t>
      </w:r>
      <w:r w:rsidR="00C54419">
        <w:rPr>
          <w:rStyle w:val="FootnoteReference"/>
        </w:rPr>
        <w:footnoteReference w:id="17"/>
      </w:r>
      <w:r w:rsidR="00C54419">
        <w:t xml:space="preserve"> Brisson, in his structuralist breakdown of the myth of Tiresias, identifies the staff as one of the critical traits of the character and his story, noting its appearance in </w:t>
      </w:r>
      <w:r w:rsidR="00670519">
        <w:t>several</w:t>
      </w:r>
      <w:r w:rsidR="00C54419">
        <w:t xml:space="preserve"> iterations of </w:t>
      </w:r>
      <w:r w:rsidR="00BD7AFA">
        <w:t>Tiresias’s literary biography</w:t>
      </w:r>
      <w:r w:rsidR="00C54419">
        <w:t>.</w:t>
      </w:r>
      <w:r w:rsidR="00670519">
        <w:rPr>
          <w:rStyle w:val="FootnoteReference"/>
        </w:rPr>
        <w:footnoteReference w:id="18"/>
      </w:r>
      <w:r w:rsidR="00C54419">
        <w:t xml:space="preserve"> Statius, however, tweaks this: when the staff is mentioned, it is because Tiresias </w:t>
      </w:r>
      <w:r w:rsidR="00670519">
        <w:t xml:space="preserve">no longer requires it. In his prophetic transport, Tiresias has no need of </w:t>
      </w:r>
      <w:r w:rsidR="00BD7AFA">
        <w:t>one of his most ancient attributes.</w:t>
      </w:r>
    </w:p>
    <w:p w14:paraId="181A6F3B" w14:textId="687B6FDB" w:rsidR="009D05C4" w:rsidRDefault="00E45475" w:rsidP="000B5C6F">
      <w:pPr>
        <w:spacing w:line="360" w:lineRule="auto"/>
        <w:ind w:firstLine="720"/>
      </w:pPr>
      <w:r>
        <w:t xml:space="preserve">That transport, described in the lines immediately preceding the ones from </w:t>
      </w:r>
      <w:r>
        <w:rPr>
          <w:i/>
          <w:iCs/>
        </w:rPr>
        <w:t>Thebaid</w:t>
      </w:r>
      <w:r>
        <w:t xml:space="preserve"> discussed above, bears more than a little in common with what Lovatt identifies as a moment of classic prophetic madness in Book X, when Tiresias foretells the death of </w:t>
      </w:r>
      <w:proofErr w:type="spellStart"/>
      <w:r>
        <w:t>Menoeceus</w:t>
      </w:r>
      <w:proofErr w:type="spellEnd"/>
      <w:r>
        <w:t>. She notes that “the hair standing on end… [is] a [sign] of the prophetic trance,”</w:t>
      </w:r>
      <w:r>
        <w:rPr>
          <w:rStyle w:val="FootnoteReference"/>
        </w:rPr>
        <w:footnoteReference w:id="19"/>
      </w:r>
      <w:r>
        <w:t xml:space="preserve"> but in citing </w:t>
      </w:r>
      <w:r w:rsidR="00BD7AFA">
        <w:t>Stat.</w:t>
      </w:r>
      <w:r>
        <w:rPr>
          <w:i/>
          <w:iCs/>
        </w:rPr>
        <w:t>Theb.</w:t>
      </w:r>
      <w:r>
        <w:t xml:space="preserve">X.606-7, she could almost as easily have cited </w:t>
      </w:r>
      <w:r w:rsidR="00BD7AFA">
        <w:t>Stat.</w:t>
      </w:r>
      <w:r>
        <w:rPr>
          <w:i/>
          <w:iCs/>
        </w:rPr>
        <w:t>Theb.</w:t>
      </w:r>
      <w:r>
        <w:t>IV.580-1. To compare:</w:t>
      </w:r>
    </w:p>
    <w:p w14:paraId="100417F8" w14:textId="36638E40" w:rsidR="00E45475" w:rsidRDefault="00E45475" w:rsidP="000B5C6F">
      <w:pPr>
        <w:spacing w:line="360" w:lineRule="auto"/>
        <w:ind w:firstLine="720"/>
        <w:rPr>
          <w:i/>
          <w:iCs/>
        </w:rPr>
      </w:pPr>
      <w:proofErr w:type="spellStart"/>
      <w:r>
        <w:rPr>
          <w:i/>
          <w:iCs/>
        </w:rPr>
        <w:t>stant</w:t>
      </w:r>
      <w:proofErr w:type="spellEnd"/>
      <w:r>
        <w:rPr>
          <w:i/>
          <w:iCs/>
        </w:rPr>
        <w:t xml:space="preserve"> tristes horror </w:t>
      </w:r>
      <w:proofErr w:type="spellStart"/>
      <w:r>
        <w:rPr>
          <w:i/>
          <w:iCs/>
        </w:rPr>
        <w:t>comae</w:t>
      </w:r>
      <w:proofErr w:type="spellEnd"/>
      <w:r>
        <w:rPr>
          <w:i/>
          <w:iCs/>
        </w:rPr>
        <w:t xml:space="preserve">, </w:t>
      </w:r>
      <w:proofErr w:type="spellStart"/>
      <w:r>
        <w:rPr>
          <w:i/>
          <w:iCs/>
        </w:rPr>
        <w:t>vittasque</w:t>
      </w:r>
      <w:proofErr w:type="spellEnd"/>
      <w:r>
        <w:rPr>
          <w:i/>
          <w:iCs/>
        </w:rPr>
        <w:t xml:space="preserve"> </w:t>
      </w:r>
      <w:proofErr w:type="spellStart"/>
      <w:r>
        <w:rPr>
          <w:i/>
          <w:iCs/>
        </w:rPr>
        <w:t>trementes</w:t>
      </w:r>
      <w:proofErr w:type="spellEnd"/>
    </w:p>
    <w:p w14:paraId="6E316130" w14:textId="257778F6" w:rsidR="00E45475" w:rsidRDefault="00E45475" w:rsidP="000B5C6F">
      <w:pPr>
        <w:spacing w:line="360" w:lineRule="auto"/>
        <w:ind w:firstLine="720"/>
      </w:pPr>
      <w:proofErr w:type="spellStart"/>
      <w:r>
        <w:rPr>
          <w:i/>
          <w:iCs/>
        </w:rPr>
        <w:t>caesaries</w:t>
      </w:r>
      <w:proofErr w:type="spellEnd"/>
      <w:r>
        <w:rPr>
          <w:i/>
          <w:iCs/>
        </w:rPr>
        <w:t xml:space="preserve"> insane </w:t>
      </w:r>
      <w:proofErr w:type="spellStart"/>
      <w:r>
        <w:rPr>
          <w:i/>
          <w:iCs/>
        </w:rPr>
        <w:t>levat</w:t>
      </w:r>
      <w:proofErr w:type="spellEnd"/>
      <w:proofErr w:type="gramStart"/>
      <w:r>
        <w:rPr>
          <w:i/>
          <w:iCs/>
        </w:rPr>
        <w:t>…</w:t>
      </w:r>
      <w:r>
        <w:t>(</w:t>
      </w:r>
      <w:proofErr w:type="gramEnd"/>
      <w:r w:rsidRPr="00E45475">
        <w:t xml:space="preserve"> </w:t>
      </w:r>
      <w:r>
        <w:t>Stat.</w:t>
      </w:r>
      <w:r>
        <w:rPr>
          <w:i/>
          <w:iCs/>
        </w:rPr>
        <w:t>Theb</w:t>
      </w:r>
      <w:r>
        <w:t>.X.606-7)</w:t>
      </w:r>
    </w:p>
    <w:p w14:paraId="7EE52D46" w14:textId="3D3539A7" w:rsidR="00E45475" w:rsidRDefault="007875EE" w:rsidP="000B5C6F">
      <w:pPr>
        <w:spacing w:line="360" w:lineRule="auto"/>
        <w:ind w:firstLine="720"/>
      </w:pPr>
      <w:r>
        <w:t>His dull hair stands on end in horror, and his long locks</w:t>
      </w:r>
    </w:p>
    <w:p w14:paraId="71333D39" w14:textId="5E5002CE" w:rsidR="007875EE" w:rsidRDefault="007875EE" w:rsidP="000B5C6F">
      <w:pPr>
        <w:spacing w:line="360" w:lineRule="auto"/>
        <w:ind w:firstLine="720"/>
      </w:pPr>
      <w:r>
        <w:lastRenderedPageBreak/>
        <w:t>lift the fillets, trembling with madness…</w:t>
      </w:r>
    </w:p>
    <w:p w14:paraId="5636D8AB" w14:textId="233C378F" w:rsidR="00E45475" w:rsidRDefault="00E45475" w:rsidP="000B5C6F">
      <w:pPr>
        <w:spacing w:line="360" w:lineRule="auto"/>
        <w:ind w:firstLine="720"/>
        <w:rPr>
          <w:i/>
          <w:iCs/>
        </w:rPr>
      </w:pPr>
      <w:r>
        <w:rPr>
          <w:i/>
          <w:iCs/>
        </w:rPr>
        <w:t>…</w:t>
      </w:r>
      <w:proofErr w:type="spellStart"/>
      <w:r>
        <w:rPr>
          <w:i/>
          <w:iCs/>
        </w:rPr>
        <w:t>illius</w:t>
      </w:r>
      <w:proofErr w:type="spellEnd"/>
      <w:r>
        <w:rPr>
          <w:i/>
          <w:iCs/>
        </w:rPr>
        <w:t xml:space="preserve"> </w:t>
      </w:r>
      <w:proofErr w:type="spellStart"/>
      <w:r>
        <w:rPr>
          <w:i/>
          <w:iCs/>
        </w:rPr>
        <w:t>elatis</w:t>
      </w:r>
      <w:proofErr w:type="spellEnd"/>
      <w:r>
        <w:rPr>
          <w:i/>
          <w:iCs/>
        </w:rPr>
        <w:t xml:space="preserve"> </w:t>
      </w:r>
      <w:proofErr w:type="spellStart"/>
      <w:r>
        <w:rPr>
          <w:i/>
          <w:iCs/>
        </w:rPr>
        <w:t>tremefacta</w:t>
      </w:r>
      <w:proofErr w:type="spellEnd"/>
      <w:r>
        <w:rPr>
          <w:i/>
          <w:iCs/>
        </w:rPr>
        <w:t xml:space="preserve"> </w:t>
      </w:r>
      <w:proofErr w:type="spellStart"/>
      <w:r>
        <w:rPr>
          <w:i/>
          <w:iCs/>
        </w:rPr>
        <w:t>adsurgere</w:t>
      </w:r>
      <w:proofErr w:type="spellEnd"/>
      <w:r>
        <w:rPr>
          <w:i/>
          <w:iCs/>
        </w:rPr>
        <w:t xml:space="preserve"> </w:t>
      </w:r>
      <w:proofErr w:type="spellStart"/>
      <w:r>
        <w:rPr>
          <w:i/>
          <w:iCs/>
        </w:rPr>
        <w:t>vittis</w:t>
      </w:r>
      <w:proofErr w:type="spellEnd"/>
    </w:p>
    <w:p w14:paraId="2F31746F" w14:textId="347B0DE9" w:rsidR="00E45475" w:rsidRDefault="00E45475" w:rsidP="000B5C6F">
      <w:pPr>
        <w:spacing w:line="360" w:lineRule="auto"/>
        <w:ind w:firstLine="720"/>
      </w:pPr>
      <w:r>
        <w:rPr>
          <w:i/>
          <w:iCs/>
        </w:rPr>
        <w:t xml:space="preserve">canities </w:t>
      </w:r>
      <w:proofErr w:type="spellStart"/>
      <w:r>
        <w:rPr>
          <w:i/>
          <w:iCs/>
        </w:rPr>
        <w:t>tenuisque</w:t>
      </w:r>
      <w:proofErr w:type="spellEnd"/>
      <w:r>
        <w:rPr>
          <w:i/>
          <w:iCs/>
        </w:rPr>
        <w:t xml:space="preserve"> </w:t>
      </w:r>
      <w:proofErr w:type="spellStart"/>
      <w:r>
        <w:rPr>
          <w:i/>
          <w:iCs/>
        </w:rPr>
        <w:t>impelli</w:t>
      </w:r>
      <w:proofErr w:type="spellEnd"/>
      <w:r>
        <w:rPr>
          <w:i/>
          <w:iCs/>
        </w:rPr>
        <w:t xml:space="preserve"> sanguine </w:t>
      </w:r>
      <w:proofErr w:type="spellStart"/>
      <w:r>
        <w:rPr>
          <w:i/>
          <w:iCs/>
        </w:rPr>
        <w:t>vultus</w:t>
      </w:r>
      <w:proofErr w:type="spellEnd"/>
      <w:r>
        <w:t>. (Stat.</w:t>
      </w:r>
      <w:r>
        <w:rPr>
          <w:i/>
          <w:iCs/>
        </w:rPr>
        <w:t>Theb</w:t>
      </w:r>
      <w:r>
        <w:t>.IV.580-1)</w:t>
      </w:r>
    </w:p>
    <w:p w14:paraId="4E81CDD7" w14:textId="77777777" w:rsidR="006E07A1" w:rsidRDefault="006E07A1" w:rsidP="000B5C6F">
      <w:pPr>
        <w:spacing w:line="360" w:lineRule="auto"/>
        <w:ind w:firstLine="720"/>
      </w:pPr>
      <w:r>
        <w:t xml:space="preserve">… his white hair </w:t>
      </w:r>
      <w:proofErr w:type="gramStart"/>
      <w:r>
        <w:t>rises up</w:t>
      </w:r>
      <w:proofErr w:type="gramEnd"/>
      <w:r>
        <w:t>, exalted fillets set to trembling,</w:t>
      </w:r>
    </w:p>
    <w:p w14:paraId="73860547" w14:textId="58035EBB" w:rsidR="007875EE" w:rsidRDefault="006E07A1" w:rsidP="000B5C6F">
      <w:pPr>
        <w:spacing w:line="360" w:lineRule="auto"/>
        <w:ind w:firstLine="720"/>
      </w:pPr>
      <w:r>
        <w:t>and his haggard face flushes with blood.</w:t>
      </w:r>
    </w:p>
    <w:p w14:paraId="4256780B" w14:textId="627F20B7" w:rsidR="006E07A1" w:rsidRDefault="006E07A1" w:rsidP="000B5C6F">
      <w:pPr>
        <w:spacing w:line="360" w:lineRule="auto"/>
        <w:ind w:firstLine="720"/>
      </w:pPr>
      <w:r>
        <w:t xml:space="preserve">Lovatt goes on to note that, “The </w:t>
      </w:r>
      <w:r>
        <w:rPr>
          <w:i/>
          <w:iCs/>
        </w:rPr>
        <w:t>Thebaid</w:t>
      </w:r>
      <w:r>
        <w:t xml:space="preserve"> consistently resists simplification; it presents multiple perspectives and breaks the boundaries of </w:t>
      </w:r>
      <w:proofErr w:type="spellStart"/>
      <w:r>
        <w:t>categorisation</w:t>
      </w:r>
      <w:proofErr w:type="spellEnd"/>
      <w:r>
        <w:t xml:space="preserve">. The vocabulary of madness is not stable, and this presents a problem with attempting to decide whether a warrior, or indeed a poet figure,” as she identifies Tiresias, “is </w:t>
      </w:r>
      <w:proofErr w:type="gramStart"/>
      <w:r>
        <w:t>actually mad</w:t>
      </w:r>
      <w:proofErr w:type="gramEnd"/>
      <w:r>
        <w:t>.”</w:t>
      </w:r>
      <w:r>
        <w:rPr>
          <w:rStyle w:val="FootnoteReference"/>
        </w:rPr>
        <w:footnoteReference w:id="20"/>
      </w:r>
      <w:r>
        <w:t xml:space="preserve"> </w:t>
      </w:r>
      <w:r w:rsidR="00AE15CC">
        <w:t>She goes on to reflect, “Is this madness a way of exonerating the warrior, the poet and perhaps epic itself? It may be a way of writing war out of normality and hence placing it outside morality. Yet within the Statian world, madness is no defense: a madman is still held responsible for his actions.”</w:t>
      </w:r>
      <w:r w:rsidR="00BD7AFA">
        <w:rPr>
          <w:rStyle w:val="FootnoteReference"/>
        </w:rPr>
        <w:footnoteReference w:id="21"/>
      </w:r>
      <w:r w:rsidR="00AE15CC">
        <w:t xml:space="preserve"> But if Tiresias were solely mad here, purely in the grip of a prophetic frenzy, his behavior might at least be explicable. Something else is in play here. </w:t>
      </w:r>
    </w:p>
    <w:p w14:paraId="6A6EFA2D" w14:textId="375FBD2D" w:rsidR="00AE15CC" w:rsidRDefault="00AE15CC" w:rsidP="000B5C6F">
      <w:pPr>
        <w:spacing w:line="360" w:lineRule="auto"/>
        <w:ind w:firstLine="720"/>
      </w:pPr>
      <w:r>
        <w:t xml:space="preserve">Consider the differences in the way Tiresias addresses Odysseus in </w:t>
      </w:r>
      <w:r>
        <w:rPr>
          <w:i/>
          <w:iCs/>
        </w:rPr>
        <w:t>Odyssey</w:t>
      </w:r>
      <w:r w:rsidR="00BD7AFA">
        <w:t xml:space="preserve"> and his modes of address in </w:t>
      </w:r>
      <w:r w:rsidR="00BD7AFA">
        <w:rPr>
          <w:i/>
          <w:iCs/>
        </w:rPr>
        <w:t>Thebaid</w:t>
      </w:r>
      <w:r>
        <w:t xml:space="preserve">. Odysseus is </w:t>
      </w:r>
      <w:proofErr w:type="spellStart"/>
      <w:r w:rsidRPr="00AE15CC">
        <w:t>διογενὲς</w:t>
      </w:r>
      <w:proofErr w:type="spellEnd"/>
      <w:r w:rsidRPr="00AE15CC">
        <w:t xml:space="preserve"> Λα</w:t>
      </w:r>
      <w:proofErr w:type="spellStart"/>
      <w:r w:rsidRPr="00AE15CC">
        <w:t>ερτιάδη</w:t>
      </w:r>
      <w:proofErr w:type="spellEnd"/>
      <w:r w:rsidRPr="00AE15CC">
        <w:t>, π</w:t>
      </w:r>
      <w:proofErr w:type="spellStart"/>
      <w:r w:rsidRPr="00AE15CC">
        <w:t>ολυμήχ</w:t>
      </w:r>
      <w:proofErr w:type="spellEnd"/>
      <w:r w:rsidRPr="00AE15CC">
        <w:t xml:space="preserve">αν᾽ </w:t>
      </w:r>
      <w:proofErr w:type="spellStart"/>
      <w:r w:rsidRPr="00AE15CC">
        <w:t>Ὀδυσσεῦ</w:t>
      </w:r>
      <w:proofErr w:type="spellEnd"/>
      <w:r>
        <w:t xml:space="preserve"> (“god-descended son of Laertes, resourceful Odysseus,” </w:t>
      </w:r>
      <w:r>
        <w:rPr>
          <w:i/>
          <w:iCs/>
        </w:rPr>
        <w:t>Od</w:t>
      </w:r>
      <w:r>
        <w:t xml:space="preserve">.XI.93.), and later, </w:t>
      </w:r>
      <w:r w:rsidRPr="00AE15CC">
        <w:t>φα</w:t>
      </w:r>
      <w:proofErr w:type="spellStart"/>
      <w:r w:rsidRPr="00AE15CC">
        <w:t>ίδιμ</w:t>
      </w:r>
      <w:proofErr w:type="spellEnd"/>
      <w:r w:rsidRPr="00AE15CC">
        <w:t xml:space="preserve">᾽ </w:t>
      </w:r>
      <w:proofErr w:type="spellStart"/>
      <w:r w:rsidRPr="00AE15CC">
        <w:t>Ὀδυσσεῦ</w:t>
      </w:r>
      <w:proofErr w:type="spellEnd"/>
      <w:r>
        <w:t xml:space="preserve"> (“</w:t>
      </w:r>
      <w:r w:rsidR="008F7AA6">
        <w:t xml:space="preserve">glorious Odysseus,” </w:t>
      </w:r>
      <w:r w:rsidR="008F7AA6">
        <w:rPr>
          <w:i/>
          <w:iCs/>
        </w:rPr>
        <w:t>Od.</w:t>
      </w:r>
      <w:r w:rsidR="008F7AA6">
        <w:t xml:space="preserve">XI.101). In Statius, however, Tiresias is dismissive almost to the point of rudeness, asserting his prowess and power over the departed spirits. </w:t>
      </w:r>
      <w:r w:rsidR="0052440C">
        <w:t>Who doesn’t know (</w:t>
      </w:r>
      <w:proofErr w:type="spellStart"/>
      <w:r w:rsidR="0052440C">
        <w:rPr>
          <w:i/>
          <w:iCs/>
        </w:rPr>
        <w:t>quis</w:t>
      </w:r>
      <w:proofErr w:type="spellEnd"/>
      <w:r w:rsidR="0052440C">
        <w:rPr>
          <w:i/>
          <w:iCs/>
        </w:rPr>
        <w:t xml:space="preserve">… </w:t>
      </w:r>
      <w:proofErr w:type="spellStart"/>
      <w:r w:rsidR="0052440C">
        <w:rPr>
          <w:i/>
          <w:iCs/>
        </w:rPr>
        <w:t>nesciat</w:t>
      </w:r>
      <w:proofErr w:type="spellEnd"/>
      <w:r w:rsidR="0052440C">
        <w:t>, Stat.</w:t>
      </w:r>
      <w:r w:rsidR="0052440C">
        <w:rPr>
          <w:i/>
          <w:iCs/>
        </w:rPr>
        <w:t>Theb</w:t>
      </w:r>
      <w:r w:rsidR="0052440C">
        <w:t>.IV.537-40) about some of the most notorious punishments the underworld has to offer, to some of its most notorious denizens? He boasts that Hecate herself gave him the tour in his youth (Stat.</w:t>
      </w:r>
      <w:r w:rsidR="0052440C">
        <w:rPr>
          <w:i/>
          <w:iCs/>
        </w:rPr>
        <w:t>Theb</w:t>
      </w:r>
      <w:r w:rsidR="0052440C">
        <w:t>.IV.540-1), and proceeds to enjoin Manto:</w:t>
      </w:r>
    </w:p>
    <w:p w14:paraId="3953543E" w14:textId="534D2700" w:rsidR="0052440C" w:rsidRDefault="0052440C" w:rsidP="000B5C6F">
      <w:pPr>
        <w:spacing w:line="360" w:lineRule="auto"/>
        <w:ind w:firstLine="720"/>
        <w:rPr>
          <w:i/>
          <w:iCs/>
        </w:rPr>
      </w:pPr>
      <w:r>
        <w:rPr>
          <w:i/>
          <w:iCs/>
        </w:rPr>
        <w:t xml:space="preserve">… alias </w:t>
      </w:r>
      <w:proofErr w:type="spellStart"/>
      <w:r>
        <w:rPr>
          <w:i/>
          <w:iCs/>
        </w:rPr>
        <w:t>avertere</w:t>
      </w:r>
      <w:proofErr w:type="spellEnd"/>
      <w:r>
        <w:rPr>
          <w:i/>
          <w:iCs/>
        </w:rPr>
        <w:t xml:space="preserve"> </w:t>
      </w:r>
      <w:proofErr w:type="spellStart"/>
      <w:r>
        <w:rPr>
          <w:i/>
          <w:iCs/>
        </w:rPr>
        <w:t>gressus</w:t>
      </w:r>
      <w:proofErr w:type="spellEnd"/>
    </w:p>
    <w:p w14:paraId="4F6946E3" w14:textId="1AABC07C" w:rsidR="0052440C" w:rsidRDefault="0052440C" w:rsidP="000B5C6F">
      <w:pPr>
        <w:spacing w:line="360" w:lineRule="auto"/>
        <w:ind w:firstLine="720"/>
        <w:rPr>
          <w:i/>
          <w:iCs/>
        </w:rPr>
      </w:pPr>
      <w:proofErr w:type="spellStart"/>
      <w:r>
        <w:rPr>
          <w:i/>
          <w:iCs/>
        </w:rPr>
        <w:t>lacte</w:t>
      </w:r>
      <w:proofErr w:type="spellEnd"/>
      <w:r>
        <w:rPr>
          <w:i/>
          <w:iCs/>
        </w:rPr>
        <w:t xml:space="preserve"> </w:t>
      </w:r>
      <w:proofErr w:type="spellStart"/>
      <w:r>
        <w:rPr>
          <w:i/>
          <w:iCs/>
        </w:rPr>
        <w:t>quater</w:t>
      </w:r>
      <w:proofErr w:type="spellEnd"/>
      <w:r>
        <w:rPr>
          <w:i/>
          <w:iCs/>
        </w:rPr>
        <w:t xml:space="preserve"> </w:t>
      </w:r>
      <w:proofErr w:type="spellStart"/>
      <w:r>
        <w:rPr>
          <w:i/>
          <w:iCs/>
        </w:rPr>
        <w:t>sparsas</w:t>
      </w:r>
      <w:proofErr w:type="spellEnd"/>
      <w:r>
        <w:rPr>
          <w:i/>
          <w:iCs/>
        </w:rPr>
        <w:t xml:space="preserve"> </w:t>
      </w:r>
      <w:proofErr w:type="spellStart"/>
      <w:r>
        <w:rPr>
          <w:i/>
          <w:iCs/>
        </w:rPr>
        <w:t>maestoque</w:t>
      </w:r>
      <w:proofErr w:type="spellEnd"/>
      <w:r>
        <w:rPr>
          <w:i/>
          <w:iCs/>
        </w:rPr>
        <w:t xml:space="preserve"> </w:t>
      </w:r>
      <w:proofErr w:type="spellStart"/>
      <w:r>
        <w:rPr>
          <w:i/>
          <w:iCs/>
        </w:rPr>
        <w:t>excedere</w:t>
      </w:r>
      <w:proofErr w:type="spellEnd"/>
      <w:r>
        <w:rPr>
          <w:i/>
          <w:iCs/>
        </w:rPr>
        <w:t xml:space="preserve"> </w:t>
      </w:r>
      <w:proofErr w:type="spellStart"/>
      <w:r>
        <w:rPr>
          <w:i/>
          <w:iCs/>
        </w:rPr>
        <w:t>luco</w:t>
      </w:r>
      <w:proofErr w:type="spellEnd"/>
      <w:r>
        <w:rPr>
          <w:i/>
          <w:iCs/>
        </w:rPr>
        <w:t>,</w:t>
      </w:r>
    </w:p>
    <w:p w14:paraId="413D4B29" w14:textId="77777777" w:rsidR="00332FC6" w:rsidRDefault="0052440C" w:rsidP="000B5C6F">
      <w:pPr>
        <w:spacing w:line="360" w:lineRule="auto"/>
        <w:ind w:firstLine="720"/>
      </w:pPr>
      <w:r>
        <w:rPr>
          <w:i/>
          <w:iCs/>
        </w:rPr>
        <w:t xml:space="preserve">nata, </w:t>
      </w:r>
      <w:proofErr w:type="spellStart"/>
      <w:r>
        <w:rPr>
          <w:i/>
          <w:iCs/>
        </w:rPr>
        <w:t>iube</w:t>
      </w:r>
      <w:proofErr w:type="spellEnd"/>
      <w:r>
        <w:t>… (Stat.</w:t>
      </w:r>
      <w:r>
        <w:rPr>
          <w:i/>
          <w:iCs/>
        </w:rPr>
        <w:t>Theb</w:t>
      </w:r>
      <w:r>
        <w:t>.IV.544-6)</w:t>
      </w:r>
    </w:p>
    <w:p w14:paraId="0BB3CFEC" w14:textId="77777777" w:rsidR="00332FC6" w:rsidRDefault="00332FC6" w:rsidP="000B5C6F">
      <w:pPr>
        <w:spacing w:line="360" w:lineRule="auto"/>
        <w:ind w:firstLine="720"/>
      </w:pPr>
      <w:r>
        <w:t xml:space="preserve">daughter, with four splashes of milk order </w:t>
      </w:r>
    </w:p>
    <w:p w14:paraId="7A4C049C" w14:textId="0B4FB3DD" w:rsidR="00332FC6" w:rsidRDefault="00332FC6" w:rsidP="000B5C6F">
      <w:pPr>
        <w:spacing w:line="360" w:lineRule="auto"/>
        <w:ind w:firstLine="720"/>
      </w:pPr>
      <w:r>
        <w:t>the others to step away</w:t>
      </w:r>
    </w:p>
    <w:p w14:paraId="5F605371" w14:textId="3AF0B6BF" w:rsidR="00C121F2" w:rsidRDefault="00332FC6" w:rsidP="000B5C6F">
      <w:pPr>
        <w:spacing w:line="360" w:lineRule="auto"/>
        <w:ind w:firstLine="720"/>
      </w:pPr>
      <w:r>
        <w:t>and leave the gloomy grove…</w:t>
      </w:r>
    </w:p>
    <w:p w14:paraId="458F7D1B" w14:textId="61EBE089" w:rsidR="00903643" w:rsidRDefault="00332FC6" w:rsidP="000B5C6F">
      <w:pPr>
        <w:spacing w:line="360" w:lineRule="auto"/>
        <w:ind w:firstLine="720"/>
      </w:pPr>
      <w:r>
        <w:lastRenderedPageBreak/>
        <w:t xml:space="preserve">There’s a hand-waving quality to these lines, with their rhetorical questions and commands, </w:t>
      </w:r>
      <w:r w:rsidR="00980A89">
        <w:t>which turns to</w:t>
      </w:r>
      <w:r w:rsidR="00D333BF">
        <w:t xml:space="preserve"> wheedling when </w:t>
      </w:r>
      <w:r w:rsidR="00980A89">
        <w:t xml:space="preserve">Tiresias </w:t>
      </w:r>
      <w:r w:rsidR="00D333BF">
        <w:t xml:space="preserve">finally </w:t>
      </w:r>
      <w:r w:rsidR="00980A89">
        <w:t>addresses</w:t>
      </w:r>
      <w:r w:rsidR="00D333BF">
        <w:t xml:space="preserve"> Laius, the target of all this gory business. The fact that Laius</w:t>
      </w:r>
      <w:r w:rsidR="00BD7AFA">
        <w:t>’s</w:t>
      </w:r>
      <w:r w:rsidR="00D333BF">
        <w:t xml:space="preserve"> words are brief and cryptic only underscores that, for all his bravura and his insistence on practicing necromancy, something is awry here.</w:t>
      </w:r>
      <w:r w:rsidR="00980A89">
        <w:t xml:space="preserve"> Lovatt elsewhere points out that</w:t>
      </w:r>
      <w:r w:rsidR="00223E7F">
        <w:t xml:space="preserve"> Tiresias’ necromancy</w:t>
      </w:r>
    </w:p>
    <w:p w14:paraId="6A146B3F" w14:textId="6BC37C96" w:rsidR="00332FC6" w:rsidRDefault="00223E7F" w:rsidP="000B5C6F">
      <w:pPr>
        <w:spacing w:line="360" w:lineRule="auto"/>
        <w:ind w:left="720"/>
      </w:pPr>
      <w:r>
        <w:t>“</w:t>
      </w:r>
      <w:proofErr w:type="gramStart"/>
      <w:r>
        <w:t>builds</w:t>
      </w:r>
      <w:proofErr w:type="gramEnd"/>
      <w:r>
        <w:t xml:space="preserve"> on… the Odyssean </w:t>
      </w:r>
      <w:proofErr w:type="spellStart"/>
      <w:r>
        <w:rPr>
          <w:i/>
          <w:iCs/>
        </w:rPr>
        <w:t>nekuia</w:t>
      </w:r>
      <w:proofErr w:type="spellEnd"/>
      <w:r>
        <w:t xml:space="preserve"> to produce yet another ineffective prophecy (4.626-44) that promises victory for Oedipus and leaves his audience confused by his equivocal words (Vessey 1973.257). Both this episode and the death of Amphiaraus, when he is swallowed up by an earthquake and taken down to the underworld alive, are versions of the </w:t>
      </w:r>
      <w:r>
        <w:rPr>
          <w:i/>
          <w:iCs/>
        </w:rPr>
        <w:t>katabasis</w:t>
      </w:r>
      <w:r>
        <w:t xml:space="preserve"> of Aeneas, but strangely hollow versions.”</w:t>
      </w:r>
      <w:r>
        <w:rPr>
          <w:rStyle w:val="FootnoteReference"/>
        </w:rPr>
        <w:footnoteReference w:id="22"/>
      </w:r>
    </w:p>
    <w:p w14:paraId="7566D215" w14:textId="68DB4F84" w:rsidR="00223E7F" w:rsidRDefault="00223E7F" w:rsidP="000B5C6F">
      <w:pPr>
        <w:spacing w:line="360" w:lineRule="auto"/>
        <w:ind w:firstLine="720"/>
      </w:pPr>
      <w:r>
        <w:t xml:space="preserve">Hollow this sequence may be as </w:t>
      </w:r>
      <w:r w:rsidRPr="00BD7AFA">
        <w:t>katabasis</w:t>
      </w:r>
      <w:r>
        <w:t>, but Statius does not introduce the figure of Tiresias lightly, or purely by virtue of his long connection with the tragedies of Thebes</w:t>
      </w:r>
      <w:r w:rsidR="005C2FCE">
        <w:t xml:space="preserve">, nor does he invoke and invert critical elements of Tiresias’ earliest appearances in literature </w:t>
      </w:r>
      <w:r w:rsidR="0037537C">
        <w:t>to no purpose</w:t>
      </w:r>
      <w:r w:rsidR="005C2FCE">
        <w:t xml:space="preserve">. In offering a topsy-turvy version of Homer’s Tiresias, Statius uses the figure </w:t>
      </w:r>
      <w:proofErr w:type="gramStart"/>
      <w:r w:rsidR="005C2FCE">
        <w:t>as a means to</w:t>
      </w:r>
      <w:proofErr w:type="gramEnd"/>
      <w:r w:rsidR="005C2FCE">
        <w:t xml:space="preserve"> explore the depredations on even the noblest of persons by their involvement in the central conflict. As </w:t>
      </w:r>
      <w:proofErr w:type="spellStart"/>
      <w:r w:rsidR="005C2FCE">
        <w:t>Tydeus</w:t>
      </w:r>
      <w:proofErr w:type="spellEnd"/>
      <w:r w:rsidR="005C2FCE">
        <w:t xml:space="preserve"> descends to cannibalism and Capaneus begins his murderous adventures being dragged away from a</w:t>
      </w:r>
      <w:r w:rsidR="00440FE2">
        <w:t xml:space="preserve"> child’s funeral games, so too Tiresias – far from the skilled seer, promised a black ram and bearing a golden scepter, well-known from Homer, or Ovid’s adjudicator of divine disputes – becomes here an old man, driven to necromancy by expedience and hubris, operating as much through bluster as through prophetic abilities to achieve – what? </w:t>
      </w:r>
      <w:proofErr w:type="spellStart"/>
      <w:r w:rsidR="00440FE2">
        <w:rPr>
          <w:i/>
          <w:iCs/>
        </w:rPr>
        <w:t>Auguror</w:t>
      </w:r>
      <w:proofErr w:type="spellEnd"/>
      <w:r w:rsidR="00440FE2">
        <w:rPr>
          <w:i/>
          <w:iCs/>
        </w:rPr>
        <w:t xml:space="preserve"> </w:t>
      </w:r>
      <w:proofErr w:type="spellStart"/>
      <w:r w:rsidR="00440FE2">
        <w:rPr>
          <w:i/>
          <w:iCs/>
        </w:rPr>
        <w:t>hinc</w:t>
      </w:r>
      <w:proofErr w:type="spellEnd"/>
      <w:r w:rsidR="00440FE2">
        <w:rPr>
          <w:i/>
          <w:iCs/>
        </w:rPr>
        <w:t xml:space="preserve"> </w:t>
      </w:r>
      <w:proofErr w:type="spellStart"/>
      <w:r w:rsidR="00440FE2">
        <w:rPr>
          <w:i/>
          <w:iCs/>
        </w:rPr>
        <w:t>Thebis</w:t>
      </w:r>
      <w:proofErr w:type="spellEnd"/>
      <w:r w:rsidR="00440FE2">
        <w:rPr>
          <w:i/>
          <w:iCs/>
        </w:rPr>
        <w:t xml:space="preserve"> belli </w:t>
      </w:r>
      <w:proofErr w:type="spellStart"/>
      <w:r w:rsidR="00440FE2">
        <w:rPr>
          <w:i/>
          <w:iCs/>
        </w:rPr>
        <w:t>meliora</w:t>
      </w:r>
      <w:proofErr w:type="spellEnd"/>
      <w:r w:rsidR="00440FE2">
        <w:t xml:space="preserve"> (“I guess from this better in the Theban war,” Stat.</w:t>
      </w:r>
      <w:r w:rsidR="00440FE2">
        <w:rPr>
          <w:i/>
          <w:iCs/>
        </w:rPr>
        <w:t>Theb</w:t>
      </w:r>
      <w:r w:rsidR="00440FE2">
        <w:t>.IV.592), and Laius’ injunction to consult Oedipus</w:t>
      </w:r>
      <w:r w:rsidR="005442EC">
        <w:t xml:space="preserve"> (Stat.</w:t>
      </w:r>
      <w:r w:rsidR="005442EC">
        <w:rPr>
          <w:i/>
          <w:iCs/>
        </w:rPr>
        <w:t>Theb</w:t>
      </w:r>
      <w:r w:rsidR="005442EC">
        <w:t xml:space="preserve">.IV.629-32)? Scarcely the outcome the reader might anticipate from Homer’s </w:t>
      </w:r>
      <w:proofErr w:type="spellStart"/>
      <w:r w:rsidR="005442EC" w:rsidRPr="005442EC">
        <w:t>μάντις</w:t>
      </w:r>
      <w:proofErr w:type="spellEnd"/>
      <w:r w:rsidR="005442EC" w:rsidRPr="005442EC">
        <w:t xml:space="preserve"> </w:t>
      </w:r>
      <w:proofErr w:type="spellStart"/>
      <w:r w:rsidR="005442EC" w:rsidRPr="005442EC">
        <w:t>ἀμύμων</w:t>
      </w:r>
      <w:proofErr w:type="spellEnd"/>
      <w:r w:rsidR="005442EC">
        <w:t xml:space="preserve"> (“noble seer,” </w:t>
      </w:r>
      <w:r w:rsidR="005442EC">
        <w:rPr>
          <w:i/>
          <w:iCs/>
        </w:rPr>
        <w:t>Od</w:t>
      </w:r>
      <w:r w:rsidR="005442EC">
        <w:t>.XI.100), or the Tiresias who</w:t>
      </w:r>
      <w:r w:rsidR="00BD7AFA">
        <w:t xml:space="preserve"> is described by</w:t>
      </w:r>
      <w:r w:rsidR="005442EC">
        <w:t xml:space="preserve"> Ovid </w:t>
      </w:r>
      <w:r w:rsidR="00BD7AFA">
        <w:t>as</w:t>
      </w:r>
    </w:p>
    <w:p w14:paraId="0B161DF6" w14:textId="5F202C32" w:rsidR="005442EC" w:rsidRDefault="005442EC" w:rsidP="000B5C6F">
      <w:pPr>
        <w:spacing w:line="360" w:lineRule="auto"/>
        <w:ind w:left="720"/>
      </w:pPr>
      <w:r w:rsidRPr="005442EC">
        <w:rPr>
          <w:i/>
          <w:iCs/>
        </w:rPr>
        <w:t xml:space="preserve">Ille per </w:t>
      </w:r>
      <w:proofErr w:type="spellStart"/>
      <w:r w:rsidRPr="005442EC">
        <w:rPr>
          <w:i/>
          <w:iCs/>
        </w:rPr>
        <w:t>Aonias</w:t>
      </w:r>
      <w:proofErr w:type="spellEnd"/>
      <w:r w:rsidRPr="005442EC">
        <w:rPr>
          <w:i/>
          <w:iCs/>
        </w:rPr>
        <w:t xml:space="preserve"> </w:t>
      </w:r>
      <w:proofErr w:type="spellStart"/>
      <w:r w:rsidRPr="005442EC">
        <w:rPr>
          <w:i/>
          <w:iCs/>
        </w:rPr>
        <w:t>fama</w:t>
      </w:r>
      <w:proofErr w:type="spellEnd"/>
      <w:r w:rsidRPr="005442EC">
        <w:rPr>
          <w:i/>
          <w:iCs/>
        </w:rPr>
        <w:t xml:space="preserve"> </w:t>
      </w:r>
      <w:proofErr w:type="spellStart"/>
      <w:r w:rsidRPr="005442EC">
        <w:rPr>
          <w:i/>
          <w:iCs/>
        </w:rPr>
        <w:t>celeberrimus</w:t>
      </w:r>
      <w:proofErr w:type="spellEnd"/>
      <w:r w:rsidRPr="005442EC">
        <w:rPr>
          <w:i/>
          <w:iCs/>
        </w:rPr>
        <w:t xml:space="preserve"> </w:t>
      </w:r>
      <w:proofErr w:type="spellStart"/>
      <w:r w:rsidRPr="005442EC">
        <w:rPr>
          <w:i/>
          <w:iCs/>
        </w:rPr>
        <w:t>urbes</w:t>
      </w:r>
      <w:proofErr w:type="spellEnd"/>
      <w:r w:rsidRPr="005442EC">
        <w:rPr>
          <w:i/>
          <w:iCs/>
        </w:rPr>
        <w:br/>
      </w:r>
      <w:proofErr w:type="spellStart"/>
      <w:r w:rsidRPr="005442EC">
        <w:rPr>
          <w:i/>
          <w:iCs/>
        </w:rPr>
        <w:t>inreprehensa</w:t>
      </w:r>
      <w:proofErr w:type="spellEnd"/>
      <w:r w:rsidRPr="005442EC">
        <w:rPr>
          <w:i/>
          <w:iCs/>
        </w:rPr>
        <w:t xml:space="preserve"> </w:t>
      </w:r>
      <w:proofErr w:type="spellStart"/>
      <w:r w:rsidRPr="005442EC">
        <w:rPr>
          <w:i/>
          <w:iCs/>
        </w:rPr>
        <w:t>dabat</w:t>
      </w:r>
      <w:proofErr w:type="spellEnd"/>
      <w:r w:rsidRPr="005442EC">
        <w:rPr>
          <w:i/>
          <w:iCs/>
        </w:rPr>
        <w:t xml:space="preserve"> populo responsa </w:t>
      </w:r>
      <w:proofErr w:type="spellStart"/>
      <w:r w:rsidRPr="005442EC">
        <w:rPr>
          <w:i/>
          <w:iCs/>
        </w:rPr>
        <w:t>petenti</w:t>
      </w:r>
      <w:proofErr w:type="spellEnd"/>
      <w:r w:rsidRPr="005442EC">
        <w:rPr>
          <w:i/>
          <w:iCs/>
        </w:rPr>
        <w:t>…</w:t>
      </w:r>
      <w:r>
        <w:t xml:space="preserve"> (Ov.</w:t>
      </w:r>
      <w:r>
        <w:rPr>
          <w:i/>
          <w:iCs/>
        </w:rPr>
        <w:t>Met</w:t>
      </w:r>
      <w:r>
        <w:t>.III.339-40)</w:t>
      </w:r>
    </w:p>
    <w:p w14:paraId="5DC0BE94" w14:textId="3F360C2C" w:rsidR="005442EC" w:rsidRDefault="005442EC" w:rsidP="000B5C6F">
      <w:pPr>
        <w:spacing w:line="360" w:lineRule="auto"/>
        <w:ind w:left="720"/>
      </w:pPr>
      <w:r>
        <w:t>He, most celebrated throughout the Aonian cities,</w:t>
      </w:r>
    </w:p>
    <w:p w14:paraId="4E374161" w14:textId="5C91B7F8" w:rsidR="005442EC" w:rsidRDefault="005442EC" w:rsidP="000B5C6F">
      <w:pPr>
        <w:spacing w:line="360" w:lineRule="auto"/>
        <w:ind w:left="720"/>
      </w:pPr>
      <w:r>
        <w:t>reputation unimpeachable, gave answers to people seeking them…</w:t>
      </w:r>
    </w:p>
    <w:p w14:paraId="7F44D039" w14:textId="3CDAC25B" w:rsidR="00C8001D" w:rsidRDefault="00C8001D" w:rsidP="000B5C6F">
      <w:pPr>
        <w:spacing w:line="360" w:lineRule="auto"/>
      </w:pPr>
      <w:r>
        <w:t xml:space="preserve">with, of course, the understanding that those answers are accurate. </w:t>
      </w:r>
    </w:p>
    <w:p w14:paraId="7542EFB3" w14:textId="45D334ED" w:rsidR="00C8001D" w:rsidRDefault="00C8001D" w:rsidP="000B5C6F">
      <w:pPr>
        <w:spacing w:line="360" w:lineRule="auto"/>
        <w:ind w:firstLine="720"/>
      </w:pPr>
      <w:proofErr w:type="gramStart"/>
      <w:r>
        <w:lastRenderedPageBreak/>
        <w:t>Instead</w:t>
      </w:r>
      <w:proofErr w:type="gramEnd"/>
      <w:r>
        <w:t xml:space="preserve"> we have </w:t>
      </w:r>
      <w:r w:rsidR="00BD7AFA">
        <w:t>Statius’s</w:t>
      </w:r>
      <w:r>
        <w:t xml:space="preserve"> Tiresias</w:t>
      </w:r>
      <w:r w:rsidR="00BD7AFA">
        <w:t>,</w:t>
      </w:r>
      <w:r>
        <w:t xml:space="preserve"> who hews so closely to the Homeric model and yet strays so far from the behavior a reader might have expected of him, both in </w:t>
      </w:r>
      <w:r w:rsidR="00BD7AFA">
        <w:t>his comportment</w:t>
      </w:r>
      <w:r>
        <w:t xml:space="preserve"> towards the spirits and the people around him, and in his willingness verging on eagerness to engage in infernal rituals. As Beek notes, “Roman mythic literature builds up the overwhelming impression that necromancy was illicit, repulsive, and evil.”</w:t>
      </w:r>
      <w:r w:rsidR="000B5C6F">
        <w:rPr>
          <w:rStyle w:val="FootnoteReference"/>
        </w:rPr>
        <w:footnoteReference w:id="23"/>
      </w:r>
      <w:r>
        <w:t xml:space="preserve"> </w:t>
      </w:r>
    </w:p>
    <w:p w14:paraId="5C1C0AE4" w14:textId="5877D75C" w:rsidR="000B5C6F" w:rsidRDefault="00A97066" w:rsidP="000B5C6F">
      <w:pPr>
        <w:spacing w:line="360" w:lineRule="auto"/>
        <w:ind w:firstLine="720"/>
      </w:pPr>
      <w:r>
        <w:t xml:space="preserve">At the very outset of the epic, when Oedipus curses his sons and invokes Tisiphone to carry it out, he acknowledges that it is a </w:t>
      </w:r>
      <w:proofErr w:type="spellStart"/>
      <w:r>
        <w:rPr>
          <w:i/>
          <w:iCs/>
        </w:rPr>
        <w:t>perversa</w:t>
      </w:r>
      <w:proofErr w:type="spellEnd"/>
      <w:r>
        <w:rPr>
          <w:i/>
          <w:iCs/>
        </w:rPr>
        <w:t xml:space="preserve"> vota</w:t>
      </w:r>
      <w:r>
        <w:t>, “a perverse prayer” (Stat.</w:t>
      </w:r>
      <w:r>
        <w:rPr>
          <w:i/>
          <w:iCs/>
        </w:rPr>
        <w:t>Theb</w:t>
      </w:r>
      <w:r>
        <w:t xml:space="preserve">.I.59). The quality of </w:t>
      </w:r>
      <w:proofErr w:type="spellStart"/>
      <w:r>
        <w:rPr>
          <w:i/>
          <w:iCs/>
        </w:rPr>
        <w:t>perversus</w:t>
      </w:r>
      <w:proofErr w:type="spellEnd"/>
      <w:r>
        <w:t xml:space="preserve">, something perverse, something twisted, pervades the epic, and here we see it even in the noble Tiresias. Not even the great seer can escape from the perversion in the sense of distortion of the self, of the most basic characteristics of a person, that Statius explores over and over throughout the epic. Here, that is expressed </w:t>
      </w:r>
      <w:proofErr w:type="gramStart"/>
      <w:r>
        <w:t>through the use of</w:t>
      </w:r>
      <w:proofErr w:type="gramEnd"/>
      <w:r>
        <w:t xml:space="preserve"> Homeric signifiers turned inside out: Tiresias the necromancer, instead of the summoned spirit, sacrificing rather than being promised his black ram, casting aside instead of carrying his staff, his prophecy a guess and his answering spirit a spiteful, gnomic mutterer.</w:t>
      </w:r>
      <w:r w:rsidR="00EB2579">
        <w:t xml:space="preserve"> Statius reaches back to the very earliest textual representation of the figure of Tiresias, takes his attributes, and twists them, corrupting the very root of the character in the service of fratricidal war.</w:t>
      </w:r>
      <w:r>
        <w:t xml:space="preserve"> If even the great seer cannot escape that miasma, the sequence asks us, who has a prayer in hell? </w:t>
      </w:r>
    </w:p>
    <w:p w14:paraId="088DD844" w14:textId="77777777" w:rsidR="000B5C6F" w:rsidRDefault="000B5C6F" w:rsidP="000B5C6F">
      <w:pPr>
        <w:spacing w:after="160" w:line="360" w:lineRule="auto"/>
      </w:pPr>
      <w:r>
        <w:br w:type="page"/>
      </w:r>
    </w:p>
    <w:p w14:paraId="37DA9AF7" w14:textId="77777777" w:rsidR="007875EE" w:rsidRDefault="007875EE" w:rsidP="000B5C6F">
      <w:pPr>
        <w:spacing w:line="360" w:lineRule="auto"/>
        <w:ind w:firstLine="720"/>
      </w:pPr>
    </w:p>
    <w:p w14:paraId="52CBB39F" w14:textId="1396C204" w:rsidR="00C121F2" w:rsidRDefault="00C121F2" w:rsidP="000B5C6F">
      <w:pPr>
        <w:spacing w:line="360" w:lineRule="auto"/>
      </w:pPr>
      <w:r>
        <w:rPr>
          <w:u w:val="single"/>
        </w:rPr>
        <w:t>Bibliography</w:t>
      </w:r>
    </w:p>
    <w:p w14:paraId="549AAD7F" w14:textId="5B113E1F" w:rsidR="00C121F2" w:rsidRDefault="00C121F2" w:rsidP="000B5C6F">
      <w:pPr>
        <w:spacing w:line="360" w:lineRule="auto"/>
      </w:pPr>
      <w:r>
        <w:t xml:space="preserve">Beek, A. (2022). </w:t>
      </w:r>
      <w:r>
        <w:rPr>
          <w:i/>
          <w:iCs/>
        </w:rPr>
        <w:t xml:space="preserve">Si </w:t>
      </w:r>
      <w:proofErr w:type="spellStart"/>
      <w:r>
        <w:rPr>
          <w:i/>
          <w:iCs/>
        </w:rPr>
        <w:t>Crimina</w:t>
      </w:r>
      <w:proofErr w:type="spellEnd"/>
      <w:r>
        <w:rPr>
          <w:i/>
          <w:iCs/>
        </w:rPr>
        <w:t xml:space="preserve"> Demas</w:t>
      </w:r>
      <w:r>
        <w:t>: Necromancy in Roman Literature and Statius’ Transgressive Manto. In Pollard, E</w:t>
      </w:r>
      <w:r w:rsidR="00A50876">
        <w:t>.</w:t>
      </w:r>
      <w:r>
        <w:t xml:space="preserve"> and Conti, F</w:t>
      </w:r>
      <w:r w:rsidR="00A50876">
        <w:t>.</w:t>
      </w:r>
      <w:r>
        <w:t xml:space="preserve"> (eds), Nemo non </w:t>
      </w:r>
      <w:proofErr w:type="spellStart"/>
      <w:r>
        <w:t>metuit</w:t>
      </w:r>
      <w:proofErr w:type="spellEnd"/>
      <w:r>
        <w:t xml:space="preserve">: </w:t>
      </w:r>
      <w:r>
        <w:rPr>
          <w:i/>
          <w:iCs/>
        </w:rPr>
        <w:t>Magic in the Roman World</w:t>
      </w:r>
      <w:r>
        <w:t xml:space="preserve">. Budapest: </w:t>
      </w:r>
      <w:proofErr w:type="spellStart"/>
      <w:r>
        <w:t>Trivent</w:t>
      </w:r>
      <w:proofErr w:type="spellEnd"/>
      <w:r>
        <w:t xml:space="preserve"> Publishing, 409-453.</w:t>
      </w:r>
    </w:p>
    <w:p w14:paraId="39C1DC3E" w14:textId="2CBF7530" w:rsidR="00670519" w:rsidRPr="00670519" w:rsidRDefault="00670519" w:rsidP="000B5C6F">
      <w:pPr>
        <w:spacing w:line="360" w:lineRule="auto"/>
      </w:pPr>
      <w:r>
        <w:t xml:space="preserve">Brisson, L. (1976). </w:t>
      </w:r>
      <w:r>
        <w:rPr>
          <w:i/>
          <w:iCs/>
        </w:rPr>
        <w:t xml:space="preserve">Le </w:t>
      </w:r>
      <w:proofErr w:type="spellStart"/>
      <w:r>
        <w:rPr>
          <w:i/>
          <w:iCs/>
        </w:rPr>
        <w:t>Mythe</w:t>
      </w:r>
      <w:proofErr w:type="spellEnd"/>
      <w:r>
        <w:rPr>
          <w:i/>
          <w:iCs/>
        </w:rPr>
        <w:t xml:space="preserve"> de </w:t>
      </w:r>
      <w:proofErr w:type="spellStart"/>
      <w:r>
        <w:rPr>
          <w:i/>
          <w:iCs/>
        </w:rPr>
        <w:t>Tir</w:t>
      </w:r>
      <w:r>
        <w:rPr>
          <w:rFonts w:cs="Times New Roman"/>
          <w:i/>
          <w:iCs/>
        </w:rPr>
        <w:t>é</w:t>
      </w:r>
      <w:r>
        <w:rPr>
          <w:i/>
          <w:iCs/>
        </w:rPr>
        <w:t>sias</w:t>
      </w:r>
      <w:proofErr w:type="spellEnd"/>
      <w:r>
        <w:rPr>
          <w:i/>
          <w:iCs/>
        </w:rPr>
        <w:t xml:space="preserve">: Essai </w:t>
      </w:r>
      <w:proofErr w:type="spellStart"/>
      <w:r>
        <w:rPr>
          <w:i/>
          <w:iCs/>
        </w:rPr>
        <w:t>d’Analyse</w:t>
      </w:r>
      <w:proofErr w:type="spellEnd"/>
      <w:r>
        <w:rPr>
          <w:i/>
          <w:iCs/>
        </w:rPr>
        <w:t xml:space="preserve"> </w:t>
      </w:r>
      <w:proofErr w:type="spellStart"/>
      <w:r>
        <w:rPr>
          <w:i/>
          <w:iCs/>
        </w:rPr>
        <w:t>Structurale</w:t>
      </w:r>
      <w:proofErr w:type="spellEnd"/>
      <w:r>
        <w:t>. Leiden: E. J. Brill.</w:t>
      </w:r>
    </w:p>
    <w:p w14:paraId="50177BC9" w14:textId="53BB7029" w:rsidR="00375DFB" w:rsidRDefault="00375DFB" w:rsidP="000B5C6F">
      <w:pPr>
        <w:spacing w:line="360" w:lineRule="auto"/>
      </w:pPr>
      <w:r>
        <w:t xml:space="preserve">Keith, A. (2002). Ovidian Personae in Statius’ ‘Thebaid’. </w:t>
      </w:r>
      <w:r>
        <w:rPr>
          <w:i/>
          <w:iCs/>
        </w:rPr>
        <w:t>Arethusa</w:t>
      </w:r>
      <w:r>
        <w:t xml:space="preserve"> 35(3), 381-402. </w:t>
      </w:r>
      <w:r w:rsidR="00A50876" w:rsidRPr="00A50876">
        <w:t>https://www.jstor.org/stable/44578893</w:t>
      </w:r>
    </w:p>
    <w:p w14:paraId="2DDC3ECE" w14:textId="75C30FC1" w:rsidR="00A50876" w:rsidRDefault="00A50876" w:rsidP="000B5C6F">
      <w:pPr>
        <w:spacing w:line="360" w:lineRule="auto"/>
      </w:pPr>
      <w:r w:rsidRPr="00A50876">
        <w:t xml:space="preserve">Liddell, H. and Scott, R. (eds.) (2010), </w:t>
      </w:r>
      <w:r w:rsidRPr="00A50876">
        <w:rPr>
          <w:i/>
          <w:iCs/>
        </w:rPr>
        <w:t xml:space="preserve">An Intermediate </w:t>
      </w:r>
      <w:proofErr w:type="gramStart"/>
      <w:r w:rsidRPr="00A50876">
        <w:rPr>
          <w:i/>
          <w:iCs/>
        </w:rPr>
        <w:t>Greek-English</w:t>
      </w:r>
      <w:proofErr w:type="gramEnd"/>
      <w:r w:rsidRPr="00A50876">
        <w:rPr>
          <w:i/>
          <w:iCs/>
        </w:rPr>
        <w:t xml:space="preserve"> Lexicon: Founded Upon the Seventh Edition of Liddell and Scott’s Greek-English Lexicon</w:t>
      </w:r>
      <w:r>
        <w:t>.</w:t>
      </w:r>
      <w:r w:rsidRPr="00A50876">
        <w:t xml:space="preserve"> Oxford: Benediction Classics.</w:t>
      </w:r>
    </w:p>
    <w:p w14:paraId="5A68F26E" w14:textId="1C32285E" w:rsidR="00E45475" w:rsidRDefault="00E45475" w:rsidP="000B5C6F">
      <w:pPr>
        <w:spacing w:line="360" w:lineRule="auto"/>
      </w:pPr>
      <w:r>
        <w:t xml:space="preserve">Lovatt, H. </w:t>
      </w:r>
      <w:r w:rsidR="007875EE">
        <w:t xml:space="preserve">(2001). Mad about Winning: Epic, War and Madness in the Games of Statius’ Thebaid. </w:t>
      </w:r>
      <w:proofErr w:type="spellStart"/>
      <w:r w:rsidR="007875EE">
        <w:rPr>
          <w:i/>
          <w:iCs/>
        </w:rPr>
        <w:t>Materiali</w:t>
      </w:r>
      <w:proofErr w:type="spellEnd"/>
      <w:r w:rsidR="007875EE">
        <w:rPr>
          <w:i/>
          <w:iCs/>
        </w:rPr>
        <w:t xml:space="preserve"> e discussion per </w:t>
      </w:r>
      <w:proofErr w:type="spellStart"/>
      <w:r w:rsidR="007875EE">
        <w:rPr>
          <w:i/>
          <w:iCs/>
        </w:rPr>
        <w:t>l’analisi</w:t>
      </w:r>
      <w:proofErr w:type="spellEnd"/>
      <w:r w:rsidR="007875EE">
        <w:rPr>
          <w:i/>
          <w:iCs/>
        </w:rPr>
        <w:t xml:space="preserve"> </w:t>
      </w:r>
      <w:proofErr w:type="spellStart"/>
      <w:r w:rsidR="007875EE">
        <w:rPr>
          <w:i/>
          <w:iCs/>
        </w:rPr>
        <w:t>dei</w:t>
      </w:r>
      <w:proofErr w:type="spellEnd"/>
      <w:r w:rsidR="007875EE">
        <w:rPr>
          <w:i/>
          <w:iCs/>
        </w:rPr>
        <w:t xml:space="preserve"> </w:t>
      </w:r>
      <w:proofErr w:type="spellStart"/>
      <w:r w:rsidR="007875EE">
        <w:rPr>
          <w:i/>
          <w:iCs/>
        </w:rPr>
        <w:t>testi</w:t>
      </w:r>
      <w:proofErr w:type="spellEnd"/>
      <w:r w:rsidR="007875EE">
        <w:rPr>
          <w:i/>
          <w:iCs/>
        </w:rPr>
        <w:t xml:space="preserve"> </w:t>
      </w:r>
      <w:proofErr w:type="spellStart"/>
      <w:r w:rsidR="007875EE">
        <w:rPr>
          <w:i/>
          <w:iCs/>
        </w:rPr>
        <w:t>classici</w:t>
      </w:r>
      <w:proofErr w:type="spellEnd"/>
      <w:r w:rsidR="007875EE">
        <w:t xml:space="preserve"> 46, 103-120.</w:t>
      </w:r>
    </w:p>
    <w:p w14:paraId="3A9B262D" w14:textId="5797BAB8" w:rsidR="00223E7F" w:rsidRPr="00223E7F" w:rsidRDefault="00223E7F" w:rsidP="000B5C6F">
      <w:pPr>
        <w:spacing w:line="360" w:lineRule="auto"/>
      </w:pPr>
      <w:r>
        <w:t xml:space="preserve">Lovatt, H. (2007). Statius, Orpheus, and the Post-Augustan “Vates”. </w:t>
      </w:r>
      <w:r>
        <w:rPr>
          <w:i/>
          <w:iCs/>
        </w:rPr>
        <w:t>Arethusa</w:t>
      </w:r>
      <w:r>
        <w:t xml:space="preserve"> 40 (2), 145-163. </w:t>
      </w:r>
      <w:r w:rsidRPr="00223E7F">
        <w:t>https://www.jstor.org/stable/44578472</w:t>
      </w:r>
    </w:p>
    <w:p w14:paraId="2D4DC8B6" w14:textId="2F1EF28F" w:rsidR="0037537C" w:rsidRDefault="0037537C" w:rsidP="000B5C6F">
      <w:pPr>
        <w:spacing w:line="360" w:lineRule="auto"/>
      </w:pPr>
      <w:r>
        <w:t>Mair, A. (ed)</w:t>
      </w:r>
      <w:r w:rsidR="005F1359">
        <w:t xml:space="preserve">. </w:t>
      </w:r>
      <w:proofErr w:type="spellStart"/>
      <w:r w:rsidR="005F1359">
        <w:t>nd</w:t>
      </w:r>
      <w:proofErr w:type="spellEnd"/>
      <w:r w:rsidR="005F1359">
        <w:t xml:space="preserve">. Callimachus, Hymn to Athena. Available at </w:t>
      </w:r>
      <w:r w:rsidR="005F1359" w:rsidRPr="005F1359">
        <w:t>http://data.perseus.org/citations/urn:cts:greekLit:tlg0533.tlg019.perseus-grc1:5</w:t>
      </w:r>
      <w:r w:rsidR="005F1359">
        <w:t xml:space="preserve"> (accessed 14 November 2024).</w:t>
      </w:r>
    </w:p>
    <w:p w14:paraId="6B248398" w14:textId="63E736A4" w:rsidR="005F1359" w:rsidRPr="005F1359" w:rsidRDefault="005F1359" w:rsidP="000B5C6F">
      <w:pPr>
        <w:spacing w:line="360" w:lineRule="auto"/>
      </w:pPr>
      <w:r>
        <w:t xml:space="preserve">Ovid. </w:t>
      </w:r>
      <w:proofErr w:type="spellStart"/>
      <w:r>
        <w:t>nd</w:t>
      </w:r>
      <w:proofErr w:type="spellEnd"/>
      <w:r>
        <w:t xml:space="preserve">. </w:t>
      </w:r>
      <w:r>
        <w:rPr>
          <w:i/>
          <w:iCs/>
        </w:rPr>
        <w:t>Metamorphoses</w:t>
      </w:r>
      <w:r>
        <w:t xml:space="preserve">. Available at </w:t>
      </w:r>
      <w:r w:rsidRPr="005F1359">
        <w:t>https://www.thelatinlibrary.com/ovid/ovid.met3.shtml</w:t>
      </w:r>
      <w:r>
        <w:t xml:space="preserve"> (accessed 14 November 2024).</w:t>
      </w:r>
    </w:p>
    <w:p w14:paraId="6D4A5949" w14:textId="04EF4B33" w:rsidR="00375DFB" w:rsidRDefault="00375DFB" w:rsidP="000B5C6F">
      <w:pPr>
        <w:spacing w:line="360" w:lineRule="auto"/>
      </w:pPr>
      <w:r>
        <w:t xml:space="preserve">Parkes, R. (2012). </w:t>
      </w:r>
      <w:r>
        <w:rPr>
          <w:i/>
          <w:iCs/>
        </w:rPr>
        <w:t xml:space="preserve">Statius, </w:t>
      </w:r>
      <w:r>
        <w:t xml:space="preserve">Thebaid </w:t>
      </w:r>
      <w:r>
        <w:rPr>
          <w:i/>
          <w:iCs/>
        </w:rPr>
        <w:t>4: Edited with an Introduction, Translation, and Commentary</w:t>
      </w:r>
      <w:r>
        <w:t>. Oxford: Oxford University Press.</w:t>
      </w:r>
    </w:p>
    <w:p w14:paraId="3303DFFF" w14:textId="1233F64F" w:rsidR="00A50876" w:rsidRPr="00A50876" w:rsidRDefault="00A50876" w:rsidP="000B5C6F">
      <w:pPr>
        <w:spacing w:line="360" w:lineRule="auto"/>
      </w:pPr>
      <w:r>
        <w:t xml:space="preserve">Smith, W. and Lockwood, J. (2005). </w:t>
      </w:r>
      <w:r>
        <w:rPr>
          <w:i/>
          <w:iCs/>
        </w:rPr>
        <w:t>Chambers Murray Latin-English Dictionary</w:t>
      </w:r>
      <w:r>
        <w:t>. Edinburgh: Chambers.</w:t>
      </w:r>
    </w:p>
    <w:p w14:paraId="261FE0ED" w14:textId="7B1FAB8A" w:rsidR="00375DFB" w:rsidRPr="00375DFB" w:rsidRDefault="00375DFB" w:rsidP="000B5C6F">
      <w:pPr>
        <w:spacing w:line="360" w:lineRule="auto"/>
      </w:pPr>
      <w:r>
        <w:t xml:space="preserve">Stanford, W. (2003). </w:t>
      </w:r>
      <w:r>
        <w:rPr>
          <w:i/>
          <w:iCs/>
        </w:rPr>
        <w:t xml:space="preserve">Homer: </w:t>
      </w:r>
      <w:r>
        <w:t>Odyssey</w:t>
      </w:r>
      <w:r>
        <w:rPr>
          <w:i/>
          <w:iCs/>
        </w:rPr>
        <w:t xml:space="preserve"> I-XII</w:t>
      </w:r>
      <w:r>
        <w:t>. London: Bristol Classical Press.</w:t>
      </w:r>
    </w:p>
    <w:p w14:paraId="0827EE32" w14:textId="7D0F080E" w:rsidR="00375DFB" w:rsidRPr="00375DFB" w:rsidRDefault="00375DFB" w:rsidP="000B5C6F">
      <w:pPr>
        <w:spacing w:line="360" w:lineRule="auto"/>
      </w:pPr>
      <w:r>
        <w:t xml:space="preserve">Vessey, D. (1973). </w:t>
      </w:r>
      <w:r w:rsidRPr="00375DFB">
        <w:rPr>
          <w:i/>
          <w:iCs/>
        </w:rPr>
        <w:t>Statius an</w:t>
      </w:r>
      <w:r>
        <w:rPr>
          <w:i/>
          <w:iCs/>
        </w:rPr>
        <w:t>d the Thebaid</w:t>
      </w:r>
      <w:r>
        <w:t xml:space="preserve">. Cambridge: Cambridge University Press. </w:t>
      </w:r>
    </w:p>
    <w:sectPr w:rsidR="00375DFB" w:rsidRPr="00375D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B83C54" w14:textId="77777777" w:rsidR="00C1202E" w:rsidRDefault="00C1202E" w:rsidP="00822190">
      <w:pPr>
        <w:spacing w:after="0" w:line="240" w:lineRule="auto"/>
      </w:pPr>
      <w:r>
        <w:separator/>
      </w:r>
    </w:p>
  </w:endnote>
  <w:endnote w:type="continuationSeparator" w:id="0">
    <w:p w14:paraId="72FF3450" w14:textId="77777777" w:rsidR="00C1202E" w:rsidRDefault="00C1202E" w:rsidP="00822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1BEE0" w14:textId="77777777" w:rsidR="00C1202E" w:rsidRDefault="00C1202E" w:rsidP="00822190">
      <w:pPr>
        <w:spacing w:after="0" w:line="240" w:lineRule="auto"/>
      </w:pPr>
      <w:r>
        <w:separator/>
      </w:r>
    </w:p>
  </w:footnote>
  <w:footnote w:type="continuationSeparator" w:id="0">
    <w:p w14:paraId="41C090C1" w14:textId="77777777" w:rsidR="00C1202E" w:rsidRDefault="00C1202E" w:rsidP="00822190">
      <w:pPr>
        <w:spacing w:after="0" w:line="240" w:lineRule="auto"/>
      </w:pPr>
      <w:r>
        <w:continuationSeparator/>
      </w:r>
    </w:p>
  </w:footnote>
  <w:footnote w:id="1">
    <w:p w14:paraId="14F3884B" w14:textId="4BD23773" w:rsidR="005F1359" w:rsidRDefault="005F1359">
      <w:pPr>
        <w:pStyle w:val="FootnoteText"/>
      </w:pPr>
      <w:r>
        <w:rPr>
          <w:rStyle w:val="FootnoteReference"/>
        </w:rPr>
        <w:footnoteRef/>
      </w:r>
      <w:r>
        <w:t xml:space="preserve"> Stanford, 2003, p. 165</w:t>
      </w:r>
    </w:p>
  </w:footnote>
  <w:footnote w:id="2">
    <w:p w14:paraId="60728AD9" w14:textId="1B2F9185" w:rsidR="00822190" w:rsidRDefault="00822190">
      <w:pPr>
        <w:pStyle w:val="FootnoteText"/>
      </w:pPr>
      <w:r>
        <w:rPr>
          <w:rStyle w:val="FootnoteReference"/>
        </w:rPr>
        <w:footnoteRef/>
      </w:r>
      <w:r>
        <w:t xml:space="preserve"> Beek, 2022, p. 412</w:t>
      </w:r>
    </w:p>
  </w:footnote>
  <w:footnote w:id="3">
    <w:p w14:paraId="7BADAAF4" w14:textId="26ECF76F" w:rsidR="00822190" w:rsidRDefault="00822190">
      <w:pPr>
        <w:pStyle w:val="FootnoteText"/>
      </w:pPr>
      <w:r>
        <w:rPr>
          <w:rStyle w:val="FootnoteReference"/>
        </w:rPr>
        <w:footnoteRef/>
      </w:r>
      <w:r>
        <w:t xml:space="preserve"> Beek, 2022, p. 413</w:t>
      </w:r>
    </w:p>
  </w:footnote>
  <w:footnote w:id="4">
    <w:p w14:paraId="1FADDB9E" w14:textId="144C8FCD" w:rsidR="00822190" w:rsidRDefault="00822190">
      <w:pPr>
        <w:pStyle w:val="FootnoteText"/>
      </w:pPr>
      <w:r>
        <w:rPr>
          <w:rStyle w:val="FootnoteReference"/>
        </w:rPr>
        <w:footnoteRef/>
      </w:r>
      <w:r>
        <w:t xml:space="preserve"> Beek, 2022, p. 436</w:t>
      </w:r>
    </w:p>
  </w:footnote>
  <w:footnote w:id="5">
    <w:p w14:paraId="3D92E46E" w14:textId="7BD872F4" w:rsidR="00822190" w:rsidRDefault="00822190">
      <w:pPr>
        <w:pStyle w:val="FootnoteText"/>
      </w:pPr>
      <w:r>
        <w:rPr>
          <w:rStyle w:val="FootnoteReference"/>
        </w:rPr>
        <w:footnoteRef/>
      </w:r>
      <w:r>
        <w:t xml:space="preserve"> Beek, 2022, p. 437</w:t>
      </w:r>
    </w:p>
  </w:footnote>
  <w:footnote w:id="6">
    <w:p w14:paraId="1519144A" w14:textId="77777777" w:rsidR="00822190" w:rsidRDefault="00822190" w:rsidP="00822190">
      <w:pPr>
        <w:pStyle w:val="FootnoteText"/>
      </w:pPr>
      <w:r>
        <w:rPr>
          <w:rStyle w:val="FootnoteReference"/>
        </w:rPr>
        <w:footnoteRef/>
      </w:r>
      <w:r>
        <w:t xml:space="preserve"> Vessey, 1973, p. 258</w:t>
      </w:r>
    </w:p>
  </w:footnote>
  <w:footnote w:id="7">
    <w:p w14:paraId="37A3F441" w14:textId="146C4BAC" w:rsidR="00822190" w:rsidRDefault="00822190">
      <w:pPr>
        <w:pStyle w:val="FootnoteText"/>
      </w:pPr>
      <w:r>
        <w:rPr>
          <w:rStyle w:val="FootnoteReference"/>
        </w:rPr>
        <w:footnoteRef/>
      </w:r>
      <w:r>
        <w:t xml:space="preserve"> Vessey, 1973, p</w:t>
      </w:r>
      <w:r w:rsidR="00C121F2">
        <w:t>p</w:t>
      </w:r>
      <w:r>
        <w:t>. 240-2</w:t>
      </w:r>
    </w:p>
  </w:footnote>
  <w:footnote w:id="8">
    <w:p w14:paraId="484281BD" w14:textId="46980D7A" w:rsidR="00822190" w:rsidRDefault="00822190">
      <w:pPr>
        <w:pStyle w:val="FootnoteText"/>
      </w:pPr>
      <w:r>
        <w:rPr>
          <w:rStyle w:val="FootnoteReference"/>
        </w:rPr>
        <w:footnoteRef/>
      </w:r>
      <w:r>
        <w:t xml:space="preserve"> Vessey, 1973, p. 243</w:t>
      </w:r>
    </w:p>
  </w:footnote>
  <w:footnote w:id="9">
    <w:p w14:paraId="57DA8F18" w14:textId="2FC135F3" w:rsidR="00822190" w:rsidRDefault="00822190">
      <w:pPr>
        <w:pStyle w:val="FootnoteText"/>
      </w:pPr>
      <w:r>
        <w:rPr>
          <w:rStyle w:val="FootnoteReference"/>
        </w:rPr>
        <w:footnoteRef/>
      </w:r>
      <w:r>
        <w:t xml:space="preserve"> Vessey, 1973, p. 250</w:t>
      </w:r>
    </w:p>
  </w:footnote>
  <w:footnote w:id="10">
    <w:p w14:paraId="3BAC27FF" w14:textId="51FA62FE" w:rsidR="00C121F2" w:rsidRDefault="00C121F2">
      <w:pPr>
        <w:pStyle w:val="FootnoteText"/>
      </w:pPr>
      <w:r>
        <w:rPr>
          <w:rStyle w:val="FootnoteReference"/>
        </w:rPr>
        <w:footnoteRef/>
      </w:r>
      <w:r>
        <w:t xml:space="preserve"> Vessey, 1973, p. 251</w:t>
      </w:r>
    </w:p>
  </w:footnote>
  <w:footnote w:id="11">
    <w:p w14:paraId="73DA9313" w14:textId="637481C3" w:rsidR="005F1359" w:rsidRDefault="005F1359">
      <w:pPr>
        <w:pStyle w:val="FootnoteText"/>
      </w:pPr>
      <w:r>
        <w:rPr>
          <w:rStyle w:val="FootnoteReference"/>
        </w:rPr>
        <w:footnoteRef/>
      </w:r>
      <w:r>
        <w:t xml:space="preserve"> Ovid, </w:t>
      </w:r>
      <w:proofErr w:type="spellStart"/>
      <w:r>
        <w:t>nd</w:t>
      </w:r>
      <w:proofErr w:type="spellEnd"/>
      <w:r>
        <w:t>.</w:t>
      </w:r>
    </w:p>
  </w:footnote>
  <w:footnote w:id="12">
    <w:p w14:paraId="1E96941A" w14:textId="42676A78" w:rsidR="00C121F2" w:rsidRDefault="00C121F2">
      <w:pPr>
        <w:pStyle w:val="FootnoteText"/>
      </w:pPr>
      <w:r>
        <w:rPr>
          <w:rStyle w:val="FootnoteReference"/>
        </w:rPr>
        <w:footnoteRef/>
      </w:r>
      <w:r>
        <w:t xml:space="preserve"> Keith, 2002, pp. 397-8</w:t>
      </w:r>
    </w:p>
  </w:footnote>
  <w:footnote w:id="13">
    <w:p w14:paraId="7AE3C9B4" w14:textId="4F985951" w:rsidR="00C121F2" w:rsidRDefault="00C121F2">
      <w:pPr>
        <w:pStyle w:val="FootnoteText"/>
      </w:pPr>
      <w:r>
        <w:rPr>
          <w:rStyle w:val="FootnoteReference"/>
        </w:rPr>
        <w:footnoteRef/>
      </w:r>
      <w:r>
        <w:t xml:space="preserve"> Keith, 2002, p. 399</w:t>
      </w:r>
    </w:p>
  </w:footnote>
  <w:footnote w:id="14">
    <w:p w14:paraId="3D09543F" w14:textId="333D26B5" w:rsidR="00C121F2" w:rsidRDefault="00C121F2">
      <w:pPr>
        <w:pStyle w:val="FootnoteText"/>
      </w:pPr>
      <w:r>
        <w:rPr>
          <w:rStyle w:val="FootnoteReference"/>
        </w:rPr>
        <w:footnoteRef/>
      </w:r>
      <w:r>
        <w:t xml:space="preserve"> Keith, 2002, p. 402</w:t>
      </w:r>
    </w:p>
  </w:footnote>
  <w:footnote w:id="15">
    <w:p w14:paraId="70FCBCA0" w14:textId="58F9DF10" w:rsidR="005F1359" w:rsidRDefault="005F1359">
      <w:pPr>
        <w:pStyle w:val="FootnoteText"/>
      </w:pPr>
      <w:r>
        <w:rPr>
          <w:rStyle w:val="FootnoteReference"/>
        </w:rPr>
        <w:footnoteRef/>
      </w:r>
      <w:r>
        <w:t xml:space="preserve"> Mair (ed), </w:t>
      </w:r>
      <w:proofErr w:type="spellStart"/>
      <w:r>
        <w:t>nd</w:t>
      </w:r>
      <w:proofErr w:type="spellEnd"/>
      <w:r>
        <w:t>.</w:t>
      </w:r>
    </w:p>
  </w:footnote>
  <w:footnote w:id="16">
    <w:p w14:paraId="07AE1D99" w14:textId="43C4F7C6" w:rsidR="00A50876" w:rsidRDefault="00A50876">
      <w:pPr>
        <w:pStyle w:val="FootnoteText"/>
      </w:pPr>
      <w:r>
        <w:rPr>
          <w:rStyle w:val="FootnoteReference"/>
        </w:rPr>
        <w:footnoteRef/>
      </w:r>
      <w:r>
        <w:t xml:space="preserve"> Liddell, H. and Scott, R., 2010, p. 341</w:t>
      </w:r>
    </w:p>
  </w:footnote>
  <w:footnote w:id="17">
    <w:p w14:paraId="5BBA1037" w14:textId="23C221DE" w:rsidR="00C54419" w:rsidRDefault="00C54419">
      <w:pPr>
        <w:pStyle w:val="FootnoteText"/>
      </w:pPr>
      <w:r>
        <w:rPr>
          <w:rStyle w:val="FootnoteReference"/>
        </w:rPr>
        <w:footnoteRef/>
      </w:r>
      <w:r>
        <w:t xml:space="preserve"> Smith. W. and Lockwood, J., 2005, p. 464</w:t>
      </w:r>
    </w:p>
  </w:footnote>
  <w:footnote w:id="18">
    <w:p w14:paraId="1B3CD43B" w14:textId="7937CBB9" w:rsidR="00670519" w:rsidRDefault="00670519">
      <w:pPr>
        <w:pStyle w:val="FootnoteText"/>
      </w:pPr>
      <w:r>
        <w:rPr>
          <w:rStyle w:val="FootnoteReference"/>
        </w:rPr>
        <w:footnoteRef/>
      </w:r>
      <w:r>
        <w:t xml:space="preserve"> Brisson, 1976, p. 27</w:t>
      </w:r>
    </w:p>
  </w:footnote>
  <w:footnote w:id="19">
    <w:p w14:paraId="50F624AB" w14:textId="1F0A86F3" w:rsidR="00E45475" w:rsidRDefault="00E45475">
      <w:pPr>
        <w:pStyle w:val="FootnoteText"/>
      </w:pPr>
      <w:r>
        <w:rPr>
          <w:rStyle w:val="FootnoteReference"/>
        </w:rPr>
        <w:footnoteRef/>
      </w:r>
      <w:r>
        <w:t xml:space="preserve"> Lovatt, 200</w:t>
      </w:r>
      <w:r w:rsidR="007875EE">
        <w:t>1</w:t>
      </w:r>
      <w:r>
        <w:t xml:space="preserve">, </w:t>
      </w:r>
      <w:r w:rsidR="00BD7AFA">
        <w:t xml:space="preserve">p. </w:t>
      </w:r>
      <w:r>
        <w:t>116</w:t>
      </w:r>
    </w:p>
  </w:footnote>
  <w:footnote w:id="20">
    <w:p w14:paraId="5DAB75BE" w14:textId="6E737262" w:rsidR="006E07A1" w:rsidRDefault="006E07A1">
      <w:pPr>
        <w:pStyle w:val="FootnoteText"/>
      </w:pPr>
      <w:r>
        <w:rPr>
          <w:rStyle w:val="FootnoteReference"/>
        </w:rPr>
        <w:footnoteRef/>
      </w:r>
      <w:r>
        <w:t xml:space="preserve"> Lovatt, 2001, p. 118</w:t>
      </w:r>
    </w:p>
  </w:footnote>
  <w:footnote w:id="21">
    <w:p w14:paraId="4216E57F" w14:textId="34F1CF84" w:rsidR="00BD7AFA" w:rsidRDefault="00BD7AFA">
      <w:pPr>
        <w:pStyle w:val="FootnoteText"/>
      </w:pPr>
      <w:r>
        <w:rPr>
          <w:rStyle w:val="FootnoteReference"/>
        </w:rPr>
        <w:footnoteRef/>
      </w:r>
      <w:r>
        <w:t xml:space="preserve"> Lovatt, 2001, p. 118</w:t>
      </w:r>
    </w:p>
  </w:footnote>
  <w:footnote w:id="22">
    <w:p w14:paraId="00080B66" w14:textId="7D292FFA" w:rsidR="00223E7F" w:rsidRDefault="00223E7F">
      <w:pPr>
        <w:pStyle w:val="FootnoteText"/>
      </w:pPr>
      <w:r>
        <w:rPr>
          <w:rStyle w:val="FootnoteReference"/>
        </w:rPr>
        <w:footnoteRef/>
      </w:r>
      <w:r>
        <w:t xml:space="preserve"> Lovatt, 2007, p. 162</w:t>
      </w:r>
      <w:r w:rsidR="00440FE2">
        <w:t xml:space="preserve"> (citations Lovatt’s)</w:t>
      </w:r>
    </w:p>
  </w:footnote>
  <w:footnote w:id="23">
    <w:p w14:paraId="52A2550B" w14:textId="3D24F2D3" w:rsidR="000B5C6F" w:rsidRDefault="000B5C6F">
      <w:pPr>
        <w:pStyle w:val="FootnoteText"/>
      </w:pPr>
      <w:r>
        <w:rPr>
          <w:rStyle w:val="FootnoteReference"/>
        </w:rPr>
        <w:footnoteRef/>
      </w:r>
      <w:r>
        <w:t xml:space="preserve"> Beek, 2022, p. 449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165"/>
    <w:rsid w:val="0003679F"/>
    <w:rsid w:val="00055DE8"/>
    <w:rsid w:val="00071740"/>
    <w:rsid w:val="000B1221"/>
    <w:rsid w:val="000B5C6F"/>
    <w:rsid w:val="000F3165"/>
    <w:rsid w:val="001906CD"/>
    <w:rsid w:val="00197B9B"/>
    <w:rsid w:val="001F3FDF"/>
    <w:rsid w:val="00223E7F"/>
    <w:rsid w:val="002B62BF"/>
    <w:rsid w:val="00332FC6"/>
    <w:rsid w:val="0037537C"/>
    <w:rsid w:val="00375DFB"/>
    <w:rsid w:val="003E75AA"/>
    <w:rsid w:val="00440FE2"/>
    <w:rsid w:val="00477201"/>
    <w:rsid w:val="004837CD"/>
    <w:rsid w:val="004928CA"/>
    <w:rsid w:val="005228AD"/>
    <w:rsid w:val="0052440C"/>
    <w:rsid w:val="00525D77"/>
    <w:rsid w:val="005351D2"/>
    <w:rsid w:val="005442EC"/>
    <w:rsid w:val="005C2FCE"/>
    <w:rsid w:val="005F1359"/>
    <w:rsid w:val="005F66BA"/>
    <w:rsid w:val="00670519"/>
    <w:rsid w:val="006E07A1"/>
    <w:rsid w:val="007439C7"/>
    <w:rsid w:val="007875EE"/>
    <w:rsid w:val="007B556D"/>
    <w:rsid w:val="00822190"/>
    <w:rsid w:val="0088426E"/>
    <w:rsid w:val="008F7AA6"/>
    <w:rsid w:val="00903643"/>
    <w:rsid w:val="00980A89"/>
    <w:rsid w:val="009D05C4"/>
    <w:rsid w:val="00A314E1"/>
    <w:rsid w:val="00A50876"/>
    <w:rsid w:val="00A52D96"/>
    <w:rsid w:val="00A61B87"/>
    <w:rsid w:val="00A97066"/>
    <w:rsid w:val="00AE15CC"/>
    <w:rsid w:val="00B73A07"/>
    <w:rsid w:val="00B86466"/>
    <w:rsid w:val="00BA1F71"/>
    <w:rsid w:val="00BA78E2"/>
    <w:rsid w:val="00BD3700"/>
    <w:rsid w:val="00BD7AFA"/>
    <w:rsid w:val="00C1202E"/>
    <w:rsid w:val="00C121F2"/>
    <w:rsid w:val="00C54419"/>
    <w:rsid w:val="00C62497"/>
    <w:rsid w:val="00C8001D"/>
    <w:rsid w:val="00D333BF"/>
    <w:rsid w:val="00D54418"/>
    <w:rsid w:val="00D6420A"/>
    <w:rsid w:val="00D84C6C"/>
    <w:rsid w:val="00E418C9"/>
    <w:rsid w:val="00E45475"/>
    <w:rsid w:val="00EB2579"/>
    <w:rsid w:val="00EB6DDB"/>
    <w:rsid w:val="00EF404D"/>
    <w:rsid w:val="00F4270B"/>
    <w:rsid w:val="00F755C3"/>
    <w:rsid w:val="00FA7CE5"/>
    <w:rsid w:val="00FC6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B9124"/>
  <w15:chartTrackingRefBased/>
  <w15:docId w15:val="{A332ED3B-F378-4454-A22D-0FBFE682D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418"/>
    <w:pPr>
      <w:spacing w:after="40"/>
    </w:pPr>
    <w:rPr>
      <w:rFonts w:ascii="Times New Roman" w:hAnsi="Times New Roman"/>
      <w:sz w:val="24"/>
    </w:rPr>
  </w:style>
  <w:style w:type="paragraph" w:styleId="Heading1">
    <w:name w:val="heading 1"/>
    <w:basedOn w:val="Normal"/>
    <w:next w:val="Normal"/>
    <w:link w:val="Heading1Char"/>
    <w:uiPriority w:val="9"/>
    <w:qFormat/>
    <w:rsid w:val="000F31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31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316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3165"/>
    <w:pPr>
      <w:keepNext/>
      <w:keepLines/>
      <w:spacing w:before="8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F3165"/>
    <w:pPr>
      <w:keepNext/>
      <w:keepLines/>
      <w:spacing w:before="8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F31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F31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F31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F31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1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31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31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3165"/>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0F3165"/>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0F316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F316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F316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F3165"/>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F31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1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16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1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1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3165"/>
    <w:rPr>
      <w:rFonts w:ascii="Times New Roman" w:hAnsi="Times New Roman"/>
      <w:i/>
      <w:iCs/>
      <w:color w:val="404040" w:themeColor="text1" w:themeTint="BF"/>
      <w:sz w:val="24"/>
    </w:rPr>
  </w:style>
  <w:style w:type="paragraph" w:styleId="ListParagraph">
    <w:name w:val="List Paragraph"/>
    <w:basedOn w:val="Normal"/>
    <w:uiPriority w:val="34"/>
    <w:qFormat/>
    <w:rsid w:val="000F3165"/>
    <w:pPr>
      <w:ind w:left="720"/>
      <w:contextualSpacing/>
    </w:pPr>
  </w:style>
  <w:style w:type="character" w:styleId="IntenseEmphasis">
    <w:name w:val="Intense Emphasis"/>
    <w:basedOn w:val="DefaultParagraphFont"/>
    <w:uiPriority w:val="21"/>
    <w:qFormat/>
    <w:rsid w:val="000F3165"/>
    <w:rPr>
      <w:i/>
      <w:iCs/>
      <w:color w:val="2F5496" w:themeColor="accent1" w:themeShade="BF"/>
    </w:rPr>
  </w:style>
  <w:style w:type="paragraph" w:styleId="IntenseQuote">
    <w:name w:val="Intense Quote"/>
    <w:basedOn w:val="Normal"/>
    <w:next w:val="Normal"/>
    <w:link w:val="IntenseQuoteChar"/>
    <w:uiPriority w:val="30"/>
    <w:qFormat/>
    <w:rsid w:val="000F31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3165"/>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0F3165"/>
    <w:rPr>
      <w:b/>
      <w:bCs/>
      <w:smallCaps/>
      <w:color w:val="2F5496" w:themeColor="accent1" w:themeShade="BF"/>
      <w:spacing w:val="5"/>
    </w:rPr>
  </w:style>
  <w:style w:type="character" w:styleId="Hyperlink">
    <w:name w:val="Hyperlink"/>
    <w:basedOn w:val="DefaultParagraphFont"/>
    <w:uiPriority w:val="99"/>
    <w:unhideWhenUsed/>
    <w:rsid w:val="005F66BA"/>
    <w:rPr>
      <w:color w:val="0563C1" w:themeColor="hyperlink"/>
      <w:u w:val="single"/>
    </w:rPr>
  </w:style>
  <w:style w:type="character" w:styleId="UnresolvedMention">
    <w:name w:val="Unresolved Mention"/>
    <w:basedOn w:val="DefaultParagraphFont"/>
    <w:uiPriority w:val="99"/>
    <w:semiHidden/>
    <w:unhideWhenUsed/>
    <w:rsid w:val="005F66BA"/>
    <w:rPr>
      <w:color w:val="605E5C"/>
      <w:shd w:val="clear" w:color="auto" w:fill="E1DFDD"/>
    </w:rPr>
  </w:style>
  <w:style w:type="paragraph" w:styleId="FootnoteText">
    <w:name w:val="footnote text"/>
    <w:basedOn w:val="Normal"/>
    <w:link w:val="FootnoteTextChar"/>
    <w:uiPriority w:val="99"/>
    <w:semiHidden/>
    <w:unhideWhenUsed/>
    <w:rsid w:val="008221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2190"/>
    <w:rPr>
      <w:rFonts w:ascii="Times New Roman" w:hAnsi="Times New Roman"/>
      <w:sz w:val="20"/>
      <w:szCs w:val="20"/>
    </w:rPr>
  </w:style>
  <w:style w:type="character" w:styleId="FootnoteReference">
    <w:name w:val="footnote reference"/>
    <w:basedOn w:val="DefaultParagraphFont"/>
    <w:uiPriority w:val="99"/>
    <w:semiHidden/>
    <w:unhideWhenUsed/>
    <w:rsid w:val="008221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9E529-2146-4435-83D2-55A99ED4F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3033</Words>
  <Characters>17290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Boyles</dc:creator>
  <cp:keywords/>
  <dc:description/>
  <cp:lastModifiedBy>Elizabeth Boyles</cp:lastModifiedBy>
  <cp:revision>3</cp:revision>
  <dcterms:created xsi:type="dcterms:W3CDTF">2024-11-15T22:21:00Z</dcterms:created>
  <dcterms:modified xsi:type="dcterms:W3CDTF">2024-11-15T22:23:00Z</dcterms:modified>
</cp:coreProperties>
</file>