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B19C6" w14:textId="54A65695" w:rsidR="00F51710" w:rsidRDefault="00F51710" w:rsidP="00F51710">
      <w:pPr>
        <w:spacing w:before="520"/>
        <w:rPr>
          <w:b/>
          <w:color w:val="1F4E79"/>
        </w:rPr>
      </w:pPr>
      <w:r>
        <w:rPr>
          <w:b/>
          <w:color w:val="1F4E79"/>
        </w:rPr>
        <w:t xml:space="preserve">                                              </w:t>
      </w:r>
      <w:r w:rsidRPr="00F51710">
        <w:rPr>
          <w:b/>
          <w:color w:val="1F4E79"/>
        </w:rPr>
        <w:drawing>
          <wp:inline distT="0" distB="0" distL="0" distR="0" wp14:anchorId="44449E08" wp14:editId="4E666CE3">
            <wp:extent cx="2501900" cy="10007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01900" cy="1000760"/>
                    </a:xfrm>
                    <a:prstGeom prst="rect">
                      <a:avLst/>
                    </a:prstGeom>
                  </pic:spPr>
                </pic:pic>
              </a:graphicData>
            </a:graphic>
          </wp:inline>
        </w:drawing>
      </w:r>
    </w:p>
    <w:p w14:paraId="24EBE9C6" w14:textId="77777777" w:rsidR="00F51710" w:rsidRDefault="00F51710">
      <w:pPr>
        <w:spacing w:before="520"/>
        <w:jc w:val="center"/>
        <w:rPr>
          <w:b/>
          <w:color w:val="1F4E79"/>
        </w:rPr>
      </w:pPr>
    </w:p>
    <w:p w14:paraId="484BFCBB" w14:textId="77777777" w:rsidR="00F51710" w:rsidRDefault="00F51710">
      <w:pPr>
        <w:spacing w:before="520"/>
        <w:jc w:val="center"/>
        <w:rPr>
          <w:b/>
          <w:color w:val="1F4E79"/>
        </w:rPr>
      </w:pPr>
    </w:p>
    <w:p w14:paraId="532980F9" w14:textId="097428C0" w:rsidR="00832B3A" w:rsidRDefault="00000000">
      <w:pPr>
        <w:spacing w:before="520"/>
        <w:jc w:val="center"/>
      </w:pPr>
      <w:r>
        <w:rPr>
          <w:b/>
          <w:color w:val="1F4E79"/>
        </w:rPr>
        <w:t>PRIFYSGOL CYMRU  |  UNIVERSITY OF WALES</w:t>
      </w:r>
      <w:r>
        <w:rPr>
          <w:b/>
          <w:color w:val="1F4E79"/>
        </w:rPr>
        <w:br/>
        <w:t>TRINITY SAINT DAVID</w:t>
      </w:r>
    </w:p>
    <w:p w14:paraId="7A45A02D" w14:textId="77777777" w:rsidR="00832B3A" w:rsidRDefault="00000000">
      <w:pPr>
        <w:spacing w:before="700"/>
        <w:jc w:val="center"/>
      </w:pPr>
      <w:r>
        <w:rPr>
          <w:b/>
          <w:color w:val="1F4E79"/>
          <w:sz w:val="38"/>
        </w:rPr>
        <w:t>MARKETING ENVIRONMENT ANALYSIS</w:t>
      </w:r>
    </w:p>
    <w:p w14:paraId="5C1EE8BD" w14:textId="77777777" w:rsidR="00832B3A" w:rsidRDefault="00000000">
      <w:pPr>
        <w:jc w:val="center"/>
      </w:pPr>
      <w:r>
        <w:rPr>
          <w:b/>
          <w:sz w:val="30"/>
        </w:rPr>
        <w:t>ArcelorMittal: The Transition to Lower-Carbon Steel</w:t>
      </w:r>
    </w:p>
    <w:p w14:paraId="28D38762" w14:textId="77777777" w:rsidR="00832B3A" w:rsidRDefault="00000000">
      <w:pPr>
        <w:spacing w:before="200"/>
        <w:jc w:val="center"/>
      </w:pPr>
      <w:r>
        <w:t>Assessment Component 1</w:t>
      </w:r>
    </w:p>
    <w:tbl>
      <w:tblPr>
        <w:tblStyle w:val="TableGrid"/>
        <w:tblW w:w="0" w:type="auto"/>
        <w:jc w:val="center"/>
        <w:tblLayout w:type="fixed"/>
        <w:tblLook w:val="04A0" w:firstRow="1" w:lastRow="0" w:firstColumn="1" w:lastColumn="0" w:noHBand="0" w:noVBand="1"/>
      </w:tblPr>
      <w:tblGrid>
        <w:gridCol w:w="2376"/>
        <w:gridCol w:w="6768"/>
      </w:tblGrid>
      <w:tr w:rsidR="00832B3A" w:rsidRPr="00C31030" w14:paraId="19F17533" w14:textId="77777777" w:rsidTr="004D599B">
        <w:trPr>
          <w:cantSplit/>
          <w:jc w:val="center"/>
        </w:trPr>
        <w:tc>
          <w:tcPr>
            <w:tcW w:w="2376" w:type="dxa"/>
            <w:tcMar>
              <w:top w:w="80" w:type="dxa"/>
              <w:left w:w="90" w:type="dxa"/>
              <w:bottom w:w="80" w:type="dxa"/>
              <w:right w:w="90" w:type="dxa"/>
            </w:tcMar>
            <w:vAlign w:val="center"/>
          </w:tcPr>
          <w:p w14:paraId="55FD8395" w14:textId="77777777" w:rsidR="00832B3A" w:rsidRPr="00C31030" w:rsidRDefault="00000000">
            <w:pPr>
              <w:spacing w:before="20" w:after="30" w:line="240" w:lineRule="auto"/>
              <w:rPr>
                <w:szCs w:val="24"/>
              </w:rPr>
            </w:pPr>
            <w:proofErr w:type="spellStart"/>
            <w:r w:rsidRPr="00C31030">
              <w:rPr>
                <w:b/>
                <w:szCs w:val="24"/>
              </w:rPr>
              <w:t>Programme</w:t>
            </w:r>
            <w:proofErr w:type="spellEnd"/>
          </w:p>
        </w:tc>
        <w:tc>
          <w:tcPr>
            <w:tcW w:w="6768" w:type="dxa"/>
            <w:tcMar>
              <w:top w:w="80" w:type="dxa"/>
              <w:left w:w="90" w:type="dxa"/>
              <w:bottom w:w="80" w:type="dxa"/>
              <w:right w:w="90" w:type="dxa"/>
            </w:tcMar>
            <w:vAlign w:val="center"/>
          </w:tcPr>
          <w:p w14:paraId="79ADC1D1" w14:textId="77777777" w:rsidR="00832B3A" w:rsidRPr="00C31030" w:rsidRDefault="00000000">
            <w:pPr>
              <w:spacing w:before="20" w:after="30" w:line="240" w:lineRule="auto"/>
              <w:rPr>
                <w:szCs w:val="24"/>
              </w:rPr>
            </w:pPr>
            <w:r w:rsidRPr="00C31030">
              <w:rPr>
                <w:szCs w:val="24"/>
              </w:rPr>
              <w:t>Master of Business Administration</w:t>
            </w:r>
          </w:p>
        </w:tc>
      </w:tr>
      <w:tr w:rsidR="00832B3A" w:rsidRPr="00C31030" w14:paraId="260E8FAC" w14:textId="77777777" w:rsidTr="004D599B">
        <w:trPr>
          <w:cantSplit/>
          <w:jc w:val="center"/>
        </w:trPr>
        <w:tc>
          <w:tcPr>
            <w:tcW w:w="2376" w:type="dxa"/>
            <w:tcMar>
              <w:top w:w="80" w:type="dxa"/>
              <w:left w:w="90" w:type="dxa"/>
              <w:bottom w:w="80" w:type="dxa"/>
              <w:right w:w="90" w:type="dxa"/>
            </w:tcMar>
            <w:vAlign w:val="center"/>
          </w:tcPr>
          <w:p w14:paraId="5F29EC2F" w14:textId="77777777" w:rsidR="00832B3A" w:rsidRPr="00C31030" w:rsidRDefault="00000000">
            <w:pPr>
              <w:spacing w:before="20" w:after="30" w:line="240" w:lineRule="auto"/>
              <w:rPr>
                <w:szCs w:val="24"/>
              </w:rPr>
            </w:pPr>
            <w:r w:rsidRPr="00C31030">
              <w:rPr>
                <w:b/>
                <w:szCs w:val="24"/>
              </w:rPr>
              <w:t>Module</w:t>
            </w:r>
          </w:p>
        </w:tc>
        <w:tc>
          <w:tcPr>
            <w:tcW w:w="6768" w:type="dxa"/>
            <w:tcMar>
              <w:top w:w="80" w:type="dxa"/>
              <w:left w:w="90" w:type="dxa"/>
              <w:bottom w:w="80" w:type="dxa"/>
              <w:right w:w="90" w:type="dxa"/>
            </w:tcMar>
            <w:vAlign w:val="center"/>
          </w:tcPr>
          <w:p w14:paraId="6656ABED" w14:textId="77777777" w:rsidR="00832B3A" w:rsidRPr="00C31030" w:rsidRDefault="00000000">
            <w:pPr>
              <w:spacing w:before="20" w:after="30" w:line="240" w:lineRule="auto"/>
              <w:rPr>
                <w:szCs w:val="24"/>
              </w:rPr>
            </w:pPr>
            <w:r w:rsidRPr="00C31030">
              <w:rPr>
                <w:szCs w:val="24"/>
              </w:rPr>
              <w:t>Marketing Management (LCMB7024)</w:t>
            </w:r>
          </w:p>
        </w:tc>
      </w:tr>
      <w:tr w:rsidR="00832B3A" w:rsidRPr="00C31030" w14:paraId="58677EFA" w14:textId="77777777" w:rsidTr="004D599B">
        <w:trPr>
          <w:cantSplit/>
          <w:jc w:val="center"/>
        </w:trPr>
        <w:tc>
          <w:tcPr>
            <w:tcW w:w="2376" w:type="dxa"/>
            <w:tcMar>
              <w:top w:w="80" w:type="dxa"/>
              <w:left w:w="90" w:type="dxa"/>
              <w:bottom w:w="80" w:type="dxa"/>
              <w:right w:w="90" w:type="dxa"/>
            </w:tcMar>
            <w:vAlign w:val="center"/>
          </w:tcPr>
          <w:p w14:paraId="17AA7488" w14:textId="77777777" w:rsidR="00832B3A" w:rsidRPr="00C31030" w:rsidRDefault="00000000">
            <w:pPr>
              <w:spacing w:before="20" w:after="30" w:line="240" w:lineRule="auto"/>
              <w:rPr>
                <w:szCs w:val="24"/>
              </w:rPr>
            </w:pPr>
            <w:r w:rsidRPr="00C31030">
              <w:rPr>
                <w:b/>
                <w:szCs w:val="24"/>
              </w:rPr>
              <w:t>Student name</w:t>
            </w:r>
          </w:p>
        </w:tc>
        <w:tc>
          <w:tcPr>
            <w:tcW w:w="6768" w:type="dxa"/>
            <w:tcMar>
              <w:top w:w="80" w:type="dxa"/>
              <w:left w:w="90" w:type="dxa"/>
              <w:bottom w:w="80" w:type="dxa"/>
              <w:right w:w="90" w:type="dxa"/>
            </w:tcMar>
            <w:vAlign w:val="center"/>
          </w:tcPr>
          <w:p w14:paraId="01453DFB" w14:textId="0A7C208E" w:rsidR="00832B3A" w:rsidRPr="00C31030" w:rsidRDefault="00102863">
            <w:pPr>
              <w:spacing w:before="20" w:after="30" w:line="240" w:lineRule="auto"/>
              <w:rPr>
                <w:szCs w:val="24"/>
              </w:rPr>
            </w:pPr>
            <w:proofErr w:type="spellStart"/>
            <w:r w:rsidRPr="00102863">
              <w:rPr>
                <w:szCs w:val="24"/>
              </w:rPr>
              <w:t>Taranpreet</w:t>
            </w:r>
            <w:proofErr w:type="spellEnd"/>
            <w:r w:rsidRPr="00102863">
              <w:rPr>
                <w:szCs w:val="24"/>
              </w:rPr>
              <w:t xml:space="preserve"> </w:t>
            </w:r>
            <w:proofErr w:type="spellStart"/>
            <w:r w:rsidRPr="00102863">
              <w:rPr>
                <w:szCs w:val="24"/>
              </w:rPr>
              <w:t>singh</w:t>
            </w:r>
            <w:proofErr w:type="spellEnd"/>
          </w:p>
        </w:tc>
      </w:tr>
      <w:tr w:rsidR="00832B3A" w:rsidRPr="00C31030" w14:paraId="056BAE84" w14:textId="77777777" w:rsidTr="004D599B">
        <w:trPr>
          <w:cantSplit/>
          <w:jc w:val="center"/>
        </w:trPr>
        <w:tc>
          <w:tcPr>
            <w:tcW w:w="2376" w:type="dxa"/>
            <w:tcMar>
              <w:top w:w="80" w:type="dxa"/>
              <w:left w:w="90" w:type="dxa"/>
              <w:bottom w:w="80" w:type="dxa"/>
              <w:right w:w="90" w:type="dxa"/>
            </w:tcMar>
            <w:vAlign w:val="center"/>
          </w:tcPr>
          <w:p w14:paraId="157F30E3" w14:textId="77777777" w:rsidR="00832B3A" w:rsidRPr="00C31030" w:rsidRDefault="00000000">
            <w:pPr>
              <w:spacing w:before="20" w:after="30" w:line="240" w:lineRule="auto"/>
              <w:rPr>
                <w:szCs w:val="24"/>
              </w:rPr>
            </w:pPr>
            <w:r w:rsidRPr="00C31030">
              <w:rPr>
                <w:b/>
                <w:szCs w:val="24"/>
              </w:rPr>
              <w:t>Student ID</w:t>
            </w:r>
          </w:p>
        </w:tc>
        <w:tc>
          <w:tcPr>
            <w:tcW w:w="6768" w:type="dxa"/>
            <w:tcMar>
              <w:top w:w="80" w:type="dxa"/>
              <w:left w:w="90" w:type="dxa"/>
              <w:bottom w:w="80" w:type="dxa"/>
              <w:right w:w="90" w:type="dxa"/>
            </w:tcMar>
            <w:vAlign w:val="center"/>
          </w:tcPr>
          <w:p w14:paraId="4B834144" w14:textId="13A6303C" w:rsidR="00832B3A" w:rsidRPr="00C31030" w:rsidRDefault="00102863">
            <w:pPr>
              <w:spacing w:before="20" w:after="30" w:line="240" w:lineRule="auto"/>
              <w:rPr>
                <w:szCs w:val="24"/>
              </w:rPr>
            </w:pPr>
            <w:r w:rsidRPr="00102863">
              <w:rPr>
                <w:szCs w:val="24"/>
              </w:rPr>
              <w:t>2606892</w:t>
            </w:r>
          </w:p>
        </w:tc>
      </w:tr>
      <w:tr w:rsidR="00832B3A" w:rsidRPr="00C31030" w14:paraId="5A763C2C" w14:textId="77777777" w:rsidTr="004D599B">
        <w:trPr>
          <w:cantSplit/>
          <w:jc w:val="center"/>
        </w:trPr>
        <w:tc>
          <w:tcPr>
            <w:tcW w:w="2376" w:type="dxa"/>
            <w:tcMar>
              <w:top w:w="80" w:type="dxa"/>
              <w:left w:w="90" w:type="dxa"/>
              <w:bottom w:w="80" w:type="dxa"/>
              <w:right w:w="90" w:type="dxa"/>
            </w:tcMar>
            <w:vAlign w:val="center"/>
          </w:tcPr>
          <w:p w14:paraId="0F12A525" w14:textId="77777777" w:rsidR="00832B3A" w:rsidRPr="00C31030" w:rsidRDefault="00000000">
            <w:pPr>
              <w:spacing w:before="20" w:after="30" w:line="240" w:lineRule="auto"/>
              <w:rPr>
                <w:szCs w:val="24"/>
              </w:rPr>
            </w:pPr>
            <w:r w:rsidRPr="00C31030">
              <w:rPr>
                <w:b/>
                <w:szCs w:val="24"/>
              </w:rPr>
              <w:t>Lecturer(s)</w:t>
            </w:r>
          </w:p>
        </w:tc>
        <w:tc>
          <w:tcPr>
            <w:tcW w:w="6768" w:type="dxa"/>
            <w:tcMar>
              <w:top w:w="80" w:type="dxa"/>
              <w:left w:w="90" w:type="dxa"/>
              <w:bottom w:w="80" w:type="dxa"/>
              <w:right w:w="90" w:type="dxa"/>
            </w:tcMar>
            <w:vAlign w:val="center"/>
          </w:tcPr>
          <w:p w14:paraId="59562FD7" w14:textId="77777777" w:rsidR="00832B3A" w:rsidRPr="00C31030" w:rsidRDefault="00000000">
            <w:pPr>
              <w:spacing w:before="20" w:after="30" w:line="240" w:lineRule="auto"/>
              <w:rPr>
                <w:szCs w:val="24"/>
              </w:rPr>
            </w:pPr>
            <w:r w:rsidRPr="00C31030">
              <w:rPr>
                <w:szCs w:val="24"/>
              </w:rPr>
              <w:t xml:space="preserve">Laila </w:t>
            </w:r>
            <w:proofErr w:type="spellStart"/>
            <w:r w:rsidRPr="00C31030">
              <w:rPr>
                <w:szCs w:val="24"/>
              </w:rPr>
              <w:t>Maazouz</w:t>
            </w:r>
            <w:proofErr w:type="spellEnd"/>
            <w:r w:rsidRPr="00C31030">
              <w:rPr>
                <w:szCs w:val="24"/>
              </w:rPr>
              <w:t xml:space="preserve"> (London); Taonga </w:t>
            </w:r>
            <w:proofErr w:type="spellStart"/>
            <w:r w:rsidRPr="00C31030">
              <w:rPr>
                <w:szCs w:val="24"/>
              </w:rPr>
              <w:t>Kaonga</w:t>
            </w:r>
            <w:proofErr w:type="spellEnd"/>
            <w:r w:rsidRPr="00C31030">
              <w:rPr>
                <w:szCs w:val="24"/>
              </w:rPr>
              <w:t xml:space="preserve"> </w:t>
            </w:r>
            <w:proofErr w:type="spellStart"/>
            <w:r w:rsidRPr="00C31030">
              <w:rPr>
                <w:szCs w:val="24"/>
              </w:rPr>
              <w:t>Sobere-Snithers</w:t>
            </w:r>
            <w:proofErr w:type="spellEnd"/>
            <w:r w:rsidRPr="00C31030">
              <w:rPr>
                <w:szCs w:val="24"/>
              </w:rPr>
              <w:t xml:space="preserve"> (Birmingham)</w:t>
            </w:r>
          </w:p>
        </w:tc>
      </w:tr>
      <w:tr w:rsidR="00832B3A" w:rsidRPr="00C31030" w14:paraId="3138232F" w14:textId="77777777" w:rsidTr="004D599B">
        <w:trPr>
          <w:cantSplit/>
          <w:jc w:val="center"/>
        </w:trPr>
        <w:tc>
          <w:tcPr>
            <w:tcW w:w="2376" w:type="dxa"/>
            <w:tcMar>
              <w:top w:w="80" w:type="dxa"/>
              <w:left w:w="90" w:type="dxa"/>
              <w:bottom w:w="80" w:type="dxa"/>
              <w:right w:w="90" w:type="dxa"/>
            </w:tcMar>
            <w:vAlign w:val="center"/>
          </w:tcPr>
          <w:p w14:paraId="04EF4180" w14:textId="77777777" w:rsidR="00832B3A" w:rsidRPr="00C31030" w:rsidRDefault="00000000">
            <w:pPr>
              <w:spacing w:before="20" w:after="30" w:line="240" w:lineRule="auto"/>
              <w:rPr>
                <w:szCs w:val="24"/>
              </w:rPr>
            </w:pPr>
            <w:r w:rsidRPr="00C31030">
              <w:rPr>
                <w:b/>
                <w:szCs w:val="24"/>
              </w:rPr>
              <w:t>Submission date</w:t>
            </w:r>
          </w:p>
        </w:tc>
        <w:tc>
          <w:tcPr>
            <w:tcW w:w="6768" w:type="dxa"/>
            <w:tcMar>
              <w:top w:w="80" w:type="dxa"/>
              <w:left w:w="90" w:type="dxa"/>
              <w:bottom w:w="80" w:type="dxa"/>
              <w:right w:w="90" w:type="dxa"/>
            </w:tcMar>
            <w:vAlign w:val="center"/>
          </w:tcPr>
          <w:p w14:paraId="69B072FC" w14:textId="77777777" w:rsidR="00832B3A" w:rsidRPr="00C31030" w:rsidRDefault="00000000">
            <w:pPr>
              <w:spacing w:before="20" w:after="30" w:line="240" w:lineRule="auto"/>
              <w:rPr>
                <w:szCs w:val="24"/>
              </w:rPr>
            </w:pPr>
            <w:r w:rsidRPr="00C31030">
              <w:rPr>
                <w:szCs w:val="24"/>
              </w:rPr>
              <w:t>22 October 2026</w:t>
            </w:r>
          </w:p>
        </w:tc>
      </w:tr>
      <w:tr w:rsidR="00832B3A" w:rsidRPr="00C31030" w14:paraId="143BF3C3" w14:textId="77777777" w:rsidTr="004D599B">
        <w:trPr>
          <w:cantSplit/>
          <w:jc w:val="center"/>
        </w:trPr>
        <w:tc>
          <w:tcPr>
            <w:tcW w:w="2376" w:type="dxa"/>
            <w:tcMar>
              <w:top w:w="80" w:type="dxa"/>
              <w:left w:w="90" w:type="dxa"/>
              <w:bottom w:w="80" w:type="dxa"/>
              <w:right w:w="90" w:type="dxa"/>
            </w:tcMar>
            <w:vAlign w:val="center"/>
          </w:tcPr>
          <w:p w14:paraId="51AAA2A8" w14:textId="77777777" w:rsidR="00832B3A" w:rsidRPr="00C31030" w:rsidRDefault="00000000">
            <w:pPr>
              <w:spacing w:before="20" w:after="30" w:line="240" w:lineRule="auto"/>
              <w:rPr>
                <w:szCs w:val="24"/>
              </w:rPr>
            </w:pPr>
            <w:r w:rsidRPr="00C31030">
              <w:rPr>
                <w:b/>
                <w:szCs w:val="24"/>
              </w:rPr>
              <w:t>Word count</w:t>
            </w:r>
          </w:p>
        </w:tc>
        <w:tc>
          <w:tcPr>
            <w:tcW w:w="6768" w:type="dxa"/>
            <w:tcMar>
              <w:top w:w="80" w:type="dxa"/>
              <w:left w:w="90" w:type="dxa"/>
              <w:bottom w:w="80" w:type="dxa"/>
              <w:right w:w="90" w:type="dxa"/>
            </w:tcMar>
            <w:vAlign w:val="center"/>
          </w:tcPr>
          <w:p w14:paraId="1A2EE60B" w14:textId="300A21A7" w:rsidR="00832B3A" w:rsidRPr="00C31030" w:rsidRDefault="003350B5">
            <w:pPr>
              <w:spacing w:before="20" w:after="30" w:line="240" w:lineRule="auto"/>
              <w:rPr>
                <w:szCs w:val="24"/>
              </w:rPr>
            </w:pPr>
            <w:r>
              <w:rPr>
                <w:szCs w:val="24"/>
              </w:rPr>
              <w:t>2500</w:t>
            </w:r>
          </w:p>
        </w:tc>
      </w:tr>
    </w:tbl>
    <w:p w14:paraId="5B03496B" w14:textId="77777777" w:rsidR="00832B3A" w:rsidRDefault="00000000">
      <w:pPr>
        <w:spacing w:before="560"/>
        <w:jc w:val="center"/>
      </w:pPr>
      <w:r>
        <w:rPr>
          <w:color w:val="646464"/>
          <w:sz w:val="20"/>
        </w:rPr>
        <w:t>University of Wales Trinity Saint David</w:t>
      </w:r>
    </w:p>
    <w:p w14:paraId="282475F3" w14:textId="77777777" w:rsidR="00832B3A" w:rsidRDefault="00000000">
      <w:r>
        <w:br w:type="page"/>
      </w:r>
    </w:p>
    <w:sdt>
      <w:sdtPr>
        <w:rPr>
          <w:rFonts w:eastAsia="Times New Roman" w:cstheme="minorBidi"/>
          <w:b w:val="0"/>
          <w:bCs w:val="0"/>
          <w:sz w:val="24"/>
          <w:szCs w:val="22"/>
        </w:rPr>
        <w:id w:val="1312835346"/>
        <w:docPartObj>
          <w:docPartGallery w:val="Table of Contents"/>
          <w:docPartUnique/>
        </w:docPartObj>
      </w:sdtPr>
      <w:sdtEndPr>
        <w:rPr>
          <w:noProof/>
        </w:rPr>
      </w:sdtEndPr>
      <w:sdtContent>
        <w:p w14:paraId="52D89D81" w14:textId="36424366" w:rsidR="00234667" w:rsidRDefault="00234667" w:rsidP="00234667">
          <w:pPr>
            <w:pStyle w:val="TOCHeading"/>
            <w:jc w:val="center"/>
          </w:pPr>
          <w:r>
            <w:t>Table of Contents</w:t>
          </w:r>
        </w:p>
        <w:p w14:paraId="70FDA56F" w14:textId="74159402" w:rsidR="00234667" w:rsidRDefault="00234667">
          <w:pPr>
            <w:pStyle w:val="TOC1"/>
            <w:tabs>
              <w:tab w:val="right" w:leader="dot" w:pos="9534"/>
            </w:tabs>
            <w:rPr>
              <w:noProof/>
            </w:rPr>
          </w:pPr>
          <w:r>
            <w:fldChar w:fldCharType="begin"/>
          </w:r>
          <w:r>
            <w:instrText xml:space="preserve"> TOC \o "1-3" \h \z \u </w:instrText>
          </w:r>
          <w:r>
            <w:fldChar w:fldCharType="separate"/>
          </w:r>
          <w:hyperlink w:anchor="_Toc242808192" w:history="1">
            <w:r w:rsidRPr="00893E9F">
              <w:rPr>
                <w:rStyle w:val="Hyperlink"/>
                <w:noProof/>
              </w:rPr>
              <w:t>Task 1: Marketing Environment Analysis</w:t>
            </w:r>
            <w:r>
              <w:rPr>
                <w:noProof/>
                <w:webHidden/>
              </w:rPr>
              <w:tab/>
            </w:r>
            <w:r>
              <w:rPr>
                <w:noProof/>
                <w:webHidden/>
              </w:rPr>
              <w:fldChar w:fldCharType="begin"/>
            </w:r>
            <w:r>
              <w:rPr>
                <w:noProof/>
                <w:webHidden/>
              </w:rPr>
              <w:instrText xml:space="preserve"> PAGEREF _Toc242808192 \h </w:instrText>
            </w:r>
            <w:r>
              <w:rPr>
                <w:noProof/>
                <w:webHidden/>
              </w:rPr>
            </w:r>
            <w:r>
              <w:rPr>
                <w:noProof/>
                <w:webHidden/>
              </w:rPr>
              <w:fldChar w:fldCharType="separate"/>
            </w:r>
            <w:r>
              <w:rPr>
                <w:noProof/>
                <w:webHidden/>
              </w:rPr>
              <w:t>2</w:t>
            </w:r>
            <w:r>
              <w:rPr>
                <w:noProof/>
                <w:webHidden/>
              </w:rPr>
              <w:fldChar w:fldCharType="end"/>
            </w:r>
          </w:hyperlink>
        </w:p>
        <w:p w14:paraId="4DC087D6" w14:textId="64E48A6A" w:rsidR="00234667" w:rsidRDefault="00000000">
          <w:pPr>
            <w:pStyle w:val="TOC2"/>
            <w:tabs>
              <w:tab w:val="right" w:leader="dot" w:pos="9534"/>
            </w:tabs>
            <w:rPr>
              <w:noProof/>
            </w:rPr>
          </w:pPr>
          <w:hyperlink w:anchor="_Toc242808193" w:history="1">
            <w:r w:rsidR="00234667" w:rsidRPr="00893E9F">
              <w:rPr>
                <w:rStyle w:val="Hyperlink"/>
                <w:noProof/>
              </w:rPr>
              <w:t>1.1 Company and analytical focus</w:t>
            </w:r>
            <w:r w:rsidR="00234667">
              <w:rPr>
                <w:noProof/>
                <w:webHidden/>
              </w:rPr>
              <w:tab/>
            </w:r>
            <w:r w:rsidR="00234667">
              <w:rPr>
                <w:noProof/>
                <w:webHidden/>
              </w:rPr>
              <w:fldChar w:fldCharType="begin"/>
            </w:r>
            <w:r w:rsidR="00234667">
              <w:rPr>
                <w:noProof/>
                <w:webHidden/>
              </w:rPr>
              <w:instrText xml:space="preserve"> PAGEREF _Toc242808193 \h </w:instrText>
            </w:r>
            <w:r w:rsidR="00234667">
              <w:rPr>
                <w:noProof/>
                <w:webHidden/>
              </w:rPr>
            </w:r>
            <w:r w:rsidR="00234667">
              <w:rPr>
                <w:noProof/>
                <w:webHidden/>
              </w:rPr>
              <w:fldChar w:fldCharType="separate"/>
            </w:r>
            <w:r w:rsidR="00234667">
              <w:rPr>
                <w:noProof/>
                <w:webHidden/>
              </w:rPr>
              <w:t>2</w:t>
            </w:r>
            <w:r w:rsidR="00234667">
              <w:rPr>
                <w:noProof/>
                <w:webHidden/>
              </w:rPr>
              <w:fldChar w:fldCharType="end"/>
            </w:r>
          </w:hyperlink>
        </w:p>
        <w:p w14:paraId="6E2807F6" w14:textId="21F834A8" w:rsidR="00234667" w:rsidRDefault="00000000">
          <w:pPr>
            <w:pStyle w:val="TOC2"/>
            <w:tabs>
              <w:tab w:val="right" w:leader="dot" w:pos="9534"/>
            </w:tabs>
            <w:rPr>
              <w:noProof/>
            </w:rPr>
          </w:pPr>
          <w:hyperlink w:anchor="_Toc242808194" w:history="1">
            <w:r w:rsidR="00234667" w:rsidRPr="00893E9F">
              <w:rPr>
                <w:rStyle w:val="Hyperlink"/>
                <w:noProof/>
              </w:rPr>
              <w:t>1.2 Natural environment: the primary actor</w:t>
            </w:r>
            <w:r w:rsidR="00234667">
              <w:rPr>
                <w:noProof/>
                <w:webHidden/>
              </w:rPr>
              <w:tab/>
            </w:r>
            <w:r w:rsidR="00234667">
              <w:rPr>
                <w:noProof/>
                <w:webHidden/>
              </w:rPr>
              <w:fldChar w:fldCharType="begin"/>
            </w:r>
            <w:r w:rsidR="00234667">
              <w:rPr>
                <w:noProof/>
                <w:webHidden/>
              </w:rPr>
              <w:instrText xml:space="preserve"> PAGEREF _Toc242808194 \h </w:instrText>
            </w:r>
            <w:r w:rsidR="00234667">
              <w:rPr>
                <w:noProof/>
                <w:webHidden/>
              </w:rPr>
            </w:r>
            <w:r w:rsidR="00234667">
              <w:rPr>
                <w:noProof/>
                <w:webHidden/>
              </w:rPr>
              <w:fldChar w:fldCharType="separate"/>
            </w:r>
            <w:r w:rsidR="00234667">
              <w:rPr>
                <w:noProof/>
                <w:webHidden/>
              </w:rPr>
              <w:t>2</w:t>
            </w:r>
            <w:r w:rsidR="00234667">
              <w:rPr>
                <w:noProof/>
                <w:webHidden/>
              </w:rPr>
              <w:fldChar w:fldCharType="end"/>
            </w:r>
          </w:hyperlink>
        </w:p>
        <w:p w14:paraId="10C665CD" w14:textId="52C58314" w:rsidR="00234667" w:rsidRDefault="00000000">
          <w:pPr>
            <w:pStyle w:val="TOC2"/>
            <w:tabs>
              <w:tab w:val="right" w:leader="dot" w:pos="9534"/>
            </w:tabs>
            <w:rPr>
              <w:noProof/>
            </w:rPr>
          </w:pPr>
          <w:hyperlink w:anchor="_Toc242808195" w:history="1">
            <w:r w:rsidR="00234667" w:rsidRPr="00893E9F">
              <w:rPr>
                <w:rStyle w:val="Hyperlink"/>
                <w:noProof/>
              </w:rPr>
              <w:t>1.3 Customers: demand and willingness to pay</w:t>
            </w:r>
            <w:r w:rsidR="00234667">
              <w:rPr>
                <w:noProof/>
                <w:webHidden/>
              </w:rPr>
              <w:tab/>
            </w:r>
            <w:r w:rsidR="00234667">
              <w:rPr>
                <w:noProof/>
                <w:webHidden/>
              </w:rPr>
              <w:fldChar w:fldCharType="begin"/>
            </w:r>
            <w:r w:rsidR="00234667">
              <w:rPr>
                <w:noProof/>
                <w:webHidden/>
              </w:rPr>
              <w:instrText xml:space="preserve"> PAGEREF _Toc242808195 \h </w:instrText>
            </w:r>
            <w:r w:rsidR="00234667">
              <w:rPr>
                <w:noProof/>
                <w:webHidden/>
              </w:rPr>
            </w:r>
            <w:r w:rsidR="00234667">
              <w:rPr>
                <w:noProof/>
                <w:webHidden/>
              </w:rPr>
              <w:fldChar w:fldCharType="separate"/>
            </w:r>
            <w:r w:rsidR="00234667">
              <w:rPr>
                <w:noProof/>
                <w:webHidden/>
              </w:rPr>
              <w:t>4</w:t>
            </w:r>
            <w:r w:rsidR="00234667">
              <w:rPr>
                <w:noProof/>
                <w:webHidden/>
              </w:rPr>
              <w:fldChar w:fldCharType="end"/>
            </w:r>
          </w:hyperlink>
        </w:p>
        <w:p w14:paraId="263C1FA6" w14:textId="5982630F" w:rsidR="00234667" w:rsidRDefault="00000000">
          <w:pPr>
            <w:pStyle w:val="TOC2"/>
            <w:tabs>
              <w:tab w:val="right" w:leader="dot" w:pos="9534"/>
            </w:tabs>
            <w:rPr>
              <w:noProof/>
            </w:rPr>
          </w:pPr>
          <w:hyperlink w:anchor="_Toc242808196" w:history="1">
            <w:r w:rsidR="00234667" w:rsidRPr="00893E9F">
              <w:rPr>
                <w:rStyle w:val="Hyperlink"/>
                <w:noProof/>
              </w:rPr>
              <w:t>1.4 Suppliers: scrap, electricity and hydrogen</w:t>
            </w:r>
            <w:r w:rsidR="00234667">
              <w:rPr>
                <w:noProof/>
                <w:webHidden/>
              </w:rPr>
              <w:tab/>
            </w:r>
            <w:r w:rsidR="00234667">
              <w:rPr>
                <w:noProof/>
                <w:webHidden/>
              </w:rPr>
              <w:fldChar w:fldCharType="begin"/>
            </w:r>
            <w:r w:rsidR="00234667">
              <w:rPr>
                <w:noProof/>
                <w:webHidden/>
              </w:rPr>
              <w:instrText xml:space="preserve"> PAGEREF _Toc242808196 \h </w:instrText>
            </w:r>
            <w:r w:rsidR="00234667">
              <w:rPr>
                <w:noProof/>
                <w:webHidden/>
              </w:rPr>
            </w:r>
            <w:r w:rsidR="00234667">
              <w:rPr>
                <w:noProof/>
                <w:webHidden/>
              </w:rPr>
              <w:fldChar w:fldCharType="separate"/>
            </w:r>
            <w:r w:rsidR="00234667">
              <w:rPr>
                <w:noProof/>
                <w:webHidden/>
              </w:rPr>
              <w:t>4</w:t>
            </w:r>
            <w:r w:rsidR="00234667">
              <w:rPr>
                <w:noProof/>
                <w:webHidden/>
              </w:rPr>
              <w:fldChar w:fldCharType="end"/>
            </w:r>
          </w:hyperlink>
        </w:p>
        <w:p w14:paraId="6B96E34B" w14:textId="191C0661" w:rsidR="00234667" w:rsidRDefault="00000000">
          <w:pPr>
            <w:pStyle w:val="TOC2"/>
            <w:tabs>
              <w:tab w:val="right" w:leader="dot" w:pos="9534"/>
            </w:tabs>
            <w:rPr>
              <w:noProof/>
            </w:rPr>
          </w:pPr>
          <w:hyperlink w:anchor="_Toc242808197" w:history="1">
            <w:r w:rsidR="00234667" w:rsidRPr="00893E9F">
              <w:rPr>
                <w:rStyle w:val="Hyperlink"/>
                <w:noProof/>
              </w:rPr>
              <w:t>1.5 Synthesis of the three actors</w:t>
            </w:r>
            <w:r w:rsidR="00234667">
              <w:rPr>
                <w:noProof/>
                <w:webHidden/>
              </w:rPr>
              <w:tab/>
            </w:r>
            <w:r w:rsidR="00234667">
              <w:rPr>
                <w:noProof/>
                <w:webHidden/>
              </w:rPr>
              <w:fldChar w:fldCharType="begin"/>
            </w:r>
            <w:r w:rsidR="00234667">
              <w:rPr>
                <w:noProof/>
                <w:webHidden/>
              </w:rPr>
              <w:instrText xml:space="preserve"> PAGEREF _Toc242808197 \h </w:instrText>
            </w:r>
            <w:r w:rsidR="00234667">
              <w:rPr>
                <w:noProof/>
                <w:webHidden/>
              </w:rPr>
            </w:r>
            <w:r w:rsidR="00234667">
              <w:rPr>
                <w:noProof/>
                <w:webHidden/>
              </w:rPr>
              <w:fldChar w:fldCharType="separate"/>
            </w:r>
            <w:r w:rsidR="00234667">
              <w:rPr>
                <w:noProof/>
                <w:webHidden/>
              </w:rPr>
              <w:t>5</w:t>
            </w:r>
            <w:r w:rsidR="00234667">
              <w:rPr>
                <w:noProof/>
                <w:webHidden/>
              </w:rPr>
              <w:fldChar w:fldCharType="end"/>
            </w:r>
          </w:hyperlink>
        </w:p>
        <w:p w14:paraId="169A92BC" w14:textId="622FAB75" w:rsidR="00234667" w:rsidRDefault="00000000">
          <w:pPr>
            <w:pStyle w:val="TOC1"/>
            <w:tabs>
              <w:tab w:val="right" w:leader="dot" w:pos="9534"/>
            </w:tabs>
            <w:rPr>
              <w:noProof/>
            </w:rPr>
          </w:pPr>
          <w:hyperlink w:anchor="_Toc242808198" w:history="1">
            <w:r w:rsidR="00234667" w:rsidRPr="00893E9F">
              <w:rPr>
                <w:rStyle w:val="Hyperlink"/>
                <w:noProof/>
              </w:rPr>
              <w:t>Task 2: Strategic Growth and Competitive Positioning</w:t>
            </w:r>
            <w:r w:rsidR="00234667">
              <w:rPr>
                <w:noProof/>
                <w:webHidden/>
              </w:rPr>
              <w:tab/>
            </w:r>
            <w:r w:rsidR="00234667">
              <w:rPr>
                <w:noProof/>
                <w:webHidden/>
              </w:rPr>
              <w:fldChar w:fldCharType="begin"/>
            </w:r>
            <w:r w:rsidR="00234667">
              <w:rPr>
                <w:noProof/>
                <w:webHidden/>
              </w:rPr>
              <w:instrText xml:space="preserve"> PAGEREF _Toc242808198 \h </w:instrText>
            </w:r>
            <w:r w:rsidR="00234667">
              <w:rPr>
                <w:noProof/>
                <w:webHidden/>
              </w:rPr>
            </w:r>
            <w:r w:rsidR="00234667">
              <w:rPr>
                <w:noProof/>
                <w:webHidden/>
              </w:rPr>
              <w:fldChar w:fldCharType="separate"/>
            </w:r>
            <w:r w:rsidR="00234667">
              <w:rPr>
                <w:noProof/>
                <w:webHidden/>
              </w:rPr>
              <w:t>6</w:t>
            </w:r>
            <w:r w:rsidR="00234667">
              <w:rPr>
                <w:noProof/>
                <w:webHidden/>
              </w:rPr>
              <w:fldChar w:fldCharType="end"/>
            </w:r>
          </w:hyperlink>
        </w:p>
        <w:p w14:paraId="42FBEBB9" w14:textId="59F6699E" w:rsidR="00234667" w:rsidRDefault="00000000">
          <w:pPr>
            <w:pStyle w:val="TOC2"/>
            <w:tabs>
              <w:tab w:val="right" w:leader="dot" w:pos="9534"/>
            </w:tabs>
            <w:rPr>
              <w:noProof/>
            </w:rPr>
          </w:pPr>
          <w:hyperlink w:anchor="_Toc242808199" w:history="1">
            <w:r w:rsidR="00234667" w:rsidRPr="00893E9F">
              <w:rPr>
                <w:rStyle w:val="Hyperlink"/>
                <w:noProof/>
              </w:rPr>
              <w:t>2.1 Ansoff Matrix and recommended direction</w:t>
            </w:r>
            <w:r w:rsidR="00234667">
              <w:rPr>
                <w:noProof/>
                <w:webHidden/>
              </w:rPr>
              <w:tab/>
            </w:r>
            <w:r w:rsidR="00234667">
              <w:rPr>
                <w:noProof/>
                <w:webHidden/>
              </w:rPr>
              <w:fldChar w:fldCharType="begin"/>
            </w:r>
            <w:r w:rsidR="00234667">
              <w:rPr>
                <w:noProof/>
                <w:webHidden/>
              </w:rPr>
              <w:instrText xml:space="preserve"> PAGEREF _Toc242808199 \h </w:instrText>
            </w:r>
            <w:r w:rsidR="00234667">
              <w:rPr>
                <w:noProof/>
                <w:webHidden/>
              </w:rPr>
            </w:r>
            <w:r w:rsidR="00234667">
              <w:rPr>
                <w:noProof/>
                <w:webHidden/>
              </w:rPr>
              <w:fldChar w:fldCharType="separate"/>
            </w:r>
            <w:r w:rsidR="00234667">
              <w:rPr>
                <w:noProof/>
                <w:webHidden/>
              </w:rPr>
              <w:t>6</w:t>
            </w:r>
            <w:r w:rsidR="00234667">
              <w:rPr>
                <w:noProof/>
                <w:webHidden/>
              </w:rPr>
              <w:fldChar w:fldCharType="end"/>
            </w:r>
          </w:hyperlink>
        </w:p>
        <w:p w14:paraId="558EDF3D" w14:textId="4811F574" w:rsidR="00234667" w:rsidRDefault="00000000">
          <w:pPr>
            <w:pStyle w:val="TOC2"/>
            <w:tabs>
              <w:tab w:val="right" w:leader="dot" w:pos="9534"/>
            </w:tabs>
            <w:rPr>
              <w:noProof/>
            </w:rPr>
          </w:pPr>
          <w:hyperlink w:anchor="_Toc242808200" w:history="1">
            <w:r w:rsidR="00234667" w:rsidRPr="00893E9F">
              <w:rPr>
                <w:rStyle w:val="Hyperlink"/>
                <w:noProof/>
              </w:rPr>
              <w:t>2.2 Ansoff options and risk</w:t>
            </w:r>
            <w:r w:rsidR="00234667">
              <w:rPr>
                <w:noProof/>
                <w:webHidden/>
              </w:rPr>
              <w:tab/>
            </w:r>
            <w:r w:rsidR="00234667">
              <w:rPr>
                <w:noProof/>
                <w:webHidden/>
              </w:rPr>
              <w:fldChar w:fldCharType="begin"/>
            </w:r>
            <w:r w:rsidR="00234667">
              <w:rPr>
                <w:noProof/>
                <w:webHidden/>
              </w:rPr>
              <w:instrText xml:space="preserve"> PAGEREF _Toc242808200 \h </w:instrText>
            </w:r>
            <w:r w:rsidR="00234667">
              <w:rPr>
                <w:noProof/>
                <w:webHidden/>
              </w:rPr>
            </w:r>
            <w:r w:rsidR="00234667">
              <w:rPr>
                <w:noProof/>
                <w:webHidden/>
              </w:rPr>
              <w:fldChar w:fldCharType="separate"/>
            </w:r>
            <w:r w:rsidR="00234667">
              <w:rPr>
                <w:noProof/>
                <w:webHidden/>
              </w:rPr>
              <w:t>7</w:t>
            </w:r>
            <w:r w:rsidR="00234667">
              <w:rPr>
                <w:noProof/>
                <w:webHidden/>
              </w:rPr>
              <w:fldChar w:fldCharType="end"/>
            </w:r>
          </w:hyperlink>
        </w:p>
        <w:p w14:paraId="6517087D" w14:textId="14E47B1E" w:rsidR="00234667" w:rsidRDefault="00000000">
          <w:pPr>
            <w:pStyle w:val="TOC2"/>
            <w:tabs>
              <w:tab w:val="right" w:leader="dot" w:pos="9534"/>
            </w:tabs>
            <w:rPr>
              <w:noProof/>
            </w:rPr>
          </w:pPr>
          <w:hyperlink w:anchor="_Toc242808201" w:history="1">
            <w:r w:rsidR="00234667" w:rsidRPr="00893E9F">
              <w:rPr>
                <w:rStyle w:val="Hyperlink"/>
                <w:noProof/>
              </w:rPr>
              <w:t>2.3 Implementation and performance controls</w:t>
            </w:r>
            <w:r w:rsidR="00234667">
              <w:rPr>
                <w:noProof/>
                <w:webHidden/>
              </w:rPr>
              <w:tab/>
            </w:r>
            <w:r w:rsidR="00234667">
              <w:rPr>
                <w:noProof/>
                <w:webHidden/>
              </w:rPr>
              <w:fldChar w:fldCharType="begin"/>
            </w:r>
            <w:r w:rsidR="00234667">
              <w:rPr>
                <w:noProof/>
                <w:webHidden/>
              </w:rPr>
              <w:instrText xml:space="preserve"> PAGEREF _Toc242808201 \h </w:instrText>
            </w:r>
            <w:r w:rsidR="00234667">
              <w:rPr>
                <w:noProof/>
                <w:webHidden/>
              </w:rPr>
            </w:r>
            <w:r w:rsidR="00234667">
              <w:rPr>
                <w:noProof/>
                <w:webHidden/>
              </w:rPr>
              <w:fldChar w:fldCharType="separate"/>
            </w:r>
            <w:r w:rsidR="00234667">
              <w:rPr>
                <w:noProof/>
                <w:webHidden/>
              </w:rPr>
              <w:t>7</w:t>
            </w:r>
            <w:r w:rsidR="00234667">
              <w:rPr>
                <w:noProof/>
                <w:webHidden/>
              </w:rPr>
              <w:fldChar w:fldCharType="end"/>
            </w:r>
          </w:hyperlink>
        </w:p>
        <w:p w14:paraId="3FADA1BD" w14:textId="5A24E418" w:rsidR="00234667" w:rsidRDefault="00000000">
          <w:pPr>
            <w:pStyle w:val="TOC2"/>
            <w:tabs>
              <w:tab w:val="right" w:leader="dot" w:pos="9534"/>
            </w:tabs>
            <w:rPr>
              <w:noProof/>
            </w:rPr>
          </w:pPr>
          <w:hyperlink w:anchor="_Toc242808202" w:history="1">
            <w:r w:rsidR="00234667" w:rsidRPr="00893E9F">
              <w:rPr>
                <w:rStyle w:val="Hyperlink"/>
                <w:noProof/>
              </w:rPr>
              <w:t>2.4 Recommendation</w:t>
            </w:r>
            <w:r w:rsidR="00234667">
              <w:rPr>
                <w:noProof/>
                <w:webHidden/>
              </w:rPr>
              <w:tab/>
            </w:r>
            <w:r w:rsidR="00234667">
              <w:rPr>
                <w:noProof/>
                <w:webHidden/>
              </w:rPr>
              <w:fldChar w:fldCharType="begin"/>
            </w:r>
            <w:r w:rsidR="00234667">
              <w:rPr>
                <w:noProof/>
                <w:webHidden/>
              </w:rPr>
              <w:instrText xml:space="preserve"> PAGEREF _Toc242808202 \h </w:instrText>
            </w:r>
            <w:r w:rsidR="00234667">
              <w:rPr>
                <w:noProof/>
                <w:webHidden/>
              </w:rPr>
            </w:r>
            <w:r w:rsidR="00234667">
              <w:rPr>
                <w:noProof/>
                <w:webHidden/>
              </w:rPr>
              <w:fldChar w:fldCharType="separate"/>
            </w:r>
            <w:r w:rsidR="00234667">
              <w:rPr>
                <w:noProof/>
                <w:webHidden/>
              </w:rPr>
              <w:t>8</w:t>
            </w:r>
            <w:r w:rsidR="00234667">
              <w:rPr>
                <w:noProof/>
                <w:webHidden/>
              </w:rPr>
              <w:fldChar w:fldCharType="end"/>
            </w:r>
          </w:hyperlink>
        </w:p>
        <w:p w14:paraId="0322B2F2" w14:textId="05043791" w:rsidR="00234667" w:rsidRDefault="00000000">
          <w:pPr>
            <w:pStyle w:val="TOC1"/>
            <w:tabs>
              <w:tab w:val="right" w:leader="dot" w:pos="9534"/>
            </w:tabs>
            <w:rPr>
              <w:noProof/>
            </w:rPr>
          </w:pPr>
          <w:hyperlink w:anchor="_Toc242808203" w:history="1">
            <w:r w:rsidR="00234667" w:rsidRPr="00893E9F">
              <w:rPr>
                <w:rStyle w:val="Hyperlink"/>
                <w:noProof/>
              </w:rPr>
              <w:t>Task 3: Managerial and Professional Reflection</w:t>
            </w:r>
            <w:r w:rsidR="00234667">
              <w:rPr>
                <w:noProof/>
                <w:webHidden/>
              </w:rPr>
              <w:tab/>
            </w:r>
            <w:r w:rsidR="00234667">
              <w:rPr>
                <w:noProof/>
                <w:webHidden/>
              </w:rPr>
              <w:fldChar w:fldCharType="begin"/>
            </w:r>
            <w:r w:rsidR="00234667">
              <w:rPr>
                <w:noProof/>
                <w:webHidden/>
              </w:rPr>
              <w:instrText xml:space="preserve"> PAGEREF _Toc242808203 \h </w:instrText>
            </w:r>
            <w:r w:rsidR="00234667">
              <w:rPr>
                <w:noProof/>
                <w:webHidden/>
              </w:rPr>
            </w:r>
            <w:r w:rsidR="00234667">
              <w:rPr>
                <w:noProof/>
                <w:webHidden/>
              </w:rPr>
              <w:fldChar w:fldCharType="separate"/>
            </w:r>
            <w:r w:rsidR="00234667">
              <w:rPr>
                <w:noProof/>
                <w:webHidden/>
              </w:rPr>
              <w:t>8</w:t>
            </w:r>
            <w:r w:rsidR="00234667">
              <w:rPr>
                <w:noProof/>
                <w:webHidden/>
              </w:rPr>
              <w:fldChar w:fldCharType="end"/>
            </w:r>
          </w:hyperlink>
        </w:p>
        <w:p w14:paraId="653794E0" w14:textId="29514927" w:rsidR="00234667" w:rsidRDefault="00000000">
          <w:pPr>
            <w:pStyle w:val="TOC2"/>
            <w:tabs>
              <w:tab w:val="right" w:leader="dot" w:pos="9534"/>
            </w:tabs>
            <w:rPr>
              <w:noProof/>
            </w:rPr>
          </w:pPr>
          <w:hyperlink w:anchor="_Toc242808204" w:history="1">
            <w:r w:rsidR="00234667" w:rsidRPr="00893E9F">
              <w:rPr>
                <w:rStyle w:val="Hyperlink"/>
                <w:noProof/>
              </w:rPr>
              <w:t>3.1 Rationale for decisions</w:t>
            </w:r>
            <w:r w:rsidR="00234667">
              <w:rPr>
                <w:noProof/>
                <w:webHidden/>
              </w:rPr>
              <w:tab/>
            </w:r>
            <w:r w:rsidR="00234667">
              <w:rPr>
                <w:noProof/>
                <w:webHidden/>
              </w:rPr>
              <w:fldChar w:fldCharType="begin"/>
            </w:r>
            <w:r w:rsidR="00234667">
              <w:rPr>
                <w:noProof/>
                <w:webHidden/>
              </w:rPr>
              <w:instrText xml:space="preserve"> PAGEREF _Toc242808204 \h </w:instrText>
            </w:r>
            <w:r w:rsidR="00234667">
              <w:rPr>
                <w:noProof/>
                <w:webHidden/>
              </w:rPr>
            </w:r>
            <w:r w:rsidR="00234667">
              <w:rPr>
                <w:noProof/>
                <w:webHidden/>
              </w:rPr>
              <w:fldChar w:fldCharType="separate"/>
            </w:r>
            <w:r w:rsidR="00234667">
              <w:rPr>
                <w:noProof/>
                <w:webHidden/>
              </w:rPr>
              <w:t>8</w:t>
            </w:r>
            <w:r w:rsidR="00234667">
              <w:rPr>
                <w:noProof/>
                <w:webHidden/>
              </w:rPr>
              <w:fldChar w:fldCharType="end"/>
            </w:r>
          </w:hyperlink>
        </w:p>
        <w:p w14:paraId="2057409A" w14:textId="1DBC8A49" w:rsidR="00234667" w:rsidRDefault="00000000">
          <w:pPr>
            <w:pStyle w:val="TOC2"/>
            <w:tabs>
              <w:tab w:val="right" w:leader="dot" w:pos="9534"/>
            </w:tabs>
            <w:rPr>
              <w:noProof/>
            </w:rPr>
          </w:pPr>
          <w:hyperlink w:anchor="_Toc242808205" w:history="1">
            <w:r w:rsidR="00234667" w:rsidRPr="00893E9F">
              <w:rPr>
                <w:rStyle w:val="Hyperlink"/>
                <w:noProof/>
              </w:rPr>
              <w:t>3.2 Limitations and further information required</w:t>
            </w:r>
            <w:r w:rsidR="00234667">
              <w:rPr>
                <w:noProof/>
                <w:webHidden/>
              </w:rPr>
              <w:tab/>
            </w:r>
            <w:r w:rsidR="00234667">
              <w:rPr>
                <w:noProof/>
                <w:webHidden/>
              </w:rPr>
              <w:fldChar w:fldCharType="begin"/>
            </w:r>
            <w:r w:rsidR="00234667">
              <w:rPr>
                <w:noProof/>
                <w:webHidden/>
              </w:rPr>
              <w:instrText xml:space="preserve"> PAGEREF _Toc242808205 \h </w:instrText>
            </w:r>
            <w:r w:rsidR="00234667">
              <w:rPr>
                <w:noProof/>
                <w:webHidden/>
              </w:rPr>
            </w:r>
            <w:r w:rsidR="00234667">
              <w:rPr>
                <w:noProof/>
                <w:webHidden/>
              </w:rPr>
              <w:fldChar w:fldCharType="separate"/>
            </w:r>
            <w:r w:rsidR="00234667">
              <w:rPr>
                <w:noProof/>
                <w:webHidden/>
              </w:rPr>
              <w:t>8</w:t>
            </w:r>
            <w:r w:rsidR="00234667">
              <w:rPr>
                <w:noProof/>
                <w:webHidden/>
              </w:rPr>
              <w:fldChar w:fldCharType="end"/>
            </w:r>
          </w:hyperlink>
        </w:p>
        <w:p w14:paraId="4E561BA7" w14:textId="794F71FE" w:rsidR="00234667" w:rsidRDefault="00000000">
          <w:pPr>
            <w:pStyle w:val="TOC2"/>
            <w:tabs>
              <w:tab w:val="right" w:leader="dot" w:pos="9534"/>
            </w:tabs>
            <w:rPr>
              <w:noProof/>
            </w:rPr>
          </w:pPr>
          <w:hyperlink w:anchor="_Toc242808206" w:history="1">
            <w:r w:rsidR="00234667" w:rsidRPr="00893E9F">
              <w:rPr>
                <w:rStyle w:val="Hyperlink"/>
                <w:noProof/>
              </w:rPr>
              <w:t>3.3 Final reflection</w:t>
            </w:r>
            <w:r w:rsidR="00234667">
              <w:rPr>
                <w:noProof/>
                <w:webHidden/>
              </w:rPr>
              <w:tab/>
            </w:r>
            <w:r w:rsidR="00234667">
              <w:rPr>
                <w:noProof/>
                <w:webHidden/>
              </w:rPr>
              <w:fldChar w:fldCharType="begin"/>
            </w:r>
            <w:r w:rsidR="00234667">
              <w:rPr>
                <w:noProof/>
                <w:webHidden/>
              </w:rPr>
              <w:instrText xml:space="preserve"> PAGEREF _Toc242808206 \h </w:instrText>
            </w:r>
            <w:r w:rsidR="00234667">
              <w:rPr>
                <w:noProof/>
                <w:webHidden/>
              </w:rPr>
            </w:r>
            <w:r w:rsidR="00234667">
              <w:rPr>
                <w:noProof/>
                <w:webHidden/>
              </w:rPr>
              <w:fldChar w:fldCharType="separate"/>
            </w:r>
            <w:r w:rsidR="00234667">
              <w:rPr>
                <w:noProof/>
                <w:webHidden/>
              </w:rPr>
              <w:t>9</w:t>
            </w:r>
            <w:r w:rsidR="00234667">
              <w:rPr>
                <w:noProof/>
                <w:webHidden/>
              </w:rPr>
              <w:fldChar w:fldCharType="end"/>
            </w:r>
          </w:hyperlink>
        </w:p>
        <w:p w14:paraId="586FA8FD" w14:textId="42018F4C" w:rsidR="00234667" w:rsidRDefault="00000000">
          <w:pPr>
            <w:pStyle w:val="TOC1"/>
            <w:tabs>
              <w:tab w:val="right" w:leader="dot" w:pos="9534"/>
            </w:tabs>
            <w:rPr>
              <w:noProof/>
            </w:rPr>
          </w:pPr>
          <w:hyperlink w:anchor="_Toc242808207" w:history="1">
            <w:r w:rsidR="00234667" w:rsidRPr="00893E9F">
              <w:rPr>
                <w:rStyle w:val="Hyperlink"/>
                <w:noProof/>
              </w:rPr>
              <w:t>Reference List</w:t>
            </w:r>
            <w:r w:rsidR="00234667">
              <w:rPr>
                <w:noProof/>
                <w:webHidden/>
              </w:rPr>
              <w:tab/>
            </w:r>
            <w:r w:rsidR="00234667">
              <w:rPr>
                <w:noProof/>
                <w:webHidden/>
              </w:rPr>
              <w:fldChar w:fldCharType="begin"/>
            </w:r>
            <w:r w:rsidR="00234667">
              <w:rPr>
                <w:noProof/>
                <w:webHidden/>
              </w:rPr>
              <w:instrText xml:space="preserve"> PAGEREF _Toc242808207 \h </w:instrText>
            </w:r>
            <w:r w:rsidR="00234667">
              <w:rPr>
                <w:noProof/>
                <w:webHidden/>
              </w:rPr>
            </w:r>
            <w:r w:rsidR="00234667">
              <w:rPr>
                <w:noProof/>
                <w:webHidden/>
              </w:rPr>
              <w:fldChar w:fldCharType="separate"/>
            </w:r>
            <w:r w:rsidR="00234667">
              <w:rPr>
                <w:noProof/>
                <w:webHidden/>
              </w:rPr>
              <w:t>10</w:t>
            </w:r>
            <w:r w:rsidR="00234667">
              <w:rPr>
                <w:noProof/>
                <w:webHidden/>
              </w:rPr>
              <w:fldChar w:fldCharType="end"/>
            </w:r>
          </w:hyperlink>
        </w:p>
        <w:p w14:paraId="5B1F3C32" w14:textId="50E32D00" w:rsidR="00234667" w:rsidRDefault="00234667">
          <w:r>
            <w:rPr>
              <w:b/>
              <w:bCs/>
              <w:noProof/>
            </w:rPr>
            <w:fldChar w:fldCharType="end"/>
          </w:r>
        </w:p>
      </w:sdtContent>
    </w:sdt>
    <w:p w14:paraId="1C75B3A0" w14:textId="6A78C59B" w:rsidR="004D599B" w:rsidRDefault="004D599B">
      <w:pPr>
        <w:spacing w:after="200"/>
        <w:rPr>
          <w:rFonts w:asciiTheme="majorHAnsi" w:eastAsiaTheme="majorEastAsia" w:hAnsiTheme="majorHAnsi" w:cstheme="majorBidi"/>
          <w:b/>
          <w:bCs/>
          <w:color w:val="1F4E79"/>
          <w:sz w:val="28"/>
          <w:szCs w:val="28"/>
        </w:rPr>
      </w:pPr>
    </w:p>
    <w:p w14:paraId="360E3DC6" w14:textId="77777777" w:rsidR="00234667" w:rsidRDefault="00234667">
      <w:pPr>
        <w:spacing w:before="0" w:after="200" w:line="276" w:lineRule="auto"/>
        <w:jc w:val="left"/>
        <w:rPr>
          <w:rFonts w:eastAsiaTheme="majorEastAsia" w:cstheme="majorBidi"/>
          <w:b/>
          <w:bCs/>
          <w:sz w:val="28"/>
          <w:szCs w:val="28"/>
        </w:rPr>
      </w:pPr>
      <w:bookmarkStart w:id="0" w:name="_Toc242808192"/>
      <w:r>
        <w:br w:type="page"/>
      </w:r>
    </w:p>
    <w:p w14:paraId="48374BF9" w14:textId="71466E9C" w:rsidR="00832B3A" w:rsidRDefault="00000000">
      <w:pPr>
        <w:pStyle w:val="Heading1"/>
      </w:pPr>
      <w:r>
        <w:lastRenderedPageBreak/>
        <w:t>Task 1: Marketing Environment Analysis</w:t>
      </w:r>
      <w:bookmarkEnd w:id="0"/>
    </w:p>
    <w:p w14:paraId="0C6A5811" w14:textId="77777777" w:rsidR="00832B3A" w:rsidRDefault="00000000">
      <w:pPr>
        <w:pStyle w:val="Heading2"/>
      </w:pPr>
      <w:bookmarkStart w:id="1" w:name="_Toc242808193"/>
      <w:r>
        <w:t>1.1 Company and analytical focus</w:t>
      </w:r>
      <w:bookmarkEnd w:id="1"/>
    </w:p>
    <w:p w14:paraId="241FE378" w14:textId="3A701C3E" w:rsidR="009D1817" w:rsidRDefault="009D1817" w:rsidP="009D1817">
      <w:pPr>
        <w:rPr>
          <w:b/>
          <w:bCs/>
        </w:rPr>
      </w:pPr>
      <w:r w:rsidRPr="009D1817">
        <w:t xml:space="preserve">ArcelorMittal is an international steel and mining firm with presence in 60 countries and crude steel manufacturing in 14 countries. In 2024, ArcelorMittal’s revenue was US$62.4 billion, with crude steel output at 57.9 million </w:t>
      </w:r>
      <w:proofErr w:type="spellStart"/>
      <w:r w:rsidRPr="009D1817">
        <w:t>tonnes</w:t>
      </w:r>
      <w:proofErr w:type="spellEnd"/>
      <w:r w:rsidRPr="009D1817">
        <w:t xml:space="preserve"> and iron ore output at 42.4 million </w:t>
      </w:r>
      <w:proofErr w:type="spellStart"/>
      <w:r w:rsidRPr="009D1817">
        <w:t>tonnes</w:t>
      </w:r>
      <w:proofErr w:type="spellEnd"/>
      <w:r w:rsidRPr="009D1817">
        <w:t xml:space="preserve"> (ArcelorMittal, 2025a). The size and significance of its transition can therefore be appreciated by customers, suppliers and climate policies. This report will focus on three outside stakeholders – natural environment, customers and suppliers, with emphasis on the natural environment. Government policy will be viewed as a cross-cutting market factor (Kotler </w:t>
      </w:r>
      <w:r w:rsidR="00E10072" w:rsidRPr="00E10072">
        <w:rPr>
          <w:i/>
          <w:iCs/>
        </w:rPr>
        <w:t>et al</w:t>
      </w:r>
      <w:r w:rsidRPr="009D1817">
        <w:t>., 2024).</w:t>
      </w:r>
    </w:p>
    <w:p w14:paraId="1D8F32B2" w14:textId="1CA5EA72" w:rsidR="00832B3A" w:rsidRDefault="00000000">
      <w:pPr>
        <w:pStyle w:val="Heading2"/>
      </w:pPr>
      <w:bookmarkStart w:id="2" w:name="_Toc242808194"/>
      <w:r>
        <w:t>1.2 Natural environment: the primary actor</w:t>
      </w:r>
      <w:bookmarkEnd w:id="2"/>
    </w:p>
    <w:p w14:paraId="5C58D3F7" w14:textId="77777777" w:rsidR="009D1817" w:rsidRDefault="009D1817" w:rsidP="009D1817">
      <w:r>
        <w:t xml:space="preserve">Conventional steelmaking is not easy to decarbonize due to its reliance on coal and high-temperature process conditions. According to IEA (2020), the production of iron and steel has been responsible for approximately 2.6 </w:t>
      </w:r>
      <w:proofErr w:type="spellStart"/>
      <w:r>
        <w:t>gigatonnes</w:t>
      </w:r>
      <w:proofErr w:type="spellEnd"/>
      <w:r>
        <w:t xml:space="preserve"> of CO2 emissions annually, constituting nearly 7% of the total energy-system emissions in 2019. The emissions per </w:t>
      </w:r>
      <w:proofErr w:type="spellStart"/>
      <w:r>
        <w:t>tonne</w:t>
      </w:r>
      <w:proofErr w:type="spellEnd"/>
      <w:r>
        <w:t xml:space="preserve"> of crude steel were 1.92 </w:t>
      </w:r>
      <w:proofErr w:type="spellStart"/>
      <w:r>
        <w:t>tonnes</w:t>
      </w:r>
      <w:proofErr w:type="spellEnd"/>
      <w:r>
        <w:t xml:space="preserve"> of CO2 in 2023, according to the World Steel Association (2024). Thus, carbon performance could affect the access to markets, claims for products and costs of doing business as well as brand reputation. Additionally, climate change creates several physical risks like heat stress, water scarcity, and supply chain disruption (ArcelorMittal, 2023).</w:t>
      </w:r>
    </w:p>
    <w:p w14:paraId="2AA2C906" w14:textId="3969E284" w:rsidR="009D1817" w:rsidRDefault="009D1817" w:rsidP="009D1817">
      <w:r>
        <w:t xml:space="preserve">The data provided by ArcelorMittal requires careful analysis. Its Annual Report for 2024 indicates the adjusted absolute emissions Scope 1 and 2 of 136.3 million </w:t>
      </w:r>
      <w:proofErr w:type="spellStart"/>
      <w:r>
        <w:t>tonnes</w:t>
      </w:r>
      <w:proofErr w:type="spellEnd"/>
      <w:r>
        <w:t xml:space="preserve"> CO2e in 2018, 98.5 million </w:t>
      </w:r>
      <w:proofErr w:type="spellStart"/>
      <w:r>
        <w:t>tonnes</w:t>
      </w:r>
      <w:proofErr w:type="spellEnd"/>
      <w:r>
        <w:t xml:space="preserve"> in 2023 and 101.9 million </w:t>
      </w:r>
      <w:proofErr w:type="spellStart"/>
      <w:r>
        <w:t>tonnes</w:t>
      </w:r>
      <w:proofErr w:type="spellEnd"/>
      <w:r>
        <w:t xml:space="preserve"> in 2024. While the latter figure was 25% lower than the adjusted baseline for 2018, it increased slightly when compared to the previous year (ArcelorMittal, 2025a). The company's adjusted group intensity for 2024 was 1.75 </w:t>
      </w:r>
      <w:proofErr w:type="spellStart"/>
      <w:r>
        <w:t>tonnes</w:t>
      </w:r>
      <w:proofErr w:type="spellEnd"/>
      <w:r>
        <w:t xml:space="preserve"> CO2e per </w:t>
      </w:r>
      <w:proofErr w:type="spellStart"/>
      <w:r>
        <w:t>tonne</w:t>
      </w:r>
      <w:proofErr w:type="spellEnd"/>
      <w:r>
        <w:t xml:space="preserve"> of steel. In comparison, the World Steel Association's global 2023 indicator of carbon intensity was 1.92 </w:t>
      </w:r>
      <w:proofErr w:type="spellStart"/>
      <w:r>
        <w:t>tonnes</w:t>
      </w:r>
      <w:proofErr w:type="spellEnd"/>
      <w:r>
        <w:t xml:space="preserve"> CO2 per </w:t>
      </w:r>
      <w:proofErr w:type="spellStart"/>
      <w:r>
        <w:t>tonne</w:t>
      </w:r>
      <w:proofErr w:type="spellEnd"/>
      <w:r>
        <w:t xml:space="preserve"> of crude steel (ArcelorMittal, 2025a; World Steel Association, 2025). Those indicators refer to different boundaries, which makes comparison impossible. The year-on-year increase needs explaining </w:t>
      </w:r>
      <w:r w:rsidRPr="009D1817">
        <w:t>rather than omission.</w:t>
      </w:r>
    </w:p>
    <w:p w14:paraId="079C6D25" w14:textId="07DFAAA9" w:rsidR="00832B3A" w:rsidRDefault="00000000">
      <w:pPr>
        <w:jc w:val="center"/>
      </w:pPr>
      <w:r>
        <w:rPr>
          <w:noProof/>
        </w:rPr>
        <w:lastRenderedPageBreak/>
        <w:drawing>
          <wp:inline distT="0" distB="0" distL="0" distR="0" wp14:anchorId="4739B8CD" wp14:editId="0C736F2F">
            <wp:extent cx="5440680" cy="2598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celormittal_emissions_chart.png"/>
                    <pic:cNvPicPr/>
                  </pic:nvPicPr>
                  <pic:blipFill>
                    <a:blip r:embed="rId9"/>
                    <a:stretch>
                      <a:fillRect/>
                    </a:stretch>
                  </pic:blipFill>
                  <pic:spPr>
                    <a:xfrm>
                      <a:off x="0" y="0"/>
                      <a:ext cx="5440680" cy="2598230"/>
                    </a:xfrm>
                    <a:prstGeom prst="rect">
                      <a:avLst/>
                    </a:prstGeom>
                  </pic:spPr>
                </pic:pic>
              </a:graphicData>
            </a:graphic>
          </wp:inline>
        </w:drawing>
      </w:r>
    </w:p>
    <w:p w14:paraId="65FF57E3" w14:textId="598F6688" w:rsidR="004D599B" w:rsidRPr="004D599B" w:rsidRDefault="004D599B" w:rsidP="004D599B">
      <w:pPr>
        <w:jc w:val="center"/>
        <w:rPr>
          <w:szCs w:val="24"/>
        </w:rPr>
      </w:pPr>
      <w:r w:rsidRPr="004D599B">
        <w:rPr>
          <w:b/>
          <w:bCs/>
          <w:szCs w:val="24"/>
        </w:rPr>
        <w:t>Figure 1</w:t>
      </w:r>
      <w:r>
        <w:rPr>
          <w:b/>
          <w:bCs/>
          <w:szCs w:val="24"/>
        </w:rPr>
        <w:t>:</w:t>
      </w:r>
      <w:r w:rsidRPr="004D599B">
        <w:rPr>
          <w:szCs w:val="24"/>
        </w:rPr>
        <w:t xml:space="preserve"> ArcelorMittal adjusted absolute Scope 1 and 2 emissions, 2018–2024 (Mt </w:t>
      </w:r>
      <w:proofErr w:type="spellStart"/>
      <w:r w:rsidRPr="004D599B">
        <w:rPr>
          <w:szCs w:val="24"/>
        </w:rPr>
        <w:t>CO₂e</w:t>
      </w:r>
      <w:proofErr w:type="spellEnd"/>
      <w:r w:rsidRPr="004D599B">
        <w:rPr>
          <w:szCs w:val="24"/>
        </w:rPr>
        <w:t>).</w:t>
      </w:r>
    </w:p>
    <w:p w14:paraId="015CA3B0" w14:textId="77777777" w:rsidR="004D599B" w:rsidRDefault="00000000" w:rsidP="004D599B">
      <w:pPr>
        <w:jc w:val="center"/>
        <w:rPr>
          <w:szCs w:val="24"/>
        </w:rPr>
      </w:pPr>
      <w:r w:rsidRPr="004D599B">
        <w:rPr>
          <w:szCs w:val="24"/>
        </w:rPr>
        <w:t xml:space="preserve">Source: ArcelorMittal (2025a, p. 40). </w:t>
      </w:r>
    </w:p>
    <w:p w14:paraId="5B3B4EE2" w14:textId="77777777" w:rsidR="009D1817" w:rsidRDefault="009D1817" w:rsidP="009D1817">
      <w:r>
        <w:t xml:space="preserve">The response involves increased EAF production and </w:t>
      </w:r>
      <w:proofErr w:type="spellStart"/>
      <w:r>
        <w:t>XCarb</w:t>
      </w:r>
      <w:proofErr w:type="spellEnd"/>
      <w:r>
        <w:t xml:space="preserve">. According to ArcelorMittal, EAF production accounted for about one quarter of total global production in 2024 compared to 19% in 2018, along with US$1 billion investment in </w:t>
      </w:r>
      <w:proofErr w:type="spellStart"/>
      <w:r>
        <w:t>decarbonisation</w:t>
      </w:r>
      <w:proofErr w:type="spellEnd"/>
      <w:r>
        <w:t xml:space="preserve"> projects (ArcelorMittal, 2025b). </w:t>
      </w:r>
      <w:proofErr w:type="spellStart"/>
      <w:r>
        <w:t>XCarb</w:t>
      </w:r>
      <w:proofErr w:type="spellEnd"/>
      <w:r>
        <w:t xml:space="preserve"> recycled and renewably produced steel utilizes scrap in the EAF and renewable electricity. In some of its building products launched in 2024, ArcelorMittal claims that the products have up to 70% lower footprint compared to traditional production, based on the product type and comparison (ArcelorMittal Building Solutions, 2024). This could provide differentiation, but it does not mean that EAF steel is necessarily zero carbon as it depends on the electricity used, scrap share and the emissions boundary. Product-specific declarations and independent verification can help to reduce the risk of greenwashing (</w:t>
      </w:r>
      <w:proofErr w:type="spellStart"/>
      <w:r>
        <w:t>ResponsibleSteel</w:t>
      </w:r>
      <w:proofErr w:type="spellEnd"/>
      <w:r>
        <w:t>, 2024).</w:t>
      </w:r>
    </w:p>
    <w:p w14:paraId="20632971" w14:textId="4327B460" w:rsidR="00832B3A" w:rsidRDefault="009D1817" w:rsidP="009D1817">
      <w:r>
        <w:t xml:space="preserve">Being environmentally friendly does not necessarily imply a price premium. Low-carbon ironmaking will require the installation of new equipment, renewable electricity and possibly green hydrogen. Fan and Friedmann (2021) note that no particular technology ensures low-cost deep decarbonization everywhere. The IEA (2025a) says that hydrogen-DRI-EAF facilities may be 50–140% more expensive than conventional blast-furnace facilities. Additionally, according to ArcelorMittal, transformation in ironmaking process might not be economically viable before 2030 absent any policy incentives (ArcelorMittal, 2025b). When marketing the solution, the company should guarantee measurable reductions and not to claim that every product is universally 'green'. Another problem is that there is a distinction between reduced carbon intensity and reduced absolute emissions. Increased output growth can undermine absolute performance while intensity is reduced. Hence, Wang </w:t>
      </w:r>
      <w:r w:rsidR="00E10072" w:rsidRPr="00E10072">
        <w:rPr>
          <w:i/>
          <w:iCs/>
        </w:rPr>
        <w:t>et al</w:t>
      </w:r>
      <w:r>
        <w:t xml:space="preserve">. (2021) recommend addressing both supply side with appropriate technologies and demand side through improved material efficiency. The company should present </w:t>
      </w:r>
      <w:r>
        <w:lastRenderedPageBreak/>
        <w:t xml:space="preserve">both figures (intensity and absolute emissions), state its boundaries and explain changes from year to year. This gives customers more useful evidence and helps managers avoid relying on one </w:t>
      </w:r>
      <w:proofErr w:type="spellStart"/>
      <w:r>
        <w:t>favourable</w:t>
      </w:r>
      <w:proofErr w:type="spellEnd"/>
      <w:r>
        <w:t xml:space="preserve"> metric.</w:t>
      </w:r>
    </w:p>
    <w:p w14:paraId="1739A799" w14:textId="77777777" w:rsidR="00832B3A" w:rsidRDefault="00000000">
      <w:pPr>
        <w:pStyle w:val="Heading2"/>
      </w:pPr>
      <w:bookmarkStart w:id="3" w:name="_Toc242808195"/>
      <w:r>
        <w:t>1.3 Customers: demand and willingness to pay</w:t>
      </w:r>
      <w:bookmarkEnd w:id="3"/>
    </w:p>
    <w:p w14:paraId="20615024" w14:textId="77777777" w:rsidR="009D1817" w:rsidRDefault="009D1817" w:rsidP="009D1817">
      <w:pPr>
        <w:keepLines/>
      </w:pPr>
      <w:r>
        <w:t>Customers are important since steel is a B2B product and the automotive, construction, engineering and machinery industries have an influence on specification and procurement of steel. ArcelorMittal supplies these industries and offers low-carbon steel products which could be used by buyers to solve their supply chain emissions problem (ArcelorMittal, 2025a; ArcelorMittal Building Solutions, 2024). The opportunity would be largest where steel represents a small share of the product cost or the buyers have carbon targets and tender requirements. According to IEA (2024a), steel is a small share of vehicles cost, which could allow a material premium in some cases.</w:t>
      </w:r>
    </w:p>
    <w:p w14:paraId="504C3A9C" w14:textId="77777777" w:rsidR="009D1817" w:rsidRDefault="009D1817" w:rsidP="009D1817">
      <w:pPr>
        <w:keepLines/>
      </w:pPr>
      <w:r>
        <w:t xml:space="preserve">Commitments exist, but they are not equivalent to sales yet. According to the World Economic Forum in January 2024, there are 96 First Movers Coalition members and more than 120 purchase commitments in hard-to-abate sectors amounting to a US$16 billion annual demand signal by 2030. Near-Zero Steel Challenge had commitments to supply 2.3 million </w:t>
      </w:r>
      <w:proofErr w:type="spellStart"/>
      <w:r>
        <w:t>tonnes</w:t>
      </w:r>
      <w:proofErr w:type="spellEnd"/>
      <w:r>
        <w:t xml:space="preserve"> of potential demand (World Economic Forum, 2024). However, the publicly disclosed near-zero-steel offtake did not reach 2 million </w:t>
      </w:r>
      <w:proofErr w:type="spellStart"/>
      <w:r>
        <w:t>tonnes</w:t>
      </w:r>
      <w:proofErr w:type="spellEnd"/>
      <w:r>
        <w:t xml:space="preserve"> per year by 2030 and further commitments were not accompanied by additional supply (IEA, 2024a). The adoption is determined by price, volume, quality and verified emissions. ArcelorMittal needs to sign multi-year commitments and provide product-level carbon emission data rather than rely on the sustainability factor in order to get orders. Additionally, in some cases, buyers would require approval of the engineering, procurement and sustainability departments, which would make the sales process longer compared to usual steel grades.</w:t>
      </w:r>
    </w:p>
    <w:p w14:paraId="48097005" w14:textId="73CCEA03" w:rsidR="00832B3A" w:rsidRDefault="009D1817" w:rsidP="009D1817">
      <w:pPr>
        <w:keepLines/>
      </w:pPr>
      <w:r>
        <w:t>The company needs to offer comparable technical data and life cycle information for each product, but not make claims that cannot be checked by the customer. This approach can reduce buyer uncertainty and improve repeat purchasing.</w:t>
      </w:r>
    </w:p>
    <w:p w14:paraId="2D1B56D8" w14:textId="77777777" w:rsidR="00832B3A" w:rsidRDefault="00000000">
      <w:pPr>
        <w:pStyle w:val="Heading2"/>
      </w:pPr>
      <w:bookmarkStart w:id="4" w:name="_Toc242808196"/>
      <w:r>
        <w:t>1.4 Suppliers: scrap, electricity and hydrogen</w:t>
      </w:r>
      <w:bookmarkEnd w:id="4"/>
    </w:p>
    <w:p w14:paraId="681C29BA" w14:textId="54F9DEAB" w:rsidR="009D1817" w:rsidRDefault="009D1817" w:rsidP="009D1817">
      <w:r>
        <w:t xml:space="preserve">Suppliers affect cost and the integrity of low-carbon steel. Scrap is key to EAF production, but good supply is scarce. Raabe </w:t>
      </w:r>
      <w:r w:rsidR="00E10072" w:rsidRPr="00E10072">
        <w:rPr>
          <w:i/>
          <w:iCs/>
        </w:rPr>
        <w:t>et al</w:t>
      </w:r>
      <w:r>
        <w:t>. (2024) claim that existing scrap could cover one-third of the world’s steel demand due to long steel lifetime in buildings, vehicles, and infrastructure. Scrap contamination may constrain the production of high-performing flat steel. Stable scrap supply, sorting and traceability are needed for ArcelorMittal along with the production of primary iron for steel that cannot yet be covered by secondary production.</w:t>
      </w:r>
    </w:p>
    <w:p w14:paraId="03F6347C" w14:textId="1B79C53A" w:rsidR="009D1817" w:rsidRPr="009D1817" w:rsidRDefault="009D1817" w:rsidP="009D1817">
      <w:r>
        <w:lastRenderedPageBreak/>
        <w:t xml:space="preserve">Moreover, renewable energy and low-emission hydrogen are important inputs. The IEA (2024b) noted 97 million </w:t>
      </w:r>
      <w:proofErr w:type="spellStart"/>
      <w:r>
        <w:t>tonnes</w:t>
      </w:r>
      <w:proofErr w:type="spellEnd"/>
      <w:r>
        <w:t xml:space="preserve"> of global hydrogen demand in 2023, whereas no more than one million </w:t>
      </w:r>
      <w:proofErr w:type="spellStart"/>
      <w:r>
        <w:t>tonnes</w:t>
      </w:r>
      <w:proofErr w:type="spellEnd"/>
      <w:r>
        <w:t xml:space="preserve"> of low-emissions hydrogen was produced. The supply chain is not yet developed. According to Devlin &amp; Yang (2022), renewable energy, iron ore, manufacturing process, and transport infrastructure are required to decrease the green-steel cost premium. ArcelorMittal needs long-term power agreements, supplier collaboration, and phased investments to address fluctuations in energy prices, while improving scrap supply and traceability. Inconsistency in suppliers or input quality may negatively impact margins and hinder customer engagement. Supplier assessment should include consideration of labor, human rights, biodiversity, and local practices because decarbonization is not the whole concept of responsible steel (</w:t>
      </w:r>
      <w:proofErr w:type="spellStart"/>
      <w:r>
        <w:t>ResponsibleSteel</w:t>
      </w:r>
      <w:proofErr w:type="spellEnd"/>
      <w:r>
        <w:t>, 2024).</w:t>
      </w:r>
    </w:p>
    <w:p w14:paraId="63300F91" w14:textId="77777777" w:rsidR="00832B3A" w:rsidRDefault="00000000">
      <w:pPr>
        <w:pStyle w:val="Heading2"/>
      </w:pPr>
      <w:bookmarkStart w:id="5" w:name="_Toc242808197"/>
      <w:r>
        <w:t>1.5 Synthesis of the three actors</w:t>
      </w:r>
      <w:bookmarkEnd w:id="5"/>
    </w:p>
    <w:p w14:paraId="406EAA8F" w14:textId="13DA00CC" w:rsidR="009D1817" w:rsidRPr="009D1817" w:rsidRDefault="009D1817" w:rsidP="009D1817">
      <w:r w:rsidRPr="009D1817">
        <w:t xml:space="preserve">There is a connection between the actors: environmental stress results in the need for </w:t>
      </w:r>
      <w:proofErr w:type="spellStart"/>
      <w:r w:rsidRPr="009D1817">
        <w:t>decarbonisation</w:t>
      </w:r>
      <w:proofErr w:type="spellEnd"/>
      <w:r w:rsidRPr="009D1817">
        <w:t xml:space="preserve">, consumers dictate revenue, and suppliers determine scale and cost. Policy impacts all three areas. The EU Carbon Border Adjustment Mechanism (CBAM) is an example of reporting and cost considerations that apply to all imports included in the mechanism, while the 2025 European Steel and Metals Action Plan </w:t>
      </w:r>
      <w:proofErr w:type="spellStart"/>
      <w:r w:rsidRPr="009D1817">
        <w:t>emphasises</w:t>
      </w:r>
      <w:proofErr w:type="spellEnd"/>
      <w:r w:rsidRPr="009D1817">
        <w:t xml:space="preserve"> the importance of clean energy, carbon leakage, circularity, and lead markets (European Parliament and Council, 2023; European Commission, 2025a). The OECD (2024) estimated global excess steel capacity to be 551 million </w:t>
      </w:r>
      <w:proofErr w:type="spellStart"/>
      <w:r w:rsidRPr="009D1817">
        <w:t>tonnes</w:t>
      </w:r>
      <w:proofErr w:type="spellEnd"/>
      <w:r w:rsidRPr="009D1817">
        <w:t xml:space="preserve"> in 2023 and warned about the likelihood of even greater capacity development in the future. Excess capacity is a source of competitive pressure (OECD, 2024; OECD, 2025). The greatest potential is in converting performance in emissions and secure supply to customer value.</w:t>
      </w:r>
    </w:p>
    <w:p w14:paraId="01E1D4D7" w14:textId="6CA1D502" w:rsidR="00832B3A" w:rsidRDefault="00000000" w:rsidP="004D599B">
      <w:pPr>
        <w:jc w:val="center"/>
      </w:pPr>
      <w:r w:rsidRPr="004D599B">
        <w:rPr>
          <w:b/>
          <w:bCs/>
        </w:rPr>
        <w:t>Table 1</w:t>
      </w:r>
      <w:r w:rsidR="004D599B" w:rsidRPr="004D599B">
        <w:rPr>
          <w:b/>
          <w:bCs/>
        </w:rPr>
        <w:t>:</w:t>
      </w:r>
      <w:r w:rsidRPr="004D599B">
        <w:rPr>
          <w:b/>
          <w:bCs/>
        </w:rPr>
        <w:t xml:space="preserve"> </w:t>
      </w:r>
      <w:r>
        <w:t>Actor analysis: opportunities, threats and marketing response.</w:t>
      </w:r>
    </w:p>
    <w:tbl>
      <w:tblPr>
        <w:tblStyle w:val="TableGrid"/>
        <w:tblW w:w="0" w:type="auto"/>
        <w:jc w:val="center"/>
        <w:tblLook w:val="04A0" w:firstRow="1" w:lastRow="0" w:firstColumn="1" w:lastColumn="0" w:noHBand="0" w:noVBand="1"/>
      </w:tblPr>
      <w:tblGrid>
        <w:gridCol w:w="3240"/>
        <w:gridCol w:w="3243"/>
        <w:gridCol w:w="3241"/>
      </w:tblGrid>
      <w:tr w:rsidR="00832B3A" w:rsidRPr="004D599B" w14:paraId="0E3EA220" w14:textId="77777777" w:rsidTr="004D599B">
        <w:trPr>
          <w:cantSplit/>
          <w:tblHeader/>
          <w:jc w:val="center"/>
        </w:trPr>
        <w:tc>
          <w:tcPr>
            <w:tcW w:w="3293" w:type="dxa"/>
            <w:tcMar>
              <w:top w:w="80" w:type="dxa"/>
              <w:left w:w="90" w:type="dxa"/>
              <w:bottom w:w="80" w:type="dxa"/>
              <w:right w:w="90" w:type="dxa"/>
            </w:tcMar>
          </w:tcPr>
          <w:p w14:paraId="4FAEF2A7" w14:textId="77777777" w:rsidR="00832B3A" w:rsidRPr="004D599B" w:rsidRDefault="00000000" w:rsidP="004D599B">
            <w:pPr>
              <w:spacing w:before="20" w:after="30" w:line="240" w:lineRule="auto"/>
              <w:jc w:val="center"/>
              <w:rPr>
                <w:szCs w:val="24"/>
              </w:rPr>
            </w:pPr>
            <w:r w:rsidRPr="004D599B">
              <w:rPr>
                <w:b/>
                <w:szCs w:val="24"/>
              </w:rPr>
              <w:t>External actor</w:t>
            </w:r>
          </w:p>
        </w:tc>
        <w:tc>
          <w:tcPr>
            <w:tcW w:w="3293" w:type="dxa"/>
            <w:tcMar>
              <w:top w:w="80" w:type="dxa"/>
              <w:left w:w="90" w:type="dxa"/>
              <w:bottom w:w="80" w:type="dxa"/>
              <w:right w:w="90" w:type="dxa"/>
            </w:tcMar>
          </w:tcPr>
          <w:p w14:paraId="059FD381" w14:textId="77777777" w:rsidR="00832B3A" w:rsidRPr="004D599B" w:rsidRDefault="00000000" w:rsidP="004D599B">
            <w:pPr>
              <w:spacing w:before="20" w:after="30" w:line="240" w:lineRule="auto"/>
              <w:jc w:val="center"/>
              <w:rPr>
                <w:szCs w:val="24"/>
              </w:rPr>
            </w:pPr>
            <w:r w:rsidRPr="004D599B">
              <w:rPr>
                <w:b/>
                <w:szCs w:val="24"/>
              </w:rPr>
              <w:t>Opportunity and threat</w:t>
            </w:r>
          </w:p>
        </w:tc>
        <w:tc>
          <w:tcPr>
            <w:tcW w:w="3293" w:type="dxa"/>
            <w:tcMar>
              <w:top w:w="80" w:type="dxa"/>
              <w:left w:w="90" w:type="dxa"/>
              <w:bottom w:w="80" w:type="dxa"/>
              <w:right w:w="90" w:type="dxa"/>
            </w:tcMar>
          </w:tcPr>
          <w:p w14:paraId="5F81B661" w14:textId="77777777" w:rsidR="00832B3A" w:rsidRPr="004D599B" w:rsidRDefault="00000000" w:rsidP="004D599B">
            <w:pPr>
              <w:spacing w:before="20" w:after="30" w:line="240" w:lineRule="auto"/>
              <w:jc w:val="center"/>
              <w:rPr>
                <w:szCs w:val="24"/>
              </w:rPr>
            </w:pPr>
            <w:r w:rsidRPr="004D599B">
              <w:rPr>
                <w:b/>
                <w:szCs w:val="24"/>
              </w:rPr>
              <w:t>Marketing response</w:t>
            </w:r>
          </w:p>
        </w:tc>
      </w:tr>
      <w:tr w:rsidR="00832B3A" w:rsidRPr="004D599B" w14:paraId="5EDDBDC0" w14:textId="77777777" w:rsidTr="004D599B">
        <w:trPr>
          <w:cantSplit/>
          <w:jc w:val="center"/>
        </w:trPr>
        <w:tc>
          <w:tcPr>
            <w:tcW w:w="3293" w:type="dxa"/>
            <w:tcMar>
              <w:top w:w="80" w:type="dxa"/>
              <w:left w:w="90" w:type="dxa"/>
              <w:bottom w:w="80" w:type="dxa"/>
              <w:right w:w="90" w:type="dxa"/>
            </w:tcMar>
          </w:tcPr>
          <w:p w14:paraId="13DE54E8" w14:textId="77777777" w:rsidR="00832B3A" w:rsidRPr="004D599B" w:rsidRDefault="00000000" w:rsidP="004D599B">
            <w:pPr>
              <w:spacing w:before="20" w:after="30" w:line="240" w:lineRule="auto"/>
              <w:jc w:val="center"/>
              <w:rPr>
                <w:szCs w:val="24"/>
              </w:rPr>
            </w:pPr>
            <w:r w:rsidRPr="004D599B">
              <w:rPr>
                <w:szCs w:val="24"/>
              </w:rPr>
              <w:t>Natural environment</w:t>
            </w:r>
          </w:p>
        </w:tc>
        <w:tc>
          <w:tcPr>
            <w:tcW w:w="3293" w:type="dxa"/>
            <w:tcMar>
              <w:top w:w="80" w:type="dxa"/>
              <w:left w:w="90" w:type="dxa"/>
              <w:bottom w:w="80" w:type="dxa"/>
              <w:right w:w="90" w:type="dxa"/>
            </w:tcMar>
          </w:tcPr>
          <w:p w14:paraId="536C135C" w14:textId="77777777" w:rsidR="00832B3A" w:rsidRPr="004D599B" w:rsidRDefault="00000000" w:rsidP="004D599B">
            <w:pPr>
              <w:spacing w:before="20" w:after="30" w:line="240" w:lineRule="auto"/>
              <w:jc w:val="center"/>
              <w:rPr>
                <w:szCs w:val="24"/>
              </w:rPr>
            </w:pPr>
            <w:r w:rsidRPr="004D599B">
              <w:rPr>
                <w:szCs w:val="24"/>
              </w:rPr>
              <w:t>Demand for lower emissions; threat from carbon-intensive production and climate risk.</w:t>
            </w:r>
          </w:p>
        </w:tc>
        <w:tc>
          <w:tcPr>
            <w:tcW w:w="3293" w:type="dxa"/>
            <w:tcMar>
              <w:top w:w="80" w:type="dxa"/>
              <w:left w:w="90" w:type="dxa"/>
              <w:bottom w:w="80" w:type="dxa"/>
              <w:right w:w="90" w:type="dxa"/>
            </w:tcMar>
          </w:tcPr>
          <w:p w14:paraId="742F8A68" w14:textId="77777777" w:rsidR="00832B3A" w:rsidRPr="004D599B" w:rsidRDefault="00000000" w:rsidP="004D599B">
            <w:pPr>
              <w:spacing w:before="20" w:after="30" w:line="240" w:lineRule="auto"/>
              <w:jc w:val="center"/>
              <w:rPr>
                <w:szCs w:val="24"/>
              </w:rPr>
            </w:pPr>
            <w:r w:rsidRPr="004D599B">
              <w:rPr>
                <w:szCs w:val="24"/>
              </w:rPr>
              <w:t>Measure product emissions, verify claims and invest in lower-carbon routes where viable.</w:t>
            </w:r>
          </w:p>
        </w:tc>
      </w:tr>
      <w:tr w:rsidR="00832B3A" w:rsidRPr="004D599B" w14:paraId="64446E96" w14:textId="77777777" w:rsidTr="004D599B">
        <w:trPr>
          <w:cantSplit/>
          <w:jc w:val="center"/>
        </w:trPr>
        <w:tc>
          <w:tcPr>
            <w:tcW w:w="3293" w:type="dxa"/>
            <w:tcMar>
              <w:top w:w="80" w:type="dxa"/>
              <w:left w:w="90" w:type="dxa"/>
              <w:bottom w:w="80" w:type="dxa"/>
              <w:right w:w="90" w:type="dxa"/>
            </w:tcMar>
          </w:tcPr>
          <w:p w14:paraId="7BC56642" w14:textId="77777777" w:rsidR="00832B3A" w:rsidRPr="004D599B" w:rsidRDefault="00000000" w:rsidP="004D599B">
            <w:pPr>
              <w:spacing w:before="20" w:after="30" w:line="240" w:lineRule="auto"/>
              <w:jc w:val="center"/>
              <w:rPr>
                <w:szCs w:val="24"/>
              </w:rPr>
            </w:pPr>
            <w:r w:rsidRPr="004D599B">
              <w:rPr>
                <w:szCs w:val="24"/>
              </w:rPr>
              <w:t>Customers</w:t>
            </w:r>
          </w:p>
        </w:tc>
        <w:tc>
          <w:tcPr>
            <w:tcW w:w="3293" w:type="dxa"/>
            <w:tcMar>
              <w:top w:w="80" w:type="dxa"/>
              <w:left w:w="90" w:type="dxa"/>
              <w:bottom w:w="80" w:type="dxa"/>
              <w:right w:w="90" w:type="dxa"/>
            </w:tcMar>
          </w:tcPr>
          <w:p w14:paraId="5EF0E750" w14:textId="77777777" w:rsidR="00832B3A" w:rsidRPr="004D599B" w:rsidRDefault="00000000" w:rsidP="004D599B">
            <w:pPr>
              <w:spacing w:before="20" w:after="30" w:line="240" w:lineRule="auto"/>
              <w:jc w:val="center"/>
              <w:rPr>
                <w:szCs w:val="24"/>
              </w:rPr>
            </w:pPr>
            <w:r w:rsidRPr="004D599B">
              <w:rPr>
                <w:szCs w:val="24"/>
              </w:rPr>
              <w:t>Demand from buyers with climate targets; threat that interest may not convert into paid offtake.</w:t>
            </w:r>
          </w:p>
        </w:tc>
        <w:tc>
          <w:tcPr>
            <w:tcW w:w="3293" w:type="dxa"/>
            <w:tcMar>
              <w:top w:w="80" w:type="dxa"/>
              <w:left w:w="90" w:type="dxa"/>
              <w:bottom w:w="80" w:type="dxa"/>
              <w:right w:w="90" w:type="dxa"/>
            </w:tcMar>
          </w:tcPr>
          <w:p w14:paraId="5AE6D349" w14:textId="77777777" w:rsidR="00832B3A" w:rsidRPr="004D599B" w:rsidRDefault="00000000" w:rsidP="004D599B">
            <w:pPr>
              <w:spacing w:before="20" w:after="30" w:line="240" w:lineRule="auto"/>
              <w:jc w:val="center"/>
              <w:rPr>
                <w:szCs w:val="24"/>
              </w:rPr>
            </w:pPr>
            <w:proofErr w:type="spellStart"/>
            <w:r w:rsidRPr="004D599B">
              <w:rPr>
                <w:szCs w:val="24"/>
              </w:rPr>
              <w:t>Prioritise</w:t>
            </w:r>
            <w:proofErr w:type="spellEnd"/>
            <w:r w:rsidRPr="004D599B">
              <w:rPr>
                <w:szCs w:val="24"/>
              </w:rPr>
              <w:t xml:space="preserve"> target segments, offer product data and secure multi-year agreements.</w:t>
            </w:r>
          </w:p>
        </w:tc>
      </w:tr>
      <w:tr w:rsidR="00832B3A" w:rsidRPr="004D599B" w14:paraId="0A11BE28" w14:textId="77777777" w:rsidTr="004D599B">
        <w:trPr>
          <w:cantSplit/>
          <w:jc w:val="center"/>
        </w:trPr>
        <w:tc>
          <w:tcPr>
            <w:tcW w:w="3293" w:type="dxa"/>
            <w:tcMar>
              <w:top w:w="80" w:type="dxa"/>
              <w:left w:w="90" w:type="dxa"/>
              <w:bottom w:w="80" w:type="dxa"/>
              <w:right w:w="90" w:type="dxa"/>
            </w:tcMar>
          </w:tcPr>
          <w:p w14:paraId="30534CE1" w14:textId="77777777" w:rsidR="00832B3A" w:rsidRPr="004D599B" w:rsidRDefault="00000000" w:rsidP="004D599B">
            <w:pPr>
              <w:spacing w:before="20" w:after="30" w:line="240" w:lineRule="auto"/>
              <w:jc w:val="center"/>
              <w:rPr>
                <w:szCs w:val="24"/>
              </w:rPr>
            </w:pPr>
            <w:r w:rsidRPr="004D599B">
              <w:rPr>
                <w:szCs w:val="24"/>
              </w:rPr>
              <w:t>Suppliers</w:t>
            </w:r>
          </w:p>
        </w:tc>
        <w:tc>
          <w:tcPr>
            <w:tcW w:w="3293" w:type="dxa"/>
            <w:tcMar>
              <w:top w:w="80" w:type="dxa"/>
              <w:left w:w="90" w:type="dxa"/>
              <w:bottom w:w="80" w:type="dxa"/>
              <w:right w:w="90" w:type="dxa"/>
            </w:tcMar>
          </w:tcPr>
          <w:p w14:paraId="06B92C28" w14:textId="77777777" w:rsidR="00832B3A" w:rsidRPr="004D599B" w:rsidRDefault="00000000" w:rsidP="004D599B">
            <w:pPr>
              <w:spacing w:before="20" w:after="30" w:line="240" w:lineRule="auto"/>
              <w:jc w:val="center"/>
              <w:rPr>
                <w:szCs w:val="24"/>
              </w:rPr>
            </w:pPr>
            <w:r w:rsidRPr="004D599B">
              <w:rPr>
                <w:szCs w:val="24"/>
              </w:rPr>
              <w:t>Access to scrap and renewable inputs can lower emissions; shortages or price volatility can delay scale-up.</w:t>
            </w:r>
          </w:p>
        </w:tc>
        <w:tc>
          <w:tcPr>
            <w:tcW w:w="3293" w:type="dxa"/>
            <w:tcMar>
              <w:top w:w="80" w:type="dxa"/>
              <w:left w:w="90" w:type="dxa"/>
              <w:bottom w:w="80" w:type="dxa"/>
              <w:right w:w="90" w:type="dxa"/>
            </w:tcMar>
          </w:tcPr>
          <w:p w14:paraId="08DFBAE6" w14:textId="77777777" w:rsidR="00832B3A" w:rsidRPr="004D599B" w:rsidRDefault="00000000" w:rsidP="004D599B">
            <w:pPr>
              <w:spacing w:before="20" w:after="30" w:line="240" w:lineRule="auto"/>
              <w:jc w:val="center"/>
              <w:rPr>
                <w:szCs w:val="24"/>
              </w:rPr>
            </w:pPr>
            <w:r w:rsidRPr="004D599B">
              <w:rPr>
                <w:szCs w:val="24"/>
              </w:rPr>
              <w:t>Use supplier partnerships, quality controls and long-term renewable-power contracts.</w:t>
            </w:r>
          </w:p>
        </w:tc>
      </w:tr>
    </w:tbl>
    <w:p w14:paraId="65B8CBA3" w14:textId="77777777" w:rsidR="00832B3A" w:rsidRDefault="00000000">
      <w:pPr>
        <w:pStyle w:val="Heading1"/>
      </w:pPr>
      <w:bookmarkStart w:id="6" w:name="_Toc242808198"/>
      <w:r>
        <w:lastRenderedPageBreak/>
        <w:t>Task 2: Strategic Growth and Competitive Positioning</w:t>
      </w:r>
      <w:bookmarkEnd w:id="6"/>
    </w:p>
    <w:p w14:paraId="7D691483" w14:textId="77777777" w:rsidR="00832B3A" w:rsidRDefault="00000000">
      <w:pPr>
        <w:pStyle w:val="Heading2"/>
      </w:pPr>
      <w:bookmarkStart w:id="7" w:name="_Toc242808199"/>
      <w:r>
        <w:t>2.1 Ansoff Matrix and recommended direction</w:t>
      </w:r>
      <w:bookmarkEnd w:id="7"/>
    </w:p>
    <w:p w14:paraId="4344DFCC" w14:textId="039E165E" w:rsidR="00832B3A" w:rsidRDefault="009D1817">
      <w:r w:rsidRPr="009D1817">
        <w:t xml:space="preserve">Ansoff Matrix is used to compare growth strategies based on existing products and markets or new ones. The preferred choice would be product development where there will be improvement in low-carbon steel in existing markets. Market development can see further expansion of grades in other markets and to other customers and applications. It is less risky than diversification since it is based on the already acquired knowledge of production of steel and sales relations, </w:t>
      </w:r>
      <w:proofErr w:type="spellStart"/>
      <w:r w:rsidRPr="009D1817">
        <w:t>XCarb</w:t>
      </w:r>
      <w:proofErr w:type="spellEnd"/>
      <w:r w:rsidRPr="009D1817">
        <w:t xml:space="preserve"> expertise (Kotler </w:t>
      </w:r>
      <w:r w:rsidR="00E10072" w:rsidRPr="00E10072">
        <w:rPr>
          <w:i/>
          <w:iCs/>
        </w:rPr>
        <w:t>et al</w:t>
      </w:r>
      <w:r w:rsidRPr="009D1817">
        <w:t>., 2024; ArcelorMittal, 2025a). From the perspective of risk, market penetration is based on familiar products and buyers, while product development has technological and financial risks. Market development has customer qualification and regional risks, while diversification involves unfamiliar products and markets.</w:t>
      </w:r>
      <w:r>
        <w:t xml:space="preserve"> Product development is still the strongest choice, but investment should be staged against customer validation and supply readiness.</w:t>
      </w:r>
    </w:p>
    <w:p w14:paraId="14EA5337" w14:textId="46C176B0" w:rsidR="00C70DEB" w:rsidRDefault="00C70DEB" w:rsidP="00C70DEB">
      <w:pPr>
        <w:jc w:val="center"/>
      </w:pPr>
      <w:r>
        <w:rPr>
          <w:noProof/>
        </w:rPr>
        <w:drawing>
          <wp:inline distT="0" distB="0" distL="0" distR="0" wp14:anchorId="500CB9E9" wp14:editId="7E798875">
            <wp:extent cx="5474970" cy="3649980"/>
            <wp:effectExtent l="0" t="0" r="0" b="7620"/>
            <wp:docPr id="1102047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4970" cy="3649980"/>
                    </a:xfrm>
                    <a:prstGeom prst="rect">
                      <a:avLst/>
                    </a:prstGeom>
                    <a:noFill/>
                  </pic:spPr>
                </pic:pic>
              </a:graphicData>
            </a:graphic>
          </wp:inline>
        </w:drawing>
      </w:r>
    </w:p>
    <w:p w14:paraId="444A78D7" w14:textId="0C1645C4" w:rsidR="00832B3A" w:rsidRDefault="00000000" w:rsidP="00C70DEB">
      <w:pPr>
        <w:jc w:val="center"/>
      </w:pPr>
      <w:r w:rsidRPr="00C70DEB">
        <w:rPr>
          <w:b/>
          <w:bCs/>
        </w:rPr>
        <w:t>Figure 2</w:t>
      </w:r>
      <w:r w:rsidR="00C70DEB" w:rsidRPr="00C70DEB">
        <w:rPr>
          <w:b/>
          <w:bCs/>
        </w:rPr>
        <w:t>:</w:t>
      </w:r>
      <w:r>
        <w:t xml:space="preserve"> Ansoff Matrix applied to ArcelorMittal.</w:t>
      </w:r>
    </w:p>
    <w:p w14:paraId="61C54F3C" w14:textId="1C2495FA" w:rsidR="00C70DEB" w:rsidRPr="00C70DEB" w:rsidRDefault="00C70DEB" w:rsidP="00C70DEB">
      <w:pPr>
        <w:jc w:val="center"/>
      </w:pPr>
      <w:r>
        <w:t>(Source: Self-Developed)</w:t>
      </w:r>
    </w:p>
    <w:p w14:paraId="2E15A8D3" w14:textId="77777777" w:rsidR="009D1817" w:rsidRDefault="009D1817" w:rsidP="009D1817">
      <w:r>
        <w:t xml:space="preserve">The development of products is supposed to create a portfolio, not a general 'green steel' offering. In this way, ArcelorMittal can extend the product portfolio, publish emissions factors for each individual product as well as provide Environmental Product Declarations, where applicable. Steel produced using high levels of scrap and renewables-based electricity should be separated from certificates issued in relation to carbon abatement on blast-furnace routes. These products are </w:t>
      </w:r>
      <w:r>
        <w:lastRenderedPageBreak/>
        <w:t xml:space="preserve">different in nature and should not be marketed as such due to different production routes and accounting (ArcelorMittal, 2023; </w:t>
      </w:r>
      <w:proofErr w:type="spellStart"/>
      <w:r>
        <w:t>ResponsibleSteel</w:t>
      </w:r>
      <w:proofErr w:type="spellEnd"/>
      <w:r>
        <w:t>, 2024).</w:t>
      </w:r>
    </w:p>
    <w:p w14:paraId="58BFB6DE" w14:textId="0FFA6778" w:rsidR="009D1817" w:rsidRDefault="009D1817" w:rsidP="009D1817">
      <w:r>
        <w:t>Market development should focus on purchasers that are capable of recognizing the verified low-carbon content of the product: automotive supply chain, renewable energy infrastructure, construction. According to the IEA (2024a), procurement, definition standards and demand aggregation can facilitate early adoption of near-zero steel. ArcelorMittal needs to choose its priorities among those segments, understand their product standards and reporting requirements and offer technical support. Potential customers should be approached first since the process of qualifying them might be simpler. Coalition commitments prove an interest, but a lack of actual offtake agreements means that interest needs to be translated into commitments (World Economic Forum, 2024; IEA, 2025a).</w:t>
      </w:r>
    </w:p>
    <w:p w14:paraId="572FD66F" w14:textId="2F93EB89" w:rsidR="00832B3A" w:rsidRDefault="00000000">
      <w:pPr>
        <w:pStyle w:val="Heading2"/>
      </w:pPr>
      <w:bookmarkStart w:id="8" w:name="_Toc242808200"/>
      <w:r>
        <w:t>2.2 Ansoff options and risk</w:t>
      </w:r>
      <w:bookmarkEnd w:id="8"/>
    </w:p>
    <w:p w14:paraId="79739A45" w14:textId="77777777" w:rsidR="009D1817" w:rsidRPr="009D1817" w:rsidRDefault="009D1817" w:rsidP="009D1817">
      <w:r w:rsidRPr="009D1817">
        <w:t>Market penetration is one of the supporting tactics: increase sales of existing low-carbon products to existing customers via account planning, transparency of carbon information, and long-term contracts. Market diversification to other unrelated sectors is not a priority tactic since it brings risk at a time when the transition process requires significant capital expenditure, energy, and technology investment. The following table lists product development as the most advantageous tactic followed by market development.</w:t>
      </w:r>
    </w:p>
    <w:p w14:paraId="541BA6D0" w14:textId="77777777" w:rsidR="009D1817" w:rsidRDefault="009D1817" w:rsidP="009D1817">
      <w:pPr>
        <w:rPr>
          <w:b/>
          <w:bCs/>
        </w:rPr>
      </w:pPr>
      <w:r w:rsidRPr="009D1817">
        <w:t xml:space="preserve">Advantages may arise from having economies of scale, metallurgical expertise, customer relationships in industrial markets, carbon data, and access to low-carbon raw materials. ArcelorMittal reported 42 facilities certified by </w:t>
      </w:r>
      <w:proofErr w:type="spellStart"/>
      <w:r w:rsidRPr="009D1817">
        <w:t>ResponsibleSteel</w:t>
      </w:r>
      <w:proofErr w:type="spellEnd"/>
      <w:r w:rsidRPr="009D1817">
        <w:t xml:space="preserve"> by 2024, which provides assurance of site carbon emissions, but certification cannot guarantee similar carbon intensity of all products; thus, they may not be necessarily green (ArcelorMittal, 2025b). The differentiation strategy should consist of product data, deliveries, technical assistance, and sustainable sourcing.</w:t>
      </w:r>
    </w:p>
    <w:p w14:paraId="4C98C440" w14:textId="032596ED" w:rsidR="00832B3A" w:rsidRDefault="00000000" w:rsidP="009D1817">
      <w:pPr>
        <w:pStyle w:val="Heading2"/>
      </w:pPr>
      <w:bookmarkStart w:id="9" w:name="_Toc242808201"/>
      <w:r>
        <w:t>2.3 Implementation and performance controls</w:t>
      </w:r>
      <w:bookmarkEnd w:id="9"/>
    </w:p>
    <w:p w14:paraId="4D644CCD" w14:textId="77777777" w:rsidR="009D1817" w:rsidRDefault="009D1817" w:rsidP="009D1817">
      <w:r>
        <w:t>Use three phases. In phase one, identify priority grades and customers, establish standardized product emissions boundaries, validate claims and map input suppliers. In months 12-24, conclude pilot or multi-year offtake agreements and report only verified case studies. Increase capacity when contracts represent a significant portion of incremental cost. Clean Industrial Deal and Steel and Metals Action Plan by European Commission support industrial decarbonization but high energy prices and global competition constrain it (European Commission, 2025a; European Commission, 2025b). Breakthrough Agenda by IEA also emphasizes the need for coordination among producers, government authorities and buyers to transition from announcements about projects to deployment of near-zero-emission capacity (IEA, 2024c).</w:t>
      </w:r>
    </w:p>
    <w:p w14:paraId="0F6F75BA" w14:textId="321215F3" w:rsidR="009D1817" w:rsidRDefault="009D1817" w:rsidP="009D1817">
      <w:r>
        <w:lastRenderedPageBreak/>
        <w:t xml:space="preserve">Monitor </w:t>
      </w:r>
      <w:proofErr w:type="spellStart"/>
      <w:r>
        <w:t>tonnes</w:t>
      </w:r>
      <w:proofErr w:type="spellEnd"/>
      <w:r>
        <w:t xml:space="preserve"> of low-carbon steel sold and their revenue share; product-level </w:t>
      </w:r>
      <w:proofErr w:type="spellStart"/>
      <w:r>
        <w:t>tCO₂e</w:t>
      </w:r>
      <w:proofErr w:type="spellEnd"/>
      <w:r>
        <w:t xml:space="preserve"> per </w:t>
      </w:r>
      <w:proofErr w:type="spellStart"/>
      <w:r>
        <w:t>tonne</w:t>
      </w:r>
      <w:proofErr w:type="spellEnd"/>
      <w:r>
        <w:t xml:space="preserve">; gross margin and realized premium by grade; share of sales with firm offtakes; delivery and renewal rate; scrap quality and renewable electricity supply; and capital cost per </w:t>
      </w:r>
      <w:proofErr w:type="spellStart"/>
      <w:r>
        <w:t>tonne</w:t>
      </w:r>
      <w:proofErr w:type="spellEnd"/>
      <w:r>
        <w:t xml:space="preserve"> of emissions reduction. They link environmental performance to marketing results and determine commercial sustainability of growth. Customer communication has to be consistent about product boundary in brochures, agreements and online media. Sales team must learn to distinguish product emissions from company emissions and certificates. Each quarter, it is important to compare contracted demand with production and suppliers' capacity so that the company can pause its expansion if gross margins, environmental performance and delivery fail to meet established criteria.</w:t>
      </w:r>
    </w:p>
    <w:p w14:paraId="78602DD9" w14:textId="1BD68315" w:rsidR="00832B3A" w:rsidRDefault="00000000">
      <w:pPr>
        <w:pStyle w:val="Heading2"/>
      </w:pPr>
      <w:bookmarkStart w:id="10" w:name="_Toc242808202"/>
      <w:r>
        <w:t>2.4 Recommendation</w:t>
      </w:r>
      <w:bookmarkEnd w:id="10"/>
    </w:p>
    <w:p w14:paraId="2BF14017" w14:textId="0960C309" w:rsidR="009D1817" w:rsidRPr="009D1817" w:rsidRDefault="009D1817" w:rsidP="009D1817">
      <w:r w:rsidRPr="009D1817">
        <w:t>For ArcelorMittal, the first step would be product development while the second step will be market development. The core message to be emphasized will be ‘lower emission steel proven to have quality and supply’ with data specific to the products being used and long term customers. Growth should only occur after demand, availability, and economics can be proven.</w:t>
      </w:r>
    </w:p>
    <w:p w14:paraId="5006FF93" w14:textId="77777777" w:rsidR="00832B3A" w:rsidRDefault="00000000">
      <w:pPr>
        <w:pStyle w:val="Heading1"/>
      </w:pPr>
      <w:bookmarkStart w:id="11" w:name="_Toc242808203"/>
      <w:r>
        <w:t>Task 3: Managerial and Professional Reflection</w:t>
      </w:r>
      <w:bookmarkEnd w:id="11"/>
    </w:p>
    <w:p w14:paraId="37877E2C" w14:textId="77777777" w:rsidR="00832B3A" w:rsidRDefault="00000000">
      <w:pPr>
        <w:pStyle w:val="Heading2"/>
      </w:pPr>
      <w:bookmarkStart w:id="12" w:name="_Toc242808204"/>
      <w:r>
        <w:t>3.1 Rationale for decisions</w:t>
      </w:r>
      <w:bookmarkEnd w:id="12"/>
    </w:p>
    <w:p w14:paraId="515604A0" w14:textId="77777777" w:rsidR="00B5552A" w:rsidRDefault="00B5552A" w:rsidP="00B5552A">
      <w:r>
        <w:t>For senior management, I chose ArcelorMittal as it is a large and integrated company for steel and mining with publicly available financial, emissions, and product data. This enables one to compare ambition with performance. Natural environment becomes the key actor as emissions and resource use fuel the transition. Customers set revenue possibilities, while suppliers define cost, quality, and availability. Political and legal changes are considered as cross-pressures.</w:t>
      </w:r>
    </w:p>
    <w:p w14:paraId="5FC3684E" w14:textId="6BFC4078" w:rsidR="009D1817" w:rsidRPr="009D1817" w:rsidRDefault="00B5552A" w:rsidP="00B5552A">
      <w:r>
        <w:t>Product development helps to combine current capabilities with added value for customers; after that, market development helps to reach those customers that have climate ambitions or requirements for reporting. Diversification does not make sense without evidence of capabilities in new markets. Independent carbon data becomes essential as it can build trust in the standard, while uncertain boundaries entail reputation and regulatory risks (</w:t>
      </w:r>
      <w:proofErr w:type="spellStart"/>
      <w:r>
        <w:t>ResponsibleSteel</w:t>
      </w:r>
      <w:proofErr w:type="spellEnd"/>
      <w:r>
        <w:t>, 2024; European Parliament and Council, 2023).</w:t>
      </w:r>
    </w:p>
    <w:p w14:paraId="2717E064" w14:textId="77777777" w:rsidR="00832B3A" w:rsidRDefault="00000000">
      <w:pPr>
        <w:pStyle w:val="Heading2"/>
      </w:pPr>
      <w:bookmarkStart w:id="13" w:name="_Toc242808205"/>
      <w:r>
        <w:t>3.2 Limitations and further information required</w:t>
      </w:r>
      <w:bookmarkEnd w:id="13"/>
    </w:p>
    <w:p w14:paraId="588E920C" w14:textId="1B635C32" w:rsidR="00B5552A" w:rsidRDefault="00B5552A" w:rsidP="00B5552A">
      <w:r w:rsidRPr="00B5552A">
        <w:t xml:space="preserve">This is </w:t>
      </w:r>
      <w:r>
        <w:t>desk research, not an audit of the facility or customer surveys. The company</w:t>
      </w:r>
      <w:r w:rsidR="008A292F">
        <w:t>’</w:t>
      </w:r>
      <w:r>
        <w:t xml:space="preserve">s use of adjusted portfolio boundaries in its data makes the comparison to industry averages difficult. Emissions increased in 2024 compared to 2023, but not enough information is available to clarify the reason. Margins of products, contract prices, willingness-to-pay, site-level abatement cost and </w:t>
      </w:r>
      <w:r>
        <w:lastRenderedPageBreak/>
        <w:t>contracts with suppliers have not been provided. Industry targets are not the same as orders from ArcelorMittal, and announced hydrogen projects do not ensure supply. This lack of detail makes return on investment forecasts inaccurate.</w:t>
      </w:r>
    </w:p>
    <w:p w14:paraId="5904473E" w14:textId="0792D78E" w:rsidR="00B5552A" w:rsidRPr="00B5552A" w:rsidRDefault="00B5552A" w:rsidP="00B5552A">
      <w:r>
        <w:t>The consultant should ask for verified site- and product-level emissions; capital and operational costs by pathway; renewable-power and hydrogen price scenarios; scrap quantities and quality; customer tender terms and willingness-to-pay; competitor footprint; and signed offtake volumes. The scenario tests should include possible changes in policies, energy shocks, technology delays and weak demand. Product claims should be comparable and reduction should be tested for additionality. In addition, I would check the recommendation on the downside scenario in which customers reject the premium and renewable power become more expensive. If this scenario renders additional capacity unviable, then the first priority will shift to efficiency, product data and pilot project. This shows that good decisions should be made in spite of missing evidence, instead of providing one forecast with certainty.</w:t>
      </w:r>
    </w:p>
    <w:p w14:paraId="4C6CEFAE" w14:textId="77777777" w:rsidR="00832B3A" w:rsidRDefault="00000000">
      <w:pPr>
        <w:pStyle w:val="Heading2"/>
      </w:pPr>
      <w:bookmarkStart w:id="14" w:name="_Toc242808206"/>
      <w:r>
        <w:t>3.3 Final reflection</w:t>
      </w:r>
      <w:bookmarkEnd w:id="14"/>
    </w:p>
    <w:p w14:paraId="7EA37829" w14:textId="2284DF51" w:rsidR="00832B3A" w:rsidRDefault="00E10072">
      <w:r w:rsidRPr="00E10072">
        <w:t xml:space="preserve">Sustainability will become an advantage in marketing only if it proves credible, valuable to the consumer and commercially viable. ArcelorMittal possesses the necessary competencies, yet the emission trajectories, costs of technologies, absence of offtake and limitations on scrap and green hydrogen justify a phased implementation process (ArcelorMittal, 2025a; IEA, 2025a; Raabe </w:t>
      </w:r>
      <w:r w:rsidRPr="00E10072">
        <w:rPr>
          <w:i/>
          <w:iCs/>
        </w:rPr>
        <w:t>et al</w:t>
      </w:r>
      <w:r w:rsidRPr="00E10072">
        <w:t>., 2024). Leadership must view product innovation as a hypothesis that needs to be proven through reductions, repeat business, margin protection and scaling thereof.</w:t>
      </w:r>
      <w:r>
        <w:br w:type="page"/>
      </w:r>
    </w:p>
    <w:p w14:paraId="6045BFA5" w14:textId="77777777" w:rsidR="00832B3A" w:rsidRDefault="00000000">
      <w:pPr>
        <w:pStyle w:val="Heading1"/>
      </w:pPr>
      <w:bookmarkStart w:id="15" w:name="_Toc242808207"/>
      <w:r>
        <w:lastRenderedPageBreak/>
        <w:t>Reference List</w:t>
      </w:r>
      <w:bookmarkEnd w:id="15"/>
    </w:p>
    <w:p w14:paraId="6ED5F56E" w14:textId="10864B24" w:rsidR="00832B3A" w:rsidRDefault="00000000" w:rsidP="004D599B">
      <w:r>
        <w:t xml:space="preserve">ArcelorMittal (2023) </w:t>
      </w:r>
      <w:r>
        <w:rPr>
          <w:i/>
        </w:rPr>
        <w:t>2023 Integrated Annual Review</w:t>
      </w:r>
      <w:r>
        <w:t xml:space="preserve">. Available at: </w:t>
      </w:r>
      <w:hyperlink r:id="rId11" w:history="1">
        <w:r w:rsidR="004D599B" w:rsidRPr="00526C70">
          <w:rPr>
            <w:rStyle w:val="Hyperlink"/>
          </w:rPr>
          <w:t>https://corporate.arcelormittal.com/media/news/regulatory-news/arcelormittal-publishes-its-2023-integrated-annual-review</w:t>
        </w:r>
      </w:hyperlink>
      <w:r w:rsidR="004D599B">
        <w:t xml:space="preserve"> </w:t>
      </w:r>
      <w:r>
        <w:t>(Accessed: 13 October 2026).</w:t>
      </w:r>
    </w:p>
    <w:p w14:paraId="21356AA8" w14:textId="390EDF8C" w:rsidR="00832B3A" w:rsidRDefault="00000000" w:rsidP="004D599B">
      <w:r>
        <w:t xml:space="preserve">ArcelorMittal (2025a) </w:t>
      </w:r>
      <w:r>
        <w:rPr>
          <w:i/>
        </w:rPr>
        <w:t>Annual Report 2024</w:t>
      </w:r>
      <w:r>
        <w:t xml:space="preserve">. Available at: </w:t>
      </w:r>
      <w:hyperlink r:id="rId12" w:history="1">
        <w:r w:rsidR="004D599B" w:rsidRPr="00526C70">
          <w:rPr>
            <w:rStyle w:val="Hyperlink"/>
          </w:rPr>
          <w:t>https://corporate.arcelormittal.com/media/if0baqyg/annual-report-2024.pdf</w:t>
        </w:r>
      </w:hyperlink>
      <w:r w:rsidR="004D599B">
        <w:t xml:space="preserve"> </w:t>
      </w:r>
      <w:r>
        <w:t>(Accessed: 13 October 2026).</w:t>
      </w:r>
    </w:p>
    <w:p w14:paraId="194985E0" w14:textId="4954CB72" w:rsidR="00832B3A" w:rsidRDefault="00000000" w:rsidP="004D599B">
      <w:r>
        <w:t xml:space="preserve">ArcelorMittal (2025b) </w:t>
      </w:r>
      <w:r>
        <w:rPr>
          <w:i/>
        </w:rPr>
        <w:t>ArcelorMittal publishes its 2024 Sustainability Report</w:t>
      </w:r>
      <w:r>
        <w:t xml:space="preserve">. 17 April. Available at: </w:t>
      </w:r>
      <w:hyperlink r:id="rId13" w:history="1">
        <w:r w:rsidR="004D599B" w:rsidRPr="00526C70">
          <w:rPr>
            <w:rStyle w:val="Hyperlink"/>
          </w:rPr>
          <w:t>https://corporate.arcelormittal.com/media/news/regulatory-news/arcelormittal-publishes-its-2024-sustainability-report</w:t>
        </w:r>
      </w:hyperlink>
      <w:r w:rsidR="004D599B">
        <w:t xml:space="preserve"> </w:t>
      </w:r>
      <w:r>
        <w:t>(Accessed: 13 October 2026).</w:t>
      </w:r>
    </w:p>
    <w:p w14:paraId="34A1A9DC" w14:textId="716F48C3" w:rsidR="00832B3A" w:rsidRDefault="00000000" w:rsidP="004D599B">
      <w:r>
        <w:t xml:space="preserve">ArcelorMittal Building Solutions (2024) </w:t>
      </w:r>
      <w:proofErr w:type="spellStart"/>
      <w:r>
        <w:rPr>
          <w:i/>
        </w:rPr>
        <w:t>XCarb</w:t>
      </w:r>
      <w:proofErr w:type="spellEnd"/>
      <w:r>
        <w:rPr>
          <w:i/>
        </w:rPr>
        <w:t>® recycled and renewably produced steel to reduce carbon footprint</w:t>
      </w:r>
      <w:r>
        <w:t xml:space="preserve">. 22 May. Available at: </w:t>
      </w:r>
      <w:hyperlink r:id="rId14" w:history="1">
        <w:r w:rsidR="004D599B" w:rsidRPr="00526C70">
          <w:rPr>
            <w:rStyle w:val="Hyperlink"/>
          </w:rPr>
          <w:t>https://buildingsolutions-caraibes.arcelormittal.com/en/news-details/embracing-sustainability-arcelormittal-building-solutions-introduces-xcarb-recycled-and-renewably-produced-steel-to-reduce-carbon-footprint-by-up-to-70</w:t>
        </w:r>
      </w:hyperlink>
      <w:r w:rsidR="004D599B">
        <w:t xml:space="preserve"> </w:t>
      </w:r>
      <w:r>
        <w:t>(Accessed: 13 October 2026).</w:t>
      </w:r>
    </w:p>
    <w:p w14:paraId="38FE1B57" w14:textId="02B4BBFC" w:rsidR="00832B3A" w:rsidRDefault="00000000" w:rsidP="004D599B">
      <w:r>
        <w:t xml:space="preserve">Devlin, A. and Yang, A. (2022) ‘Regional supply chains for </w:t>
      </w:r>
      <w:proofErr w:type="spellStart"/>
      <w:r>
        <w:t>decarbonising</w:t>
      </w:r>
      <w:proofErr w:type="spellEnd"/>
      <w:r>
        <w:t xml:space="preserve"> steel: Energy efficiency and green premium mitigation’, </w:t>
      </w:r>
      <w:r>
        <w:rPr>
          <w:i/>
        </w:rPr>
        <w:t>Energy Conversion and Management</w:t>
      </w:r>
      <w:r>
        <w:t xml:space="preserve">, 254, article 115268. Available at: </w:t>
      </w:r>
      <w:hyperlink r:id="rId15" w:history="1">
        <w:r w:rsidR="004D599B" w:rsidRPr="00526C70">
          <w:rPr>
            <w:rStyle w:val="Hyperlink"/>
          </w:rPr>
          <w:t>https://doi.org/10.1016/j.enconman.2022.115268</w:t>
        </w:r>
      </w:hyperlink>
      <w:r w:rsidR="004D599B">
        <w:t xml:space="preserve"> </w:t>
      </w:r>
    </w:p>
    <w:p w14:paraId="076B97D9" w14:textId="75EEDE8C" w:rsidR="00832B3A" w:rsidRDefault="00000000" w:rsidP="004D599B">
      <w:r>
        <w:t xml:space="preserve">European Commission (2025a) </w:t>
      </w:r>
      <w:r>
        <w:rPr>
          <w:i/>
        </w:rPr>
        <w:t>A European Steel and Metals Action Plan</w:t>
      </w:r>
      <w:r>
        <w:t xml:space="preserve">. COM(2025) 125 final. Available at: </w:t>
      </w:r>
      <w:hyperlink r:id="rId16" w:history="1">
        <w:r w:rsidR="004D599B" w:rsidRPr="00526C70">
          <w:rPr>
            <w:rStyle w:val="Hyperlink"/>
          </w:rPr>
          <w:t>https://eur-lex.europa.eu/legal-content/EN/TXT/?uri=CELEX:52025DC0125</w:t>
        </w:r>
      </w:hyperlink>
      <w:r w:rsidR="004D599B">
        <w:t xml:space="preserve"> </w:t>
      </w:r>
      <w:r>
        <w:t xml:space="preserve"> (Accessed: 13 October 2026).</w:t>
      </w:r>
    </w:p>
    <w:p w14:paraId="45AD1EFF" w14:textId="1395A720" w:rsidR="00832B3A" w:rsidRDefault="00000000" w:rsidP="004D599B">
      <w:r>
        <w:t xml:space="preserve">European Commission (2025b) </w:t>
      </w:r>
      <w:r>
        <w:rPr>
          <w:i/>
        </w:rPr>
        <w:t xml:space="preserve">Clean Industrial Deal: A plan for EU competitiveness and </w:t>
      </w:r>
      <w:proofErr w:type="spellStart"/>
      <w:r>
        <w:rPr>
          <w:i/>
        </w:rPr>
        <w:t>decarbonisation</w:t>
      </w:r>
      <w:proofErr w:type="spellEnd"/>
      <w:r>
        <w:t xml:space="preserve">. Available at: </w:t>
      </w:r>
      <w:hyperlink r:id="rId17" w:history="1">
        <w:r w:rsidR="004D599B" w:rsidRPr="00526C70">
          <w:rPr>
            <w:rStyle w:val="Hyperlink"/>
          </w:rPr>
          <w:t>https://commission.europa.eu/topics/competitiveness/clean-industrial-deal_en</w:t>
        </w:r>
      </w:hyperlink>
      <w:r w:rsidR="004D599B">
        <w:t xml:space="preserve"> </w:t>
      </w:r>
      <w:r>
        <w:t>(Accessed: 13 October 2026).</w:t>
      </w:r>
    </w:p>
    <w:p w14:paraId="1D8AFB33" w14:textId="2C07498E" w:rsidR="00832B3A" w:rsidRDefault="00000000" w:rsidP="004D599B">
      <w:r>
        <w:t xml:space="preserve">European Parliament and Council of the European Union (2023) ‘Regulation (EU) 2023/956 of 10 May 2023 establishing a Carbon Border Adjustment Mechanism’. </w:t>
      </w:r>
      <w:r>
        <w:rPr>
          <w:i/>
        </w:rPr>
        <w:t>Official Journal of the European Union</w:t>
      </w:r>
      <w:r>
        <w:t xml:space="preserve">, L 130, pp. 52–104. Available at: </w:t>
      </w:r>
      <w:hyperlink r:id="rId18" w:history="1">
        <w:r w:rsidR="004D599B" w:rsidRPr="00526C70">
          <w:rPr>
            <w:rStyle w:val="Hyperlink"/>
          </w:rPr>
          <w:t>https://eur-lex.europa.eu/eli/reg/2023/956/oj</w:t>
        </w:r>
      </w:hyperlink>
      <w:r w:rsidR="004D599B">
        <w:t xml:space="preserve"> </w:t>
      </w:r>
      <w:r>
        <w:t xml:space="preserve"> (Accessed: 13 October 2026).</w:t>
      </w:r>
    </w:p>
    <w:p w14:paraId="77D38FD7" w14:textId="5655B248" w:rsidR="00832B3A" w:rsidRDefault="00000000" w:rsidP="004D599B">
      <w:r>
        <w:t xml:space="preserve">Fan, Z. and Friedmann, S.J. (2021) ‘Low-carbon production of iron and steel: Technology options, economic assessment, and policy’, </w:t>
      </w:r>
      <w:r>
        <w:rPr>
          <w:i/>
        </w:rPr>
        <w:t>Joule</w:t>
      </w:r>
      <w:r>
        <w:t xml:space="preserve">, 5(4), pp. 829–862. Available at: </w:t>
      </w:r>
      <w:hyperlink r:id="rId19" w:history="1">
        <w:r w:rsidR="004D599B" w:rsidRPr="00526C70">
          <w:rPr>
            <w:rStyle w:val="Hyperlink"/>
          </w:rPr>
          <w:t>https://doi.org/10.1016/j.joule.2021.02.018</w:t>
        </w:r>
      </w:hyperlink>
      <w:r w:rsidR="004D599B">
        <w:t xml:space="preserve"> </w:t>
      </w:r>
    </w:p>
    <w:p w14:paraId="0A4233C7" w14:textId="47BE5048" w:rsidR="00832B3A" w:rsidRDefault="00000000" w:rsidP="004D599B">
      <w:r>
        <w:lastRenderedPageBreak/>
        <w:t xml:space="preserve">Global Energy Monitor (2024) </w:t>
      </w:r>
      <w:r>
        <w:rPr>
          <w:i/>
        </w:rPr>
        <w:t>Pedal to the Metal 2024: A Global Steel Plant Tracker Report</w:t>
      </w:r>
      <w:r>
        <w:t xml:space="preserve">. Available at: </w:t>
      </w:r>
      <w:hyperlink r:id="rId20" w:history="1">
        <w:r w:rsidR="004D599B" w:rsidRPr="00526C70">
          <w:rPr>
            <w:rStyle w:val="Hyperlink"/>
          </w:rPr>
          <w:t>https://globalenergymonitor.org/research/pedal-metal-2024/</w:t>
        </w:r>
      </w:hyperlink>
      <w:r w:rsidR="004D599B">
        <w:t xml:space="preserve"> </w:t>
      </w:r>
      <w:r>
        <w:t>(Accessed: 13 October 2026).</w:t>
      </w:r>
    </w:p>
    <w:p w14:paraId="28C918C2" w14:textId="55042573" w:rsidR="00832B3A" w:rsidRDefault="00000000" w:rsidP="004D599B">
      <w:r>
        <w:t xml:space="preserve">International Energy Agency (IEA) (2020) </w:t>
      </w:r>
      <w:r>
        <w:rPr>
          <w:i/>
        </w:rPr>
        <w:t>Iron and Steel Technology Roadmap: Towards more sustainable steelmaking</w:t>
      </w:r>
      <w:r>
        <w:t xml:space="preserve">. Paris: IEA. Available at: </w:t>
      </w:r>
      <w:hyperlink r:id="rId21" w:history="1">
        <w:r w:rsidR="004D599B" w:rsidRPr="00526C70">
          <w:rPr>
            <w:rStyle w:val="Hyperlink"/>
          </w:rPr>
          <w:t>https://www.iea.org/reports/iron-and-steel-technology-roadmap</w:t>
        </w:r>
      </w:hyperlink>
      <w:r w:rsidR="004D599B">
        <w:t xml:space="preserve"> </w:t>
      </w:r>
      <w:r>
        <w:t>(Accessed: 13 October 2026).</w:t>
      </w:r>
    </w:p>
    <w:p w14:paraId="45C79E8C" w14:textId="66084047" w:rsidR="00832B3A" w:rsidRDefault="00000000" w:rsidP="004D599B">
      <w:r>
        <w:t xml:space="preserve">International Energy Agency (IEA) (2024a) </w:t>
      </w:r>
      <w:r>
        <w:rPr>
          <w:i/>
        </w:rPr>
        <w:t>Demand and Supply Measures for the Steel and Cement Transition</w:t>
      </w:r>
      <w:r>
        <w:t xml:space="preserve">. Paris: IEA. Available at: </w:t>
      </w:r>
      <w:hyperlink r:id="rId22" w:history="1">
        <w:r w:rsidR="004D599B" w:rsidRPr="00526C70">
          <w:rPr>
            <w:rStyle w:val="Hyperlink"/>
          </w:rPr>
          <w:t>https://www.iea.org/reports/demand-and-supply-measures-for-the-steel-and-cement-transition</w:t>
        </w:r>
      </w:hyperlink>
      <w:r w:rsidR="004D599B">
        <w:t xml:space="preserve"> </w:t>
      </w:r>
      <w:r>
        <w:t>(Accessed: 13 October 2026).</w:t>
      </w:r>
    </w:p>
    <w:p w14:paraId="161A330F" w14:textId="1334EC39" w:rsidR="00832B3A" w:rsidRDefault="00000000" w:rsidP="004D599B">
      <w:r>
        <w:t xml:space="preserve">International Energy Agency (IEA) (2024b) </w:t>
      </w:r>
      <w:r>
        <w:rPr>
          <w:i/>
        </w:rPr>
        <w:t>Global Hydrogen Review 2024</w:t>
      </w:r>
      <w:r>
        <w:t xml:space="preserve">. Paris: IEA. Available at: </w:t>
      </w:r>
      <w:hyperlink r:id="rId23" w:history="1">
        <w:r w:rsidR="004D599B" w:rsidRPr="00526C70">
          <w:rPr>
            <w:rStyle w:val="Hyperlink"/>
          </w:rPr>
          <w:t>https://www.iea.org/reports/global-hydrogen-review-2024</w:t>
        </w:r>
      </w:hyperlink>
      <w:r w:rsidR="004D599B">
        <w:t xml:space="preserve"> </w:t>
      </w:r>
      <w:r>
        <w:t>(Accessed: 13 October 2026).</w:t>
      </w:r>
    </w:p>
    <w:p w14:paraId="062583E5" w14:textId="0BA7DF9B" w:rsidR="00832B3A" w:rsidRDefault="00000000" w:rsidP="004D599B">
      <w:r>
        <w:t xml:space="preserve">International Energy Agency (IEA) (2024c) </w:t>
      </w:r>
      <w:r>
        <w:rPr>
          <w:i/>
        </w:rPr>
        <w:t>Breakthrough Agenda Report 2024: Steel</w:t>
      </w:r>
      <w:r>
        <w:t xml:space="preserve">. Paris: IEA. Available at: </w:t>
      </w:r>
      <w:hyperlink r:id="rId24" w:history="1">
        <w:r w:rsidR="004D599B" w:rsidRPr="00526C70">
          <w:rPr>
            <w:rStyle w:val="Hyperlink"/>
          </w:rPr>
          <w:t>https://www.iea.org/reports/breakthrough-agenda-report-2024/steel</w:t>
        </w:r>
      </w:hyperlink>
      <w:r w:rsidR="004D599B">
        <w:t xml:space="preserve"> </w:t>
      </w:r>
      <w:r>
        <w:t>(Accessed: 13 October 2026).</w:t>
      </w:r>
    </w:p>
    <w:p w14:paraId="68419991" w14:textId="26A56B60" w:rsidR="00832B3A" w:rsidRDefault="00000000" w:rsidP="004D599B">
      <w:r>
        <w:t xml:space="preserve">International Energy Agency (IEA) (2025a) </w:t>
      </w:r>
      <w:r>
        <w:rPr>
          <w:i/>
        </w:rPr>
        <w:t>Breakthrough Agenda Report 2025: Steel</w:t>
      </w:r>
      <w:r>
        <w:t xml:space="preserve">. Paris: IEA. Available at: </w:t>
      </w:r>
      <w:hyperlink r:id="rId25" w:history="1">
        <w:r w:rsidR="004D599B" w:rsidRPr="00526C70">
          <w:rPr>
            <w:rStyle w:val="Hyperlink"/>
          </w:rPr>
          <w:t>https://www.iea.org/reports/breakthrough-agenda-report-2025/steel</w:t>
        </w:r>
      </w:hyperlink>
      <w:r w:rsidR="004D599B">
        <w:t xml:space="preserve"> </w:t>
      </w:r>
      <w:r>
        <w:t>(Accessed: 13 October 2026).</w:t>
      </w:r>
    </w:p>
    <w:p w14:paraId="37AD446A" w14:textId="0A82E0D8" w:rsidR="00832B3A" w:rsidRDefault="00000000" w:rsidP="004D599B">
      <w:r>
        <w:t xml:space="preserve">Kotler, P., Armstrong, G., Harris, L.C. and He, H. (2024) </w:t>
      </w:r>
      <w:r>
        <w:rPr>
          <w:i/>
        </w:rPr>
        <w:t>Principles of Marketing</w:t>
      </w:r>
      <w:r>
        <w:t xml:space="preserve">. 19th </w:t>
      </w:r>
      <w:proofErr w:type="spellStart"/>
      <w:r>
        <w:t>edn</w:t>
      </w:r>
      <w:proofErr w:type="spellEnd"/>
      <w:r>
        <w:t xml:space="preserve">. Harlow: Pearson. Available at: </w:t>
      </w:r>
      <w:hyperlink r:id="rId26" w:history="1">
        <w:r w:rsidR="004D599B" w:rsidRPr="00526C70">
          <w:rPr>
            <w:rStyle w:val="Hyperlink"/>
          </w:rPr>
          <w:t>https://www.pearson.com/en-gb/subject-catalog/p/principles-of-marketing-global-edition/P200000010013/9781292740836</w:t>
        </w:r>
      </w:hyperlink>
      <w:r w:rsidR="004D599B">
        <w:t xml:space="preserve"> </w:t>
      </w:r>
      <w:r>
        <w:t>(Accessed: 13 October 2026).</w:t>
      </w:r>
    </w:p>
    <w:p w14:paraId="0D267033" w14:textId="20A17592" w:rsidR="00832B3A" w:rsidRDefault="00000000" w:rsidP="004D599B">
      <w:r>
        <w:t xml:space="preserve">OECD (2024) </w:t>
      </w:r>
      <w:r>
        <w:rPr>
          <w:i/>
        </w:rPr>
        <w:t>Global Forum on Steel Excess Capacity: Ministerial Statement and References</w:t>
      </w:r>
      <w:r>
        <w:t xml:space="preserve">, 8 October. Available at: </w:t>
      </w:r>
      <w:hyperlink r:id="rId27" w:history="1">
        <w:r w:rsidR="004D599B" w:rsidRPr="00526C70">
          <w:rPr>
            <w:rStyle w:val="Hyperlink"/>
          </w:rPr>
          <w:t>https://www.oecd.org/content/dam/oecd/en/events/2024/10/gfsec-ministerial-meeting/GFSEC-2024-ministerial-statement-and-references.pdf</w:t>
        </w:r>
      </w:hyperlink>
      <w:r w:rsidR="004D599B">
        <w:t xml:space="preserve"> </w:t>
      </w:r>
      <w:r>
        <w:t>(Accessed: 13 October 2026).</w:t>
      </w:r>
    </w:p>
    <w:p w14:paraId="16AB1844" w14:textId="07BB9845" w:rsidR="00832B3A" w:rsidRDefault="00000000" w:rsidP="004D599B">
      <w:r>
        <w:t xml:space="preserve">OECD (2025) </w:t>
      </w:r>
      <w:r>
        <w:rPr>
          <w:i/>
        </w:rPr>
        <w:t xml:space="preserve">OECD Steel Outlook 2025: Steel </w:t>
      </w:r>
      <w:proofErr w:type="spellStart"/>
      <w:r>
        <w:rPr>
          <w:i/>
        </w:rPr>
        <w:t>decarbonisation</w:t>
      </w:r>
      <w:proofErr w:type="spellEnd"/>
      <w:r>
        <w:rPr>
          <w:i/>
        </w:rPr>
        <w:t xml:space="preserve"> efforts challenged by excess capacity</w:t>
      </w:r>
      <w:r>
        <w:t xml:space="preserve">. Available at: </w:t>
      </w:r>
      <w:hyperlink r:id="rId28" w:history="1">
        <w:r w:rsidR="004D599B" w:rsidRPr="00526C70">
          <w:rPr>
            <w:rStyle w:val="Hyperlink"/>
          </w:rPr>
          <w:t>https://www.oecd.org/en/publications/oecd-steel-outlook-2025_28b61a5e-en/full-report/steel-decarbonisation-efforts-challenged-by-excess-capacity_1d8e1abc.html</w:t>
        </w:r>
      </w:hyperlink>
      <w:r w:rsidR="004D599B">
        <w:t xml:space="preserve"> </w:t>
      </w:r>
      <w:r>
        <w:t xml:space="preserve"> </w:t>
      </w:r>
      <w:r w:rsidR="004D599B">
        <w:t xml:space="preserve"> </w:t>
      </w:r>
      <w:r>
        <w:t>(Accessed: 13 October 2026).</w:t>
      </w:r>
    </w:p>
    <w:p w14:paraId="3CCEA3F9" w14:textId="7E324337" w:rsidR="00832B3A" w:rsidRDefault="00000000" w:rsidP="004D599B">
      <w:r>
        <w:t xml:space="preserve">Raabe, D., </w:t>
      </w:r>
      <w:proofErr w:type="spellStart"/>
      <w:r>
        <w:t>Jovičević</w:t>
      </w:r>
      <w:proofErr w:type="spellEnd"/>
      <w:r>
        <w:t xml:space="preserve">-Klug, M., </w:t>
      </w:r>
      <w:proofErr w:type="spellStart"/>
      <w:r>
        <w:t>Ponge</w:t>
      </w:r>
      <w:proofErr w:type="spellEnd"/>
      <w:r>
        <w:t xml:space="preserve">, D., </w:t>
      </w:r>
      <w:proofErr w:type="spellStart"/>
      <w:r>
        <w:t>Gramlich</w:t>
      </w:r>
      <w:proofErr w:type="spellEnd"/>
      <w:r>
        <w:t xml:space="preserve">, A., Kwiatkowski da Silva, A., Grundy, A.N., Springer, H., Souza Filho, I. and Ma, Y. (2024) ‘Circular steel for fast decarbonization: Thermodynamics, kinetics, and microstructure behind upcycling scrap into high-performance sheet steel’, </w:t>
      </w:r>
      <w:r>
        <w:rPr>
          <w:i/>
        </w:rPr>
        <w:t>Annual Review of Materials Research</w:t>
      </w:r>
      <w:r>
        <w:t xml:space="preserve">, 54, pp. 247–297. Available at: </w:t>
      </w:r>
      <w:hyperlink r:id="rId29" w:history="1">
        <w:r w:rsidR="004D599B" w:rsidRPr="00526C70">
          <w:rPr>
            <w:rStyle w:val="Hyperlink"/>
          </w:rPr>
          <w:t>https://doi.org/10.1146/annurev-matsci-080222-123648</w:t>
        </w:r>
      </w:hyperlink>
      <w:r w:rsidR="004D599B">
        <w:t xml:space="preserve"> </w:t>
      </w:r>
    </w:p>
    <w:p w14:paraId="5E7554EE" w14:textId="693C9785" w:rsidR="00832B3A" w:rsidRDefault="00000000" w:rsidP="004D599B">
      <w:proofErr w:type="spellStart"/>
      <w:r>
        <w:lastRenderedPageBreak/>
        <w:t>ResponsibleSteel</w:t>
      </w:r>
      <w:proofErr w:type="spellEnd"/>
      <w:r>
        <w:t xml:space="preserve"> (2024) </w:t>
      </w:r>
      <w:r>
        <w:rPr>
          <w:i/>
        </w:rPr>
        <w:t>International Production Standard, Version 2.1.1</w:t>
      </w:r>
      <w:r>
        <w:t xml:space="preserve">. Available at: </w:t>
      </w:r>
      <w:hyperlink r:id="rId30" w:history="1">
        <w:r w:rsidR="004D599B" w:rsidRPr="00526C70">
          <w:rPr>
            <w:rStyle w:val="Hyperlink"/>
          </w:rPr>
          <w:t>https://www.responsiblesteel.org/standards</w:t>
        </w:r>
      </w:hyperlink>
      <w:r w:rsidR="004D599B">
        <w:t xml:space="preserve"> </w:t>
      </w:r>
      <w:r>
        <w:t>(Accessed: 13 October 2026).</w:t>
      </w:r>
    </w:p>
    <w:p w14:paraId="5648279E" w14:textId="10966316" w:rsidR="00832B3A" w:rsidRDefault="00000000" w:rsidP="004D599B">
      <w:r>
        <w:t xml:space="preserve">Wang, P., </w:t>
      </w:r>
      <w:proofErr w:type="spellStart"/>
      <w:r>
        <w:t>Ryberg</w:t>
      </w:r>
      <w:proofErr w:type="spellEnd"/>
      <w:r>
        <w:t xml:space="preserve">, M., Yang, Y., Feng, K., Kara, S., </w:t>
      </w:r>
      <w:proofErr w:type="spellStart"/>
      <w:r>
        <w:t>Hauschild</w:t>
      </w:r>
      <w:proofErr w:type="spellEnd"/>
      <w:r>
        <w:t xml:space="preserve">, M. and Chen, W.-Q. (2021) ‘Efficiency stagnation in global steel production urges joint supply- and demand-side mitigation efforts’, </w:t>
      </w:r>
      <w:r>
        <w:rPr>
          <w:i/>
        </w:rPr>
        <w:t>Nature Communications</w:t>
      </w:r>
      <w:r>
        <w:t xml:space="preserve">, 12, article 2066. Available at: </w:t>
      </w:r>
      <w:hyperlink r:id="rId31" w:history="1">
        <w:r w:rsidR="004D599B" w:rsidRPr="00526C70">
          <w:rPr>
            <w:rStyle w:val="Hyperlink"/>
          </w:rPr>
          <w:t>https://doi.org/10.1038/s41467-021-22245-6</w:t>
        </w:r>
      </w:hyperlink>
      <w:r w:rsidR="004D599B">
        <w:t xml:space="preserve"> </w:t>
      </w:r>
    </w:p>
    <w:p w14:paraId="2924CD97" w14:textId="7E8DBBC6" w:rsidR="00832B3A" w:rsidRDefault="00000000" w:rsidP="004D599B">
      <w:r>
        <w:t xml:space="preserve">World Economic Forum (2024) </w:t>
      </w:r>
      <w:r>
        <w:rPr>
          <w:i/>
        </w:rPr>
        <w:t>First Movers Coalition: 120 commitments for breakthrough industrial decarbonization technologies</w:t>
      </w:r>
      <w:r>
        <w:t xml:space="preserve">. 16 January. Available at: </w:t>
      </w:r>
      <w:hyperlink r:id="rId32" w:history="1">
        <w:r w:rsidR="004D599B" w:rsidRPr="00526C70">
          <w:rPr>
            <w:rStyle w:val="Hyperlink"/>
          </w:rPr>
          <w:t>https://www.weforum.org/media/wef24-first-movers-coalition-commitments/</w:t>
        </w:r>
      </w:hyperlink>
      <w:r w:rsidR="004D599B">
        <w:t xml:space="preserve"> </w:t>
      </w:r>
      <w:r>
        <w:t>(Accessed: 13 October 2026).</w:t>
      </w:r>
    </w:p>
    <w:p w14:paraId="03EFD0A2" w14:textId="767403B3" w:rsidR="00832B3A" w:rsidRDefault="00000000" w:rsidP="004D599B">
      <w:r>
        <w:t xml:space="preserve">World Steel Association (2024) </w:t>
      </w:r>
      <w:r>
        <w:rPr>
          <w:i/>
        </w:rPr>
        <w:t>Sustainability Indicators 2024 Report</w:t>
      </w:r>
      <w:r>
        <w:t xml:space="preserve">. Available at: </w:t>
      </w:r>
      <w:hyperlink r:id="rId33" w:history="1">
        <w:r w:rsidR="004D599B" w:rsidRPr="00526C70">
          <w:rPr>
            <w:rStyle w:val="Hyperlink"/>
          </w:rPr>
          <w:t>https://worldsteel.org/media/press-releases/2024/sustainability-indicators-2024/</w:t>
        </w:r>
      </w:hyperlink>
      <w:r w:rsidR="004D599B">
        <w:t xml:space="preserve"> </w:t>
      </w:r>
      <w:r>
        <w:t>(Accessed: 13 October 2026).</w:t>
      </w:r>
    </w:p>
    <w:p w14:paraId="222381DD" w14:textId="7739D66B" w:rsidR="00832B3A" w:rsidRDefault="00000000" w:rsidP="004D599B">
      <w:r>
        <w:t xml:space="preserve">World Steel Association (2025) </w:t>
      </w:r>
      <w:r>
        <w:rPr>
          <w:i/>
        </w:rPr>
        <w:t>World Steel in Figures 2025</w:t>
      </w:r>
      <w:r>
        <w:t xml:space="preserve">. Available at: </w:t>
      </w:r>
      <w:hyperlink r:id="rId34" w:history="1">
        <w:r w:rsidR="004D599B" w:rsidRPr="00526C70">
          <w:rPr>
            <w:rStyle w:val="Hyperlink"/>
          </w:rPr>
          <w:t>https://worldsteel.org/data/world-steel-in-figures/world-steel-in-figures-2025/</w:t>
        </w:r>
      </w:hyperlink>
      <w:r w:rsidR="004D599B">
        <w:t xml:space="preserve"> </w:t>
      </w:r>
      <w:r>
        <w:t>(Accessed: 13 October 2026).</w:t>
      </w:r>
    </w:p>
    <w:sectPr w:rsidR="00832B3A" w:rsidSect="004D599B">
      <w:footerReference w:type="default" r:id="rId35"/>
      <w:pgSz w:w="11906" w:h="16838" w:code="9"/>
      <w:pgMar w:top="1037" w:right="1181" w:bottom="1037" w:left="118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98CA4" w14:textId="77777777" w:rsidR="000763E0" w:rsidRDefault="000763E0">
      <w:pPr>
        <w:spacing w:before="0" w:after="0" w:line="240" w:lineRule="auto"/>
      </w:pPr>
      <w:r>
        <w:separator/>
      </w:r>
    </w:p>
  </w:endnote>
  <w:endnote w:type="continuationSeparator" w:id="0">
    <w:p w14:paraId="7B2A2BA4" w14:textId="77777777" w:rsidR="000763E0" w:rsidRDefault="000763E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01512" w14:textId="77777777" w:rsidR="00832B3A" w:rsidRDefault="00000000">
    <w:pPr>
      <w:pStyle w:val="Footer"/>
      <w:jc w:val="center"/>
    </w:pPr>
    <w:r>
      <w:rPr>
        <w:sz w:val="18"/>
      </w:rPr>
      <w:fldChar w:fldCharType="begin"/>
    </w:r>
    <w:r>
      <w:rPr>
        <w:sz w:val="18"/>
      </w:rPr>
      <w:instrText xml:space="preserve"> PAGE </w:instrText>
    </w:r>
    <w:r>
      <w:rPr>
        <w:sz w:val="18"/>
      </w:rPr>
      <w:fldChar w:fldCharType="separate"/>
    </w:r>
    <w:r w:rsidR="004D599B">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E1964" w14:textId="77777777" w:rsidR="000763E0" w:rsidRDefault="000763E0">
      <w:pPr>
        <w:spacing w:before="0" w:after="0" w:line="240" w:lineRule="auto"/>
      </w:pPr>
      <w:r>
        <w:separator/>
      </w:r>
    </w:p>
  </w:footnote>
  <w:footnote w:type="continuationSeparator" w:id="0">
    <w:p w14:paraId="59A8CBBC" w14:textId="77777777" w:rsidR="000763E0" w:rsidRDefault="000763E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02097338">
    <w:abstractNumId w:val="8"/>
  </w:num>
  <w:num w:numId="2" w16cid:durableId="1963270258">
    <w:abstractNumId w:val="6"/>
  </w:num>
  <w:num w:numId="3" w16cid:durableId="1407999437">
    <w:abstractNumId w:val="5"/>
  </w:num>
  <w:num w:numId="4" w16cid:durableId="1012412033">
    <w:abstractNumId w:val="4"/>
  </w:num>
  <w:num w:numId="5" w16cid:durableId="822043909">
    <w:abstractNumId w:val="7"/>
  </w:num>
  <w:num w:numId="6" w16cid:durableId="1561938606">
    <w:abstractNumId w:val="3"/>
  </w:num>
  <w:num w:numId="7" w16cid:durableId="2045787223">
    <w:abstractNumId w:val="2"/>
  </w:num>
  <w:num w:numId="8" w16cid:durableId="553278747">
    <w:abstractNumId w:val="1"/>
  </w:num>
  <w:num w:numId="9" w16cid:durableId="456722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63E0"/>
    <w:rsid w:val="00102863"/>
    <w:rsid w:val="0015074B"/>
    <w:rsid w:val="00155D35"/>
    <w:rsid w:val="001F4E68"/>
    <w:rsid w:val="00234667"/>
    <w:rsid w:val="0029639D"/>
    <w:rsid w:val="00326F90"/>
    <w:rsid w:val="003350B5"/>
    <w:rsid w:val="004203B6"/>
    <w:rsid w:val="004D599B"/>
    <w:rsid w:val="005D3D49"/>
    <w:rsid w:val="00832B3A"/>
    <w:rsid w:val="008A292F"/>
    <w:rsid w:val="008E7E48"/>
    <w:rsid w:val="009B1AB3"/>
    <w:rsid w:val="009D1817"/>
    <w:rsid w:val="00AA1D8D"/>
    <w:rsid w:val="00B078D6"/>
    <w:rsid w:val="00B47730"/>
    <w:rsid w:val="00B5552A"/>
    <w:rsid w:val="00B91DF8"/>
    <w:rsid w:val="00C31030"/>
    <w:rsid w:val="00C46404"/>
    <w:rsid w:val="00C70DEB"/>
    <w:rsid w:val="00CB0664"/>
    <w:rsid w:val="00CF4510"/>
    <w:rsid w:val="00E10072"/>
    <w:rsid w:val="00F5171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FEE98E"/>
  <w14:defaultImageDpi w14:val="300"/>
  <w15:docId w15:val="{C5BD152A-B386-4FF7-AA8B-0B1E46D00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99B"/>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4D599B"/>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D599B"/>
    <w:pPr>
      <w:keepNext/>
      <w:keepLines/>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4D599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D599B"/>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160" w:after="80" w:line="240" w:lineRule="auto"/>
      <w:contextualSpacing/>
    </w:pPr>
    <w:rPr>
      <w:rFonts w:asciiTheme="majorHAnsi" w:eastAsiaTheme="majorEastAsia" w:hAnsiTheme="majorHAnsi" w:cstheme="majorBidi"/>
      <w:b/>
      <w:color w:val="1F4E79"/>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160" w:after="80"/>
    </w:pPr>
    <w:rPr>
      <w:rFonts w:asciiTheme="majorHAnsi" w:eastAsiaTheme="majorEastAsia" w:hAnsiTheme="majorHAnsi" w:cstheme="majorBidi"/>
      <w:i/>
      <w:iCs/>
      <w:color w:val="1F4E79"/>
      <w:spacing w:val="15"/>
      <w:sz w:val="26"/>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D599B"/>
    <w:rPr>
      <w:color w:val="0000FF" w:themeColor="hyperlink"/>
      <w:u w:val="single"/>
    </w:rPr>
  </w:style>
  <w:style w:type="character" w:styleId="UnresolvedMention">
    <w:name w:val="Unresolved Mention"/>
    <w:basedOn w:val="DefaultParagraphFont"/>
    <w:uiPriority w:val="99"/>
    <w:semiHidden/>
    <w:unhideWhenUsed/>
    <w:rsid w:val="004D599B"/>
    <w:rPr>
      <w:color w:val="605E5C"/>
      <w:shd w:val="clear" w:color="auto" w:fill="E1DFDD"/>
    </w:rPr>
  </w:style>
  <w:style w:type="paragraph" w:styleId="TOC1">
    <w:name w:val="toc 1"/>
    <w:basedOn w:val="Normal"/>
    <w:next w:val="Normal"/>
    <w:autoRedefine/>
    <w:uiPriority w:val="39"/>
    <w:unhideWhenUsed/>
    <w:rsid w:val="00234667"/>
    <w:pPr>
      <w:spacing w:after="100"/>
    </w:pPr>
  </w:style>
  <w:style w:type="paragraph" w:styleId="TOC2">
    <w:name w:val="toc 2"/>
    <w:basedOn w:val="Normal"/>
    <w:next w:val="Normal"/>
    <w:autoRedefine/>
    <w:uiPriority w:val="39"/>
    <w:unhideWhenUsed/>
    <w:rsid w:val="0023466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arcelormittal.com/media/news/regulatory-news/arcelormittal-publishes-its-2024-sustainability-report" TargetMode="External"/><Relationship Id="rId18" Type="http://schemas.openxmlformats.org/officeDocument/2006/relationships/hyperlink" Target="https://eur-lex.europa.eu/eli/reg/2023/956/oj" TargetMode="External"/><Relationship Id="rId26" Type="http://schemas.openxmlformats.org/officeDocument/2006/relationships/hyperlink" Target="https://www.pearson.com/en-gb/subject-catalog/p/principles-of-marketing-global-edition/P200000010013/9781292740836" TargetMode="External"/><Relationship Id="rId21" Type="http://schemas.openxmlformats.org/officeDocument/2006/relationships/hyperlink" Target="https://www.iea.org/reports/iron-and-steel-technology-roadmap" TargetMode="External"/><Relationship Id="rId34" Type="http://schemas.openxmlformats.org/officeDocument/2006/relationships/hyperlink" Target="https://worldsteel.org/data/world-steel-in-figures/world-steel-in-figures-2025/" TargetMode="External"/><Relationship Id="rId7" Type="http://schemas.openxmlformats.org/officeDocument/2006/relationships/endnotes" Target="endnotes.xml"/><Relationship Id="rId12" Type="http://schemas.openxmlformats.org/officeDocument/2006/relationships/hyperlink" Target="https://corporate.arcelormittal.com/media/if0baqyg/annual-report-2024.pdf" TargetMode="External"/><Relationship Id="rId17" Type="http://schemas.openxmlformats.org/officeDocument/2006/relationships/hyperlink" Target="https://commission.europa.eu/topics/competitiveness/clean-industrial-deal_en" TargetMode="External"/><Relationship Id="rId25" Type="http://schemas.openxmlformats.org/officeDocument/2006/relationships/hyperlink" Target="https://www.iea.org/reports/breakthrough-agenda-report-2025/steel" TargetMode="External"/><Relationship Id="rId33" Type="http://schemas.openxmlformats.org/officeDocument/2006/relationships/hyperlink" Target="https://worldsteel.org/media/press-releases/2024/sustainability-indicators-2024/" TargetMode="External"/><Relationship Id="rId2" Type="http://schemas.openxmlformats.org/officeDocument/2006/relationships/numbering" Target="numbering.xml"/><Relationship Id="rId16" Type="http://schemas.openxmlformats.org/officeDocument/2006/relationships/hyperlink" Target="https://eur-lex.europa.eu/legal-content/EN/TXT/?uri=CELEX:52025DC0125" TargetMode="External"/><Relationship Id="rId20" Type="http://schemas.openxmlformats.org/officeDocument/2006/relationships/hyperlink" Target="https://globalenergymonitor.org/research/pedal-metal-2024/" TargetMode="External"/><Relationship Id="rId29" Type="http://schemas.openxmlformats.org/officeDocument/2006/relationships/hyperlink" Target="https://doi.org/10.1146/annurev-matsci-080222-1236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arcelormittal.com/media/news/regulatory-news/arcelormittal-publishes-its-2023-integrated-annual-review" TargetMode="External"/><Relationship Id="rId24" Type="http://schemas.openxmlformats.org/officeDocument/2006/relationships/hyperlink" Target="https://www.iea.org/reports/breakthrough-agenda-report-2024/steel" TargetMode="External"/><Relationship Id="rId32" Type="http://schemas.openxmlformats.org/officeDocument/2006/relationships/hyperlink" Target="https://www.weforum.org/media/wef24-first-movers-coalition-commitment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enconman.2022.115268" TargetMode="External"/><Relationship Id="rId23" Type="http://schemas.openxmlformats.org/officeDocument/2006/relationships/hyperlink" Target="https://www.iea.org/reports/global-hydrogen-review-2024" TargetMode="External"/><Relationship Id="rId28" Type="http://schemas.openxmlformats.org/officeDocument/2006/relationships/hyperlink" Target="https://www.oecd.org/en/publications/oecd-steel-outlook-2025_28b61a5e-en/full-report/steel-decarbonisation-efforts-challenged-by-excess-capacity_1d8e1abc.html"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joule.2021.02.018" TargetMode="External"/><Relationship Id="rId31" Type="http://schemas.openxmlformats.org/officeDocument/2006/relationships/hyperlink" Target="https://doi.org/10.1038/s41467-021-22245-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ildingsolutions-caraibes.arcelormittal.com/en/news-details/embracing-sustainability-arcelormittal-building-solutions-introduces-xcarb-recycled-and-renewably-produced-steel-to-reduce-carbon-footprint-by-up-to-70" TargetMode="External"/><Relationship Id="rId22" Type="http://schemas.openxmlformats.org/officeDocument/2006/relationships/hyperlink" Target="https://www.iea.org/reports/demand-and-supply-measures-for-the-steel-and-cement-transition" TargetMode="External"/><Relationship Id="rId27" Type="http://schemas.openxmlformats.org/officeDocument/2006/relationships/hyperlink" Target="https://www.oecd.org/content/dam/oecd/en/events/2024/10/gfsec-ministerial-meeting/GFSEC-2024-ministerial-statement-and-references.pdf" TargetMode="External"/><Relationship Id="rId30" Type="http://schemas.openxmlformats.org/officeDocument/2006/relationships/hyperlink" Target="https://www.responsiblesteel.org/standard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13</Pages>
  <Words>4360</Words>
  <Characters>24854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Marketing Environment Analysis of ArcelorMittal</vt:lpstr>
    </vt:vector>
  </TitlesOfParts>
  <Manager/>
  <Company/>
  <LinksUpToDate>false</LinksUpToDate>
  <CharactersWithSpaces>29156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 NA</cp:lastModifiedBy>
  <cp:revision>3</cp:revision>
  <dcterms:created xsi:type="dcterms:W3CDTF">2013-12-23T23:15:00Z</dcterms:created>
  <dcterms:modified xsi:type="dcterms:W3CDTF">2026-10-21T03:44:00Z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7497fff6f6731ecb75f951dcf49a431d3ed6c02f1317face2eb1832fc129ed8a</vt:lpwstr>
  </property>
</Properties>
</file>