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484DC14" w:rsidP="0484DC14" w:rsidRDefault="0484DC14" w14:paraId="5285C694" w14:textId="7C473371">
      <w:pPr>
        <w:spacing w:after="0" w:afterAutospacing="off"/>
        <w:rPr>
          <w:b w:val="1"/>
          <w:bCs w:val="1"/>
          <w:sz w:val="24"/>
          <w:szCs w:val="24"/>
        </w:rPr>
      </w:pPr>
    </w:p>
    <w:p w:rsidR="0484DC14" w:rsidP="0484DC14" w:rsidRDefault="0484DC14" w14:paraId="5EF16306" w14:textId="03081F0A">
      <w:pPr>
        <w:spacing w:after="0" w:afterAutospacing="off"/>
        <w:rPr>
          <w:b w:val="1"/>
          <w:bCs w:val="1"/>
          <w:sz w:val="24"/>
          <w:szCs w:val="24"/>
        </w:rPr>
      </w:pPr>
    </w:p>
    <w:p w:rsidR="0484DC14" w:rsidP="0484DC14" w:rsidRDefault="0484DC14" w14:paraId="3D1671D4" w14:textId="27662263">
      <w:pPr>
        <w:spacing w:after="0" w:afterAutospacing="off"/>
        <w:rPr>
          <w:b w:val="1"/>
          <w:bCs w:val="1"/>
          <w:sz w:val="24"/>
          <w:szCs w:val="24"/>
        </w:rPr>
      </w:pPr>
    </w:p>
    <w:p w:rsidR="0484DC14" w:rsidP="0484DC14" w:rsidRDefault="0484DC14" w14:paraId="52CEEB86" w14:textId="1C29D34C">
      <w:pPr>
        <w:spacing w:after="0" w:afterAutospacing="off"/>
        <w:rPr>
          <w:b w:val="1"/>
          <w:bCs w:val="1"/>
          <w:sz w:val="24"/>
          <w:szCs w:val="24"/>
        </w:rPr>
      </w:pPr>
    </w:p>
    <w:p w:rsidR="0484DC14" w:rsidP="0484DC14" w:rsidRDefault="0484DC14" w14:paraId="66B35A63" w14:textId="3CC0D378">
      <w:pPr>
        <w:spacing w:after="0" w:afterAutospacing="off"/>
        <w:rPr>
          <w:b w:val="1"/>
          <w:bCs w:val="1"/>
          <w:sz w:val="24"/>
          <w:szCs w:val="24"/>
        </w:rPr>
      </w:pPr>
    </w:p>
    <w:p w:rsidR="0484DC14" w:rsidP="0484DC14" w:rsidRDefault="0484DC14" w14:paraId="015E6AC8" w14:textId="5C6D27C6">
      <w:pPr>
        <w:spacing w:after="0" w:afterAutospacing="off"/>
        <w:rPr>
          <w:b w:val="1"/>
          <w:bCs w:val="1"/>
          <w:sz w:val="24"/>
          <w:szCs w:val="24"/>
        </w:rPr>
      </w:pPr>
    </w:p>
    <w:p w:rsidR="0484DC14" w:rsidP="0484DC14" w:rsidRDefault="0484DC14" w14:paraId="3E71D34F" w14:textId="3187FF35">
      <w:pPr>
        <w:spacing w:after="0" w:afterAutospacing="off"/>
        <w:rPr>
          <w:b w:val="1"/>
          <w:bCs w:val="1"/>
          <w:sz w:val="24"/>
          <w:szCs w:val="24"/>
        </w:rPr>
      </w:pPr>
    </w:p>
    <w:p w:rsidR="0484DC14" w:rsidP="0484DC14" w:rsidRDefault="0484DC14" w14:paraId="48E8E5CC" w14:textId="7C22E9AF">
      <w:pPr>
        <w:spacing w:after="0" w:afterAutospacing="off"/>
        <w:rPr>
          <w:b w:val="1"/>
          <w:bCs w:val="1"/>
          <w:sz w:val="24"/>
          <w:szCs w:val="24"/>
        </w:rPr>
      </w:pPr>
    </w:p>
    <w:p w:rsidR="0484DC14" w:rsidP="0484DC14" w:rsidRDefault="0484DC14" w14:paraId="0B8E6BFA" w14:textId="0F0E1F97">
      <w:pPr>
        <w:spacing w:after="0" w:afterAutospacing="off"/>
        <w:rPr>
          <w:b w:val="1"/>
          <w:bCs w:val="1"/>
          <w:sz w:val="24"/>
          <w:szCs w:val="24"/>
        </w:rPr>
      </w:pPr>
    </w:p>
    <w:p w:rsidR="0484DC14" w:rsidP="0484DC14" w:rsidRDefault="0484DC14" w14:paraId="45091DAE" w14:textId="0E0E3C3D">
      <w:pPr>
        <w:spacing w:after="0" w:afterAutospacing="off"/>
        <w:rPr>
          <w:b w:val="1"/>
          <w:bCs w:val="1"/>
          <w:sz w:val="24"/>
          <w:szCs w:val="24"/>
        </w:rPr>
      </w:pPr>
    </w:p>
    <w:p w:rsidR="0484DC14" w:rsidP="0484DC14" w:rsidRDefault="0484DC14" w14:paraId="456C5556" w14:textId="3C120E2F">
      <w:pPr>
        <w:spacing w:after="0" w:afterAutospacing="off"/>
        <w:rPr>
          <w:b w:val="1"/>
          <w:bCs w:val="1"/>
          <w:sz w:val="24"/>
          <w:szCs w:val="24"/>
        </w:rPr>
      </w:pPr>
    </w:p>
    <w:p w:rsidR="0484DC14" w:rsidP="0484DC14" w:rsidRDefault="0484DC14" w14:paraId="79835153" w14:textId="642BFA13">
      <w:pPr>
        <w:spacing w:after="0" w:afterAutospacing="off"/>
        <w:rPr>
          <w:b w:val="1"/>
          <w:bCs w:val="1"/>
          <w:sz w:val="24"/>
          <w:szCs w:val="24"/>
        </w:rPr>
      </w:pPr>
    </w:p>
    <w:p w:rsidR="0484DC14" w:rsidP="0484DC14" w:rsidRDefault="0484DC14" w14:paraId="0F28D0B6" w14:textId="2A85FE84">
      <w:pPr>
        <w:spacing w:after="0" w:afterAutospacing="off"/>
        <w:rPr>
          <w:b w:val="1"/>
          <w:bCs w:val="1"/>
          <w:sz w:val="24"/>
          <w:szCs w:val="24"/>
        </w:rPr>
      </w:pPr>
    </w:p>
    <w:p w:rsidR="0484DC14" w:rsidP="0484DC14" w:rsidRDefault="0484DC14" w14:paraId="7220742F" w14:textId="6E03335B">
      <w:pPr>
        <w:spacing w:after="0" w:afterAutospacing="off"/>
        <w:rPr>
          <w:b w:val="1"/>
          <w:bCs w:val="1"/>
          <w:sz w:val="24"/>
          <w:szCs w:val="24"/>
        </w:rPr>
      </w:pPr>
    </w:p>
    <w:p w:rsidR="0484DC14" w:rsidP="0484DC14" w:rsidRDefault="0484DC14" w14:paraId="72196E56" w14:textId="0A49BAE1">
      <w:pPr>
        <w:spacing w:after="0" w:afterAutospacing="off"/>
        <w:jc w:val="center"/>
        <w:rPr>
          <w:b w:val="1"/>
          <w:bCs w:val="1"/>
          <w:sz w:val="44"/>
          <w:szCs w:val="44"/>
        </w:rPr>
      </w:pPr>
    </w:p>
    <w:p xmlns:wp14="http://schemas.microsoft.com/office/word/2010/wordml" w:rsidP="0484DC14" wp14:paraId="36F075E0" wp14:textId="4DA8C6C1">
      <w:pPr>
        <w:spacing w:after="0" w:afterAutospacing="off"/>
        <w:jc w:val="center"/>
        <w:rPr>
          <w:b w:val="1"/>
          <w:bCs w:val="1"/>
          <w:sz w:val="48"/>
          <w:szCs w:val="48"/>
        </w:rPr>
      </w:pPr>
      <w:r w:rsidRPr="0484DC14" w:rsidR="54B66CF3">
        <w:rPr>
          <w:b w:val="1"/>
          <w:bCs w:val="1"/>
          <w:sz w:val="44"/>
          <w:szCs w:val="44"/>
        </w:rPr>
        <w:t>Student Name:</w:t>
      </w:r>
      <w:r w:rsidRPr="0484DC14" w:rsidR="54B66CF3">
        <w:rPr>
          <w:b w:val="0"/>
          <w:bCs w:val="0"/>
          <w:sz w:val="44"/>
          <w:szCs w:val="44"/>
        </w:rPr>
        <w:t xml:space="preserve"> Somir Uddin </w:t>
      </w:r>
    </w:p>
    <w:p xmlns:wp14="http://schemas.microsoft.com/office/word/2010/wordml" w:rsidP="0484DC14" wp14:paraId="3F35E35B" wp14:textId="0827CD65">
      <w:pPr>
        <w:spacing w:after="0" w:afterAutospacing="off"/>
        <w:jc w:val="center"/>
        <w:rPr>
          <w:b w:val="1"/>
          <w:bCs w:val="1"/>
          <w:sz w:val="48"/>
          <w:szCs w:val="48"/>
        </w:rPr>
      </w:pPr>
      <w:r w:rsidRPr="533E8BE9" w:rsidR="54B66CF3">
        <w:rPr>
          <w:b w:val="1"/>
          <w:bCs w:val="1"/>
          <w:sz w:val="44"/>
          <w:szCs w:val="44"/>
        </w:rPr>
        <w:t xml:space="preserve">Student ID Number: </w:t>
      </w:r>
      <w:r w:rsidRPr="533E8BE9" w:rsidR="0CA4DCD6">
        <w:rPr>
          <w:b w:val="1"/>
          <w:bCs w:val="1"/>
          <w:sz w:val="44"/>
          <w:szCs w:val="44"/>
        </w:rPr>
        <w:t>2408790</w:t>
      </w:r>
    </w:p>
    <w:p xmlns:wp14="http://schemas.microsoft.com/office/word/2010/wordml" w:rsidP="0484DC14" wp14:paraId="6384EBE6" wp14:textId="26739153">
      <w:pPr>
        <w:spacing w:after="0" w:afterAutospacing="off"/>
        <w:jc w:val="center"/>
        <w:rPr>
          <w:b w:val="1"/>
          <w:bCs w:val="1"/>
          <w:sz w:val="44"/>
          <w:szCs w:val="44"/>
        </w:rPr>
      </w:pPr>
    </w:p>
    <w:p xmlns:wp14="http://schemas.microsoft.com/office/word/2010/wordml" w:rsidP="0484DC14" wp14:paraId="3B76E12E" wp14:textId="6A39B1DC">
      <w:pPr>
        <w:spacing w:after="0" w:afterAutospacing="off"/>
        <w:jc w:val="center"/>
        <w:rPr>
          <w:b w:val="0"/>
          <w:bCs w:val="0"/>
          <w:sz w:val="44"/>
          <w:szCs w:val="44"/>
        </w:rPr>
      </w:pPr>
      <w:r w:rsidRPr="0484DC14" w:rsidR="54B66CF3">
        <w:rPr>
          <w:b w:val="1"/>
          <w:bCs w:val="1"/>
          <w:sz w:val="44"/>
          <w:szCs w:val="44"/>
        </w:rPr>
        <w:t xml:space="preserve">Programme: </w:t>
      </w:r>
      <w:r w:rsidRPr="0484DC14" w:rsidR="25C3A95C">
        <w:rPr>
          <w:b w:val="0"/>
          <w:bCs w:val="0"/>
          <w:sz w:val="44"/>
          <w:szCs w:val="44"/>
        </w:rPr>
        <w:t xml:space="preserve">BA (Hons) Developing Leadership and Management </w:t>
      </w:r>
    </w:p>
    <w:p xmlns:wp14="http://schemas.microsoft.com/office/word/2010/wordml" w:rsidP="0484DC14" wp14:paraId="435967FF" wp14:textId="4E1F929E">
      <w:pPr>
        <w:spacing w:after="0" w:afterAutospacing="off"/>
        <w:jc w:val="center"/>
        <w:rPr>
          <w:b w:val="0"/>
          <w:bCs w:val="0"/>
          <w:sz w:val="44"/>
          <w:szCs w:val="44"/>
        </w:rPr>
      </w:pPr>
    </w:p>
    <w:p xmlns:wp14="http://schemas.microsoft.com/office/word/2010/wordml" w:rsidP="0484DC14" wp14:paraId="23260C73" wp14:textId="2A13137A">
      <w:pPr>
        <w:spacing w:after="0" w:afterAutospacing="off"/>
        <w:jc w:val="center"/>
        <w:rPr>
          <w:b w:val="1"/>
          <w:bCs w:val="1"/>
          <w:sz w:val="44"/>
          <w:szCs w:val="44"/>
        </w:rPr>
      </w:pPr>
      <w:r w:rsidRPr="0484DC14" w:rsidR="1DE9ED96">
        <w:rPr>
          <w:b w:val="1"/>
          <w:bCs w:val="1"/>
          <w:sz w:val="44"/>
          <w:szCs w:val="44"/>
        </w:rPr>
        <w:t xml:space="preserve">Module: </w:t>
      </w:r>
      <w:r w:rsidRPr="0484DC14" w:rsidR="25C3A95C">
        <w:rPr>
          <w:b w:val="0"/>
          <w:bCs w:val="0"/>
          <w:sz w:val="44"/>
          <w:szCs w:val="44"/>
        </w:rPr>
        <w:t xml:space="preserve">Developing a Research Proposal </w:t>
      </w:r>
    </w:p>
    <w:p xmlns:wp14="http://schemas.microsoft.com/office/word/2010/wordml" w:rsidP="0484DC14" wp14:paraId="5F3B7812" wp14:textId="25CE060A">
      <w:pPr>
        <w:spacing w:after="0" w:afterAutospacing="off"/>
        <w:jc w:val="center"/>
        <w:rPr>
          <w:b w:val="0"/>
          <w:bCs w:val="0"/>
          <w:sz w:val="44"/>
          <w:szCs w:val="44"/>
        </w:rPr>
      </w:pPr>
    </w:p>
    <w:p xmlns:wp14="http://schemas.microsoft.com/office/word/2010/wordml" w:rsidP="0484DC14" wp14:paraId="0CEA1EEC" wp14:textId="4722EA7A">
      <w:pPr>
        <w:spacing w:after="0" w:afterAutospacing="off"/>
        <w:jc w:val="center"/>
        <w:rPr>
          <w:b w:val="0"/>
          <w:bCs w:val="0"/>
          <w:sz w:val="44"/>
          <w:szCs w:val="44"/>
        </w:rPr>
      </w:pPr>
      <w:r w:rsidRPr="0484DC14" w:rsidR="293EA9D9">
        <w:rPr>
          <w:b w:val="1"/>
          <w:bCs w:val="1"/>
          <w:sz w:val="44"/>
          <w:szCs w:val="44"/>
        </w:rPr>
        <w:t xml:space="preserve">Date: </w:t>
      </w:r>
      <w:r w:rsidRPr="0484DC14" w:rsidR="293EA9D9">
        <w:rPr>
          <w:b w:val="0"/>
          <w:bCs w:val="0"/>
          <w:sz w:val="44"/>
          <w:szCs w:val="44"/>
        </w:rPr>
        <w:t>27/06/2026</w:t>
      </w:r>
    </w:p>
    <w:p xmlns:wp14="http://schemas.microsoft.com/office/word/2010/wordml" w:rsidP="0484DC14" wp14:paraId="1F762060" wp14:textId="02DD5D6C">
      <w:pPr>
        <w:spacing w:after="0" w:afterAutospacing="off"/>
        <w:jc w:val="center"/>
        <w:rPr>
          <w:b w:val="1"/>
          <w:bCs w:val="1"/>
          <w:sz w:val="48"/>
          <w:szCs w:val="48"/>
        </w:rPr>
      </w:pPr>
    </w:p>
    <w:p xmlns:wp14="http://schemas.microsoft.com/office/word/2010/wordml" w:rsidP="0484DC14" wp14:paraId="02CB5FAB" wp14:textId="002C1796">
      <w:pPr>
        <w:spacing w:after="0" w:afterAutospacing="off"/>
        <w:rPr>
          <w:b w:val="1"/>
          <w:bCs w:val="1"/>
        </w:rPr>
      </w:pPr>
    </w:p>
    <w:p xmlns:wp14="http://schemas.microsoft.com/office/word/2010/wordml" w:rsidP="0484DC14" wp14:paraId="74E82476" wp14:textId="4D299DBE">
      <w:pPr>
        <w:spacing w:after="0" w:afterAutospacing="off"/>
        <w:rPr>
          <w:b w:val="1"/>
          <w:bCs w:val="1"/>
        </w:rPr>
      </w:pPr>
    </w:p>
    <w:p xmlns:wp14="http://schemas.microsoft.com/office/word/2010/wordml" w:rsidP="0484DC14" wp14:paraId="0D72B5BF" wp14:textId="599688B3">
      <w:pPr>
        <w:pStyle w:val="Normal"/>
        <w:spacing w:after="0" w:afterAutospacing="off"/>
        <w:rPr>
          <w:b w:val="1"/>
          <w:bCs w:val="1"/>
        </w:rPr>
      </w:pPr>
    </w:p>
    <w:p xmlns:wp14="http://schemas.microsoft.com/office/word/2010/wordml" w:rsidP="0484DC14" wp14:paraId="7F78BF5A" wp14:textId="230A644B">
      <w:pPr>
        <w:pStyle w:val="Normal"/>
        <w:spacing w:after="0" w:afterAutospacing="off"/>
        <w:rPr>
          <w:b w:val="1"/>
          <w:bCs w:val="1"/>
        </w:rPr>
      </w:pPr>
    </w:p>
    <w:p xmlns:wp14="http://schemas.microsoft.com/office/word/2010/wordml" w:rsidP="0484DC14" wp14:paraId="267A050C" wp14:textId="5B015E3E">
      <w:pPr>
        <w:spacing w:after="0" w:afterAutospacing="off"/>
        <w:rPr>
          <w:b w:val="1"/>
          <w:bCs w:val="1"/>
        </w:rPr>
      </w:pPr>
    </w:p>
    <w:p xmlns:wp14="http://schemas.microsoft.com/office/word/2010/wordml" w:rsidP="0484DC14" wp14:paraId="417F8D24" wp14:textId="186976DD">
      <w:pPr>
        <w:spacing w:after="0" w:afterAutospacing="off"/>
      </w:pPr>
      <w:r w:rsidRPr="0484DC14" w:rsidR="293EA9D9">
        <w:rPr>
          <w:b w:val="1"/>
          <w:bCs w:val="1"/>
        </w:rPr>
        <w:t xml:space="preserve">Selected </w:t>
      </w:r>
      <w:r w:rsidRPr="0484DC14" w:rsidR="25C3A95C">
        <w:rPr>
          <w:b w:val="1"/>
          <w:bCs w:val="1"/>
        </w:rPr>
        <w:t>Title:</w:t>
      </w:r>
      <w:r w:rsidR="25C3A95C">
        <w:rPr/>
        <w:t xml:space="preserve"> Exploring the Impact of Hybrid Working on Employee Engagement </w:t>
      </w:r>
      <w:r w:rsidR="09403694">
        <w:rPr/>
        <w:t xml:space="preserve">Within </w:t>
      </w:r>
      <w:r w:rsidR="25C3A95C">
        <w:rPr/>
        <w:t>UK Organisations</w:t>
      </w:r>
    </w:p>
    <w:p xmlns:wp14="http://schemas.microsoft.com/office/word/2010/wordml" w:rsidP="0484DC14" wp14:paraId="7ED619C9" wp14:textId="054708FF">
      <w:pPr>
        <w:pStyle w:val="Normal"/>
        <w:spacing w:after="0" w:afterAutospacing="off"/>
      </w:pPr>
    </w:p>
    <w:p xmlns:wp14="http://schemas.microsoft.com/office/word/2010/wordml" w:rsidP="0484DC14" wp14:paraId="54E3065C" wp14:textId="2CC0C166">
      <w:pPr>
        <w:pStyle w:val="Normal"/>
        <w:spacing w:after="0" w:afterAutospacing="off"/>
        <w:rPr>
          <w:b w:val="1"/>
          <w:bCs w:val="1"/>
        </w:rPr>
      </w:pPr>
      <w:r w:rsidRPr="0484DC14" w:rsidR="25C3A95C">
        <w:rPr>
          <w:b w:val="1"/>
          <w:bCs w:val="1"/>
        </w:rPr>
        <w:t xml:space="preserve">Research </w:t>
      </w:r>
      <w:r w:rsidRPr="0484DC14" w:rsidR="28D1A301">
        <w:rPr>
          <w:b w:val="1"/>
          <w:bCs w:val="1"/>
        </w:rPr>
        <w:t xml:space="preserve">Aim: </w:t>
      </w:r>
      <w:r w:rsidR="28D1A301">
        <w:rPr/>
        <w:t>The aim of this research is to explore the impact of hybrid working on employee engagement within UK organisations.</w:t>
      </w:r>
    </w:p>
    <w:p xmlns:wp14="http://schemas.microsoft.com/office/word/2010/wordml" w:rsidP="0484DC14" wp14:paraId="6962C619" wp14:textId="1FFCF0E1">
      <w:pPr>
        <w:pStyle w:val="Normal"/>
        <w:spacing w:after="0" w:afterAutospacing="off"/>
      </w:pPr>
    </w:p>
    <w:p xmlns:wp14="http://schemas.microsoft.com/office/word/2010/wordml" w:rsidP="0484DC14" wp14:paraId="3A88C009" wp14:textId="02C09D61">
      <w:pPr>
        <w:pStyle w:val="Normal"/>
        <w:spacing w:after="0" w:afterAutospacing="off"/>
        <w:rPr>
          <w:b w:val="1"/>
          <w:bCs w:val="1"/>
        </w:rPr>
      </w:pPr>
      <w:r w:rsidRPr="0484DC14" w:rsidR="28D1A301">
        <w:rPr>
          <w:b w:val="1"/>
          <w:bCs w:val="1"/>
        </w:rPr>
        <w:t xml:space="preserve">Objectives: </w:t>
      </w:r>
    </w:p>
    <w:p xmlns:wp14="http://schemas.microsoft.com/office/word/2010/wordml" w:rsidP="0484DC14" wp14:paraId="2B5833D7" wp14:textId="65A96973">
      <w:pPr>
        <w:pStyle w:val="Normal"/>
        <w:spacing w:after="0" w:afterAutospacing="off"/>
      </w:pPr>
    </w:p>
    <w:p xmlns:wp14="http://schemas.microsoft.com/office/word/2010/wordml" w:rsidP="0484DC14" wp14:paraId="6DC0ED98" wp14:textId="3B69D7FA">
      <w:pPr>
        <w:pStyle w:val="ListParagraph"/>
        <w:numPr>
          <w:ilvl w:val="0"/>
          <w:numId w:val="1"/>
        </w:numPr>
        <w:spacing w:after="0" w:afterAutospacing="off"/>
        <w:rPr/>
      </w:pPr>
      <w:r w:rsidR="25C3A95C">
        <w:rPr/>
        <w:t>To explore employees' experiences of hybrid working.</w:t>
      </w:r>
    </w:p>
    <w:p xmlns:wp14="http://schemas.microsoft.com/office/word/2010/wordml" w:rsidP="0484DC14" wp14:paraId="1EE6CF2B" wp14:textId="7AB9B824">
      <w:pPr>
        <w:pStyle w:val="ListParagraph"/>
        <w:numPr>
          <w:ilvl w:val="0"/>
          <w:numId w:val="1"/>
        </w:numPr>
        <w:spacing w:after="0" w:afterAutospacing="off"/>
        <w:rPr/>
      </w:pPr>
      <w:r w:rsidR="25C3A95C">
        <w:rPr/>
        <w:t xml:space="preserve">To examine how hybrid working </w:t>
      </w:r>
      <w:r w:rsidR="25C3A95C">
        <w:rPr/>
        <w:t>influences employee engagement.</w:t>
      </w:r>
    </w:p>
    <w:p xmlns:wp14="http://schemas.microsoft.com/office/word/2010/wordml" w:rsidP="0484DC14" wp14:paraId="1FBB3321" wp14:textId="40C2496D">
      <w:pPr>
        <w:pStyle w:val="ListParagraph"/>
        <w:numPr>
          <w:ilvl w:val="0"/>
          <w:numId w:val="1"/>
        </w:numPr>
        <w:spacing w:after="0" w:afterAutospacing="off"/>
        <w:rPr/>
      </w:pPr>
      <w:r w:rsidR="25C3A95C">
        <w:rPr/>
        <w:t xml:space="preserve">To </w:t>
      </w:r>
      <w:r w:rsidR="25C3A95C">
        <w:rPr/>
        <w:t>identify</w:t>
      </w:r>
      <w:r w:rsidR="25C3A95C">
        <w:rPr/>
        <w:t xml:space="preserve"> </w:t>
      </w:r>
      <w:r w:rsidR="25F22A88">
        <w:rPr/>
        <w:t>different</w:t>
      </w:r>
      <w:r w:rsidR="25C3A95C">
        <w:rPr/>
        <w:t xml:space="preserve"> benefits and challenges of hybrid working from employees' perspectives.</w:t>
      </w:r>
    </w:p>
    <w:p xmlns:wp14="http://schemas.microsoft.com/office/word/2010/wordml" w:rsidP="0484DC14" wp14:paraId="2F6B029E" wp14:textId="7DF3C73B">
      <w:pPr>
        <w:pStyle w:val="ListParagraph"/>
        <w:numPr>
          <w:ilvl w:val="0"/>
          <w:numId w:val="1"/>
        </w:numPr>
        <w:spacing w:after="0" w:afterAutospacing="off"/>
        <w:rPr/>
      </w:pPr>
      <w:r w:rsidR="25C3A95C">
        <w:rPr/>
        <w:t>To recommend strategies that organisations can implement to improve employee engagement within hybrid working environments.</w:t>
      </w:r>
    </w:p>
    <w:p xmlns:wp14="http://schemas.microsoft.com/office/word/2010/wordml" w:rsidP="0484DC14" wp14:paraId="1E219BB0" wp14:textId="16664E0B">
      <w:pPr>
        <w:pStyle w:val="Normal"/>
        <w:spacing w:after="0" w:afterAutospacing="off"/>
      </w:pPr>
    </w:p>
    <w:p xmlns:wp14="http://schemas.microsoft.com/office/word/2010/wordml" w:rsidP="0484DC14" wp14:paraId="05D05407" wp14:textId="49B0BFF1">
      <w:pPr>
        <w:pStyle w:val="Normal"/>
        <w:spacing w:after="0" w:afterAutospacing="off"/>
      </w:pPr>
      <w:r w:rsidR="79E31BBF">
        <w:rPr/>
        <w:t xml:space="preserve">This research is significant because hybrid working </w:t>
      </w:r>
      <w:r w:rsidR="58491E27">
        <w:rPr/>
        <w:t>i</w:t>
      </w:r>
      <w:r w:rsidR="79E31BBF">
        <w:rPr/>
        <w:t xml:space="preserve">s </w:t>
      </w:r>
      <w:r w:rsidR="58491E27">
        <w:rPr/>
        <w:t xml:space="preserve">a </w:t>
      </w:r>
      <w:r w:rsidR="58491E27">
        <w:rPr/>
        <w:t>relatively new</w:t>
      </w:r>
      <w:r w:rsidR="58491E27">
        <w:rPr/>
        <w:t xml:space="preserve"> phenomenon that has been shaping </w:t>
      </w:r>
      <w:r w:rsidR="79E31BBF">
        <w:rPr/>
        <w:t>modern business practices across a range of sectors</w:t>
      </w:r>
      <w:r w:rsidR="6B627101">
        <w:rPr/>
        <w:t>, for several years now</w:t>
      </w:r>
      <w:r w:rsidR="79E31BBF">
        <w:rPr/>
        <w:t xml:space="preserve">. By exploring </w:t>
      </w:r>
      <w:r w:rsidR="6F5461FC">
        <w:rPr/>
        <w:t xml:space="preserve">different </w:t>
      </w:r>
      <w:r w:rsidR="79E31BBF">
        <w:rPr/>
        <w:t>employees' experiences, th</w:t>
      </w:r>
      <w:r w:rsidR="690BC1CE">
        <w:rPr/>
        <w:t>is</w:t>
      </w:r>
      <w:r w:rsidR="79E31BBF">
        <w:rPr/>
        <w:t xml:space="preserve"> study </w:t>
      </w:r>
      <w:r w:rsidR="2556F666">
        <w:rPr/>
        <w:t xml:space="preserve">will </w:t>
      </w:r>
      <w:r w:rsidR="79E31BBF">
        <w:rPr/>
        <w:t>aim</w:t>
      </w:r>
      <w:r w:rsidR="1E38C4D6">
        <w:rPr/>
        <w:t xml:space="preserve"> </w:t>
      </w:r>
      <w:r w:rsidR="79E31BBF">
        <w:rPr/>
        <w:t>to provide insights that can</w:t>
      </w:r>
      <w:r w:rsidR="66DB6334">
        <w:rPr/>
        <w:t xml:space="preserve"> potentially</w:t>
      </w:r>
      <w:r w:rsidR="79E31BBF">
        <w:rPr/>
        <w:t xml:space="preserve"> help managers</w:t>
      </w:r>
      <w:r w:rsidR="45766A08">
        <w:rPr/>
        <w:t xml:space="preserve"> across different organisations</w:t>
      </w:r>
      <w:r w:rsidR="79E31BBF">
        <w:rPr/>
        <w:t xml:space="preserve"> develop effective approaches to </w:t>
      </w:r>
      <w:r w:rsidR="79E31BBF">
        <w:rPr/>
        <w:t>maintaining</w:t>
      </w:r>
      <w:r w:rsidR="79E31BBF">
        <w:rPr/>
        <w:t xml:space="preserve"> engagement, </w:t>
      </w:r>
      <w:r w:rsidR="3F608799">
        <w:rPr/>
        <w:t xml:space="preserve">whilst </w:t>
      </w:r>
      <w:r w:rsidR="79E31BBF">
        <w:rPr/>
        <w:t>supporting employee wellbeing, and improv</w:t>
      </w:r>
      <w:r w:rsidR="2FAA0E63">
        <w:rPr/>
        <w:t xml:space="preserve">e </w:t>
      </w:r>
      <w:r w:rsidR="79E31BBF">
        <w:rPr/>
        <w:t>organisational performance in increasingly flexible workplaces.</w:t>
      </w:r>
    </w:p>
    <w:p xmlns:wp14="http://schemas.microsoft.com/office/word/2010/wordml" w:rsidP="0484DC14" wp14:paraId="2D9328CF" wp14:textId="752BE121">
      <w:pPr>
        <w:pStyle w:val="Normal"/>
        <w:spacing w:after="0" w:afterAutospacing="off"/>
      </w:pPr>
    </w:p>
    <w:p xmlns:wp14="http://schemas.microsoft.com/office/word/2010/wordml" w:rsidP="0484DC14" wp14:paraId="163D4F8B" wp14:textId="27B251D6">
      <w:pPr>
        <w:pStyle w:val="Normal"/>
        <w:spacing w:after="0" w:afterAutospacing="off"/>
      </w:pPr>
    </w:p>
    <w:p xmlns:wp14="http://schemas.microsoft.com/office/word/2010/wordml" w:rsidP="0484DC14" wp14:paraId="0B349D7C" wp14:textId="7911ABAB">
      <w:pPr>
        <w:pStyle w:val="Normal"/>
        <w:spacing w:after="0" w:afterAutospacing="off"/>
        <w:rPr>
          <w:b w:val="1"/>
          <w:bCs w:val="1"/>
        </w:rPr>
      </w:pPr>
      <w:r w:rsidRPr="0484DC14" w:rsidR="79E31BBF">
        <w:rPr>
          <w:b w:val="1"/>
          <w:bCs w:val="1"/>
        </w:rPr>
        <w:t>Introduction:</w:t>
      </w:r>
    </w:p>
    <w:p xmlns:wp14="http://schemas.microsoft.com/office/word/2010/wordml" w:rsidP="0484DC14" wp14:paraId="190A0589" wp14:textId="2B539397">
      <w:pPr>
        <w:pStyle w:val="Normal"/>
        <w:spacing w:after="0" w:afterAutospacing="off"/>
      </w:pPr>
    </w:p>
    <w:p xmlns:wp14="http://schemas.microsoft.com/office/word/2010/wordml" w:rsidP="0484DC14" wp14:paraId="7EF24DD2" wp14:textId="63A1C0AF">
      <w:pPr>
        <w:pStyle w:val="Normal"/>
      </w:pPr>
      <w:r w:rsidRPr="0484DC14" w:rsidR="1AE5FD25">
        <w:rPr>
          <w:rFonts w:ascii="Aptos" w:hAnsi="Aptos"/>
          <w:noProof w:val="0"/>
          <w:sz w:val="24"/>
          <w:szCs w:val="24"/>
          <w:lang w:val="en-GB"/>
        </w:rPr>
        <w:t xml:space="preserve">Research proposals that are effective, </w:t>
      </w:r>
      <w:r w:rsidRPr="0484DC14" w:rsidR="1AE5FD25">
        <w:rPr>
          <w:rFonts w:ascii="Aptos" w:hAnsi="Aptos"/>
          <w:noProof w:val="0"/>
          <w:sz w:val="24"/>
          <w:szCs w:val="24"/>
          <w:lang w:val="en-GB"/>
        </w:rPr>
        <w:t>are able to</w:t>
      </w:r>
      <w:r w:rsidRPr="0484DC14" w:rsidR="1AE5FD25">
        <w:rPr>
          <w:rFonts w:ascii="Aptos" w:hAnsi="Aptos"/>
          <w:noProof w:val="0"/>
          <w:sz w:val="24"/>
          <w:szCs w:val="24"/>
          <w:lang w:val="en-GB"/>
        </w:rPr>
        <w:t xml:space="preserve"> offer a structured framework for investigating a research problem that is clearly defined by outlining the purpose of the study, the proposed </w:t>
      </w:r>
      <w:r w:rsidRPr="0484DC14" w:rsidR="1AE5FD25">
        <w:rPr>
          <w:rFonts w:ascii="Aptos" w:hAnsi="Aptos"/>
          <w:noProof w:val="0"/>
          <w:sz w:val="24"/>
          <w:szCs w:val="24"/>
          <w:lang w:val="en-GB"/>
        </w:rPr>
        <w:t>methodology</w:t>
      </w:r>
      <w:r w:rsidRPr="0484DC14" w:rsidR="1AE5FD25">
        <w:rPr>
          <w:rFonts w:ascii="Aptos" w:hAnsi="Aptos"/>
          <w:noProof w:val="0"/>
          <w:sz w:val="24"/>
          <w:szCs w:val="24"/>
          <w:lang w:val="en-GB"/>
        </w:rPr>
        <w:t xml:space="preserve"> and new contribution to existing knowledge </w:t>
      </w:r>
      <w:r w:rsidR="16B975C5">
        <w:rPr/>
        <w:t>(Saunders et al., 2023). To guarantee that research has both academic and practical relevance, Bryman and Bell (</w:t>
      </w:r>
      <w:r w:rsidR="1EB6D6F0">
        <w:rPr/>
        <w:t xml:space="preserve">2023) </w:t>
      </w:r>
      <w:r w:rsidR="7237AE2C">
        <w:rPr/>
        <w:t xml:space="preserve">suggest that </w:t>
      </w:r>
      <w:r w:rsidR="16B975C5">
        <w:rPr/>
        <w:t>choosing a current and pertinent management topic is crucial</w:t>
      </w:r>
      <w:r w:rsidR="1BC59857">
        <w:rPr/>
        <w:t>.</w:t>
      </w:r>
      <w:r w:rsidR="3A61468D">
        <w:rPr/>
        <w:t xml:space="preserve"> Therefore, for this research project, it was decided that reviewing hybrid working and its impact on employee engagement can be an interesting topic to explore. </w:t>
      </w:r>
      <w:r w:rsidR="4C456A41">
        <w:rPr/>
        <w:t xml:space="preserve">Hybrid working has become one of the most significant developments in modern business management. </w:t>
      </w:r>
      <w:r w:rsidR="4ECAC248">
        <w:rPr/>
        <w:t>The</w:t>
      </w:r>
      <w:r w:rsidR="4C456A41">
        <w:rPr/>
        <w:t xml:space="preserve"> COVID-19 pandemic</w:t>
      </w:r>
      <w:r w:rsidR="3BA09208">
        <w:rPr/>
        <w:t xml:space="preserve"> accelerated this </w:t>
      </w:r>
      <w:r w:rsidR="3BA09208">
        <w:rPr/>
        <w:t>emlployee</w:t>
      </w:r>
      <w:r w:rsidR="3BA09208">
        <w:rPr/>
        <w:t xml:space="preserve"> model</w:t>
      </w:r>
      <w:r w:rsidR="4C456A41">
        <w:rPr/>
        <w:t>, combin</w:t>
      </w:r>
      <w:r w:rsidR="435D3BB7">
        <w:rPr/>
        <w:t>ing</w:t>
      </w:r>
      <w:r w:rsidR="4C456A41">
        <w:rPr/>
        <w:t xml:space="preserve"> remote and office-based working to provide employees with greater flexibility while </w:t>
      </w:r>
      <w:r w:rsidR="6425F5AB">
        <w:rPr/>
        <w:t>allow</w:t>
      </w:r>
      <w:r w:rsidR="4C456A41">
        <w:rPr/>
        <w:t>ing organisation</w:t>
      </w:r>
      <w:r w:rsidR="4C456A41">
        <w:rPr/>
        <w:t xml:space="preserve">s to </w:t>
      </w:r>
      <w:r w:rsidR="4C456A41">
        <w:rPr/>
        <w:t>mai</w:t>
      </w:r>
      <w:r w:rsidR="4C456A41">
        <w:rPr/>
        <w:t>ntain</w:t>
      </w:r>
      <w:r w:rsidR="4C456A41">
        <w:rPr/>
        <w:t xml:space="preserve"> </w:t>
      </w:r>
      <w:r w:rsidR="60F2221F">
        <w:rPr/>
        <w:t xml:space="preserve">their </w:t>
      </w:r>
      <w:r w:rsidR="4C456A41">
        <w:rPr/>
        <w:t xml:space="preserve">operational effectiveness. Many organisations </w:t>
      </w:r>
      <w:r w:rsidR="4C456A41">
        <w:rPr/>
        <w:t xml:space="preserve">have </w:t>
      </w:r>
      <w:r w:rsidR="43C12010">
        <w:rPr/>
        <w:t xml:space="preserve">kept these </w:t>
      </w:r>
      <w:r w:rsidR="4C456A41">
        <w:rPr/>
        <w:t xml:space="preserve">hybrid working arrangements </w:t>
      </w:r>
      <w:r w:rsidR="3C244474">
        <w:rPr/>
        <w:t>because of its many</w:t>
      </w:r>
      <w:r w:rsidR="4C456A41">
        <w:rPr/>
        <w:t xml:space="preserve"> benefits</w:t>
      </w:r>
      <w:r w:rsidR="3115AB8D">
        <w:rPr/>
        <w:t xml:space="preserve">. This includes </w:t>
      </w:r>
      <w:r w:rsidR="4C456A41">
        <w:rPr/>
        <w:t>improved work-life balance, enhanced empl</w:t>
      </w:r>
      <w:r w:rsidR="4C456A41">
        <w:rPr/>
        <w:t xml:space="preserve">oyee </w:t>
      </w:r>
      <w:r w:rsidR="4C456A41">
        <w:rPr/>
        <w:t>well</w:t>
      </w:r>
      <w:r w:rsidR="4C456A41">
        <w:rPr/>
        <w:t>being</w:t>
      </w:r>
      <w:r w:rsidR="4C456A41">
        <w:rPr/>
        <w:t xml:space="preserve"> and </w:t>
      </w:r>
      <w:r w:rsidR="4ADEC0EC">
        <w:rPr/>
        <w:t xml:space="preserve">also the </w:t>
      </w:r>
      <w:r w:rsidR="4C456A41">
        <w:rPr/>
        <w:t>wider talent attraction (CIPD, 2023). Research by Bloom</w:t>
      </w:r>
      <w:r w:rsidR="1EFCCB3A">
        <w:rPr/>
        <w:t xml:space="preserve"> et al. </w:t>
      </w:r>
      <w:r w:rsidR="4C456A41">
        <w:rPr/>
        <w:t xml:space="preserve">(2024) further suggests that hybrid working can </w:t>
      </w:r>
      <w:r w:rsidR="13CA533C">
        <w:rPr/>
        <w:t xml:space="preserve">actually </w:t>
      </w:r>
      <w:r w:rsidR="4C456A41">
        <w:rPr/>
        <w:t>improve</w:t>
      </w:r>
      <w:r w:rsidR="4C456A41">
        <w:rPr/>
        <w:t xml:space="preserve"> employee retention without negatively affecting organisational performa</w:t>
      </w:r>
      <w:r w:rsidR="4C456A41">
        <w:rPr/>
        <w:t xml:space="preserve">nce, </w:t>
      </w:r>
      <w:r w:rsidR="73582B7A">
        <w:rPr/>
        <w:t>highlighting the vast</w:t>
      </w:r>
      <w:r w:rsidR="4C456A41">
        <w:rPr/>
        <w:t xml:space="preserve"> potential value for both employees and employers.</w:t>
      </w:r>
    </w:p>
    <w:p xmlns:wp14="http://schemas.microsoft.com/office/word/2010/wordml" w:rsidP="0484DC14" wp14:paraId="03B8D979" wp14:textId="70AF6564">
      <w:pPr>
        <w:pStyle w:val="Normal"/>
      </w:pPr>
      <w:r w:rsidR="4C456A41">
        <w:rPr/>
        <w:t xml:space="preserve">Despite these benefits, hybrid working </w:t>
      </w:r>
      <w:r w:rsidR="7E8414F8">
        <w:rPr/>
        <w:t xml:space="preserve">does have many </w:t>
      </w:r>
      <w:r w:rsidR="4C456A41">
        <w:rPr/>
        <w:t xml:space="preserve">ongoing challenges relating to employee engagement, communication, </w:t>
      </w:r>
      <w:r w:rsidR="4C456A41">
        <w:rPr/>
        <w:t>collaboration</w:t>
      </w:r>
      <w:r w:rsidR="4C456A41">
        <w:rPr/>
        <w:t xml:space="preserve"> and organisational culture (CIPD, 2023). Employee engagement is a key driver of organisational performance, influencing</w:t>
      </w:r>
      <w:r w:rsidR="6B942A25">
        <w:rPr/>
        <w:t xml:space="preserve"> things like</w:t>
      </w:r>
      <w:r w:rsidR="4C456A41">
        <w:rPr/>
        <w:t xml:space="preserve"> employee motivation, commitment, </w:t>
      </w:r>
      <w:r w:rsidR="4C456A41">
        <w:rPr/>
        <w:t>productivity</w:t>
      </w:r>
      <w:r w:rsidR="4C456A41">
        <w:rPr/>
        <w:t xml:space="preserve"> and retention. Siddika (2025) argues that although hybrid working can enhance employee engagement through increased flexibility and improved work-life balance, these benefits </w:t>
      </w:r>
      <w:r w:rsidR="1C67A025">
        <w:rPr/>
        <w:t xml:space="preserve">can </w:t>
      </w:r>
      <w:r w:rsidR="4C456A41">
        <w:rPr/>
        <w:t xml:space="preserve">depend on effective management practices and organisational support. Consequently, understanding how hybrid working influences employee engagement </w:t>
      </w:r>
      <w:r w:rsidR="4C456A41">
        <w:rPr/>
        <w:t>remains</w:t>
      </w:r>
      <w:r w:rsidR="4C456A41">
        <w:rPr/>
        <w:t xml:space="preserve"> </w:t>
      </w:r>
      <w:r w:rsidR="4C456A41">
        <w:rPr/>
        <w:t>an important area</w:t>
      </w:r>
      <w:r w:rsidR="4C456A41">
        <w:rPr/>
        <w:t xml:space="preserve"> of business management research.</w:t>
      </w:r>
    </w:p>
    <w:p xmlns:wp14="http://schemas.microsoft.com/office/word/2010/wordml" w:rsidP="0484DC14" wp14:paraId="2DF88FA3" wp14:textId="65625828">
      <w:pPr>
        <w:pStyle w:val="Normal"/>
      </w:pPr>
      <w:r w:rsidR="4C456A41">
        <w:rPr/>
        <w:t xml:space="preserve">By examining employees' experiences, the research </w:t>
      </w:r>
      <w:r w:rsidR="4C456A41">
        <w:rPr/>
        <w:t>seeks</w:t>
      </w:r>
      <w:r w:rsidR="4C456A41">
        <w:rPr/>
        <w:t xml:space="preserve"> to </w:t>
      </w:r>
      <w:r w:rsidR="4C456A41">
        <w:rPr/>
        <w:t>identify</w:t>
      </w:r>
      <w:r w:rsidR="4C456A41">
        <w:rPr/>
        <w:t xml:space="preserve"> the benefits and challenges of hybrid working and provide recommendations to help organisations </w:t>
      </w:r>
      <w:r w:rsidR="4C456A41">
        <w:rPr/>
        <w:t>maintain</w:t>
      </w:r>
      <w:r w:rsidR="4C456A41">
        <w:rPr/>
        <w:t xml:space="preserve"> an engaged and productive workforce. The proposal has been developed in line with recognised principles of business research design to ensure the research aims, </w:t>
      </w:r>
      <w:r w:rsidR="4C456A41">
        <w:rPr/>
        <w:t>objectives</w:t>
      </w:r>
      <w:r w:rsidR="4C456A41">
        <w:rPr/>
        <w:t xml:space="preserve"> and </w:t>
      </w:r>
      <w:r w:rsidR="4C456A41">
        <w:rPr/>
        <w:t>methodology</w:t>
      </w:r>
      <w:r w:rsidR="4C456A41">
        <w:rPr/>
        <w:t xml:space="preserve"> are appropriately aligned (Creswell and Creswell, 2023).</w:t>
      </w:r>
    </w:p>
    <w:p xmlns:wp14="http://schemas.microsoft.com/office/word/2010/wordml" w:rsidP="0484DC14" wp14:paraId="2C078E63" wp14:textId="2741DB30">
      <w:pPr>
        <w:rPr>
          <w:b w:val="1"/>
          <w:bCs w:val="1"/>
        </w:rPr>
      </w:pPr>
    </w:p>
    <w:p w:rsidR="264A7841" w:rsidP="0484DC14" w:rsidRDefault="264A7841" w14:paraId="20941CC7" w14:textId="31F438DD">
      <w:pPr>
        <w:rPr>
          <w:b w:val="1"/>
          <w:bCs w:val="1"/>
        </w:rPr>
      </w:pPr>
      <w:r w:rsidRPr="0484DC14" w:rsidR="264A7841">
        <w:rPr>
          <w:b w:val="1"/>
          <w:bCs w:val="1"/>
        </w:rPr>
        <w:t>Literature Review:</w:t>
      </w:r>
    </w:p>
    <w:p w:rsidR="6FB4357F" w:rsidRDefault="6FB4357F" w14:paraId="108280C7" w14:textId="4C48023E">
      <w:r w:rsidR="6FB4357F">
        <w:rPr/>
        <w:t xml:space="preserve">Hybrid working has become an increasingly </w:t>
      </w:r>
      <w:r w:rsidR="6FB4357F">
        <w:rPr/>
        <w:t>important area</w:t>
      </w:r>
      <w:r w:rsidR="6FB4357F">
        <w:rPr/>
        <w:t xml:space="preserve"> of business management research as organisations continue to balance flexibility with organisational performance. Hybrid working </w:t>
      </w:r>
      <w:r w:rsidR="5A8086B6">
        <w:rPr/>
        <w:t xml:space="preserve">is </w:t>
      </w:r>
      <w:r w:rsidR="5A8086B6">
        <w:rPr/>
        <w:t>essentially the</w:t>
      </w:r>
      <w:r w:rsidR="5A8086B6">
        <w:rPr/>
        <w:t xml:space="preserve"> combination of </w:t>
      </w:r>
      <w:r w:rsidR="6FB4357F">
        <w:rPr/>
        <w:t xml:space="preserve">remote </w:t>
      </w:r>
      <w:r w:rsidR="3EFED8D6">
        <w:rPr/>
        <w:t xml:space="preserve">working, where employees can work outside of their regular office base, </w:t>
      </w:r>
      <w:r w:rsidR="6FB4357F">
        <w:rPr/>
        <w:t>and office-based work</w:t>
      </w:r>
      <w:r w:rsidR="1B0AB531">
        <w:rPr/>
        <w:t xml:space="preserve">. This allows </w:t>
      </w:r>
      <w:r w:rsidR="6FB4357F">
        <w:rPr/>
        <w:t xml:space="preserve">employees to </w:t>
      </w:r>
      <w:r w:rsidR="6FB4357F">
        <w:rPr/>
        <w:t>benefit</w:t>
      </w:r>
      <w:r w:rsidR="6FB4357F">
        <w:rPr/>
        <w:t xml:space="preserve"> from greater flexibility while allowing organisations to </w:t>
      </w:r>
      <w:r w:rsidR="6FB4357F">
        <w:rPr/>
        <w:t>maintain</w:t>
      </w:r>
      <w:r w:rsidR="6FB4357F">
        <w:rPr/>
        <w:t xml:space="preserve"> business operations (CIPD, 2023). Although initially adopted during the COVID-19 pandemic, it has</w:t>
      </w:r>
      <w:r w:rsidR="41547B7C">
        <w:rPr/>
        <w:t xml:space="preserve"> now</w:t>
      </w:r>
      <w:r w:rsidR="6FB4357F">
        <w:rPr/>
        <w:t xml:space="preserve"> become a long-term working model across many sectors (Bloom et al., 2024). </w:t>
      </w:r>
      <w:r w:rsidR="704FD3CD">
        <w:rPr/>
        <w:t>As a result of this</w:t>
      </w:r>
      <w:r w:rsidR="6FB4357F">
        <w:rPr/>
        <w:t xml:space="preserve">, researchers have </w:t>
      </w:r>
      <w:r w:rsidR="6FB4357F">
        <w:rPr/>
        <w:t>sought</w:t>
      </w:r>
      <w:r w:rsidR="6FB4357F">
        <w:rPr/>
        <w:t xml:space="preserve"> to understand its impact on employee engagement, </w:t>
      </w:r>
      <w:r w:rsidR="6FB4357F">
        <w:rPr/>
        <w:t>productivity</w:t>
      </w:r>
      <w:r w:rsidR="6FB4357F">
        <w:rPr/>
        <w:t xml:space="preserve"> and organisational effectiveness.</w:t>
      </w:r>
    </w:p>
    <w:p w:rsidR="6FB4357F" w:rsidP="0484DC14" w:rsidRDefault="6FB4357F" w14:paraId="304F4C21" w14:textId="75B15FE1">
      <w:pPr>
        <w:pStyle w:val="Normal"/>
      </w:pPr>
      <w:r w:rsidR="6FB4357F">
        <w:rPr/>
        <w:t xml:space="preserve">Employee engagement provides the theoretical foundation for this study. Kahn (1990) first defined engagement as the extent to which employees invest themselves physically, </w:t>
      </w:r>
      <w:r w:rsidR="6FB4357F">
        <w:rPr/>
        <w:t>cognitively</w:t>
      </w:r>
      <w:r w:rsidR="6FB4357F">
        <w:rPr/>
        <w:t xml:space="preserve"> and emotionally in their work. Expanding on this</w:t>
      </w:r>
      <w:r w:rsidR="44B3AECB">
        <w:rPr/>
        <w:t xml:space="preserve"> in later years, </w:t>
      </w:r>
      <w:r w:rsidR="6FB4357F">
        <w:rPr/>
        <w:t xml:space="preserve">Schaufeli et al. (2002) conceptualised engagement through three dimensions. This includes vigour, </w:t>
      </w:r>
      <w:r w:rsidR="6FB4357F">
        <w:rPr/>
        <w:t>dedication</w:t>
      </w:r>
      <w:r w:rsidR="6FB4357F">
        <w:rPr/>
        <w:t xml:space="preserve"> and absorption. They argue that engaged employees display greater enthusiasm</w:t>
      </w:r>
      <w:r w:rsidR="4D358A29">
        <w:rPr/>
        <w:t xml:space="preserve"> and </w:t>
      </w:r>
      <w:r w:rsidR="6FB4357F">
        <w:rPr/>
        <w:t>resilience</w:t>
      </w:r>
      <w:r w:rsidR="4349A190">
        <w:rPr/>
        <w:t>, and that this then leads to better concentration</w:t>
      </w:r>
      <w:r w:rsidR="6FB4357F">
        <w:rPr/>
        <w:t>. Saks (2006) further developed engagement through Social Exchange Theory, suggesting that employees reciprocate organisational support with greater commitment and engagement. Bakker and Demerouti's (2008) Job Demands-Resources (JD-R) model also argues that job resources, including managerial support, autonomy and effective communication, enhance engagement, while excessive job demands contribute to disengagement. Collectively, these theories</w:t>
      </w:r>
      <w:r w:rsidR="648F8453">
        <w:rPr/>
        <w:t xml:space="preserve"> have been developed over </w:t>
      </w:r>
      <w:r w:rsidR="648F8453">
        <w:rPr/>
        <w:t>a number of</w:t>
      </w:r>
      <w:r w:rsidR="648F8453">
        <w:rPr/>
        <w:t xml:space="preserve"> years and are still prevalent to the modern day as their</w:t>
      </w:r>
      <w:r w:rsidR="6FB4357F">
        <w:rPr/>
        <w:t xml:space="preserve"> </w:t>
      </w:r>
      <w:r w:rsidR="6FB4357F">
        <w:rPr/>
        <w:t>suggest</w:t>
      </w:r>
      <w:r w:rsidR="5B9BE116">
        <w:rPr/>
        <w:t>ion</w:t>
      </w:r>
      <w:r w:rsidR="6FB4357F">
        <w:rPr/>
        <w:t xml:space="preserve"> that employee engagement is strongly influenced by organisational practices and the quality of the working environment</w:t>
      </w:r>
      <w:r w:rsidR="7A6D4047">
        <w:rPr/>
        <w:t xml:space="preserve">, still apply. </w:t>
      </w:r>
    </w:p>
    <w:p w:rsidR="6FB4357F" w:rsidP="0484DC14" w:rsidRDefault="6FB4357F" w14:paraId="390D51F2" w14:textId="6D4A5C75">
      <w:pPr>
        <w:pStyle w:val="Normal"/>
      </w:pPr>
      <w:r w:rsidR="6FB4357F">
        <w:rPr/>
        <w:t xml:space="preserve">Research </w:t>
      </w:r>
      <w:r w:rsidR="6FB4357F">
        <w:rPr/>
        <w:t>generally highlights</w:t>
      </w:r>
      <w:r w:rsidR="6FB4357F">
        <w:rPr/>
        <w:t xml:space="preserve"> positive outcomes associated with hybrid working. Bloom</w:t>
      </w:r>
      <w:r w:rsidR="1AFB5727">
        <w:rPr/>
        <w:t xml:space="preserve"> et al. </w:t>
      </w:r>
      <w:r w:rsidR="6FB4357F">
        <w:rPr/>
        <w:t xml:space="preserve">(2024) found that hybrid working improved employee retention without reducing productivity, while Gajendran and Harrison (2007) concluded that </w:t>
      </w:r>
      <w:r w:rsidR="70048B2A">
        <w:rPr/>
        <w:t xml:space="preserve">working remotely </w:t>
      </w:r>
      <w:r w:rsidR="6FB4357F">
        <w:rPr/>
        <w:t xml:space="preserve">is associated with increased job satisfaction, organisational </w:t>
      </w:r>
      <w:r w:rsidR="6FB4357F">
        <w:rPr/>
        <w:t>commitment</w:t>
      </w:r>
      <w:r w:rsidR="6FB4357F">
        <w:rPr/>
        <w:t xml:space="preserve"> and reduced work-family conflict. Similarly, Allen</w:t>
      </w:r>
      <w:r w:rsidR="2D82C7C6">
        <w:rPr/>
        <w:t xml:space="preserve"> et al.</w:t>
      </w:r>
      <w:r w:rsidR="6FB4357F">
        <w:rPr/>
        <w:t xml:space="preserve"> (2015) argue that flexible working arrangements improve employee wellbeing by providing greater autonomy and work-life balance. These findings support the JD-R model (Bakker and Demerouti, 2008), which proposes that increased autonomy acts as a valuable job resource that enhances motivation and engagement.</w:t>
      </w:r>
    </w:p>
    <w:p w:rsidR="6FB4357F" w:rsidP="0484DC14" w:rsidRDefault="6FB4357F" w14:paraId="1C16D803" w14:textId="4F36B808">
      <w:pPr>
        <w:pStyle w:val="Normal"/>
      </w:pPr>
      <w:r w:rsidR="6FB4357F">
        <w:rPr/>
        <w:t xml:space="preserve">However, the literature also </w:t>
      </w:r>
      <w:r w:rsidR="6FB4357F">
        <w:rPr/>
        <w:t>identifies</w:t>
      </w:r>
      <w:r w:rsidR="6FB4357F">
        <w:rPr/>
        <w:t xml:space="preserve"> several challenges. Wang et al. (2021) argue that remote and hybrid working can </w:t>
      </w:r>
      <w:r w:rsidR="5E32E5E7">
        <w:rPr/>
        <w:t xml:space="preserve">enhance </w:t>
      </w:r>
      <w:r w:rsidR="6FB4357F">
        <w:rPr/>
        <w:t xml:space="preserve">feelings of social isolation, reduce knowledge sharing and blur </w:t>
      </w:r>
      <w:r w:rsidR="66B5B274">
        <w:rPr/>
        <w:t xml:space="preserve">the </w:t>
      </w:r>
      <w:r w:rsidR="6FB4357F">
        <w:rPr/>
        <w:t>work-life boundaries</w:t>
      </w:r>
      <w:r w:rsidR="62C1A8F1">
        <w:rPr/>
        <w:t xml:space="preserve">. This can potentially </w:t>
      </w:r>
      <w:r w:rsidR="6FB4357F">
        <w:rPr/>
        <w:t xml:space="preserve">affect employee wellbeing and engagement. Likewise, Golden and Veiga (2008) found that employees working remotely for extended periods often experience reduced communication with colleagues and weaker organisational relationships. Siddika (2025) </w:t>
      </w:r>
      <w:r w:rsidR="63407672">
        <w:rPr/>
        <w:t xml:space="preserve">on a similair wavelength </w:t>
      </w:r>
      <w:r w:rsidR="6FB4357F">
        <w:rPr/>
        <w:t xml:space="preserve">concludes that although hybrid working can positively influence engagement through increased flexibility, these benefits depend on effective leadership, </w:t>
      </w:r>
      <w:r w:rsidR="6FB4357F">
        <w:rPr/>
        <w:t>communication</w:t>
      </w:r>
      <w:r w:rsidR="6FB4357F">
        <w:rPr/>
        <w:t xml:space="preserve"> and organisational support. Contreras</w:t>
      </w:r>
      <w:r w:rsidR="2B27A835">
        <w:rPr/>
        <w:t xml:space="preserve"> et al.</w:t>
      </w:r>
      <w:r w:rsidR="6FB4357F">
        <w:rPr/>
        <w:t xml:space="preserve"> (2020) further argue that leaders play a critical role in </w:t>
      </w:r>
      <w:r w:rsidR="6FB4357F">
        <w:rPr/>
        <w:t>maintaining</w:t>
      </w:r>
      <w:r w:rsidR="6FB4357F">
        <w:rPr/>
        <w:t xml:space="preserve"> trust, </w:t>
      </w:r>
      <w:r w:rsidR="6FB4357F">
        <w:rPr/>
        <w:t>collaboration</w:t>
      </w:r>
      <w:r w:rsidR="6FB4357F">
        <w:rPr/>
        <w:t xml:space="preserve"> and employee wellbeing within virtual and hybrid teams, suggesting that management practices significantly influence employee engagement.</w:t>
      </w:r>
    </w:p>
    <w:p w:rsidR="0B73F07F" w:rsidP="0484DC14" w:rsidRDefault="0B73F07F" w14:paraId="7C467724" w14:textId="6789E189">
      <w:pPr>
        <w:pStyle w:val="Normal"/>
      </w:pPr>
      <w:r w:rsidR="0B73F07F">
        <w:rPr/>
        <w:t>Th</w:t>
      </w:r>
      <w:r w:rsidR="071EE034">
        <w:rPr/>
        <w:t xml:space="preserve">is </w:t>
      </w:r>
      <w:r w:rsidR="0B73F07F">
        <w:rPr/>
        <w:t xml:space="preserve">increasing prevalence of hybrid working has also prompted organisations to reconsider how they attract, </w:t>
      </w:r>
      <w:r w:rsidR="0B73F07F">
        <w:rPr/>
        <w:t>retain</w:t>
      </w:r>
      <w:r w:rsidR="0B73F07F">
        <w:rPr/>
        <w:t xml:space="preserve"> and</w:t>
      </w:r>
      <w:r w:rsidR="64B27CEF">
        <w:rPr/>
        <w:t xml:space="preserve"> then</w:t>
      </w:r>
      <w:r w:rsidR="0B73F07F">
        <w:rPr/>
        <w:t xml:space="preserve"> manage employees in a competitive labour market. Flexible working arrangements are no longer viewed solely as an employee benefit but as a strategic management practice that can influence organisational performance and employer attractiveness. Allen</w:t>
      </w:r>
      <w:r w:rsidR="14545839">
        <w:rPr/>
        <w:t xml:space="preserve"> et al. </w:t>
      </w:r>
      <w:r w:rsidR="0B73F07F">
        <w:rPr/>
        <w:t xml:space="preserve">(2015) argue that flexible working arrangements provide employees with greater autonomy and work-life balance, leading to higher job satisfaction and organisational commitment. Similarly, Gajendran and Harrison (2007), through a meta-analysis of teleworking studies, found that flexible working is associated with improved job satisfaction, lower work-family </w:t>
      </w:r>
      <w:r w:rsidR="0B73F07F">
        <w:rPr/>
        <w:t>conflict</w:t>
      </w:r>
      <w:r w:rsidR="0B73F07F">
        <w:rPr/>
        <w:t xml:space="preserve"> and stronger organisational commitment, although these benefits vary depending on the level of organisational support provided. These findings suggest that hybrid working has the potential to create value for both employees and organisations when implemented effectively.</w:t>
      </w:r>
    </w:p>
    <w:p w:rsidR="0B73F07F" w:rsidP="0484DC14" w:rsidRDefault="0B73F07F" w14:paraId="760A56D7" w14:textId="0301E31A">
      <w:pPr>
        <w:pStyle w:val="Normal"/>
        <w:suppressLineNumbers w:val="0"/>
        <w:bidi w:val="0"/>
        <w:spacing w:before="0" w:beforeAutospacing="off" w:after="160" w:afterAutospacing="off" w:line="279" w:lineRule="auto"/>
        <w:ind w:left="0" w:right="0"/>
        <w:jc w:val="left"/>
      </w:pPr>
      <w:r w:rsidR="0B73F07F">
        <w:rPr/>
        <w:t xml:space="preserve">Despite these advantages, the literature </w:t>
      </w:r>
      <w:r w:rsidR="0B73F07F">
        <w:rPr/>
        <w:t>demonstrates</w:t>
      </w:r>
      <w:r w:rsidR="0B73F07F">
        <w:rPr/>
        <w:t xml:space="preserve"> that successful hybrid working requires more than simply offering flexibility. Wang et al. (2021) argue that organisations must redesign work practices to overcome challenges such as social isolation, reduced </w:t>
      </w:r>
      <w:r w:rsidR="0B73F07F">
        <w:rPr/>
        <w:t>collaboration</w:t>
      </w:r>
      <w:r w:rsidR="0B73F07F">
        <w:rPr/>
        <w:t xml:space="preserve"> and blurred work-life boundaries. Furthermore, </w:t>
      </w:r>
      <w:r w:rsidR="7E30E955">
        <w:rPr/>
        <w:t xml:space="preserve">a more recent study by </w:t>
      </w:r>
      <w:r w:rsidR="0B73F07F">
        <w:rPr/>
        <w:t>Contreras</w:t>
      </w:r>
      <w:r w:rsidR="1912B982">
        <w:rPr/>
        <w:t xml:space="preserve"> et al.</w:t>
      </w:r>
      <w:r w:rsidR="0B73F07F">
        <w:rPr/>
        <w:t xml:space="preserve"> (2020) </w:t>
      </w:r>
      <w:r w:rsidR="65560FAF">
        <w:rPr/>
        <w:t xml:space="preserve">argues </w:t>
      </w:r>
      <w:r w:rsidR="0B73F07F">
        <w:rPr/>
        <w:t xml:space="preserve">that leadership has become increasingly important within hybrid and virtual environments, </w:t>
      </w:r>
      <w:r w:rsidR="0B73F07F">
        <w:rPr/>
        <w:t xml:space="preserve">with managers playing </w:t>
      </w:r>
      <w:r w:rsidR="0B73F07F">
        <w:rPr/>
        <w:t>a central role</w:t>
      </w:r>
      <w:r w:rsidR="0B73F07F">
        <w:rPr/>
        <w:t xml:space="preserve"> in </w:t>
      </w:r>
      <w:r w:rsidR="0B73F07F">
        <w:rPr/>
        <w:t>maintaining</w:t>
      </w:r>
      <w:r w:rsidR="0B73F07F">
        <w:rPr/>
        <w:t xml:space="preserve"> communication, </w:t>
      </w:r>
      <w:r w:rsidR="0B73F07F">
        <w:rPr/>
        <w:t>trust</w:t>
      </w:r>
      <w:r w:rsidR="0B73F07F">
        <w:rPr/>
        <w:t xml:space="preserve"> and team cohesion. Collectively, these studies </w:t>
      </w:r>
      <w:r w:rsidR="0B73F07F">
        <w:rPr/>
        <w:t>indicate</w:t>
      </w:r>
      <w:r w:rsidR="0B73F07F">
        <w:rPr/>
        <w:t xml:space="preserve"> that the success of hybrid working depends not only on where employees work but also on how organisations manage flexible working arrangements. This reinforces the need for further research exploring employees' </w:t>
      </w:r>
      <w:r w:rsidR="0B73F07F">
        <w:rPr/>
        <w:t>perceptions</w:t>
      </w:r>
      <w:r w:rsidR="0B73F07F">
        <w:rPr/>
        <w:t xml:space="preserve"> of hybrid working and its influence on engagement within contemporary organisations.</w:t>
      </w:r>
    </w:p>
    <w:p w:rsidR="6FB4357F" w:rsidP="0484DC14" w:rsidRDefault="6FB4357F" w14:paraId="22AC8CCD" w14:textId="52082612">
      <w:pPr>
        <w:pStyle w:val="Normal"/>
      </w:pPr>
      <w:r w:rsidR="6FB4357F">
        <w:rPr/>
        <w:t xml:space="preserve">Despite </w:t>
      </w:r>
      <w:r w:rsidR="4AA9FA4A">
        <w:rPr/>
        <w:t>all of</w:t>
      </w:r>
      <w:r w:rsidR="4AA9FA4A">
        <w:rPr/>
        <w:t xml:space="preserve"> this growing amount of</w:t>
      </w:r>
      <w:r w:rsidR="6FB4357F">
        <w:rPr/>
        <w:t xml:space="preserve"> literature, </w:t>
      </w:r>
      <w:r w:rsidR="66012151">
        <w:rPr/>
        <w:t>there are lots of</w:t>
      </w:r>
      <w:r w:rsidR="6FB4357F">
        <w:rPr/>
        <w:t xml:space="preserve"> </w:t>
      </w:r>
      <w:r w:rsidR="6FB4357F">
        <w:rPr/>
        <w:t xml:space="preserve">limitations </w:t>
      </w:r>
      <w:r w:rsidR="2151D9CF">
        <w:rPr/>
        <w:t>still remaining</w:t>
      </w:r>
      <w:r w:rsidR="6FB4357F">
        <w:rPr/>
        <w:t xml:space="preserve">. Much of the existing research focuses on productivity, organisational </w:t>
      </w:r>
      <w:r w:rsidR="6FB4357F">
        <w:rPr/>
        <w:t>performance</w:t>
      </w:r>
      <w:r w:rsidR="6FB4357F">
        <w:rPr/>
        <w:t xml:space="preserve"> or fully remote working rather than </w:t>
      </w:r>
      <w:r w:rsidR="15A27553">
        <w:rPr/>
        <w:t xml:space="preserve">the lived experiences of </w:t>
      </w:r>
      <w:r w:rsidR="6FB4357F">
        <w:rPr/>
        <w:t>employees</w:t>
      </w:r>
      <w:r w:rsidR="6C2672FC">
        <w:rPr/>
        <w:t xml:space="preserve"> </w:t>
      </w:r>
      <w:r w:rsidR="4825FD83">
        <w:rPr/>
        <w:t>experiencing</w:t>
      </w:r>
      <w:r w:rsidR="6FB4357F">
        <w:rPr/>
        <w:t xml:space="preserve"> hybrid working. In addition, many studies rely </w:t>
      </w:r>
      <w:r w:rsidR="6FB4357F">
        <w:rPr/>
        <w:t>predominantly on</w:t>
      </w:r>
      <w:r w:rsidR="6FB4357F">
        <w:rPr/>
        <w:t xml:space="preserve"> quantitative survey methods, </w:t>
      </w:r>
      <w:r w:rsidR="6FB4357F">
        <w:rPr/>
        <w:t>providing</w:t>
      </w:r>
      <w:r w:rsidR="6FB4357F">
        <w:rPr/>
        <w:t xml:space="preserve"> limited insight into how employees perceive engagement within hybrid working environments. There is also relatively little qualitative research examining these issues within UK organisations. Therefore, this study </w:t>
      </w:r>
      <w:r w:rsidR="6FB4357F">
        <w:rPr/>
        <w:t>seeks</w:t>
      </w:r>
      <w:r w:rsidR="6FB4357F">
        <w:rPr/>
        <w:t xml:space="preserve"> to address this gap by exploring employees' experiences of hybrid working and examining how organisational practices influence engagement, contributing a richer understanding of employee engagement within contemporary hybrid workplaces.</w:t>
      </w:r>
    </w:p>
    <w:p w:rsidR="0484DC14" w:rsidP="0484DC14" w:rsidRDefault="0484DC14" w14:paraId="0FD12DBB" w14:textId="6EB76FBD">
      <w:pPr>
        <w:pStyle w:val="Normal"/>
      </w:pPr>
    </w:p>
    <w:p w:rsidR="17AB9F81" w:rsidP="0484DC14" w:rsidRDefault="17AB9F81" w14:paraId="5B9BFFC1" w14:textId="7AAE417A">
      <w:pPr>
        <w:rPr>
          <w:b w:val="1"/>
          <w:bCs w:val="1"/>
        </w:rPr>
      </w:pPr>
      <w:r w:rsidRPr="0484DC14" w:rsidR="17AB9F81">
        <w:rPr>
          <w:b w:val="1"/>
          <w:bCs w:val="1"/>
        </w:rPr>
        <w:t xml:space="preserve">Methodology: </w:t>
      </w:r>
    </w:p>
    <w:p w:rsidR="7003F815" w:rsidRDefault="7003F815" w14:paraId="027F0A2A" w14:textId="388F762C">
      <w:r w:rsidR="7003F815">
        <w:rPr/>
        <w:t xml:space="preserve">Research methodology provides the overall framework that guides the collection, </w:t>
      </w:r>
      <w:r w:rsidR="7003F815">
        <w:rPr/>
        <w:t>analysis</w:t>
      </w:r>
      <w:r w:rsidR="7003F815">
        <w:rPr/>
        <w:t xml:space="preserve"> and interpretation of data, ensuring that the research addresses its aim and </w:t>
      </w:r>
      <w:r w:rsidR="7003F815">
        <w:rPr/>
        <w:t>objectives</w:t>
      </w:r>
      <w:r w:rsidR="7003F815">
        <w:rPr/>
        <w:t xml:space="preserve"> systematically (Saunders et al., 2023). This study </w:t>
      </w:r>
      <w:r w:rsidR="42E41E7B">
        <w:rPr/>
        <w:t>suggest</w:t>
      </w:r>
      <w:r w:rsidR="7003F815">
        <w:rPr/>
        <w:t xml:space="preserve">s taking an interpretivist research philosophy, as the research </w:t>
      </w:r>
      <w:r w:rsidR="7003F815">
        <w:rPr/>
        <w:t>seeks</w:t>
      </w:r>
      <w:r w:rsidR="7003F815">
        <w:rPr/>
        <w:t xml:space="preserve"> to understand employees' individual experiences and </w:t>
      </w:r>
      <w:r w:rsidR="7003F815">
        <w:rPr/>
        <w:t>perceptions</w:t>
      </w:r>
      <w:r w:rsidR="7003F815">
        <w:rPr/>
        <w:t xml:space="preserve"> of hybrid working rather than </w:t>
      </w:r>
      <w:r w:rsidR="7003F815">
        <w:rPr/>
        <w:t>establish</w:t>
      </w:r>
      <w:r w:rsidR="7003F815">
        <w:rPr/>
        <w:t xml:space="preserve"> </w:t>
      </w:r>
      <w:r w:rsidR="7003F815">
        <w:rPr/>
        <w:t>objective</w:t>
      </w:r>
      <w:r w:rsidR="7003F815">
        <w:rPr/>
        <w:t xml:space="preserve"> or universally applicable findings. According to Creswell and Creswell (2023), interpretivism is </w:t>
      </w:r>
      <w:r w:rsidR="7003F815">
        <w:rPr/>
        <w:t>appropriate when</w:t>
      </w:r>
      <w:r w:rsidR="7003F815">
        <w:rPr/>
        <w:t xml:space="preserve"> researchers aim to explore how individuals interpret and make sense of their experiences within a particular social context. As employee engagement is shaped by personal attitudes, organisational culture and individual experiences, an interpretivist stance is considered most suitable for this study.</w:t>
      </w:r>
    </w:p>
    <w:p w:rsidR="7003F815" w:rsidP="0484DC14" w:rsidRDefault="7003F815" w14:paraId="185B55B2" w14:textId="33172B34">
      <w:pPr>
        <w:pStyle w:val="Normal"/>
      </w:pPr>
      <w:r w:rsidR="7003F815">
        <w:rPr/>
        <w:t>Consistent with this philosophy, the research will adopt an inductive approach, whereby patterns and themes will emerge from participants' responses rather than testing a predetermined hypothesis (Bryman and Bell, 2023). An inductive approach is particularly appropriate when investigating contemporary management issues that require an in-depth understanding of participants' perspectives (Gray, 2021). The study will employ a qualitative methodology, allowing rich and detailed insights into employees' experiences of hybrid working. Flick (2023) argues that qualitative research enables researchers to explore participants' views in greater depth than quantitative methods alone, making it particularly valuable when examining workplace experiences and behaviours.</w:t>
      </w:r>
    </w:p>
    <w:p w:rsidR="7003F815" w:rsidP="0484DC14" w:rsidRDefault="7003F815" w14:paraId="5D38C1EC" w14:textId="481390E4">
      <w:pPr>
        <w:pStyle w:val="Normal"/>
      </w:pPr>
      <w:r w:rsidR="7003F815">
        <w:rPr/>
        <w:t>Primary data will be collected through an online questionnaire consisting primarily of open-ended questions. While interviews often provide greater depth, online questionnaires offer a practical and time-efficient method of gathering qualitative data from participants working across different geographical locations. Open-ended questions will encourage respondents to describe their experiences, perceptions and opinions in their own words, generating detailed responses relevant to the research objectives (Creswell and Creswell, 2023). The questionnaire will include questions exploring employees' experiences of hybrid working, perceived levels of engagement, communication with colleagues and managers, and the benefits and challenges associated with flexible working arrangements.</w:t>
      </w:r>
    </w:p>
    <w:p w:rsidR="7003F815" w:rsidP="0484DC14" w:rsidRDefault="7003F815" w14:paraId="5DDECA17" w14:textId="1EA13C28">
      <w:pPr>
        <w:pStyle w:val="Normal"/>
      </w:pPr>
      <w:r w:rsidR="7003F815">
        <w:rPr/>
        <w:t xml:space="preserve">The target population will consist of employees currently working in hybrid roles within organisations across the United Kingdom. A purposive sampling strategy will be adopted, selecting participants who have direct experience of hybrid working and are therefore best positioned to </w:t>
      </w:r>
      <w:r w:rsidR="7003F815">
        <w:rPr/>
        <w:t>provide</w:t>
      </w:r>
      <w:r w:rsidR="7003F815">
        <w:rPr/>
        <w:t xml:space="preserve"> relevant insights (Saunders</w:t>
      </w:r>
      <w:r w:rsidR="5AC48361">
        <w:rPr/>
        <w:t xml:space="preserve"> et al.,</w:t>
      </w:r>
      <w:r w:rsidR="7003F815">
        <w:rPr/>
        <w:t xml:space="preserve"> 2023). </w:t>
      </w:r>
      <w:r w:rsidR="7003F815">
        <w:rPr/>
        <w:t>Approximately 20</w:t>
      </w:r>
      <w:r w:rsidR="7003F815">
        <w:rPr/>
        <w:t xml:space="preserve">–30 participants will be recruited through professional networking platforms such as LinkedIn and personal contacts, providing sufficient data to </w:t>
      </w:r>
      <w:r w:rsidR="7003F815">
        <w:rPr/>
        <w:t>identify</w:t>
      </w:r>
      <w:r w:rsidR="7003F815">
        <w:rPr/>
        <w:t xml:space="preserve"> recurring themes while </w:t>
      </w:r>
      <w:r w:rsidR="7003F815">
        <w:rPr/>
        <w:t>remaining</w:t>
      </w:r>
      <w:r w:rsidR="7003F815">
        <w:rPr/>
        <w:t xml:space="preserve"> manageable within the scope of </w:t>
      </w:r>
      <w:r w:rsidR="2CE3C07B">
        <w:rPr/>
        <w:t xml:space="preserve">this </w:t>
      </w:r>
      <w:r w:rsidR="7003F815">
        <w:rPr/>
        <w:t>research project.</w:t>
      </w:r>
    </w:p>
    <w:p w:rsidR="7003F815" w:rsidP="0484DC14" w:rsidRDefault="7003F815" w14:paraId="41A52F1A" w14:textId="274A7FFE">
      <w:pPr>
        <w:pStyle w:val="Normal"/>
      </w:pPr>
      <w:r w:rsidR="7003F815">
        <w:rPr/>
        <w:t xml:space="preserve">The qualitative data will be analysed using thematic analysis, following the principles outlined by Braun and Clarke (2022). This method involves familiarisation with the data, systematic coding of responses, </w:t>
      </w:r>
      <w:r w:rsidR="7003F815">
        <w:rPr/>
        <w:t>identifying</w:t>
      </w:r>
      <w:r w:rsidR="7003F815">
        <w:rPr/>
        <w:t xml:space="preserve"> recurring patterns and grouping these into broader themes that address the research </w:t>
      </w:r>
      <w:r w:rsidR="7003F815">
        <w:rPr/>
        <w:t>objectives</w:t>
      </w:r>
      <w:r w:rsidR="7003F815">
        <w:rPr/>
        <w:t xml:space="preserve">. Braun and Clarke (2022) argue that thematic analysis provides a flexible and rigorous approach for </w:t>
      </w:r>
      <w:r w:rsidR="7003F815">
        <w:rPr/>
        <w:t>identifying</w:t>
      </w:r>
      <w:r w:rsidR="7003F815">
        <w:rPr/>
        <w:t xml:space="preserve"> meaning within qualitative datasets, making it well suited to interpretivist research. The findings will be organised into key themes, such as</w:t>
      </w:r>
      <w:r w:rsidR="0A7C0222">
        <w:rPr/>
        <w:t>:</w:t>
      </w:r>
    </w:p>
    <w:p w:rsidR="0A7C0222" w:rsidP="0484DC14" w:rsidRDefault="0A7C0222" w14:paraId="39749FA1" w14:textId="15B78359">
      <w:pPr>
        <w:pStyle w:val="ListParagraph"/>
        <w:numPr>
          <w:ilvl w:val="0"/>
          <w:numId w:val="2"/>
        </w:numPr>
        <w:spacing w:after="0" w:afterAutospacing="off"/>
        <w:rPr/>
      </w:pPr>
      <w:r w:rsidR="0A7C0222">
        <w:rPr/>
        <w:t>E</w:t>
      </w:r>
      <w:r w:rsidR="7003F815">
        <w:rPr/>
        <w:t>mployee engagement</w:t>
      </w:r>
    </w:p>
    <w:p w:rsidR="0B4963FA" w:rsidP="0484DC14" w:rsidRDefault="0B4963FA" w14:paraId="301F0A9E" w14:textId="7353AB18">
      <w:pPr>
        <w:pStyle w:val="ListParagraph"/>
        <w:numPr>
          <w:ilvl w:val="0"/>
          <w:numId w:val="2"/>
        </w:numPr>
        <w:spacing w:after="0" w:afterAutospacing="off"/>
        <w:rPr/>
      </w:pPr>
      <w:r w:rsidR="0B4963FA">
        <w:rPr/>
        <w:t>C</w:t>
      </w:r>
      <w:r w:rsidR="7003F815">
        <w:rPr/>
        <w:t>ommunication</w:t>
      </w:r>
    </w:p>
    <w:p w:rsidR="5219E27C" w:rsidP="0484DC14" w:rsidRDefault="5219E27C" w14:paraId="23F3B803" w14:textId="147B2678">
      <w:pPr>
        <w:pStyle w:val="ListParagraph"/>
        <w:numPr>
          <w:ilvl w:val="0"/>
          <w:numId w:val="2"/>
        </w:numPr>
        <w:spacing w:after="0" w:afterAutospacing="off"/>
        <w:rPr/>
      </w:pPr>
      <w:r w:rsidR="5219E27C">
        <w:rPr/>
        <w:t>W</w:t>
      </w:r>
      <w:r w:rsidR="7003F815">
        <w:rPr/>
        <w:t xml:space="preserve">ork-life balance </w:t>
      </w:r>
    </w:p>
    <w:p w:rsidR="7113E2E6" w:rsidP="0484DC14" w:rsidRDefault="7113E2E6" w14:paraId="59CB87BA" w14:textId="3874BF07">
      <w:pPr>
        <w:pStyle w:val="ListParagraph"/>
        <w:numPr>
          <w:ilvl w:val="0"/>
          <w:numId w:val="2"/>
        </w:numPr>
        <w:spacing w:after="0" w:afterAutospacing="off"/>
        <w:rPr/>
      </w:pPr>
      <w:r w:rsidR="7113E2E6">
        <w:rPr/>
        <w:t>O</w:t>
      </w:r>
      <w:r w:rsidR="7003F815">
        <w:rPr/>
        <w:t>rganisational support</w:t>
      </w:r>
    </w:p>
    <w:p w:rsidR="0484DC14" w:rsidP="0484DC14" w:rsidRDefault="0484DC14" w14:paraId="774C1768" w14:textId="60587866">
      <w:pPr>
        <w:pStyle w:val="Normal"/>
        <w:spacing w:after="0" w:afterAutospacing="off"/>
        <w:ind w:left="0"/>
      </w:pPr>
    </w:p>
    <w:p w:rsidR="0C756E7E" w:rsidP="0484DC14" w:rsidRDefault="0C756E7E" w14:paraId="098367F5" w14:textId="4F4A5114">
      <w:pPr>
        <w:pStyle w:val="Normal"/>
        <w:spacing w:after="0" w:afterAutospacing="off"/>
        <w:ind w:left="0"/>
      </w:pPr>
      <w:r w:rsidR="0C756E7E">
        <w:rPr/>
        <w:t>This will e</w:t>
      </w:r>
      <w:r w:rsidR="7003F815">
        <w:rPr/>
        <w:t>nabl</w:t>
      </w:r>
      <w:r w:rsidR="49DF656B">
        <w:rPr/>
        <w:t>e</w:t>
      </w:r>
      <w:r w:rsidR="7003F815">
        <w:rPr/>
        <w:t xml:space="preserve"> meaningful interpretation of participants' experiences.</w:t>
      </w:r>
      <w:r w:rsidR="3DEB1272">
        <w:rPr/>
        <w:t xml:space="preserve"> </w:t>
      </w:r>
    </w:p>
    <w:p w:rsidR="0484DC14" w:rsidP="0484DC14" w:rsidRDefault="0484DC14" w14:paraId="4889F8EA" w14:textId="2928DFE1">
      <w:pPr>
        <w:pStyle w:val="Normal"/>
        <w:spacing w:after="0" w:afterAutospacing="off"/>
        <w:ind w:left="0"/>
      </w:pPr>
    </w:p>
    <w:p w:rsidR="3DEB1272" w:rsidP="0484DC14" w:rsidRDefault="3DEB1272" w14:paraId="0047AF9E" w14:textId="5D6F0045">
      <w:pPr>
        <w:pStyle w:val="Normal"/>
        <w:spacing w:after="0" w:afterAutospacing="off"/>
        <w:ind w:left="0"/>
      </w:pPr>
      <w:r w:rsidR="3DEB1272">
        <w:rPr/>
        <w:t>Furthermore, e</w:t>
      </w:r>
      <w:r w:rsidR="7003F815">
        <w:rPr/>
        <w:t>thical considerations are fundamental throughout the research process (Saunders</w:t>
      </w:r>
      <w:r w:rsidR="4F5012E5">
        <w:rPr/>
        <w:t xml:space="preserve"> et al.</w:t>
      </w:r>
      <w:r w:rsidR="7003F815">
        <w:rPr/>
        <w:t>, 2023). Prior to data collection, ethical approval will be obtained from the university. Participants will receive an information sheet explaining the purpose of the study and will provide informed consent before completing the questionnaire. Participation will be entirely voluntary, with respondents informed of their right to withdraw at any stage without consequence. T</w:t>
      </w:r>
      <w:r w:rsidR="7003F815">
        <w:rPr/>
        <w:t>o</w:t>
      </w:r>
      <w:r w:rsidR="7003F815">
        <w:rPr/>
        <w:t xml:space="preserve"> </w:t>
      </w:r>
      <w:r w:rsidR="7003F815">
        <w:rPr/>
        <w:t>mainta</w:t>
      </w:r>
      <w:r w:rsidR="7003F815">
        <w:rPr/>
        <w:t>i</w:t>
      </w:r>
      <w:r w:rsidR="7003F815">
        <w:rPr/>
        <w:t>n</w:t>
      </w:r>
      <w:r w:rsidR="7003F815">
        <w:rPr/>
        <w:t xml:space="preserve"> confidentiality and anonymity, no personally identifiable information will be collected, and all responses will be stored securel</w:t>
      </w:r>
      <w:r w:rsidR="7003F815">
        <w:rPr/>
        <w:t>y</w:t>
      </w:r>
      <w:r w:rsidR="7003F815">
        <w:rPr/>
        <w:t xml:space="preserve"> </w:t>
      </w:r>
      <w:r w:rsidR="7003F815">
        <w:rPr/>
        <w:t>in accordance wi</w:t>
      </w:r>
      <w:r w:rsidR="7003F815">
        <w:rPr/>
        <w:t>t</w:t>
      </w:r>
      <w:r w:rsidR="7003F815">
        <w:rPr/>
        <w:t>h</w:t>
      </w:r>
      <w:r w:rsidR="7003F815">
        <w:rPr/>
        <w:t xml:space="preserve"> university ethical requirements and relevant data protection legislation. Bryman and Bell (2023) emphasise that protecting participants' privacy and ensuring informed consent are essential principles of ethical business research.</w:t>
      </w:r>
    </w:p>
    <w:p w:rsidR="0484DC14" w:rsidP="0484DC14" w:rsidRDefault="0484DC14" w14:paraId="1B8C9F08" w14:textId="66A8C373">
      <w:pPr>
        <w:pStyle w:val="Normal"/>
        <w:spacing w:after="0" w:afterAutospacing="off"/>
        <w:ind w:left="0"/>
      </w:pPr>
    </w:p>
    <w:p w:rsidR="7003F815" w:rsidP="0484DC14" w:rsidRDefault="7003F815" w14:paraId="6373BD86" w14:textId="264FC01A">
      <w:pPr>
        <w:pStyle w:val="Normal"/>
      </w:pPr>
      <w:r w:rsidR="7003F815">
        <w:rPr/>
        <w:t>Despite these strengths, several limitations should be acknowledged. The use of purposive sampling may reduce the generalisability of the findings, as participants may not represent the wider UK workforce (Gray, 2021). In addition, online questionnaires may generate shorter or less detailed responses than face-to-face interviews, limiting opportunities to probe participants' answers (Flick, 2023). Furthermore, participants' responses may be influenced by personal bias or individual organisational experiences. Nevertheless, adopting a qualitative, interpretivist approach will enable the research to generate valuable insights into employees' experiences of hybrid working, contributing to a deeper understanding of how hybrid working influences employee engagement within UK organisations.</w:t>
      </w:r>
    </w:p>
    <w:p w:rsidR="0484DC14" w:rsidP="0484DC14" w:rsidRDefault="0484DC14" w14:paraId="726A3E9B" w14:textId="2D1BBE23">
      <w:pPr>
        <w:pStyle w:val="Normal"/>
      </w:pPr>
    </w:p>
    <w:p w:rsidR="11047879" w:rsidP="0484DC14" w:rsidRDefault="11047879" w14:paraId="33C4DCC0" w14:textId="14D2AC3D">
      <w:pPr>
        <w:pStyle w:val="Normal"/>
        <w:spacing w:after="0" w:afterAutospacing="off"/>
        <w:rPr>
          <w:b w:val="1"/>
          <w:bCs w:val="1"/>
        </w:rPr>
      </w:pPr>
      <w:r w:rsidRPr="0484DC14" w:rsidR="11047879">
        <w:rPr>
          <w:b w:val="1"/>
          <w:bCs w:val="1"/>
        </w:rPr>
        <w:t xml:space="preserve">Project Plan and Timeline </w:t>
      </w:r>
    </w:p>
    <w:p w:rsidR="0484DC14" w:rsidP="0484DC14" w:rsidRDefault="0484DC14" w14:paraId="3BC83714" w14:textId="28E2ADAF">
      <w:pPr>
        <w:pStyle w:val="Normal"/>
        <w:spacing w:after="0" w:afterAutospacing="off"/>
        <w:rPr>
          <w:b w:val="1"/>
          <w:bCs w:val="1"/>
        </w:rPr>
      </w:pPr>
    </w:p>
    <w:p w:rsidR="11047879" w:rsidP="0484DC14" w:rsidRDefault="11047879" w14:paraId="0F1A064E" w14:textId="250D65C1">
      <w:pPr>
        <w:pStyle w:val="Normal"/>
        <w:spacing w:after="0" w:afterAutospacing="off"/>
      </w:pPr>
      <w:r w:rsidR="11047879">
        <w:rPr/>
        <w:t xml:space="preserve">A structured project plan is </w:t>
      </w:r>
      <w:r w:rsidR="3B7AAC12">
        <w:rPr/>
        <w:t xml:space="preserve">definitely </w:t>
      </w:r>
      <w:r w:rsidR="11047879">
        <w:rPr/>
        <w:t xml:space="preserve">essential to ensure that the research is completed within the </w:t>
      </w:r>
      <w:r w:rsidR="11047879">
        <w:rPr/>
        <w:t>allocated</w:t>
      </w:r>
      <w:r w:rsidR="11047879">
        <w:rPr/>
        <w:t xml:space="preserve"> timeframe while maintaining the quality, </w:t>
      </w:r>
      <w:r w:rsidR="11047879">
        <w:rPr/>
        <w:t>reliability</w:t>
      </w:r>
      <w:r w:rsidR="11047879">
        <w:rPr/>
        <w:t xml:space="preserve"> and ethical integrity of the study (Murray, 2023). Saunders et al. (2023) emphasise that careful planning enables researchers to manage time effectively, </w:t>
      </w:r>
      <w:r w:rsidR="11047879">
        <w:rPr/>
        <w:t>monitor</w:t>
      </w:r>
      <w:r w:rsidR="11047879">
        <w:rPr/>
        <w:t xml:space="preserve"> progress against key milestones and ensure that each stage of the research aligns with the overall aim and </w:t>
      </w:r>
      <w:r w:rsidR="11047879">
        <w:rPr/>
        <w:t>objectives</w:t>
      </w:r>
      <w:r w:rsidR="11047879">
        <w:rPr/>
        <w:t>.</w:t>
      </w:r>
    </w:p>
    <w:p w:rsidR="11047879" w:rsidP="0484DC14" w:rsidRDefault="11047879" w14:paraId="0C4701E7" w14:textId="7DFC91DE">
      <w:pPr>
        <w:pStyle w:val="Normal"/>
        <w:spacing w:after="0" w:afterAutospacing="off"/>
      </w:pPr>
      <w:r w:rsidR="11047879">
        <w:rPr/>
        <w:t>The proposed project will be completed over a twelve-week period. The first milestone will be the completion of the literature review and research proposal by the end of Week 3, providing the theoretical foundation for the study. The second milestone will be obtaining university ethical approval by Week 5</w:t>
      </w:r>
      <w:r w:rsidR="6C3E113F">
        <w:rPr/>
        <w:t>, although this may need to be completed earlier as this can potentially take time. But this will</w:t>
      </w:r>
      <w:r w:rsidR="11047879">
        <w:rPr/>
        <w:t xml:space="preserve"> allow participant recruitment and data collection to </w:t>
      </w:r>
      <w:r w:rsidR="11047879">
        <w:rPr/>
        <w:t>commence</w:t>
      </w:r>
      <w:r w:rsidR="11047879">
        <w:rPr/>
        <w:t>. The third milestone will involve completing data collection through an online questionnaire by the end of Week 7. The fourth milestone will be the completion of thematic analysis and interpretation of the findings by Week 10. The final milestone will be the completion of proofreading</w:t>
      </w:r>
      <w:r w:rsidR="1E51196F">
        <w:rPr/>
        <w:t>. F</w:t>
      </w:r>
      <w:r w:rsidR="11047879">
        <w:rPr/>
        <w:t xml:space="preserve">inal </w:t>
      </w:r>
      <w:r w:rsidR="11047879">
        <w:rPr/>
        <w:t>revisions</w:t>
      </w:r>
      <w:r w:rsidR="11047879">
        <w:rPr/>
        <w:t xml:space="preserve"> </w:t>
      </w:r>
      <w:r w:rsidR="34E3AD96">
        <w:rPr/>
        <w:t xml:space="preserve">will be made </w:t>
      </w:r>
      <w:r w:rsidR="11047879">
        <w:rPr/>
        <w:t xml:space="preserve">and submission of the completed research project by the end of Week 12. The proposed schedule is illustrated in </w:t>
      </w:r>
      <w:r w:rsidR="051F05B8">
        <w:rPr/>
        <w:t xml:space="preserve">a </w:t>
      </w:r>
      <w:r w:rsidR="259079F4">
        <w:rPr/>
        <w:t>table</w:t>
      </w:r>
      <w:r w:rsidR="48FEA225">
        <w:rPr/>
        <w:t xml:space="preserve"> format</w:t>
      </w:r>
      <w:r w:rsidR="259079F4">
        <w:rPr/>
        <w:t xml:space="preserve"> </w:t>
      </w:r>
      <w:r w:rsidR="57383FFE">
        <w:rPr/>
        <w:t xml:space="preserve">(Appendix 1) </w:t>
      </w:r>
      <w:r w:rsidR="4638192F">
        <w:rPr/>
        <w:t>show</w:t>
      </w:r>
      <w:r w:rsidR="11047879">
        <w:rPr/>
        <w:t xml:space="preserve">ing </w:t>
      </w:r>
      <w:r w:rsidR="11047879">
        <w:rPr/>
        <w:t>a realistic timeline for each stage of the research process.</w:t>
      </w:r>
      <w:r w:rsidR="70F6EED1">
        <w:rPr/>
        <w:t xml:space="preserve"> </w:t>
      </w:r>
    </w:p>
    <w:p w:rsidR="0484DC14" w:rsidP="0484DC14" w:rsidRDefault="0484DC14" w14:paraId="375592E8" w14:textId="7DE5BE79">
      <w:pPr>
        <w:pStyle w:val="Normal"/>
      </w:pPr>
    </w:p>
    <w:p w:rsidR="0484DC14" w:rsidP="0484DC14" w:rsidRDefault="0484DC14" w14:paraId="6C322386" w14:textId="63F8B575">
      <w:pPr>
        <w:pStyle w:val="Normal"/>
      </w:pPr>
    </w:p>
    <w:p w:rsidR="0484DC14" w:rsidP="0484DC14" w:rsidRDefault="0484DC14" w14:paraId="0CB7F9E0" w14:textId="51004108">
      <w:pPr>
        <w:pStyle w:val="Normal"/>
      </w:pPr>
    </w:p>
    <w:p w:rsidR="0484DC14" w:rsidP="0484DC14" w:rsidRDefault="0484DC14" w14:paraId="6C5EED65" w14:textId="7CFE8320">
      <w:pPr>
        <w:pStyle w:val="Normal"/>
      </w:pPr>
    </w:p>
    <w:p w:rsidR="0484DC14" w:rsidP="0484DC14" w:rsidRDefault="0484DC14" w14:paraId="7A6933DB" w14:textId="1F10A325">
      <w:pPr>
        <w:pStyle w:val="Normal"/>
      </w:pPr>
    </w:p>
    <w:p w:rsidR="50B6A521" w:rsidP="0484DC14" w:rsidRDefault="50B6A521" w14:paraId="1A92A52D" w14:textId="1733EF36">
      <w:pPr>
        <w:pStyle w:val="Normal"/>
        <w:rPr>
          <w:b w:val="1"/>
          <w:bCs w:val="1"/>
        </w:rPr>
      </w:pPr>
      <w:r w:rsidRPr="0484DC14" w:rsidR="50B6A521">
        <w:rPr>
          <w:b w:val="1"/>
          <w:bCs w:val="1"/>
        </w:rPr>
        <w:t xml:space="preserve">References: </w:t>
      </w:r>
    </w:p>
    <w:p w:rsidR="0484DC14" w:rsidP="0484DC14" w:rsidRDefault="0484DC14" w14:paraId="661A92E1" w14:textId="050301B4">
      <w:pPr>
        <w:pStyle w:val="Normal"/>
        <w:spacing w:after="0" w:afterAutospacing="off"/>
      </w:pPr>
    </w:p>
    <w:p w:rsidR="50B6A521" w:rsidP="0484DC14" w:rsidRDefault="50B6A521" w14:paraId="601D478B" w14:textId="535E21F5">
      <w:pPr>
        <w:pStyle w:val="Normal"/>
      </w:pPr>
      <w:r w:rsidR="50B6A521">
        <w:rPr/>
        <w:t xml:space="preserve">Allen, T.D., Golden, T.D. and Shockley, K.M. (2015) 'How effective is telecommuting? Assessing the status of our scientific findings'. </w:t>
      </w:r>
      <w:r w:rsidRPr="0484DC14" w:rsidR="50B6A521">
        <w:rPr>
          <w:i w:val="1"/>
          <w:iCs w:val="1"/>
        </w:rPr>
        <w:t>Psychological Science in the Public Interest</w:t>
      </w:r>
      <w:r w:rsidR="50B6A521">
        <w:rPr/>
        <w:t>, 16(2), pp. 40-68.</w:t>
      </w:r>
      <w:r w:rsidR="77807B2C">
        <w:rPr/>
        <w:t xml:space="preserve"> DOI: </w:t>
      </w:r>
      <w:hyperlink r:id="R945d25a5b0cd4de3">
        <w:r w:rsidRPr="0484DC14" w:rsidR="77807B2C">
          <w:rPr>
            <w:rStyle w:val="Hyperlink"/>
          </w:rPr>
          <w:t>https://doi.org/10.1177/1529100615593273</w:t>
        </w:r>
      </w:hyperlink>
      <w:r w:rsidR="77807B2C">
        <w:rPr/>
        <w:t xml:space="preserve"> </w:t>
      </w:r>
    </w:p>
    <w:p w:rsidR="50B6A521" w:rsidP="0484DC14" w:rsidRDefault="50B6A521" w14:paraId="47BA668C" w14:textId="2E238F9A">
      <w:pPr>
        <w:pStyle w:val="Normal"/>
      </w:pPr>
      <w:r w:rsidR="50B6A521">
        <w:rPr/>
        <w:t xml:space="preserve">Bakker, A.B. and Demerouti, E. (2008) 'Towards a model of work engagement'. </w:t>
      </w:r>
      <w:r w:rsidRPr="0484DC14" w:rsidR="50B6A521">
        <w:rPr>
          <w:i w:val="1"/>
          <w:iCs w:val="1"/>
        </w:rPr>
        <w:t>Career Development International</w:t>
      </w:r>
      <w:r w:rsidR="50B6A521">
        <w:rPr/>
        <w:t>, 13(3), pp. 209-223.</w:t>
      </w:r>
      <w:r w:rsidR="030E60D3">
        <w:rPr/>
        <w:t xml:space="preserve"> DOI: </w:t>
      </w:r>
      <w:hyperlink r:id="R06f93aafd2c14248">
        <w:r w:rsidRPr="0484DC14" w:rsidR="030E60D3">
          <w:rPr>
            <w:rStyle w:val="Hyperlink"/>
          </w:rPr>
          <w:t>https://www.isonderhouden.nl/doc/pdf/arnoldbakker/articles/articles_arnold_bakker_164.pdf</w:t>
        </w:r>
      </w:hyperlink>
      <w:r w:rsidR="030E60D3">
        <w:rPr/>
        <w:t xml:space="preserve"> </w:t>
      </w:r>
    </w:p>
    <w:p w:rsidR="50B6A521" w:rsidP="0484DC14" w:rsidRDefault="50B6A521" w14:paraId="5928140E" w14:textId="59442027">
      <w:pPr>
        <w:pStyle w:val="Normal"/>
      </w:pPr>
      <w:r w:rsidR="50B6A521">
        <w:rPr/>
        <w:t xml:space="preserve">Bloom, N., Han, </w:t>
      </w:r>
      <w:r w:rsidR="50B6A521">
        <w:rPr/>
        <w:t>R.</w:t>
      </w:r>
      <w:r w:rsidR="50B6A521">
        <w:rPr/>
        <w:t xml:space="preserve"> and Liang, J. (2024) 'Hybrid working from home improves retention without damaging performance'. </w:t>
      </w:r>
      <w:r w:rsidRPr="0484DC14" w:rsidR="50B6A521">
        <w:rPr>
          <w:i w:val="1"/>
          <w:iCs w:val="1"/>
        </w:rPr>
        <w:t>Nature</w:t>
      </w:r>
      <w:r w:rsidR="50B6A521">
        <w:rPr/>
        <w:t>, Volume 630, pp. 920-925.</w:t>
      </w:r>
      <w:r w:rsidR="2353F525">
        <w:rPr/>
        <w:t xml:space="preserve"> DOI: </w:t>
      </w:r>
      <w:hyperlink r:id="R5746cba81f6a4c8e">
        <w:r w:rsidRPr="0484DC14" w:rsidR="2353F525">
          <w:rPr>
            <w:rStyle w:val="Hyperlink"/>
          </w:rPr>
          <w:t>https://doi.org/10.1038/s41586-024-07500-2</w:t>
        </w:r>
      </w:hyperlink>
      <w:r w:rsidR="2353F525">
        <w:rPr/>
        <w:t xml:space="preserve"> </w:t>
      </w:r>
    </w:p>
    <w:p w:rsidR="50B6A521" w:rsidP="0484DC14" w:rsidRDefault="50B6A521" w14:paraId="497ECCA9" w14:textId="3E658102">
      <w:pPr>
        <w:pStyle w:val="Normal"/>
      </w:pPr>
      <w:r w:rsidR="50B6A521">
        <w:rPr/>
        <w:t xml:space="preserve">Braun, V. and Clarke, V. (2022) </w:t>
      </w:r>
      <w:r w:rsidRPr="0484DC14" w:rsidR="50B6A521">
        <w:rPr>
          <w:i w:val="1"/>
          <w:iCs w:val="1"/>
        </w:rPr>
        <w:t>Thematic Analysis: A Practical Guide.</w:t>
      </w:r>
      <w:r w:rsidR="50B6A521">
        <w:rPr/>
        <w:t xml:space="preserve"> London: SAGE.</w:t>
      </w:r>
    </w:p>
    <w:p w:rsidR="50B6A521" w:rsidP="0484DC14" w:rsidRDefault="50B6A521" w14:paraId="789A12BA" w14:textId="7E5A8EED">
      <w:pPr>
        <w:pStyle w:val="Normal"/>
      </w:pPr>
      <w:r w:rsidR="50B6A521">
        <w:rPr/>
        <w:t xml:space="preserve">Bryman, A. and Bell, E. (2023) </w:t>
      </w:r>
      <w:r w:rsidRPr="0484DC14" w:rsidR="50B6A521">
        <w:rPr>
          <w:i w:val="1"/>
          <w:iCs w:val="1"/>
        </w:rPr>
        <w:t xml:space="preserve">Business Research Methods. </w:t>
      </w:r>
      <w:r w:rsidR="50B6A521">
        <w:rPr/>
        <w:t>6th edn. Oxford: Oxford University Press.</w:t>
      </w:r>
    </w:p>
    <w:p w:rsidR="50B6A521" w:rsidP="0484DC14" w:rsidRDefault="50B6A521" w14:paraId="33962974" w14:textId="10D19C25">
      <w:pPr>
        <w:pStyle w:val="Normal"/>
      </w:pPr>
      <w:r w:rsidR="50B6A521">
        <w:rPr/>
        <w:t xml:space="preserve">CIPD (2023) </w:t>
      </w:r>
      <w:r w:rsidRPr="0484DC14" w:rsidR="50B6A521">
        <w:rPr>
          <w:i w:val="1"/>
          <w:iCs w:val="1"/>
        </w:rPr>
        <w:t>Flexible and Hybrid Working Practices in 2023.</w:t>
      </w:r>
      <w:r w:rsidR="50B6A521">
        <w:rPr/>
        <w:t xml:space="preserve"> London: Chartered Institute of Personnel and Development.</w:t>
      </w:r>
    </w:p>
    <w:p w:rsidR="50B6A521" w:rsidP="0484DC14" w:rsidRDefault="50B6A521" w14:paraId="3CBE2786" w14:textId="38D65543">
      <w:pPr>
        <w:pStyle w:val="Normal"/>
      </w:pPr>
      <w:r w:rsidR="50B6A521">
        <w:rPr/>
        <w:t>Contreras, F., Baykal, E. and Abid, G. (2020) 'E-leadership and teleworking in times of COVID-19 and beyond: What we know and where do we go'</w:t>
      </w:r>
      <w:r w:rsidR="6B359AA3">
        <w:rPr/>
        <w:t xml:space="preserve">. </w:t>
      </w:r>
      <w:r w:rsidRPr="0484DC14" w:rsidR="50B6A521">
        <w:rPr>
          <w:i w:val="1"/>
          <w:iCs w:val="1"/>
        </w:rPr>
        <w:t>Frontiers in Psychology,</w:t>
      </w:r>
      <w:r w:rsidR="50B6A521">
        <w:rPr/>
        <w:t xml:space="preserve"> </w:t>
      </w:r>
      <w:r w:rsidR="12D198EE">
        <w:rPr/>
        <w:t xml:space="preserve">Volume </w:t>
      </w:r>
      <w:r w:rsidR="50B6A521">
        <w:rPr/>
        <w:t>11, Article 590271.</w:t>
      </w:r>
      <w:r w:rsidR="4E1E347F">
        <w:rPr/>
        <w:t xml:space="preserve"> DOI: </w:t>
      </w:r>
      <w:hyperlink r:id="Ra7dbb397d516414f">
        <w:r w:rsidRPr="0484DC14" w:rsidR="4E1E347F">
          <w:rPr>
            <w:rStyle w:val="Hyperlink"/>
          </w:rPr>
          <w:t>https://doi.org/10.3389/fpsyg.2020.590271</w:t>
        </w:r>
      </w:hyperlink>
      <w:r w:rsidR="4E1E347F">
        <w:rPr/>
        <w:t xml:space="preserve"> </w:t>
      </w:r>
    </w:p>
    <w:p w:rsidR="50B6A521" w:rsidP="0484DC14" w:rsidRDefault="50B6A521" w14:paraId="6D833D89" w14:textId="2899C4D3">
      <w:pPr>
        <w:pStyle w:val="Normal"/>
      </w:pPr>
      <w:r w:rsidR="50B6A521">
        <w:rPr/>
        <w:t xml:space="preserve">Creswell, J.W. and Creswell, J.D. (2023) </w:t>
      </w:r>
      <w:r w:rsidRPr="0484DC14" w:rsidR="50B6A521">
        <w:rPr>
          <w:i w:val="1"/>
          <w:iCs w:val="1"/>
        </w:rPr>
        <w:t>Research Design: Qualitative, Quantitative, and Mixed Methods Approaches.</w:t>
      </w:r>
      <w:r w:rsidR="50B6A521">
        <w:rPr/>
        <w:t xml:space="preserve"> 6th edn. Thousand Oaks, CA: SAGE.</w:t>
      </w:r>
    </w:p>
    <w:p w:rsidR="50B6A521" w:rsidP="0484DC14" w:rsidRDefault="50B6A521" w14:paraId="59170F21" w14:textId="088F8A8B">
      <w:pPr>
        <w:pStyle w:val="Normal"/>
      </w:pPr>
      <w:r w:rsidR="50B6A521">
        <w:rPr/>
        <w:t xml:space="preserve">Flick, U. (2023) </w:t>
      </w:r>
      <w:r w:rsidRPr="0484DC14" w:rsidR="50B6A521">
        <w:rPr>
          <w:i w:val="1"/>
          <w:iCs w:val="1"/>
        </w:rPr>
        <w:t xml:space="preserve">An Introduction to Qualitative Research. </w:t>
      </w:r>
      <w:r w:rsidR="50B6A521">
        <w:rPr/>
        <w:t>7th edn. London: SAGE.</w:t>
      </w:r>
    </w:p>
    <w:p w:rsidR="50B6A521" w:rsidP="0484DC14" w:rsidRDefault="50B6A521" w14:paraId="042FCCAD" w14:textId="756B4F61">
      <w:pPr>
        <w:pStyle w:val="Normal"/>
      </w:pPr>
      <w:r w:rsidR="50B6A521">
        <w:rPr/>
        <w:t>Gajendran, R.S. and Harrison, D.A. (2007) 'The good, the bad, and the unknown about telecommuting: Meta-analysis of psychological mediators and individual consequences'</w:t>
      </w:r>
      <w:r w:rsidR="0FD759F8">
        <w:rPr/>
        <w:t xml:space="preserve">. </w:t>
      </w:r>
      <w:r w:rsidRPr="0484DC14" w:rsidR="50B6A521">
        <w:rPr>
          <w:i w:val="1"/>
          <w:iCs w:val="1"/>
        </w:rPr>
        <w:t>Journal of Applied Psychology,</w:t>
      </w:r>
      <w:r w:rsidR="50B6A521">
        <w:rPr/>
        <w:t xml:space="preserve"> 92(6), pp. 1524–1541.</w:t>
      </w:r>
      <w:r w:rsidR="7A1E4DEA">
        <w:rPr/>
        <w:t xml:space="preserve"> DOI: </w:t>
      </w:r>
      <w:hyperlink r:id="R71eab0d77f974aac">
        <w:r w:rsidRPr="0484DC14" w:rsidR="7A1E4DEA">
          <w:rPr>
            <w:rStyle w:val="Hyperlink"/>
          </w:rPr>
          <w:t>https://www.apa.org/pubs/journals/releases/apl-9261524.pdf</w:t>
        </w:r>
      </w:hyperlink>
      <w:r w:rsidR="7A1E4DEA">
        <w:rPr/>
        <w:t xml:space="preserve"> </w:t>
      </w:r>
    </w:p>
    <w:p w:rsidR="50B6A521" w:rsidP="0484DC14" w:rsidRDefault="50B6A521" w14:paraId="561642C7" w14:textId="462DD625">
      <w:pPr>
        <w:pStyle w:val="Normal"/>
      </w:pPr>
      <w:r w:rsidR="50B6A521">
        <w:rPr/>
        <w:t>Golden, T.D. and Veiga, J.F. (2008) 'The impact of superior-subordinate relationships on the commitment, job satisfaction, and performance of virtual workers'</w:t>
      </w:r>
      <w:r w:rsidR="29EF45E6">
        <w:rPr/>
        <w:t xml:space="preserve">. </w:t>
      </w:r>
      <w:r w:rsidRPr="0484DC14" w:rsidR="50B6A521">
        <w:rPr>
          <w:i w:val="1"/>
          <w:iCs w:val="1"/>
        </w:rPr>
        <w:t>Leadership Quarterly,</w:t>
      </w:r>
      <w:r w:rsidR="50B6A521">
        <w:rPr/>
        <w:t xml:space="preserve"> 19(1), pp. 77</w:t>
      </w:r>
      <w:r w:rsidR="17720D29">
        <w:rPr/>
        <w:t>-</w:t>
      </w:r>
      <w:r w:rsidR="50B6A521">
        <w:rPr/>
        <w:t>88.</w:t>
      </w:r>
      <w:r w:rsidR="10B36CAB">
        <w:rPr/>
        <w:t xml:space="preserve"> DOI: 10.1016/j.leaqua.2007.12.009 </w:t>
      </w:r>
    </w:p>
    <w:p w:rsidR="50B6A521" w:rsidP="0484DC14" w:rsidRDefault="50B6A521" w14:paraId="39B3162F" w14:textId="51AE0BF4">
      <w:pPr>
        <w:pStyle w:val="Normal"/>
      </w:pPr>
      <w:r w:rsidR="50B6A521">
        <w:rPr/>
        <w:t xml:space="preserve">Gray, D.E. (2021) </w:t>
      </w:r>
      <w:r w:rsidRPr="0484DC14" w:rsidR="50B6A521">
        <w:rPr>
          <w:i w:val="1"/>
          <w:iCs w:val="1"/>
        </w:rPr>
        <w:t>Doing Research in the Real World.</w:t>
      </w:r>
      <w:r w:rsidR="50B6A521">
        <w:rPr/>
        <w:t xml:space="preserve"> 5th edn. London: SAGE.</w:t>
      </w:r>
    </w:p>
    <w:p w:rsidR="50B6A521" w:rsidP="0484DC14" w:rsidRDefault="50B6A521" w14:paraId="7B71C887" w14:textId="728572C0">
      <w:pPr>
        <w:pStyle w:val="Normal"/>
      </w:pPr>
      <w:r w:rsidR="50B6A521">
        <w:rPr/>
        <w:t>Kahn, W.A. (1990) 'Psychological conditions of personal engagement and disengagement at work'</w:t>
      </w:r>
      <w:r w:rsidR="7345B9A4">
        <w:rPr/>
        <w:t xml:space="preserve">. </w:t>
      </w:r>
      <w:r w:rsidRPr="0484DC14" w:rsidR="50B6A521">
        <w:rPr>
          <w:i w:val="1"/>
          <w:iCs w:val="1"/>
        </w:rPr>
        <w:t>Academy of Management Journal,</w:t>
      </w:r>
      <w:r w:rsidR="50B6A521">
        <w:rPr/>
        <w:t xml:space="preserve"> 33(4), pp. 692</w:t>
      </w:r>
      <w:r w:rsidR="487CBC14">
        <w:rPr/>
        <w:t>-</w:t>
      </w:r>
      <w:r w:rsidR="50B6A521">
        <w:rPr/>
        <w:t>724.</w:t>
      </w:r>
      <w:r w:rsidR="1D568AF2">
        <w:rPr/>
        <w:t xml:space="preserve"> DOI: </w:t>
      </w:r>
      <w:hyperlink r:id="R50505c2163e5447a">
        <w:r w:rsidRPr="0484DC14" w:rsidR="1D568AF2">
          <w:rPr>
            <w:rStyle w:val="Hyperlink"/>
          </w:rPr>
          <w:t>https://doi.org/10.2307/256287</w:t>
        </w:r>
      </w:hyperlink>
      <w:r w:rsidR="1D568AF2">
        <w:rPr/>
        <w:t xml:space="preserve"> </w:t>
      </w:r>
    </w:p>
    <w:p w:rsidR="50B6A521" w:rsidP="0484DC14" w:rsidRDefault="50B6A521" w14:paraId="1F79EE77" w14:textId="18451928">
      <w:pPr>
        <w:pStyle w:val="Normal"/>
      </w:pPr>
      <w:r w:rsidR="50B6A521">
        <w:rPr/>
        <w:t xml:space="preserve">Murray, R. (2023) </w:t>
      </w:r>
      <w:r w:rsidRPr="0484DC14" w:rsidR="50B6A521">
        <w:rPr>
          <w:i w:val="1"/>
          <w:iCs w:val="1"/>
        </w:rPr>
        <w:t xml:space="preserve">How to Write a Thesis. </w:t>
      </w:r>
      <w:r w:rsidR="50B6A521">
        <w:rPr/>
        <w:t>5th edn. Maidenhead: Open University Press.</w:t>
      </w:r>
    </w:p>
    <w:p w:rsidR="50B6A521" w:rsidP="0484DC14" w:rsidRDefault="50B6A521" w14:paraId="7E3067EA" w14:textId="5EEEE68F">
      <w:pPr>
        <w:pStyle w:val="Normal"/>
      </w:pPr>
      <w:r w:rsidR="50B6A521">
        <w:rPr/>
        <w:t xml:space="preserve">Rich, B.L., </w:t>
      </w:r>
      <w:r w:rsidR="50B6A521">
        <w:rPr/>
        <w:t>LePine</w:t>
      </w:r>
      <w:r w:rsidR="50B6A521">
        <w:rPr/>
        <w:t>, J.A. and Crawford, E.R. (2010) 'Job engagement: Antecedents and effects on job performance'</w:t>
      </w:r>
      <w:r w:rsidR="291F139D">
        <w:rPr/>
        <w:t xml:space="preserve">. </w:t>
      </w:r>
      <w:r w:rsidRPr="0484DC14" w:rsidR="50B6A521">
        <w:rPr>
          <w:i w:val="1"/>
          <w:iCs w:val="1"/>
        </w:rPr>
        <w:t>Academy of Management Journal</w:t>
      </w:r>
      <w:r w:rsidR="50B6A521">
        <w:rPr/>
        <w:t>, 53(3), pp. 617</w:t>
      </w:r>
      <w:r w:rsidR="2EAA1599">
        <w:rPr/>
        <w:t>-</w:t>
      </w:r>
      <w:r w:rsidR="50B6A521">
        <w:rPr/>
        <w:t>635.</w:t>
      </w:r>
      <w:r w:rsidR="4A88818B">
        <w:rPr/>
        <w:t xml:space="preserve"> DOI: </w:t>
      </w:r>
      <w:hyperlink r:id="R1953816595064e7e">
        <w:r w:rsidRPr="0484DC14" w:rsidR="4A88818B">
          <w:rPr>
            <w:rStyle w:val="Hyperlink"/>
          </w:rPr>
          <w:t>https://doi.org/10.5465/amj.2010.51468988</w:t>
        </w:r>
      </w:hyperlink>
      <w:r w:rsidR="4A88818B">
        <w:rPr/>
        <w:t xml:space="preserve"> </w:t>
      </w:r>
    </w:p>
    <w:p w:rsidR="50B6A521" w:rsidP="0484DC14" w:rsidRDefault="50B6A521" w14:paraId="787DB733" w14:textId="1EA24F58">
      <w:pPr>
        <w:pStyle w:val="Normal"/>
      </w:pPr>
      <w:r w:rsidR="50B6A521">
        <w:rPr/>
        <w:t>Saks, A.M. (2006) 'Antecedents and consequences of employee engagement'</w:t>
      </w:r>
      <w:r w:rsidR="721256C0">
        <w:rPr/>
        <w:t xml:space="preserve">. </w:t>
      </w:r>
      <w:r w:rsidRPr="0484DC14" w:rsidR="50B6A521">
        <w:rPr>
          <w:i w:val="1"/>
          <w:iCs w:val="1"/>
        </w:rPr>
        <w:t>Journal of Managerial Psychology</w:t>
      </w:r>
      <w:r w:rsidR="50B6A521">
        <w:rPr/>
        <w:t>, 21(7), pp. 600</w:t>
      </w:r>
      <w:r w:rsidR="19429A13">
        <w:rPr/>
        <w:t>-</w:t>
      </w:r>
      <w:r w:rsidR="50B6A521">
        <w:rPr/>
        <w:t>619.</w:t>
      </w:r>
      <w:r w:rsidR="3A193BFB">
        <w:rPr/>
        <w:t xml:space="preserve"> DOI: </w:t>
      </w:r>
      <w:hyperlink r:id="Re4318d683dd249ae">
        <w:r w:rsidRPr="0484DC14" w:rsidR="3A193BFB">
          <w:rPr>
            <w:rStyle w:val="Hyperlink"/>
          </w:rPr>
          <w:t>https://doi.org/10.1108/02683940610690169</w:t>
        </w:r>
      </w:hyperlink>
      <w:r w:rsidR="3A193BFB">
        <w:rPr/>
        <w:t xml:space="preserve"> </w:t>
      </w:r>
    </w:p>
    <w:p w:rsidR="50B6A521" w:rsidP="0484DC14" w:rsidRDefault="50B6A521" w14:paraId="4FF3ACF3" w14:textId="586AD49F">
      <w:pPr>
        <w:pStyle w:val="Normal"/>
      </w:pPr>
      <w:r w:rsidR="50B6A521">
        <w:rPr/>
        <w:t xml:space="preserve">Saunders, M., Lewis, </w:t>
      </w:r>
      <w:r w:rsidR="50B6A521">
        <w:rPr/>
        <w:t>P.</w:t>
      </w:r>
      <w:r w:rsidR="50B6A521">
        <w:rPr/>
        <w:t xml:space="preserve"> and Thornhill, A. (2023)</w:t>
      </w:r>
      <w:r w:rsidR="32A2E530">
        <w:rPr/>
        <w:t xml:space="preserve"> </w:t>
      </w:r>
      <w:r w:rsidRPr="0484DC14" w:rsidR="50B6A521">
        <w:rPr>
          <w:i w:val="1"/>
          <w:iCs w:val="1"/>
        </w:rPr>
        <w:t>Research Methods for Business Students.</w:t>
      </w:r>
      <w:r w:rsidR="50B6A521">
        <w:rPr/>
        <w:t xml:space="preserve"> 9th </w:t>
      </w:r>
      <w:r w:rsidR="50B6A521">
        <w:rPr/>
        <w:t>edn</w:t>
      </w:r>
      <w:r w:rsidR="50B6A521">
        <w:rPr/>
        <w:t>. Harlow: Pearson.</w:t>
      </w:r>
    </w:p>
    <w:p w:rsidR="50B6A521" w:rsidP="0484DC14" w:rsidRDefault="50B6A521" w14:paraId="10901319" w14:textId="7840E253">
      <w:pPr>
        <w:pStyle w:val="Normal"/>
      </w:pPr>
      <w:r w:rsidR="50B6A521">
        <w:rPr/>
        <w:t>Schaufeli, W.B., Salanova, M., González-</w:t>
      </w:r>
      <w:r w:rsidR="50B6A521">
        <w:rPr/>
        <w:t>Romá</w:t>
      </w:r>
      <w:r w:rsidR="50B6A521">
        <w:rPr/>
        <w:t xml:space="preserve">, V. and Bakker, A.B. (2002) 'The measurement of engagement and burnout: A </w:t>
      </w:r>
      <w:r w:rsidR="1F03C00D">
        <w:rPr/>
        <w:t>two-sample</w:t>
      </w:r>
      <w:r w:rsidR="50B6A521">
        <w:rPr/>
        <w:t xml:space="preserve"> confirmatory factor analytic approach'</w:t>
      </w:r>
      <w:r w:rsidR="2957D4FB">
        <w:rPr/>
        <w:t xml:space="preserve">. </w:t>
      </w:r>
      <w:r w:rsidRPr="0484DC14" w:rsidR="50B6A521">
        <w:rPr>
          <w:i w:val="1"/>
          <w:iCs w:val="1"/>
        </w:rPr>
        <w:t>Journal of Happiness Studies</w:t>
      </w:r>
      <w:r w:rsidR="50B6A521">
        <w:rPr/>
        <w:t>, 3(1), pp. 71</w:t>
      </w:r>
      <w:r w:rsidR="6ABF6377">
        <w:rPr/>
        <w:t>-</w:t>
      </w:r>
      <w:r w:rsidR="50B6A521">
        <w:rPr/>
        <w:t>92.</w:t>
      </w:r>
      <w:r w:rsidR="247589A0">
        <w:rPr/>
        <w:t xml:space="preserve"> DOI: </w:t>
      </w:r>
      <w:hyperlink r:id="Rc7ef248d91e441c3">
        <w:r w:rsidRPr="0484DC14" w:rsidR="247589A0">
          <w:rPr>
            <w:rStyle w:val="Hyperlink"/>
          </w:rPr>
          <w:t>https://link.springer.com/article/10.1023/A:1015630930326#citeas</w:t>
        </w:r>
      </w:hyperlink>
      <w:r w:rsidR="247589A0">
        <w:rPr/>
        <w:t xml:space="preserve"> </w:t>
      </w:r>
    </w:p>
    <w:p w:rsidR="50B6A521" w:rsidP="0484DC14" w:rsidRDefault="50B6A521" w14:paraId="079D74A2" w14:textId="200B4479">
      <w:pPr>
        <w:pStyle w:val="Normal"/>
      </w:pPr>
      <w:r w:rsidR="50B6A521">
        <w:rPr/>
        <w:t>Siddika, B.A. (2025) 'Effect of hybrid working on employee engagement'</w:t>
      </w:r>
      <w:r w:rsidR="6549ACCA">
        <w:rPr/>
        <w:t xml:space="preserve">. </w:t>
      </w:r>
      <w:r w:rsidRPr="0484DC14" w:rsidR="50B6A521">
        <w:rPr>
          <w:i w:val="1"/>
          <w:iCs w:val="1"/>
        </w:rPr>
        <w:t>Advance in Human Resource Management Research</w:t>
      </w:r>
      <w:r w:rsidR="50B6A521">
        <w:rPr/>
        <w:t>, 5(1), pp. 1</w:t>
      </w:r>
      <w:r w:rsidR="5192A53B">
        <w:rPr/>
        <w:t>-</w:t>
      </w:r>
      <w:r w:rsidR="50B6A521">
        <w:rPr/>
        <w:t>15.</w:t>
      </w:r>
      <w:r w:rsidR="3B796205">
        <w:rPr/>
        <w:t xml:space="preserve"> DOI: </w:t>
      </w:r>
      <w:hyperlink r:id="R7c5c8f2e36e149b4">
        <w:r w:rsidRPr="0484DC14" w:rsidR="3B796205">
          <w:rPr>
            <w:rStyle w:val="Hyperlink"/>
          </w:rPr>
          <w:t>https://doi.org/10.35912/ahrmr.v5i2.2892</w:t>
        </w:r>
      </w:hyperlink>
      <w:r w:rsidR="3B796205">
        <w:rPr/>
        <w:t xml:space="preserve"> </w:t>
      </w:r>
    </w:p>
    <w:p w:rsidR="50B6A521" w:rsidP="0484DC14" w:rsidRDefault="50B6A521" w14:paraId="0ACEE8D5" w14:textId="5FB5CC69">
      <w:pPr>
        <w:pStyle w:val="Normal"/>
      </w:pPr>
      <w:r w:rsidR="50B6A521">
        <w:rPr/>
        <w:t xml:space="preserve">Wang, B., Liu, Y., Qian, </w:t>
      </w:r>
      <w:r w:rsidR="50B6A521">
        <w:rPr/>
        <w:t>J.</w:t>
      </w:r>
      <w:r w:rsidR="50B6A521">
        <w:rPr/>
        <w:t xml:space="preserve"> and Parker, S.K. (2021) 'Achieving effective remote working during the COVID-19 pandemic: A work design perspective'</w:t>
      </w:r>
      <w:r w:rsidR="0749DE0B">
        <w:rPr/>
        <w:t xml:space="preserve">. </w:t>
      </w:r>
      <w:r w:rsidRPr="0484DC14" w:rsidR="50B6A521">
        <w:rPr>
          <w:i w:val="1"/>
          <w:iCs w:val="1"/>
        </w:rPr>
        <w:t>Applied Psychology</w:t>
      </w:r>
      <w:r w:rsidR="50B6A521">
        <w:rPr/>
        <w:t>, 70(1), pp. 16</w:t>
      </w:r>
      <w:r w:rsidR="68623E09">
        <w:rPr/>
        <w:t>-</w:t>
      </w:r>
      <w:r w:rsidR="50B6A521">
        <w:rPr/>
        <w:t>59.</w:t>
      </w:r>
      <w:r w:rsidR="42257963">
        <w:rPr/>
        <w:t xml:space="preserve"> DOI: </w:t>
      </w:r>
      <w:hyperlink r:id="Rb56f12ea7ee7444e">
        <w:r w:rsidRPr="0484DC14" w:rsidR="42257963">
          <w:rPr>
            <w:rStyle w:val="Hyperlink"/>
          </w:rPr>
          <w:t>https://doi.org/10.1111/apps.12290</w:t>
        </w:r>
      </w:hyperlink>
      <w:r w:rsidR="42257963">
        <w:rPr/>
        <w:t xml:space="preserve"> </w:t>
      </w:r>
    </w:p>
    <w:p w:rsidR="0484DC14" w:rsidP="0484DC14" w:rsidRDefault="0484DC14" w14:paraId="6381E8D9" w14:textId="20F7DA1A">
      <w:pPr>
        <w:pStyle w:val="Normal"/>
      </w:pPr>
    </w:p>
    <w:p w:rsidR="0484DC14" w:rsidP="0484DC14" w:rsidRDefault="0484DC14" w14:paraId="3023480A" w14:textId="32F7BAE1">
      <w:pPr>
        <w:pStyle w:val="Normal"/>
      </w:pPr>
    </w:p>
    <w:p w:rsidR="0484DC14" w:rsidP="0484DC14" w:rsidRDefault="0484DC14" w14:paraId="4A48A85D" w14:textId="54BD167D">
      <w:pPr>
        <w:pStyle w:val="Normal"/>
      </w:pPr>
      <w:r>
        <w:br w:type="column"/>
      </w:r>
    </w:p>
    <w:p w:rsidR="1D3E947E" w:rsidP="0484DC14" w:rsidRDefault="1D3E947E" w14:paraId="67B77BDA" w14:textId="6FE2744B">
      <w:pPr>
        <w:pStyle w:val="Normal"/>
        <w:rPr>
          <w:b w:val="1"/>
          <w:bCs w:val="1"/>
        </w:rPr>
      </w:pPr>
      <w:r w:rsidRPr="0484DC14" w:rsidR="1D3E947E">
        <w:rPr>
          <w:b w:val="1"/>
          <w:bCs w:val="1"/>
        </w:rPr>
        <w:t xml:space="preserve">Appendices </w:t>
      </w:r>
    </w:p>
    <w:p w:rsidR="5F307409" w:rsidP="0484DC14" w:rsidRDefault="5F307409" w14:paraId="400A54AA" w14:textId="2DB311B0">
      <w:pPr>
        <w:pStyle w:val="Normal"/>
        <w:rPr>
          <w:b w:val="1"/>
          <w:bCs w:val="1"/>
        </w:rPr>
      </w:pPr>
      <w:r w:rsidRPr="0484DC14" w:rsidR="5F307409">
        <w:rPr>
          <w:b w:val="1"/>
          <w:bCs w:val="1"/>
        </w:rPr>
        <w:t>Appendix 1 - Project Research Timeline</w:t>
      </w:r>
    </w:p>
    <w:p w:rsidR="0484DC14" w:rsidP="0484DC14" w:rsidRDefault="0484DC14" w14:paraId="68392C06" w14:textId="59B3EA8A">
      <w:pPr>
        <w:pStyle w:val="Normal"/>
      </w:pPr>
    </w:p>
    <w:tbl>
      <w:tblPr>
        <w:tblStyle w:val="TableGrid"/>
        <w:tblW w:w="0" w:type="auto"/>
        <w:tblLook w:val="06A0" w:firstRow="1" w:lastRow="0" w:firstColumn="1" w:lastColumn="0" w:noHBand="1" w:noVBand="1"/>
      </w:tblPr>
      <w:tblGrid>
        <w:gridCol w:w="3120"/>
        <w:gridCol w:w="3120"/>
        <w:gridCol w:w="3120"/>
      </w:tblGrid>
      <w:tr w:rsidR="0484DC14" w:rsidTr="0484DC14" w14:paraId="03C0443C">
        <w:trPr>
          <w:trHeight w:val="300"/>
        </w:trPr>
        <w:tc>
          <w:tcPr>
            <w:tcW w:w="3120" w:type="dxa"/>
            <w:tcMar/>
          </w:tcPr>
          <w:p w:rsidR="0484DC14" w:rsidP="0484DC14" w:rsidRDefault="0484DC14" w14:paraId="609F5E78" w14:textId="796C6134">
            <w:pPr>
              <w:pStyle w:val="Normal"/>
              <w:jc w:val="center"/>
              <w:rPr>
                <w:b w:val="1"/>
                <w:bCs w:val="1"/>
                <w:sz w:val="22"/>
                <w:szCs w:val="22"/>
              </w:rPr>
            </w:pPr>
            <w:r w:rsidRPr="0484DC14" w:rsidR="0484DC14">
              <w:rPr>
                <w:b w:val="1"/>
                <w:bCs w:val="1"/>
                <w:sz w:val="24"/>
                <w:szCs w:val="24"/>
              </w:rPr>
              <w:t>Stage</w:t>
            </w:r>
          </w:p>
          <w:p w:rsidR="0484DC14" w:rsidP="0484DC14" w:rsidRDefault="0484DC14" w14:paraId="1FB1581A" w14:textId="03904A4E">
            <w:pPr>
              <w:pStyle w:val="Normal"/>
              <w:jc w:val="center"/>
              <w:rPr>
                <w:b w:val="1"/>
                <w:bCs w:val="1"/>
                <w:sz w:val="24"/>
                <w:szCs w:val="24"/>
              </w:rPr>
            </w:pPr>
          </w:p>
        </w:tc>
        <w:tc>
          <w:tcPr>
            <w:tcW w:w="3120" w:type="dxa"/>
            <w:tcMar/>
          </w:tcPr>
          <w:p w:rsidR="0484DC14" w:rsidP="0484DC14" w:rsidRDefault="0484DC14" w14:paraId="6F380749" w14:textId="5163E526">
            <w:pPr>
              <w:pStyle w:val="Normal"/>
              <w:jc w:val="center"/>
              <w:rPr>
                <w:b w:val="1"/>
                <w:bCs w:val="1"/>
                <w:sz w:val="24"/>
                <w:szCs w:val="24"/>
              </w:rPr>
            </w:pPr>
            <w:r w:rsidRPr="0484DC14" w:rsidR="0484DC14">
              <w:rPr>
                <w:b w:val="1"/>
                <w:bCs w:val="1"/>
                <w:sz w:val="24"/>
                <w:szCs w:val="24"/>
              </w:rPr>
              <w:t>Timeline</w:t>
            </w:r>
          </w:p>
        </w:tc>
        <w:tc>
          <w:tcPr>
            <w:tcW w:w="3120" w:type="dxa"/>
            <w:tcMar/>
          </w:tcPr>
          <w:p w:rsidR="0484DC14" w:rsidP="0484DC14" w:rsidRDefault="0484DC14" w14:paraId="37015950" w14:textId="2E610CC0">
            <w:pPr>
              <w:pStyle w:val="Normal"/>
              <w:jc w:val="center"/>
              <w:rPr>
                <w:b w:val="1"/>
                <w:bCs w:val="1"/>
                <w:sz w:val="24"/>
                <w:szCs w:val="24"/>
              </w:rPr>
            </w:pPr>
            <w:r w:rsidRPr="0484DC14" w:rsidR="0484DC14">
              <w:rPr>
                <w:b w:val="1"/>
                <w:bCs w:val="1"/>
                <w:sz w:val="24"/>
                <w:szCs w:val="24"/>
              </w:rPr>
              <w:t>Key Milestone</w:t>
            </w:r>
          </w:p>
        </w:tc>
      </w:tr>
      <w:tr w:rsidR="0484DC14" w:rsidTr="0484DC14" w14:paraId="1E6078A8">
        <w:trPr>
          <w:trHeight w:val="300"/>
        </w:trPr>
        <w:tc>
          <w:tcPr>
            <w:tcW w:w="3120" w:type="dxa"/>
            <w:tcMar/>
          </w:tcPr>
          <w:p w:rsidR="0484DC14" w:rsidP="0484DC14" w:rsidRDefault="0484DC14" w14:paraId="7570C154" w14:textId="5219BF13">
            <w:pPr>
              <w:pStyle w:val="Normal"/>
            </w:pPr>
            <w:r w:rsidR="0484DC14">
              <w:rPr/>
              <w:t>Research topic selection and proposal planning</w:t>
            </w:r>
          </w:p>
        </w:tc>
        <w:tc>
          <w:tcPr>
            <w:tcW w:w="3120" w:type="dxa"/>
            <w:tcMar/>
          </w:tcPr>
          <w:p w:rsidR="0484DC14" w:rsidP="0484DC14" w:rsidRDefault="0484DC14" w14:paraId="2D8C8586" w14:textId="6C7DCAE1">
            <w:pPr>
              <w:pStyle w:val="Normal"/>
            </w:pPr>
            <w:r w:rsidR="0484DC14">
              <w:rPr/>
              <w:t>Week 1</w:t>
            </w:r>
          </w:p>
        </w:tc>
        <w:tc>
          <w:tcPr>
            <w:tcW w:w="3120" w:type="dxa"/>
            <w:tcMar/>
          </w:tcPr>
          <w:p w:rsidR="0484DC14" w:rsidP="0484DC14" w:rsidRDefault="0484DC14" w14:paraId="6581385D" w14:textId="0423A846">
            <w:pPr>
              <w:pStyle w:val="Normal"/>
            </w:pPr>
            <w:r w:rsidR="0484DC14">
              <w:rPr/>
              <w:t>Research topic confirmed</w:t>
            </w:r>
          </w:p>
        </w:tc>
      </w:tr>
      <w:tr w:rsidR="0484DC14" w:rsidTr="0484DC14" w14:paraId="5F774D82">
        <w:trPr>
          <w:trHeight w:val="300"/>
        </w:trPr>
        <w:tc>
          <w:tcPr>
            <w:tcW w:w="3120" w:type="dxa"/>
            <w:tcMar/>
          </w:tcPr>
          <w:p w:rsidR="0484DC14" w:rsidP="0484DC14" w:rsidRDefault="0484DC14" w14:paraId="44C4D10E" w14:textId="4903BB50">
            <w:pPr>
              <w:pStyle w:val="Normal"/>
            </w:pPr>
            <w:r w:rsidR="0484DC14">
              <w:rPr/>
              <w:t>Literature review</w:t>
            </w:r>
          </w:p>
        </w:tc>
        <w:tc>
          <w:tcPr>
            <w:tcW w:w="3120" w:type="dxa"/>
            <w:tcMar/>
          </w:tcPr>
          <w:p w:rsidR="0484DC14" w:rsidP="0484DC14" w:rsidRDefault="0484DC14" w14:paraId="63FB2BA2" w14:textId="3C8E2BDC">
            <w:pPr>
              <w:pStyle w:val="Normal"/>
            </w:pPr>
            <w:r w:rsidR="0484DC14">
              <w:rPr/>
              <w:t>Weeks 1-3</w:t>
            </w:r>
          </w:p>
        </w:tc>
        <w:tc>
          <w:tcPr>
            <w:tcW w:w="3120" w:type="dxa"/>
            <w:tcMar/>
          </w:tcPr>
          <w:p w:rsidR="0484DC14" w:rsidP="0484DC14" w:rsidRDefault="0484DC14" w14:paraId="134C18B1" w14:textId="3D71822B">
            <w:pPr>
              <w:pStyle w:val="Normal"/>
            </w:pPr>
            <w:r w:rsidR="0484DC14">
              <w:rPr/>
              <w:t>Literature review completed</w:t>
            </w:r>
          </w:p>
        </w:tc>
      </w:tr>
      <w:tr w:rsidR="0484DC14" w:rsidTr="0484DC14" w14:paraId="6939305D">
        <w:trPr>
          <w:trHeight w:val="300"/>
        </w:trPr>
        <w:tc>
          <w:tcPr>
            <w:tcW w:w="3120" w:type="dxa"/>
            <w:tcMar/>
          </w:tcPr>
          <w:p w:rsidR="0484DC14" w:rsidP="0484DC14" w:rsidRDefault="0484DC14" w14:paraId="0708EF27" w14:textId="255158A5">
            <w:pPr>
              <w:pStyle w:val="Normal"/>
            </w:pPr>
            <w:r w:rsidR="0484DC14">
              <w:rPr/>
              <w:t>Questionnaire design</w:t>
            </w:r>
          </w:p>
        </w:tc>
        <w:tc>
          <w:tcPr>
            <w:tcW w:w="3120" w:type="dxa"/>
            <w:tcMar/>
          </w:tcPr>
          <w:p w:rsidR="0484DC14" w:rsidP="0484DC14" w:rsidRDefault="0484DC14" w14:paraId="3F0E7636" w14:textId="52FD5FB4">
            <w:pPr>
              <w:pStyle w:val="Normal"/>
            </w:pPr>
            <w:r w:rsidR="0484DC14">
              <w:rPr/>
              <w:t>Weeks 3-4</w:t>
            </w:r>
          </w:p>
        </w:tc>
        <w:tc>
          <w:tcPr>
            <w:tcW w:w="3120" w:type="dxa"/>
            <w:tcMar/>
          </w:tcPr>
          <w:p w:rsidR="0484DC14" w:rsidP="0484DC14" w:rsidRDefault="0484DC14" w14:paraId="454ACE83" w14:textId="332A4F1A">
            <w:pPr>
              <w:pStyle w:val="Normal"/>
            </w:pPr>
            <w:r w:rsidR="0484DC14">
              <w:rPr/>
              <w:t xml:space="preserve">Questions finalised and Questionnaire created on </w:t>
            </w:r>
            <w:r w:rsidR="0484DC14">
              <w:rPr/>
              <w:t>an appropriate platform</w:t>
            </w:r>
            <w:r w:rsidR="0484DC14">
              <w:rPr/>
              <w:t xml:space="preserve"> </w:t>
            </w:r>
            <w:r w:rsidR="0484DC14">
              <w:rPr/>
              <w:t>such a</w:t>
            </w:r>
            <w:r w:rsidR="0484DC14">
              <w:rPr/>
              <w:t>s Microsoft Forms</w:t>
            </w:r>
          </w:p>
        </w:tc>
      </w:tr>
      <w:tr w:rsidR="0484DC14" w:rsidTr="0484DC14" w14:paraId="712C6AF2">
        <w:trPr>
          <w:trHeight w:val="300"/>
        </w:trPr>
        <w:tc>
          <w:tcPr>
            <w:tcW w:w="3120" w:type="dxa"/>
            <w:tcMar/>
          </w:tcPr>
          <w:p w:rsidR="0484DC14" w:rsidP="0484DC14" w:rsidRDefault="0484DC14" w14:paraId="54A5F1B1" w14:textId="2216BC75">
            <w:pPr>
              <w:pStyle w:val="Normal"/>
            </w:pPr>
            <w:r w:rsidR="0484DC14">
              <w:rPr/>
              <w:t>Ethics Application and Approval</w:t>
            </w:r>
          </w:p>
        </w:tc>
        <w:tc>
          <w:tcPr>
            <w:tcW w:w="3120" w:type="dxa"/>
            <w:tcMar/>
          </w:tcPr>
          <w:p w:rsidR="0484DC14" w:rsidP="0484DC14" w:rsidRDefault="0484DC14" w14:paraId="6BCF4565" w14:textId="0357CA5B">
            <w:pPr>
              <w:pStyle w:val="Normal"/>
            </w:pPr>
            <w:r w:rsidR="0484DC14">
              <w:rPr/>
              <w:t>Weeks 4-5</w:t>
            </w:r>
          </w:p>
        </w:tc>
        <w:tc>
          <w:tcPr>
            <w:tcW w:w="3120" w:type="dxa"/>
            <w:tcMar/>
          </w:tcPr>
          <w:p w:rsidR="0484DC14" w:rsidP="0484DC14" w:rsidRDefault="0484DC14" w14:paraId="2F8173E8" w14:textId="29FF7D29">
            <w:pPr>
              <w:pStyle w:val="Normal"/>
            </w:pPr>
            <w:r w:rsidR="0484DC14">
              <w:rPr/>
              <w:t>Ethical approval obtained</w:t>
            </w:r>
          </w:p>
        </w:tc>
      </w:tr>
      <w:tr w:rsidR="0484DC14" w:rsidTr="0484DC14" w14:paraId="47F9E96B">
        <w:trPr>
          <w:trHeight w:val="300"/>
        </w:trPr>
        <w:tc>
          <w:tcPr>
            <w:tcW w:w="3120" w:type="dxa"/>
            <w:tcMar/>
          </w:tcPr>
          <w:p w:rsidR="0484DC14" w:rsidP="0484DC14" w:rsidRDefault="0484DC14" w14:paraId="5E17DEB5" w14:textId="13711B3D">
            <w:pPr>
              <w:pStyle w:val="Normal"/>
            </w:pPr>
            <w:r w:rsidR="0484DC14">
              <w:rPr/>
              <w:t>Participant recruitment</w:t>
            </w:r>
          </w:p>
        </w:tc>
        <w:tc>
          <w:tcPr>
            <w:tcW w:w="3120" w:type="dxa"/>
            <w:tcMar/>
          </w:tcPr>
          <w:p w:rsidR="0484DC14" w:rsidP="0484DC14" w:rsidRDefault="0484DC14" w14:paraId="704CDE2A" w14:textId="412A9BC8">
            <w:pPr>
              <w:pStyle w:val="Normal"/>
            </w:pPr>
            <w:r w:rsidR="0484DC14">
              <w:rPr/>
              <w:t>Weeks 5-6</w:t>
            </w:r>
          </w:p>
        </w:tc>
        <w:tc>
          <w:tcPr>
            <w:tcW w:w="3120" w:type="dxa"/>
            <w:tcMar/>
          </w:tcPr>
          <w:p w:rsidR="0484DC14" w:rsidP="0484DC14" w:rsidRDefault="0484DC14" w14:paraId="39A484BB" w14:textId="11F77E0C">
            <w:pPr>
              <w:pStyle w:val="Normal"/>
            </w:pPr>
            <w:r w:rsidR="0484DC14">
              <w:rPr/>
              <w:t xml:space="preserve">Participants selected and recruited. Consent obtained from all participants to use their views towards study. </w:t>
            </w:r>
          </w:p>
        </w:tc>
      </w:tr>
      <w:tr w:rsidR="0484DC14" w:rsidTr="0484DC14" w14:paraId="548AFD4E">
        <w:trPr>
          <w:trHeight w:val="300"/>
        </w:trPr>
        <w:tc>
          <w:tcPr>
            <w:tcW w:w="3120" w:type="dxa"/>
            <w:tcMar/>
          </w:tcPr>
          <w:p w:rsidR="0484DC14" w:rsidP="0484DC14" w:rsidRDefault="0484DC14" w14:paraId="04E629F2" w14:textId="338343DD">
            <w:pPr>
              <w:pStyle w:val="Normal"/>
            </w:pPr>
            <w:r w:rsidR="0484DC14">
              <w:rPr/>
              <w:t>Data collection</w:t>
            </w:r>
          </w:p>
        </w:tc>
        <w:tc>
          <w:tcPr>
            <w:tcW w:w="3120" w:type="dxa"/>
            <w:tcMar/>
          </w:tcPr>
          <w:p w:rsidR="0484DC14" w:rsidP="0484DC14" w:rsidRDefault="0484DC14" w14:paraId="3C39D623" w14:textId="0D6F0DA1">
            <w:pPr>
              <w:pStyle w:val="Normal"/>
            </w:pPr>
            <w:r w:rsidR="0484DC14">
              <w:rPr/>
              <w:t>Weeks 6-7</w:t>
            </w:r>
          </w:p>
        </w:tc>
        <w:tc>
          <w:tcPr>
            <w:tcW w:w="3120" w:type="dxa"/>
            <w:tcMar/>
          </w:tcPr>
          <w:p w:rsidR="0484DC14" w:rsidP="0484DC14" w:rsidRDefault="0484DC14" w14:paraId="7BC825B1" w14:textId="2E512894">
            <w:pPr>
              <w:pStyle w:val="Normal"/>
            </w:pPr>
            <w:r w:rsidR="0484DC14">
              <w:rPr/>
              <w:t>Data collection completed</w:t>
            </w:r>
          </w:p>
        </w:tc>
      </w:tr>
      <w:tr w:rsidR="0484DC14" w:rsidTr="0484DC14" w14:paraId="3DD2F2D7">
        <w:trPr>
          <w:trHeight w:val="300"/>
        </w:trPr>
        <w:tc>
          <w:tcPr>
            <w:tcW w:w="3120" w:type="dxa"/>
            <w:tcMar/>
          </w:tcPr>
          <w:p w:rsidR="0484DC14" w:rsidP="0484DC14" w:rsidRDefault="0484DC14" w14:paraId="4AF728D3" w14:textId="01BE54FD">
            <w:pPr>
              <w:pStyle w:val="Normal"/>
            </w:pPr>
            <w:r w:rsidR="0484DC14">
              <w:rPr/>
              <w:t>Data analysis (thematic analysis)</w:t>
            </w:r>
          </w:p>
        </w:tc>
        <w:tc>
          <w:tcPr>
            <w:tcW w:w="3120" w:type="dxa"/>
            <w:tcMar/>
          </w:tcPr>
          <w:p w:rsidR="0484DC14" w:rsidP="0484DC14" w:rsidRDefault="0484DC14" w14:paraId="30CEF12A" w14:textId="127CCF8D">
            <w:pPr>
              <w:pStyle w:val="Normal"/>
            </w:pPr>
            <w:r w:rsidR="0484DC14">
              <w:rPr/>
              <w:t>Weeks 8-10</w:t>
            </w:r>
          </w:p>
        </w:tc>
        <w:tc>
          <w:tcPr>
            <w:tcW w:w="3120" w:type="dxa"/>
            <w:tcMar/>
          </w:tcPr>
          <w:p w:rsidR="0484DC14" w:rsidP="0484DC14" w:rsidRDefault="0484DC14" w14:paraId="2F193881" w14:textId="5698DF2A">
            <w:pPr>
              <w:pStyle w:val="Normal"/>
            </w:pPr>
            <w:r w:rsidR="0484DC14">
              <w:rPr/>
              <w:t>Analysis completed and themes identified</w:t>
            </w:r>
          </w:p>
        </w:tc>
      </w:tr>
      <w:tr w:rsidR="0484DC14" w:rsidTr="0484DC14" w14:paraId="3F13C7C7">
        <w:trPr>
          <w:trHeight w:val="300"/>
        </w:trPr>
        <w:tc>
          <w:tcPr>
            <w:tcW w:w="3120" w:type="dxa"/>
            <w:tcMar/>
          </w:tcPr>
          <w:p w:rsidR="0484DC14" w:rsidP="0484DC14" w:rsidRDefault="0484DC14" w14:paraId="6FFF8173" w14:textId="79CC46F2">
            <w:pPr>
              <w:pStyle w:val="Normal"/>
            </w:pPr>
            <w:r w:rsidR="0484DC14">
              <w:rPr/>
              <w:t>Write findings and discussion</w:t>
            </w:r>
          </w:p>
        </w:tc>
        <w:tc>
          <w:tcPr>
            <w:tcW w:w="3120" w:type="dxa"/>
            <w:tcMar/>
          </w:tcPr>
          <w:p w:rsidR="0484DC14" w:rsidP="0484DC14" w:rsidRDefault="0484DC14" w14:paraId="579D01FA" w14:textId="20227853">
            <w:pPr>
              <w:pStyle w:val="Normal"/>
            </w:pPr>
            <w:r w:rsidR="0484DC14">
              <w:rPr/>
              <w:t xml:space="preserve">Weeks 10-11 </w:t>
            </w:r>
          </w:p>
        </w:tc>
        <w:tc>
          <w:tcPr>
            <w:tcW w:w="3120" w:type="dxa"/>
            <w:tcMar/>
          </w:tcPr>
          <w:p w:rsidR="0484DC14" w:rsidP="0484DC14" w:rsidRDefault="0484DC14" w14:paraId="0FE1E159" w14:textId="7CF4EB40">
            <w:pPr>
              <w:pStyle w:val="Normal"/>
            </w:pPr>
            <w:r w:rsidR="0484DC14">
              <w:rPr/>
              <w:t>Draft completed</w:t>
            </w:r>
          </w:p>
        </w:tc>
      </w:tr>
      <w:tr w:rsidR="0484DC14" w:rsidTr="0484DC14" w14:paraId="04E54168">
        <w:trPr>
          <w:trHeight w:val="300"/>
        </w:trPr>
        <w:tc>
          <w:tcPr>
            <w:tcW w:w="3120" w:type="dxa"/>
            <w:tcMar/>
          </w:tcPr>
          <w:p w:rsidR="0484DC14" w:rsidP="0484DC14" w:rsidRDefault="0484DC14" w14:paraId="64F9F6B5" w14:textId="18C12179">
            <w:pPr>
              <w:pStyle w:val="Normal"/>
            </w:pPr>
            <w:r w:rsidR="0484DC14">
              <w:rPr/>
              <w:t>Proofreading and revisions</w:t>
            </w:r>
          </w:p>
        </w:tc>
        <w:tc>
          <w:tcPr>
            <w:tcW w:w="3120" w:type="dxa"/>
            <w:tcMar/>
          </w:tcPr>
          <w:p w:rsidR="0484DC14" w:rsidP="0484DC14" w:rsidRDefault="0484DC14" w14:paraId="6B301C5F" w14:textId="36DD1BD3">
            <w:pPr>
              <w:pStyle w:val="Normal"/>
            </w:pPr>
            <w:r w:rsidR="0484DC14">
              <w:rPr/>
              <w:t>Week 11</w:t>
            </w:r>
          </w:p>
        </w:tc>
        <w:tc>
          <w:tcPr>
            <w:tcW w:w="3120" w:type="dxa"/>
            <w:tcMar/>
          </w:tcPr>
          <w:p w:rsidR="0484DC14" w:rsidP="0484DC14" w:rsidRDefault="0484DC14" w14:paraId="6A958A75" w14:textId="0BE40F77">
            <w:pPr>
              <w:pStyle w:val="Normal"/>
            </w:pPr>
            <w:r w:rsidR="0484DC14">
              <w:rPr/>
              <w:t>Final draft completed</w:t>
            </w:r>
          </w:p>
        </w:tc>
      </w:tr>
      <w:tr w:rsidR="0484DC14" w:rsidTr="0484DC14" w14:paraId="1EE555C0">
        <w:trPr>
          <w:trHeight w:val="300"/>
        </w:trPr>
        <w:tc>
          <w:tcPr>
            <w:tcW w:w="3120" w:type="dxa"/>
            <w:tcMar/>
          </w:tcPr>
          <w:p w:rsidR="0484DC14" w:rsidP="0484DC14" w:rsidRDefault="0484DC14" w14:paraId="4682376D" w14:textId="018ED456">
            <w:pPr>
              <w:pStyle w:val="Normal"/>
            </w:pPr>
            <w:r w:rsidR="0484DC14">
              <w:rPr/>
              <w:t>Dissertation submission</w:t>
            </w:r>
          </w:p>
        </w:tc>
        <w:tc>
          <w:tcPr>
            <w:tcW w:w="3120" w:type="dxa"/>
            <w:tcMar/>
          </w:tcPr>
          <w:p w:rsidR="0484DC14" w:rsidP="0484DC14" w:rsidRDefault="0484DC14" w14:paraId="43F2AB0E" w14:textId="6C40D763">
            <w:pPr>
              <w:pStyle w:val="Normal"/>
            </w:pPr>
            <w:r w:rsidR="0484DC14">
              <w:rPr/>
              <w:t>Week 12</w:t>
            </w:r>
          </w:p>
        </w:tc>
        <w:tc>
          <w:tcPr>
            <w:tcW w:w="3120" w:type="dxa"/>
            <w:tcMar/>
          </w:tcPr>
          <w:p w:rsidR="0484DC14" w:rsidP="0484DC14" w:rsidRDefault="0484DC14" w14:paraId="0C6E306E" w14:textId="4C958974">
            <w:pPr>
              <w:pStyle w:val="Normal"/>
            </w:pPr>
            <w:r w:rsidR="0484DC14">
              <w:rPr/>
              <w:t>Final submission</w:t>
            </w:r>
          </w:p>
        </w:tc>
      </w:tr>
    </w:tbl>
    <w:p w:rsidR="0484DC14" w:rsidRDefault="0484DC14" w14:paraId="6FCA9AB7" w14:textId="54D5E0FB"/>
    <w:p w:rsidR="0484DC14" w:rsidP="0484DC14" w:rsidRDefault="0484DC14" w14:paraId="496BA464" w14:textId="4093F28A">
      <w:pPr>
        <w:pStyle w:val="Normal"/>
      </w:pPr>
    </w:p>
    <w:p w:rsidR="0484DC14" w:rsidP="0484DC14" w:rsidRDefault="0484DC14" w14:paraId="42A3E4DE" w14:textId="378FD73B">
      <w:pPr>
        <w:pStyle w:val="Normal"/>
      </w:pPr>
    </w:p>
    <w:p w:rsidR="0484DC14" w:rsidRDefault="0484DC14" w14:paraId="7EF91624" w14:textId="3FDFD385"/>
    <w:p w:rsidR="0484DC14" w:rsidP="0484DC14" w:rsidRDefault="0484DC14" w14:paraId="517764F9" w14:textId="79560321">
      <w:pPr>
        <w:pStyle w:val="Normal"/>
      </w:pPr>
    </w:p>
    <w:sectPr>
      <w:pgSz w:w="12240" w:h="15840" w:orient="portrait"/>
      <w:pgMar w:top="1440" w:right="1440" w:bottom="1440" w:left="1440" w:header="720" w:footer="720" w:gutter="0"/>
      <w:cols w:space="720"/>
      <w:docGrid w:linePitch="360"/>
      <w:headerReference w:type="default" r:id="R601ce1e41f984062"/>
      <w:footerReference w:type="default" r:id="Ra37ad2862a7d491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484DC14" w:rsidTr="0484DC14" w14:paraId="5AD2594E">
      <w:trPr>
        <w:trHeight w:val="300"/>
      </w:trPr>
      <w:tc>
        <w:tcPr>
          <w:tcW w:w="3120" w:type="dxa"/>
          <w:tcMar/>
        </w:tcPr>
        <w:p w:rsidR="0484DC14" w:rsidP="0484DC14" w:rsidRDefault="0484DC14" w14:paraId="40A46415" w14:textId="204A4C75">
          <w:pPr>
            <w:pStyle w:val="Header"/>
            <w:bidi w:val="0"/>
            <w:ind w:left="-115"/>
            <w:jc w:val="left"/>
          </w:pPr>
        </w:p>
      </w:tc>
      <w:tc>
        <w:tcPr>
          <w:tcW w:w="3120" w:type="dxa"/>
          <w:tcMar/>
        </w:tcPr>
        <w:p w:rsidR="0484DC14" w:rsidP="0484DC14" w:rsidRDefault="0484DC14" w14:paraId="2A6AA9C8" w14:textId="6A4E9886">
          <w:pPr>
            <w:pStyle w:val="Header"/>
            <w:bidi w:val="0"/>
            <w:jc w:val="center"/>
          </w:pPr>
          <w:r>
            <w:fldChar w:fldCharType="begin"/>
          </w:r>
          <w:r>
            <w:instrText xml:space="preserve">PAGE</w:instrText>
          </w:r>
          <w:r>
            <w:fldChar w:fldCharType="separate"/>
          </w:r>
          <w:r>
            <w:fldChar w:fldCharType="end"/>
          </w:r>
        </w:p>
      </w:tc>
      <w:tc>
        <w:tcPr>
          <w:tcW w:w="3120" w:type="dxa"/>
          <w:tcMar/>
        </w:tcPr>
        <w:p w:rsidR="0484DC14" w:rsidP="0484DC14" w:rsidRDefault="0484DC14" w14:paraId="106A3374" w14:textId="51FFDED5">
          <w:pPr>
            <w:pStyle w:val="Header"/>
            <w:bidi w:val="0"/>
            <w:ind w:right="-115"/>
            <w:jc w:val="right"/>
          </w:pPr>
        </w:p>
      </w:tc>
    </w:tr>
  </w:tbl>
  <w:p w:rsidR="0484DC14" w:rsidP="0484DC14" w:rsidRDefault="0484DC14" w14:paraId="5B807B67" w14:textId="5060926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484DC14" w:rsidTr="0484DC14" w14:paraId="327066F7">
      <w:trPr>
        <w:trHeight w:val="300"/>
      </w:trPr>
      <w:tc>
        <w:tcPr>
          <w:tcW w:w="3120" w:type="dxa"/>
          <w:tcMar/>
        </w:tcPr>
        <w:p w:rsidR="0484DC14" w:rsidP="0484DC14" w:rsidRDefault="0484DC14" w14:paraId="4CC0557A" w14:textId="4902DD6F">
          <w:pPr>
            <w:pStyle w:val="Header"/>
            <w:bidi w:val="0"/>
            <w:ind w:left="-115"/>
            <w:jc w:val="left"/>
          </w:pPr>
        </w:p>
      </w:tc>
      <w:tc>
        <w:tcPr>
          <w:tcW w:w="3120" w:type="dxa"/>
          <w:tcMar/>
        </w:tcPr>
        <w:p w:rsidR="0484DC14" w:rsidP="0484DC14" w:rsidRDefault="0484DC14" w14:paraId="6B945990" w14:textId="657BFFC8">
          <w:pPr>
            <w:pStyle w:val="Header"/>
            <w:bidi w:val="0"/>
            <w:jc w:val="center"/>
          </w:pPr>
        </w:p>
      </w:tc>
      <w:tc>
        <w:tcPr>
          <w:tcW w:w="3120" w:type="dxa"/>
          <w:tcMar/>
        </w:tcPr>
        <w:p w:rsidR="0484DC14" w:rsidP="0484DC14" w:rsidRDefault="0484DC14" w14:paraId="52AC88CE" w14:textId="1DEF213F">
          <w:pPr>
            <w:pStyle w:val="Header"/>
            <w:bidi w:val="0"/>
            <w:ind w:right="-115"/>
            <w:jc w:val="right"/>
          </w:pPr>
        </w:p>
      </w:tc>
    </w:tr>
  </w:tbl>
  <w:p w:rsidR="0484DC14" w:rsidP="0484DC14" w:rsidRDefault="0484DC14" w14:paraId="5DE12E98" w14:textId="6D4BD376">
    <w:pPr>
      <w:pStyle w:val="Header"/>
      <w:bidi w:val="0"/>
    </w:pPr>
  </w:p>
</w:hdr>
</file>

<file path=word/numbering.xml><?xml version="1.0" encoding="utf-8"?>
<w:numbering xmlns:w="http://schemas.openxmlformats.org/wordprocessingml/2006/main">
  <w:abstractNum xmlns:w="http://schemas.openxmlformats.org/wordprocessingml/2006/main" w:abstractNumId="2">
    <w:nsid w:val="691d8e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9cb3d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67F981"/>
    <w:rsid w:val="0003D08B"/>
    <w:rsid w:val="004063B2"/>
    <w:rsid w:val="00ADA229"/>
    <w:rsid w:val="017D82C1"/>
    <w:rsid w:val="02115E12"/>
    <w:rsid w:val="02E3A641"/>
    <w:rsid w:val="030E60D3"/>
    <w:rsid w:val="04227330"/>
    <w:rsid w:val="04618477"/>
    <w:rsid w:val="0484DC14"/>
    <w:rsid w:val="051F05B8"/>
    <w:rsid w:val="0571E016"/>
    <w:rsid w:val="0583D6CA"/>
    <w:rsid w:val="071EE034"/>
    <w:rsid w:val="0749DE0B"/>
    <w:rsid w:val="07732AE0"/>
    <w:rsid w:val="0931CE90"/>
    <w:rsid w:val="09403694"/>
    <w:rsid w:val="09803C0A"/>
    <w:rsid w:val="0A74A1D1"/>
    <w:rsid w:val="0A7C0222"/>
    <w:rsid w:val="0B4963FA"/>
    <w:rsid w:val="0B73F07F"/>
    <w:rsid w:val="0B9A40E0"/>
    <w:rsid w:val="0C756E7E"/>
    <w:rsid w:val="0CA4DCD6"/>
    <w:rsid w:val="0E39D70F"/>
    <w:rsid w:val="0EBA27AB"/>
    <w:rsid w:val="0EBA27AB"/>
    <w:rsid w:val="0F20561C"/>
    <w:rsid w:val="0FD759F8"/>
    <w:rsid w:val="103E6E23"/>
    <w:rsid w:val="10B36CAB"/>
    <w:rsid w:val="11047879"/>
    <w:rsid w:val="11B9A9DB"/>
    <w:rsid w:val="12D198EE"/>
    <w:rsid w:val="13B62F02"/>
    <w:rsid w:val="13CA533C"/>
    <w:rsid w:val="14545839"/>
    <w:rsid w:val="14D598E8"/>
    <w:rsid w:val="15A27553"/>
    <w:rsid w:val="15E5FFDE"/>
    <w:rsid w:val="160A9227"/>
    <w:rsid w:val="16B975C5"/>
    <w:rsid w:val="16DF45ED"/>
    <w:rsid w:val="17720D29"/>
    <w:rsid w:val="17AB9F81"/>
    <w:rsid w:val="1912B982"/>
    <w:rsid w:val="19429A13"/>
    <w:rsid w:val="196863F1"/>
    <w:rsid w:val="1AE5FD25"/>
    <w:rsid w:val="1AF51D12"/>
    <w:rsid w:val="1AFB5727"/>
    <w:rsid w:val="1B0AB531"/>
    <w:rsid w:val="1BC59857"/>
    <w:rsid w:val="1C58DF75"/>
    <w:rsid w:val="1C67A025"/>
    <w:rsid w:val="1D3E947E"/>
    <w:rsid w:val="1D568AF2"/>
    <w:rsid w:val="1DE9ED96"/>
    <w:rsid w:val="1E38C4D6"/>
    <w:rsid w:val="1E4CB567"/>
    <w:rsid w:val="1E51196F"/>
    <w:rsid w:val="1E8AF9A6"/>
    <w:rsid w:val="1EB6D6F0"/>
    <w:rsid w:val="1EFCCB3A"/>
    <w:rsid w:val="1F03C00D"/>
    <w:rsid w:val="1FF8D98E"/>
    <w:rsid w:val="20AC8579"/>
    <w:rsid w:val="2151D9CF"/>
    <w:rsid w:val="230AD49F"/>
    <w:rsid w:val="2353F525"/>
    <w:rsid w:val="23EFFDE3"/>
    <w:rsid w:val="23EFFDE3"/>
    <w:rsid w:val="247589A0"/>
    <w:rsid w:val="24DB9C52"/>
    <w:rsid w:val="2556F666"/>
    <w:rsid w:val="256D0EBA"/>
    <w:rsid w:val="259079F4"/>
    <w:rsid w:val="25C3A95C"/>
    <w:rsid w:val="25F22A88"/>
    <w:rsid w:val="264A7841"/>
    <w:rsid w:val="2748586B"/>
    <w:rsid w:val="28D1A301"/>
    <w:rsid w:val="2911E690"/>
    <w:rsid w:val="291F139D"/>
    <w:rsid w:val="293EA9D9"/>
    <w:rsid w:val="2957D4FB"/>
    <w:rsid w:val="29D1BE01"/>
    <w:rsid w:val="29EF45E6"/>
    <w:rsid w:val="2AAA527D"/>
    <w:rsid w:val="2B27A835"/>
    <w:rsid w:val="2B309DC8"/>
    <w:rsid w:val="2C3F4679"/>
    <w:rsid w:val="2CE3C07B"/>
    <w:rsid w:val="2D08E556"/>
    <w:rsid w:val="2D82C7C6"/>
    <w:rsid w:val="2DE65DBC"/>
    <w:rsid w:val="2E33023D"/>
    <w:rsid w:val="2EAA1599"/>
    <w:rsid w:val="2F0CCBBD"/>
    <w:rsid w:val="2FAA0E63"/>
    <w:rsid w:val="2FDEA41A"/>
    <w:rsid w:val="2FDEA41A"/>
    <w:rsid w:val="3033869D"/>
    <w:rsid w:val="303663F7"/>
    <w:rsid w:val="3115AB8D"/>
    <w:rsid w:val="3167F981"/>
    <w:rsid w:val="3243A3DC"/>
    <w:rsid w:val="3243A3DC"/>
    <w:rsid w:val="32A2E530"/>
    <w:rsid w:val="330ACA70"/>
    <w:rsid w:val="330E6776"/>
    <w:rsid w:val="34E3AD96"/>
    <w:rsid w:val="35E28E0B"/>
    <w:rsid w:val="363D0386"/>
    <w:rsid w:val="3740AF5F"/>
    <w:rsid w:val="379EC057"/>
    <w:rsid w:val="37AA6B52"/>
    <w:rsid w:val="3919ACDE"/>
    <w:rsid w:val="3A193BFB"/>
    <w:rsid w:val="3A61468D"/>
    <w:rsid w:val="3ADAFDB5"/>
    <w:rsid w:val="3AE08F9C"/>
    <w:rsid w:val="3B796205"/>
    <w:rsid w:val="3B7AAC12"/>
    <w:rsid w:val="3B9CCEAA"/>
    <w:rsid w:val="3BA09208"/>
    <w:rsid w:val="3C244474"/>
    <w:rsid w:val="3C5BBBD2"/>
    <w:rsid w:val="3DD3CC83"/>
    <w:rsid w:val="3DEB1272"/>
    <w:rsid w:val="3EFED8D6"/>
    <w:rsid w:val="3F608799"/>
    <w:rsid w:val="404AF4A9"/>
    <w:rsid w:val="40770FAD"/>
    <w:rsid w:val="41547B7C"/>
    <w:rsid w:val="4174072D"/>
    <w:rsid w:val="4221369E"/>
    <w:rsid w:val="42257963"/>
    <w:rsid w:val="42E41E7B"/>
    <w:rsid w:val="4349A190"/>
    <w:rsid w:val="434C3776"/>
    <w:rsid w:val="435D3BB7"/>
    <w:rsid w:val="43C12010"/>
    <w:rsid w:val="4428F42A"/>
    <w:rsid w:val="44B3AECB"/>
    <w:rsid w:val="4529B2E1"/>
    <w:rsid w:val="45766A08"/>
    <w:rsid w:val="4638192F"/>
    <w:rsid w:val="4825FD83"/>
    <w:rsid w:val="487CBC14"/>
    <w:rsid w:val="48FEA225"/>
    <w:rsid w:val="49DF656B"/>
    <w:rsid w:val="4A88818B"/>
    <w:rsid w:val="4AA9FA4A"/>
    <w:rsid w:val="4ADEC0EC"/>
    <w:rsid w:val="4B635722"/>
    <w:rsid w:val="4C456A41"/>
    <w:rsid w:val="4C884618"/>
    <w:rsid w:val="4CDAA368"/>
    <w:rsid w:val="4D358A29"/>
    <w:rsid w:val="4DCED221"/>
    <w:rsid w:val="4E1E347F"/>
    <w:rsid w:val="4E7931AE"/>
    <w:rsid w:val="4ECAC248"/>
    <w:rsid w:val="4F5012E5"/>
    <w:rsid w:val="4FCB8BB5"/>
    <w:rsid w:val="500ACE70"/>
    <w:rsid w:val="50B6A521"/>
    <w:rsid w:val="5192A53B"/>
    <w:rsid w:val="5219E27C"/>
    <w:rsid w:val="533E8BE9"/>
    <w:rsid w:val="53E4A819"/>
    <w:rsid w:val="545B3BE6"/>
    <w:rsid w:val="545D2A15"/>
    <w:rsid w:val="54B66CF3"/>
    <w:rsid w:val="5537CB95"/>
    <w:rsid w:val="5537CB95"/>
    <w:rsid w:val="553F4C5B"/>
    <w:rsid w:val="55525915"/>
    <w:rsid w:val="57383FFE"/>
    <w:rsid w:val="58491E27"/>
    <w:rsid w:val="58F0F5FF"/>
    <w:rsid w:val="59D8F3C1"/>
    <w:rsid w:val="5A8086B6"/>
    <w:rsid w:val="5AC48361"/>
    <w:rsid w:val="5AEE7F57"/>
    <w:rsid w:val="5B9BE116"/>
    <w:rsid w:val="5C0FFDA5"/>
    <w:rsid w:val="5C22006A"/>
    <w:rsid w:val="5C3A218E"/>
    <w:rsid w:val="5C7B7672"/>
    <w:rsid w:val="5C912760"/>
    <w:rsid w:val="5C912760"/>
    <w:rsid w:val="5E32E5E7"/>
    <w:rsid w:val="5F307409"/>
    <w:rsid w:val="5F9606CB"/>
    <w:rsid w:val="5F9BAA43"/>
    <w:rsid w:val="601CCD1B"/>
    <w:rsid w:val="60965475"/>
    <w:rsid w:val="60F2221F"/>
    <w:rsid w:val="62189B62"/>
    <w:rsid w:val="629C7A50"/>
    <w:rsid w:val="62C1A8F1"/>
    <w:rsid w:val="633E22C6"/>
    <w:rsid w:val="633E22C6"/>
    <w:rsid w:val="63407672"/>
    <w:rsid w:val="63EEC0E1"/>
    <w:rsid w:val="6425F5AB"/>
    <w:rsid w:val="648F8453"/>
    <w:rsid w:val="64B27CEF"/>
    <w:rsid w:val="6549ACCA"/>
    <w:rsid w:val="65560FAF"/>
    <w:rsid w:val="657F14D7"/>
    <w:rsid w:val="65AD9E6A"/>
    <w:rsid w:val="66012151"/>
    <w:rsid w:val="66B5B274"/>
    <w:rsid w:val="66DB6334"/>
    <w:rsid w:val="67C3A09D"/>
    <w:rsid w:val="68623E09"/>
    <w:rsid w:val="690BC1CE"/>
    <w:rsid w:val="69A965C4"/>
    <w:rsid w:val="69A965C4"/>
    <w:rsid w:val="6A0FB289"/>
    <w:rsid w:val="6ABF6377"/>
    <w:rsid w:val="6B359AA3"/>
    <w:rsid w:val="6B627101"/>
    <w:rsid w:val="6B942A25"/>
    <w:rsid w:val="6C1000C2"/>
    <w:rsid w:val="6C1000C2"/>
    <w:rsid w:val="6C2672FC"/>
    <w:rsid w:val="6C3E113F"/>
    <w:rsid w:val="6C5DAE93"/>
    <w:rsid w:val="6CBE4667"/>
    <w:rsid w:val="6CD69B4F"/>
    <w:rsid w:val="6DDD07FF"/>
    <w:rsid w:val="6F223977"/>
    <w:rsid w:val="6F5461FC"/>
    <w:rsid w:val="6F5688DB"/>
    <w:rsid w:val="6F7CBDEB"/>
    <w:rsid w:val="6FB4357F"/>
    <w:rsid w:val="7003F815"/>
    <w:rsid w:val="70048B2A"/>
    <w:rsid w:val="704FD3CD"/>
    <w:rsid w:val="7093162E"/>
    <w:rsid w:val="70AC5F75"/>
    <w:rsid w:val="70F18667"/>
    <w:rsid w:val="70F6EED1"/>
    <w:rsid w:val="7113E2E6"/>
    <w:rsid w:val="71516E2C"/>
    <w:rsid w:val="721256C0"/>
    <w:rsid w:val="7237AE2C"/>
    <w:rsid w:val="7345B9A4"/>
    <w:rsid w:val="73582B7A"/>
    <w:rsid w:val="74328A22"/>
    <w:rsid w:val="74E9FDF1"/>
    <w:rsid w:val="75301572"/>
    <w:rsid w:val="75301572"/>
    <w:rsid w:val="77807B2C"/>
    <w:rsid w:val="78529944"/>
    <w:rsid w:val="7865F6F2"/>
    <w:rsid w:val="79B535BD"/>
    <w:rsid w:val="79C7172D"/>
    <w:rsid w:val="79E31BBF"/>
    <w:rsid w:val="7A1E4DEA"/>
    <w:rsid w:val="7A6D4047"/>
    <w:rsid w:val="7A84ED26"/>
    <w:rsid w:val="7B27480D"/>
    <w:rsid w:val="7C98B28D"/>
    <w:rsid w:val="7E30E955"/>
    <w:rsid w:val="7E841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02F27"/>
  <w15:chartTrackingRefBased/>
  <w15:docId w15:val="{29948F34-CB23-4576-A5DE-B04B418A8B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484DC1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484DC14"/>
    <w:pPr>
      <w:spacing/>
      <w:ind w:left="720"/>
      <w:contextualSpacing/>
    </w:pPr>
  </w:style>
  <w:style w:type="paragraph" w:styleId="Header">
    <w:uiPriority w:val="99"/>
    <w:name w:val="header"/>
    <w:basedOn w:val="Normal"/>
    <w:unhideWhenUsed/>
    <w:rsid w:val="0484DC14"/>
    <w:pPr>
      <w:tabs>
        <w:tab w:val="center" w:leader="none" w:pos="4680"/>
        <w:tab w:val="right" w:leader="none" w:pos="9360"/>
      </w:tabs>
      <w:spacing w:after="0" w:line="240" w:lineRule="auto"/>
    </w:pPr>
  </w:style>
  <w:style w:type="paragraph" w:styleId="Footer">
    <w:uiPriority w:val="99"/>
    <w:name w:val="footer"/>
    <w:basedOn w:val="Normal"/>
    <w:unhideWhenUsed/>
    <w:rsid w:val="0484DC14"/>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484DC14"/>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177/1529100615593273" TargetMode="External" Id="R945d25a5b0cd4de3" /><Relationship Type="http://schemas.openxmlformats.org/officeDocument/2006/relationships/hyperlink" Target="https://www.isonderhouden.nl/doc/pdf/arnoldbakker/articles/articles_arnold_bakker_164.pdf" TargetMode="External" Id="R06f93aafd2c14248" /><Relationship Type="http://schemas.openxmlformats.org/officeDocument/2006/relationships/hyperlink" Target="https://doi.org/10.1038/s41586-024-07500-2" TargetMode="External" Id="R5746cba81f6a4c8e" /><Relationship Type="http://schemas.openxmlformats.org/officeDocument/2006/relationships/hyperlink" Target="https://doi.org/10.3389/fpsyg.2020.590271" TargetMode="External" Id="Ra7dbb397d516414f" /><Relationship Type="http://schemas.openxmlformats.org/officeDocument/2006/relationships/hyperlink" Target="https://www.apa.org/pubs/journals/releases/apl-9261524.pdf" TargetMode="External" Id="R71eab0d77f974aac" /><Relationship Type="http://schemas.openxmlformats.org/officeDocument/2006/relationships/hyperlink" Target="https://doi.org/10.2307/256287" TargetMode="External" Id="R50505c2163e5447a" /><Relationship Type="http://schemas.openxmlformats.org/officeDocument/2006/relationships/hyperlink" Target="https://doi.org/10.5465/amj.2010.51468988" TargetMode="External" Id="R1953816595064e7e" /><Relationship Type="http://schemas.openxmlformats.org/officeDocument/2006/relationships/hyperlink" Target="https://doi.org/10.1108/02683940610690169" TargetMode="External" Id="Re4318d683dd249ae" /><Relationship Type="http://schemas.openxmlformats.org/officeDocument/2006/relationships/hyperlink" Target="https://link.springer.com/article/10.1023/A:1015630930326#citeas" TargetMode="External" Id="Rc7ef248d91e441c3" /><Relationship Type="http://schemas.openxmlformats.org/officeDocument/2006/relationships/hyperlink" Target="https://doi.org/10.35912/ahrmr.v5i2.2892" TargetMode="External" Id="R7c5c8f2e36e149b4" /><Relationship Type="http://schemas.openxmlformats.org/officeDocument/2006/relationships/hyperlink" Target="https://doi.org/10.1111/apps.12290" TargetMode="External" Id="Rb56f12ea7ee7444e" /><Relationship Type="http://schemas.openxmlformats.org/officeDocument/2006/relationships/header" Target="header.xml" Id="R601ce1e41f984062" /><Relationship Type="http://schemas.openxmlformats.org/officeDocument/2006/relationships/footer" Target="footer.xml" Id="Ra37ad2862a7d491d" /><Relationship Type="http://schemas.openxmlformats.org/officeDocument/2006/relationships/numbering" Target="numbering.xml" Id="R9e242ba67fc7449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2026-06-26T22:54:01.6021164Z</dcterms:created>
  <dcterms:modified xsi:type="dcterms:W3CDTF">2026-06-27T21:24:35.9530652Z</dcterms:modified>
  <dc:creator>Akhi Uddin</dc:creator>
  <lastModifiedBy>Akhi Uddin</lastModifiedBy>
</coreProperties>
</file>