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182945189" w:displacedByCustomXml="next"/>
    <w:sdt>
      <w:sdtPr>
        <w:id w:val="1669515478"/>
        <w:docPartObj>
          <w:docPartGallery w:val="Cover Pages"/>
          <w:docPartUnique/>
        </w:docPartObj>
      </w:sdtPr>
      <w:sdtContent>
        <w:p w14:paraId="338392CE" w14:textId="1C96A56F" w:rsidR="00C0622A" w:rsidRDefault="00C0622A" w:rsidP="000E56A8">
          <w:pPr>
            <w:jc w:val="both"/>
          </w:pPr>
          <w:r>
            <w:rPr>
              <w:noProof/>
            </w:rPr>
            <mc:AlternateContent>
              <mc:Choice Requires="wpg">
                <w:drawing>
                  <wp:anchor distT="0" distB="0" distL="114300" distR="114300" simplePos="0" relativeHeight="251662336" behindDoc="0" locked="0" layoutInCell="1" allowOverlap="1" wp14:anchorId="59A3B2B7" wp14:editId="780BF41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9F46AA7"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D9F04FE" wp14:editId="588F75C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C8D7F2" w14:textId="77777777" w:rsidR="00C0622A" w:rsidRPr="00CA1B20" w:rsidRDefault="00C0622A" w:rsidP="00C0622A">
                                <w:pPr>
                                  <w:spacing w:after="0" w:line="360" w:lineRule="auto"/>
                                  <w:ind w:firstLine="284"/>
                                  <w:jc w:val="right"/>
                                  <w:rPr>
                                    <w:rFonts w:ascii="Arial" w:hAnsi="Arial" w:cs="Arial"/>
                                    <w:b/>
                                    <w:bCs/>
                                    <w:sz w:val="24"/>
                                    <w:szCs w:val="24"/>
                                  </w:rPr>
                                </w:pPr>
                                <w:r w:rsidRPr="00CA1B20">
                                  <w:rPr>
                                    <w:rFonts w:ascii="Arial" w:hAnsi="Arial" w:cs="Arial"/>
                                    <w:b/>
                                    <w:bCs/>
                                    <w:sz w:val="24"/>
                                    <w:szCs w:val="24"/>
                                  </w:rPr>
                                  <w:t>Author:   Elena Turcanu, Student nr 2127547</w:t>
                                </w:r>
                              </w:p>
                              <w:p w14:paraId="7B114BA2" w14:textId="77777777" w:rsidR="00C0622A" w:rsidRPr="00CA1B20" w:rsidRDefault="00C0622A" w:rsidP="00C0622A">
                                <w:pPr>
                                  <w:spacing w:after="0" w:line="360" w:lineRule="auto"/>
                                  <w:ind w:firstLine="284"/>
                                  <w:jc w:val="right"/>
                                  <w:rPr>
                                    <w:rFonts w:ascii="Arial" w:hAnsi="Arial" w:cs="Arial"/>
                                    <w:b/>
                                    <w:bCs/>
                                    <w:sz w:val="24"/>
                                    <w:szCs w:val="24"/>
                                  </w:rPr>
                                </w:pPr>
                                <w:r w:rsidRPr="00CA1B20">
                                  <w:rPr>
                                    <w:rFonts w:ascii="Arial" w:hAnsi="Arial" w:cs="Arial"/>
                                    <w:b/>
                                    <w:bCs/>
                                    <w:sz w:val="24"/>
                                    <w:szCs w:val="24"/>
                                  </w:rPr>
                                  <w:t>Lecturer: Dr Seyed Nasirpour</w:t>
                                </w:r>
                              </w:p>
                              <w:p w14:paraId="15B32D67" w14:textId="63273FD6" w:rsidR="00C0622A" w:rsidRDefault="00C0622A">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D9F04FE"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73C8D7F2" w14:textId="77777777" w:rsidR="00C0622A" w:rsidRPr="00CA1B20" w:rsidRDefault="00C0622A" w:rsidP="00C0622A">
                          <w:pPr>
                            <w:spacing w:after="0" w:line="360" w:lineRule="auto"/>
                            <w:ind w:firstLine="284"/>
                            <w:jc w:val="right"/>
                            <w:rPr>
                              <w:rFonts w:ascii="Arial" w:hAnsi="Arial" w:cs="Arial"/>
                              <w:b/>
                              <w:bCs/>
                              <w:sz w:val="24"/>
                              <w:szCs w:val="24"/>
                            </w:rPr>
                          </w:pPr>
                          <w:r w:rsidRPr="00CA1B20">
                            <w:rPr>
                              <w:rFonts w:ascii="Arial" w:hAnsi="Arial" w:cs="Arial"/>
                              <w:b/>
                              <w:bCs/>
                              <w:sz w:val="24"/>
                              <w:szCs w:val="24"/>
                            </w:rPr>
                            <w:t>Author:   Elena Turcanu, Student nr 2127547</w:t>
                          </w:r>
                        </w:p>
                        <w:p w14:paraId="7B114BA2" w14:textId="77777777" w:rsidR="00C0622A" w:rsidRPr="00CA1B20" w:rsidRDefault="00C0622A" w:rsidP="00C0622A">
                          <w:pPr>
                            <w:spacing w:after="0" w:line="360" w:lineRule="auto"/>
                            <w:ind w:firstLine="284"/>
                            <w:jc w:val="right"/>
                            <w:rPr>
                              <w:rFonts w:ascii="Arial" w:hAnsi="Arial" w:cs="Arial"/>
                              <w:b/>
                              <w:bCs/>
                              <w:sz w:val="24"/>
                              <w:szCs w:val="24"/>
                            </w:rPr>
                          </w:pPr>
                          <w:r w:rsidRPr="00CA1B20">
                            <w:rPr>
                              <w:rFonts w:ascii="Arial" w:hAnsi="Arial" w:cs="Arial"/>
                              <w:b/>
                              <w:bCs/>
                              <w:sz w:val="24"/>
                              <w:szCs w:val="24"/>
                            </w:rPr>
                            <w:t>Lecturer: Dr Seyed Nasirpour</w:t>
                          </w:r>
                        </w:p>
                        <w:p w14:paraId="15B32D67" w14:textId="63273FD6" w:rsidR="00C0622A" w:rsidRDefault="00C0622A">
                          <w:pPr>
                            <w:pStyle w:val="NoSpacing"/>
                            <w:jc w:val="right"/>
                            <w:rPr>
                              <w:color w:val="595959" w:themeColor="text1" w:themeTint="A6"/>
                              <w:sz w:val="18"/>
                              <w:szCs w:val="18"/>
                            </w:rPr>
                          </w:pPr>
                        </w:p>
                      </w:txbxContent>
                    </v:textbox>
                    <w10:wrap type="square" anchorx="page" anchory="page"/>
                  </v:shape>
                </w:pict>
              </mc:Fallback>
            </mc:AlternateContent>
          </w:r>
        </w:p>
        <w:p w14:paraId="07B4046C" w14:textId="77777777" w:rsidR="00C0622A" w:rsidRDefault="00C0622A" w:rsidP="000E56A8">
          <w:pPr>
            <w:spacing w:after="0" w:line="360" w:lineRule="auto"/>
            <w:ind w:firstLine="284"/>
            <w:jc w:val="both"/>
          </w:pPr>
        </w:p>
        <w:p w14:paraId="2B135198" w14:textId="77777777" w:rsidR="00C0622A" w:rsidRDefault="00C0622A" w:rsidP="000E56A8">
          <w:pPr>
            <w:spacing w:after="0" w:line="360" w:lineRule="auto"/>
            <w:ind w:firstLine="284"/>
            <w:jc w:val="both"/>
          </w:pPr>
        </w:p>
        <w:p w14:paraId="1F2E1148" w14:textId="77777777" w:rsidR="00C0622A" w:rsidRPr="00630068" w:rsidRDefault="00C0622A" w:rsidP="000E56A8">
          <w:pPr>
            <w:spacing w:after="0" w:line="360" w:lineRule="auto"/>
            <w:ind w:firstLine="284"/>
            <w:jc w:val="both"/>
            <w:rPr>
              <w:rFonts w:ascii="Arial" w:hAnsi="Arial" w:cs="Arial"/>
              <w:b/>
              <w:bCs/>
              <w:sz w:val="24"/>
              <w:szCs w:val="24"/>
            </w:rPr>
          </w:pPr>
          <w:r w:rsidRPr="00630068">
            <w:rPr>
              <w:rFonts w:ascii="Arial" w:hAnsi="Arial" w:cs="Arial"/>
              <w:b/>
              <w:bCs/>
              <w:sz w:val="24"/>
              <w:szCs w:val="24"/>
            </w:rPr>
            <w:t>University of Wales Trinity Saint David Birmingham</w:t>
          </w:r>
        </w:p>
        <w:p w14:paraId="4559C18F" w14:textId="77777777" w:rsidR="00C0622A" w:rsidRPr="00630068" w:rsidRDefault="00C0622A" w:rsidP="000E56A8">
          <w:pPr>
            <w:spacing w:after="0" w:line="360" w:lineRule="auto"/>
            <w:ind w:firstLine="284"/>
            <w:jc w:val="both"/>
            <w:rPr>
              <w:rFonts w:ascii="Arial" w:hAnsi="Arial" w:cs="Arial"/>
              <w:b/>
              <w:bCs/>
              <w:sz w:val="24"/>
              <w:szCs w:val="24"/>
            </w:rPr>
          </w:pPr>
          <w:r w:rsidRPr="00630068">
            <w:rPr>
              <w:rFonts w:ascii="Arial" w:hAnsi="Arial" w:cs="Arial"/>
              <w:b/>
              <w:bCs/>
              <w:sz w:val="24"/>
              <w:szCs w:val="24"/>
            </w:rPr>
            <w:t>BA (Hons) Business Management</w:t>
          </w:r>
        </w:p>
        <w:p w14:paraId="1F6372F4" w14:textId="77777777" w:rsidR="00C0622A" w:rsidRPr="00CA1B20" w:rsidRDefault="00C0622A" w:rsidP="000E56A8">
          <w:pPr>
            <w:spacing w:after="0" w:line="360" w:lineRule="auto"/>
            <w:ind w:firstLine="284"/>
            <w:jc w:val="both"/>
            <w:rPr>
              <w:rFonts w:ascii="Arial" w:hAnsi="Arial" w:cs="Arial"/>
              <w:b/>
              <w:bCs/>
              <w:sz w:val="24"/>
              <w:szCs w:val="24"/>
            </w:rPr>
          </w:pPr>
          <w:r w:rsidRPr="0070544B">
            <w:rPr>
              <w:rFonts w:ascii="Arial" w:hAnsi="Arial" w:cs="Arial"/>
              <w:b/>
              <w:bCs/>
              <w:sz w:val="24"/>
              <w:szCs w:val="24"/>
            </w:rPr>
            <w:t>LCBB6000_BIRM</w:t>
          </w:r>
          <w:r w:rsidRPr="00630068">
            <w:rPr>
              <w:rFonts w:ascii="Arial" w:hAnsi="Arial" w:cs="Arial"/>
              <w:b/>
              <w:bCs/>
              <w:sz w:val="24"/>
              <w:szCs w:val="24"/>
            </w:rPr>
            <w:t xml:space="preserve"> </w:t>
          </w:r>
          <w:r w:rsidRPr="0070544B">
            <w:rPr>
              <w:rFonts w:ascii="Arial" w:hAnsi="Arial" w:cs="Arial"/>
              <w:b/>
              <w:bCs/>
              <w:sz w:val="24"/>
              <w:szCs w:val="24"/>
            </w:rPr>
            <w:t>Dissertation</w:t>
          </w:r>
        </w:p>
        <w:p w14:paraId="6D80E5EC" w14:textId="5A554A78" w:rsidR="00C0622A" w:rsidRPr="00CA1B20" w:rsidRDefault="002F129C" w:rsidP="000E56A8">
          <w:pPr>
            <w:spacing w:after="0" w:line="360" w:lineRule="auto"/>
            <w:ind w:firstLine="284"/>
            <w:jc w:val="both"/>
            <w:rPr>
              <w:rFonts w:ascii="Arial" w:hAnsi="Arial" w:cs="Arial"/>
              <w:b/>
              <w:bCs/>
              <w:sz w:val="24"/>
              <w:szCs w:val="24"/>
            </w:rPr>
          </w:pPr>
          <w:r>
            <w:rPr>
              <w:noProof/>
            </w:rPr>
            <mc:AlternateContent>
              <mc:Choice Requires="wps">
                <w:drawing>
                  <wp:anchor distT="0" distB="0" distL="114300" distR="114300" simplePos="0" relativeHeight="251659264" behindDoc="0" locked="0" layoutInCell="1" allowOverlap="1" wp14:anchorId="00E12423" wp14:editId="6C2529DE">
                    <wp:simplePos x="0" y="0"/>
                    <wp:positionH relativeFrom="page">
                      <wp:posOffset>217714</wp:posOffset>
                    </wp:positionH>
                    <wp:positionV relativeFrom="page">
                      <wp:posOffset>3211286</wp:posOffset>
                    </wp:positionV>
                    <wp:extent cx="6977743" cy="387604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6977743" cy="38760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32E134" w14:textId="7C7B30F7" w:rsidR="00C0622A" w:rsidRPr="0070544B" w:rsidRDefault="00C0622A" w:rsidP="00C0622A">
                                <w:pPr>
                                  <w:spacing w:after="0" w:line="360" w:lineRule="auto"/>
                                  <w:ind w:firstLine="284"/>
                                  <w:jc w:val="center"/>
                                  <w:rPr>
                                    <w:rFonts w:ascii="Arial" w:hAnsi="Arial" w:cs="Arial"/>
                                    <w:b/>
                                    <w:bCs/>
                                    <w:color w:val="000000" w:themeColor="text1"/>
                                    <w:sz w:val="36"/>
                                    <w:szCs w:val="36"/>
                                  </w:rPr>
                                </w:pPr>
                                <w:r w:rsidRPr="0070544B">
                                  <w:rPr>
                                    <w:rFonts w:ascii="Arial" w:hAnsi="Arial" w:cs="Arial"/>
                                    <w:b/>
                                    <w:bCs/>
                                    <w:color w:val="000000" w:themeColor="text1"/>
                                    <w:sz w:val="36"/>
                                    <w:szCs w:val="36"/>
                                  </w:rPr>
                                  <w:t xml:space="preserve">Component </w:t>
                                </w:r>
                                <w:r>
                                  <w:rPr>
                                    <w:rFonts w:ascii="Arial" w:hAnsi="Arial" w:cs="Arial"/>
                                    <w:b/>
                                    <w:bCs/>
                                    <w:color w:val="000000" w:themeColor="text1"/>
                                    <w:sz w:val="36"/>
                                    <w:szCs w:val="36"/>
                                  </w:rPr>
                                  <w:t>2</w:t>
                                </w:r>
                                <w:r w:rsidRPr="0070544B">
                                  <w:rPr>
                                    <w:rFonts w:ascii="Arial" w:hAnsi="Arial" w:cs="Arial"/>
                                    <w:b/>
                                    <w:bCs/>
                                    <w:color w:val="000000" w:themeColor="text1"/>
                                    <w:sz w:val="36"/>
                                    <w:szCs w:val="36"/>
                                  </w:rPr>
                                  <w:br/>
                                </w:r>
                                <w:r>
                                  <w:rPr>
                                    <w:rFonts w:ascii="Arial" w:hAnsi="Arial" w:cs="Arial"/>
                                    <w:b/>
                                    <w:bCs/>
                                    <w:color w:val="000000" w:themeColor="text1"/>
                                    <w:sz w:val="36"/>
                                    <w:szCs w:val="36"/>
                                  </w:rPr>
                                  <w:t>Dissertation</w:t>
                                </w:r>
                              </w:p>
                              <w:p w14:paraId="1FF6470F" w14:textId="77777777" w:rsidR="00C0622A" w:rsidRPr="001219CA" w:rsidRDefault="00C0622A" w:rsidP="00C0622A">
                                <w:pPr>
                                  <w:spacing w:after="0" w:line="360" w:lineRule="auto"/>
                                  <w:ind w:firstLine="284"/>
                                  <w:jc w:val="center"/>
                                  <w:rPr>
                                    <w:rFonts w:ascii="Arial" w:hAnsi="Arial" w:cs="Arial"/>
                                    <w:b/>
                                    <w:bCs/>
                                    <w:color w:val="000000" w:themeColor="text1"/>
                                    <w:sz w:val="28"/>
                                    <w:szCs w:val="28"/>
                                  </w:rPr>
                                </w:pPr>
                                <w:r w:rsidRPr="001219CA">
                                  <w:rPr>
                                    <w:rFonts w:ascii="Arial" w:hAnsi="Arial" w:cs="Arial"/>
                                    <w:b/>
                                    <w:bCs/>
                                    <w:color w:val="000000" w:themeColor="text1"/>
                                    <w:sz w:val="28"/>
                                    <w:szCs w:val="28"/>
                                  </w:rPr>
                                  <w:t>Research Title</w:t>
                                </w:r>
                                <w:r>
                                  <w:rPr>
                                    <w:rFonts w:ascii="Arial" w:hAnsi="Arial" w:cs="Arial"/>
                                    <w:b/>
                                    <w:bCs/>
                                    <w:color w:val="000000" w:themeColor="text1"/>
                                    <w:sz w:val="28"/>
                                    <w:szCs w:val="28"/>
                                  </w:rPr>
                                  <w:t xml:space="preserve">: </w:t>
                                </w:r>
                                <w:r w:rsidRPr="0070544B">
                                  <w:rPr>
                                    <w:rFonts w:ascii="Arial" w:hAnsi="Arial" w:cs="Arial"/>
                                    <w:b/>
                                    <w:bCs/>
                                    <w:i/>
                                    <w:iCs/>
                                    <w:color w:val="000000" w:themeColor="text1"/>
                                    <w:sz w:val="28"/>
                                    <w:szCs w:val="28"/>
                                  </w:rPr>
                                  <w:t>Hong Kong as a global business hub: How macro environment factors and regulations shape foreign business expansion</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6CF28B4" w14:textId="687D8391" w:rsidR="00C0622A" w:rsidRDefault="00C0622A">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00E12423" id="Text Box 163" o:spid="_x0000_s1027" type="#_x0000_t202" style="position:absolute;left:0;text-align:left;margin-left:17.15pt;margin-top:252.85pt;width:549.45pt;height:305.2pt;z-index:251659264;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" filled="f" stroked="f" strokeweight=".5pt">
                    <v:textbox inset="126pt,0,54pt,0">
                      <w:txbxContent>
                        <w:p w14:paraId="2932E134" w14:textId="7C7B30F7" w:rsidR="00C0622A" w:rsidRPr="0070544B" w:rsidRDefault="00C0622A" w:rsidP="00C0622A">
                          <w:pPr>
                            <w:spacing w:after="0" w:line="360" w:lineRule="auto"/>
                            <w:ind w:firstLine="284"/>
                            <w:jc w:val="center"/>
                            <w:rPr>
                              <w:rFonts w:ascii="Arial" w:hAnsi="Arial" w:cs="Arial"/>
                              <w:b/>
                              <w:bCs/>
                              <w:color w:val="000000" w:themeColor="text1"/>
                              <w:sz w:val="36"/>
                              <w:szCs w:val="36"/>
                            </w:rPr>
                          </w:pPr>
                          <w:r w:rsidRPr="0070544B">
                            <w:rPr>
                              <w:rFonts w:ascii="Arial" w:hAnsi="Arial" w:cs="Arial"/>
                              <w:b/>
                              <w:bCs/>
                              <w:color w:val="000000" w:themeColor="text1"/>
                              <w:sz w:val="36"/>
                              <w:szCs w:val="36"/>
                            </w:rPr>
                            <w:t xml:space="preserve">Component </w:t>
                          </w:r>
                          <w:r>
                            <w:rPr>
                              <w:rFonts w:ascii="Arial" w:hAnsi="Arial" w:cs="Arial"/>
                              <w:b/>
                              <w:bCs/>
                              <w:color w:val="000000" w:themeColor="text1"/>
                              <w:sz w:val="36"/>
                              <w:szCs w:val="36"/>
                            </w:rPr>
                            <w:t>2</w:t>
                          </w:r>
                          <w:r w:rsidRPr="0070544B">
                            <w:rPr>
                              <w:rFonts w:ascii="Arial" w:hAnsi="Arial" w:cs="Arial"/>
                              <w:b/>
                              <w:bCs/>
                              <w:color w:val="000000" w:themeColor="text1"/>
                              <w:sz w:val="36"/>
                              <w:szCs w:val="36"/>
                            </w:rPr>
                            <w:br/>
                          </w:r>
                          <w:r>
                            <w:rPr>
                              <w:rFonts w:ascii="Arial" w:hAnsi="Arial" w:cs="Arial"/>
                              <w:b/>
                              <w:bCs/>
                              <w:color w:val="000000" w:themeColor="text1"/>
                              <w:sz w:val="36"/>
                              <w:szCs w:val="36"/>
                            </w:rPr>
                            <w:t>Dissertation</w:t>
                          </w:r>
                        </w:p>
                        <w:p w14:paraId="1FF6470F" w14:textId="77777777" w:rsidR="00C0622A" w:rsidRPr="001219CA" w:rsidRDefault="00C0622A" w:rsidP="00C0622A">
                          <w:pPr>
                            <w:spacing w:after="0" w:line="360" w:lineRule="auto"/>
                            <w:ind w:firstLine="284"/>
                            <w:jc w:val="center"/>
                            <w:rPr>
                              <w:rFonts w:ascii="Arial" w:hAnsi="Arial" w:cs="Arial"/>
                              <w:b/>
                              <w:bCs/>
                              <w:color w:val="000000" w:themeColor="text1"/>
                              <w:sz w:val="28"/>
                              <w:szCs w:val="28"/>
                            </w:rPr>
                          </w:pPr>
                          <w:r w:rsidRPr="001219CA">
                            <w:rPr>
                              <w:rFonts w:ascii="Arial" w:hAnsi="Arial" w:cs="Arial"/>
                              <w:b/>
                              <w:bCs/>
                              <w:color w:val="000000" w:themeColor="text1"/>
                              <w:sz w:val="28"/>
                              <w:szCs w:val="28"/>
                            </w:rPr>
                            <w:t>Research Title</w:t>
                          </w:r>
                          <w:r>
                            <w:rPr>
                              <w:rFonts w:ascii="Arial" w:hAnsi="Arial" w:cs="Arial"/>
                              <w:b/>
                              <w:bCs/>
                              <w:color w:val="000000" w:themeColor="text1"/>
                              <w:sz w:val="28"/>
                              <w:szCs w:val="28"/>
                            </w:rPr>
                            <w:t xml:space="preserve">: </w:t>
                          </w:r>
                          <w:r w:rsidRPr="0070544B">
                            <w:rPr>
                              <w:rFonts w:ascii="Arial" w:hAnsi="Arial" w:cs="Arial"/>
                              <w:b/>
                              <w:bCs/>
                              <w:i/>
                              <w:iCs/>
                              <w:color w:val="000000" w:themeColor="text1"/>
                              <w:sz w:val="28"/>
                              <w:szCs w:val="28"/>
                            </w:rPr>
                            <w:t>Hong Kong as a global business hub: How macro environment factors and regulations shape foreign business expansion</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6CF28B4" w14:textId="687D8391" w:rsidR="00C0622A" w:rsidRDefault="00C0622A">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C0622A">
            <w:br w:type="page"/>
          </w:r>
        </w:p>
        <w:p w14:paraId="5792B5CD" w14:textId="77777777" w:rsidR="00C0622A" w:rsidRDefault="00C0622A" w:rsidP="000E56A8">
          <w:pPr>
            <w:pStyle w:val="NoSpacing"/>
            <w:jc w:val="both"/>
            <w:rPr>
              <w:color w:val="156082" w:themeColor="accent1"/>
              <w:sz w:val="28"/>
              <w:szCs w:val="28"/>
            </w:rPr>
          </w:pPr>
          <w:r>
            <w:rPr>
              <w:color w:val="156082" w:themeColor="accent1"/>
              <w:sz w:val="28"/>
              <w:szCs w:val="28"/>
            </w:rPr>
            <w:lastRenderedPageBreak/>
            <w:t>Abstract</w:t>
          </w:r>
        </w:p>
        <w:p w14:paraId="50C94154" w14:textId="0767EC6E" w:rsidR="00C0622A" w:rsidRDefault="00993F79" w:rsidP="000E56A8">
          <w:pPr>
            <w:spacing w:after="0" w:line="360" w:lineRule="auto"/>
            <w:ind w:firstLine="284"/>
            <w:jc w:val="both"/>
            <w:rPr>
              <w:rFonts w:ascii="Arial" w:hAnsi="Arial" w:cs="Arial"/>
              <w:i/>
              <w:iCs/>
              <w:sz w:val="24"/>
              <w:szCs w:val="24"/>
            </w:rPr>
          </w:pPr>
          <w:r w:rsidRPr="00993F79">
            <w:rPr>
              <w:rFonts w:ascii="Arial" w:hAnsi="Arial" w:cs="Arial"/>
              <w:i/>
              <w:iCs/>
              <w:sz w:val="24"/>
              <w:szCs w:val="24"/>
            </w:rPr>
            <w:t>This dissertation examines how Hong Kong’s regulatory environment shapes foreign business expansion amidst geopolitical tensions, using the Eclectic Paradigm (Dunning, 1988) and Institutional Theory (Scott, 1995) as analytical lenses. Through mixed-methods analysis of FDI trends (2019–2023) and case studies (HSBC, Tesla), the study confirms Hong Kong’s enduring advantages in tax policy and financial market access (H1). However, it reveals a paradoxical shift: while the National Security Law (2020) eroded Western investor confidence (H2 partially confirmed), it accelerated mainland Chinese investment, reinforcing Hong Kong’s role as a gateway to China. Crucially, the study identifies a regulatory adaptability gap in fintech (H3 partially confirmed), challenging Hong Kong’s competitiveness against Singapore. These findings extend the OLI Framework by demonstrating how geopolitical risks reconfigure ‘location advantages.’ Recommendations urge policymakers to balance stability with innovation to sustain Hong Kong’s global hub status</w:t>
          </w:r>
          <w:r>
            <w:rPr>
              <w:rFonts w:ascii="Arial" w:hAnsi="Arial" w:cs="Arial"/>
              <w:i/>
              <w:iCs/>
              <w:sz w:val="24"/>
              <w:szCs w:val="24"/>
            </w:rPr>
            <w:t>.</w:t>
          </w:r>
        </w:p>
        <w:p w14:paraId="68BF4B43" w14:textId="77777777" w:rsidR="00993F79" w:rsidRDefault="00993F79" w:rsidP="000E56A8">
          <w:pPr>
            <w:spacing w:after="0" w:line="360" w:lineRule="auto"/>
            <w:ind w:firstLine="284"/>
            <w:jc w:val="both"/>
            <w:rPr>
              <w:rFonts w:ascii="Arial" w:hAnsi="Arial" w:cs="Arial"/>
              <w:i/>
              <w:iCs/>
              <w:sz w:val="24"/>
              <w:szCs w:val="24"/>
            </w:rPr>
          </w:pPr>
        </w:p>
        <w:p w14:paraId="47687AE4" w14:textId="77777777" w:rsidR="00993F79" w:rsidRDefault="00993F79" w:rsidP="000E56A8">
          <w:pPr>
            <w:spacing w:after="0" w:line="360" w:lineRule="auto"/>
            <w:ind w:firstLine="284"/>
            <w:jc w:val="both"/>
            <w:rPr>
              <w:rFonts w:ascii="Arial" w:hAnsi="Arial" w:cs="Arial"/>
              <w:i/>
              <w:iCs/>
              <w:sz w:val="24"/>
              <w:szCs w:val="24"/>
            </w:rPr>
          </w:pPr>
        </w:p>
        <w:p w14:paraId="2CC7A87F" w14:textId="77777777" w:rsidR="00993F79" w:rsidRPr="00CA1B20" w:rsidRDefault="00993F79" w:rsidP="000E56A8">
          <w:pPr>
            <w:spacing w:after="0" w:line="360" w:lineRule="auto"/>
            <w:ind w:firstLine="284"/>
            <w:jc w:val="both"/>
            <w:rPr>
              <w:rFonts w:ascii="Arial" w:hAnsi="Arial" w:cs="Arial"/>
              <w:b/>
              <w:bCs/>
              <w:sz w:val="24"/>
              <w:szCs w:val="24"/>
            </w:rPr>
          </w:pPr>
        </w:p>
        <w:p w14:paraId="18B07798" w14:textId="77777777" w:rsidR="00C0622A" w:rsidRPr="00CA1B20" w:rsidRDefault="00C0622A" w:rsidP="000E56A8">
          <w:pPr>
            <w:spacing w:after="0" w:line="360" w:lineRule="auto"/>
            <w:ind w:firstLine="284"/>
            <w:jc w:val="both"/>
            <w:rPr>
              <w:rFonts w:ascii="Arial" w:hAnsi="Arial" w:cs="Arial"/>
              <w:b/>
              <w:bCs/>
              <w:sz w:val="24"/>
              <w:szCs w:val="24"/>
            </w:rPr>
          </w:pPr>
        </w:p>
        <w:p w14:paraId="44E8C44E" w14:textId="77777777" w:rsidR="00C0622A" w:rsidRPr="00CA1B20" w:rsidRDefault="00C0622A" w:rsidP="000E56A8">
          <w:pPr>
            <w:spacing w:after="0" w:line="360" w:lineRule="auto"/>
            <w:ind w:firstLine="284"/>
            <w:jc w:val="both"/>
            <w:rPr>
              <w:rFonts w:ascii="Arial" w:hAnsi="Arial" w:cs="Arial"/>
              <w:b/>
              <w:bCs/>
              <w:sz w:val="24"/>
              <w:szCs w:val="24"/>
            </w:rPr>
          </w:pPr>
        </w:p>
        <w:p w14:paraId="30BFC61E" w14:textId="77777777" w:rsidR="00C0622A" w:rsidRPr="00CA1B20" w:rsidRDefault="00C0622A" w:rsidP="000E56A8">
          <w:pPr>
            <w:spacing w:after="0" w:line="360" w:lineRule="auto"/>
            <w:ind w:firstLine="284"/>
            <w:jc w:val="both"/>
            <w:rPr>
              <w:rFonts w:ascii="Arial" w:hAnsi="Arial" w:cs="Arial"/>
              <w:b/>
              <w:bCs/>
              <w:sz w:val="24"/>
              <w:szCs w:val="24"/>
            </w:rPr>
          </w:pPr>
        </w:p>
        <w:p w14:paraId="48204850" w14:textId="77777777" w:rsidR="00C0622A" w:rsidRPr="00CA1B20" w:rsidRDefault="00C0622A" w:rsidP="000E56A8">
          <w:pPr>
            <w:spacing w:after="0" w:line="360" w:lineRule="auto"/>
            <w:ind w:firstLine="284"/>
            <w:jc w:val="both"/>
            <w:rPr>
              <w:rFonts w:ascii="Arial" w:hAnsi="Arial" w:cs="Arial"/>
              <w:b/>
              <w:bCs/>
              <w:sz w:val="24"/>
              <w:szCs w:val="24"/>
            </w:rPr>
          </w:pPr>
        </w:p>
        <w:p w14:paraId="1982EF9E" w14:textId="77777777" w:rsidR="00C0622A" w:rsidRPr="00CA1B20" w:rsidRDefault="00C0622A" w:rsidP="000E56A8">
          <w:pPr>
            <w:spacing w:after="0" w:line="360" w:lineRule="auto"/>
            <w:ind w:firstLine="284"/>
            <w:jc w:val="both"/>
            <w:rPr>
              <w:rFonts w:ascii="Arial" w:hAnsi="Arial" w:cs="Arial"/>
              <w:b/>
              <w:bCs/>
              <w:sz w:val="24"/>
              <w:szCs w:val="24"/>
            </w:rPr>
          </w:pPr>
        </w:p>
        <w:p w14:paraId="4F2F4FF9" w14:textId="77777777" w:rsidR="00C0622A" w:rsidRDefault="00C0622A" w:rsidP="000E56A8">
          <w:pPr>
            <w:spacing w:after="0" w:line="360" w:lineRule="auto"/>
            <w:ind w:firstLine="284"/>
            <w:jc w:val="both"/>
            <w:rPr>
              <w:rFonts w:ascii="Arial" w:hAnsi="Arial" w:cs="Arial"/>
              <w:b/>
              <w:bCs/>
              <w:sz w:val="24"/>
              <w:szCs w:val="24"/>
            </w:rPr>
          </w:pPr>
        </w:p>
        <w:p w14:paraId="087BE89A" w14:textId="17884531" w:rsidR="00C0622A" w:rsidRDefault="00C0622A" w:rsidP="000E56A8">
          <w:pPr>
            <w:spacing w:after="0" w:line="360" w:lineRule="auto"/>
            <w:jc w:val="both"/>
            <w:rPr>
              <w:rFonts w:ascii="Arial" w:hAnsi="Arial" w:cs="Arial"/>
              <w:b/>
              <w:bCs/>
              <w:sz w:val="24"/>
              <w:szCs w:val="24"/>
            </w:rPr>
          </w:pPr>
        </w:p>
        <w:p w14:paraId="0F75970D" w14:textId="77777777" w:rsidR="00C0622A" w:rsidRDefault="00C0622A" w:rsidP="000E56A8">
          <w:pPr>
            <w:spacing w:after="0" w:line="360" w:lineRule="auto"/>
            <w:ind w:firstLine="284"/>
            <w:jc w:val="both"/>
            <w:rPr>
              <w:rFonts w:ascii="Arial" w:hAnsi="Arial" w:cs="Arial"/>
              <w:b/>
              <w:bCs/>
              <w:sz w:val="24"/>
              <w:szCs w:val="24"/>
            </w:rPr>
          </w:pPr>
        </w:p>
        <w:p w14:paraId="3ABC3D79" w14:textId="77777777" w:rsidR="00C0622A" w:rsidRDefault="00C0622A" w:rsidP="000E56A8">
          <w:pPr>
            <w:spacing w:after="0" w:line="360" w:lineRule="auto"/>
            <w:ind w:firstLine="284"/>
            <w:jc w:val="both"/>
            <w:rPr>
              <w:rFonts w:ascii="Arial" w:hAnsi="Arial" w:cs="Arial"/>
              <w:b/>
              <w:bCs/>
              <w:sz w:val="24"/>
              <w:szCs w:val="24"/>
            </w:rPr>
          </w:pPr>
        </w:p>
        <w:p w14:paraId="282D3BAA" w14:textId="77777777" w:rsidR="00C0622A" w:rsidRDefault="00C0622A" w:rsidP="000E56A8">
          <w:pPr>
            <w:spacing w:after="0" w:line="360" w:lineRule="auto"/>
            <w:ind w:firstLine="284"/>
            <w:jc w:val="both"/>
            <w:rPr>
              <w:rFonts w:ascii="Arial" w:hAnsi="Arial" w:cs="Arial"/>
              <w:b/>
              <w:bCs/>
              <w:sz w:val="24"/>
              <w:szCs w:val="24"/>
            </w:rPr>
          </w:pPr>
        </w:p>
        <w:p w14:paraId="18EAED81" w14:textId="77777777" w:rsidR="00C0622A" w:rsidRDefault="00C0622A" w:rsidP="000E56A8">
          <w:pPr>
            <w:spacing w:after="0" w:line="360" w:lineRule="auto"/>
            <w:ind w:firstLine="284"/>
            <w:jc w:val="both"/>
            <w:rPr>
              <w:rFonts w:ascii="Arial" w:hAnsi="Arial" w:cs="Arial"/>
              <w:b/>
              <w:bCs/>
              <w:sz w:val="24"/>
              <w:szCs w:val="24"/>
            </w:rPr>
          </w:pPr>
        </w:p>
        <w:p w14:paraId="0D92FEAD" w14:textId="77777777" w:rsidR="00C0622A" w:rsidRDefault="00C0622A" w:rsidP="000E56A8">
          <w:pPr>
            <w:spacing w:after="0" w:line="360" w:lineRule="auto"/>
            <w:ind w:firstLine="284"/>
            <w:jc w:val="both"/>
            <w:rPr>
              <w:rFonts w:ascii="Arial" w:hAnsi="Arial" w:cs="Arial"/>
              <w:b/>
              <w:bCs/>
              <w:sz w:val="24"/>
              <w:szCs w:val="24"/>
            </w:rPr>
          </w:pPr>
        </w:p>
        <w:p w14:paraId="6232E272" w14:textId="77777777" w:rsidR="00C0622A" w:rsidRDefault="00C0622A" w:rsidP="000E56A8">
          <w:pPr>
            <w:spacing w:after="0" w:line="360" w:lineRule="auto"/>
            <w:ind w:firstLine="284"/>
            <w:jc w:val="both"/>
            <w:rPr>
              <w:rFonts w:ascii="Arial" w:hAnsi="Arial" w:cs="Arial"/>
              <w:b/>
              <w:bCs/>
              <w:sz w:val="24"/>
              <w:szCs w:val="24"/>
            </w:rPr>
          </w:pPr>
        </w:p>
        <w:p w14:paraId="31DE7606" w14:textId="77777777" w:rsidR="00C0622A" w:rsidRDefault="00C0622A" w:rsidP="000E56A8">
          <w:pPr>
            <w:spacing w:after="0" w:line="360" w:lineRule="auto"/>
            <w:ind w:firstLine="284"/>
            <w:jc w:val="both"/>
            <w:rPr>
              <w:rFonts w:ascii="Arial" w:hAnsi="Arial" w:cs="Arial"/>
              <w:b/>
              <w:bCs/>
              <w:sz w:val="24"/>
              <w:szCs w:val="24"/>
            </w:rPr>
          </w:pPr>
        </w:p>
        <w:p w14:paraId="1DC8E814" w14:textId="06365D2B" w:rsidR="00C0622A" w:rsidRDefault="00000000" w:rsidP="000E56A8">
          <w:pPr>
            <w:jc w:val="both"/>
            <w:rPr>
              <w:rFonts w:asciiTheme="majorHAnsi" w:eastAsiaTheme="majorEastAsia" w:hAnsiTheme="majorHAnsi" w:cstheme="majorBidi"/>
              <w:color w:val="0F4761" w:themeColor="accent1" w:themeShade="BF"/>
              <w:kern w:val="0"/>
              <w:sz w:val="32"/>
              <w:szCs w:val="32"/>
              <w:lang w:val="en-US"/>
              <w14:ligatures w14:val="none"/>
            </w:rPr>
          </w:pPr>
        </w:p>
      </w:sdtContent>
    </w:sdt>
    <w:sdt>
      <w:sdtPr>
        <w:rPr>
          <w:rFonts w:asciiTheme="minorHAnsi" w:eastAsiaTheme="minorHAnsi" w:hAnsiTheme="minorHAnsi" w:cstheme="minorBidi"/>
          <w:color w:val="auto"/>
          <w:kern w:val="2"/>
          <w:sz w:val="22"/>
          <w:szCs w:val="22"/>
          <w:lang w:val="en-GB"/>
          <w14:ligatures w14:val="standardContextual"/>
        </w:rPr>
        <w:id w:val="1397784609"/>
        <w:docPartObj>
          <w:docPartGallery w:val="Table of Contents"/>
          <w:docPartUnique/>
        </w:docPartObj>
      </w:sdtPr>
      <w:sdtEndPr>
        <w:rPr>
          <w:b/>
          <w:bCs/>
          <w:noProof/>
        </w:rPr>
      </w:sdtEndPr>
      <w:sdtContent>
        <w:p w14:paraId="470C3065" w14:textId="38D6A6C7" w:rsidR="00C0622A" w:rsidRDefault="00C0622A" w:rsidP="00481EBF">
          <w:pPr>
            <w:pStyle w:val="TOCHeading"/>
          </w:pPr>
          <w:r>
            <w:t>Table of Contents</w:t>
          </w:r>
        </w:p>
        <w:p w14:paraId="7C8CED4C" w14:textId="04223675" w:rsidR="008046B9" w:rsidRDefault="00C0622A">
          <w:pPr>
            <w:pStyle w:val="TOC1"/>
            <w:tabs>
              <w:tab w:val="left" w:pos="440"/>
              <w:tab w:val="right" w:leader="dot" w:pos="9629"/>
            </w:tabs>
            <w:rPr>
              <w:rFonts w:eastAsiaTheme="minorEastAsia"/>
              <w:noProof/>
              <w:sz w:val="24"/>
              <w:szCs w:val="24"/>
              <w:lang w:eastAsia="en-GB"/>
            </w:rPr>
          </w:pPr>
          <w:r>
            <w:fldChar w:fldCharType="begin"/>
          </w:r>
          <w:r>
            <w:instrText xml:space="preserve"> TOC \o "1-3" \h \z \u </w:instrText>
          </w:r>
          <w:r>
            <w:fldChar w:fldCharType="separate"/>
          </w:r>
          <w:hyperlink w:anchor="_Toc194551413" w:history="1">
            <w:r w:rsidR="008046B9" w:rsidRPr="00C149CB">
              <w:rPr>
                <w:rStyle w:val="Hyperlink"/>
                <w:noProof/>
              </w:rPr>
              <w:t>1.</w:t>
            </w:r>
            <w:r w:rsidR="008046B9">
              <w:rPr>
                <w:rFonts w:eastAsiaTheme="minorEastAsia"/>
                <w:noProof/>
                <w:sz w:val="24"/>
                <w:szCs w:val="24"/>
                <w:lang w:eastAsia="en-GB"/>
              </w:rPr>
              <w:tab/>
            </w:r>
            <w:r w:rsidR="008046B9" w:rsidRPr="00C149CB">
              <w:rPr>
                <w:rStyle w:val="Hyperlink"/>
                <w:noProof/>
              </w:rPr>
              <w:t>Introduction</w:t>
            </w:r>
            <w:r w:rsidR="008046B9">
              <w:rPr>
                <w:noProof/>
                <w:webHidden/>
              </w:rPr>
              <w:tab/>
            </w:r>
            <w:r w:rsidR="008046B9">
              <w:rPr>
                <w:noProof/>
                <w:webHidden/>
              </w:rPr>
              <w:fldChar w:fldCharType="begin"/>
            </w:r>
            <w:r w:rsidR="008046B9">
              <w:rPr>
                <w:noProof/>
                <w:webHidden/>
              </w:rPr>
              <w:instrText xml:space="preserve"> PAGEREF _Toc194551413 \h </w:instrText>
            </w:r>
            <w:r w:rsidR="008046B9">
              <w:rPr>
                <w:noProof/>
                <w:webHidden/>
              </w:rPr>
            </w:r>
            <w:r w:rsidR="008046B9">
              <w:rPr>
                <w:noProof/>
                <w:webHidden/>
              </w:rPr>
              <w:fldChar w:fldCharType="separate"/>
            </w:r>
            <w:r w:rsidR="008046B9">
              <w:rPr>
                <w:noProof/>
                <w:webHidden/>
              </w:rPr>
              <w:t>4</w:t>
            </w:r>
            <w:r w:rsidR="008046B9">
              <w:rPr>
                <w:noProof/>
                <w:webHidden/>
              </w:rPr>
              <w:fldChar w:fldCharType="end"/>
            </w:r>
          </w:hyperlink>
        </w:p>
        <w:p w14:paraId="45787060" w14:textId="21EE8B3C" w:rsidR="008046B9" w:rsidRDefault="008046B9">
          <w:pPr>
            <w:pStyle w:val="TOC2"/>
            <w:tabs>
              <w:tab w:val="right" w:leader="dot" w:pos="9629"/>
            </w:tabs>
            <w:rPr>
              <w:rFonts w:eastAsiaTheme="minorEastAsia"/>
              <w:noProof/>
              <w:sz w:val="24"/>
              <w:szCs w:val="24"/>
              <w:lang w:eastAsia="en-GB"/>
            </w:rPr>
          </w:pPr>
          <w:hyperlink w:anchor="_Toc194551414" w:history="1">
            <w:r w:rsidRPr="00C149CB">
              <w:rPr>
                <w:rStyle w:val="Hyperlink"/>
                <w:noProof/>
              </w:rPr>
              <w:t>1.1 Introduction and background of research</w:t>
            </w:r>
            <w:r>
              <w:rPr>
                <w:noProof/>
                <w:webHidden/>
              </w:rPr>
              <w:tab/>
            </w:r>
            <w:r>
              <w:rPr>
                <w:noProof/>
                <w:webHidden/>
              </w:rPr>
              <w:fldChar w:fldCharType="begin"/>
            </w:r>
            <w:r>
              <w:rPr>
                <w:noProof/>
                <w:webHidden/>
              </w:rPr>
              <w:instrText xml:space="preserve"> PAGEREF _Toc194551414 \h </w:instrText>
            </w:r>
            <w:r>
              <w:rPr>
                <w:noProof/>
                <w:webHidden/>
              </w:rPr>
            </w:r>
            <w:r>
              <w:rPr>
                <w:noProof/>
                <w:webHidden/>
              </w:rPr>
              <w:fldChar w:fldCharType="separate"/>
            </w:r>
            <w:r>
              <w:rPr>
                <w:noProof/>
                <w:webHidden/>
              </w:rPr>
              <w:t>4</w:t>
            </w:r>
            <w:r>
              <w:rPr>
                <w:noProof/>
                <w:webHidden/>
              </w:rPr>
              <w:fldChar w:fldCharType="end"/>
            </w:r>
          </w:hyperlink>
        </w:p>
        <w:p w14:paraId="387BDEC7" w14:textId="245CB335" w:rsidR="008046B9" w:rsidRDefault="008046B9" w:rsidP="008046B9">
          <w:pPr>
            <w:pStyle w:val="TOC2"/>
            <w:tabs>
              <w:tab w:val="left" w:pos="709"/>
              <w:tab w:val="right" w:leader="dot" w:pos="9629"/>
            </w:tabs>
            <w:rPr>
              <w:rFonts w:eastAsiaTheme="minorEastAsia"/>
              <w:noProof/>
              <w:sz w:val="24"/>
              <w:szCs w:val="24"/>
              <w:lang w:eastAsia="en-GB"/>
            </w:rPr>
          </w:pPr>
          <w:hyperlink w:anchor="_Toc194551415" w:history="1">
            <w:r w:rsidRPr="00C149CB">
              <w:rPr>
                <w:rStyle w:val="Hyperlink"/>
                <w:noProof/>
              </w:rPr>
              <w:t>1.2.</w:t>
            </w:r>
            <w:r>
              <w:rPr>
                <w:rFonts w:eastAsiaTheme="minorEastAsia"/>
                <w:noProof/>
                <w:sz w:val="24"/>
                <w:szCs w:val="24"/>
                <w:lang w:eastAsia="en-GB"/>
              </w:rPr>
              <w:tab/>
            </w:r>
            <w:r w:rsidRPr="00C149CB">
              <w:rPr>
                <w:rStyle w:val="Hyperlink"/>
                <w:noProof/>
              </w:rPr>
              <w:t>Study significance</w:t>
            </w:r>
            <w:r>
              <w:rPr>
                <w:noProof/>
                <w:webHidden/>
              </w:rPr>
              <w:tab/>
            </w:r>
            <w:r>
              <w:rPr>
                <w:noProof/>
                <w:webHidden/>
              </w:rPr>
              <w:fldChar w:fldCharType="begin"/>
            </w:r>
            <w:r>
              <w:rPr>
                <w:noProof/>
                <w:webHidden/>
              </w:rPr>
              <w:instrText xml:space="preserve"> PAGEREF _Toc194551415 \h </w:instrText>
            </w:r>
            <w:r>
              <w:rPr>
                <w:noProof/>
                <w:webHidden/>
              </w:rPr>
            </w:r>
            <w:r>
              <w:rPr>
                <w:noProof/>
                <w:webHidden/>
              </w:rPr>
              <w:fldChar w:fldCharType="separate"/>
            </w:r>
            <w:r>
              <w:rPr>
                <w:noProof/>
                <w:webHidden/>
              </w:rPr>
              <w:t>4</w:t>
            </w:r>
            <w:r>
              <w:rPr>
                <w:noProof/>
                <w:webHidden/>
              </w:rPr>
              <w:fldChar w:fldCharType="end"/>
            </w:r>
          </w:hyperlink>
        </w:p>
        <w:p w14:paraId="031E5236" w14:textId="38419B78" w:rsidR="008046B9" w:rsidRDefault="008046B9" w:rsidP="008046B9">
          <w:pPr>
            <w:pStyle w:val="TOC2"/>
            <w:tabs>
              <w:tab w:val="left" w:pos="709"/>
              <w:tab w:val="right" w:leader="dot" w:pos="9629"/>
            </w:tabs>
            <w:rPr>
              <w:rFonts w:eastAsiaTheme="minorEastAsia"/>
              <w:noProof/>
              <w:sz w:val="24"/>
              <w:szCs w:val="24"/>
              <w:lang w:eastAsia="en-GB"/>
            </w:rPr>
          </w:pPr>
          <w:hyperlink w:anchor="_Toc194551416" w:history="1">
            <w:r w:rsidRPr="00C149CB">
              <w:rPr>
                <w:rStyle w:val="Hyperlink"/>
                <w:noProof/>
              </w:rPr>
              <w:t>1.3.</w:t>
            </w:r>
            <w:r>
              <w:rPr>
                <w:rFonts w:eastAsiaTheme="minorEastAsia"/>
                <w:noProof/>
                <w:sz w:val="24"/>
                <w:szCs w:val="24"/>
                <w:lang w:eastAsia="en-GB"/>
              </w:rPr>
              <w:tab/>
            </w:r>
            <w:r w:rsidRPr="00C149CB">
              <w:rPr>
                <w:rStyle w:val="Hyperlink"/>
                <w:noProof/>
              </w:rPr>
              <w:t>Research Objectives:</w:t>
            </w:r>
            <w:r>
              <w:rPr>
                <w:noProof/>
                <w:webHidden/>
              </w:rPr>
              <w:tab/>
            </w:r>
            <w:r>
              <w:rPr>
                <w:noProof/>
                <w:webHidden/>
              </w:rPr>
              <w:fldChar w:fldCharType="begin"/>
            </w:r>
            <w:r>
              <w:rPr>
                <w:noProof/>
                <w:webHidden/>
              </w:rPr>
              <w:instrText xml:space="preserve"> PAGEREF _Toc194551416 \h </w:instrText>
            </w:r>
            <w:r>
              <w:rPr>
                <w:noProof/>
                <w:webHidden/>
              </w:rPr>
            </w:r>
            <w:r>
              <w:rPr>
                <w:noProof/>
                <w:webHidden/>
              </w:rPr>
              <w:fldChar w:fldCharType="separate"/>
            </w:r>
            <w:r>
              <w:rPr>
                <w:noProof/>
                <w:webHidden/>
              </w:rPr>
              <w:t>5</w:t>
            </w:r>
            <w:r>
              <w:rPr>
                <w:noProof/>
                <w:webHidden/>
              </w:rPr>
              <w:fldChar w:fldCharType="end"/>
            </w:r>
          </w:hyperlink>
        </w:p>
        <w:p w14:paraId="3D4493E5" w14:textId="2E2AE6B9" w:rsidR="008046B9" w:rsidRDefault="008046B9" w:rsidP="008046B9">
          <w:pPr>
            <w:pStyle w:val="TOC2"/>
            <w:tabs>
              <w:tab w:val="left" w:pos="709"/>
              <w:tab w:val="right" w:leader="dot" w:pos="9629"/>
            </w:tabs>
            <w:rPr>
              <w:rFonts w:eastAsiaTheme="minorEastAsia"/>
              <w:noProof/>
              <w:sz w:val="24"/>
              <w:szCs w:val="24"/>
              <w:lang w:eastAsia="en-GB"/>
            </w:rPr>
          </w:pPr>
          <w:hyperlink w:anchor="_Toc194551417" w:history="1">
            <w:r w:rsidRPr="00C149CB">
              <w:rPr>
                <w:rStyle w:val="Hyperlink"/>
                <w:noProof/>
              </w:rPr>
              <w:t>1.4.</w:t>
            </w:r>
            <w:r>
              <w:rPr>
                <w:rFonts w:eastAsiaTheme="minorEastAsia"/>
                <w:noProof/>
                <w:sz w:val="24"/>
                <w:szCs w:val="24"/>
                <w:lang w:eastAsia="en-GB"/>
              </w:rPr>
              <w:tab/>
            </w:r>
            <w:r w:rsidRPr="00C149CB">
              <w:rPr>
                <w:rStyle w:val="Hyperlink"/>
                <w:noProof/>
              </w:rPr>
              <w:t>Research Questions:</w:t>
            </w:r>
            <w:r>
              <w:rPr>
                <w:noProof/>
                <w:webHidden/>
              </w:rPr>
              <w:tab/>
            </w:r>
            <w:r>
              <w:rPr>
                <w:noProof/>
                <w:webHidden/>
              </w:rPr>
              <w:fldChar w:fldCharType="begin"/>
            </w:r>
            <w:r>
              <w:rPr>
                <w:noProof/>
                <w:webHidden/>
              </w:rPr>
              <w:instrText xml:space="preserve"> PAGEREF _Toc194551417 \h </w:instrText>
            </w:r>
            <w:r>
              <w:rPr>
                <w:noProof/>
                <w:webHidden/>
              </w:rPr>
            </w:r>
            <w:r>
              <w:rPr>
                <w:noProof/>
                <w:webHidden/>
              </w:rPr>
              <w:fldChar w:fldCharType="separate"/>
            </w:r>
            <w:r>
              <w:rPr>
                <w:noProof/>
                <w:webHidden/>
              </w:rPr>
              <w:t>5</w:t>
            </w:r>
            <w:r>
              <w:rPr>
                <w:noProof/>
                <w:webHidden/>
              </w:rPr>
              <w:fldChar w:fldCharType="end"/>
            </w:r>
          </w:hyperlink>
        </w:p>
        <w:p w14:paraId="0AEA8D77" w14:textId="3B8FC8C1" w:rsidR="008046B9" w:rsidRDefault="008046B9">
          <w:pPr>
            <w:pStyle w:val="TOC1"/>
            <w:tabs>
              <w:tab w:val="left" w:pos="440"/>
              <w:tab w:val="right" w:leader="dot" w:pos="9629"/>
            </w:tabs>
            <w:rPr>
              <w:rFonts w:eastAsiaTheme="minorEastAsia"/>
              <w:noProof/>
              <w:sz w:val="24"/>
              <w:szCs w:val="24"/>
              <w:lang w:eastAsia="en-GB"/>
            </w:rPr>
          </w:pPr>
          <w:hyperlink w:anchor="_Toc194551418" w:history="1">
            <w:r w:rsidRPr="00C149CB">
              <w:rPr>
                <w:rStyle w:val="Hyperlink"/>
                <w:noProof/>
              </w:rPr>
              <w:t>2.</w:t>
            </w:r>
            <w:r>
              <w:rPr>
                <w:rFonts w:eastAsiaTheme="minorEastAsia"/>
                <w:noProof/>
                <w:sz w:val="24"/>
                <w:szCs w:val="24"/>
                <w:lang w:eastAsia="en-GB"/>
              </w:rPr>
              <w:tab/>
            </w:r>
            <w:r w:rsidRPr="00C149CB">
              <w:rPr>
                <w:rStyle w:val="Hyperlink"/>
                <w:noProof/>
              </w:rPr>
              <w:t>Literature Review</w:t>
            </w:r>
            <w:r>
              <w:rPr>
                <w:noProof/>
                <w:webHidden/>
              </w:rPr>
              <w:tab/>
            </w:r>
            <w:r>
              <w:rPr>
                <w:noProof/>
                <w:webHidden/>
              </w:rPr>
              <w:fldChar w:fldCharType="begin"/>
            </w:r>
            <w:r>
              <w:rPr>
                <w:noProof/>
                <w:webHidden/>
              </w:rPr>
              <w:instrText xml:space="preserve"> PAGEREF _Toc194551418 \h </w:instrText>
            </w:r>
            <w:r>
              <w:rPr>
                <w:noProof/>
                <w:webHidden/>
              </w:rPr>
            </w:r>
            <w:r>
              <w:rPr>
                <w:noProof/>
                <w:webHidden/>
              </w:rPr>
              <w:fldChar w:fldCharType="separate"/>
            </w:r>
            <w:r>
              <w:rPr>
                <w:noProof/>
                <w:webHidden/>
              </w:rPr>
              <w:t>6</w:t>
            </w:r>
            <w:r>
              <w:rPr>
                <w:noProof/>
                <w:webHidden/>
              </w:rPr>
              <w:fldChar w:fldCharType="end"/>
            </w:r>
          </w:hyperlink>
        </w:p>
        <w:p w14:paraId="6341CD78" w14:textId="1E9D2FF5" w:rsidR="008046B9" w:rsidRDefault="008046B9">
          <w:pPr>
            <w:pStyle w:val="TOC2"/>
            <w:tabs>
              <w:tab w:val="right" w:leader="dot" w:pos="9629"/>
            </w:tabs>
            <w:rPr>
              <w:rFonts w:eastAsiaTheme="minorEastAsia"/>
              <w:noProof/>
              <w:sz w:val="24"/>
              <w:szCs w:val="24"/>
              <w:lang w:eastAsia="en-GB"/>
            </w:rPr>
          </w:pPr>
          <w:hyperlink w:anchor="_Toc194551419" w:history="1">
            <w:r w:rsidRPr="00C149CB">
              <w:rPr>
                <w:rStyle w:val="Hyperlink"/>
                <w:noProof/>
              </w:rPr>
              <w:t>2.1 Key Terms and Definitions</w:t>
            </w:r>
            <w:r>
              <w:rPr>
                <w:noProof/>
                <w:webHidden/>
              </w:rPr>
              <w:tab/>
            </w:r>
            <w:r>
              <w:rPr>
                <w:noProof/>
                <w:webHidden/>
              </w:rPr>
              <w:fldChar w:fldCharType="begin"/>
            </w:r>
            <w:r>
              <w:rPr>
                <w:noProof/>
                <w:webHidden/>
              </w:rPr>
              <w:instrText xml:space="preserve"> PAGEREF _Toc194551419 \h </w:instrText>
            </w:r>
            <w:r>
              <w:rPr>
                <w:noProof/>
                <w:webHidden/>
              </w:rPr>
            </w:r>
            <w:r>
              <w:rPr>
                <w:noProof/>
                <w:webHidden/>
              </w:rPr>
              <w:fldChar w:fldCharType="separate"/>
            </w:r>
            <w:r>
              <w:rPr>
                <w:noProof/>
                <w:webHidden/>
              </w:rPr>
              <w:t>6</w:t>
            </w:r>
            <w:r>
              <w:rPr>
                <w:noProof/>
                <w:webHidden/>
              </w:rPr>
              <w:fldChar w:fldCharType="end"/>
            </w:r>
          </w:hyperlink>
        </w:p>
        <w:p w14:paraId="6E745A1E" w14:textId="0E65B64C" w:rsidR="008046B9" w:rsidRDefault="008046B9">
          <w:pPr>
            <w:pStyle w:val="TOC2"/>
            <w:tabs>
              <w:tab w:val="right" w:leader="dot" w:pos="9629"/>
            </w:tabs>
            <w:rPr>
              <w:rFonts w:eastAsiaTheme="minorEastAsia"/>
              <w:noProof/>
              <w:sz w:val="24"/>
              <w:szCs w:val="24"/>
              <w:lang w:eastAsia="en-GB"/>
            </w:rPr>
          </w:pPr>
          <w:hyperlink w:anchor="_Toc194551420" w:history="1">
            <w:r w:rsidRPr="00C149CB">
              <w:rPr>
                <w:rStyle w:val="Hyperlink"/>
                <w:noProof/>
              </w:rPr>
              <w:t>2.2 Main Theories Affecting the Research Theme</w:t>
            </w:r>
            <w:r>
              <w:rPr>
                <w:noProof/>
                <w:webHidden/>
              </w:rPr>
              <w:tab/>
            </w:r>
            <w:r>
              <w:rPr>
                <w:noProof/>
                <w:webHidden/>
              </w:rPr>
              <w:fldChar w:fldCharType="begin"/>
            </w:r>
            <w:r>
              <w:rPr>
                <w:noProof/>
                <w:webHidden/>
              </w:rPr>
              <w:instrText xml:space="preserve"> PAGEREF _Toc194551420 \h </w:instrText>
            </w:r>
            <w:r>
              <w:rPr>
                <w:noProof/>
                <w:webHidden/>
              </w:rPr>
            </w:r>
            <w:r>
              <w:rPr>
                <w:noProof/>
                <w:webHidden/>
              </w:rPr>
              <w:fldChar w:fldCharType="separate"/>
            </w:r>
            <w:r>
              <w:rPr>
                <w:noProof/>
                <w:webHidden/>
              </w:rPr>
              <w:t>6</w:t>
            </w:r>
            <w:r>
              <w:rPr>
                <w:noProof/>
                <w:webHidden/>
              </w:rPr>
              <w:fldChar w:fldCharType="end"/>
            </w:r>
          </w:hyperlink>
        </w:p>
        <w:p w14:paraId="00B235D3" w14:textId="36F8382B" w:rsidR="008046B9" w:rsidRDefault="008046B9">
          <w:pPr>
            <w:pStyle w:val="TOC3"/>
            <w:tabs>
              <w:tab w:val="right" w:leader="dot" w:pos="9629"/>
            </w:tabs>
            <w:rPr>
              <w:rFonts w:eastAsiaTheme="minorEastAsia"/>
              <w:noProof/>
              <w:sz w:val="24"/>
              <w:szCs w:val="24"/>
              <w:lang w:eastAsia="en-GB"/>
            </w:rPr>
          </w:pPr>
          <w:hyperlink w:anchor="_Toc194551421" w:history="1">
            <w:r w:rsidRPr="00C149CB">
              <w:rPr>
                <w:rStyle w:val="Hyperlink"/>
                <w:noProof/>
              </w:rPr>
              <w:t>2.2.1 Eclectic Paradigm (OLI Framework)</w:t>
            </w:r>
            <w:r>
              <w:rPr>
                <w:noProof/>
                <w:webHidden/>
              </w:rPr>
              <w:tab/>
            </w:r>
            <w:r>
              <w:rPr>
                <w:noProof/>
                <w:webHidden/>
              </w:rPr>
              <w:fldChar w:fldCharType="begin"/>
            </w:r>
            <w:r>
              <w:rPr>
                <w:noProof/>
                <w:webHidden/>
              </w:rPr>
              <w:instrText xml:space="preserve"> PAGEREF _Toc194551421 \h </w:instrText>
            </w:r>
            <w:r>
              <w:rPr>
                <w:noProof/>
                <w:webHidden/>
              </w:rPr>
            </w:r>
            <w:r>
              <w:rPr>
                <w:noProof/>
                <w:webHidden/>
              </w:rPr>
              <w:fldChar w:fldCharType="separate"/>
            </w:r>
            <w:r>
              <w:rPr>
                <w:noProof/>
                <w:webHidden/>
              </w:rPr>
              <w:t>6</w:t>
            </w:r>
            <w:r>
              <w:rPr>
                <w:noProof/>
                <w:webHidden/>
              </w:rPr>
              <w:fldChar w:fldCharType="end"/>
            </w:r>
          </w:hyperlink>
        </w:p>
        <w:p w14:paraId="4FC79C1E" w14:textId="14A55794" w:rsidR="008046B9" w:rsidRDefault="008046B9">
          <w:pPr>
            <w:pStyle w:val="TOC3"/>
            <w:tabs>
              <w:tab w:val="right" w:leader="dot" w:pos="9629"/>
            </w:tabs>
            <w:rPr>
              <w:rFonts w:eastAsiaTheme="minorEastAsia"/>
              <w:noProof/>
              <w:sz w:val="24"/>
              <w:szCs w:val="24"/>
              <w:lang w:eastAsia="en-GB"/>
            </w:rPr>
          </w:pPr>
          <w:hyperlink w:anchor="_Toc194551422" w:history="1">
            <w:r w:rsidRPr="00C149CB">
              <w:rPr>
                <w:rStyle w:val="Hyperlink"/>
                <w:noProof/>
              </w:rPr>
              <w:t>2.2.2 Institutional Theory</w:t>
            </w:r>
            <w:r>
              <w:rPr>
                <w:noProof/>
                <w:webHidden/>
              </w:rPr>
              <w:tab/>
            </w:r>
            <w:r>
              <w:rPr>
                <w:noProof/>
                <w:webHidden/>
              </w:rPr>
              <w:fldChar w:fldCharType="begin"/>
            </w:r>
            <w:r>
              <w:rPr>
                <w:noProof/>
                <w:webHidden/>
              </w:rPr>
              <w:instrText xml:space="preserve"> PAGEREF _Toc194551422 \h </w:instrText>
            </w:r>
            <w:r>
              <w:rPr>
                <w:noProof/>
                <w:webHidden/>
              </w:rPr>
            </w:r>
            <w:r>
              <w:rPr>
                <w:noProof/>
                <w:webHidden/>
              </w:rPr>
              <w:fldChar w:fldCharType="separate"/>
            </w:r>
            <w:r>
              <w:rPr>
                <w:noProof/>
                <w:webHidden/>
              </w:rPr>
              <w:t>7</w:t>
            </w:r>
            <w:r>
              <w:rPr>
                <w:noProof/>
                <w:webHidden/>
              </w:rPr>
              <w:fldChar w:fldCharType="end"/>
            </w:r>
          </w:hyperlink>
        </w:p>
        <w:p w14:paraId="37BD1B25" w14:textId="306DDD29" w:rsidR="008046B9" w:rsidRDefault="008046B9">
          <w:pPr>
            <w:pStyle w:val="TOC3"/>
            <w:tabs>
              <w:tab w:val="right" w:leader="dot" w:pos="9629"/>
            </w:tabs>
            <w:rPr>
              <w:rFonts w:eastAsiaTheme="minorEastAsia"/>
              <w:noProof/>
              <w:sz w:val="24"/>
              <w:szCs w:val="24"/>
              <w:lang w:eastAsia="en-GB"/>
            </w:rPr>
          </w:pPr>
          <w:hyperlink w:anchor="_Toc194551423" w:history="1">
            <w:r w:rsidRPr="00C149CB">
              <w:rPr>
                <w:rStyle w:val="Hyperlink"/>
                <w:noProof/>
              </w:rPr>
              <w:t>2.2.3 PESTEL Analysis</w:t>
            </w:r>
            <w:r>
              <w:rPr>
                <w:noProof/>
                <w:webHidden/>
              </w:rPr>
              <w:tab/>
            </w:r>
            <w:r>
              <w:rPr>
                <w:noProof/>
                <w:webHidden/>
              </w:rPr>
              <w:fldChar w:fldCharType="begin"/>
            </w:r>
            <w:r>
              <w:rPr>
                <w:noProof/>
                <w:webHidden/>
              </w:rPr>
              <w:instrText xml:space="preserve"> PAGEREF _Toc194551423 \h </w:instrText>
            </w:r>
            <w:r>
              <w:rPr>
                <w:noProof/>
                <w:webHidden/>
              </w:rPr>
            </w:r>
            <w:r>
              <w:rPr>
                <w:noProof/>
                <w:webHidden/>
              </w:rPr>
              <w:fldChar w:fldCharType="separate"/>
            </w:r>
            <w:r>
              <w:rPr>
                <w:noProof/>
                <w:webHidden/>
              </w:rPr>
              <w:t>7</w:t>
            </w:r>
            <w:r>
              <w:rPr>
                <w:noProof/>
                <w:webHidden/>
              </w:rPr>
              <w:fldChar w:fldCharType="end"/>
            </w:r>
          </w:hyperlink>
        </w:p>
        <w:p w14:paraId="6CC71D20" w14:textId="1D162A66" w:rsidR="008046B9" w:rsidRDefault="008046B9">
          <w:pPr>
            <w:pStyle w:val="TOC2"/>
            <w:tabs>
              <w:tab w:val="right" w:leader="dot" w:pos="9629"/>
            </w:tabs>
            <w:rPr>
              <w:rFonts w:eastAsiaTheme="minorEastAsia"/>
              <w:noProof/>
              <w:sz w:val="24"/>
              <w:szCs w:val="24"/>
              <w:lang w:eastAsia="en-GB"/>
            </w:rPr>
          </w:pPr>
          <w:hyperlink w:anchor="_Toc194551424" w:history="1">
            <w:r w:rsidRPr="00C149CB">
              <w:rPr>
                <w:rStyle w:val="Hyperlink"/>
                <w:noProof/>
              </w:rPr>
              <w:t>2.3. Global Challenges and Economic Resilience</w:t>
            </w:r>
            <w:r>
              <w:rPr>
                <w:noProof/>
                <w:webHidden/>
              </w:rPr>
              <w:tab/>
            </w:r>
            <w:r>
              <w:rPr>
                <w:noProof/>
                <w:webHidden/>
              </w:rPr>
              <w:fldChar w:fldCharType="begin"/>
            </w:r>
            <w:r>
              <w:rPr>
                <w:noProof/>
                <w:webHidden/>
              </w:rPr>
              <w:instrText xml:space="preserve"> PAGEREF _Toc194551424 \h </w:instrText>
            </w:r>
            <w:r>
              <w:rPr>
                <w:noProof/>
                <w:webHidden/>
              </w:rPr>
            </w:r>
            <w:r>
              <w:rPr>
                <w:noProof/>
                <w:webHidden/>
              </w:rPr>
              <w:fldChar w:fldCharType="separate"/>
            </w:r>
            <w:r>
              <w:rPr>
                <w:noProof/>
                <w:webHidden/>
              </w:rPr>
              <w:t>7</w:t>
            </w:r>
            <w:r>
              <w:rPr>
                <w:noProof/>
                <w:webHidden/>
              </w:rPr>
              <w:fldChar w:fldCharType="end"/>
            </w:r>
          </w:hyperlink>
        </w:p>
        <w:p w14:paraId="2DB547CB" w14:textId="2E4ABFB9" w:rsidR="008046B9" w:rsidRDefault="008046B9">
          <w:pPr>
            <w:pStyle w:val="TOC2"/>
            <w:tabs>
              <w:tab w:val="right" w:leader="dot" w:pos="9629"/>
            </w:tabs>
            <w:rPr>
              <w:rFonts w:eastAsiaTheme="minorEastAsia"/>
              <w:noProof/>
              <w:sz w:val="24"/>
              <w:szCs w:val="24"/>
              <w:lang w:eastAsia="en-GB"/>
            </w:rPr>
          </w:pPr>
          <w:hyperlink w:anchor="_Toc194551425" w:history="1">
            <w:r w:rsidRPr="00C149CB">
              <w:rPr>
                <w:rStyle w:val="Hyperlink"/>
                <w:noProof/>
              </w:rPr>
              <w:t>2.4. Comparative Analysis of Regulatory Environments</w:t>
            </w:r>
            <w:r>
              <w:rPr>
                <w:noProof/>
                <w:webHidden/>
              </w:rPr>
              <w:tab/>
            </w:r>
            <w:r>
              <w:rPr>
                <w:noProof/>
                <w:webHidden/>
              </w:rPr>
              <w:fldChar w:fldCharType="begin"/>
            </w:r>
            <w:r>
              <w:rPr>
                <w:noProof/>
                <w:webHidden/>
              </w:rPr>
              <w:instrText xml:space="preserve"> PAGEREF _Toc194551425 \h </w:instrText>
            </w:r>
            <w:r>
              <w:rPr>
                <w:noProof/>
                <w:webHidden/>
              </w:rPr>
            </w:r>
            <w:r>
              <w:rPr>
                <w:noProof/>
                <w:webHidden/>
              </w:rPr>
              <w:fldChar w:fldCharType="separate"/>
            </w:r>
            <w:r>
              <w:rPr>
                <w:noProof/>
                <w:webHidden/>
              </w:rPr>
              <w:t>8</w:t>
            </w:r>
            <w:r>
              <w:rPr>
                <w:noProof/>
                <w:webHidden/>
              </w:rPr>
              <w:fldChar w:fldCharType="end"/>
            </w:r>
          </w:hyperlink>
        </w:p>
        <w:p w14:paraId="1E8FF144" w14:textId="1FD8DCFF" w:rsidR="008046B9" w:rsidRDefault="008046B9">
          <w:pPr>
            <w:pStyle w:val="TOC2"/>
            <w:tabs>
              <w:tab w:val="right" w:leader="dot" w:pos="9629"/>
            </w:tabs>
            <w:rPr>
              <w:rFonts w:eastAsiaTheme="minorEastAsia"/>
              <w:noProof/>
              <w:sz w:val="24"/>
              <w:szCs w:val="24"/>
              <w:lang w:eastAsia="en-GB"/>
            </w:rPr>
          </w:pPr>
          <w:hyperlink w:anchor="_Toc194551426" w:history="1">
            <w:r w:rsidRPr="00C149CB">
              <w:rPr>
                <w:rStyle w:val="Hyperlink"/>
                <w:noProof/>
              </w:rPr>
              <w:t>2.5. Case Studies of Foreign Business Expansion</w:t>
            </w:r>
            <w:r>
              <w:rPr>
                <w:noProof/>
                <w:webHidden/>
              </w:rPr>
              <w:tab/>
            </w:r>
            <w:r>
              <w:rPr>
                <w:noProof/>
                <w:webHidden/>
              </w:rPr>
              <w:fldChar w:fldCharType="begin"/>
            </w:r>
            <w:r>
              <w:rPr>
                <w:noProof/>
                <w:webHidden/>
              </w:rPr>
              <w:instrText xml:space="preserve"> PAGEREF _Toc194551426 \h </w:instrText>
            </w:r>
            <w:r>
              <w:rPr>
                <w:noProof/>
                <w:webHidden/>
              </w:rPr>
            </w:r>
            <w:r>
              <w:rPr>
                <w:noProof/>
                <w:webHidden/>
              </w:rPr>
              <w:fldChar w:fldCharType="separate"/>
            </w:r>
            <w:r>
              <w:rPr>
                <w:noProof/>
                <w:webHidden/>
              </w:rPr>
              <w:t>8</w:t>
            </w:r>
            <w:r>
              <w:rPr>
                <w:noProof/>
                <w:webHidden/>
              </w:rPr>
              <w:fldChar w:fldCharType="end"/>
            </w:r>
          </w:hyperlink>
        </w:p>
        <w:p w14:paraId="1327923A" w14:textId="6B3EDD1C" w:rsidR="008046B9" w:rsidRDefault="008046B9">
          <w:pPr>
            <w:pStyle w:val="TOC2"/>
            <w:tabs>
              <w:tab w:val="right" w:leader="dot" w:pos="9629"/>
            </w:tabs>
            <w:rPr>
              <w:rFonts w:eastAsiaTheme="minorEastAsia"/>
              <w:noProof/>
              <w:sz w:val="24"/>
              <w:szCs w:val="24"/>
              <w:lang w:eastAsia="en-GB"/>
            </w:rPr>
          </w:pPr>
          <w:hyperlink w:anchor="_Toc194551427" w:history="1">
            <w:r w:rsidRPr="00C149CB">
              <w:rPr>
                <w:rStyle w:val="Hyperlink"/>
                <w:noProof/>
              </w:rPr>
              <w:t>2.6. Hypotheses</w:t>
            </w:r>
            <w:r>
              <w:rPr>
                <w:noProof/>
                <w:webHidden/>
              </w:rPr>
              <w:tab/>
            </w:r>
            <w:r>
              <w:rPr>
                <w:noProof/>
                <w:webHidden/>
              </w:rPr>
              <w:fldChar w:fldCharType="begin"/>
            </w:r>
            <w:r>
              <w:rPr>
                <w:noProof/>
                <w:webHidden/>
              </w:rPr>
              <w:instrText xml:space="preserve"> PAGEREF _Toc194551427 \h </w:instrText>
            </w:r>
            <w:r>
              <w:rPr>
                <w:noProof/>
                <w:webHidden/>
              </w:rPr>
            </w:r>
            <w:r>
              <w:rPr>
                <w:noProof/>
                <w:webHidden/>
              </w:rPr>
              <w:fldChar w:fldCharType="separate"/>
            </w:r>
            <w:r>
              <w:rPr>
                <w:noProof/>
                <w:webHidden/>
              </w:rPr>
              <w:t>9</w:t>
            </w:r>
            <w:r>
              <w:rPr>
                <w:noProof/>
                <w:webHidden/>
              </w:rPr>
              <w:fldChar w:fldCharType="end"/>
            </w:r>
          </w:hyperlink>
        </w:p>
        <w:p w14:paraId="70216A59" w14:textId="7CACE248" w:rsidR="008046B9" w:rsidRDefault="008046B9">
          <w:pPr>
            <w:pStyle w:val="TOC2"/>
            <w:tabs>
              <w:tab w:val="right" w:leader="dot" w:pos="9629"/>
            </w:tabs>
            <w:rPr>
              <w:rFonts w:eastAsiaTheme="minorEastAsia"/>
              <w:noProof/>
              <w:sz w:val="24"/>
              <w:szCs w:val="24"/>
              <w:lang w:eastAsia="en-GB"/>
            </w:rPr>
          </w:pPr>
          <w:hyperlink w:anchor="_Toc194551428" w:history="1">
            <w:r w:rsidRPr="00C149CB">
              <w:rPr>
                <w:rStyle w:val="Hyperlink"/>
                <w:noProof/>
              </w:rPr>
              <w:t>Conclusion on Literature Review</w:t>
            </w:r>
            <w:r>
              <w:rPr>
                <w:noProof/>
                <w:webHidden/>
              </w:rPr>
              <w:tab/>
            </w:r>
            <w:r>
              <w:rPr>
                <w:noProof/>
                <w:webHidden/>
              </w:rPr>
              <w:fldChar w:fldCharType="begin"/>
            </w:r>
            <w:r>
              <w:rPr>
                <w:noProof/>
                <w:webHidden/>
              </w:rPr>
              <w:instrText xml:space="preserve"> PAGEREF _Toc194551428 \h </w:instrText>
            </w:r>
            <w:r>
              <w:rPr>
                <w:noProof/>
                <w:webHidden/>
              </w:rPr>
            </w:r>
            <w:r>
              <w:rPr>
                <w:noProof/>
                <w:webHidden/>
              </w:rPr>
              <w:fldChar w:fldCharType="separate"/>
            </w:r>
            <w:r>
              <w:rPr>
                <w:noProof/>
                <w:webHidden/>
              </w:rPr>
              <w:t>9</w:t>
            </w:r>
            <w:r>
              <w:rPr>
                <w:noProof/>
                <w:webHidden/>
              </w:rPr>
              <w:fldChar w:fldCharType="end"/>
            </w:r>
          </w:hyperlink>
        </w:p>
        <w:p w14:paraId="4CF9C9C6" w14:textId="6816D838" w:rsidR="008046B9" w:rsidRDefault="008046B9">
          <w:pPr>
            <w:pStyle w:val="TOC1"/>
            <w:tabs>
              <w:tab w:val="left" w:pos="440"/>
              <w:tab w:val="right" w:leader="dot" w:pos="9629"/>
            </w:tabs>
            <w:rPr>
              <w:rFonts w:eastAsiaTheme="minorEastAsia"/>
              <w:noProof/>
              <w:sz w:val="24"/>
              <w:szCs w:val="24"/>
              <w:lang w:eastAsia="en-GB"/>
            </w:rPr>
          </w:pPr>
          <w:hyperlink w:anchor="_Toc194551429" w:history="1">
            <w:r w:rsidRPr="00C149CB">
              <w:rPr>
                <w:rStyle w:val="Hyperlink"/>
                <w:noProof/>
              </w:rPr>
              <w:t>3.</w:t>
            </w:r>
            <w:r>
              <w:rPr>
                <w:rFonts w:eastAsiaTheme="minorEastAsia"/>
                <w:noProof/>
                <w:sz w:val="24"/>
                <w:szCs w:val="24"/>
                <w:lang w:eastAsia="en-GB"/>
              </w:rPr>
              <w:tab/>
            </w:r>
            <w:r w:rsidRPr="00C149CB">
              <w:rPr>
                <w:rStyle w:val="Hyperlink"/>
                <w:noProof/>
              </w:rPr>
              <w:t>Research Methodology</w:t>
            </w:r>
            <w:r>
              <w:rPr>
                <w:noProof/>
                <w:webHidden/>
              </w:rPr>
              <w:tab/>
            </w:r>
            <w:r>
              <w:rPr>
                <w:noProof/>
                <w:webHidden/>
              </w:rPr>
              <w:fldChar w:fldCharType="begin"/>
            </w:r>
            <w:r>
              <w:rPr>
                <w:noProof/>
                <w:webHidden/>
              </w:rPr>
              <w:instrText xml:space="preserve"> PAGEREF _Toc194551429 \h </w:instrText>
            </w:r>
            <w:r>
              <w:rPr>
                <w:noProof/>
                <w:webHidden/>
              </w:rPr>
            </w:r>
            <w:r>
              <w:rPr>
                <w:noProof/>
                <w:webHidden/>
              </w:rPr>
              <w:fldChar w:fldCharType="separate"/>
            </w:r>
            <w:r>
              <w:rPr>
                <w:noProof/>
                <w:webHidden/>
              </w:rPr>
              <w:t>10</w:t>
            </w:r>
            <w:r>
              <w:rPr>
                <w:noProof/>
                <w:webHidden/>
              </w:rPr>
              <w:fldChar w:fldCharType="end"/>
            </w:r>
          </w:hyperlink>
        </w:p>
        <w:p w14:paraId="25BE8B12" w14:textId="205AC604" w:rsidR="008046B9" w:rsidRDefault="008046B9">
          <w:pPr>
            <w:pStyle w:val="TOC2"/>
            <w:tabs>
              <w:tab w:val="right" w:leader="dot" w:pos="9629"/>
            </w:tabs>
            <w:rPr>
              <w:rFonts w:eastAsiaTheme="minorEastAsia"/>
              <w:noProof/>
              <w:sz w:val="24"/>
              <w:szCs w:val="24"/>
              <w:lang w:eastAsia="en-GB"/>
            </w:rPr>
          </w:pPr>
          <w:hyperlink w:anchor="_Toc194551430" w:history="1">
            <w:r w:rsidRPr="00C149CB">
              <w:rPr>
                <w:rStyle w:val="Hyperlink"/>
                <w:noProof/>
              </w:rPr>
              <w:t>3.1. Research Philosophy</w:t>
            </w:r>
            <w:r>
              <w:rPr>
                <w:noProof/>
                <w:webHidden/>
              </w:rPr>
              <w:tab/>
            </w:r>
            <w:r>
              <w:rPr>
                <w:noProof/>
                <w:webHidden/>
              </w:rPr>
              <w:fldChar w:fldCharType="begin"/>
            </w:r>
            <w:r>
              <w:rPr>
                <w:noProof/>
                <w:webHidden/>
              </w:rPr>
              <w:instrText xml:space="preserve"> PAGEREF _Toc194551430 \h </w:instrText>
            </w:r>
            <w:r>
              <w:rPr>
                <w:noProof/>
                <w:webHidden/>
              </w:rPr>
            </w:r>
            <w:r>
              <w:rPr>
                <w:noProof/>
                <w:webHidden/>
              </w:rPr>
              <w:fldChar w:fldCharType="separate"/>
            </w:r>
            <w:r>
              <w:rPr>
                <w:noProof/>
                <w:webHidden/>
              </w:rPr>
              <w:t>10</w:t>
            </w:r>
            <w:r>
              <w:rPr>
                <w:noProof/>
                <w:webHidden/>
              </w:rPr>
              <w:fldChar w:fldCharType="end"/>
            </w:r>
          </w:hyperlink>
        </w:p>
        <w:p w14:paraId="19E9F8B9" w14:textId="5086B2CA" w:rsidR="008046B9" w:rsidRDefault="008046B9" w:rsidP="008046B9">
          <w:pPr>
            <w:pStyle w:val="TOC2"/>
            <w:tabs>
              <w:tab w:val="left" w:pos="567"/>
              <w:tab w:val="left" w:pos="709"/>
              <w:tab w:val="right" w:leader="dot" w:pos="9629"/>
            </w:tabs>
            <w:rPr>
              <w:rFonts w:eastAsiaTheme="minorEastAsia"/>
              <w:noProof/>
              <w:sz w:val="24"/>
              <w:szCs w:val="24"/>
              <w:lang w:eastAsia="en-GB"/>
            </w:rPr>
          </w:pPr>
          <w:hyperlink w:anchor="_Toc194551431" w:history="1">
            <w:r w:rsidRPr="00C149CB">
              <w:rPr>
                <w:rStyle w:val="Hyperlink"/>
                <w:noProof/>
              </w:rPr>
              <w:t>3.2.</w:t>
            </w:r>
            <w:r>
              <w:rPr>
                <w:rFonts w:eastAsiaTheme="minorEastAsia"/>
                <w:noProof/>
                <w:sz w:val="24"/>
                <w:szCs w:val="24"/>
                <w:lang w:eastAsia="en-GB"/>
              </w:rPr>
              <w:tab/>
            </w:r>
            <w:r w:rsidRPr="00C149CB">
              <w:rPr>
                <w:rStyle w:val="Hyperlink"/>
                <w:noProof/>
              </w:rPr>
              <w:t>Research Approach</w:t>
            </w:r>
            <w:r>
              <w:rPr>
                <w:noProof/>
                <w:webHidden/>
              </w:rPr>
              <w:tab/>
            </w:r>
            <w:r>
              <w:rPr>
                <w:noProof/>
                <w:webHidden/>
              </w:rPr>
              <w:fldChar w:fldCharType="begin"/>
            </w:r>
            <w:r>
              <w:rPr>
                <w:noProof/>
                <w:webHidden/>
              </w:rPr>
              <w:instrText xml:space="preserve"> PAGEREF _Toc194551431 \h </w:instrText>
            </w:r>
            <w:r>
              <w:rPr>
                <w:noProof/>
                <w:webHidden/>
              </w:rPr>
            </w:r>
            <w:r>
              <w:rPr>
                <w:noProof/>
                <w:webHidden/>
              </w:rPr>
              <w:fldChar w:fldCharType="separate"/>
            </w:r>
            <w:r>
              <w:rPr>
                <w:noProof/>
                <w:webHidden/>
              </w:rPr>
              <w:t>10</w:t>
            </w:r>
            <w:r>
              <w:rPr>
                <w:noProof/>
                <w:webHidden/>
              </w:rPr>
              <w:fldChar w:fldCharType="end"/>
            </w:r>
          </w:hyperlink>
        </w:p>
        <w:p w14:paraId="3FF79A1D" w14:textId="4F7559D0" w:rsidR="008046B9" w:rsidRDefault="008046B9" w:rsidP="008046B9">
          <w:pPr>
            <w:pStyle w:val="TOC2"/>
            <w:tabs>
              <w:tab w:val="left" w:pos="567"/>
              <w:tab w:val="left" w:pos="709"/>
              <w:tab w:val="right" w:leader="dot" w:pos="9629"/>
            </w:tabs>
            <w:rPr>
              <w:rFonts w:eastAsiaTheme="minorEastAsia"/>
              <w:noProof/>
              <w:sz w:val="24"/>
              <w:szCs w:val="24"/>
              <w:lang w:eastAsia="en-GB"/>
            </w:rPr>
          </w:pPr>
          <w:hyperlink w:anchor="_Toc194551432" w:history="1">
            <w:r w:rsidRPr="00C149CB">
              <w:rPr>
                <w:rStyle w:val="Hyperlink"/>
                <w:noProof/>
              </w:rPr>
              <w:t>3.3.</w:t>
            </w:r>
            <w:r>
              <w:rPr>
                <w:rFonts w:eastAsiaTheme="minorEastAsia"/>
                <w:noProof/>
                <w:sz w:val="24"/>
                <w:szCs w:val="24"/>
                <w:lang w:eastAsia="en-GB"/>
              </w:rPr>
              <w:tab/>
            </w:r>
            <w:r w:rsidRPr="00C149CB">
              <w:rPr>
                <w:rStyle w:val="Hyperlink"/>
                <w:noProof/>
              </w:rPr>
              <w:t>Ethical Considerations</w:t>
            </w:r>
            <w:r>
              <w:rPr>
                <w:noProof/>
                <w:webHidden/>
              </w:rPr>
              <w:tab/>
            </w:r>
            <w:r>
              <w:rPr>
                <w:noProof/>
                <w:webHidden/>
              </w:rPr>
              <w:fldChar w:fldCharType="begin"/>
            </w:r>
            <w:r>
              <w:rPr>
                <w:noProof/>
                <w:webHidden/>
              </w:rPr>
              <w:instrText xml:space="preserve"> PAGEREF _Toc194551432 \h </w:instrText>
            </w:r>
            <w:r>
              <w:rPr>
                <w:noProof/>
                <w:webHidden/>
              </w:rPr>
            </w:r>
            <w:r>
              <w:rPr>
                <w:noProof/>
                <w:webHidden/>
              </w:rPr>
              <w:fldChar w:fldCharType="separate"/>
            </w:r>
            <w:r>
              <w:rPr>
                <w:noProof/>
                <w:webHidden/>
              </w:rPr>
              <w:t>10</w:t>
            </w:r>
            <w:r>
              <w:rPr>
                <w:noProof/>
                <w:webHidden/>
              </w:rPr>
              <w:fldChar w:fldCharType="end"/>
            </w:r>
          </w:hyperlink>
        </w:p>
        <w:p w14:paraId="18E01A43" w14:textId="00BDE0A6" w:rsidR="008046B9" w:rsidRDefault="008046B9">
          <w:pPr>
            <w:pStyle w:val="TOC1"/>
            <w:tabs>
              <w:tab w:val="left" w:pos="440"/>
              <w:tab w:val="right" w:leader="dot" w:pos="9629"/>
            </w:tabs>
            <w:rPr>
              <w:rFonts w:eastAsiaTheme="minorEastAsia"/>
              <w:noProof/>
              <w:sz w:val="24"/>
              <w:szCs w:val="24"/>
              <w:lang w:eastAsia="en-GB"/>
            </w:rPr>
          </w:pPr>
          <w:hyperlink w:anchor="_Toc194551433" w:history="1">
            <w:r w:rsidRPr="00C149CB">
              <w:rPr>
                <w:rStyle w:val="Hyperlink"/>
                <w:noProof/>
              </w:rPr>
              <w:t>4.</w:t>
            </w:r>
            <w:r>
              <w:rPr>
                <w:rFonts w:eastAsiaTheme="minorEastAsia"/>
                <w:noProof/>
                <w:sz w:val="24"/>
                <w:szCs w:val="24"/>
                <w:lang w:eastAsia="en-GB"/>
              </w:rPr>
              <w:tab/>
            </w:r>
            <w:r w:rsidRPr="00C149CB">
              <w:rPr>
                <w:rStyle w:val="Hyperlink"/>
                <w:noProof/>
              </w:rPr>
              <w:t>Data Analysis and Discussion</w:t>
            </w:r>
            <w:r>
              <w:rPr>
                <w:noProof/>
                <w:webHidden/>
              </w:rPr>
              <w:tab/>
            </w:r>
            <w:r>
              <w:rPr>
                <w:noProof/>
                <w:webHidden/>
              </w:rPr>
              <w:fldChar w:fldCharType="begin"/>
            </w:r>
            <w:r>
              <w:rPr>
                <w:noProof/>
                <w:webHidden/>
              </w:rPr>
              <w:instrText xml:space="preserve"> PAGEREF _Toc194551433 \h </w:instrText>
            </w:r>
            <w:r>
              <w:rPr>
                <w:noProof/>
                <w:webHidden/>
              </w:rPr>
            </w:r>
            <w:r>
              <w:rPr>
                <w:noProof/>
                <w:webHidden/>
              </w:rPr>
              <w:fldChar w:fldCharType="separate"/>
            </w:r>
            <w:r>
              <w:rPr>
                <w:noProof/>
                <w:webHidden/>
              </w:rPr>
              <w:t>12</w:t>
            </w:r>
            <w:r>
              <w:rPr>
                <w:noProof/>
                <w:webHidden/>
              </w:rPr>
              <w:fldChar w:fldCharType="end"/>
            </w:r>
          </w:hyperlink>
        </w:p>
        <w:p w14:paraId="685C3A01" w14:textId="0F12549A" w:rsidR="008046B9" w:rsidRDefault="008046B9">
          <w:pPr>
            <w:pStyle w:val="TOC2"/>
            <w:tabs>
              <w:tab w:val="right" w:leader="dot" w:pos="9629"/>
            </w:tabs>
            <w:rPr>
              <w:rFonts w:eastAsiaTheme="minorEastAsia"/>
              <w:noProof/>
              <w:sz w:val="24"/>
              <w:szCs w:val="24"/>
              <w:lang w:eastAsia="en-GB"/>
            </w:rPr>
          </w:pPr>
          <w:hyperlink w:anchor="_Toc194551434" w:history="1">
            <w:r w:rsidRPr="00C149CB">
              <w:rPr>
                <w:rStyle w:val="Hyperlink"/>
                <w:noProof/>
              </w:rPr>
              <w:t>4.1. Statistical data and economic performance</w:t>
            </w:r>
            <w:r>
              <w:rPr>
                <w:noProof/>
                <w:webHidden/>
              </w:rPr>
              <w:tab/>
            </w:r>
            <w:r>
              <w:rPr>
                <w:noProof/>
                <w:webHidden/>
              </w:rPr>
              <w:fldChar w:fldCharType="begin"/>
            </w:r>
            <w:r>
              <w:rPr>
                <w:noProof/>
                <w:webHidden/>
              </w:rPr>
              <w:instrText xml:space="preserve"> PAGEREF _Toc194551434 \h </w:instrText>
            </w:r>
            <w:r>
              <w:rPr>
                <w:noProof/>
                <w:webHidden/>
              </w:rPr>
            </w:r>
            <w:r>
              <w:rPr>
                <w:noProof/>
                <w:webHidden/>
              </w:rPr>
              <w:fldChar w:fldCharType="separate"/>
            </w:r>
            <w:r>
              <w:rPr>
                <w:noProof/>
                <w:webHidden/>
              </w:rPr>
              <w:t>12</w:t>
            </w:r>
            <w:r>
              <w:rPr>
                <w:noProof/>
                <w:webHidden/>
              </w:rPr>
              <w:fldChar w:fldCharType="end"/>
            </w:r>
          </w:hyperlink>
        </w:p>
        <w:p w14:paraId="352A2503" w14:textId="74F77504" w:rsidR="008046B9" w:rsidRDefault="008046B9">
          <w:pPr>
            <w:pStyle w:val="TOC2"/>
            <w:tabs>
              <w:tab w:val="right" w:leader="dot" w:pos="9629"/>
            </w:tabs>
            <w:rPr>
              <w:rFonts w:eastAsiaTheme="minorEastAsia"/>
              <w:noProof/>
              <w:sz w:val="24"/>
              <w:szCs w:val="24"/>
              <w:lang w:eastAsia="en-GB"/>
            </w:rPr>
          </w:pPr>
          <w:hyperlink w:anchor="_Toc194551435" w:history="1">
            <w:r w:rsidRPr="00C149CB">
              <w:rPr>
                <w:rStyle w:val="Hyperlink"/>
                <w:noProof/>
              </w:rPr>
              <w:t>4.3 Analysis of Hong Kong’s Regulatory Environment</w:t>
            </w:r>
            <w:r>
              <w:rPr>
                <w:noProof/>
                <w:webHidden/>
              </w:rPr>
              <w:tab/>
            </w:r>
            <w:r>
              <w:rPr>
                <w:noProof/>
                <w:webHidden/>
              </w:rPr>
              <w:fldChar w:fldCharType="begin"/>
            </w:r>
            <w:r>
              <w:rPr>
                <w:noProof/>
                <w:webHidden/>
              </w:rPr>
              <w:instrText xml:space="preserve"> PAGEREF _Toc194551435 \h </w:instrText>
            </w:r>
            <w:r>
              <w:rPr>
                <w:noProof/>
                <w:webHidden/>
              </w:rPr>
            </w:r>
            <w:r>
              <w:rPr>
                <w:noProof/>
                <w:webHidden/>
              </w:rPr>
              <w:fldChar w:fldCharType="separate"/>
            </w:r>
            <w:r>
              <w:rPr>
                <w:noProof/>
                <w:webHidden/>
              </w:rPr>
              <w:t>16</w:t>
            </w:r>
            <w:r>
              <w:rPr>
                <w:noProof/>
                <w:webHidden/>
              </w:rPr>
              <w:fldChar w:fldCharType="end"/>
            </w:r>
          </w:hyperlink>
        </w:p>
        <w:p w14:paraId="2CDAA61A" w14:textId="085D232F" w:rsidR="008046B9" w:rsidRDefault="008046B9">
          <w:pPr>
            <w:pStyle w:val="TOC3"/>
            <w:tabs>
              <w:tab w:val="right" w:leader="dot" w:pos="9629"/>
            </w:tabs>
            <w:rPr>
              <w:rFonts w:eastAsiaTheme="minorEastAsia"/>
              <w:noProof/>
              <w:sz w:val="24"/>
              <w:szCs w:val="24"/>
              <w:lang w:eastAsia="en-GB"/>
            </w:rPr>
          </w:pPr>
          <w:hyperlink w:anchor="_Toc194551436" w:history="1">
            <w:r w:rsidRPr="00C149CB">
              <w:rPr>
                <w:rStyle w:val="Hyperlink"/>
                <w:noProof/>
              </w:rPr>
              <w:t>4.3.1 Tax Regulations</w:t>
            </w:r>
            <w:r>
              <w:rPr>
                <w:noProof/>
                <w:webHidden/>
              </w:rPr>
              <w:tab/>
            </w:r>
            <w:r>
              <w:rPr>
                <w:noProof/>
                <w:webHidden/>
              </w:rPr>
              <w:fldChar w:fldCharType="begin"/>
            </w:r>
            <w:r>
              <w:rPr>
                <w:noProof/>
                <w:webHidden/>
              </w:rPr>
              <w:instrText xml:space="preserve"> PAGEREF _Toc194551436 \h </w:instrText>
            </w:r>
            <w:r>
              <w:rPr>
                <w:noProof/>
                <w:webHidden/>
              </w:rPr>
            </w:r>
            <w:r>
              <w:rPr>
                <w:noProof/>
                <w:webHidden/>
              </w:rPr>
              <w:fldChar w:fldCharType="separate"/>
            </w:r>
            <w:r>
              <w:rPr>
                <w:noProof/>
                <w:webHidden/>
              </w:rPr>
              <w:t>16</w:t>
            </w:r>
            <w:r>
              <w:rPr>
                <w:noProof/>
                <w:webHidden/>
              </w:rPr>
              <w:fldChar w:fldCharType="end"/>
            </w:r>
          </w:hyperlink>
        </w:p>
        <w:p w14:paraId="5B230E42" w14:textId="28D5D7EF" w:rsidR="008046B9" w:rsidRDefault="008046B9">
          <w:pPr>
            <w:pStyle w:val="TOC3"/>
            <w:tabs>
              <w:tab w:val="right" w:leader="dot" w:pos="9629"/>
            </w:tabs>
            <w:rPr>
              <w:rFonts w:eastAsiaTheme="minorEastAsia"/>
              <w:noProof/>
              <w:sz w:val="24"/>
              <w:szCs w:val="24"/>
              <w:lang w:eastAsia="en-GB"/>
            </w:rPr>
          </w:pPr>
          <w:hyperlink w:anchor="_Toc194551437" w:history="1">
            <w:r w:rsidRPr="00C149CB">
              <w:rPr>
                <w:rStyle w:val="Hyperlink"/>
                <w:noProof/>
              </w:rPr>
              <w:t>4.3.2 Legal regulations</w:t>
            </w:r>
            <w:r>
              <w:rPr>
                <w:noProof/>
                <w:webHidden/>
              </w:rPr>
              <w:tab/>
            </w:r>
            <w:r>
              <w:rPr>
                <w:noProof/>
                <w:webHidden/>
              </w:rPr>
              <w:fldChar w:fldCharType="begin"/>
            </w:r>
            <w:r>
              <w:rPr>
                <w:noProof/>
                <w:webHidden/>
              </w:rPr>
              <w:instrText xml:space="preserve"> PAGEREF _Toc194551437 \h </w:instrText>
            </w:r>
            <w:r>
              <w:rPr>
                <w:noProof/>
                <w:webHidden/>
              </w:rPr>
            </w:r>
            <w:r>
              <w:rPr>
                <w:noProof/>
                <w:webHidden/>
              </w:rPr>
              <w:fldChar w:fldCharType="separate"/>
            </w:r>
            <w:r>
              <w:rPr>
                <w:noProof/>
                <w:webHidden/>
              </w:rPr>
              <w:t>17</w:t>
            </w:r>
            <w:r>
              <w:rPr>
                <w:noProof/>
                <w:webHidden/>
              </w:rPr>
              <w:fldChar w:fldCharType="end"/>
            </w:r>
          </w:hyperlink>
        </w:p>
        <w:p w14:paraId="6AE6D982" w14:textId="6B091403" w:rsidR="008046B9" w:rsidRDefault="008046B9">
          <w:pPr>
            <w:pStyle w:val="TOC3"/>
            <w:tabs>
              <w:tab w:val="right" w:leader="dot" w:pos="9629"/>
            </w:tabs>
            <w:rPr>
              <w:rFonts w:eastAsiaTheme="minorEastAsia"/>
              <w:noProof/>
              <w:sz w:val="24"/>
              <w:szCs w:val="24"/>
              <w:lang w:eastAsia="en-GB"/>
            </w:rPr>
          </w:pPr>
          <w:hyperlink w:anchor="_Toc194551438" w:history="1">
            <w:r w:rsidRPr="00C149CB">
              <w:rPr>
                <w:rStyle w:val="Hyperlink"/>
                <w:noProof/>
              </w:rPr>
              <w:t>4.3.3 Financial Regulations</w:t>
            </w:r>
            <w:r>
              <w:rPr>
                <w:noProof/>
                <w:webHidden/>
              </w:rPr>
              <w:tab/>
            </w:r>
            <w:r>
              <w:rPr>
                <w:noProof/>
                <w:webHidden/>
              </w:rPr>
              <w:fldChar w:fldCharType="begin"/>
            </w:r>
            <w:r>
              <w:rPr>
                <w:noProof/>
                <w:webHidden/>
              </w:rPr>
              <w:instrText xml:space="preserve"> PAGEREF _Toc194551438 \h </w:instrText>
            </w:r>
            <w:r>
              <w:rPr>
                <w:noProof/>
                <w:webHidden/>
              </w:rPr>
            </w:r>
            <w:r>
              <w:rPr>
                <w:noProof/>
                <w:webHidden/>
              </w:rPr>
              <w:fldChar w:fldCharType="separate"/>
            </w:r>
            <w:r>
              <w:rPr>
                <w:noProof/>
                <w:webHidden/>
              </w:rPr>
              <w:t>18</w:t>
            </w:r>
            <w:r>
              <w:rPr>
                <w:noProof/>
                <w:webHidden/>
              </w:rPr>
              <w:fldChar w:fldCharType="end"/>
            </w:r>
          </w:hyperlink>
        </w:p>
        <w:p w14:paraId="353340C5" w14:textId="6B6045F0" w:rsidR="008046B9" w:rsidRDefault="008046B9">
          <w:pPr>
            <w:pStyle w:val="TOC3"/>
            <w:tabs>
              <w:tab w:val="right" w:leader="dot" w:pos="9629"/>
            </w:tabs>
            <w:rPr>
              <w:rFonts w:eastAsiaTheme="minorEastAsia"/>
              <w:noProof/>
              <w:sz w:val="24"/>
              <w:szCs w:val="24"/>
              <w:lang w:eastAsia="en-GB"/>
            </w:rPr>
          </w:pPr>
          <w:hyperlink w:anchor="_Toc194551439" w:history="1">
            <w:r w:rsidRPr="00C149CB">
              <w:rPr>
                <w:rStyle w:val="Hyperlink"/>
                <w:noProof/>
              </w:rPr>
              <w:t>4.3.4. The Cross-Boundary Wealth Management Connect (WMC) Scheme</w:t>
            </w:r>
            <w:r>
              <w:rPr>
                <w:noProof/>
                <w:webHidden/>
              </w:rPr>
              <w:tab/>
            </w:r>
            <w:r>
              <w:rPr>
                <w:noProof/>
                <w:webHidden/>
              </w:rPr>
              <w:fldChar w:fldCharType="begin"/>
            </w:r>
            <w:r>
              <w:rPr>
                <w:noProof/>
                <w:webHidden/>
              </w:rPr>
              <w:instrText xml:space="preserve"> PAGEREF _Toc194551439 \h </w:instrText>
            </w:r>
            <w:r>
              <w:rPr>
                <w:noProof/>
                <w:webHidden/>
              </w:rPr>
            </w:r>
            <w:r>
              <w:rPr>
                <w:noProof/>
                <w:webHidden/>
              </w:rPr>
              <w:fldChar w:fldCharType="separate"/>
            </w:r>
            <w:r>
              <w:rPr>
                <w:noProof/>
                <w:webHidden/>
              </w:rPr>
              <w:t>19</w:t>
            </w:r>
            <w:r>
              <w:rPr>
                <w:noProof/>
                <w:webHidden/>
              </w:rPr>
              <w:fldChar w:fldCharType="end"/>
            </w:r>
          </w:hyperlink>
        </w:p>
        <w:p w14:paraId="0A4898D1" w14:textId="71DF93C9" w:rsidR="008046B9" w:rsidRDefault="008046B9">
          <w:pPr>
            <w:pStyle w:val="TOC3"/>
            <w:tabs>
              <w:tab w:val="right" w:leader="dot" w:pos="9629"/>
            </w:tabs>
            <w:rPr>
              <w:rFonts w:eastAsiaTheme="minorEastAsia"/>
              <w:noProof/>
              <w:sz w:val="24"/>
              <w:szCs w:val="24"/>
              <w:lang w:eastAsia="en-GB"/>
            </w:rPr>
          </w:pPr>
          <w:hyperlink w:anchor="_Toc194551440" w:history="1">
            <w:r w:rsidRPr="00C149CB">
              <w:rPr>
                <w:rStyle w:val="Hyperlink"/>
                <w:noProof/>
              </w:rPr>
              <w:t>4.3.5. Macro-Environmental Factors</w:t>
            </w:r>
            <w:r>
              <w:rPr>
                <w:noProof/>
                <w:webHidden/>
              </w:rPr>
              <w:tab/>
            </w:r>
            <w:r>
              <w:rPr>
                <w:noProof/>
                <w:webHidden/>
              </w:rPr>
              <w:fldChar w:fldCharType="begin"/>
            </w:r>
            <w:r>
              <w:rPr>
                <w:noProof/>
                <w:webHidden/>
              </w:rPr>
              <w:instrText xml:space="preserve"> PAGEREF _Toc194551440 \h </w:instrText>
            </w:r>
            <w:r>
              <w:rPr>
                <w:noProof/>
                <w:webHidden/>
              </w:rPr>
            </w:r>
            <w:r>
              <w:rPr>
                <w:noProof/>
                <w:webHidden/>
              </w:rPr>
              <w:fldChar w:fldCharType="separate"/>
            </w:r>
            <w:r>
              <w:rPr>
                <w:noProof/>
                <w:webHidden/>
              </w:rPr>
              <w:t>19</w:t>
            </w:r>
            <w:r>
              <w:rPr>
                <w:noProof/>
                <w:webHidden/>
              </w:rPr>
              <w:fldChar w:fldCharType="end"/>
            </w:r>
          </w:hyperlink>
        </w:p>
        <w:p w14:paraId="1E1B35D6" w14:textId="0E487E20" w:rsidR="008046B9" w:rsidRDefault="008046B9">
          <w:pPr>
            <w:pStyle w:val="TOC2"/>
            <w:tabs>
              <w:tab w:val="right" w:leader="dot" w:pos="9629"/>
            </w:tabs>
            <w:rPr>
              <w:rFonts w:eastAsiaTheme="minorEastAsia"/>
              <w:noProof/>
              <w:sz w:val="24"/>
              <w:szCs w:val="24"/>
              <w:lang w:eastAsia="en-GB"/>
            </w:rPr>
          </w:pPr>
          <w:hyperlink w:anchor="_Toc194551441" w:history="1">
            <w:r w:rsidRPr="00C149CB">
              <w:rPr>
                <w:rStyle w:val="Hyperlink"/>
                <w:noProof/>
              </w:rPr>
              <w:t>4.4 Comparative Analysis with Other Global Financial Hubs</w:t>
            </w:r>
            <w:r>
              <w:rPr>
                <w:noProof/>
                <w:webHidden/>
              </w:rPr>
              <w:tab/>
            </w:r>
            <w:r>
              <w:rPr>
                <w:noProof/>
                <w:webHidden/>
              </w:rPr>
              <w:fldChar w:fldCharType="begin"/>
            </w:r>
            <w:r>
              <w:rPr>
                <w:noProof/>
                <w:webHidden/>
              </w:rPr>
              <w:instrText xml:space="preserve"> PAGEREF _Toc194551441 \h </w:instrText>
            </w:r>
            <w:r>
              <w:rPr>
                <w:noProof/>
                <w:webHidden/>
              </w:rPr>
            </w:r>
            <w:r>
              <w:rPr>
                <w:noProof/>
                <w:webHidden/>
              </w:rPr>
              <w:fldChar w:fldCharType="separate"/>
            </w:r>
            <w:r>
              <w:rPr>
                <w:noProof/>
                <w:webHidden/>
              </w:rPr>
              <w:t>20</w:t>
            </w:r>
            <w:r>
              <w:rPr>
                <w:noProof/>
                <w:webHidden/>
              </w:rPr>
              <w:fldChar w:fldCharType="end"/>
            </w:r>
          </w:hyperlink>
        </w:p>
        <w:p w14:paraId="14ED1728" w14:textId="29B2EB61" w:rsidR="008046B9" w:rsidRDefault="008046B9">
          <w:pPr>
            <w:pStyle w:val="TOC3"/>
            <w:tabs>
              <w:tab w:val="right" w:leader="dot" w:pos="9629"/>
            </w:tabs>
            <w:rPr>
              <w:rFonts w:eastAsiaTheme="minorEastAsia"/>
              <w:noProof/>
              <w:sz w:val="24"/>
              <w:szCs w:val="24"/>
              <w:lang w:eastAsia="en-GB"/>
            </w:rPr>
          </w:pPr>
          <w:hyperlink w:anchor="_Toc194551442" w:history="1">
            <w:r w:rsidRPr="00C149CB">
              <w:rPr>
                <w:rStyle w:val="Hyperlink"/>
                <w:noProof/>
              </w:rPr>
              <w:t>4.4.1 Hong Kong vs. Singapore</w:t>
            </w:r>
            <w:r>
              <w:rPr>
                <w:noProof/>
                <w:webHidden/>
              </w:rPr>
              <w:tab/>
            </w:r>
            <w:r>
              <w:rPr>
                <w:noProof/>
                <w:webHidden/>
              </w:rPr>
              <w:fldChar w:fldCharType="begin"/>
            </w:r>
            <w:r>
              <w:rPr>
                <w:noProof/>
                <w:webHidden/>
              </w:rPr>
              <w:instrText xml:space="preserve"> PAGEREF _Toc194551442 \h </w:instrText>
            </w:r>
            <w:r>
              <w:rPr>
                <w:noProof/>
                <w:webHidden/>
              </w:rPr>
            </w:r>
            <w:r>
              <w:rPr>
                <w:noProof/>
                <w:webHidden/>
              </w:rPr>
              <w:fldChar w:fldCharType="separate"/>
            </w:r>
            <w:r>
              <w:rPr>
                <w:noProof/>
                <w:webHidden/>
              </w:rPr>
              <w:t>20</w:t>
            </w:r>
            <w:r>
              <w:rPr>
                <w:noProof/>
                <w:webHidden/>
              </w:rPr>
              <w:fldChar w:fldCharType="end"/>
            </w:r>
          </w:hyperlink>
        </w:p>
        <w:p w14:paraId="669E06C9" w14:textId="7DE5F4FC" w:rsidR="008046B9" w:rsidRDefault="008046B9">
          <w:pPr>
            <w:pStyle w:val="TOC3"/>
            <w:tabs>
              <w:tab w:val="right" w:leader="dot" w:pos="9629"/>
            </w:tabs>
            <w:rPr>
              <w:rFonts w:eastAsiaTheme="minorEastAsia"/>
              <w:noProof/>
              <w:sz w:val="24"/>
              <w:szCs w:val="24"/>
              <w:lang w:eastAsia="en-GB"/>
            </w:rPr>
          </w:pPr>
          <w:hyperlink w:anchor="_Toc194551443" w:history="1">
            <w:r w:rsidRPr="00C149CB">
              <w:rPr>
                <w:rStyle w:val="Hyperlink"/>
                <w:noProof/>
              </w:rPr>
              <w:t>4.4.2 Hong Kong vs. London</w:t>
            </w:r>
            <w:r>
              <w:rPr>
                <w:noProof/>
                <w:webHidden/>
              </w:rPr>
              <w:tab/>
            </w:r>
            <w:r>
              <w:rPr>
                <w:noProof/>
                <w:webHidden/>
              </w:rPr>
              <w:fldChar w:fldCharType="begin"/>
            </w:r>
            <w:r>
              <w:rPr>
                <w:noProof/>
                <w:webHidden/>
              </w:rPr>
              <w:instrText xml:space="preserve"> PAGEREF _Toc194551443 \h </w:instrText>
            </w:r>
            <w:r>
              <w:rPr>
                <w:noProof/>
                <w:webHidden/>
              </w:rPr>
            </w:r>
            <w:r>
              <w:rPr>
                <w:noProof/>
                <w:webHidden/>
              </w:rPr>
              <w:fldChar w:fldCharType="separate"/>
            </w:r>
            <w:r>
              <w:rPr>
                <w:noProof/>
                <w:webHidden/>
              </w:rPr>
              <w:t>20</w:t>
            </w:r>
            <w:r>
              <w:rPr>
                <w:noProof/>
                <w:webHidden/>
              </w:rPr>
              <w:fldChar w:fldCharType="end"/>
            </w:r>
          </w:hyperlink>
        </w:p>
        <w:p w14:paraId="57774222" w14:textId="5978299F" w:rsidR="008046B9" w:rsidRDefault="008046B9">
          <w:pPr>
            <w:pStyle w:val="TOC2"/>
            <w:tabs>
              <w:tab w:val="right" w:leader="dot" w:pos="9629"/>
            </w:tabs>
            <w:rPr>
              <w:rFonts w:eastAsiaTheme="minorEastAsia"/>
              <w:noProof/>
              <w:sz w:val="24"/>
              <w:szCs w:val="24"/>
              <w:lang w:eastAsia="en-GB"/>
            </w:rPr>
          </w:pPr>
          <w:hyperlink w:anchor="_Toc194551444" w:history="1">
            <w:r w:rsidRPr="00C149CB">
              <w:rPr>
                <w:rStyle w:val="Hyperlink"/>
                <w:noProof/>
              </w:rPr>
              <w:t>4.5 Case Studies of Foreign Business Expansion</w:t>
            </w:r>
            <w:r>
              <w:rPr>
                <w:noProof/>
                <w:webHidden/>
              </w:rPr>
              <w:tab/>
            </w:r>
            <w:r>
              <w:rPr>
                <w:noProof/>
                <w:webHidden/>
              </w:rPr>
              <w:fldChar w:fldCharType="begin"/>
            </w:r>
            <w:r>
              <w:rPr>
                <w:noProof/>
                <w:webHidden/>
              </w:rPr>
              <w:instrText xml:space="preserve"> PAGEREF _Toc194551444 \h </w:instrText>
            </w:r>
            <w:r>
              <w:rPr>
                <w:noProof/>
                <w:webHidden/>
              </w:rPr>
            </w:r>
            <w:r>
              <w:rPr>
                <w:noProof/>
                <w:webHidden/>
              </w:rPr>
              <w:fldChar w:fldCharType="separate"/>
            </w:r>
            <w:r>
              <w:rPr>
                <w:noProof/>
                <w:webHidden/>
              </w:rPr>
              <w:t>21</w:t>
            </w:r>
            <w:r>
              <w:rPr>
                <w:noProof/>
                <w:webHidden/>
              </w:rPr>
              <w:fldChar w:fldCharType="end"/>
            </w:r>
          </w:hyperlink>
        </w:p>
        <w:p w14:paraId="1530E886" w14:textId="3DCBEFF9" w:rsidR="008046B9" w:rsidRDefault="008046B9">
          <w:pPr>
            <w:pStyle w:val="TOC3"/>
            <w:tabs>
              <w:tab w:val="right" w:leader="dot" w:pos="9629"/>
            </w:tabs>
            <w:rPr>
              <w:rFonts w:eastAsiaTheme="minorEastAsia"/>
              <w:noProof/>
              <w:sz w:val="24"/>
              <w:szCs w:val="24"/>
              <w:lang w:eastAsia="en-GB"/>
            </w:rPr>
          </w:pPr>
          <w:hyperlink w:anchor="_Toc194551445" w:history="1">
            <w:r w:rsidRPr="00C149CB">
              <w:rPr>
                <w:rStyle w:val="Hyperlink"/>
                <w:noProof/>
              </w:rPr>
              <w:t>4.5.1 Case Study 1: HSBC in Hong Kong</w:t>
            </w:r>
            <w:r>
              <w:rPr>
                <w:noProof/>
                <w:webHidden/>
              </w:rPr>
              <w:tab/>
            </w:r>
            <w:r>
              <w:rPr>
                <w:noProof/>
                <w:webHidden/>
              </w:rPr>
              <w:fldChar w:fldCharType="begin"/>
            </w:r>
            <w:r>
              <w:rPr>
                <w:noProof/>
                <w:webHidden/>
              </w:rPr>
              <w:instrText xml:space="preserve"> PAGEREF _Toc194551445 \h </w:instrText>
            </w:r>
            <w:r>
              <w:rPr>
                <w:noProof/>
                <w:webHidden/>
              </w:rPr>
            </w:r>
            <w:r>
              <w:rPr>
                <w:noProof/>
                <w:webHidden/>
              </w:rPr>
              <w:fldChar w:fldCharType="separate"/>
            </w:r>
            <w:r>
              <w:rPr>
                <w:noProof/>
                <w:webHidden/>
              </w:rPr>
              <w:t>21</w:t>
            </w:r>
            <w:r>
              <w:rPr>
                <w:noProof/>
                <w:webHidden/>
              </w:rPr>
              <w:fldChar w:fldCharType="end"/>
            </w:r>
          </w:hyperlink>
        </w:p>
        <w:p w14:paraId="10550BD0" w14:textId="5AB23CC3" w:rsidR="008046B9" w:rsidRDefault="008046B9">
          <w:pPr>
            <w:pStyle w:val="TOC3"/>
            <w:tabs>
              <w:tab w:val="right" w:leader="dot" w:pos="9629"/>
            </w:tabs>
            <w:rPr>
              <w:rFonts w:eastAsiaTheme="minorEastAsia"/>
              <w:noProof/>
              <w:sz w:val="24"/>
              <w:szCs w:val="24"/>
              <w:lang w:eastAsia="en-GB"/>
            </w:rPr>
          </w:pPr>
          <w:hyperlink w:anchor="_Toc194551446" w:history="1">
            <w:r w:rsidRPr="00C149CB">
              <w:rPr>
                <w:rStyle w:val="Hyperlink"/>
                <w:noProof/>
              </w:rPr>
              <w:t>4.5.2 Case Study 2: Tesla in Hong Kong</w:t>
            </w:r>
            <w:r>
              <w:rPr>
                <w:noProof/>
                <w:webHidden/>
              </w:rPr>
              <w:tab/>
            </w:r>
            <w:r>
              <w:rPr>
                <w:noProof/>
                <w:webHidden/>
              </w:rPr>
              <w:fldChar w:fldCharType="begin"/>
            </w:r>
            <w:r>
              <w:rPr>
                <w:noProof/>
                <w:webHidden/>
              </w:rPr>
              <w:instrText xml:space="preserve"> PAGEREF _Toc194551446 \h </w:instrText>
            </w:r>
            <w:r>
              <w:rPr>
                <w:noProof/>
                <w:webHidden/>
              </w:rPr>
            </w:r>
            <w:r>
              <w:rPr>
                <w:noProof/>
                <w:webHidden/>
              </w:rPr>
              <w:fldChar w:fldCharType="separate"/>
            </w:r>
            <w:r>
              <w:rPr>
                <w:noProof/>
                <w:webHidden/>
              </w:rPr>
              <w:t>21</w:t>
            </w:r>
            <w:r>
              <w:rPr>
                <w:noProof/>
                <w:webHidden/>
              </w:rPr>
              <w:fldChar w:fldCharType="end"/>
            </w:r>
          </w:hyperlink>
        </w:p>
        <w:p w14:paraId="29B2E7B5" w14:textId="2942048B" w:rsidR="008046B9" w:rsidRDefault="008046B9">
          <w:pPr>
            <w:pStyle w:val="TOC2"/>
            <w:tabs>
              <w:tab w:val="right" w:leader="dot" w:pos="9629"/>
            </w:tabs>
            <w:rPr>
              <w:rFonts w:eastAsiaTheme="minorEastAsia"/>
              <w:noProof/>
              <w:sz w:val="24"/>
              <w:szCs w:val="24"/>
              <w:lang w:eastAsia="en-GB"/>
            </w:rPr>
          </w:pPr>
          <w:hyperlink w:anchor="_Toc194551447" w:history="1">
            <w:r w:rsidRPr="00C149CB">
              <w:rPr>
                <w:rStyle w:val="Hyperlink"/>
                <w:noProof/>
              </w:rPr>
              <w:t>4.6. Findings and Discussion</w:t>
            </w:r>
            <w:r>
              <w:rPr>
                <w:noProof/>
                <w:webHidden/>
              </w:rPr>
              <w:tab/>
            </w:r>
            <w:r>
              <w:rPr>
                <w:noProof/>
                <w:webHidden/>
              </w:rPr>
              <w:fldChar w:fldCharType="begin"/>
            </w:r>
            <w:r>
              <w:rPr>
                <w:noProof/>
                <w:webHidden/>
              </w:rPr>
              <w:instrText xml:space="preserve"> PAGEREF _Toc194551447 \h </w:instrText>
            </w:r>
            <w:r>
              <w:rPr>
                <w:noProof/>
                <w:webHidden/>
              </w:rPr>
            </w:r>
            <w:r>
              <w:rPr>
                <w:noProof/>
                <w:webHidden/>
              </w:rPr>
              <w:fldChar w:fldCharType="separate"/>
            </w:r>
            <w:r>
              <w:rPr>
                <w:noProof/>
                <w:webHidden/>
              </w:rPr>
              <w:t>21</w:t>
            </w:r>
            <w:r>
              <w:rPr>
                <w:noProof/>
                <w:webHidden/>
              </w:rPr>
              <w:fldChar w:fldCharType="end"/>
            </w:r>
          </w:hyperlink>
        </w:p>
        <w:p w14:paraId="4F6FC69F" w14:textId="02ACEF01" w:rsidR="008046B9" w:rsidRDefault="008046B9">
          <w:pPr>
            <w:pStyle w:val="TOC3"/>
            <w:tabs>
              <w:tab w:val="right" w:leader="dot" w:pos="9629"/>
            </w:tabs>
            <w:rPr>
              <w:rFonts w:eastAsiaTheme="minorEastAsia"/>
              <w:noProof/>
              <w:sz w:val="24"/>
              <w:szCs w:val="24"/>
              <w:lang w:eastAsia="en-GB"/>
            </w:rPr>
          </w:pPr>
          <w:hyperlink w:anchor="_Toc194551448" w:history="1">
            <w:r w:rsidRPr="00C149CB">
              <w:rPr>
                <w:rStyle w:val="Hyperlink"/>
                <w:noProof/>
              </w:rPr>
              <w:t>4.6.1 Confirmation or Rejection of Hypotheses</w:t>
            </w:r>
            <w:r>
              <w:rPr>
                <w:noProof/>
                <w:webHidden/>
              </w:rPr>
              <w:tab/>
            </w:r>
            <w:r>
              <w:rPr>
                <w:noProof/>
                <w:webHidden/>
              </w:rPr>
              <w:fldChar w:fldCharType="begin"/>
            </w:r>
            <w:r>
              <w:rPr>
                <w:noProof/>
                <w:webHidden/>
              </w:rPr>
              <w:instrText xml:space="preserve"> PAGEREF _Toc194551448 \h </w:instrText>
            </w:r>
            <w:r>
              <w:rPr>
                <w:noProof/>
                <w:webHidden/>
              </w:rPr>
            </w:r>
            <w:r>
              <w:rPr>
                <w:noProof/>
                <w:webHidden/>
              </w:rPr>
              <w:fldChar w:fldCharType="separate"/>
            </w:r>
            <w:r>
              <w:rPr>
                <w:noProof/>
                <w:webHidden/>
              </w:rPr>
              <w:t>21</w:t>
            </w:r>
            <w:r>
              <w:rPr>
                <w:noProof/>
                <w:webHidden/>
              </w:rPr>
              <w:fldChar w:fldCharType="end"/>
            </w:r>
          </w:hyperlink>
        </w:p>
        <w:p w14:paraId="0E23A0A0" w14:textId="28D72FAD" w:rsidR="008046B9" w:rsidRDefault="008046B9">
          <w:pPr>
            <w:pStyle w:val="TOC3"/>
            <w:tabs>
              <w:tab w:val="right" w:leader="dot" w:pos="9629"/>
            </w:tabs>
            <w:rPr>
              <w:rFonts w:eastAsiaTheme="minorEastAsia"/>
              <w:noProof/>
              <w:sz w:val="24"/>
              <w:szCs w:val="24"/>
              <w:lang w:eastAsia="en-GB"/>
            </w:rPr>
          </w:pPr>
          <w:hyperlink w:anchor="_Toc194551449" w:history="1">
            <w:r w:rsidRPr="00C149CB">
              <w:rPr>
                <w:rStyle w:val="Hyperlink"/>
                <w:noProof/>
              </w:rPr>
              <w:t>4.6.2. Key Insights from Data Analysis</w:t>
            </w:r>
            <w:r>
              <w:rPr>
                <w:noProof/>
                <w:webHidden/>
              </w:rPr>
              <w:tab/>
            </w:r>
            <w:r>
              <w:rPr>
                <w:noProof/>
                <w:webHidden/>
              </w:rPr>
              <w:fldChar w:fldCharType="begin"/>
            </w:r>
            <w:r>
              <w:rPr>
                <w:noProof/>
                <w:webHidden/>
              </w:rPr>
              <w:instrText xml:space="preserve"> PAGEREF _Toc194551449 \h </w:instrText>
            </w:r>
            <w:r>
              <w:rPr>
                <w:noProof/>
                <w:webHidden/>
              </w:rPr>
            </w:r>
            <w:r>
              <w:rPr>
                <w:noProof/>
                <w:webHidden/>
              </w:rPr>
              <w:fldChar w:fldCharType="separate"/>
            </w:r>
            <w:r>
              <w:rPr>
                <w:noProof/>
                <w:webHidden/>
              </w:rPr>
              <w:t>23</w:t>
            </w:r>
            <w:r>
              <w:rPr>
                <w:noProof/>
                <w:webHidden/>
              </w:rPr>
              <w:fldChar w:fldCharType="end"/>
            </w:r>
          </w:hyperlink>
        </w:p>
        <w:p w14:paraId="07D5CBF5" w14:textId="7DB2223F" w:rsidR="008046B9" w:rsidRDefault="008046B9">
          <w:pPr>
            <w:pStyle w:val="TOC3"/>
            <w:tabs>
              <w:tab w:val="right" w:leader="dot" w:pos="9629"/>
            </w:tabs>
            <w:rPr>
              <w:rFonts w:eastAsiaTheme="minorEastAsia"/>
              <w:noProof/>
              <w:sz w:val="24"/>
              <w:szCs w:val="24"/>
              <w:lang w:eastAsia="en-GB"/>
            </w:rPr>
          </w:pPr>
          <w:hyperlink w:anchor="_Toc194551450" w:history="1">
            <w:r w:rsidRPr="00C149CB">
              <w:rPr>
                <w:rStyle w:val="Hyperlink"/>
                <w:noProof/>
              </w:rPr>
              <w:t>4.6.3. Implications for Foreign Businesses</w:t>
            </w:r>
            <w:r>
              <w:rPr>
                <w:noProof/>
                <w:webHidden/>
              </w:rPr>
              <w:tab/>
            </w:r>
            <w:r>
              <w:rPr>
                <w:noProof/>
                <w:webHidden/>
              </w:rPr>
              <w:fldChar w:fldCharType="begin"/>
            </w:r>
            <w:r>
              <w:rPr>
                <w:noProof/>
                <w:webHidden/>
              </w:rPr>
              <w:instrText xml:space="preserve"> PAGEREF _Toc194551450 \h </w:instrText>
            </w:r>
            <w:r>
              <w:rPr>
                <w:noProof/>
                <w:webHidden/>
              </w:rPr>
            </w:r>
            <w:r>
              <w:rPr>
                <w:noProof/>
                <w:webHidden/>
              </w:rPr>
              <w:fldChar w:fldCharType="separate"/>
            </w:r>
            <w:r>
              <w:rPr>
                <w:noProof/>
                <w:webHidden/>
              </w:rPr>
              <w:t>23</w:t>
            </w:r>
            <w:r>
              <w:rPr>
                <w:noProof/>
                <w:webHidden/>
              </w:rPr>
              <w:fldChar w:fldCharType="end"/>
            </w:r>
          </w:hyperlink>
        </w:p>
        <w:p w14:paraId="2FFE2177" w14:textId="4C0182D0" w:rsidR="008046B9" w:rsidRDefault="008046B9">
          <w:pPr>
            <w:pStyle w:val="TOC3"/>
            <w:tabs>
              <w:tab w:val="right" w:leader="dot" w:pos="9629"/>
            </w:tabs>
            <w:rPr>
              <w:rFonts w:eastAsiaTheme="minorEastAsia"/>
              <w:noProof/>
              <w:sz w:val="24"/>
              <w:szCs w:val="24"/>
              <w:lang w:eastAsia="en-GB"/>
            </w:rPr>
          </w:pPr>
          <w:hyperlink w:anchor="_Toc194551451" w:history="1">
            <w:r w:rsidRPr="00C149CB">
              <w:rPr>
                <w:rStyle w:val="Hyperlink"/>
                <w:noProof/>
              </w:rPr>
              <w:t>4.6.4. Conclusion</w:t>
            </w:r>
            <w:r>
              <w:rPr>
                <w:noProof/>
                <w:webHidden/>
              </w:rPr>
              <w:tab/>
            </w:r>
            <w:r>
              <w:rPr>
                <w:noProof/>
                <w:webHidden/>
              </w:rPr>
              <w:fldChar w:fldCharType="begin"/>
            </w:r>
            <w:r>
              <w:rPr>
                <w:noProof/>
                <w:webHidden/>
              </w:rPr>
              <w:instrText xml:space="preserve"> PAGEREF _Toc194551451 \h </w:instrText>
            </w:r>
            <w:r>
              <w:rPr>
                <w:noProof/>
                <w:webHidden/>
              </w:rPr>
            </w:r>
            <w:r>
              <w:rPr>
                <w:noProof/>
                <w:webHidden/>
              </w:rPr>
              <w:fldChar w:fldCharType="separate"/>
            </w:r>
            <w:r>
              <w:rPr>
                <w:noProof/>
                <w:webHidden/>
              </w:rPr>
              <w:t>24</w:t>
            </w:r>
            <w:r>
              <w:rPr>
                <w:noProof/>
                <w:webHidden/>
              </w:rPr>
              <w:fldChar w:fldCharType="end"/>
            </w:r>
          </w:hyperlink>
        </w:p>
        <w:p w14:paraId="43569332" w14:textId="2EFA3828" w:rsidR="008046B9" w:rsidRDefault="008046B9">
          <w:pPr>
            <w:pStyle w:val="TOC1"/>
            <w:tabs>
              <w:tab w:val="left" w:pos="440"/>
              <w:tab w:val="right" w:leader="dot" w:pos="9629"/>
            </w:tabs>
            <w:rPr>
              <w:rFonts w:eastAsiaTheme="minorEastAsia"/>
              <w:noProof/>
              <w:sz w:val="24"/>
              <w:szCs w:val="24"/>
              <w:lang w:eastAsia="en-GB"/>
            </w:rPr>
          </w:pPr>
          <w:hyperlink w:anchor="_Toc194551452" w:history="1">
            <w:r w:rsidRPr="00C149CB">
              <w:rPr>
                <w:rStyle w:val="Hyperlink"/>
                <w:noProof/>
              </w:rPr>
              <w:t>5.</w:t>
            </w:r>
            <w:r>
              <w:rPr>
                <w:rFonts w:eastAsiaTheme="minorEastAsia"/>
                <w:noProof/>
                <w:sz w:val="24"/>
                <w:szCs w:val="24"/>
                <w:lang w:eastAsia="en-GB"/>
              </w:rPr>
              <w:tab/>
            </w:r>
            <w:r w:rsidRPr="00C149CB">
              <w:rPr>
                <w:rStyle w:val="Hyperlink"/>
                <w:noProof/>
              </w:rPr>
              <w:t>Conclusion, Recommendations, Implications, Limitations, and Future Research</w:t>
            </w:r>
            <w:r>
              <w:rPr>
                <w:noProof/>
                <w:webHidden/>
              </w:rPr>
              <w:tab/>
            </w:r>
            <w:r>
              <w:rPr>
                <w:noProof/>
                <w:webHidden/>
              </w:rPr>
              <w:fldChar w:fldCharType="begin"/>
            </w:r>
            <w:r>
              <w:rPr>
                <w:noProof/>
                <w:webHidden/>
              </w:rPr>
              <w:instrText xml:space="preserve"> PAGEREF _Toc194551452 \h </w:instrText>
            </w:r>
            <w:r>
              <w:rPr>
                <w:noProof/>
                <w:webHidden/>
              </w:rPr>
            </w:r>
            <w:r>
              <w:rPr>
                <w:noProof/>
                <w:webHidden/>
              </w:rPr>
              <w:fldChar w:fldCharType="separate"/>
            </w:r>
            <w:r>
              <w:rPr>
                <w:noProof/>
                <w:webHidden/>
              </w:rPr>
              <w:t>25</w:t>
            </w:r>
            <w:r>
              <w:rPr>
                <w:noProof/>
                <w:webHidden/>
              </w:rPr>
              <w:fldChar w:fldCharType="end"/>
            </w:r>
          </w:hyperlink>
        </w:p>
        <w:p w14:paraId="6B59AB25" w14:textId="5633FF71" w:rsidR="008046B9" w:rsidRDefault="008046B9">
          <w:pPr>
            <w:pStyle w:val="TOC2"/>
            <w:tabs>
              <w:tab w:val="right" w:leader="dot" w:pos="9629"/>
            </w:tabs>
            <w:rPr>
              <w:rFonts w:eastAsiaTheme="minorEastAsia"/>
              <w:noProof/>
              <w:sz w:val="24"/>
              <w:szCs w:val="24"/>
              <w:lang w:eastAsia="en-GB"/>
            </w:rPr>
          </w:pPr>
          <w:hyperlink w:anchor="_Toc194551453" w:history="1">
            <w:r w:rsidRPr="00C149CB">
              <w:rPr>
                <w:rStyle w:val="Hyperlink"/>
                <w:noProof/>
              </w:rPr>
              <w:t>Key Findings:</w:t>
            </w:r>
            <w:r>
              <w:rPr>
                <w:noProof/>
                <w:webHidden/>
              </w:rPr>
              <w:tab/>
            </w:r>
            <w:r>
              <w:rPr>
                <w:noProof/>
                <w:webHidden/>
              </w:rPr>
              <w:fldChar w:fldCharType="begin"/>
            </w:r>
            <w:r>
              <w:rPr>
                <w:noProof/>
                <w:webHidden/>
              </w:rPr>
              <w:instrText xml:space="preserve"> PAGEREF _Toc194551453 \h </w:instrText>
            </w:r>
            <w:r>
              <w:rPr>
                <w:noProof/>
                <w:webHidden/>
              </w:rPr>
            </w:r>
            <w:r>
              <w:rPr>
                <w:noProof/>
                <w:webHidden/>
              </w:rPr>
              <w:fldChar w:fldCharType="separate"/>
            </w:r>
            <w:r>
              <w:rPr>
                <w:noProof/>
                <w:webHidden/>
              </w:rPr>
              <w:t>25</w:t>
            </w:r>
            <w:r>
              <w:rPr>
                <w:noProof/>
                <w:webHidden/>
              </w:rPr>
              <w:fldChar w:fldCharType="end"/>
            </w:r>
          </w:hyperlink>
        </w:p>
        <w:p w14:paraId="6A079D4E" w14:textId="317BB2C6" w:rsidR="008046B9" w:rsidRDefault="008046B9">
          <w:pPr>
            <w:pStyle w:val="TOC2"/>
            <w:tabs>
              <w:tab w:val="right" w:leader="dot" w:pos="9629"/>
            </w:tabs>
            <w:rPr>
              <w:rFonts w:eastAsiaTheme="minorEastAsia"/>
              <w:noProof/>
              <w:sz w:val="24"/>
              <w:szCs w:val="24"/>
              <w:lang w:eastAsia="en-GB"/>
            </w:rPr>
          </w:pPr>
          <w:hyperlink w:anchor="_Toc194551454" w:history="1">
            <w:r w:rsidRPr="00C149CB">
              <w:rPr>
                <w:rStyle w:val="Hyperlink"/>
                <w:noProof/>
              </w:rPr>
              <w:t>Recommendations:</w:t>
            </w:r>
            <w:r>
              <w:rPr>
                <w:noProof/>
                <w:webHidden/>
              </w:rPr>
              <w:tab/>
            </w:r>
            <w:r>
              <w:rPr>
                <w:noProof/>
                <w:webHidden/>
              </w:rPr>
              <w:fldChar w:fldCharType="begin"/>
            </w:r>
            <w:r>
              <w:rPr>
                <w:noProof/>
                <w:webHidden/>
              </w:rPr>
              <w:instrText xml:space="preserve"> PAGEREF _Toc194551454 \h </w:instrText>
            </w:r>
            <w:r>
              <w:rPr>
                <w:noProof/>
                <w:webHidden/>
              </w:rPr>
            </w:r>
            <w:r>
              <w:rPr>
                <w:noProof/>
                <w:webHidden/>
              </w:rPr>
              <w:fldChar w:fldCharType="separate"/>
            </w:r>
            <w:r>
              <w:rPr>
                <w:noProof/>
                <w:webHidden/>
              </w:rPr>
              <w:t>25</w:t>
            </w:r>
            <w:r>
              <w:rPr>
                <w:noProof/>
                <w:webHidden/>
              </w:rPr>
              <w:fldChar w:fldCharType="end"/>
            </w:r>
          </w:hyperlink>
        </w:p>
        <w:p w14:paraId="412AA4B5" w14:textId="75325DF1" w:rsidR="008046B9" w:rsidRDefault="008046B9">
          <w:pPr>
            <w:pStyle w:val="TOC2"/>
            <w:tabs>
              <w:tab w:val="right" w:leader="dot" w:pos="9629"/>
            </w:tabs>
            <w:rPr>
              <w:rFonts w:eastAsiaTheme="minorEastAsia"/>
              <w:noProof/>
              <w:sz w:val="24"/>
              <w:szCs w:val="24"/>
              <w:lang w:eastAsia="en-GB"/>
            </w:rPr>
          </w:pPr>
          <w:hyperlink w:anchor="_Toc194551455" w:history="1">
            <w:r w:rsidRPr="00C149CB">
              <w:rPr>
                <w:rStyle w:val="Hyperlink"/>
                <w:noProof/>
              </w:rPr>
              <w:t>Implications:</w:t>
            </w:r>
            <w:r>
              <w:rPr>
                <w:noProof/>
                <w:webHidden/>
              </w:rPr>
              <w:tab/>
            </w:r>
            <w:r>
              <w:rPr>
                <w:noProof/>
                <w:webHidden/>
              </w:rPr>
              <w:fldChar w:fldCharType="begin"/>
            </w:r>
            <w:r>
              <w:rPr>
                <w:noProof/>
                <w:webHidden/>
              </w:rPr>
              <w:instrText xml:space="preserve"> PAGEREF _Toc194551455 \h </w:instrText>
            </w:r>
            <w:r>
              <w:rPr>
                <w:noProof/>
                <w:webHidden/>
              </w:rPr>
            </w:r>
            <w:r>
              <w:rPr>
                <w:noProof/>
                <w:webHidden/>
              </w:rPr>
              <w:fldChar w:fldCharType="separate"/>
            </w:r>
            <w:r>
              <w:rPr>
                <w:noProof/>
                <w:webHidden/>
              </w:rPr>
              <w:t>26</w:t>
            </w:r>
            <w:r>
              <w:rPr>
                <w:noProof/>
                <w:webHidden/>
              </w:rPr>
              <w:fldChar w:fldCharType="end"/>
            </w:r>
          </w:hyperlink>
        </w:p>
        <w:p w14:paraId="1BFD98C3" w14:textId="426D398F" w:rsidR="008046B9" w:rsidRDefault="008046B9">
          <w:pPr>
            <w:pStyle w:val="TOC2"/>
            <w:tabs>
              <w:tab w:val="right" w:leader="dot" w:pos="9629"/>
            </w:tabs>
            <w:rPr>
              <w:rFonts w:eastAsiaTheme="minorEastAsia"/>
              <w:noProof/>
              <w:sz w:val="24"/>
              <w:szCs w:val="24"/>
              <w:lang w:eastAsia="en-GB"/>
            </w:rPr>
          </w:pPr>
          <w:hyperlink w:anchor="_Toc194551456" w:history="1">
            <w:r w:rsidRPr="00C149CB">
              <w:rPr>
                <w:rStyle w:val="Hyperlink"/>
                <w:noProof/>
              </w:rPr>
              <w:t>Limitations:</w:t>
            </w:r>
            <w:r>
              <w:rPr>
                <w:noProof/>
                <w:webHidden/>
              </w:rPr>
              <w:tab/>
            </w:r>
            <w:r>
              <w:rPr>
                <w:noProof/>
                <w:webHidden/>
              </w:rPr>
              <w:fldChar w:fldCharType="begin"/>
            </w:r>
            <w:r>
              <w:rPr>
                <w:noProof/>
                <w:webHidden/>
              </w:rPr>
              <w:instrText xml:space="preserve"> PAGEREF _Toc194551456 \h </w:instrText>
            </w:r>
            <w:r>
              <w:rPr>
                <w:noProof/>
                <w:webHidden/>
              </w:rPr>
            </w:r>
            <w:r>
              <w:rPr>
                <w:noProof/>
                <w:webHidden/>
              </w:rPr>
              <w:fldChar w:fldCharType="separate"/>
            </w:r>
            <w:r>
              <w:rPr>
                <w:noProof/>
                <w:webHidden/>
              </w:rPr>
              <w:t>26</w:t>
            </w:r>
            <w:r>
              <w:rPr>
                <w:noProof/>
                <w:webHidden/>
              </w:rPr>
              <w:fldChar w:fldCharType="end"/>
            </w:r>
          </w:hyperlink>
        </w:p>
        <w:p w14:paraId="6ADA1E9E" w14:textId="6493F892" w:rsidR="008046B9" w:rsidRDefault="008046B9">
          <w:pPr>
            <w:pStyle w:val="TOC2"/>
            <w:tabs>
              <w:tab w:val="right" w:leader="dot" w:pos="9629"/>
            </w:tabs>
            <w:rPr>
              <w:rFonts w:eastAsiaTheme="minorEastAsia"/>
              <w:noProof/>
              <w:sz w:val="24"/>
              <w:szCs w:val="24"/>
              <w:lang w:eastAsia="en-GB"/>
            </w:rPr>
          </w:pPr>
          <w:hyperlink w:anchor="_Toc194551457" w:history="1">
            <w:r w:rsidRPr="00C149CB">
              <w:rPr>
                <w:rStyle w:val="Hyperlink"/>
                <w:noProof/>
              </w:rPr>
              <w:t>Future Research:</w:t>
            </w:r>
            <w:r>
              <w:rPr>
                <w:noProof/>
                <w:webHidden/>
              </w:rPr>
              <w:tab/>
            </w:r>
            <w:r>
              <w:rPr>
                <w:noProof/>
                <w:webHidden/>
              </w:rPr>
              <w:fldChar w:fldCharType="begin"/>
            </w:r>
            <w:r>
              <w:rPr>
                <w:noProof/>
                <w:webHidden/>
              </w:rPr>
              <w:instrText xml:space="preserve"> PAGEREF _Toc194551457 \h </w:instrText>
            </w:r>
            <w:r>
              <w:rPr>
                <w:noProof/>
                <w:webHidden/>
              </w:rPr>
            </w:r>
            <w:r>
              <w:rPr>
                <w:noProof/>
                <w:webHidden/>
              </w:rPr>
              <w:fldChar w:fldCharType="separate"/>
            </w:r>
            <w:r>
              <w:rPr>
                <w:noProof/>
                <w:webHidden/>
              </w:rPr>
              <w:t>26</w:t>
            </w:r>
            <w:r>
              <w:rPr>
                <w:noProof/>
                <w:webHidden/>
              </w:rPr>
              <w:fldChar w:fldCharType="end"/>
            </w:r>
          </w:hyperlink>
        </w:p>
        <w:p w14:paraId="4CD592ED" w14:textId="753A2AF8" w:rsidR="008046B9" w:rsidRDefault="008046B9">
          <w:pPr>
            <w:pStyle w:val="TOC2"/>
            <w:tabs>
              <w:tab w:val="right" w:leader="dot" w:pos="9629"/>
            </w:tabs>
            <w:rPr>
              <w:rFonts w:eastAsiaTheme="minorEastAsia"/>
              <w:noProof/>
              <w:sz w:val="24"/>
              <w:szCs w:val="24"/>
              <w:lang w:eastAsia="en-GB"/>
            </w:rPr>
          </w:pPr>
          <w:hyperlink w:anchor="_Toc194551458" w:history="1">
            <w:r w:rsidRPr="00C149CB">
              <w:rPr>
                <w:rStyle w:val="Hyperlink"/>
                <w:noProof/>
              </w:rPr>
              <w:t>Final Thoughts:</w:t>
            </w:r>
            <w:r>
              <w:rPr>
                <w:noProof/>
                <w:webHidden/>
              </w:rPr>
              <w:tab/>
            </w:r>
            <w:r>
              <w:rPr>
                <w:noProof/>
                <w:webHidden/>
              </w:rPr>
              <w:fldChar w:fldCharType="begin"/>
            </w:r>
            <w:r>
              <w:rPr>
                <w:noProof/>
                <w:webHidden/>
              </w:rPr>
              <w:instrText xml:space="preserve"> PAGEREF _Toc194551458 \h </w:instrText>
            </w:r>
            <w:r>
              <w:rPr>
                <w:noProof/>
                <w:webHidden/>
              </w:rPr>
            </w:r>
            <w:r>
              <w:rPr>
                <w:noProof/>
                <w:webHidden/>
              </w:rPr>
              <w:fldChar w:fldCharType="separate"/>
            </w:r>
            <w:r>
              <w:rPr>
                <w:noProof/>
                <w:webHidden/>
              </w:rPr>
              <w:t>27</w:t>
            </w:r>
            <w:r>
              <w:rPr>
                <w:noProof/>
                <w:webHidden/>
              </w:rPr>
              <w:fldChar w:fldCharType="end"/>
            </w:r>
          </w:hyperlink>
        </w:p>
        <w:p w14:paraId="38726DEF" w14:textId="0D67FB7B" w:rsidR="008046B9" w:rsidRDefault="008046B9">
          <w:pPr>
            <w:pStyle w:val="TOC1"/>
            <w:tabs>
              <w:tab w:val="left" w:pos="440"/>
              <w:tab w:val="right" w:leader="dot" w:pos="9629"/>
            </w:tabs>
            <w:rPr>
              <w:rFonts w:eastAsiaTheme="minorEastAsia"/>
              <w:noProof/>
              <w:sz w:val="24"/>
              <w:szCs w:val="24"/>
              <w:lang w:eastAsia="en-GB"/>
            </w:rPr>
          </w:pPr>
          <w:hyperlink w:anchor="_Toc194551459" w:history="1">
            <w:r w:rsidRPr="00C149CB">
              <w:rPr>
                <w:rStyle w:val="Hyperlink"/>
                <w:noProof/>
              </w:rPr>
              <w:t>6.</w:t>
            </w:r>
            <w:r>
              <w:rPr>
                <w:rFonts w:eastAsiaTheme="minorEastAsia"/>
                <w:noProof/>
                <w:sz w:val="24"/>
                <w:szCs w:val="24"/>
                <w:lang w:eastAsia="en-GB"/>
              </w:rPr>
              <w:tab/>
            </w:r>
            <w:r w:rsidRPr="00C149CB">
              <w:rPr>
                <w:rStyle w:val="Hyperlink"/>
                <w:noProof/>
              </w:rPr>
              <w:t>Reference List</w:t>
            </w:r>
            <w:r>
              <w:rPr>
                <w:noProof/>
                <w:webHidden/>
              </w:rPr>
              <w:tab/>
            </w:r>
            <w:r>
              <w:rPr>
                <w:noProof/>
                <w:webHidden/>
              </w:rPr>
              <w:fldChar w:fldCharType="begin"/>
            </w:r>
            <w:r>
              <w:rPr>
                <w:noProof/>
                <w:webHidden/>
              </w:rPr>
              <w:instrText xml:space="preserve"> PAGEREF _Toc194551459 \h </w:instrText>
            </w:r>
            <w:r>
              <w:rPr>
                <w:noProof/>
                <w:webHidden/>
              </w:rPr>
            </w:r>
            <w:r>
              <w:rPr>
                <w:noProof/>
                <w:webHidden/>
              </w:rPr>
              <w:fldChar w:fldCharType="separate"/>
            </w:r>
            <w:r>
              <w:rPr>
                <w:noProof/>
                <w:webHidden/>
              </w:rPr>
              <w:t>28</w:t>
            </w:r>
            <w:r>
              <w:rPr>
                <w:noProof/>
                <w:webHidden/>
              </w:rPr>
              <w:fldChar w:fldCharType="end"/>
            </w:r>
          </w:hyperlink>
        </w:p>
        <w:p w14:paraId="39A96796" w14:textId="18F02984" w:rsidR="00C0622A" w:rsidRDefault="00C0622A" w:rsidP="000E56A8">
          <w:pPr>
            <w:jc w:val="both"/>
          </w:pPr>
          <w:r>
            <w:rPr>
              <w:b/>
              <w:bCs/>
              <w:noProof/>
            </w:rPr>
            <w:fldChar w:fldCharType="end"/>
          </w:r>
        </w:p>
      </w:sdtContent>
    </w:sdt>
    <w:p w14:paraId="6AFC3F74" w14:textId="77777777" w:rsidR="00C0622A" w:rsidRDefault="00C0622A" w:rsidP="00481EBF">
      <w:pPr>
        <w:pStyle w:val="Heading1"/>
        <w:numPr>
          <w:ilvl w:val="0"/>
          <w:numId w:val="0"/>
        </w:numPr>
        <w:ind w:left="360"/>
      </w:pPr>
    </w:p>
    <w:p w14:paraId="6349B7F8" w14:textId="77777777" w:rsidR="00C0622A" w:rsidRDefault="00C0622A" w:rsidP="000E56A8">
      <w:pPr>
        <w:jc w:val="both"/>
      </w:pPr>
    </w:p>
    <w:p w14:paraId="552ACD14" w14:textId="77777777" w:rsidR="00C0622A" w:rsidRDefault="00C0622A" w:rsidP="000E56A8">
      <w:pPr>
        <w:jc w:val="both"/>
      </w:pPr>
    </w:p>
    <w:p w14:paraId="37DDF78D" w14:textId="77777777" w:rsidR="00C0622A" w:rsidRDefault="00C0622A" w:rsidP="000E56A8">
      <w:pPr>
        <w:jc w:val="both"/>
      </w:pPr>
    </w:p>
    <w:p w14:paraId="615EAE09" w14:textId="77777777" w:rsidR="00C0622A" w:rsidRDefault="00C0622A" w:rsidP="000E56A8">
      <w:pPr>
        <w:jc w:val="both"/>
      </w:pPr>
    </w:p>
    <w:p w14:paraId="3945D33D" w14:textId="77777777" w:rsidR="00C0622A" w:rsidRDefault="00C0622A" w:rsidP="000E56A8">
      <w:pPr>
        <w:jc w:val="both"/>
      </w:pPr>
    </w:p>
    <w:p w14:paraId="1D601706" w14:textId="77777777" w:rsidR="00C0622A" w:rsidRDefault="00C0622A" w:rsidP="000E56A8">
      <w:pPr>
        <w:jc w:val="both"/>
      </w:pPr>
    </w:p>
    <w:p w14:paraId="09D23BD4" w14:textId="77777777" w:rsidR="00C0622A" w:rsidRDefault="00C0622A" w:rsidP="000E56A8">
      <w:pPr>
        <w:jc w:val="both"/>
      </w:pPr>
    </w:p>
    <w:p w14:paraId="29A737DD" w14:textId="77777777" w:rsidR="00C0622A" w:rsidRDefault="00C0622A" w:rsidP="000E56A8">
      <w:pPr>
        <w:jc w:val="both"/>
      </w:pPr>
    </w:p>
    <w:p w14:paraId="6F3E5CC1" w14:textId="77777777" w:rsidR="00C0622A" w:rsidRDefault="00C0622A" w:rsidP="000E56A8">
      <w:pPr>
        <w:jc w:val="both"/>
      </w:pPr>
    </w:p>
    <w:p w14:paraId="74B9F8BD" w14:textId="77777777" w:rsidR="00C0622A" w:rsidRDefault="00C0622A" w:rsidP="000E56A8">
      <w:pPr>
        <w:jc w:val="both"/>
      </w:pPr>
    </w:p>
    <w:p w14:paraId="6900E345" w14:textId="77777777" w:rsidR="00C0622A" w:rsidRDefault="00C0622A" w:rsidP="000E56A8">
      <w:pPr>
        <w:jc w:val="both"/>
      </w:pPr>
    </w:p>
    <w:p w14:paraId="3FB7AF2C" w14:textId="77777777" w:rsidR="00C0622A" w:rsidRDefault="00C0622A" w:rsidP="000E56A8">
      <w:pPr>
        <w:jc w:val="both"/>
      </w:pPr>
    </w:p>
    <w:p w14:paraId="4A65D1FE" w14:textId="77777777" w:rsidR="00C0622A" w:rsidRDefault="00C0622A" w:rsidP="000E56A8">
      <w:pPr>
        <w:jc w:val="both"/>
      </w:pPr>
    </w:p>
    <w:p w14:paraId="64252BC5" w14:textId="77777777" w:rsidR="008046B9" w:rsidRDefault="008046B9" w:rsidP="000E56A8">
      <w:pPr>
        <w:jc w:val="both"/>
      </w:pPr>
    </w:p>
    <w:p w14:paraId="6D5BACA3" w14:textId="77777777" w:rsidR="00C0622A" w:rsidRDefault="00C0622A" w:rsidP="000E56A8">
      <w:pPr>
        <w:jc w:val="both"/>
      </w:pPr>
    </w:p>
    <w:p w14:paraId="5339E165" w14:textId="77777777" w:rsidR="00C0622A" w:rsidRDefault="00C0622A" w:rsidP="000E56A8">
      <w:pPr>
        <w:jc w:val="both"/>
      </w:pPr>
    </w:p>
    <w:p w14:paraId="3A77F97F" w14:textId="77777777" w:rsidR="00C0622A" w:rsidRPr="00C0622A" w:rsidRDefault="00C0622A" w:rsidP="000E56A8">
      <w:pPr>
        <w:jc w:val="both"/>
      </w:pPr>
    </w:p>
    <w:p w14:paraId="7F4A6D4D" w14:textId="7CB951FA" w:rsidR="002C37FC" w:rsidRPr="0004087F" w:rsidRDefault="002C37FC" w:rsidP="00481EBF">
      <w:pPr>
        <w:pStyle w:val="Heading1"/>
        <w:numPr>
          <w:ilvl w:val="0"/>
          <w:numId w:val="51"/>
        </w:numPr>
      </w:pPr>
      <w:bookmarkStart w:id="1" w:name="_Toc194551413"/>
      <w:r w:rsidRPr="0004087F">
        <w:lastRenderedPageBreak/>
        <w:t>Introduction</w:t>
      </w:r>
      <w:bookmarkEnd w:id="0"/>
      <w:bookmarkEnd w:id="1"/>
    </w:p>
    <w:p w14:paraId="6361DB74" w14:textId="09D5992C" w:rsidR="00F94396" w:rsidRPr="0004087F" w:rsidRDefault="00F94396" w:rsidP="000E56A8">
      <w:pPr>
        <w:pStyle w:val="Heading2"/>
        <w:jc w:val="both"/>
      </w:pPr>
      <w:bookmarkStart w:id="2" w:name="_Toc194551414"/>
      <w:r w:rsidRPr="0004087F">
        <w:t>1.1 Introduction and background of research</w:t>
      </w:r>
      <w:bookmarkEnd w:id="2"/>
    </w:p>
    <w:p w14:paraId="587453CF" w14:textId="68D5AF9B" w:rsidR="00C8503E" w:rsidRPr="0004087F" w:rsidRDefault="00C8503E" w:rsidP="000E56A8">
      <w:pPr>
        <w:spacing w:after="0" w:line="360" w:lineRule="auto"/>
        <w:ind w:firstLine="142"/>
        <w:jc w:val="both"/>
        <w:rPr>
          <w:rFonts w:ascii="Arial" w:eastAsiaTheme="majorEastAsia" w:hAnsi="Arial" w:cs="Arial"/>
          <w:sz w:val="24"/>
          <w:szCs w:val="24"/>
        </w:rPr>
      </w:pPr>
      <w:r w:rsidRPr="0004087F">
        <w:rPr>
          <w:rFonts w:ascii="Arial" w:hAnsi="Arial" w:cs="Arial"/>
          <w:sz w:val="24"/>
          <w:szCs w:val="24"/>
        </w:rPr>
        <w:t>T</w:t>
      </w:r>
      <w:r w:rsidRPr="0004087F">
        <w:rPr>
          <w:rFonts w:ascii="Arial" w:eastAsiaTheme="majorEastAsia" w:hAnsi="Arial" w:cs="Arial"/>
          <w:sz w:val="24"/>
          <w:szCs w:val="24"/>
        </w:rPr>
        <w:t xml:space="preserve">he global business environment is increasingly shaped by complex regulatory landscapes, significantly influencing foreign businesses' international expansion decisions. Hong Kong, historically a prominent global financial hub, has thrived due to its strategic location, robust financial infrastructure, and open trade policies, attracting considerable foreign investment. However, escalating geopolitical tensions, economic volatility, and the recent COVID-19 pandemic have cast shadows over Hong Kong's business environment, raising concerns about the impact of its evolving regulatory framework on future foreign investment </w:t>
      </w:r>
      <w:r w:rsidR="00015D8A">
        <w:rPr>
          <w:rFonts w:ascii="Arial" w:eastAsiaTheme="majorEastAsia" w:hAnsi="Arial" w:cs="Arial"/>
          <w:sz w:val="24"/>
          <w:szCs w:val="24"/>
        </w:rPr>
        <w:t>(</w:t>
      </w:r>
      <w:r w:rsidR="00015D8A" w:rsidRPr="00015D8A">
        <w:rPr>
          <w:rFonts w:ascii="Arial" w:eastAsiaTheme="majorEastAsia" w:hAnsi="Arial" w:cs="Arial"/>
          <w:sz w:val="24"/>
          <w:szCs w:val="24"/>
        </w:rPr>
        <w:t>East Asia Forum, 2024; Chan, 2024)</w:t>
      </w:r>
      <w:r w:rsidR="00015D8A">
        <w:rPr>
          <w:rFonts w:ascii="Arial" w:eastAsiaTheme="majorEastAsia" w:hAnsi="Arial" w:cs="Arial"/>
          <w:sz w:val="24"/>
          <w:szCs w:val="24"/>
        </w:rPr>
        <w:t>.</w:t>
      </w:r>
      <w:r w:rsidRPr="00403A09">
        <w:rPr>
          <w:rFonts w:ascii="Arial" w:eastAsiaTheme="majorEastAsia" w:hAnsi="Arial" w:cs="Arial"/>
          <w:color w:val="FF0000"/>
          <w:sz w:val="24"/>
          <w:szCs w:val="24"/>
        </w:rPr>
        <w:t xml:space="preserve"> </w:t>
      </w:r>
      <w:r w:rsidRPr="0004087F">
        <w:rPr>
          <w:rFonts w:ascii="Arial" w:eastAsiaTheme="majorEastAsia" w:hAnsi="Arial" w:cs="Arial"/>
          <w:sz w:val="24"/>
          <w:szCs w:val="24"/>
        </w:rPr>
        <w:t>This dissertation examines the extent to which Hong Kong's regulatory framework encompassing legal, tax, and financial regulations supports or hinders foreign business expansion and how macro-environmental factors influence this process.</w:t>
      </w:r>
    </w:p>
    <w:p w14:paraId="3F21BA64" w14:textId="28C5A131" w:rsidR="00C8503E" w:rsidRPr="0004087F" w:rsidRDefault="00C8503E" w:rsidP="000E56A8">
      <w:pPr>
        <w:spacing w:after="0" w:line="360" w:lineRule="auto"/>
        <w:ind w:firstLine="142"/>
        <w:jc w:val="both"/>
        <w:rPr>
          <w:rFonts w:ascii="Arial" w:eastAsiaTheme="majorEastAsia" w:hAnsi="Arial" w:cs="Arial"/>
          <w:sz w:val="24"/>
          <w:szCs w:val="24"/>
        </w:rPr>
      </w:pPr>
      <w:r w:rsidRPr="0004087F">
        <w:rPr>
          <w:rFonts w:ascii="Arial" w:eastAsiaTheme="majorEastAsia" w:hAnsi="Arial" w:cs="Arial"/>
          <w:sz w:val="24"/>
          <w:szCs w:val="24"/>
        </w:rPr>
        <w:t>This secondary-data based research adopts a mixed-methods approach, combining qualitative and quantitative data analysis. Government publications, industry reports from reputable organizations like the Hong Kong Trade Development Council (HKTDC), and peer-reviewed articles will form the core data sources. Furthermore, case studies of foreign companies operating in Hong Kong will be analysed to provide practical insights into how regulations and macro-environmental factors shape their business strategies and outcomes. This research aims to provide a robust understanding of how regulatory factors affect Hong Kong's business environment, offering strategic insights for companies contemplating expansion into this market.</w:t>
      </w:r>
    </w:p>
    <w:p w14:paraId="0A15AC20" w14:textId="32E0A9AC" w:rsidR="00C8503E" w:rsidRPr="0004087F" w:rsidRDefault="00403A09" w:rsidP="000E56A8">
      <w:pPr>
        <w:spacing w:after="0" w:line="360" w:lineRule="auto"/>
        <w:jc w:val="both"/>
        <w:rPr>
          <w:rFonts w:ascii="Arial" w:hAnsi="Arial" w:cs="Arial"/>
          <w:sz w:val="24"/>
          <w:szCs w:val="24"/>
        </w:rPr>
      </w:pPr>
      <w:r>
        <w:rPr>
          <w:rFonts w:ascii="Arial" w:eastAsiaTheme="majorEastAsia" w:hAnsi="Arial" w:cs="Arial"/>
          <w:sz w:val="24"/>
          <w:szCs w:val="24"/>
        </w:rPr>
        <w:t xml:space="preserve">   </w:t>
      </w:r>
      <w:r w:rsidR="00C8503E" w:rsidRPr="0004087F">
        <w:rPr>
          <w:rFonts w:ascii="Arial" w:eastAsiaTheme="majorEastAsia" w:hAnsi="Arial" w:cs="Arial"/>
          <w:sz w:val="24"/>
          <w:szCs w:val="24"/>
        </w:rPr>
        <w:t xml:space="preserve">Hong Kong's business environment is undergoing a significant transformation, particularly given recent political developments, including the implementation of the National Security Law in 2020 (Davis Polk, 2020). While Hong Kong has traditionally been recognized for its ease of doing business, concerns regarding its long-term viability as a global business hub persist. This dissertation seeks to explore whether the evolving regulatory landscape </w:t>
      </w:r>
      <w:r w:rsidR="00C8503E" w:rsidRPr="0004087F">
        <w:rPr>
          <w:rFonts w:ascii="Arial" w:hAnsi="Arial" w:cs="Arial"/>
          <w:sz w:val="24"/>
          <w:szCs w:val="24"/>
        </w:rPr>
        <w:t>presents new opportunities or significant challenges for foreign companies.</w:t>
      </w:r>
    </w:p>
    <w:p w14:paraId="73E2FE5E" w14:textId="7025E45E" w:rsidR="00C8503E" w:rsidRPr="0004087F" w:rsidRDefault="00F94396" w:rsidP="000E56A8">
      <w:pPr>
        <w:pStyle w:val="Heading2"/>
        <w:numPr>
          <w:ilvl w:val="1"/>
          <w:numId w:val="33"/>
        </w:numPr>
        <w:jc w:val="both"/>
        <w:rPr>
          <w:color w:val="auto"/>
        </w:rPr>
      </w:pPr>
      <w:bookmarkStart w:id="3" w:name="_Toc194551415"/>
      <w:r w:rsidRPr="0004087F">
        <w:t>Study significance</w:t>
      </w:r>
      <w:bookmarkStart w:id="4" w:name="_Toc182945190"/>
      <w:bookmarkEnd w:id="3"/>
    </w:p>
    <w:p w14:paraId="28C1BA5B" w14:textId="5988E5C1" w:rsidR="00C8503E" w:rsidRPr="0004087F" w:rsidRDefault="00C8503E" w:rsidP="000E56A8">
      <w:pPr>
        <w:spacing w:after="0" w:line="360" w:lineRule="auto"/>
        <w:ind w:firstLine="142"/>
        <w:jc w:val="both"/>
        <w:rPr>
          <w:rFonts w:ascii="Arial" w:eastAsiaTheme="majorEastAsia" w:hAnsi="Arial" w:cs="Arial"/>
          <w:sz w:val="24"/>
          <w:szCs w:val="24"/>
        </w:rPr>
      </w:pPr>
      <w:r w:rsidRPr="0004087F">
        <w:rPr>
          <w:rFonts w:ascii="Arial" w:eastAsiaTheme="majorEastAsia" w:hAnsi="Arial" w:cs="Arial"/>
          <w:sz w:val="24"/>
          <w:szCs w:val="24"/>
        </w:rPr>
        <w:t xml:space="preserve">This research holds particular significance due to the ongoing transformation of Hong Kong's business environment, especially considering recent political developments like the implementation of the National Security Law in 2020 (Davis Polk, 2020). While Hong Kong </w:t>
      </w:r>
      <w:r w:rsidRPr="0004087F">
        <w:rPr>
          <w:rFonts w:ascii="Arial" w:eastAsiaTheme="majorEastAsia" w:hAnsi="Arial" w:cs="Arial"/>
          <w:sz w:val="24"/>
          <w:szCs w:val="24"/>
        </w:rPr>
        <w:lastRenderedPageBreak/>
        <w:t>has historically been recognized for its ease of doing business, questions about its long-term viability as a global business hub persist. This dissertation explores whether the evolving regulatory landscape creates new opportunities or challenges for foreign companies. By providing a comprehensive, evidence-based analysis, this research aims to provide valuable insights for policymakers, businesses, and academics seeking to understand and navigate the complexities of Hong Kong's regulatory environment.</w:t>
      </w:r>
    </w:p>
    <w:p w14:paraId="74967D5E" w14:textId="548F9CEC" w:rsidR="002C37FC" w:rsidRPr="0004087F" w:rsidRDefault="002C37FC" w:rsidP="000E56A8">
      <w:pPr>
        <w:pStyle w:val="Heading2"/>
        <w:numPr>
          <w:ilvl w:val="1"/>
          <w:numId w:val="33"/>
        </w:numPr>
        <w:jc w:val="both"/>
      </w:pPr>
      <w:bookmarkStart w:id="5" w:name="_Toc194551416"/>
      <w:r w:rsidRPr="0004087F">
        <w:t>Research Objectives</w:t>
      </w:r>
      <w:r w:rsidR="000E56A8">
        <w:t>:</w:t>
      </w:r>
      <w:bookmarkEnd w:id="5"/>
      <w:r w:rsidRPr="0004087F">
        <w:t xml:space="preserve"> </w:t>
      </w:r>
      <w:bookmarkEnd w:id="4"/>
    </w:p>
    <w:p w14:paraId="4C5471A3" w14:textId="3AB4EC64" w:rsidR="002C37FC" w:rsidRPr="0004087F" w:rsidRDefault="002C37FC" w:rsidP="000E56A8">
      <w:pPr>
        <w:spacing w:after="0" w:line="360" w:lineRule="auto"/>
        <w:ind w:firstLine="142"/>
        <w:jc w:val="both"/>
        <w:rPr>
          <w:rFonts w:ascii="Arial" w:eastAsiaTheme="majorEastAsia" w:hAnsi="Arial" w:cs="Arial"/>
          <w:sz w:val="24"/>
          <w:szCs w:val="24"/>
        </w:rPr>
      </w:pPr>
      <w:r w:rsidRPr="0004087F">
        <w:rPr>
          <w:rFonts w:ascii="Arial" w:eastAsiaTheme="majorEastAsia" w:hAnsi="Arial" w:cs="Arial"/>
          <w:sz w:val="24"/>
          <w:szCs w:val="24"/>
        </w:rPr>
        <w:t xml:space="preserve">This dissertation is </w:t>
      </w:r>
      <w:r w:rsidR="003E0165" w:rsidRPr="0004087F">
        <w:rPr>
          <w:rFonts w:ascii="Arial" w:eastAsiaTheme="majorEastAsia" w:hAnsi="Arial" w:cs="Arial"/>
          <w:sz w:val="24"/>
          <w:szCs w:val="24"/>
        </w:rPr>
        <w:t>centred</w:t>
      </w:r>
      <w:r w:rsidRPr="0004087F">
        <w:rPr>
          <w:rFonts w:ascii="Arial" w:eastAsiaTheme="majorEastAsia" w:hAnsi="Arial" w:cs="Arial"/>
          <w:sz w:val="24"/>
          <w:szCs w:val="24"/>
        </w:rPr>
        <w:t xml:space="preserve"> around three clear research objectives, designed to ensure that the data collection and analysis are both feasible and realistic, utilizing authentic and reliable sources.</w:t>
      </w:r>
    </w:p>
    <w:p w14:paraId="5E986908" w14:textId="77777777" w:rsidR="002C37FC" w:rsidRPr="0004087F" w:rsidRDefault="002C37FC" w:rsidP="000E56A8">
      <w:pPr>
        <w:pStyle w:val="ListParagraph"/>
        <w:numPr>
          <w:ilvl w:val="0"/>
          <w:numId w:val="10"/>
        </w:numPr>
        <w:spacing w:after="0" w:line="360" w:lineRule="auto"/>
        <w:ind w:left="0" w:firstLine="142"/>
        <w:jc w:val="both"/>
        <w:rPr>
          <w:rFonts w:ascii="Arial" w:eastAsiaTheme="majorEastAsia" w:hAnsi="Arial" w:cs="Arial"/>
          <w:sz w:val="24"/>
          <w:szCs w:val="24"/>
        </w:rPr>
      </w:pPr>
      <w:r w:rsidRPr="0004087F">
        <w:rPr>
          <w:rFonts w:ascii="Arial" w:eastAsiaTheme="majorEastAsia" w:hAnsi="Arial" w:cs="Arial"/>
          <w:sz w:val="24"/>
          <w:szCs w:val="24"/>
        </w:rPr>
        <w:t>To evaluate the regulatory environment of Hong Kong that underpins its status as a global business hub.</w:t>
      </w:r>
    </w:p>
    <w:p w14:paraId="18024A8D" w14:textId="7E3F1666" w:rsidR="002C37FC" w:rsidRPr="0004087F" w:rsidRDefault="002C37FC" w:rsidP="000E56A8">
      <w:pPr>
        <w:numPr>
          <w:ilvl w:val="0"/>
          <w:numId w:val="10"/>
        </w:numPr>
        <w:spacing w:after="0" w:line="360" w:lineRule="auto"/>
        <w:ind w:left="0" w:firstLine="142"/>
        <w:jc w:val="both"/>
        <w:rPr>
          <w:rFonts w:ascii="Arial" w:eastAsiaTheme="majorEastAsia" w:hAnsi="Arial" w:cs="Arial"/>
          <w:sz w:val="24"/>
          <w:szCs w:val="24"/>
        </w:rPr>
      </w:pPr>
      <w:r w:rsidRPr="0004087F">
        <w:rPr>
          <w:rFonts w:ascii="Arial" w:eastAsiaTheme="majorEastAsia" w:hAnsi="Arial" w:cs="Arial"/>
          <w:sz w:val="24"/>
          <w:szCs w:val="24"/>
        </w:rPr>
        <w:t xml:space="preserve">To perform a comparative analysis of Hong Kong’s regulatory framework and other macro-environmental factors in relation to those of other major global financial </w:t>
      </w:r>
      <w:r w:rsidR="00B94533" w:rsidRPr="0004087F">
        <w:rPr>
          <w:rFonts w:ascii="Arial" w:eastAsiaTheme="majorEastAsia" w:hAnsi="Arial" w:cs="Arial"/>
          <w:sz w:val="24"/>
          <w:szCs w:val="24"/>
        </w:rPr>
        <w:t>centres</w:t>
      </w:r>
      <w:r w:rsidRPr="0004087F">
        <w:rPr>
          <w:rFonts w:ascii="Arial" w:eastAsiaTheme="majorEastAsia" w:hAnsi="Arial" w:cs="Arial"/>
          <w:sz w:val="24"/>
          <w:szCs w:val="24"/>
        </w:rPr>
        <w:t>.</w:t>
      </w:r>
    </w:p>
    <w:p w14:paraId="2AF2B341" w14:textId="55F239A2" w:rsidR="002C37FC" w:rsidRPr="0004087F" w:rsidRDefault="002C37FC" w:rsidP="000E56A8">
      <w:pPr>
        <w:numPr>
          <w:ilvl w:val="0"/>
          <w:numId w:val="10"/>
        </w:numPr>
        <w:spacing w:after="0" w:line="360" w:lineRule="auto"/>
        <w:ind w:left="0" w:firstLine="142"/>
        <w:jc w:val="both"/>
        <w:rPr>
          <w:rFonts w:ascii="Arial" w:eastAsiaTheme="majorEastAsia" w:hAnsi="Arial" w:cs="Arial"/>
          <w:sz w:val="24"/>
          <w:szCs w:val="24"/>
        </w:rPr>
      </w:pPr>
      <w:r w:rsidRPr="0004087F">
        <w:rPr>
          <w:rFonts w:ascii="Arial" w:eastAsiaTheme="majorEastAsia" w:hAnsi="Arial" w:cs="Arial"/>
          <w:sz w:val="24"/>
          <w:szCs w:val="24"/>
        </w:rPr>
        <w:t xml:space="preserve">To examine case studies of foreign businesses that have expanded into Hong Kong and </w:t>
      </w:r>
      <w:r w:rsidR="003E0165" w:rsidRPr="0004087F">
        <w:rPr>
          <w:rFonts w:ascii="Arial" w:eastAsiaTheme="majorEastAsia" w:hAnsi="Arial" w:cs="Arial"/>
          <w:sz w:val="24"/>
          <w:szCs w:val="24"/>
        </w:rPr>
        <w:t>analyse</w:t>
      </w:r>
      <w:r w:rsidRPr="0004087F">
        <w:rPr>
          <w:rFonts w:ascii="Arial" w:eastAsiaTheme="majorEastAsia" w:hAnsi="Arial" w:cs="Arial"/>
          <w:sz w:val="24"/>
          <w:szCs w:val="24"/>
        </w:rPr>
        <w:t xml:space="preserve"> the role of regulations and macro-environmental factors in their successes or challenges.</w:t>
      </w:r>
    </w:p>
    <w:p w14:paraId="5170D7CF" w14:textId="77777777" w:rsidR="00C8503E" w:rsidRDefault="00C8503E" w:rsidP="000E56A8">
      <w:pPr>
        <w:spacing w:after="0" w:line="360" w:lineRule="auto"/>
        <w:ind w:firstLine="142"/>
        <w:jc w:val="both"/>
        <w:rPr>
          <w:rFonts w:ascii="Arial" w:eastAsiaTheme="majorEastAsia" w:hAnsi="Arial" w:cs="Arial"/>
          <w:sz w:val="24"/>
          <w:szCs w:val="24"/>
        </w:rPr>
      </w:pPr>
      <w:r w:rsidRPr="0004087F">
        <w:rPr>
          <w:rFonts w:ascii="Arial" w:eastAsiaTheme="majorEastAsia" w:hAnsi="Arial" w:cs="Arial"/>
          <w:sz w:val="24"/>
          <w:szCs w:val="24"/>
        </w:rPr>
        <w:t>Considering the above objectives, the research questions guiding this study are:</w:t>
      </w:r>
    </w:p>
    <w:p w14:paraId="539B7500" w14:textId="0ABA161B" w:rsidR="00403A09" w:rsidRPr="00051F28" w:rsidRDefault="00403A09" w:rsidP="00051F28">
      <w:pPr>
        <w:pStyle w:val="Heading2"/>
        <w:numPr>
          <w:ilvl w:val="1"/>
          <w:numId w:val="33"/>
        </w:numPr>
        <w:jc w:val="both"/>
      </w:pPr>
      <w:bookmarkStart w:id="6" w:name="_Toc194551417"/>
      <w:r w:rsidRPr="0004087F">
        <w:t>Research Questions</w:t>
      </w:r>
      <w:r w:rsidR="000E56A8">
        <w:t>:</w:t>
      </w:r>
      <w:bookmarkEnd w:id="6"/>
    </w:p>
    <w:p w14:paraId="2643E51E" w14:textId="54B1AFB2" w:rsidR="00C8503E" w:rsidRPr="0004087F" w:rsidRDefault="00C8503E" w:rsidP="000E56A8">
      <w:pPr>
        <w:spacing w:after="0" w:line="360" w:lineRule="auto"/>
        <w:ind w:firstLine="142"/>
        <w:jc w:val="both"/>
        <w:rPr>
          <w:rFonts w:ascii="Arial" w:eastAsiaTheme="majorEastAsia" w:hAnsi="Arial" w:cs="Arial"/>
          <w:sz w:val="24"/>
          <w:szCs w:val="24"/>
        </w:rPr>
      </w:pPr>
      <w:r w:rsidRPr="0004087F">
        <w:rPr>
          <w:rFonts w:ascii="Arial" w:eastAsiaTheme="majorEastAsia" w:hAnsi="Arial" w:cs="Arial"/>
          <w:sz w:val="24"/>
          <w:szCs w:val="24"/>
        </w:rPr>
        <w:t xml:space="preserve">1. How does Hong Kong's current regulatory framework facilitate or impede foreign direct investment (FDI), considering the "One Country, Two Systems" framework and recent regulatory changes? </w:t>
      </w:r>
    </w:p>
    <w:p w14:paraId="06FA8AF6" w14:textId="77777777" w:rsidR="00C8503E" w:rsidRPr="0004087F" w:rsidRDefault="00C8503E" w:rsidP="000E56A8">
      <w:pPr>
        <w:spacing w:after="0" w:line="360" w:lineRule="auto"/>
        <w:ind w:firstLine="142"/>
        <w:jc w:val="both"/>
        <w:rPr>
          <w:rFonts w:ascii="Arial" w:eastAsiaTheme="majorEastAsia" w:hAnsi="Arial" w:cs="Arial"/>
          <w:sz w:val="24"/>
          <w:szCs w:val="24"/>
        </w:rPr>
      </w:pPr>
      <w:r w:rsidRPr="0004087F">
        <w:rPr>
          <w:rFonts w:ascii="Arial" w:eastAsiaTheme="majorEastAsia" w:hAnsi="Arial" w:cs="Arial"/>
          <w:sz w:val="24"/>
          <w:szCs w:val="24"/>
        </w:rPr>
        <w:t xml:space="preserve">2. What specific regulatory and macro-environmental factors have significantly influenced the success or failure of foreign businesses that have expanded into Hong Kong in recent years? </w:t>
      </w:r>
    </w:p>
    <w:p w14:paraId="1029367E" w14:textId="15B97642" w:rsidR="00C8503E" w:rsidRDefault="00C8503E" w:rsidP="000E56A8">
      <w:pPr>
        <w:spacing w:after="0" w:line="360" w:lineRule="auto"/>
        <w:ind w:firstLine="142"/>
        <w:jc w:val="both"/>
        <w:rPr>
          <w:rFonts w:ascii="Arial" w:eastAsiaTheme="majorEastAsia" w:hAnsi="Arial" w:cs="Arial"/>
          <w:sz w:val="24"/>
          <w:szCs w:val="24"/>
        </w:rPr>
      </w:pPr>
      <w:r w:rsidRPr="0004087F">
        <w:rPr>
          <w:rFonts w:ascii="Arial" w:eastAsiaTheme="majorEastAsia" w:hAnsi="Arial" w:cs="Arial"/>
          <w:sz w:val="24"/>
          <w:szCs w:val="24"/>
        </w:rPr>
        <w:t>3. What are the key regulatory challenges and opportunities for foreign businesses operating in Hong Kong, and how can they be effectively addressed?</w:t>
      </w:r>
    </w:p>
    <w:p w14:paraId="15B584BF" w14:textId="77777777" w:rsidR="00403A09" w:rsidRDefault="00403A09" w:rsidP="000E56A8">
      <w:pPr>
        <w:spacing w:after="0" w:line="360" w:lineRule="auto"/>
        <w:ind w:firstLine="142"/>
        <w:jc w:val="both"/>
        <w:rPr>
          <w:rFonts w:ascii="Arial" w:eastAsiaTheme="majorEastAsia" w:hAnsi="Arial" w:cs="Arial"/>
          <w:sz w:val="24"/>
          <w:szCs w:val="24"/>
        </w:rPr>
      </w:pPr>
    </w:p>
    <w:p w14:paraId="4C02BBDD" w14:textId="77777777" w:rsidR="00696FE2" w:rsidRDefault="00696FE2" w:rsidP="000E56A8">
      <w:pPr>
        <w:spacing w:after="0" w:line="360" w:lineRule="auto"/>
        <w:ind w:firstLine="142"/>
        <w:jc w:val="both"/>
        <w:rPr>
          <w:rFonts w:ascii="Arial" w:eastAsiaTheme="majorEastAsia" w:hAnsi="Arial" w:cs="Arial"/>
          <w:sz w:val="24"/>
          <w:szCs w:val="24"/>
        </w:rPr>
      </w:pPr>
    </w:p>
    <w:p w14:paraId="054FA239" w14:textId="77777777" w:rsidR="00696FE2" w:rsidRDefault="00696FE2" w:rsidP="000E56A8">
      <w:pPr>
        <w:spacing w:after="0" w:line="360" w:lineRule="auto"/>
        <w:ind w:firstLine="142"/>
        <w:jc w:val="both"/>
        <w:rPr>
          <w:rFonts w:ascii="Arial" w:eastAsiaTheme="majorEastAsia" w:hAnsi="Arial" w:cs="Arial"/>
          <w:sz w:val="24"/>
          <w:szCs w:val="24"/>
        </w:rPr>
      </w:pPr>
    </w:p>
    <w:p w14:paraId="23EAA119" w14:textId="48728E44" w:rsidR="00C8503E" w:rsidRPr="0004087F" w:rsidRDefault="00C86996" w:rsidP="00481EBF">
      <w:pPr>
        <w:pStyle w:val="Heading1"/>
      </w:pPr>
      <w:bookmarkStart w:id="7" w:name="_Toc194551418"/>
      <w:r w:rsidRPr="0004087F">
        <w:lastRenderedPageBreak/>
        <w:t>Literature Review</w:t>
      </w:r>
      <w:bookmarkEnd w:id="7"/>
    </w:p>
    <w:p w14:paraId="3155691B" w14:textId="631A8A63" w:rsidR="00C8503E" w:rsidRDefault="00C8503E" w:rsidP="000E56A8">
      <w:pPr>
        <w:spacing w:after="0" w:line="360" w:lineRule="auto"/>
        <w:ind w:firstLine="142"/>
        <w:jc w:val="both"/>
        <w:rPr>
          <w:rFonts w:ascii="Arial" w:eastAsiaTheme="majorEastAsia" w:hAnsi="Arial" w:cs="Arial"/>
          <w:sz w:val="24"/>
          <w:szCs w:val="24"/>
        </w:rPr>
      </w:pPr>
      <w:r w:rsidRPr="0004087F">
        <w:rPr>
          <w:rFonts w:ascii="Arial" w:eastAsiaTheme="majorEastAsia" w:hAnsi="Arial" w:cs="Arial"/>
          <w:sz w:val="24"/>
          <w:szCs w:val="24"/>
        </w:rPr>
        <w:t>This literature review critically examines existing research on Hong Kong's regulatory environment, focusing on its role as a global business hub and its implications for foreign business expansion. This analysis synthesizes existing research and identifies gaps, particularly in detailed regulatory evaluations and specific case studies of businesses impacted by these regulations.</w:t>
      </w:r>
      <w:r w:rsidR="00887D71">
        <w:rPr>
          <w:rFonts w:ascii="Arial" w:eastAsiaTheme="majorEastAsia" w:hAnsi="Arial" w:cs="Arial"/>
          <w:sz w:val="24"/>
          <w:szCs w:val="24"/>
        </w:rPr>
        <w:t xml:space="preserve"> </w:t>
      </w:r>
    </w:p>
    <w:p w14:paraId="6FD54785" w14:textId="4360D2F1" w:rsidR="00887D71" w:rsidRPr="0004087F" w:rsidRDefault="00887D71" w:rsidP="000E56A8">
      <w:pPr>
        <w:spacing w:after="0" w:line="360" w:lineRule="auto"/>
        <w:ind w:firstLine="142"/>
        <w:jc w:val="both"/>
        <w:rPr>
          <w:rFonts w:ascii="Arial" w:eastAsiaTheme="majorEastAsia" w:hAnsi="Arial" w:cs="Arial"/>
          <w:sz w:val="24"/>
          <w:szCs w:val="24"/>
        </w:rPr>
      </w:pPr>
      <w:r w:rsidRPr="00887D71">
        <w:rPr>
          <w:rFonts w:ascii="Arial" w:eastAsiaTheme="majorEastAsia" w:hAnsi="Arial" w:cs="Arial"/>
          <w:sz w:val="24"/>
          <w:szCs w:val="24"/>
        </w:rPr>
        <w:t>To provide a conceptual foundation for this analysis, the following section outlines key terms, definitions, and theoretical frameworks relevant to Hong Kong’s regulatory environment and its impact on foreign business expansion.</w:t>
      </w:r>
    </w:p>
    <w:p w14:paraId="64A00299" w14:textId="5DE8CA81" w:rsidR="00C8503E" w:rsidRPr="0004087F" w:rsidRDefault="00F811F8" w:rsidP="000E56A8">
      <w:pPr>
        <w:pStyle w:val="Heading2"/>
        <w:jc w:val="both"/>
        <w:rPr>
          <w:b/>
          <w:bCs/>
          <w:color w:val="auto"/>
        </w:rPr>
      </w:pPr>
      <w:bookmarkStart w:id="8" w:name="_Toc194551419"/>
      <w:r w:rsidRPr="0004087F">
        <w:t>2</w:t>
      </w:r>
      <w:r w:rsidR="00C86996" w:rsidRPr="0004087F">
        <w:t>.</w:t>
      </w:r>
      <w:r w:rsidR="00C8503E" w:rsidRPr="0004087F">
        <w:t>1</w:t>
      </w:r>
      <w:r w:rsidR="00C86996" w:rsidRPr="0004087F">
        <w:t xml:space="preserve"> Key Terms and Definitions</w:t>
      </w:r>
      <w:bookmarkEnd w:id="8"/>
    </w:p>
    <w:p w14:paraId="69908983" w14:textId="77777777" w:rsidR="00C8503E" w:rsidRPr="0004087F" w:rsidRDefault="00C8503E" w:rsidP="000E56A8">
      <w:pPr>
        <w:spacing w:after="0" w:line="360" w:lineRule="auto"/>
        <w:ind w:firstLine="142"/>
        <w:jc w:val="both"/>
        <w:rPr>
          <w:rFonts w:ascii="Arial" w:eastAsiaTheme="majorEastAsia" w:hAnsi="Arial" w:cs="Arial"/>
          <w:i/>
          <w:iCs/>
          <w:sz w:val="24"/>
          <w:szCs w:val="24"/>
        </w:rPr>
      </w:pPr>
      <w:r w:rsidRPr="0004087F">
        <w:rPr>
          <w:rFonts w:ascii="Arial" w:eastAsiaTheme="majorEastAsia" w:hAnsi="Arial" w:cs="Arial"/>
          <w:i/>
          <w:iCs/>
          <w:sz w:val="24"/>
          <w:szCs w:val="24"/>
        </w:rPr>
        <w:t>Regulatory Environment:</w:t>
      </w:r>
    </w:p>
    <w:p w14:paraId="191F92DD" w14:textId="14BD82C2" w:rsidR="00C8503E" w:rsidRPr="0004087F" w:rsidRDefault="00C8503E" w:rsidP="000E56A8">
      <w:pPr>
        <w:spacing w:after="0" w:line="360" w:lineRule="auto"/>
        <w:ind w:firstLine="142"/>
        <w:jc w:val="both"/>
        <w:rPr>
          <w:rFonts w:ascii="Arial" w:eastAsiaTheme="majorEastAsia" w:hAnsi="Arial" w:cs="Arial"/>
          <w:sz w:val="24"/>
          <w:szCs w:val="24"/>
        </w:rPr>
      </w:pPr>
      <w:r w:rsidRPr="0004087F">
        <w:rPr>
          <w:rFonts w:ascii="Arial" w:eastAsiaTheme="majorEastAsia" w:hAnsi="Arial" w:cs="Arial"/>
          <w:sz w:val="24"/>
          <w:szCs w:val="24"/>
        </w:rPr>
        <w:t>The regulatory environment encompasses the laws, policies, and institutional frameworks governing business operations within a specific jurisdiction. In Hong Kong, this includes legal, tax, and financial regulations that shape the business landscape (Hong Kong Government, 2024).</w:t>
      </w:r>
    </w:p>
    <w:p w14:paraId="6B51F89B" w14:textId="77777777" w:rsidR="00C8503E" w:rsidRPr="0004087F" w:rsidRDefault="00C8503E" w:rsidP="000E56A8">
      <w:pPr>
        <w:spacing w:after="0" w:line="360" w:lineRule="auto"/>
        <w:ind w:firstLine="142"/>
        <w:jc w:val="both"/>
        <w:rPr>
          <w:rFonts w:ascii="Arial" w:eastAsiaTheme="majorEastAsia" w:hAnsi="Arial" w:cs="Arial"/>
          <w:i/>
          <w:iCs/>
          <w:sz w:val="24"/>
          <w:szCs w:val="24"/>
        </w:rPr>
      </w:pPr>
      <w:r w:rsidRPr="0004087F">
        <w:rPr>
          <w:rFonts w:ascii="Arial" w:eastAsiaTheme="majorEastAsia" w:hAnsi="Arial" w:cs="Arial"/>
          <w:i/>
          <w:iCs/>
          <w:sz w:val="24"/>
          <w:szCs w:val="24"/>
        </w:rPr>
        <w:t>Foreign Business Expansion:</w:t>
      </w:r>
    </w:p>
    <w:p w14:paraId="25BB4FF6" w14:textId="454DFC0E" w:rsidR="00C8503E" w:rsidRPr="0004087F" w:rsidRDefault="00C8503E" w:rsidP="000E56A8">
      <w:pPr>
        <w:spacing w:after="0" w:line="360" w:lineRule="auto"/>
        <w:ind w:firstLine="142"/>
        <w:jc w:val="both"/>
        <w:rPr>
          <w:rFonts w:ascii="Arial" w:eastAsiaTheme="majorEastAsia" w:hAnsi="Arial" w:cs="Arial"/>
          <w:sz w:val="24"/>
          <w:szCs w:val="24"/>
        </w:rPr>
      </w:pPr>
      <w:r w:rsidRPr="0004087F">
        <w:rPr>
          <w:rFonts w:ascii="Arial" w:eastAsiaTheme="majorEastAsia" w:hAnsi="Arial" w:cs="Arial"/>
          <w:sz w:val="24"/>
          <w:szCs w:val="24"/>
        </w:rPr>
        <w:t>Foreign business expansion refers to the process by which companies extend their operations into international markets through various means, such as foreign direct investment (FDI), joint ventures, or establishing subsidiaries (UNCTAD, 2023).</w:t>
      </w:r>
    </w:p>
    <w:p w14:paraId="1DF75C59" w14:textId="77777777" w:rsidR="00C8503E" w:rsidRPr="0004087F" w:rsidRDefault="00C8503E" w:rsidP="000E56A8">
      <w:pPr>
        <w:spacing w:after="0" w:line="360" w:lineRule="auto"/>
        <w:ind w:firstLine="142"/>
        <w:jc w:val="both"/>
        <w:rPr>
          <w:rFonts w:ascii="Arial" w:eastAsiaTheme="majorEastAsia" w:hAnsi="Arial" w:cs="Arial"/>
          <w:i/>
          <w:iCs/>
          <w:sz w:val="24"/>
          <w:szCs w:val="24"/>
        </w:rPr>
      </w:pPr>
      <w:r w:rsidRPr="0004087F">
        <w:rPr>
          <w:rFonts w:ascii="Arial" w:eastAsiaTheme="majorEastAsia" w:hAnsi="Arial" w:cs="Arial"/>
          <w:i/>
          <w:iCs/>
          <w:sz w:val="24"/>
          <w:szCs w:val="24"/>
        </w:rPr>
        <w:t>Global Financial Hub:</w:t>
      </w:r>
    </w:p>
    <w:p w14:paraId="1C288BB8" w14:textId="5B4590D2" w:rsidR="00C8503E" w:rsidRPr="0004087F" w:rsidRDefault="00C8503E" w:rsidP="000E56A8">
      <w:pPr>
        <w:spacing w:after="0" w:line="360" w:lineRule="auto"/>
        <w:ind w:firstLine="142"/>
        <w:jc w:val="both"/>
        <w:rPr>
          <w:rFonts w:ascii="Arial" w:eastAsiaTheme="majorEastAsia" w:hAnsi="Arial" w:cs="Arial"/>
          <w:sz w:val="24"/>
          <w:szCs w:val="24"/>
        </w:rPr>
      </w:pPr>
      <w:r w:rsidRPr="0004087F">
        <w:rPr>
          <w:rFonts w:ascii="Arial" w:eastAsiaTheme="majorEastAsia" w:hAnsi="Arial" w:cs="Arial"/>
          <w:sz w:val="24"/>
          <w:szCs w:val="24"/>
        </w:rPr>
        <w:t>A global financial hub is a city or region serving as a central node for international finance, characterized by a concentration of financial institutions, robust regulatory frameworks, and strong connectivity to global markets (Germain, 2010).</w:t>
      </w:r>
    </w:p>
    <w:p w14:paraId="5A84C11F" w14:textId="77777777" w:rsidR="00C8503E" w:rsidRPr="0004087F" w:rsidRDefault="00C8503E" w:rsidP="000E56A8">
      <w:pPr>
        <w:spacing w:after="0" w:line="360" w:lineRule="auto"/>
        <w:ind w:firstLine="142"/>
        <w:jc w:val="both"/>
        <w:rPr>
          <w:rFonts w:ascii="Arial" w:eastAsiaTheme="majorEastAsia" w:hAnsi="Arial" w:cs="Arial"/>
          <w:i/>
          <w:iCs/>
          <w:sz w:val="24"/>
          <w:szCs w:val="24"/>
        </w:rPr>
      </w:pPr>
      <w:r w:rsidRPr="0004087F">
        <w:rPr>
          <w:rFonts w:ascii="Arial" w:eastAsiaTheme="majorEastAsia" w:hAnsi="Arial" w:cs="Arial"/>
          <w:i/>
          <w:iCs/>
          <w:sz w:val="24"/>
          <w:szCs w:val="24"/>
        </w:rPr>
        <w:t>Macro-Environmental Factors:</w:t>
      </w:r>
    </w:p>
    <w:p w14:paraId="7D614F35" w14:textId="31F1B3B4" w:rsidR="00C8503E" w:rsidRPr="0004087F" w:rsidRDefault="00C8503E" w:rsidP="000E56A8">
      <w:pPr>
        <w:spacing w:after="0" w:line="360" w:lineRule="auto"/>
        <w:ind w:firstLine="142"/>
        <w:jc w:val="both"/>
        <w:rPr>
          <w:rFonts w:ascii="Arial" w:eastAsiaTheme="majorEastAsia" w:hAnsi="Arial" w:cs="Arial"/>
          <w:sz w:val="24"/>
          <w:szCs w:val="24"/>
        </w:rPr>
      </w:pPr>
      <w:r w:rsidRPr="0004087F">
        <w:rPr>
          <w:rFonts w:ascii="Arial" w:eastAsiaTheme="majorEastAsia" w:hAnsi="Arial" w:cs="Arial"/>
          <w:sz w:val="24"/>
          <w:szCs w:val="24"/>
        </w:rPr>
        <w:t>Macro-environmental factors are external elements influencing business operations, including political, economic, social, technological, environmental, and legal (PESTEL) factors (Christmann &amp; Taylor, 2001).</w:t>
      </w:r>
    </w:p>
    <w:p w14:paraId="611E19FC" w14:textId="102146B0" w:rsidR="00C8503E" w:rsidRPr="0004087F" w:rsidRDefault="00F811F8" w:rsidP="000E56A8">
      <w:pPr>
        <w:pStyle w:val="Heading2"/>
        <w:jc w:val="both"/>
      </w:pPr>
      <w:bookmarkStart w:id="9" w:name="_Toc194551420"/>
      <w:r w:rsidRPr="0004087F">
        <w:t>2</w:t>
      </w:r>
      <w:r w:rsidR="00C86996" w:rsidRPr="0004087F">
        <w:t>.</w:t>
      </w:r>
      <w:r w:rsidR="00C8503E" w:rsidRPr="0004087F">
        <w:t>2</w:t>
      </w:r>
      <w:r w:rsidR="00C86996" w:rsidRPr="0004087F">
        <w:t xml:space="preserve"> Main Theories Affecting the Research Theme</w:t>
      </w:r>
      <w:bookmarkEnd w:id="9"/>
    </w:p>
    <w:p w14:paraId="5AD7CC03" w14:textId="6F1CA6BE" w:rsidR="00C8503E" w:rsidRPr="0004087F" w:rsidRDefault="00C8503E" w:rsidP="000E56A8">
      <w:pPr>
        <w:pStyle w:val="Heading3"/>
        <w:jc w:val="both"/>
      </w:pPr>
      <w:bookmarkStart w:id="10" w:name="_Toc194551421"/>
      <w:r w:rsidRPr="0004087F">
        <w:t>2.2.1 Eclectic Paradigm (OLI Framework)</w:t>
      </w:r>
      <w:bookmarkEnd w:id="10"/>
    </w:p>
    <w:p w14:paraId="40D12A36" w14:textId="03C3E332" w:rsidR="00C8503E" w:rsidRPr="0004087F" w:rsidRDefault="00C8503E" w:rsidP="000E56A8">
      <w:pPr>
        <w:spacing w:after="0" w:line="360" w:lineRule="auto"/>
        <w:ind w:firstLine="142"/>
        <w:jc w:val="both"/>
        <w:rPr>
          <w:rFonts w:ascii="Arial" w:hAnsi="Arial" w:cs="Arial"/>
          <w:sz w:val="24"/>
          <w:szCs w:val="24"/>
        </w:rPr>
      </w:pPr>
      <w:r w:rsidRPr="0004087F">
        <w:rPr>
          <w:rFonts w:ascii="Arial" w:hAnsi="Arial" w:cs="Arial"/>
          <w:sz w:val="24"/>
          <w:szCs w:val="24"/>
        </w:rPr>
        <w:t xml:space="preserve">The Eclectic Paradigm, or OLI (Ownership, Location, Internalization) Framework, explains why firms engage in foreign direct investment (FDI). Dunning (1988) posits that firms invest abroad when they possess ownership advantages (e.g., proprietary technology), location </w:t>
      </w:r>
      <w:r w:rsidRPr="0004087F">
        <w:rPr>
          <w:rFonts w:ascii="Arial" w:hAnsi="Arial" w:cs="Arial"/>
          <w:sz w:val="24"/>
          <w:szCs w:val="24"/>
        </w:rPr>
        <w:lastRenderedPageBreak/>
        <w:t xml:space="preserve">advantages (e.g., a </w:t>
      </w:r>
      <w:proofErr w:type="spellStart"/>
      <w:r w:rsidRPr="0004087F">
        <w:rPr>
          <w:rFonts w:ascii="Arial" w:hAnsi="Arial" w:cs="Arial"/>
          <w:sz w:val="24"/>
          <w:szCs w:val="24"/>
        </w:rPr>
        <w:t>favorable</w:t>
      </w:r>
      <w:proofErr w:type="spellEnd"/>
      <w:r w:rsidRPr="0004087F">
        <w:rPr>
          <w:rFonts w:ascii="Arial" w:hAnsi="Arial" w:cs="Arial"/>
          <w:sz w:val="24"/>
          <w:szCs w:val="24"/>
        </w:rPr>
        <w:t xml:space="preserve"> regulatory environment), and internalization advantages (e.g., reduced transaction costs). This theory is highly relevant to understanding why foreign businesses choose Hong Kong for expansion. Hong Kong's location advantages, such as its proximity to mainland China and its status as a global financial hub, make it an attractive FDI destination. However, recent institutional changes, like the National Security Law, have introduced new uncertainties that may affect these location advantages (Davis Polk, 2020).</w:t>
      </w:r>
    </w:p>
    <w:p w14:paraId="334D34E2" w14:textId="15664F5C" w:rsidR="00C8503E" w:rsidRPr="0004087F" w:rsidRDefault="00C8503E" w:rsidP="000E56A8">
      <w:pPr>
        <w:pStyle w:val="Heading3"/>
        <w:jc w:val="both"/>
      </w:pPr>
      <w:bookmarkStart w:id="11" w:name="_Toc194551422"/>
      <w:r w:rsidRPr="0004087F">
        <w:t>2.</w:t>
      </w:r>
      <w:r w:rsidR="00F811F8" w:rsidRPr="0004087F">
        <w:t>2</w:t>
      </w:r>
      <w:r w:rsidRPr="0004087F">
        <w:t>.2 Institutional Theory</w:t>
      </w:r>
      <w:bookmarkEnd w:id="11"/>
    </w:p>
    <w:p w14:paraId="78F430A8" w14:textId="38238FD4" w:rsidR="00C8503E" w:rsidRPr="0004087F" w:rsidRDefault="00C8503E" w:rsidP="000E56A8">
      <w:pPr>
        <w:spacing w:after="0" w:line="360" w:lineRule="auto"/>
        <w:ind w:firstLine="142"/>
        <w:jc w:val="both"/>
        <w:rPr>
          <w:rFonts w:ascii="Arial" w:hAnsi="Arial" w:cs="Arial"/>
          <w:sz w:val="24"/>
          <w:szCs w:val="24"/>
        </w:rPr>
      </w:pPr>
      <w:r w:rsidRPr="0004087F">
        <w:rPr>
          <w:rFonts w:ascii="Arial" w:hAnsi="Arial" w:cs="Arial"/>
          <w:sz w:val="24"/>
          <w:szCs w:val="24"/>
        </w:rPr>
        <w:t xml:space="preserve">Institutional Theory examines how regulatory frameworks, norms, and cultural expectations shape organizational </w:t>
      </w:r>
      <w:r w:rsidR="00887D71" w:rsidRPr="0004087F">
        <w:rPr>
          <w:rFonts w:ascii="Arial" w:hAnsi="Arial" w:cs="Arial"/>
          <w:sz w:val="24"/>
          <w:szCs w:val="24"/>
        </w:rPr>
        <w:t>behaviour</w:t>
      </w:r>
      <w:r w:rsidRPr="0004087F">
        <w:rPr>
          <w:rFonts w:ascii="Arial" w:hAnsi="Arial" w:cs="Arial"/>
          <w:sz w:val="24"/>
          <w:szCs w:val="24"/>
        </w:rPr>
        <w:t xml:space="preserve"> (Scott, 1995). In the context of Hong Kong, this theory helps explain how the city's legal and financial institutions influence foreign business decisions. For instance, the implementation of the National Security Law in 2020 represents a significant institutional change impacting foreign investment (Davis Polk, 2020). Institutional Theory also provides a framework for understanding how Hong Kong’s regulatory environment interacts with global norms and standards, particularly in international finance and trade.</w:t>
      </w:r>
    </w:p>
    <w:p w14:paraId="4AFB98BD" w14:textId="2A6FCA1F" w:rsidR="00C8503E" w:rsidRPr="0004087F" w:rsidRDefault="00C8503E" w:rsidP="000E56A8">
      <w:pPr>
        <w:pStyle w:val="Heading3"/>
        <w:jc w:val="both"/>
      </w:pPr>
      <w:bookmarkStart w:id="12" w:name="_Toc194551423"/>
      <w:r w:rsidRPr="0004087F">
        <w:t>2.</w:t>
      </w:r>
      <w:r w:rsidR="00F811F8" w:rsidRPr="0004087F">
        <w:t>2</w:t>
      </w:r>
      <w:r w:rsidRPr="0004087F">
        <w:t>.3 PESTEL Analysis</w:t>
      </w:r>
      <w:bookmarkEnd w:id="12"/>
    </w:p>
    <w:p w14:paraId="5703A618" w14:textId="1DEB2087" w:rsidR="00C8503E" w:rsidRPr="0004087F" w:rsidRDefault="00C8503E" w:rsidP="000E56A8">
      <w:pPr>
        <w:spacing w:after="0" w:line="360" w:lineRule="auto"/>
        <w:ind w:firstLine="142"/>
        <w:jc w:val="both"/>
        <w:rPr>
          <w:rFonts w:ascii="Arial" w:hAnsi="Arial" w:cs="Arial"/>
          <w:sz w:val="24"/>
          <w:szCs w:val="24"/>
        </w:rPr>
      </w:pPr>
      <w:r w:rsidRPr="0004087F">
        <w:rPr>
          <w:rFonts w:ascii="Arial" w:hAnsi="Arial" w:cs="Arial"/>
          <w:sz w:val="24"/>
          <w:szCs w:val="24"/>
        </w:rPr>
        <w:t xml:space="preserve">PESTEL (Political, Economic, Social, Technological, Environmental, Legal) Analysis is a framework used to </w:t>
      </w:r>
      <w:r w:rsidR="00887D71" w:rsidRPr="0004087F">
        <w:rPr>
          <w:rFonts w:ascii="Arial" w:hAnsi="Arial" w:cs="Arial"/>
          <w:sz w:val="24"/>
          <w:szCs w:val="24"/>
        </w:rPr>
        <w:t>analyse</w:t>
      </w:r>
      <w:r w:rsidRPr="0004087F">
        <w:rPr>
          <w:rFonts w:ascii="Arial" w:hAnsi="Arial" w:cs="Arial"/>
          <w:sz w:val="24"/>
          <w:szCs w:val="24"/>
        </w:rPr>
        <w:t xml:space="preserve"> macro-environmental factors that impact business operations (Christmann &amp; Taylor, 2001). This framework is particularly useful for examining how Hong Kong's regulatory environment and external factors (e.g., geopolitical tensions, economic instability) affect foreign business expansion. Political factors such as the U.S.-China trade war and social factors such as the 2019 pro-democracy protests have had significant implications for Hong Kong’s business environment. Similarly, technological advancements, such as the rise of fintech, are reshaping the financial services sector in Hong Kong.</w:t>
      </w:r>
    </w:p>
    <w:p w14:paraId="2A37EA4B" w14:textId="422AE658" w:rsidR="00F811F8" w:rsidRPr="0004087F" w:rsidRDefault="00F94396" w:rsidP="000E56A8">
      <w:pPr>
        <w:pStyle w:val="Heading2"/>
        <w:jc w:val="both"/>
      </w:pPr>
      <w:bookmarkStart w:id="13" w:name="_Toc194551424"/>
      <w:r w:rsidRPr="0004087F">
        <w:t>2.</w:t>
      </w:r>
      <w:r w:rsidR="0004087F">
        <w:t xml:space="preserve">3. </w:t>
      </w:r>
      <w:r w:rsidR="00F811F8" w:rsidRPr="0004087F">
        <w:t>Global Challenges and Economic Resilience</w:t>
      </w:r>
      <w:bookmarkEnd w:id="13"/>
    </w:p>
    <w:p w14:paraId="056B2624" w14:textId="54F83854" w:rsidR="00F811F8" w:rsidRPr="0004087F" w:rsidRDefault="00F811F8" w:rsidP="000E56A8">
      <w:pPr>
        <w:spacing w:after="0" w:line="360" w:lineRule="auto"/>
        <w:ind w:firstLine="142"/>
        <w:jc w:val="both"/>
        <w:rPr>
          <w:rFonts w:ascii="Arial" w:hAnsi="Arial" w:cs="Arial"/>
          <w:sz w:val="24"/>
          <w:szCs w:val="24"/>
        </w:rPr>
      </w:pPr>
      <w:r w:rsidRPr="0004087F">
        <w:rPr>
          <w:rFonts w:ascii="Arial" w:hAnsi="Arial" w:cs="Arial"/>
          <w:sz w:val="24"/>
          <w:szCs w:val="24"/>
        </w:rPr>
        <w:t xml:space="preserve">The resilience of Hong Kong’s financial systems is tested by global crises and geopolitical tensions. Balbaa, Eshov, and Ismailova (2022) examine the impacts of the Russian-Ukrainian war on global economies, including disruptions in digital banking networks and increased cyber threats. These challenges are particularly relevant for Hong Kong, which relies heavily on its financial services sector. The authors argue that Hong Kong’s ability to navigate these challenges will depend on its regulatory frameworks and its capacity to adapt </w:t>
      </w:r>
      <w:r w:rsidRPr="0004087F">
        <w:rPr>
          <w:rFonts w:ascii="Arial" w:hAnsi="Arial" w:cs="Arial"/>
          <w:sz w:val="24"/>
          <w:szCs w:val="24"/>
        </w:rPr>
        <w:lastRenderedPageBreak/>
        <w:t>to changing global dynamics. These dynamics emphasize the need for adaptive regulatory frameworks.</w:t>
      </w:r>
    </w:p>
    <w:p w14:paraId="7CB75FA0" w14:textId="7AA2DCA9" w:rsidR="00F811F8" w:rsidRPr="0004087F" w:rsidRDefault="00F811F8" w:rsidP="000E56A8">
      <w:pPr>
        <w:spacing w:after="0" w:line="360" w:lineRule="auto"/>
        <w:ind w:firstLine="142"/>
        <w:jc w:val="both"/>
        <w:rPr>
          <w:rFonts w:ascii="Arial" w:hAnsi="Arial" w:cs="Arial"/>
          <w:sz w:val="24"/>
          <w:szCs w:val="24"/>
        </w:rPr>
      </w:pPr>
      <w:r w:rsidRPr="0004087F">
        <w:rPr>
          <w:rFonts w:ascii="Arial" w:hAnsi="Arial" w:cs="Arial"/>
          <w:sz w:val="24"/>
          <w:szCs w:val="24"/>
        </w:rPr>
        <w:t>Christmann and Taylor (2001) explore environmental self-regulation in China, offering insights into how Hong Kong’s firms might respond to global environmental challenges under stringent regulatory frameworks. For example, the authors highlight the role of corporate social responsibility (CSR) in shaping business practices in Hong Kong. This is particularly relevant in the context of global environmental challenges, such as climate change, which are increasingly influencing business decisions. As global pressures for sustainability increase, Hong Kong's regulatory environment must also adapt to encourage and enforce environmentally responsible business practices.</w:t>
      </w:r>
    </w:p>
    <w:p w14:paraId="0C58D465" w14:textId="63599E95" w:rsidR="00F811F8" w:rsidRPr="0004087F" w:rsidRDefault="008A2F09" w:rsidP="000E56A8">
      <w:pPr>
        <w:pStyle w:val="Heading2"/>
        <w:jc w:val="both"/>
      </w:pPr>
      <w:bookmarkStart w:id="14" w:name="_Toc194551425"/>
      <w:r w:rsidRPr="0004087F">
        <w:t>2</w:t>
      </w:r>
      <w:r w:rsidR="00C86996" w:rsidRPr="0004087F">
        <w:t>.</w:t>
      </w:r>
      <w:r w:rsidR="0004087F">
        <w:t>4.</w:t>
      </w:r>
      <w:r w:rsidR="00C86996" w:rsidRPr="0004087F">
        <w:t xml:space="preserve"> Comparative Analysis of Regulatory Environments</w:t>
      </w:r>
      <w:bookmarkEnd w:id="14"/>
    </w:p>
    <w:p w14:paraId="08253613" w14:textId="021DC586" w:rsidR="00F811F8" w:rsidRPr="0004087F" w:rsidRDefault="00F811F8" w:rsidP="000E56A8">
      <w:pPr>
        <w:spacing w:after="0" w:line="360" w:lineRule="auto"/>
        <w:ind w:firstLine="142"/>
        <w:jc w:val="both"/>
        <w:rPr>
          <w:rFonts w:ascii="Arial" w:eastAsiaTheme="majorEastAsia" w:hAnsi="Arial" w:cs="Arial"/>
          <w:sz w:val="24"/>
          <w:szCs w:val="24"/>
        </w:rPr>
      </w:pPr>
      <w:r w:rsidRPr="0004087F">
        <w:rPr>
          <w:rFonts w:ascii="Arial" w:eastAsiaTheme="majorEastAsia" w:hAnsi="Arial" w:cs="Arial"/>
          <w:sz w:val="24"/>
          <w:szCs w:val="24"/>
        </w:rPr>
        <w:t>The comparative analysis of regulatory frameworks is crucial for understanding Hong Kong’s competitive edge. Wong et al. (2019) analyse the impact of China’s cabotage relaxation on Hong Kong’s status as a transshipment hub, providing a direct example of how regional policy changes can affect Hong Kong’s economic landscape. This is echoed in Galpin’s (2013) exploration of trade facilitation measures in Hong Kong, which highlights the territory’s strategic initiatives to enhance its logistical capabilities and strengthen its role in international trade.</w:t>
      </w:r>
    </w:p>
    <w:p w14:paraId="2AA6D60D" w14:textId="7045DEAE" w:rsidR="00C86996" w:rsidRPr="0004087F" w:rsidRDefault="00F811F8" w:rsidP="000E56A8">
      <w:pPr>
        <w:spacing w:after="0" w:line="360" w:lineRule="auto"/>
        <w:ind w:firstLine="142"/>
        <w:jc w:val="both"/>
        <w:rPr>
          <w:rFonts w:ascii="Arial" w:eastAsiaTheme="majorEastAsia" w:hAnsi="Arial" w:cs="Arial"/>
          <w:sz w:val="24"/>
          <w:szCs w:val="24"/>
        </w:rPr>
      </w:pPr>
      <w:r w:rsidRPr="0004087F">
        <w:rPr>
          <w:rFonts w:ascii="Arial" w:eastAsiaTheme="majorEastAsia" w:hAnsi="Arial" w:cs="Arial"/>
          <w:sz w:val="24"/>
          <w:szCs w:val="24"/>
        </w:rPr>
        <w:t>However, despite these insights, there remains a need for more direct comparisons between Hong Kong and other global financial hubs. While the existing literature provides valuable information, further research that directly compares Hong Kong’s regulatory environment with those of other major financial centres would provide valuable insights into its relative strengths and weaknesses and their implications for foreign business expansion.</w:t>
      </w:r>
    </w:p>
    <w:p w14:paraId="47EE660E" w14:textId="749B70ED" w:rsidR="00F811F8" w:rsidRPr="0004087F" w:rsidRDefault="008A2F09" w:rsidP="000E56A8">
      <w:pPr>
        <w:pStyle w:val="Heading2"/>
        <w:jc w:val="both"/>
      </w:pPr>
      <w:bookmarkStart w:id="15" w:name="_Toc194551426"/>
      <w:r w:rsidRPr="0004087F">
        <w:t>2.</w:t>
      </w:r>
      <w:r w:rsidR="0004087F">
        <w:t>5</w:t>
      </w:r>
      <w:r w:rsidRPr="0004087F">
        <w:t>.</w:t>
      </w:r>
      <w:r w:rsidR="00C86996" w:rsidRPr="0004087F">
        <w:t xml:space="preserve"> Case Studies of Foreign Business Expansion</w:t>
      </w:r>
      <w:bookmarkEnd w:id="15"/>
    </w:p>
    <w:p w14:paraId="3BBBC4A4" w14:textId="4BC1ABC0" w:rsidR="00F811F8" w:rsidRPr="0004087F" w:rsidRDefault="00F811F8" w:rsidP="000E56A8">
      <w:pPr>
        <w:spacing w:after="0" w:line="360" w:lineRule="auto"/>
        <w:ind w:firstLine="142"/>
        <w:jc w:val="both"/>
        <w:rPr>
          <w:rFonts w:ascii="Arial" w:hAnsi="Arial" w:cs="Arial"/>
          <w:sz w:val="24"/>
          <w:szCs w:val="24"/>
        </w:rPr>
      </w:pPr>
      <w:r w:rsidRPr="0004087F">
        <w:rPr>
          <w:rFonts w:ascii="Arial" w:hAnsi="Arial" w:cs="Arial"/>
          <w:sz w:val="24"/>
          <w:szCs w:val="24"/>
        </w:rPr>
        <w:t xml:space="preserve">Examining specific foreign business expansions can offer insights into the regulatory impacts on business operations. Chen and </w:t>
      </w:r>
      <w:proofErr w:type="spellStart"/>
      <w:r w:rsidRPr="0004087F">
        <w:rPr>
          <w:rFonts w:ascii="Arial" w:hAnsi="Arial" w:cs="Arial"/>
          <w:sz w:val="24"/>
          <w:szCs w:val="24"/>
        </w:rPr>
        <w:t>Zhuansun</w:t>
      </w:r>
      <w:proofErr w:type="spellEnd"/>
      <w:r w:rsidRPr="0004087F">
        <w:rPr>
          <w:rFonts w:ascii="Arial" w:hAnsi="Arial" w:cs="Arial"/>
          <w:sz w:val="24"/>
          <w:szCs w:val="24"/>
        </w:rPr>
        <w:t xml:space="preserve"> (2022) study the coordination between innovation and economic development in the Greater Bay Area, providing a template for evaluating regulatory effectiveness. Their findings suggest that Hong Kong’s regulatory environment plays a crucial role in fostering innovation and attracting foreign investment. However, the authors also highlight the challenges associated with regulatory compliance, particularly for small and medium-sized enterprises (SMEs).</w:t>
      </w:r>
    </w:p>
    <w:p w14:paraId="2171F9CF" w14:textId="2D73AE88" w:rsidR="00F811F8" w:rsidRDefault="00F811F8" w:rsidP="000E56A8">
      <w:pPr>
        <w:spacing w:after="0" w:line="360" w:lineRule="auto"/>
        <w:ind w:firstLine="142"/>
        <w:jc w:val="both"/>
        <w:rPr>
          <w:rFonts w:ascii="Arial" w:hAnsi="Arial" w:cs="Arial"/>
          <w:sz w:val="24"/>
          <w:szCs w:val="24"/>
        </w:rPr>
      </w:pPr>
      <w:r w:rsidRPr="0004087F">
        <w:rPr>
          <w:rFonts w:ascii="Arial" w:hAnsi="Arial" w:cs="Arial"/>
          <w:sz w:val="24"/>
          <w:szCs w:val="24"/>
        </w:rPr>
        <w:lastRenderedPageBreak/>
        <w:t>Despite the availability of case studies, there is a lack of detailed research on how specific regulations in Hong Kong have impacted foreign businesses. Addressing these questions would provide a more nuanced understanding of the regulatory environment and its implications for foreign business expansion.</w:t>
      </w:r>
    </w:p>
    <w:p w14:paraId="570C2DC9" w14:textId="6B9C2236" w:rsidR="00AF4591" w:rsidRPr="00AF4591" w:rsidRDefault="00AF4591" w:rsidP="003B5749">
      <w:pPr>
        <w:pStyle w:val="Heading2"/>
      </w:pPr>
      <w:bookmarkStart w:id="16" w:name="_Toc194551427"/>
      <w:r w:rsidRPr="00AF4591">
        <w:t>2.</w:t>
      </w:r>
      <w:r w:rsidR="003B5749">
        <w:t>6</w:t>
      </w:r>
      <w:r w:rsidRPr="00AF4591">
        <w:t>. Hypotheses</w:t>
      </w:r>
      <w:bookmarkEnd w:id="16"/>
    </w:p>
    <w:p w14:paraId="7F4A5959" w14:textId="77777777" w:rsidR="003B5749" w:rsidRDefault="003B5749" w:rsidP="00AF4591">
      <w:pPr>
        <w:spacing w:after="0" w:line="360" w:lineRule="auto"/>
        <w:ind w:firstLine="142"/>
        <w:jc w:val="both"/>
        <w:rPr>
          <w:rFonts w:ascii="Arial" w:hAnsi="Arial" w:cs="Arial"/>
          <w:sz w:val="24"/>
          <w:szCs w:val="24"/>
        </w:rPr>
      </w:pPr>
      <w:r w:rsidRPr="003B5749">
        <w:rPr>
          <w:rFonts w:ascii="Arial" w:hAnsi="Arial" w:cs="Arial"/>
          <w:sz w:val="24"/>
          <w:szCs w:val="24"/>
        </w:rPr>
        <w:t>Building on the literature review and research gaps, this study proposes the following hypotheses for empirical testing:</w:t>
      </w:r>
    </w:p>
    <w:p w14:paraId="47A3A594" w14:textId="74C68788" w:rsidR="00AF4591" w:rsidRPr="00AF4591" w:rsidRDefault="00AF4591" w:rsidP="00AF4591">
      <w:pPr>
        <w:spacing w:after="0" w:line="360" w:lineRule="auto"/>
        <w:ind w:firstLine="142"/>
        <w:jc w:val="both"/>
        <w:rPr>
          <w:rFonts w:ascii="Arial" w:hAnsi="Arial" w:cs="Arial"/>
          <w:sz w:val="24"/>
          <w:szCs w:val="24"/>
        </w:rPr>
      </w:pPr>
      <w:r w:rsidRPr="00AF4591">
        <w:rPr>
          <w:rFonts w:ascii="Arial" w:hAnsi="Arial" w:cs="Arial"/>
          <w:sz w:val="24"/>
          <w:szCs w:val="24"/>
        </w:rPr>
        <w:t>H1: Hong Kong's regulatory environment, despite recent political changes, continues to provide significant advantages for foreign businesses in accessing mainland Chinese markets compared to other global financial centres.</w:t>
      </w:r>
    </w:p>
    <w:p w14:paraId="6C14032B" w14:textId="77777777" w:rsidR="00AF4591" w:rsidRPr="00AF4591" w:rsidRDefault="00AF4591" w:rsidP="00AF4591">
      <w:pPr>
        <w:spacing w:after="0" w:line="360" w:lineRule="auto"/>
        <w:ind w:firstLine="142"/>
        <w:jc w:val="both"/>
        <w:rPr>
          <w:rFonts w:ascii="Arial" w:hAnsi="Arial" w:cs="Arial"/>
          <w:sz w:val="24"/>
          <w:szCs w:val="24"/>
        </w:rPr>
      </w:pPr>
      <w:r w:rsidRPr="00AF4591">
        <w:rPr>
          <w:rFonts w:ascii="Arial" w:hAnsi="Arial" w:cs="Arial"/>
          <w:sz w:val="24"/>
          <w:szCs w:val="24"/>
        </w:rPr>
        <w:t xml:space="preserve">H2: The implementation of the National Security Law has led to a shift in the composition of foreign direct investment in Hong Kong, with a decrease in Western investments offset by an increase in investments from mainland China and other Asian countries. </w:t>
      </w:r>
    </w:p>
    <w:p w14:paraId="3F847EDE" w14:textId="631DCF9D" w:rsidR="00AF4591" w:rsidRPr="0004087F" w:rsidRDefault="00AF4591" w:rsidP="00AF4591">
      <w:pPr>
        <w:spacing w:after="0" w:line="360" w:lineRule="auto"/>
        <w:ind w:firstLine="142"/>
        <w:jc w:val="both"/>
        <w:rPr>
          <w:rFonts w:ascii="Arial" w:hAnsi="Arial" w:cs="Arial"/>
          <w:sz w:val="24"/>
          <w:szCs w:val="24"/>
        </w:rPr>
      </w:pPr>
      <w:r w:rsidRPr="00AF4591">
        <w:rPr>
          <w:rFonts w:ascii="Arial" w:hAnsi="Arial" w:cs="Arial"/>
          <w:sz w:val="24"/>
          <w:szCs w:val="24"/>
        </w:rPr>
        <w:t>H3: Hong Kong's regulatory framework for the financial sector offers more flexibility and market access opportunities compared to other major financial hubs, resulting in higher rates of foreign business expansion in this sector.</w:t>
      </w:r>
    </w:p>
    <w:p w14:paraId="5B3A4C6C" w14:textId="3F4995B4" w:rsidR="00C86996" w:rsidRPr="0004087F" w:rsidRDefault="00C86996" w:rsidP="000E56A8">
      <w:pPr>
        <w:pStyle w:val="Heading2"/>
        <w:jc w:val="both"/>
      </w:pPr>
      <w:bookmarkStart w:id="17" w:name="_Toc194551428"/>
      <w:r w:rsidRPr="0004087F">
        <w:t>Conclusion on Literature Review</w:t>
      </w:r>
      <w:bookmarkEnd w:id="17"/>
    </w:p>
    <w:p w14:paraId="6F0791F2" w14:textId="77777777" w:rsidR="00F811F8" w:rsidRDefault="00F811F8" w:rsidP="000E56A8">
      <w:pPr>
        <w:spacing w:after="0" w:line="360" w:lineRule="auto"/>
        <w:ind w:firstLine="142"/>
        <w:jc w:val="both"/>
        <w:rPr>
          <w:rFonts w:ascii="Arial" w:eastAsiaTheme="majorEastAsia" w:hAnsi="Arial" w:cs="Arial"/>
          <w:sz w:val="24"/>
          <w:szCs w:val="24"/>
        </w:rPr>
      </w:pPr>
      <w:bookmarkStart w:id="18" w:name="_Toc182945198"/>
      <w:r w:rsidRPr="0004087F">
        <w:rPr>
          <w:rFonts w:ascii="Arial" w:eastAsiaTheme="majorEastAsia" w:hAnsi="Arial" w:cs="Arial"/>
          <w:sz w:val="24"/>
          <w:szCs w:val="24"/>
        </w:rPr>
        <w:t>The literature presents a comprehensive view of Hong Kong’s regulatory environment and its influence on economic dynamics and business practices. However, there remains a gap in detailed case studies of foreign businesses operating within these regulatory frameworks. This review underscores the need for further research into how specific regulations affect Hong Kong’s attractiveness as a business destination, particularly considering recent global economic challenges and shifting geopolitical landscapes. Addressing these gaps will provide valuable insights for policymakers, businesses, and researchers seeking to navigate the complexities of Hong Kong’s regulatory environment.</w:t>
      </w:r>
    </w:p>
    <w:p w14:paraId="37349633" w14:textId="77777777" w:rsidR="00696FE2" w:rsidRDefault="00696FE2" w:rsidP="000E56A8">
      <w:pPr>
        <w:spacing w:after="0" w:line="360" w:lineRule="auto"/>
        <w:ind w:firstLine="142"/>
        <w:jc w:val="both"/>
        <w:rPr>
          <w:rFonts w:ascii="Arial" w:eastAsiaTheme="majorEastAsia" w:hAnsi="Arial" w:cs="Arial"/>
          <w:sz w:val="24"/>
          <w:szCs w:val="24"/>
        </w:rPr>
      </w:pPr>
    </w:p>
    <w:p w14:paraId="55D1621B" w14:textId="77777777" w:rsidR="00696FE2" w:rsidRDefault="00696FE2" w:rsidP="000E56A8">
      <w:pPr>
        <w:spacing w:after="0" w:line="360" w:lineRule="auto"/>
        <w:ind w:firstLine="142"/>
        <w:jc w:val="both"/>
        <w:rPr>
          <w:rFonts w:ascii="Arial" w:eastAsiaTheme="majorEastAsia" w:hAnsi="Arial" w:cs="Arial"/>
          <w:sz w:val="24"/>
          <w:szCs w:val="24"/>
        </w:rPr>
      </w:pPr>
    </w:p>
    <w:p w14:paraId="7FA8F1F6" w14:textId="77777777" w:rsidR="00696FE2" w:rsidRDefault="00696FE2" w:rsidP="000E56A8">
      <w:pPr>
        <w:spacing w:after="0" w:line="360" w:lineRule="auto"/>
        <w:ind w:firstLine="142"/>
        <w:jc w:val="both"/>
        <w:rPr>
          <w:rFonts w:ascii="Arial" w:eastAsiaTheme="majorEastAsia" w:hAnsi="Arial" w:cs="Arial"/>
          <w:sz w:val="24"/>
          <w:szCs w:val="24"/>
        </w:rPr>
      </w:pPr>
    </w:p>
    <w:p w14:paraId="69437854" w14:textId="77777777" w:rsidR="00696FE2" w:rsidRDefault="00696FE2" w:rsidP="003B5749">
      <w:pPr>
        <w:spacing w:after="0" w:line="360" w:lineRule="auto"/>
        <w:jc w:val="both"/>
        <w:rPr>
          <w:rFonts w:ascii="Arial" w:eastAsiaTheme="majorEastAsia" w:hAnsi="Arial" w:cs="Arial"/>
          <w:sz w:val="24"/>
          <w:szCs w:val="24"/>
        </w:rPr>
      </w:pPr>
    </w:p>
    <w:p w14:paraId="192C7147" w14:textId="77777777" w:rsidR="003B5749" w:rsidRPr="0004087F" w:rsidRDefault="003B5749" w:rsidP="003B5749">
      <w:pPr>
        <w:spacing w:after="0" w:line="360" w:lineRule="auto"/>
        <w:jc w:val="both"/>
        <w:rPr>
          <w:rFonts w:ascii="Arial" w:eastAsiaTheme="majorEastAsia" w:hAnsi="Arial" w:cs="Arial"/>
          <w:sz w:val="24"/>
          <w:szCs w:val="24"/>
        </w:rPr>
      </w:pPr>
    </w:p>
    <w:bookmarkEnd w:id="18"/>
    <w:p w14:paraId="72675704" w14:textId="38393AE4" w:rsidR="00F811F8" w:rsidRPr="0004087F" w:rsidRDefault="0004087F" w:rsidP="00481EBF">
      <w:pPr>
        <w:pStyle w:val="Heading1"/>
      </w:pPr>
      <w:r>
        <w:lastRenderedPageBreak/>
        <w:t xml:space="preserve"> </w:t>
      </w:r>
      <w:bookmarkStart w:id="19" w:name="_Toc194551429"/>
      <w:r w:rsidR="00F811F8" w:rsidRPr="00AF4591">
        <w:t>Research</w:t>
      </w:r>
      <w:r w:rsidR="00F811F8" w:rsidRPr="0004087F">
        <w:t xml:space="preserve"> Methodology</w:t>
      </w:r>
      <w:bookmarkEnd w:id="19"/>
      <w:r w:rsidR="00F811F8" w:rsidRPr="0004087F">
        <w:t xml:space="preserve"> </w:t>
      </w:r>
    </w:p>
    <w:p w14:paraId="1A12F907" w14:textId="77777777" w:rsidR="00F811F8" w:rsidRPr="0004087F" w:rsidRDefault="00F811F8" w:rsidP="000E56A8">
      <w:pPr>
        <w:spacing w:after="0" w:line="360" w:lineRule="auto"/>
        <w:ind w:firstLine="142"/>
        <w:jc w:val="both"/>
        <w:rPr>
          <w:rFonts w:ascii="Arial" w:eastAsiaTheme="majorEastAsia" w:hAnsi="Arial" w:cs="Arial"/>
          <w:sz w:val="24"/>
          <w:szCs w:val="24"/>
        </w:rPr>
      </w:pPr>
      <w:r w:rsidRPr="0004087F">
        <w:rPr>
          <w:rFonts w:ascii="Arial" w:eastAsiaTheme="majorEastAsia" w:hAnsi="Arial" w:cs="Arial"/>
          <w:sz w:val="24"/>
          <w:szCs w:val="24"/>
        </w:rPr>
        <w:t>This dissertation employs a rigorous methodology to address the research objectives and hypotheses related to Hong Kong's regulatory environment and its impact on foreign business expansion. The chosen methodology is underpinned by a specific philosophical stance, utilizes a defined research approach, and adheres to strict ethical guidelines.</w:t>
      </w:r>
    </w:p>
    <w:p w14:paraId="1E8C91D7" w14:textId="408096A1" w:rsidR="00F811F8" w:rsidRPr="0004087F" w:rsidRDefault="0004087F" w:rsidP="000E56A8">
      <w:pPr>
        <w:pStyle w:val="Heading2"/>
        <w:jc w:val="both"/>
      </w:pPr>
      <w:bookmarkStart w:id="20" w:name="_Toc194551430"/>
      <w:r>
        <w:t xml:space="preserve">3.1. </w:t>
      </w:r>
      <w:r w:rsidR="00F811F8" w:rsidRPr="0004087F">
        <w:t>Research Philosophy</w:t>
      </w:r>
      <w:bookmarkEnd w:id="20"/>
    </w:p>
    <w:p w14:paraId="11C3948A" w14:textId="604892DA" w:rsidR="00F811F8" w:rsidRPr="0004087F" w:rsidRDefault="00F811F8" w:rsidP="000E56A8">
      <w:pPr>
        <w:spacing w:after="0" w:line="360" w:lineRule="auto"/>
        <w:ind w:firstLine="142"/>
        <w:jc w:val="both"/>
        <w:rPr>
          <w:rFonts w:ascii="Arial" w:hAnsi="Arial" w:cs="Arial"/>
          <w:sz w:val="24"/>
          <w:szCs w:val="24"/>
        </w:rPr>
      </w:pPr>
      <w:r w:rsidRPr="0004087F">
        <w:rPr>
          <w:rFonts w:ascii="Arial" w:hAnsi="Arial" w:cs="Arial"/>
          <w:sz w:val="24"/>
          <w:szCs w:val="24"/>
        </w:rPr>
        <w:t>The research adopts a pragmatist philosophical stance. Pragmatism emphasizes the practical consequences of research and the importance of selecting methods that best address the research questions (Saunders et al., 2019). In this context, the pragmatist philosophy justifies the use of a mixed-methods approach, combining qualitative and quantitative data, to provide a comprehensive understanding of the complex interplay between regulations, macro-environmental factors, and foreign business decisions. This philosophy aligns with the dissertation's aim to offer practical insights for businesses considering expansion into Hong Kong, as mentioned in the introduction.</w:t>
      </w:r>
    </w:p>
    <w:p w14:paraId="0AE9B391" w14:textId="4E2A3705" w:rsidR="00F811F8" w:rsidRPr="0004087F" w:rsidRDefault="00F811F8" w:rsidP="000E56A8">
      <w:pPr>
        <w:pStyle w:val="Heading2"/>
        <w:numPr>
          <w:ilvl w:val="1"/>
          <w:numId w:val="33"/>
        </w:numPr>
        <w:jc w:val="both"/>
      </w:pPr>
      <w:bookmarkStart w:id="21" w:name="_Toc194551431"/>
      <w:r w:rsidRPr="0004087F">
        <w:t>Research Approach</w:t>
      </w:r>
      <w:bookmarkEnd w:id="21"/>
    </w:p>
    <w:p w14:paraId="38318600" w14:textId="201F6C6A" w:rsidR="00F811F8" w:rsidRPr="0004087F" w:rsidRDefault="00F811F8" w:rsidP="000E56A8">
      <w:pPr>
        <w:spacing w:after="0" w:line="360" w:lineRule="auto"/>
        <w:ind w:firstLine="142"/>
        <w:jc w:val="both"/>
        <w:rPr>
          <w:rFonts w:ascii="Arial" w:hAnsi="Arial" w:cs="Arial"/>
          <w:sz w:val="24"/>
          <w:szCs w:val="24"/>
        </w:rPr>
      </w:pPr>
      <w:r w:rsidRPr="0004087F">
        <w:rPr>
          <w:rFonts w:ascii="Arial" w:hAnsi="Arial" w:cs="Arial"/>
          <w:sz w:val="24"/>
          <w:szCs w:val="24"/>
        </w:rPr>
        <w:t>A mixed-methods approach will be adopted, combining qualitative and quantitative data analysis. This approach leverages the strengths of both methodologies to provide a more holistic and nuanced understanding of the research problem (Creswell &amp; Plano Clark, 2018).</w:t>
      </w:r>
    </w:p>
    <w:p w14:paraId="7D4332C7" w14:textId="34F06D0C" w:rsidR="00F811F8" w:rsidRPr="0004087F" w:rsidRDefault="00F811F8" w:rsidP="004C2A6A">
      <w:pPr>
        <w:spacing w:after="0" w:line="360" w:lineRule="auto"/>
        <w:ind w:firstLine="142"/>
        <w:jc w:val="both"/>
        <w:rPr>
          <w:rFonts w:ascii="Arial" w:hAnsi="Arial" w:cs="Arial"/>
          <w:sz w:val="24"/>
          <w:szCs w:val="24"/>
        </w:rPr>
      </w:pPr>
      <w:r w:rsidRPr="0004087F">
        <w:rPr>
          <w:rFonts w:ascii="Arial" w:hAnsi="Arial" w:cs="Arial"/>
          <w:sz w:val="24"/>
          <w:szCs w:val="24"/>
        </w:rPr>
        <w:t>Deductive and Inductive Reasoning: The research will initially employ a deductive approach to test the hypotheses formulated based on the literature review. This will involve using quantitative data, such as FDI statistics and regulatory compliance costs, to assess the validity of the hypotheses. Concurrently, an inductive approach will be used to analyse case studies of foreign businesses in Hong Kong, allowing for the emergence of new themes and insights related to the regulatory environment and its impact on business operations.</w:t>
      </w:r>
      <w:r w:rsidR="004C2A6A">
        <w:rPr>
          <w:rFonts w:ascii="Arial" w:hAnsi="Arial" w:cs="Arial"/>
          <w:sz w:val="24"/>
          <w:szCs w:val="24"/>
        </w:rPr>
        <w:t xml:space="preserve"> </w:t>
      </w:r>
      <w:r w:rsidRPr="0004087F">
        <w:rPr>
          <w:rFonts w:ascii="Arial" w:hAnsi="Arial" w:cs="Arial"/>
          <w:sz w:val="24"/>
          <w:szCs w:val="24"/>
        </w:rPr>
        <w:t>Data Sources: Key data sources will include government publications, industry reports, and peer-reviewed articles.</w:t>
      </w:r>
    </w:p>
    <w:p w14:paraId="18022BD6" w14:textId="655519A4" w:rsidR="00F811F8" w:rsidRPr="0004087F" w:rsidRDefault="00F811F8" w:rsidP="004C2A6A">
      <w:pPr>
        <w:spacing w:after="0" w:line="360" w:lineRule="auto"/>
        <w:ind w:firstLine="142"/>
        <w:jc w:val="both"/>
        <w:rPr>
          <w:rFonts w:ascii="Arial" w:hAnsi="Arial" w:cs="Arial"/>
          <w:sz w:val="24"/>
          <w:szCs w:val="24"/>
        </w:rPr>
      </w:pPr>
      <w:r w:rsidRPr="0004087F">
        <w:rPr>
          <w:rFonts w:ascii="Arial" w:hAnsi="Arial" w:cs="Arial"/>
          <w:sz w:val="24"/>
          <w:szCs w:val="24"/>
        </w:rPr>
        <w:t>Case Studies: The research will examine case studies of foreign companies that have expanded into Hong Kong to provide practical insights into how regulations and macro-environmental factors influence business operations and decisions (Khan et al., 2023).</w:t>
      </w:r>
    </w:p>
    <w:p w14:paraId="07C3B466" w14:textId="77777777" w:rsidR="00696FE2" w:rsidRDefault="00F811F8" w:rsidP="00696FE2">
      <w:pPr>
        <w:pStyle w:val="Heading2"/>
        <w:numPr>
          <w:ilvl w:val="1"/>
          <w:numId w:val="33"/>
        </w:numPr>
        <w:jc w:val="both"/>
      </w:pPr>
      <w:bookmarkStart w:id="22" w:name="_Toc194551432"/>
      <w:r w:rsidRPr="0004087F">
        <w:t>Ethical Considerations</w:t>
      </w:r>
      <w:bookmarkEnd w:id="22"/>
    </w:p>
    <w:p w14:paraId="01DF184B" w14:textId="75A9A249" w:rsidR="00696FE2" w:rsidRDefault="00696FE2" w:rsidP="00696FE2">
      <w:pPr>
        <w:spacing w:after="0" w:line="360" w:lineRule="auto"/>
        <w:ind w:firstLine="142"/>
        <w:jc w:val="both"/>
        <w:rPr>
          <w:rFonts w:ascii="Arial" w:hAnsi="Arial" w:cs="Arial"/>
          <w:sz w:val="24"/>
          <w:szCs w:val="24"/>
        </w:rPr>
      </w:pPr>
      <w:r w:rsidRPr="00696FE2">
        <w:rPr>
          <w:rFonts w:ascii="Arial" w:hAnsi="Arial" w:cs="Arial"/>
          <w:sz w:val="24"/>
          <w:szCs w:val="24"/>
        </w:rPr>
        <w:t xml:space="preserve">This secondary research ensures integrity by critically evaluating sources, avoiding plagiarism through proper citation, and maintaining transparency in analysis. Publicly </w:t>
      </w:r>
      <w:r w:rsidRPr="00696FE2">
        <w:rPr>
          <w:rFonts w:ascii="Arial" w:hAnsi="Arial" w:cs="Arial"/>
          <w:sz w:val="24"/>
          <w:szCs w:val="24"/>
        </w:rPr>
        <w:lastRenderedPageBreak/>
        <w:t>available case studies involving human data are treated confidentially, with anonymization preserved. Potential biases in sources are acknowledged and mitigated through diverse perspectives. The study complies with copyright laws, data protection regulations (e.g., GDPR), and academic ethical standards, using only permissible data. Objectivity is upheld by distinguishing between source conclusions and the researcher’s interpretations. No primary data is collected, eliminating direct ethical risks, but ethical scrutiny of original sources is applied where relevant.</w:t>
      </w:r>
    </w:p>
    <w:p w14:paraId="7B1EBF1E" w14:textId="77777777" w:rsidR="00696FE2" w:rsidRDefault="00696FE2" w:rsidP="00696FE2">
      <w:pPr>
        <w:spacing w:after="0" w:line="360" w:lineRule="auto"/>
        <w:ind w:firstLine="142"/>
        <w:jc w:val="both"/>
        <w:rPr>
          <w:rFonts w:ascii="Arial" w:hAnsi="Arial" w:cs="Arial"/>
          <w:sz w:val="24"/>
          <w:szCs w:val="24"/>
        </w:rPr>
      </w:pPr>
    </w:p>
    <w:p w14:paraId="268F965C" w14:textId="77777777" w:rsidR="00696FE2" w:rsidRDefault="00696FE2" w:rsidP="00696FE2">
      <w:pPr>
        <w:spacing w:after="0" w:line="360" w:lineRule="auto"/>
        <w:ind w:firstLine="142"/>
        <w:jc w:val="both"/>
        <w:rPr>
          <w:rFonts w:ascii="Arial" w:hAnsi="Arial" w:cs="Arial"/>
          <w:sz w:val="24"/>
          <w:szCs w:val="24"/>
        </w:rPr>
      </w:pPr>
    </w:p>
    <w:p w14:paraId="14EA98A5" w14:textId="77777777" w:rsidR="00696FE2" w:rsidRDefault="00696FE2" w:rsidP="00696FE2">
      <w:pPr>
        <w:spacing w:after="0" w:line="360" w:lineRule="auto"/>
        <w:ind w:firstLine="142"/>
        <w:jc w:val="both"/>
        <w:rPr>
          <w:rFonts w:ascii="Arial" w:hAnsi="Arial" w:cs="Arial"/>
          <w:sz w:val="24"/>
          <w:szCs w:val="24"/>
        </w:rPr>
      </w:pPr>
    </w:p>
    <w:p w14:paraId="0B66D5E4" w14:textId="77777777" w:rsidR="00696FE2" w:rsidRDefault="00696FE2" w:rsidP="00696FE2">
      <w:pPr>
        <w:spacing w:after="0" w:line="360" w:lineRule="auto"/>
        <w:ind w:firstLine="142"/>
        <w:jc w:val="both"/>
        <w:rPr>
          <w:rFonts w:ascii="Arial" w:hAnsi="Arial" w:cs="Arial"/>
          <w:sz w:val="24"/>
          <w:szCs w:val="24"/>
        </w:rPr>
      </w:pPr>
    </w:p>
    <w:p w14:paraId="3D69FE78" w14:textId="77777777" w:rsidR="00696FE2" w:rsidRDefault="00696FE2" w:rsidP="00696FE2">
      <w:pPr>
        <w:spacing w:after="0" w:line="360" w:lineRule="auto"/>
        <w:ind w:firstLine="142"/>
        <w:jc w:val="both"/>
        <w:rPr>
          <w:rFonts w:ascii="Arial" w:hAnsi="Arial" w:cs="Arial"/>
          <w:sz w:val="24"/>
          <w:szCs w:val="24"/>
        </w:rPr>
      </w:pPr>
    </w:p>
    <w:p w14:paraId="038ADB8E" w14:textId="77777777" w:rsidR="00696FE2" w:rsidRDefault="00696FE2" w:rsidP="00696FE2">
      <w:pPr>
        <w:spacing w:after="0" w:line="360" w:lineRule="auto"/>
        <w:ind w:firstLine="142"/>
        <w:jc w:val="both"/>
        <w:rPr>
          <w:rFonts w:ascii="Arial" w:hAnsi="Arial" w:cs="Arial"/>
          <w:sz w:val="24"/>
          <w:szCs w:val="24"/>
        </w:rPr>
      </w:pPr>
    </w:p>
    <w:p w14:paraId="329AB6C5" w14:textId="77777777" w:rsidR="00696FE2" w:rsidRDefault="00696FE2" w:rsidP="00696FE2">
      <w:pPr>
        <w:spacing w:after="0" w:line="360" w:lineRule="auto"/>
        <w:ind w:firstLine="142"/>
        <w:jc w:val="both"/>
        <w:rPr>
          <w:rFonts w:ascii="Arial" w:hAnsi="Arial" w:cs="Arial"/>
          <w:sz w:val="24"/>
          <w:szCs w:val="24"/>
        </w:rPr>
      </w:pPr>
    </w:p>
    <w:p w14:paraId="7FE80DAB" w14:textId="77777777" w:rsidR="00696FE2" w:rsidRDefault="00696FE2" w:rsidP="00696FE2">
      <w:pPr>
        <w:spacing w:after="0" w:line="360" w:lineRule="auto"/>
        <w:ind w:firstLine="142"/>
        <w:jc w:val="both"/>
        <w:rPr>
          <w:rFonts w:ascii="Arial" w:hAnsi="Arial" w:cs="Arial"/>
          <w:sz w:val="24"/>
          <w:szCs w:val="24"/>
        </w:rPr>
      </w:pPr>
    </w:p>
    <w:p w14:paraId="2630D0F4" w14:textId="77777777" w:rsidR="00696FE2" w:rsidRDefault="00696FE2" w:rsidP="00696FE2">
      <w:pPr>
        <w:spacing w:after="0" w:line="360" w:lineRule="auto"/>
        <w:ind w:firstLine="142"/>
        <w:jc w:val="both"/>
        <w:rPr>
          <w:rFonts w:ascii="Arial" w:hAnsi="Arial" w:cs="Arial"/>
          <w:sz w:val="24"/>
          <w:szCs w:val="24"/>
        </w:rPr>
      </w:pPr>
    </w:p>
    <w:p w14:paraId="0342A571" w14:textId="77777777" w:rsidR="00696FE2" w:rsidRDefault="00696FE2" w:rsidP="00696FE2">
      <w:pPr>
        <w:spacing w:after="0" w:line="360" w:lineRule="auto"/>
        <w:ind w:firstLine="142"/>
        <w:jc w:val="both"/>
        <w:rPr>
          <w:rFonts w:ascii="Arial" w:hAnsi="Arial" w:cs="Arial"/>
          <w:sz w:val="24"/>
          <w:szCs w:val="24"/>
        </w:rPr>
      </w:pPr>
    </w:p>
    <w:p w14:paraId="3B7F77EA" w14:textId="77777777" w:rsidR="00696FE2" w:rsidRDefault="00696FE2" w:rsidP="00696FE2">
      <w:pPr>
        <w:spacing w:after="0" w:line="360" w:lineRule="auto"/>
        <w:ind w:firstLine="142"/>
        <w:jc w:val="both"/>
        <w:rPr>
          <w:rFonts w:ascii="Arial" w:hAnsi="Arial" w:cs="Arial"/>
          <w:sz w:val="24"/>
          <w:szCs w:val="24"/>
        </w:rPr>
      </w:pPr>
    </w:p>
    <w:p w14:paraId="30556921" w14:textId="77777777" w:rsidR="00696FE2" w:rsidRDefault="00696FE2" w:rsidP="00696FE2">
      <w:pPr>
        <w:spacing w:after="0" w:line="360" w:lineRule="auto"/>
        <w:ind w:firstLine="142"/>
        <w:jc w:val="both"/>
        <w:rPr>
          <w:rFonts w:ascii="Arial" w:hAnsi="Arial" w:cs="Arial"/>
          <w:sz w:val="24"/>
          <w:szCs w:val="24"/>
        </w:rPr>
      </w:pPr>
    </w:p>
    <w:p w14:paraId="6CE10C1E" w14:textId="77777777" w:rsidR="00696FE2" w:rsidRDefault="00696FE2" w:rsidP="00696FE2">
      <w:pPr>
        <w:spacing w:after="0" w:line="360" w:lineRule="auto"/>
        <w:ind w:firstLine="142"/>
        <w:jc w:val="both"/>
        <w:rPr>
          <w:rFonts w:ascii="Arial" w:hAnsi="Arial" w:cs="Arial"/>
          <w:sz w:val="24"/>
          <w:szCs w:val="24"/>
        </w:rPr>
      </w:pPr>
    </w:p>
    <w:p w14:paraId="1CF4674D" w14:textId="77777777" w:rsidR="00696FE2" w:rsidRDefault="00696FE2" w:rsidP="00696FE2">
      <w:pPr>
        <w:spacing w:after="0" w:line="360" w:lineRule="auto"/>
        <w:ind w:firstLine="142"/>
        <w:jc w:val="both"/>
        <w:rPr>
          <w:rFonts w:ascii="Arial" w:hAnsi="Arial" w:cs="Arial"/>
          <w:sz w:val="24"/>
          <w:szCs w:val="24"/>
        </w:rPr>
      </w:pPr>
    </w:p>
    <w:p w14:paraId="14C40918" w14:textId="77777777" w:rsidR="00696FE2" w:rsidRDefault="00696FE2" w:rsidP="00696FE2">
      <w:pPr>
        <w:spacing w:after="0" w:line="360" w:lineRule="auto"/>
        <w:ind w:firstLine="142"/>
        <w:jc w:val="both"/>
        <w:rPr>
          <w:rFonts w:ascii="Arial" w:hAnsi="Arial" w:cs="Arial"/>
          <w:sz w:val="24"/>
          <w:szCs w:val="24"/>
        </w:rPr>
      </w:pPr>
    </w:p>
    <w:p w14:paraId="1BA9D366" w14:textId="77777777" w:rsidR="00696FE2" w:rsidRDefault="00696FE2" w:rsidP="00696FE2">
      <w:pPr>
        <w:spacing w:after="0" w:line="360" w:lineRule="auto"/>
        <w:ind w:firstLine="142"/>
        <w:jc w:val="both"/>
        <w:rPr>
          <w:rFonts w:ascii="Arial" w:hAnsi="Arial" w:cs="Arial"/>
          <w:sz w:val="24"/>
          <w:szCs w:val="24"/>
        </w:rPr>
      </w:pPr>
    </w:p>
    <w:p w14:paraId="22A90061" w14:textId="77777777" w:rsidR="00696FE2" w:rsidRDefault="00696FE2" w:rsidP="00696FE2">
      <w:pPr>
        <w:spacing w:after="0" w:line="360" w:lineRule="auto"/>
        <w:ind w:firstLine="142"/>
        <w:jc w:val="both"/>
        <w:rPr>
          <w:rFonts w:ascii="Arial" w:hAnsi="Arial" w:cs="Arial"/>
          <w:sz w:val="24"/>
          <w:szCs w:val="24"/>
        </w:rPr>
      </w:pPr>
    </w:p>
    <w:p w14:paraId="00012C78" w14:textId="77777777" w:rsidR="00696FE2" w:rsidRDefault="00696FE2" w:rsidP="00696FE2">
      <w:pPr>
        <w:spacing w:after="0" w:line="360" w:lineRule="auto"/>
        <w:ind w:firstLine="142"/>
        <w:jc w:val="both"/>
        <w:rPr>
          <w:rFonts w:ascii="Arial" w:hAnsi="Arial" w:cs="Arial"/>
          <w:sz w:val="24"/>
          <w:szCs w:val="24"/>
        </w:rPr>
      </w:pPr>
    </w:p>
    <w:p w14:paraId="3423D3E5" w14:textId="77777777" w:rsidR="00696FE2" w:rsidRDefault="00696FE2" w:rsidP="00696FE2">
      <w:pPr>
        <w:spacing w:after="0" w:line="360" w:lineRule="auto"/>
        <w:ind w:firstLine="142"/>
        <w:jc w:val="both"/>
        <w:rPr>
          <w:rFonts w:ascii="Arial" w:hAnsi="Arial" w:cs="Arial"/>
          <w:sz w:val="24"/>
          <w:szCs w:val="24"/>
        </w:rPr>
      </w:pPr>
    </w:p>
    <w:p w14:paraId="4CAB00DE" w14:textId="77777777" w:rsidR="00696FE2" w:rsidRDefault="00696FE2" w:rsidP="00696FE2">
      <w:pPr>
        <w:spacing w:after="0" w:line="360" w:lineRule="auto"/>
        <w:ind w:firstLine="142"/>
        <w:jc w:val="both"/>
        <w:rPr>
          <w:rFonts w:ascii="Arial" w:hAnsi="Arial" w:cs="Arial"/>
          <w:sz w:val="24"/>
          <w:szCs w:val="24"/>
        </w:rPr>
      </w:pPr>
    </w:p>
    <w:p w14:paraId="480CCB40" w14:textId="77777777" w:rsidR="00696FE2" w:rsidRDefault="00696FE2" w:rsidP="00696FE2">
      <w:pPr>
        <w:spacing w:after="0" w:line="360" w:lineRule="auto"/>
        <w:ind w:firstLine="142"/>
        <w:jc w:val="both"/>
        <w:rPr>
          <w:rFonts w:ascii="Arial" w:hAnsi="Arial" w:cs="Arial"/>
          <w:sz w:val="24"/>
          <w:szCs w:val="24"/>
        </w:rPr>
      </w:pPr>
    </w:p>
    <w:p w14:paraId="3F57FA7E" w14:textId="77777777" w:rsidR="00696FE2" w:rsidRDefault="00696FE2" w:rsidP="00696FE2">
      <w:pPr>
        <w:spacing w:after="0" w:line="360" w:lineRule="auto"/>
        <w:ind w:firstLine="142"/>
        <w:jc w:val="both"/>
        <w:rPr>
          <w:rFonts w:ascii="Arial" w:hAnsi="Arial" w:cs="Arial"/>
          <w:sz w:val="24"/>
          <w:szCs w:val="24"/>
        </w:rPr>
      </w:pPr>
    </w:p>
    <w:p w14:paraId="62084CF9" w14:textId="77777777" w:rsidR="00696FE2" w:rsidRDefault="00696FE2" w:rsidP="00696FE2">
      <w:pPr>
        <w:spacing w:after="0" w:line="360" w:lineRule="auto"/>
        <w:ind w:firstLine="142"/>
        <w:jc w:val="both"/>
        <w:rPr>
          <w:rFonts w:ascii="Arial" w:hAnsi="Arial" w:cs="Arial"/>
          <w:sz w:val="24"/>
          <w:szCs w:val="24"/>
        </w:rPr>
      </w:pPr>
    </w:p>
    <w:p w14:paraId="3F717223" w14:textId="77777777" w:rsidR="00696FE2" w:rsidRPr="00696FE2" w:rsidRDefault="00696FE2" w:rsidP="00696FE2">
      <w:pPr>
        <w:spacing w:after="0" w:line="360" w:lineRule="auto"/>
        <w:ind w:firstLine="142"/>
        <w:jc w:val="both"/>
        <w:rPr>
          <w:rFonts w:ascii="Arial" w:hAnsi="Arial" w:cs="Arial"/>
          <w:sz w:val="24"/>
          <w:szCs w:val="24"/>
        </w:rPr>
      </w:pPr>
    </w:p>
    <w:p w14:paraId="1CD38E6B" w14:textId="1D23CF94" w:rsidR="002C37FC" w:rsidRPr="0004087F" w:rsidRDefault="008A2F09" w:rsidP="00481EBF">
      <w:pPr>
        <w:pStyle w:val="Heading1"/>
      </w:pPr>
      <w:r w:rsidRPr="0004087F">
        <w:lastRenderedPageBreak/>
        <w:t xml:space="preserve"> </w:t>
      </w:r>
      <w:bookmarkStart w:id="23" w:name="_Toc194551433"/>
      <w:r w:rsidR="002C37FC" w:rsidRPr="0004087F">
        <w:t>Data Analysis and Discussion</w:t>
      </w:r>
      <w:bookmarkEnd w:id="23"/>
    </w:p>
    <w:p w14:paraId="47984AE5" w14:textId="50039BC6" w:rsidR="00696FE2" w:rsidRPr="0004087F" w:rsidRDefault="00C0764D" w:rsidP="00C50910">
      <w:pPr>
        <w:spacing w:after="0" w:line="360" w:lineRule="auto"/>
        <w:ind w:firstLine="142"/>
        <w:jc w:val="both"/>
        <w:rPr>
          <w:rFonts w:ascii="Arial" w:hAnsi="Arial" w:cs="Arial"/>
          <w:sz w:val="24"/>
          <w:szCs w:val="24"/>
        </w:rPr>
      </w:pPr>
      <w:r w:rsidRPr="0004087F">
        <w:rPr>
          <w:rFonts w:ascii="Arial" w:hAnsi="Arial" w:cs="Arial"/>
          <w:sz w:val="24"/>
          <w:szCs w:val="24"/>
        </w:rPr>
        <w:t>This chapter presents a comprehensive analysis of the data collected, focusing on Hong Kong's regulatory environment and its impact on foreign business expansion. Building upon the literature review and methodological framework outlined in the preceding chapters, this section seeks to address the research questions by examining specific regulations, macro-environmental factors, and their influence on foreign businesses operating in Hong Kong. To guide this analysis, the chapter will evaluate three key hypotheses derived from the literature.</w:t>
      </w:r>
    </w:p>
    <w:p w14:paraId="4EB0D073" w14:textId="3C25B69B" w:rsidR="000E423B" w:rsidRPr="0004087F" w:rsidRDefault="000E423B" w:rsidP="000E56A8">
      <w:pPr>
        <w:pStyle w:val="Heading2"/>
        <w:jc w:val="both"/>
      </w:pPr>
      <w:bookmarkStart w:id="24" w:name="_Toc194551434"/>
      <w:r w:rsidRPr="0004087F">
        <w:t>4.</w:t>
      </w:r>
      <w:r w:rsidR="00020BC4">
        <w:t>1</w:t>
      </w:r>
      <w:r w:rsidR="000F53B9" w:rsidRPr="0004087F">
        <w:t xml:space="preserve">. </w:t>
      </w:r>
      <w:r w:rsidR="008A2F09" w:rsidRPr="0004087F">
        <w:t>S</w:t>
      </w:r>
      <w:r w:rsidR="000F53B9" w:rsidRPr="0004087F">
        <w:t>tatistical dat</w:t>
      </w:r>
      <w:r w:rsidR="008A2F09" w:rsidRPr="0004087F">
        <w:t>a and</w:t>
      </w:r>
      <w:r w:rsidR="000F53B9" w:rsidRPr="0004087F">
        <w:t xml:space="preserve"> economic performance</w:t>
      </w:r>
      <w:bookmarkEnd w:id="24"/>
    </w:p>
    <w:p w14:paraId="0141B141" w14:textId="3927C915" w:rsidR="000F53B9" w:rsidRPr="0004087F" w:rsidRDefault="000F53B9" w:rsidP="000E56A8">
      <w:pPr>
        <w:spacing w:after="0" w:line="360" w:lineRule="auto"/>
        <w:ind w:firstLine="142"/>
        <w:jc w:val="both"/>
        <w:rPr>
          <w:rFonts w:ascii="Arial" w:hAnsi="Arial" w:cs="Arial"/>
          <w:sz w:val="24"/>
          <w:szCs w:val="24"/>
        </w:rPr>
      </w:pPr>
      <w:r w:rsidRPr="0004087F">
        <w:rPr>
          <w:rFonts w:ascii="Arial" w:hAnsi="Arial" w:cs="Arial"/>
          <w:sz w:val="24"/>
          <w:szCs w:val="24"/>
        </w:rPr>
        <w:t xml:space="preserve">Hong Kong remains one of the world’s most dynamic and globally integrated economies, serving as a critical financial hub and gateway for trade and investment between mainland China and the rest of the world. In 2023, the territory demonstrated resilience amid global economic uncertainties, geopolitical tensions, and domestic challenges. </w:t>
      </w:r>
    </w:p>
    <w:p w14:paraId="65E9D28C" w14:textId="44F3DD12" w:rsidR="005F4742" w:rsidRDefault="000F53B9" w:rsidP="000E56A8">
      <w:pPr>
        <w:spacing w:after="0" w:line="360" w:lineRule="auto"/>
        <w:ind w:firstLine="142"/>
        <w:jc w:val="both"/>
        <w:rPr>
          <w:rFonts w:ascii="Arial" w:hAnsi="Arial" w:cs="Arial"/>
          <w:sz w:val="24"/>
          <w:szCs w:val="24"/>
        </w:rPr>
      </w:pPr>
      <w:r w:rsidRPr="0004087F">
        <w:rPr>
          <w:rFonts w:ascii="Arial" w:hAnsi="Arial" w:cs="Arial"/>
          <w:sz w:val="24"/>
          <w:szCs w:val="24"/>
        </w:rPr>
        <w:t xml:space="preserve">According to the World Investment Report </w:t>
      </w:r>
      <w:r w:rsidR="005F4742" w:rsidRPr="0004087F">
        <w:rPr>
          <w:rFonts w:ascii="Arial" w:hAnsi="Arial" w:cs="Arial"/>
          <w:sz w:val="24"/>
          <w:szCs w:val="24"/>
        </w:rPr>
        <w:t>(</w:t>
      </w:r>
      <w:r w:rsidRPr="0004087F">
        <w:rPr>
          <w:rFonts w:ascii="Arial" w:hAnsi="Arial" w:cs="Arial"/>
          <w:sz w:val="24"/>
          <w:szCs w:val="24"/>
        </w:rPr>
        <w:t>2024</w:t>
      </w:r>
      <w:r w:rsidR="005F4742" w:rsidRPr="0004087F">
        <w:rPr>
          <w:rFonts w:ascii="Arial" w:hAnsi="Arial" w:cs="Arial"/>
          <w:sz w:val="24"/>
          <w:szCs w:val="24"/>
        </w:rPr>
        <w:t xml:space="preserve">) </w:t>
      </w:r>
      <w:r w:rsidRPr="0004087F">
        <w:rPr>
          <w:rFonts w:ascii="Arial" w:hAnsi="Arial" w:cs="Arial"/>
          <w:sz w:val="24"/>
          <w:szCs w:val="24"/>
        </w:rPr>
        <w:t>by UNCTAD, Hong Kong attracted USD 112.6 billion in FDI inflows in 2023, marking a 2.7% increase from the USD 109.6 billion recorded in 2022</w:t>
      </w:r>
      <w:r w:rsidR="009D4F87" w:rsidRPr="0004087F">
        <w:rPr>
          <w:rFonts w:ascii="Arial" w:hAnsi="Arial" w:cs="Arial"/>
          <w:sz w:val="24"/>
          <w:szCs w:val="24"/>
        </w:rPr>
        <w:t xml:space="preserve">, meanwhile other big economies registered decreasing in FDI inflows. </w:t>
      </w:r>
      <w:r w:rsidRPr="0004087F">
        <w:rPr>
          <w:rFonts w:ascii="Arial" w:hAnsi="Arial" w:cs="Arial"/>
          <w:sz w:val="24"/>
          <w:szCs w:val="24"/>
        </w:rPr>
        <w:t>This placed Hong Kong as the fourth-largest recipient of FDI globally</w:t>
      </w:r>
      <w:r w:rsidR="009D4F87" w:rsidRPr="0004087F">
        <w:rPr>
          <w:rFonts w:ascii="Arial" w:hAnsi="Arial" w:cs="Arial"/>
          <w:sz w:val="24"/>
          <w:szCs w:val="24"/>
        </w:rPr>
        <w:t xml:space="preserve"> (figure 1). From the other hand FDI outflows for Hong Kong decreased</w:t>
      </w:r>
      <w:r w:rsidR="00540BAC" w:rsidRPr="0004087F">
        <w:rPr>
          <w:rFonts w:ascii="Arial" w:hAnsi="Arial" w:cs="Arial"/>
          <w:sz w:val="24"/>
          <w:szCs w:val="24"/>
        </w:rPr>
        <w:t xml:space="preserve"> by approximative 2%.</w:t>
      </w:r>
      <w:r w:rsidR="009D4F87" w:rsidRPr="0004087F">
        <w:rPr>
          <w:rFonts w:ascii="Arial" w:hAnsi="Arial" w:cs="Arial"/>
          <w:sz w:val="24"/>
          <w:szCs w:val="24"/>
        </w:rPr>
        <w:t xml:space="preserve"> </w:t>
      </w:r>
      <w:r w:rsidR="00540BAC" w:rsidRPr="0004087F">
        <w:rPr>
          <w:rFonts w:ascii="Arial" w:hAnsi="Arial" w:cs="Arial"/>
          <w:sz w:val="24"/>
          <w:szCs w:val="24"/>
        </w:rPr>
        <w:t>Decrease in FDI outflows from Hong Kong means that Hong Kong-based companies and investors are investing less capital abroad compared to previous periods. This trend is driven by global economic uncertainty, a shift toward domestic and regional opportunities, and structural challenges in traditional sectors like real estate and finance</w:t>
      </w:r>
      <w:r w:rsidR="00540BAC" w:rsidRPr="0004087F">
        <w:rPr>
          <w:rFonts w:ascii="Arial" w:hAnsi="Arial" w:cs="Arial"/>
          <w:b/>
          <w:bCs/>
          <w:sz w:val="24"/>
          <w:szCs w:val="24"/>
        </w:rPr>
        <w:t xml:space="preserve">. </w:t>
      </w:r>
      <w:r w:rsidRPr="0004087F">
        <w:rPr>
          <w:rFonts w:ascii="Arial" w:hAnsi="Arial" w:cs="Arial"/>
          <w:sz w:val="24"/>
          <w:szCs w:val="24"/>
        </w:rPr>
        <w:t>By the end of 2023, the total FDI stock in Hong Kong reached USD 2.1 trillion, reflecting the territory’s enduring appeal as a global investment hub.</w:t>
      </w:r>
      <w:r w:rsidR="00E916A0" w:rsidRPr="0004087F">
        <w:rPr>
          <w:rFonts w:ascii="Arial" w:hAnsi="Arial" w:cs="Arial"/>
          <w:sz w:val="24"/>
          <w:szCs w:val="24"/>
        </w:rPr>
        <w:t xml:space="preserve"> </w:t>
      </w:r>
    </w:p>
    <w:p w14:paraId="244EFC86" w14:textId="77777777" w:rsidR="0004087F" w:rsidRDefault="0004087F" w:rsidP="000E56A8">
      <w:pPr>
        <w:spacing w:after="0" w:line="360" w:lineRule="auto"/>
        <w:ind w:firstLine="142"/>
        <w:jc w:val="both"/>
        <w:rPr>
          <w:rFonts w:ascii="Arial" w:hAnsi="Arial" w:cs="Arial"/>
          <w:sz w:val="24"/>
          <w:szCs w:val="24"/>
        </w:rPr>
      </w:pPr>
    </w:p>
    <w:p w14:paraId="2BF75A78" w14:textId="77777777" w:rsidR="0004087F" w:rsidRDefault="0004087F" w:rsidP="000E56A8">
      <w:pPr>
        <w:spacing w:after="0" w:line="360" w:lineRule="auto"/>
        <w:ind w:firstLine="142"/>
        <w:jc w:val="both"/>
        <w:rPr>
          <w:rFonts w:ascii="Arial" w:hAnsi="Arial" w:cs="Arial"/>
          <w:sz w:val="24"/>
          <w:szCs w:val="24"/>
        </w:rPr>
      </w:pPr>
    </w:p>
    <w:p w14:paraId="4F5A78BB" w14:textId="77777777" w:rsidR="0004087F" w:rsidRDefault="0004087F" w:rsidP="000E56A8">
      <w:pPr>
        <w:spacing w:after="0" w:line="360" w:lineRule="auto"/>
        <w:ind w:firstLine="142"/>
        <w:jc w:val="both"/>
        <w:rPr>
          <w:rFonts w:ascii="Arial" w:hAnsi="Arial" w:cs="Arial"/>
          <w:sz w:val="24"/>
          <w:szCs w:val="24"/>
        </w:rPr>
      </w:pPr>
    </w:p>
    <w:p w14:paraId="2CD7406B" w14:textId="77777777" w:rsidR="0004087F" w:rsidRDefault="0004087F" w:rsidP="000E56A8">
      <w:pPr>
        <w:spacing w:after="0" w:line="360" w:lineRule="auto"/>
        <w:ind w:firstLine="142"/>
        <w:jc w:val="both"/>
        <w:rPr>
          <w:rFonts w:ascii="Arial" w:hAnsi="Arial" w:cs="Arial"/>
          <w:sz w:val="24"/>
          <w:szCs w:val="24"/>
        </w:rPr>
      </w:pPr>
    </w:p>
    <w:p w14:paraId="1CE0D863" w14:textId="77777777" w:rsidR="0004087F" w:rsidRDefault="0004087F" w:rsidP="000E56A8">
      <w:pPr>
        <w:spacing w:after="0" w:line="360" w:lineRule="auto"/>
        <w:ind w:firstLine="142"/>
        <w:jc w:val="both"/>
        <w:rPr>
          <w:rFonts w:ascii="Arial" w:hAnsi="Arial" w:cs="Arial"/>
          <w:sz w:val="24"/>
          <w:szCs w:val="24"/>
        </w:rPr>
      </w:pPr>
    </w:p>
    <w:p w14:paraId="61251ED0" w14:textId="77777777" w:rsidR="0004087F" w:rsidRDefault="0004087F" w:rsidP="000E56A8">
      <w:pPr>
        <w:spacing w:after="0" w:line="360" w:lineRule="auto"/>
        <w:ind w:firstLine="142"/>
        <w:jc w:val="both"/>
        <w:rPr>
          <w:rFonts w:ascii="Arial" w:hAnsi="Arial" w:cs="Arial"/>
          <w:sz w:val="24"/>
          <w:szCs w:val="24"/>
        </w:rPr>
      </w:pPr>
    </w:p>
    <w:p w14:paraId="13F44B24" w14:textId="77777777" w:rsidR="0004087F" w:rsidRDefault="0004087F" w:rsidP="000E56A8">
      <w:pPr>
        <w:spacing w:after="0" w:line="360" w:lineRule="auto"/>
        <w:ind w:firstLine="142"/>
        <w:jc w:val="both"/>
        <w:rPr>
          <w:rFonts w:ascii="Arial" w:hAnsi="Arial" w:cs="Arial"/>
          <w:sz w:val="24"/>
          <w:szCs w:val="24"/>
        </w:rPr>
      </w:pPr>
    </w:p>
    <w:p w14:paraId="1ED10D76" w14:textId="77777777" w:rsidR="0004087F" w:rsidRDefault="0004087F" w:rsidP="000E56A8">
      <w:pPr>
        <w:spacing w:after="0" w:line="360" w:lineRule="auto"/>
        <w:ind w:firstLine="142"/>
        <w:jc w:val="both"/>
        <w:rPr>
          <w:rFonts w:ascii="Arial" w:hAnsi="Arial" w:cs="Arial"/>
          <w:sz w:val="24"/>
          <w:szCs w:val="24"/>
        </w:rPr>
      </w:pPr>
    </w:p>
    <w:p w14:paraId="6249D2FC" w14:textId="77777777" w:rsidR="0004087F" w:rsidRDefault="0004087F" w:rsidP="0001150C">
      <w:pPr>
        <w:spacing w:after="0" w:line="360" w:lineRule="auto"/>
        <w:jc w:val="both"/>
        <w:rPr>
          <w:rFonts w:ascii="Arial" w:hAnsi="Arial" w:cs="Arial"/>
          <w:sz w:val="24"/>
          <w:szCs w:val="24"/>
        </w:rPr>
      </w:pPr>
    </w:p>
    <w:p w14:paraId="0AA77A26" w14:textId="77777777" w:rsidR="0004087F" w:rsidRPr="0004087F" w:rsidRDefault="0004087F" w:rsidP="000E56A8">
      <w:pPr>
        <w:spacing w:after="0" w:line="360" w:lineRule="auto"/>
        <w:ind w:firstLine="142"/>
        <w:jc w:val="both"/>
        <w:rPr>
          <w:rFonts w:ascii="Arial" w:hAnsi="Arial" w:cs="Arial"/>
          <w:sz w:val="24"/>
          <w:szCs w:val="24"/>
        </w:rPr>
      </w:pPr>
      <w:r w:rsidRPr="0004087F">
        <w:rPr>
          <w:rFonts w:ascii="Arial" w:hAnsi="Arial" w:cs="Arial"/>
          <w:sz w:val="24"/>
          <w:szCs w:val="24"/>
        </w:rPr>
        <w:lastRenderedPageBreak/>
        <w:t>Figure 1. Foreign direct investment inflows</w:t>
      </w:r>
    </w:p>
    <w:p w14:paraId="0D729EC5" w14:textId="3B615347" w:rsidR="000F53B9" w:rsidRPr="0004087F" w:rsidRDefault="000F53B9" w:rsidP="000E56A8">
      <w:pPr>
        <w:spacing w:after="0" w:line="360" w:lineRule="auto"/>
        <w:ind w:firstLine="142"/>
        <w:jc w:val="both"/>
        <w:rPr>
          <w:rFonts w:ascii="Arial" w:hAnsi="Arial" w:cs="Arial"/>
          <w:sz w:val="24"/>
          <w:szCs w:val="24"/>
        </w:rPr>
      </w:pPr>
      <w:r w:rsidRPr="0004087F">
        <w:rPr>
          <w:rFonts w:ascii="Arial" w:hAnsi="Arial" w:cs="Arial"/>
          <w:noProof/>
          <w:sz w:val="24"/>
          <w:szCs w:val="24"/>
        </w:rPr>
        <w:drawing>
          <wp:inline distT="0" distB="0" distL="0" distR="0" wp14:anchorId="4978D912" wp14:editId="15F38C7D">
            <wp:extent cx="4343400" cy="5547360"/>
            <wp:effectExtent l="0" t="0" r="0" b="0"/>
            <wp:docPr id="3276425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43400" cy="5547360"/>
                    </a:xfrm>
                    <a:prstGeom prst="rect">
                      <a:avLst/>
                    </a:prstGeom>
                    <a:noFill/>
                    <a:ln>
                      <a:noFill/>
                    </a:ln>
                  </pic:spPr>
                </pic:pic>
              </a:graphicData>
            </a:graphic>
          </wp:inline>
        </w:drawing>
      </w:r>
    </w:p>
    <w:p w14:paraId="30E13BB3" w14:textId="77777777" w:rsidR="005F4742" w:rsidRPr="0004087F" w:rsidRDefault="005F4742" w:rsidP="000E56A8">
      <w:pPr>
        <w:spacing w:after="0" w:line="360" w:lineRule="auto"/>
        <w:ind w:firstLine="142"/>
        <w:jc w:val="both"/>
        <w:rPr>
          <w:rFonts w:ascii="Arial" w:hAnsi="Arial" w:cs="Arial"/>
          <w:sz w:val="24"/>
          <w:szCs w:val="24"/>
        </w:rPr>
      </w:pPr>
    </w:p>
    <w:p w14:paraId="55C96A71" w14:textId="64E4FCCB" w:rsidR="000F53B9" w:rsidRPr="0004087F" w:rsidRDefault="000F53B9" w:rsidP="000E56A8">
      <w:pPr>
        <w:spacing w:after="0" w:line="360" w:lineRule="auto"/>
        <w:ind w:firstLine="142"/>
        <w:jc w:val="both"/>
        <w:rPr>
          <w:rFonts w:ascii="Arial" w:hAnsi="Arial" w:cs="Arial"/>
          <w:sz w:val="24"/>
          <w:szCs w:val="24"/>
        </w:rPr>
      </w:pPr>
      <w:r w:rsidRPr="0004087F">
        <w:rPr>
          <w:rFonts w:ascii="Arial" w:hAnsi="Arial" w:cs="Arial"/>
          <w:sz w:val="24"/>
          <w:szCs w:val="24"/>
        </w:rPr>
        <w:t xml:space="preserve"> </w:t>
      </w:r>
      <w:r w:rsidR="0001150C" w:rsidRPr="0004087F">
        <w:rPr>
          <w:rFonts w:ascii="Arial" w:hAnsi="Arial" w:cs="Arial"/>
          <w:sz w:val="24"/>
          <w:szCs w:val="24"/>
        </w:rPr>
        <w:t>Source: UNCTAD, FDI/MNE database (www.unctad.org/fdistatistics).</w:t>
      </w:r>
    </w:p>
    <w:p w14:paraId="5DA4119D" w14:textId="77777777" w:rsidR="008A2F09" w:rsidRPr="0004087F" w:rsidRDefault="008A2F09" w:rsidP="000E56A8">
      <w:pPr>
        <w:spacing w:after="0" w:line="360" w:lineRule="auto"/>
        <w:ind w:firstLine="142"/>
        <w:jc w:val="both"/>
        <w:rPr>
          <w:rFonts w:ascii="Arial" w:hAnsi="Arial" w:cs="Arial"/>
          <w:sz w:val="24"/>
          <w:szCs w:val="24"/>
        </w:rPr>
      </w:pPr>
    </w:p>
    <w:p w14:paraId="35849F35" w14:textId="77777777" w:rsidR="008A2F09" w:rsidRPr="0004087F" w:rsidRDefault="008A2F09" w:rsidP="000E56A8">
      <w:pPr>
        <w:spacing w:after="0" w:line="360" w:lineRule="auto"/>
        <w:ind w:firstLine="142"/>
        <w:jc w:val="both"/>
        <w:rPr>
          <w:rFonts w:ascii="Arial" w:hAnsi="Arial" w:cs="Arial"/>
          <w:sz w:val="24"/>
          <w:szCs w:val="24"/>
        </w:rPr>
      </w:pPr>
    </w:p>
    <w:p w14:paraId="1777BE11" w14:textId="77777777" w:rsidR="008A2F09" w:rsidRPr="0004087F" w:rsidRDefault="008A2F09" w:rsidP="000E56A8">
      <w:pPr>
        <w:spacing w:after="0" w:line="360" w:lineRule="auto"/>
        <w:ind w:firstLine="142"/>
        <w:jc w:val="both"/>
        <w:rPr>
          <w:rFonts w:ascii="Arial" w:hAnsi="Arial" w:cs="Arial"/>
          <w:sz w:val="24"/>
          <w:szCs w:val="24"/>
        </w:rPr>
      </w:pPr>
    </w:p>
    <w:p w14:paraId="4A367E7C" w14:textId="77777777" w:rsidR="0004087F" w:rsidRPr="0004087F" w:rsidRDefault="0004087F" w:rsidP="000E56A8">
      <w:pPr>
        <w:spacing w:after="0" w:line="360" w:lineRule="auto"/>
        <w:ind w:firstLine="142"/>
        <w:jc w:val="both"/>
        <w:rPr>
          <w:rFonts w:ascii="Arial" w:hAnsi="Arial" w:cs="Arial"/>
          <w:sz w:val="24"/>
          <w:szCs w:val="24"/>
        </w:rPr>
      </w:pPr>
    </w:p>
    <w:p w14:paraId="49A465B8" w14:textId="77777777" w:rsidR="008A2F09" w:rsidRDefault="008A2F09" w:rsidP="000E56A8">
      <w:pPr>
        <w:spacing w:after="0" w:line="360" w:lineRule="auto"/>
        <w:ind w:firstLine="142"/>
        <w:jc w:val="both"/>
        <w:rPr>
          <w:rFonts w:ascii="Arial" w:hAnsi="Arial" w:cs="Arial"/>
          <w:sz w:val="24"/>
          <w:szCs w:val="24"/>
        </w:rPr>
      </w:pPr>
    </w:p>
    <w:p w14:paraId="2B3CC334" w14:textId="77777777" w:rsidR="00020BC4" w:rsidRDefault="00020BC4" w:rsidP="000E56A8">
      <w:pPr>
        <w:spacing w:after="0" w:line="360" w:lineRule="auto"/>
        <w:ind w:firstLine="142"/>
        <w:jc w:val="both"/>
        <w:rPr>
          <w:rFonts w:ascii="Arial" w:hAnsi="Arial" w:cs="Arial"/>
          <w:sz w:val="24"/>
          <w:szCs w:val="24"/>
        </w:rPr>
      </w:pPr>
    </w:p>
    <w:p w14:paraId="081B8972" w14:textId="77777777" w:rsidR="00020BC4" w:rsidRDefault="00020BC4" w:rsidP="0001150C">
      <w:pPr>
        <w:spacing w:after="0" w:line="360" w:lineRule="auto"/>
        <w:jc w:val="both"/>
        <w:rPr>
          <w:rFonts w:ascii="Arial" w:hAnsi="Arial" w:cs="Arial"/>
          <w:sz w:val="24"/>
          <w:szCs w:val="24"/>
        </w:rPr>
      </w:pPr>
    </w:p>
    <w:p w14:paraId="7A01C4BB" w14:textId="77777777" w:rsidR="008046B9" w:rsidRDefault="008046B9" w:rsidP="0001150C">
      <w:pPr>
        <w:spacing w:after="0" w:line="360" w:lineRule="auto"/>
        <w:jc w:val="both"/>
        <w:rPr>
          <w:rFonts w:ascii="Arial" w:hAnsi="Arial" w:cs="Arial"/>
          <w:sz w:val="24"/>
          <w:szCs w:val="24"/>
        </w:rPr>
      </w:pPr>
    </w:p>
    <w:p w14:paraId="7D2535E3" w14:textId="77777777" w:rsidR="0001150C" w:rsidRDefault="0001150C" w:rsidP="0001150C">
      <w:pPr>
        <w:spacing w:after="0" w:line="360" w:lineRule="auto"/>
        <w:jc w:val="both"/>
        <w:rPr>
          <w:rFonts w:ascii="Arial" w:hAnsi="Arial" w:cs="Arial"/>
          <w:sz w:val="24"/>
          <w:szCs w:val="24"/>
        </w:rPr>
      </w:pPr>
    </w:p>
    <w:p w14:paraId="3BF9798F" w14:textId="77777777" w:rsidR="0001150C" w:rsidRPr="0004087F" w:rsidRDefault="0001150C" w:rsidP="0001150C">
      <w:pPr>
        <w:spacing w:after="0" w:line="360" w:lineRule="auto"/>
        <w:jc w:val="both"/>
        <w:rPr>
          <w:rFonts w:ascii="Arial" w:hAnsi="Arial" w:cs="Arial"/>
          <w:sz w:val="24"/>
          <w:szCs w:val="24"/>
        </w:rPr>
      </w:pPr>
    </w:p>
    <w:p w14:paraId="0516DE81" w14:textId="7BA4A43E" w:rsidR="000F53B9" w:rsidRPr="0004087F" w:rsidRDefault="000F53B9" w:rsidP="000E56A8">
      <w:pPr>
        <w:spacing w:after="0" w:line="360" w:lineRule="auto"/>
        <w:ind w:firstLine="142"/>
        <w:jc w:val="both"/>
        <w:rPr>
          <w:rFonts w:ascii="Arial" w:hAnsi="Arial" w:cs="Arial"/>
          <w:sz w:val="24"/>
          <w:szCs w:val="24"/>
        </w:rPr>
      </w:pPr>
      <w:r w:rsidRPr="0004087F">
        <w:rPr>
          <w:rFonts w:ascii="Arial" w:hAnsi="Arial" w:cs="Arial"/>
          <w:sz w:val="24"/>
          <w:szCs w:val="24"/>
        </w:rPr>
        <w:t>Figure 2. Foreign direct investment outflows</w:t>
      </w:r>
    </w:p>
    <w:p w14:paraId="178EA37A" w14:textId="755E7205" w:rsidR="000F53B9" w:rsidRPr="0004087F" w:rsidRDefault="000F53B9" w:rsidP="000E56A8">
      <w:pPr>
        <w:spacing w:after="0" w:line="360" w:lineRule="auto"/>
        <w:ind w:firstLine="142"/>
        <w:jc w:val="both"/>
        <w:rPr>
          <w:rFonts w:ascii="Arial" w:hAnsi="Arial" w:cs="Arial"/>
          <w:sz w:val="24"/>
          <w:szCs w:val="24"/>
        </w:rPr>
      </w:pPr>
      <w:r w:rsidRPr="0004087F">
        <w:rPr>
          <w:rFonts w:ascii="Arial" w:hAnsi="Arial" w:cs="Arial"/>
          <w:noProof/>
          <w:sz w:val="24"/>
          <w:szCs w:val="24"/>
        </w:rPr>
        <w:drawing>
          <wp:inline distT="0" distB="0" distL="0" distR="0" wp14:anchorId="4F737A94" wp14:editId="592B8371">
            <wp:extent cx="4533900" cy="5798820"/>
            <wp:effectExtent l="0" t="0" r="0" b="0"/>
            <wp:docPr id="15214085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33900" cy="5798820"/>
                    </a:xfrm>
                    <a:prstGeom prst="rect">
                      <a:avLst/>
                    </a:prstGeom>
                    <a:noFill/>
                    <a:ln>
                      <a:noFill/>
                    </a:ln>
                  </pic:spPr>
                </pic:pic>
              </a:graphicData>
            </a:graphic>
          </wp:inline>
        </w:drawing>
      </w:r>
    </w:p>
    <w:p w14:paraId="49D0315C" w14:textId="58E6F36A" w:rsidR="00020BC4" w:rsidRPr="0004087F" w:rsidRDefault="000F53B9" w:rsidP="008046B9">
      <w:pPr>
        <w:spacing w:after="0" w:line="360" w:lineRule="auto"/>
        <w:ind w:firstLine="142"/>
        <w:jc w:val="both"/>
        <w:rPr>
          <w:rFonts w:ascii="Arial" w:hAnsi="Arial" w:cs="Arial"/>
          <w:sz w:val="24"/>
          <w:szCs w:val="24"/>
        </w:rPr>
      </w:pPr>
      <w:r w:rsidRPr="0004087F">
        <w:rPr>
          <w:rFonts w:ascii="Arial" w:hAnsi="Arial" w:cs="Arial"/>
          <w:sz w:val="24"/>
          <w:szCs w:val="24"/>
        </w:rPr>
        <w:t>Source: UNCTAD, FDI/MNE database (www.unctad.org/fdistatistics). Note: Negative outflows result from divestments and the repayment of intracompany loans.</w:t>
      </w:r>
    </w:p>
    <w:p w14:paraId="65966D1F" w14:textId="6CB92722" w:rsidR="0004087F" w:rsidRPr="0004087F" w:rsidRDefault="009D4F87" w:rsidP="0001150C">
      <w:pPr>
        <w:spacing w:after="0" w:line="360" w:lineRule="auto"/>
        <w:ind w:firstLine="142"/>
        <w:jc w:val="both"/>
        <w:rPr>
          <w:rFonts w:ascii="Arial" w:hAnsi="Arial" w:cs="Arial"/>
          <w:sz w:val="24"/>
          <w:szCs w:val="24"/>
        </w:rPr>
      </w:pPr>
      <w:r w:rsidRPr="0004087F">
        <w:rPr>
          <w:rFonts w:ascii="Arial" w:hAnsi="Arial" w:cs="Arial"/>
          <w:sz w:val="24"/>
          <w:szCs w:val="24"/>
        </w:rPr>
        <w:t>The Census and Statistics Department of Hong Kong reported that the largest sources of FDI stock by the end of 2023 were China (31.1%), the British Virgin Islands (30.5%), the Cayman Islands (10.6%), and the United Kingdom (9.3%)</w:t>
      </w:r>
      <w:r w:rsidR="00540BAC" w:rsidRPr="0004087F">
        <w:rPr>
          <w:rFonts w:ascii="Arial" w:hAnsi="Arial" w:cs="Arial"/>
          <w:sz w:val="24"/>
          <w:szCs w:val="24"/>
        </w:rPr>
        <w:t xml:space="preserve"> (Figure 3).  </w:t>
      </w:r>
      <w:r w:rsidRPr="0004087F">
        <w:rPr>
          <w:rFonts w:ascii="Arial" w:hAnsi="Arial" w:cs="Arial"/>
          <w:sz w:val="24"/>
          <w:szCs w:val="24"/>
        </w:rPr>
        <w:t>In terms of economic activities, investment and holding, real estate, and professional and business services accounted for the largest share of inward FDI at 67.1%. This was followed by the banking sector (11.6%) and import/export, wholesale, and retail trades (10.8%)</w:t>
      </w:r>
      <w:r w:rsidR="00540BAC" w:rsidRPr="0004087F">
        <w:rPr>
          <w:rFonts w:ascii="Arial" w:hAnsi="Arial" w:cs="Arial"/>
          <w:sz w:val="24"/>
          <w:szCs w:val="24"/>
        </w:rPr>
        <w:t xml:space="preserve"> (figure 4).</w:t>
      </w:r>
    </w:p>
    <w:p w14:paraId="1770503E" w14:textId="75427EE1" w:rsidR="0001150C" w:rsidRPr="0001150C" w:rsidRDefault="00540BAC" w:rsidP="0001150C">
      <w:pPr>
        <w:spacing w:after="0" w:line="360" w:lineRule="auto"/>
        <w:ind w:firstLine="142"/>
        <w:jc w:val="both"/>
        <w:rPr>
          <w:rFonts w:ascii="Arial" w:hAnsi="Arial" w:cs="Arial"/>
          <w:sz w:val="24"/>
          <w:szCs w:val="24"/>
        </w:rPr>
      </w:pPr>
      <w:r w:rsidRPr="0001150C">
        <w:rPr>
          <w:rFonts w:ascii="Arial" w:hAnsi="Arial" w:cs="Arial"/>
          <w:sz w:val="24"/>
          <w:szCs w:val="24"/>
        </w:rPr>
        <w:lastRenderedPageBreak/>
        <w:t xml:space="preserve">Figure </w:t>
      </w:r>
      <w:r w:rsidR="0001150C" w:rsidRPr="0001150C">
        <w:rPr>
          <w:rFonts w:ascii="Arial" w:hAnsi="Arial" w:cs="Arial"/>
          <w:sz w:val="24"/>
          <w:szCs w:val="24"/>
        </w:rPr>
        <w:t>3. Percentage share of inward direct investment (DI) position by selected major investor county/territory at end of 2023</w:t>
      </w:r>
    </w:p>
    <w:p w14:paraId="66B4C752" w14:textId="24CE8858" w:rsidR="00540BAC" w:rsidRPr="0004087F" w:rsidRDefault="00540BAC" w:rsidP="000E56A8">
      <w:pPr>
        <w:spacing w:after="0" w:line="360" w:lineRule="auto"/>
        <w:ind w:firstLine="142"/>
        <w:jc w:val="both"/>
        <w:rPr>
          <w:rFonts w:ascii="Arial" w:hAnsi="Arial" w:cs="Arial"/>
          <w:sz w:val="24"/>
          <w:szCs w:val="24"/>
        </w:rPr>
      </w:pPr>
      <w:r w:rsidRPr="0004087F">
        <w:rPr>
          <w:rFonts w:ascii="Arial" w:hAnsi="Arial" w:cs="Arial"/>
          <w:noProof/>
          <w:sz w:val="24"/>
          <w:szCs w:val="24"/>
        </w:rPr>
        <w:drawing>
          <wp:inline distT="0" distB="0" distL="0" distR="0" wp14:anchorId="133127A7" wp14:editId="58087E6D">
            <wp:extent cx="4751136" cy="3175000"/>
            <wp:effectExtent l="0" t="0" r="0" b="6350"/>
            <wp:docPr id="7192726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9"/>
                    <pic:cNvPicPr>
                      <a:picLocks noChangeAspect="1" noChangeArrowheads="1"/>
                    </pic:cNvPicPr>
                  </pic:nvPicPr>
                  <pic:blipFill rotWithShape="1">
                    <a:blip r:embed="rId12">
                      <a:extLst>
                        <a:ext uri="{28A0092B-C50C-407E-A947-70E740481C1C}">
                          <a14:useLocalDpi xmlns:a14="http://schemas.microsoft.com/office/drawing/2010/main" val="0"/>
                        </a:ext>
                      </a:extLst>
                    </a:blip>
                    <a:srcRect l="11703" r="4920"/>
                    <a:stretch/>
                  </pic:blipFill>
                  <pic:spPr bwMode="auto">
                    <a:xfrm>
                      <a:off x="0" y="0"/>
                      <a:ext cx="4789131" cy="3200390"/>
                    </a:xfrm>
                    <a:prstGeom prst="rect">
                      <a:avLst/>
                    </a:prstGeom>
                    <a:noFill/>
                    <a:ln>
                      <a:noFill/>
                    </a:ln>
                    <a:extLst>
                      <a:ext uri="{53640926-AAD7-44D8-BBD7-CCE9431645EC}">
                        <a14:shadowObscured xmlns:a14="http://schemas.microsoft.com/office/drawing/2010/main"/>
                      </a:ext>
                    </a:extLst>
                  </pic:spPr>
                </pic:pic>
              </a:graphicData>
            </a:graphic>
          </wp:inline>
        </w:drawing>
      </w:r>
    </w:p>
    <w:p w14:paraId="5501B167" w14:textId="77777777" w:rsidR="00540BAC" w:rsidRPr="0004087F" w:rsidRDefault="00540BAC" w:rsidP="000E56A8">
      <w:pPr>
        <w:spacing w:after="0" w:line="360" w:lineRule="auto"/>
        <w:ind w:firstLine="142"/>
        <w:jc w:val="both"/>
        <w:rPr>
          <w:rFonts w:ascii="Arial" w:hAnsi="Arial" w:cs="Arial"/>
          <w:sz w:val="24"/>
          <w:szCs w:val="24"/>
        </w:rPr>
      </w:pPr>
      <w:r w:rsidRPr="0004087F">
        <w:rPr>
          <w:rFonts w:ascii="Arial" w:hAnsi="Arial" w:cs="Arial"/>
          <w:sz w:val="24"/>
          <w:szCs w:val="24"/>
        </w:rPr>
        <w:t>Source:</w:t>
      </w:r>
      <w:r w:rsidRPr="0004087F">
        <w:rPr>
          <w:rFonts w:ascii="Arial" w:eastAsia="Times New Roman" w:hAnsi="Arial" w:cs="Arial"/>
          <w:b/>
          <w:color w:val="30787E"/>
          <w:kern w:val="36"/>
          <w:sz w:val="24"/>
          <w:szCs w:val="24"/>
          <w:lang w:eastAsia="en-GB"/>
          <w14:ligatures w14:val="none"/>
        </w:rPr>
        <w:t xml:space="preserve"> </w:t>
      </w:r>
      <w:r w:rsidRPr="0004087F">
        <w:rPr>
          <w:rFonts w:ascii="Arial" w:hAnsi="Arial" w:cs="Arial"/>
          <w:i/>
          <w:iCs/>
          <w:sz w:val="24"/>
          <w:szCs w:val="24"/>
        </w:rPr>
        <w:t>External Direct Investment</w:t>
      </w:r>
      <w:r w:rsidRPr="0004087F">
        <w:rPr>
          <w:rFonts w:ascii="Arial" w:hAnsi="Arial" w:cs="Arial"/>
          <w:sz w:val="24"/>
          <w:szCs w:val="24"/>
        </w:rPr>
        <w:t xml:space="preserve">, Statistics of Hong Kong, 2023 edition </w:t>
      </w:r>
    </w:p>
    <w:p w14:paraId="070A8FFA" w14:textId="77777777" w:rsidR="00020BC4" w:rsidRDefault="00020BC4" w:rsidP="000E56A8">
      <w:pPr>
        <w:spacing w:after="0" w:line="360" w:lineRule="auto"/>
        <w:ind w:firstLine="142"/>
        <w:jc w:val="both"/>
        <w:rPr>
          <w:rFonts w:ascii="Arial" w:hAnsi="Arial" w:cs="Arial"/>
          <w:sz w:val="24"/>
          <w:szCs w:val="24"/>
        </w:rPr>
      </w:pPr>
    </w:p>
    <w:p w14:paraId="76D6C7B9" w14:textId="0FE2302B" w:rsidR="0001150C" w:rsidRDefault="00540BAC" w:rsidP="000E56A8">
      <w:pPr>
        <w:spacing w:after="0" w:line="360" w:lineRule="auto"/>
        <w:ind w:firstLine="142"/>
        <w:jc w:val="both"/>
        <w:rPr>
          <w:rFonts w:ascii="Arial" w:hAnsi="Arial" w:cs="Arial"/>
        </w:rPr>
      </w:pPr>
      <w:r w:rsidRPr="0001150C">
        <w:rPr>
          <w:rFonts w:ascii="Arial" w:hAnsi="Arial" w:cs="Arial"/>
        </w:rPr>
        <w:t>Figure 4</w:t>
      </w:r>
      <w:r w:rsidR="0001150C" w:rsidRPr="0001150C">
        <w:rPr>
          <w:rFonts w:ascii="Arial" w:hAnsi="Arial" w:cs="Arial"/>
        </w:rPr>
        <w:t xml:space="preserve">. Percentage share of inward direct investment (DI) position by </w:t>
      </w:r>
      <w:r w:rsidR="0001150C">
        <w:rPr>
          <w:rFonts w:ascii="Arial" w:hAnsi="Arial" w:cs="Arial"/>
        </w:rPr>
        <w:t>major economic activity of Hong Kong enterprise groups</w:t>
      </w:r>
      <w:r w:rsidR="0001150C" w:rsidRPr="0001150C">
        <w:rPr>
          <w:rFonts w:ascii="Arial" w:hAnsi="Arial" w:cs="Arial"/>
        </w:rPr>
        <w:t xml:space="preserve"> at end of 2023</w:t>
      </w:r>
    </w:p>
    <w:p w14:paraId="3B274FB1" w14:textId="77777777" w:rsidR="008046B9" w:rsidRDefault="00540BAC" w:rsidP="008046B9">
      <w:pPr>
        <w:spacing w:after="0" w:line="360" w:lineRule="auto"/>
        <w:ind w:firstLine="142"/>
        <w:jc w:val="both"/>
        <w:rPr>
          <w:rFonts w:ascii="Arial" w:hAnsi="Arial" w:cs="Arial"/>
          <w:sz w:val="24"/>
          <w:szCs w:val="24"/>
        </w:rPr>
      </w:pPr>
      <w:r w:rsidRPr="0004087F">
        <w:rPr>
          <w:rFonts w:ascii="Arial" w:hAnsi="Arial" w:cs="Arial"/>
          <w:noProof/>
          <w:sz w:val="24"/>
          <w:szCs w:val="24"/>
        </w:rPr>
        <w:drawing>
          <wp:inline distT="0" distB="0" distL="0" distR="0" wp14:anchorId="131E5AB3" wp14:editId="6F75BF4B">
            <wp:extent cx="4442513" cy="3002280"/>
            <wp:effectExtent l="0" t="0" r="0" b="7620"/>
            <wp:docPr id="203599086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0"/>
                    <pic:cNvPicPr>
                      <a:picLocks noChangeAspect="1" noChangeArrowheads="1"/>
                    </pic:cNvPicPr>
                  </pic:nvPicPr>
                  <pic:blipFill rotWithShape="1">
                    <a:blip r:embed="rId13">
                      <a:extLst>
                        <a:ext uri="{28A0092B-C50C-407E-A947-70E740481C1C}">
                          <a14:useLocalDpi xmlns:a14="http://schemas.microsoft.com/office/drawing/2010/main" val="0"/>
                        </a:ext>
                      </a:extLst>
                    </a:blip>
                    <a:srcRect l="12234" r="5319"/>
                    <a:stretch/>
                  </pic:blipFill>
                  <pic:spPr bwMode="auto">
                    <a:xfrm>
                      <a:off x="0" y="0"/>
                      <a:ext cx="4464600" cy="3017207"/>
                    </a:xfrm>
                    <a:prstGeom prst="rect">
                      <a:avLst/>
                    </a:prstGeom>
                    <a:noFill/>
                    <a:ln>
                      <a:noFill/>
                    </a:ln>
                    <a:extLst>
                      <a:ext uri="{53640926-AAD7-44D8-BBD7-CCE9431645EC}">
                        <a14:shadowObscured xmlns:a14="http://schemas.microsoft.com/office/drawing/2010/main"/>
                      </a:ext>
                    </a:extLst>
                  </pic:spPr>
                </pic:pic>
              </a:graphicData>
            </a:graphic>
          </wp:inline>
        </w:drawing>
      </w:r>
    </w:p>
    <w:p w14:paraId="1A5035E5" w14:textId="6A5ADEEE" w:rsidR="0004087F" w:rsidRDefault="00540BAC" w:rsidP="008046B9">
      <w:pPr>
        <w:spacing w:after="0" w:line="360" w:lineRule="auto"/>
        <w:ind w:firstLine="142"/>
        <w:jc w:val="both"/>
        <w:rPr>
          <w:rFonts w:ascii="Arial" w:hAnsi="Arial" w:cs="Arial"/>
          <w:sz w:val="24"/>
          <w:szCs w:val="24"/>
        </w:rPr>
      </w:pPr>
      <w:r w:rsidRPr="0004087F">
        <w:rPr>
          <w:rFonts w:ascii="Arial" w:hAnsi="Arial" w:cs="Arial"/>
          <w:sz w:val="24"/>
          <w:szCs w:val="24"/>
        </w:rPr>
        <w:t>Source:</w:t>
      </w:r>
      <w:r w:rsidRPr="0004087F">
        <w:rPr>
          <w:rFonts w:ascii="Arial" w:eastAsia="Times New Roman" w:hAnsi="Arial" w:cs="Arial"/>
          <w:b/>
          <w:color w:val="30787E"/>
          <w:kern w:val="36"/>
          <w:sz w:val="24"/>
          <w:szCs w:val="24"/>
          <w:lang w:eastAsia="en-GB"/>
          <w14:ligatures w14:val="none"/>
        </w:rPr>
        <w:t xml:space="preserve"> </w:t>
      </w:r>
      <w:r w:rsidRPr="0004087F">
        <w:rPr>
          <w:rFonts w:ascii="Arial" w:hAnsi="Arial" w:cs="Arial"/>
          <w:i/>
          <w:iCs/>
          <w:sz w:val="24"/>
          <w:szCs w:val="24"/>
        </w:rPr>
        <w:t>External Direct Investment</w:t>
      </w:r>
      <w:r w:rsidRPr="0004087F">
        <w:rPr>
          <w:rFonts w:ascii="Arial" w:hAnsi="Arial" w:cs="Arial"/>
          <w:sz w:val="24"/>
          <w:szCs w:val="24"/>
        </w:rPr>
        <w:t>, Statistics of Hong Kong, 2023 edition</w:t>
      </w:r>
    </w:p>
    <w:p w14:paraId="2500788F" w14:textId="0A347A9B" w:rsidR="00792B34" w:rsidRPr="0004087F" w:rsidRDefault="002C37FC" w:rsidP="000E56A8">
      <w:pPr>
        <w:pStyle w:val="Heading2"/>
        <w:jc w:val="both"/>
      </w:pPr>
      <w:bookmarkStart w:id="25" w:name="_Toc194551435"/>
      <w:r w:rsidRPr="0004087F">
        <w:lastRenderedPageBreak/>
        <w:t>4.</w:t>
      </w:r>
      <w:r w:rsidR="008A2F09" w:rsidRPr="0004087F">
        <w:t>3</w:t>
      </w:r>
      <w:r w:rsidRPr="0004087F">
        <w:t xml:space="preserve"> </w:t>
      </w:r>
      <w:r w:rsidRPr="00C0622A">
        <w:t>Analysis</w:t>
      </w:r>
      <w:r w:rsidRPr="0004087F">
        <w:t xml:space="preserve"> of Hong Kong’s Regulatory Environment</w:t>
      </w:r>
      <w:bookmarkEnd w:id="25"/>
    </w:p>
    <w:p w14:paraId="1E1DD201" w14:textId="5AA75ECE" w:rsidR="00792B34" w:rsidRPr="0004087F" w:rsidRDefault="00792B34" w:rsidP="000E56A8">
      <w:pPr>
        <w:pStyle w:val="Heading3"/>
        <w:jc w:val="both"/>
      </w:pPr>
      <w:bookmarkStart w:id="26" w:name="_Toc194551436"/>
      <w:r w:rsidRPr="0004087F">
        <w:t>4.3.1 Tax Regulations</w:t>
      </w:r>
      <w:bookmarkEnd w:id="26"/>
    </w:p>
    <w:p w14:paraId="790E31D9" w14:textId="77777777" w:rsidR="00792B34" w:rsidRPr="0004087F" w:rsidRDefault="00792B34" w:rsidP="000E56A8">
      <w:pPr>
        <w:spacing w:after="0" w:line="360" w:lineRule="auto"/>
        <w:ind w:firstLine="142"/>
        <w:jc w:val="both"/>
        <w:rPr>
          <w:rFonts w:ascii="Arial" w:hAnsi="Arial" w:cs="Arial"/>
          <w:sz w:val="24"/>
          <w:szCs w:val="24"/>
        </w:rPr>
      </w:pPr>
      <w:r w:rsidRPr="0004087F">
        <w:rPr>
          <w:rFonts w:ascii="Arial" w:hAnsi="Arial" w:cs="Arial"/>
          <w:sz w:val="24"/>
          <w:szCs w:val="24"/>
        </w:rPr>
        <w:t>Hong Kong’s legal and tax systems are widely regarded as business-friendly. The territory operates under a common law system, which provides transparency and predictability for foreign investors (Hong Kong Census and Statistics Department, 2023). Additionally, Hong Kong’s low and simple tax regime—featuring a maximum corporate tax rate of 16.5% and no capital gains or value-added taxes—has been a significant draw for foreign businesses (PwC, 2023).</w:t>
      </w:r>
    </w:p>
    <w:p w14:paraId="3CC3C0FE" w14:textId="7D2F1A99" w:rsidR="005A15DA" w:rsidRDefault="00792B34" w:rsidP="000E56A8">
      <w:pPr>
        <w:spacing w:after="0" w:line="360" w:lineRule="auto"/>
        <w:ind w:firstLine="142"/>
        <w:jc w:val="both"/>
        <w:rPr>
          <w:rFonts w:ascii="Arial" w:hAnsi="Arial" w:cs="Arial"/>
          <w:sz w:val="24"/>
          <w:szCs w:val="24"/>
        </w:rPr>
      </w:pPr>
      <w:r w:rsidRPr="0004087F">
        <w:rPr>
          <w:rFonts w:ascii="Arial" w:hAnsi="Arial" w:cs="Arial"/>
          <w:sz w:val="24"/>
          <w:szCs w:val="24"/>
        </w:rPr>
        <w:t>Below is a comparison table of tax rates for Hong Kong, Singapore, and the United Kingdom (UK). The table includes key taxes such as corporate tax, personal income tax, value-added tax (VAT)/goods and services tax (GST), and capital gains tax. All rates are as of 2023.</w:t>
      </w:r>
    </w:p>
    <w:p w14:paraId="35206203" w14:textId="730A8C9F" w:rsidR="004E167D" w:rsidRPr="0004087F" w:rsidRDefault="004E167D" w:rsidP="004C2578">
      <w:pPr>
        <w:spacing w:after="0" w:line="360" w:lineRule="auto"/>
        <w:jc w:val="both"/>
        <w:rPr>
          <w:rFonts w:ascii="Arial" w:hAnsi="Arial" w:cs="Arial"/>
          <w:sz w:val="24"/>
          <w:szCs w:val="24"/>
        </w:rPr>
      </w:pPr>
    </w:p>
    <w:p w14:paraId="503CC550" w14:textId="77777777" w:rsidR="00792B34" w:rsidRPr="0004087F" w:rsidRDefault="00792B34" w:rsidP="000E56A8">
      <w:pPr>
        <w:spacing w:after="0" w:line="360" w:lineRule="auto"/>
        <w:ind w:firstLine="142"/>
        <w:jc w:val="both"/>
        <w:rPr>
          <w:rFonts w:ascii="Arial" w:hAnsi="Arial" w:cs="Arial"/>
          <w:sz w:val="24"/>
          <w:szCs w:val="24"/>
        </w:rPr>
      </w:pPr>
      <w:r w:rsidRPr="0004087F">
        <w:rPr>
          <w:rFonts w:ascii="Arial" w:hAnsi="Arial" w:cs="Arial"/>
          <w:sz w:val="24"/>
          <w:szCs w:val="24"/>
        </w:rPr>
        <w:t>Table 1. Tax rates comparation for Hong Kong, Singapore, United Kingdom</w:t>
      </w:r>
    </w:p>
    <w:tbl>
      <w:tblPr>
        <w:tblStyle w:val="TableGrid"/>
        <w:tblW w:w="9918" w:type="dxa"/>
        <w:tblInd w:w="-431" w:type="dxa"/>
        <w:tblLook w:val="04A0" w:firstRow="1" w:lastRow="0" w:firstColumn="1" w:lastColumn="0" w:noHBand="0" w:noVBand="1"/>
      </w:tblPr>
      <w:tblGrid>
        <w:gridCol w:w="1871"/>
        <w:gridCol w:w="2666"/>
        <w:gridCol w:w="2552"/>
        <w:gridCol w:w="2829"/>
      </w:tblGrid>
      <w:tr w:rsidR="00792B34" w:rsidRPr="0004087F" w14:paraId="1C87CA50" w14:textId="77777777" w:rsidTr="004C2578">
        <w:tc>
          <w:tcPr>
            <w:tcW w:w="0" w:type="auto"/>
            <w:vAlign w:val="center"/>
            <w:hideMark/>
          </w:tcPr>
          <w:p w14:paraId="466A5C96" w14:textId="77777777" w:rsidR="00792B34" w:rsidRPr="0004087F" w:rsidRDefault="00792B34" w:rsidP="000E56A8">
            <w:pPr>
              <w:spacing w:line="360" w:lineRule="auto"/>
              <w:ind w:firstLine="142"/>
              <w:jc w:val="both"/>
              <w:rPr>
                <w:rFonts w:ascii="Arial" w:hAnsi="Arial" w:cs="Arial"/>
                <w:b/>
                <w:bCs/>
                <w:sz w:val="24"/>
                <w:szCs w:val="24"/>
              </w:rPr>
            </w:pPr>
            <w:bookmarkStart w:id="27" w:name="_Hlk192340743"/>
            <w:r w:rsidRPr="0004087F">
              <w:rPr>
                <w:rFonts w:ascii="Arial" w:hAnsi="Arial" w:cs="Arial"/>
                <w:b/>
                <w:bCs/>
                <w:sz w:val="24"/>
                <w:szCs w:val="24"/>
              </w:rPr>
              <w:t>Tax Type</w:t>
            </w:r>
          </w:p>
        </w:tc>
        <w:tc>
          <w:tcPr>
            <w:tcW w:w="2666" w:type="dxa"/>
            <w:vAlign w:val="center"/>
            <w:hideMark/>
          </w:tcPr>
          <w:p w14:paraId="796ECE1D" w14:textId="77777777" w:rsidR="00792B34" w:rsidRPr="0004087F" w:rsidRDefault="00792B34" w:rsidP="000E56A8">
            <w:pPr>
              <w:spacing w:line="360" w:lineRule="auto"/>
              <w:ind w:firstLine="142"/>
              <w:jc w:val="both"/>
              <w:rPr>
                <w:rFonts w:ascii="Arial" w:hAnsi="Arial" w:cs="Arial"/>
                <w:b/>
                <w:bCs/>
                <w:sz w:val="24"/>
                <w:szCs w:val="24"/>
              </w:rPr>
            </w:pPr>
            <w:r w:rsidRPr="0004087F">
              <w:rPr>
                <w:rFonts w:ascii="Arial" w:hAnsi="Arial" w:cs="Arial"/>
                <w:b/>
                <w:bCs/>
                <w:sz w:val="24"/>
                <w:szCs w:val="24"/>
              </w:rPr>
              <w:t>Hong Kong</w:t>
            </w:r>
          </w:p>
        </w:tc>
        <w:tc>
          <w:tcPr>
            <w:tcW w:w="2552" w:type="dxa"/>
            <w:vAlign w:val="center"/>
            <w:hideMark/>
          </w:tcPr>
          <w:p w14:paraId="2AE636C2" w14:textId="77777777" w:rsidR="00792B34" w:rsidRPr="0004087F" w:rsidRDefault="00792B34" w:rsidP="000E56A8">
            <w:pPr>
              <w:spacing w:line="360" w:lineRule="auto"/>
              <w:ind w:firstLine="142"/>
              <w:jc w:val="both"/>
              <w:rPr>
                <w:rFonts w:ascii="Arial" w:hAnsi="Arial" w:cs="Arial"/>
                <w:b/>
                <w:bCs/>
                <w:sz w:val="24"/>
                <w:szCs w:val="24"/>
              </w:rPr>
            </w:pPr>
            <w:r w:rsidRPr="0004087F">
              <w:rPr>
                <w:rFonts w:ascii="Arial" w:hAnsi="Arial" w:cs="Arial"/>
                <w:b/>
                <w:bCs/>
                <w:sz w:val="24"/>
                <w:szCs w:val="24"/>
              </w:rPr>
              <w:t>Singapore</w:t>
            </w:r>
          </w:p>
        </w:tc>
        <w:tc>
          <w:tcPr>
            <w:tcW w:w="2829" w:type="dxa"/>
            <w:vAlign w:val="center"/>
            <w:hideMark/>
          </w:tcPr>
          <w:p w14:paraId="5CCF6CA4" w14:textId="77777777" w:rsidR="00792B34" w:rsidRPr="0004087F" w:rsidRDefault="00792B34" w:rsidP="000E56A8">
            <w:pPr>
              <w:spacing w:line="360" w:lineRule="auto"/>
              <w:ind w:firstLine="142"/>
              <w:jc w:val="both"/>
              <w:rPr>
                <w:rFonts w:ascii="Arial" w:hAnsi="Arial" w:cs="Arial"/>
                <w:b/>
                <w:bCs/>
                <w:sz w:val="24"/>
                <w:szCs w:val="24"/>
              </w:rPr>
            </w:pPr>
            <w:r w:rsidRPr="0004087F">
              <w:rPr>
                <w:rFonts w:ascii="Arial" w:hAnsi="Arial" w:cs="Arial"/>
                <w:b/>
                <w:bCs/>
                <w:sz w:val="24"/>
                <w:szCs w:val="24"/>
              </w:rPr>
              <w:t>United Kingdom (UK)</w:t>
            </w:r>
          </w:p>
        </w:tc>
      </w:tr>
      <w:tr w:rsidR="00792B34" w:rsidRPr="0004087F" w14:paraId="6077FCDC" w14:textId="77777777" w:rsidTr="004C2578">
        <w:tc>
          <w:tcPr>
            <w:tcW w:w="0" w:type="auto"/>
            <w:vAlign w:val="center"/>
            <w:hideMark/>
          </w:tcPr>
          <w:p w14:paraId="206926C5" w14:textId="77777777" w:rsidR="00792B34" w:rsidRPr="0004087F" w:rsidRDefault="00792B34" w:rsidP="000E56A8">
            <w:pPr>
              <w:spacing w:line="360" w:lineRule="auto"/>
              <w:ind w:firstLine="142"/>
              <w:jc w:val="both"/>
              <w:rPr>
                <w:rFonts w:ascii="Arial" w:hAnsi="Arial" w:cs="Arial"/>
                <w:sz w:val="24"/>
                <w:szCs w:val="24"/>
              </w:rPr>
            </w:pPr>
            <w:r w:rsidRPr="0004087F">
              <w:rPr>
                <w:rFonts w:ascii="Arial" w:hAnsi="Arial" w:cs="Arial"/>
                <w:b/>
                <w:bCs/>
                <w:sz w:val="24"/>
                <w:szCs w:val="24"/>
              </w:rPr>
              <w:t>Corporate Tax Rate</w:t>
            </w:r>
          </w:p>
        </w:tc>
        <w:tc>
          <w:tcPr>
            <w:tcW w:w="2666" w:type="dxa"/>
            <w:vAlign w:val="center"/>
            <w:hideMark/>
          </w:tcPr>
          <w:p w14:paraId="7D0126E2" w14:textId="77777777" w:rsidR="00792B34" w:rsidRPr="004E167D" w:rsidRDefault="00792B34" w:rsidP="004E167D">
            <w:pPr>
              <w:ind w:firstLine="142"/>
              <w:rPr>
                <w:rFonts w:ascii="Arial" w:hAnsi="Arial" w:cs="Arial"/>
              </w:rPr>
            </w:pPr>
            <w:r w:rsidRPr="004E167D">
              <w:rPr>
                <w:rFonts w:ascii="Arial" w:hAnsi="Arial" w:cs="Arial"/>
              </w:rPr>
              <w:t>First HKD 2 million – 8.25%, On the remainder 16.5</w:t>
            </w:r>
            <w:proofErr w:type="gramStart"/>
            <w:r w:rsidRPr="004E167D">
              <w:rPr>
                <w:rFonts w:ascii="Arial" w:hAnsi="Arial" w:cs="Arial"/>
              </w:rPr>
              <w:t>%(</w:t>
            </w:r>
            <w:proofErr w:type="gramEnd"/>
            <w:r w:rsidRPr="004E167D">
              <w:rPr>
                <w:rFonts w:ascii="Arial" w:hAnsi="Arial" w:cs="Arial"/>
              </w:rPr>
              <w:t>on assessable profits)</w:t>
            </w:r>
          </w:p>
        </w:tc>
        <w:tc>
          <w:tcPr>
            <w:tcW w:w="2552" w:type="dxa"/>
            <w:vAlign w:val="center"/>
            <w:hideMark/>
          </w:tcPr>
          <w:p w14:paraId="303DABB5" w14:textId="77777777" w:rsidR="00792B34" w:rsidRPr="004E167D" w:rsidRDefault="00792B34" w:rsidP="004E167D">
            <w:pPr>
              <w:ind w:firstLine="142"/>
              <w:rPr>
                <w:rFonts w:ascii="Arial" w:hAnsi="Arial" w:cs="Arial"/>
              </w:rPr>
            </w:pPr>
            <w:r w:rsidRPr="004E167D">
              <w:rPr>
                <w:rFonts w:ascii="Arial" w:hAnsi="Arial" w:cs="Arial"/>
              </w:rPr>
              <w:t>17% (with partial exemptions)</w:t>
            </w:r>
          </w:p>
        </w:tc>
        <w:tc>
          <w:tcPr>
            <w:tcW w:w="2829" w:type="dxa"/>
            <w:vAlign w:val="center"/>
            <w:hideMark/>
          </w:tcPr>
          <w:p w14:paraId="27D025AB" w14:textId="0DCED32D" w:rsidR="004C2578" w:rsidRDefault="00792B34" w:rsidP="004E167D">
            <w:pPr>
              <w:ind w:firstLine="142"/>
              <w:rPr>
                <w:rFonts w:ascii="Arial" w:hAnsi="Arial" w:cs="Arial"/>
              </w:rPr>
            </w:pPr>
            <w:r w:rsidRPr="004E167D">
              <w:rPr>
                <w:rFonts w:ascii="Arial" w:hAnsi="Arial" w:cs="Arial"/>
              </w:rPr>
              <w:t xml:space="preserve">19% </w:t>
            </w:r>
            <w:r w:rsidR="004C2578">
              <w:rPr>
                <w:rFonts w:ascii="Arial" w:hAnsi="Arial" w:cs="Arial"/>
              </w:rPr>
              <w:t>for profits &lt;£50K</w:t>
            </w:r>
          </w:p>
          <w:p w14:paraId="48F0FF1E" w14:textId="5593F2A2" w:rsidR="00792B34" w:rsidRPr="004E167D" w:rsidRDefault="00792B34" w:rsidP="004E167D">
            <w:pPr>
              <w:ind w:firstLine="142"/>
              <w:rPr>
                <w:rFonts w:ascii="Arial" w:hAnsi="Arial" w:cs="Arial"/>
              </w:rPr>
            </w:pPr>
            <w:r w:rsidRPr="004E167D">
              <w:rPr>
                <w:rFonts w:ascii="Arial" w:hAnsi="Arial" w:cs="Arial"/>
              </w:rPr>
              <w:t>(25% for profits &gt; £250k, marginal relief between £50K and £250K)</w:t>
            </w:r>
          </w:p>
        </w:tc>
      </w:tr>
      <w:tr w:rsidR="00792B34" w:rsidRPr="0004087F" w14:paraId="1EC2BABA" w14:textId="77777777" w:rsidTr="004C2578">
        <w:tc>
          <w:tcPr>
            <w:tcW w:w="0" w:type="auto"/>
            <w:vAlign w:val="center"/>
            <w:hideMark/>
          </w:tcPr>
          <w:p w14:paraId="762C7164" w14:textId="77777777" w:rsidR="00792B34" w:rsidRPr="0004087F" w:rsidRDefault="00792B34" w:rsidP="000E56A8">
            <w:pPr>
              <w:spacing w:line="360" w:lineRule="auto"/>
              <w:ind w:firstLine="142"/>
              <w:jc w:val="both"/>
              <w:rPr>
                <w:rFonts w:ascii="Arial" w:hAnsi="Arial" w:cs="Arial"/>
                <w:sz w:val="24"/>
                <w:szCs w:val="24"/>
              </w:rPr>
            </w:pPr>
            <w:r w:rsidRPr="0004087F">
              <w:rPr>
                <w:rFonts w:ascii="Arial" w:hAnsi="Arial" w:cs="Arial"/>
                <w:b/>
                <w:bCs/>
                <w:sz w:val="24"/>
                <w:szCs w:val="24"/>
              </w:rPr>
              <w:t>Personal Income Tax</w:t>
            </w:r>
          </w:p>
        </w:tc>
        <w:tc>
          <w:tcPr>
            <w:tcW w:w="2666" w:type="dxa"/>
            <w:vAlign w:val="center"/>
            <w:hideMark/>
          </w:tcPr>
          <w:p w14:paraId="2206F1A1" w14:textId="77777777" w:rsidR="00792B34" w:rsidRPr="004E167D" w:rsidRDefault="00792B34" w:rsidP="004E167D">
            <w:pPr>
              <w:ind w:firstLine="142"/>
              <w:rPr>
                <w:rFonts w:ascii="Arial" w:hAnsi="Arial" w:cs="Arial"/>
              </w:rPr>
            </w:pPr>
            <w:r w:rsidRPr="004E167D">
              <w:rPr>
                <w:rFonts w:ascii="Arial" w:hAnsi="Arial" w:cs="Arial"/>
              </w:rPr>
              <w:t>Progressive rates up to 17%</w:t>
            </w:r>
          </w:p>
        </w:tc>
        <w:tc>
          <w:tcPr>
            <w:tcW w:w="2552" w:type="dxa"/>
            <w:vAlign w:val="center"/>
            <w:hideMark/>
          </w:tcPr>
          <w:p w14:paraId="7F708154" w14:textId="77777777" w:rsidR="00792B34" w:rsidRPr="004E167D" w:rsidRDefault="00792B34" w:rsidP="004E167D">
            <w:pPr>
              <w:ind w:firstLine="142"/>
              <w:rPr>
                <w:rFonts w:ascii="Arial" w:hAnsi="Arial" w:cs="Arial"/>
              </w:rPr>
            </w:pPr>
            <w:r w:rsidRPr="004E167D">
              <w:rPr>
                <w:rFonts w:ascii="Arial" w:hAnsi="Arial" w:cs="Arial"/>
              </w:rPr>
              <w:t>Progressive rates up to 22%</w:t>
            </w:r>
          </w:p>
        </w:tc>
        <w:tc>
          <w:tcPr>
            <w:tcW w:w="2829" w:type="dxa"/>
            <w:vAlign w:val="center"/>
            <w:hideMark/>
          </w:tcPr>
          <w:p w14:paraId="1A1E7D89" w14:textId="77777777" w:rsidR="00792B34" w:rsidRPr="004E167D" w:rsidRDefault="00792B34" w:rsidP="004E167D">
            <w:pPr>
              <w:ind w:firstLine="142"/>
              <w:rPr>
                <w:rFonts w:ascii="Arial" w:hAnsi="Arial" w:cs="Arial"/>
              </w:rPr>
            </w:pPr>
            <w:r w:rsidRPr="004E167D">
              <w:rPr>
                <w:rFonts w:ascii="Arial" w:hAnsi="Arial" w:cs="Arial"/>
              </w:rPr>
              <w:t>Progressive rates up to 45%</w:t>
            </w:r>
          </w:p>
        </w:tc>
      </w:tr>
      <w:tr w:rsidR="00792B34" w:rsidRPr="0004087F" w14:paraId="41D4AF43" w14:textId="77777777" w:rsidTr="004C2578">
        <w:tc>
          <w:tcPr>
            <w:tcW w:w="0" w:type="auto"/>
            <w:vAlign w:val="center"/>
            <w:hideMark/>
          </w:tcPr>
          <w:p w14:paraId="2F822FC3" w14:textId="77777777" w:rsidR="00792B34" w:rsidRPr="0004087F" w:rsidRDefault="00792B34" w:rsidP="000E56A8">
            <w:pPr>
              <w:spacing w:line="360" w:lineRule="auto"/>
              <w:ind w:firstLine="142"/>
              <w:jc w:val="both"/>
              <w:rPr>
                <w:rFonts w:ascii="Arial" w:hAnsi="Arial" w:cs="Arial"/>
                <w:sz w:val="24"/>
                <w:szCs w:val="24"/>
              </w:rPr>
            </w:pPr>
            <w:r w:rsidRPr="0004087F">
              <w:rPr>
                <w:rFonts w:ascii="Arial" w:hAnsi="Arial" w:cs="Arial"/>
                <w:b/>
                <w:bCs/>
                <w:sz w:val="24"/>
                <w:szCs w:val="24"/>
              </w:rPr>
              <w:t>VAT/GST</w:t>
            </w:r>
          </w:p>
        </w:tc>
        <w:tc>
          <w:tcPr>
            <w:tcW w:w="2666" w:type="dxa"/>
            <w:vAlign w:val="center"/>
            <w:hideMark/>
          </w:tcPr>
          <w:p w14:paraId="306F1C8A" w14:textId="77777777" w:rsidR="00792B34" w:rsidRPr="004E167D" w:rsidRDefault="00792B34" w:rsidP="004E167D">
            <w:pPr>
              <w:ind w:firstLine="142"/>
              <w:rPr>
                <w:rFonts w:ascii="Arial" w:hAnsi="Arial" w:cs="Arial"/>
              </w:rPr>
            </w:pPr>
            <w:r w:rsidRPr="004E167D">
              <w:rPr>
                <w:rFonts w:ascii="Arial" w:hAnsi="Arial" w:cs="Arial"/>
              </w:rPr>
              <w:t>No VAT or GST</w:t>
            </w:r>
          </w:p>
        </w:tc>
        <w:tc>
          <w:tcPr>
            <w:tcW w:w="2552" w:type="dxa"/>
            <w:vAlign w:val="center"/>
            <w:hideMark/>
          </w:tcPr>
          <w:p w14:paraId="31A6A5A9" w14:textId="77777777" w:rsidR="00792B34" w:rsidRPr="004E167D" w:rsidRDefault="00792B34" w:rsidP="004E167D">
            <w:pPr>
              <w:ind w:firstLine="142"/>
              <w:rPr>
                <w:rFonts w:ascii="Arial" w:hAnsi="Arial" w:cs="Arial"/>
              </w:rPr>
            </w:pPr>
            <w:r w:rsidRPr="004E167D">
              <w:rPr>
                <w:rFonts w:ascii="Arial" w:hAnsi="Arial" w:cs="Arial"/>
              </w:rPr>
              <w:t>9% GST</w:t>
            </w:r>
          </w:p>
        </w:tc>
        <w:tc>
          <w:tcPr>
            <w:tcW w:w="2829" w:type="dxa"/>
            <w:vAlign w:val="center"/>
            <w:hideMark/>
          </w:tcPr>
          <w:p w14:paraId="612E21D4" w14:textId="77777777" w:rsidR="00792B34" w:rsidRPr="004E167D" w:rsidRDefault="00792B34" w:rsidP="004E167D">
            <w:pPr>
              <w:ind w:firstLine="142"/>
              <w:rPr>
                <w:rFonts w:ascii="Arial" w:hAnsi="Arial" w:cs="Arial"/>
              </w:rPr>
            </w:pPr>
            <w:r w:rsidRPr="004E167D">
              <w:rPr>
                <w:rFonts w:ascii="Arial" w:hAnsi="Arial" w:cs="Arial"/>
              </w:rPr>
              <w:t>20% VAT</w:t>
            </w:r>
          </w:p>
        </w:tc>
      </w:tr>
      <w:tr w:rsidR="00792B34" w:rsidRPr="0004087F" w14:paraId="3AF4C385" w14:textId="77777777" w:rsidTr="004C2578">
        <w:tc>
          <w:tcPr>
            <w:tcW w:w="0" w:type="auto"/>
            <w:vAlign w:val="center"/>
            <w:hideMark/>
          </w:tcPr>
          <w:p w14:paraId="175470BD" w14:textId="77777777" w:rsidR="00792B34" w:rsidRPr="0004087F" w:rsidRDefault="00792B34" w:rsidP="000E56A8">
            <w:pPr>
              <w:spacing w:line="360" w:lineRule="auto"/>
              <w:ind w:firstLine="142"/>
              <w:jc w:val="both"/>
              <w:rPr>
                <w:rFonts w:ascii="Arial" w:hAnsi="Arial" w:cs="Arial"/>
                <w:sz w:val="24"/>
                <w:szCs w:val="24"/>
              </w:rPr>
            </w:pPr>
            <w:r w:rsidRPr="0004087F">
              <w:rPr>
                <w:rFonts w:ascii="Arial" w:hAnsi="Arial" w:cs="Arial"/>
                <w:b/>
                <w:bCs/>
                <w:sz w:val="24"/>
                <w:szCs w:val="24"/>
              </w:rPr>
              <w:t>Capital Gains Tax</w:t>
            </w:r>
          </w:p>
        </w:tc>
        <w:tc>
          <w:tcPr>
            <w:tcW w:w="2666" w:type="dxa"/>
            <w:vAlign w:val="center"/>
            <w:hideMark/>
          </w:tcPr>
          <w:p w14:paraId="1D75BC82" w14:textId="77777777" w:rsidR="00792B34" w:rsidRPr="004E167D" w:rsidRDefault="00792B34" w:rsidP="004E167D">
            <w:pPr>
              <w:ind w:firstLine="142"/>
              <w:rPr>
                <w:rFonts w:ascii="Arial" w:hAnsi="Arial" w:cs="Arial"/>
              </w:rPr>
            </w:pPr>
            <w:r w:rsidRPr="004E167D">
              <w:rPr>
                <w:rFonts w:ascii="Arial" w:hAnsi="Arial" w:cs="Arial"/>
              </w:rPr>
              <w:t>No capital gains tax</w:t>
            </w:r>
          </w:p>
        </w:tc>
        <w:tc>
          <w:tcPr>
            <w:tcW w:w="2552" w:type="dxa"/>
            <w:vAlign w:val="center"/>
            <w:hideMark/>
          </w:tcPr>
          <w:p w14:paraId="48CD8365" w14:textId="77777777" w:rsidR="00792B34" w:rsidRPr="004E167D" w:rsidRDefault="00792B34" w:rsidP="004E167D">
            <w:pPr>
              <w:ind w:firstLine="142"/>
              <w:rPr>
                <w:rFonts w:ascii="Arial" w:hAnsi="Arial" w:cs="Arial"/>
              </w:rPr>
            </w:pPr>
            <w:r w:rsidRPr="004E167D">
              <w:rPr>
                <w:rFonts w:ascii="Arial" w:hAnsi="Arial" w:cs="Arial"/>
              </w:rPr>
              <w:t>No capital gains tax</w:t>
            </w:r>
          </w:p>
        </w:tc>
        <w:tc>
          <w:tcPr>
            <w:tcW w:w="2829" w:type="dxa"/>
            <w:vAlign w:val="center"/>
            <w:hideMark/>
          </w:tcPr>
          <w:p w14:paraId="0F368E10" w14:textId="77777777" w:rsidR="00792B34" w:rsidRPr="004E167D" w:rsidRDefault="00792B34" w:rsidP="004E167D">
            <w:pPr>
              <w:ind w:firstLine="142"/>
              <w:rPr>
                <w:rFonts w:ascii="Arial" w:hAnsi="Arial" w:cs="Arial"/>
              </w:rPr>
            </w:pPr>
            <w:r w:rsidRPr="004E167D">
              <w:rPr>
                <w:rFonts w:ascii="Arial" w:hAnsi="Arial" w:cs="Arial"/>
              </w:rPr>
              <w:t>10%-20% (depending on income)</w:t>
            </w:r>
          </w:p>
        </w:tc>
      </w:tr>
      <w:tr w:rsidR="00792B34" w:rsidRPr="0004087F" w14:paraId="6CC32540" w14:textId="77777777" w:rsidTr="004C2578">
        <w:tc>
          <w:tcPr>
            <w:tcW w:w="0" w:type="auto"/>
            <w:vAlign w:val="center"/>
            <w:hideMark/>
          </w:tcPr>
          <w:p w14:paraId="5AFD98A3" w14:textId="77777777" w:rsidR="00792B34" w:rsidRPr="0004087F" w:rsidRDefault="00792B34" w:rsidP="000E56A8">
            <w:pPr>
              <w:spacing w:line="360" w:lineRule="auto"/>
              <w:ind w:firstLine="142"/>
              <w:jc w:val="both"/>
              <w:rPr>
                <w:rFonts w:ascii="Arial" w:hAnsi="Arial" w:cs="Arial"/>
                <w:sz w:val="24"/>
                <w:szCs w:val="24"/>
              </w:rPr>
            </w:pPr>
            <w:r w:rsidRPr="0004087F">
              <w:rPr>
                <w:rFonts w:ascii="Arial" w:hAnsi="Arial" w:cs="Arial"/>
                <w:b/>
                <w:bCs/>
                <w:sz w:val="24"/>
                <w:szCs w:val="24"/>
              </w:rPr>
              <w:t>Dividend Tax</w:t>
            </w:r>
          </w:p>
        </w:tc>
        <w:tc>
          <w:tcPr>
            <w:tcW w:w="2666" w:type="dxa"/>
            <w:vAlign w:val="center"/>
            <w:hideMark/>
          </w:tcPr>
          <w:p w14:paraId="4DD57E74" w14:textId="77777777" w:rsidR="00792B34" w:rsidRPr="004E167D" w:rsidRDefault="00792B34" w:rsidP="004E167D">
            <w:pPr>
              <w:ind w:firstLine="142"/>
              <w:rPr>
                <w:rFonts w:ascii="Arial" w:hAnsi="Arial" w:cs="Arial"/>
              </w:rPr>
            </w:pPr>
            <w:r w:rsidRPr="004E167D">
              <w:rPr>
                <w:rFonts w:ascii="Arial" w:hAnsi="Arial" w:cs="Arial"/>
              </w:rPr>
              <w:t>No dividend tax</w:t>
            </w:r>
          </w:p>
        </w:tc>
        <w:tc>
          <w:tcPr>
            <w:tcW w:w="2552" w:type="dxa"/>
            <w:vAlign w:val="center"/>
            <w:hideMark/>
          </w:tcPr>
          <w:p w14:paraId="12610ECC" w14:textId="77777777" w:rsidR="00792B34" w:rsidRPr="004E167D" w:rsidRDefault="00792B34" w:rsidP="004E167D">
            <w:pPr>
              <w:ind w:firstLine="142"/>
              <w:rPr>
                <w:rFonts w:ascii="Arial" w:hAnsi="Arial" w:cs="Arial"/>
              </w:rPr>
            </w:pPr>
            <w:r w:rsidRPr="004E167D">
              <w:rPr>
                <w:rFonts w:ascii="Arial" w:hAnsi="Arial" w:cs="Arial"/>
              </w:rPr>
              <w:t>No dividend tax</w:t>
            </w:r>
          </w:p>
        </w:tc>
        <w:tc>
          <w:tcPr>
            <w:tcW w:w="2829" w:type="dxa"/>
            <w:vAlign w:val="center"/>
            <w:hideMark/>
          </w:tcPr>
          <w:p w14:paraId="308155BE" w14:textId="77777777" w:rsidR="00792B34" w:rsidRPr="004E167D" w:rsidRDefault="00792B34" w:rsidP="004E167D">
            <w:pPr>
              <w:ind w:firstLine="142"/>
              <w:rPr>
                <w:rFonts w:ascii="Arial" w:hAnsi="Arial" w:cs="Arial"/>
              </w:rPr>
            </w:pPr>
            <w:r w:rsidRPr="004E167D">
              <w:rPr>
                <w:rFonts w:ascii="Arial" w:hAnsi="Arial" w:cs="Arial"/>
              </w:rPr>
              <w:t>8.75%-39.35% (based on income)</w:t>
            </w:r>
          </w:p>
        </w:tc>
      </w:tr>
      <w:tr w:rsidR="00792B34" w:rsidRPr="0004087F" w14:paraId="3FB78FFE" w14:textId="77777777" w:rsidTr="004C2578">
        <w:tc>
          <w:tcPr>
            <w:tcW w:w="0" w:type="auto"/>
            <w:vAlign w:val="center"/>
            <w:hideMark/>
          </w:tcPr>
          <w:p w14:paraId="1578F02E" w14:textId="77777777" w:rsidR="00792B34" w:rsidRPr="0004087F" w:rsidRDefault="00792B34" w:rsidP="000E56A8">
            <w:pPr>
              <w:spacing w:line="360" w:lineRule="auto"/>
              <w:ind w:firstLine="142"/>
              <w:jc w:val="both"/>
              <w:rPr>
                <w:rFonts w:ascii="Arial" w:hAnsi="Arial" w:cs="Arial"/>
                <w:sz w:val="24"/>
                <w:szCs w:val="24"/>
              </w:rPr>
            </w:pPr>
            <w:r w:rsidRPr="0004087F">
              <w:rPr>
                <w:rFonts w:ascii="Arial" w:hAnsi="Arial" w:cs="Arial"/>
                <w:b/>
                <w:bCs/>
                <w:sz w:val="24"/>
                <w:szCs w:val="24"/>
              </w:rPr>
              <w:t>Withholding Tax</w:t>
            </w:r>
          </w:p>
        </w:tc>
        <w:tc>
          <w:tcPr>
            <w:tcW w:w="2666" w:type="dxa"/>
            <w:vAlign w:val="center"/>
            <w:hideMark/>
          </w:tcPr>
          <w:p w14:paraId="5BA2C5CA" w14:textId="77777777" w:rsidR="00792B34" w:rsidRPr="004E167D" w:rsidRDefault="00792B34" w:rsidP="004E167D">
            <w:pPr>
              <w:ind w:firstLine="142"/>
              <w:rPr>
                <w:rFonts w:ascii="Arial" w:hAnsi="Arial" w:cs="Arial"/>
              </w:rPr>
            </w:pPr>
            <w:r w:rsidRPr="004E167D">
              <w:rPr>
                <w:rFonts w:ascii="Arial" w:hAnsi="Arial" w:cs="Arial"/>
              </w:rPr>
              <w:t>2.475% to 4.95% tax on royalties,</w:t>
            </w:r>
          </w:p>
          <w:p w14:paraId="0E8AAF40" w14:textId="77777777" w:rsidR="00792B34" w:rsidRPr="004E167D" w:rsidRDefault="00792B34" w:rsidP="004E167D">
            <w:pPr>
              <w:ind w:firstLine="142"/>
              <w:rPr>
                <w:rFonts w:ascii="Arial" w:hAnsi="Arial" w:cs="Arial"/>
              </w:rPr>
            </w:pPr>
            <w:r w:rsidRPr="004E167D">
              <w:rPr>
                <w:rFonts w:ascii="Arial" w:hAnsi="Arial" w:cs="Arial"/>
              </w:rPr>
              <w:t>No tax on interest</w:t>
            </w:r>
          </w:p>
        </w:tc>
        <w:tc>
          <w:tcPr>
            <w:tcW w:w="2552" w:type="dxa"/>
            <w:vAlign w:val="center"/>
            <w:hideMark/>
          </w:tcPr>
          <w:p w14:paraId="7971EE0F" w14:textId="77777777" w:rsidR="00792B34" w:rsidRPr="004E167D" w:rsidRDefault="00792B34" w:rsidP="004E167D">
            <w:pPr>
              <w:ind w:firstLine="142"/>
              <w:rPr>
                <w:rFonts w:ascii="Arial" w:hAnsi="Arial" w:cs="Arial"/>
              </w:rPr>
            </w:pPr>
            <w:r w:rsidRPr="004E167D">
              <w:rPr>
                <w:rFonts w:ascii="Arial" w:hAnsi="Arial" w:cs="Arial"/>
              </w:rPr>
              <w:t>5% to 10% tax on royalties</w:t>
            </w:r>
          </w:p>
          <w:p w14:paraId="22C69E0D" w14:textId="77777777" w:rsidR="00792B34" w:rsidRPr="004E167D" w:rsidRDefault="00792B34" w:rsidP="004E167D">
            <w:pPr>
              <w:ind w:firstLine="142"/>
              <w:rPr>
                <w:rFonts w:ascii="Arial" w:hAnsi="Arial" w:cs="Arial"/>
              </w:rPr>
            </w:pPr>
            <w:r w:rsidRPr="004E167D">
              <w:rPr>
                <w:rFonts w:ascii="Arial" w:hAnsi="Arial" w:cs="Arial"/>
              </w:rPr>
              <w:t xml:space="preserve">15% tax on interest on loans and rentals </w:t>
            </w:r>
          </w:p>
          <w:p w14:paraId="38AA2214" w14:textId="77777777" w:rsidR="00792B34" w:rsidRPr="004E167D" w:rsidRDefault="00792B34" w:rsidP="004E167D">
            <w:pPr>
              <w:ind w:firstLine="142"/>
              <w:rPr>
                <w:rFonts w:ascii="Arial" w:hAnsi="Arial" w:cs="Arial"/>
              </w:rPr>
            </w:pPr>
          </w:p>
        </w:tc>
        <w:tc>
          <w:tcPr>
            <w:tcW w:w="2829" w:type="dxa"/>
            <w:vAlign w:val="center"/>
            <w:hideMark/>
          </w:tcPr>
          <w:p w14:paraId="71EA2C6F" w14:textId="77777777" w:rsidR="00792B34" w:rsidRPr="004E167D" w:rsidRDefault="00792B34" w:rsidP="004E167D">
            <w:pPr>
              <w:ind w:firstLine="142"/>
              <w:rPr>
                <w:rFonts w:ascii="Arial" w:hAnsi="Arial" w:cs="Arial"/>
              </w:rPr>
            </w:pPr>
            <w:r w:rsidRPr="004E167D">
              <w:rPr>
                <w:rFonts w:ascii="Arial" w:hAnsi="Arial" w:cs="Arial"/>
              </w:rPr>
              <w:t>20% (on royalties/interest)</w:t>
            </w:r>
          </w:p>
        </w:tc>
      </w:tr>
    </w:tbl>
    <w:bookmarkEnd w:id="27"/>
    <w:p w14:paraId="001BCBE2" w14:textId="77777777" w:rsidR="00792B34" w:rsidRPr="004C2578" w:rsidRDefault="00792B34" w:rsidP="000E56A8">
      <w:pPr>
        <w:spacing w:after="0" w:line="360" w:lineRule="auto"/>
        <w:ind w:firstLine="142"/>
        <w:jc w:val="both"/>
        <w:rPr>
          <w:rFonts w:ascii="Arial" w:hAnsi="Arial" w:cs="Arial"/>
          <w:sz w:val="24"/>
          <w:szCs w:val="24"/>
        </w:rPr>
      </w:pPr>
      <w:r w:rsidRPr="004C2578">
        <w:rPr>
          <w:rFonts w:ascii="Arial" w:hAnsi="Arial" w:cs="Arial"/>
          <w:sz w:val="24"/>
          <w:szCs w:val="24"/>
        </w:rPr>
        <w:t>Source: Created by author from government websites and other credible sources</w:t>
      </w:r>
    </w:p>
    <w:p w14:paraId="363A9FBB" w14:textId="77777777" w:rsidR="004E167D" w:rsidRPr="004C2578" w:rsidRDefault="004E167D" w:rsidP="000E56A8">
      <w:pPr>
        <w:spacing w:after="0" w:line="360" w:lineRule="auto"/>
        <w:ind w:firstLine="142"/>
        <w:jc w:val="both"/>
        <w:rPr>
          <w:rFonts w:ascii="Arial" w:hAnsi="Arial" w:cs="Arial"/>
          <w:sz w:val="24"/>
          <w:szCs w:val="24"/>
        </w:rPr>
      </w:pPr>
    </w:p>
    <w:p w14:paraId="456950F4" w14:textId="565C83D6" w:rsidR="00792B34" w:rsidRPr="0004087F" w:rsidRDefault="00792B34" w:rsidP="000E56A8">
      <w:pPr>
        <w:spacing w:after="0" w:line="360" w:lineRule="auto"/>
        <w:ind w:firstLine="142"/>
        <w:jc w:val="both"/>
        <w:rPr>
          <w:rFonts w:ascii="Arial" w:hAnsi="Arial" w:cs="Arial"/>
          <w:b/>
          <w:bCs/>
          <w:sz w:val="24"/>
          <w:szCs w:val="24"/>
        </w:rPr>
      </w:pPr>
      <w:r w:rsidRPr="0004087F">
        <w:rPr>
          <w:rFonts w:ascii="Arial" w:hAnsi="Arial" w:cs="Arial"/>
          <w:b/>
          <w:bCs/>
          <w:sz w:val="24"/>
          <w:szCs w:val="24"/>
        </w:rPr>
        <w:t>Key Notes:</w:t>
      </w:r>
    </w:p>
    <w:p w14:paraId="74536ECA" w14:textId="77777777" w:rsidR="00792B34" w:rsidRPr="0004087F" w:rsidRDefault="00792B34" w:rsidP="000E56A8">
      <w:pPr>
        <w:numPr>
          <w:ilvl w:val="0"/>
          <w:numId w:val="15"/>
        </w:numPr>
        <w:spacing w:after="0" w:line="360" w:lineRule="auto"/>
        <w:ind w:left="0" w:firstLine="142"/>
        <w:jc w:val="both"/>
        <w:rPr>
          <w:rFonts w:ascii="Arial" w:hAnsi="Arial" w:cs="Arial"/>
          <w:sz w:val="24"/>
          <w:szCs w:val="24"/>
        </w:rPr>
      </w:pPr>
      <w:r w:rsidRPr="0004087F">
        <w:rPr>
          <w:rFonts w:ascii="Arial" w:hAnsi="Arial" w:cs="Arial"/>
          <w:sz w:val="24"/>
          <w:szCs w:val="24"/>
        </w:rPr>
        <w:t xml:space="preserve">Hong Kong: Known for its low and simple tax regime, with no VAT, capital gains tax, tax on interest or dividend tax. Corporate tax is capped at 8.25% for first HKD 2 </w:t>
      </w:r>
      <w:proofErr w:type="spellStart"/>
      <w:r w:rsidRPr="0004087F">
        <w:rPr>
          <w:rFonts w:ascii="Arial" w:hAnsi="Arial" w:cs="Arial"/>
          <w:sz w:val="24"/>
          <w:szCs w:val="24"/>
        </w:rPr>
        <w:t>mln</w:t>
      </w:r>
      <w:proofErr w:type="spellEnd"/>
      <w:r w:rsidRPr="0004087F">
        <w:rPr>
          <w:rFonts w:ascii="Arial" w:hAnsi="Arial" w:cs="Arial"/>
          <w:sz w:val="24"/>
          <w:szCs w:val="24"/>
        </w:rPr>
        <w:t xml:space="preserve"> (appr. £200k) and 16.5% for remaining, 2.475% to 4.95% tax on royalties, and personal income tax is relatively low.</w:t>
      </w:r>
    </w:p>
    <w:p w14:paraId="3FCE34EB" w14:textId="77777777" w:rsidR="00792B34" w:rsidRPr="0004087F" w:rsidRDefault="00792B34" w:rsidP="000E56A8">
      <w:pPr>
        <w:numPr>
          <w:ilvl w:val="0"/>
          <w:numId w:val="15"/>
        </w:numPr>
        <w:spacing w:after="0" w:line="360" w:lineRule="auto"/>
        <w:ind w:left="0" w:firstLine="142"/>
        <w:jc w:val="both"/>
        <w:rPr>
          <w:rFonts w:ascii="Arial" w:hAnsi="Arial" w:cs="Arial"/>
          <w:sz w:val="24"/>
          <w:szCs w:val="24"/>
        </w:rPr>
      </w:pPr>
      <w:r w:rsidRPr="0004087F">
        <w:rPr>
          <w:rFonts w:ascii="Arial" w:hAnsi="Arial" w:cs="Arial"/>
          <w:sz w:val="24"/>
          <w:szCs w:val="24"/>
        </w:rPr>
        <w:lastRenderedPageBreak/>
        <w:t>Singapore: Offers competitive tax rates, with a 17% corporate tax rate (after partial exemptions) and a maximum personal income tax rate of 22%. GST is 9%, but there is no capital gains tax.</w:t>
      </w:r>
    </w:p>
    <w:p w14:paraId="64D0E6D2" w14:textId="0DC0CF4D" w:rsidR="00792B34" w:rsidRPr="0004087F" w:rsidRDefault="00792B34" w:rsidP="000E56A8">
      <w:pPr>
        <w:numPr>
          <w:ilvl w:val="0"/>
          <w:numId w:val="15"/>
        </w:numPr>
        <w:spacing w:after="0" w:line="360" w:lineRule="auto"/>
        <w:ind w:left="0" w:firstLine="142"/>
        <w:jc w:val="both"/>
        <w:rPr>
          <w:rFonts w:ascii="Arial" w:hAnsi="Arial" w:cs="Arial"/>
          <w:sz w:val="24"/>
          <w:szCs w:val="24"/>
        </w:rPr>
      </w:pPr>
      <w:r w:rsidRPr="0004087F">
        <w:rPr>
          <w:rFonts w:ascii="Arial" w:hAnsi="Arial" w:cs="Arial"/>
          <w:sz w:val="24"/>
          <w:szCs w:val="24"/>
        </w:rPr>
        <w:t>United Kingdom: Has higher tax rates, including a 20% VAT and capital gains tax of 10%-20%. Corporate tax is 19%</w:t>
      </w:r>
      <w:r w:rsidR="004C2578">
        <w:rPr>
          <w:rFonts w:ascii="Arial" w:hAnsi="Arial" w:cs="Arial"/>
          <w:sz w:val="24"/>
          <w:szCs w:val="24"/>
        </w:rPr>
        <w:t xml:space="preserve"> (up to £50K)</w:t>
      </w:r>
      <w:r w:rsidRPr="0004087F">
        <w:rPr>
          <w:rFonts w:ascii="Arial" w:hAnsi="Arial" w:cs="Arial"/>
          <w:sz w:val="24"/>
          <w:szCs w:val="24"/>
        </w:rPr>
        <w:t>, but it rises to 25% for profits over £50K/£250K.</w:t>
      </w:r>
    </w:p>
    <w:p w14:paraId="3D34031F" w14:textId="5603F190" w:rsidR="00792B34" w:rsidRPr="0004087F" w:rsidRDefault="004C2578" w:rsidP="000E56A8">
      <w:pPr>
        <w:spacing w:after="0" w:line="360" w:lineRule="auto"/>
        <w:ind w:firstLine="142"/>
        <w:jc w:val="both"/>
        <w:rPr>
          <w:rFonts w:ascii="Arial" w:hAnsi="Arial" w:cs="Arial"/>
          <w:sz w:val="24"/>
          <w:szCs w:val="24"/>
        </w:rPr>
      </w:pPr>
      <w:r>
        <w:rPr>
          <w:rFonts w:ascii="Arial" w:hAnsi="Arial" w:cs="Arial"/>
          <w:sz w:val="24"/>
          <w:szCs w:val="24"/>
        </w:rPr>
        <w:t>Above</w:t>
      </w:r>
      <w:r w:rsidR="00792B34" w:rsidRPr="0004087F">
        <w:rPr>
          <w:rFonts w:ascii="Arial" w:hAnsi="Arial" w:cs="Arial"/>
          <w:sz w:val="24"/>
          <w:szCs w:val="24"/>
        </w:rPr>
        <w:t xml:space="preserve"> table highlights the tax advantages of Hong Kong and Singapore compared to the UK, particularly for businesses and investors seeking low-tax jurisdictions. </w:t>
      </w:r>
    </w:p>
    <w:p w14:paraId="77865F85" w14:textId="5AB3B2EF" w:rsidR="007F5611" w:rsidRPr="0004087F" w:rsidRDefault="007F5611" w:rsidP="000E56A8">
      <w:pPr>
        <w:pStyle w:val="Heading3"/>
        <w:jc w:val="both"/>
      </w:pPr>
      <w:bookmarkStart w:id="28" w:name="_Toc194551437"/>
      <w:r w:rsidRPr="0004087F">
        <w:t>4.</w:t>
      </w:r>
      <w:r w:rsidR="008A2F09" w:rsidRPr="0004087F">
        <w:t>3</w:t>
      </w:r>
      <w:r w:rsidRPr="0004087F">
        <w:t>.</w:t>
      </w:r>
      <w:r w:rsidR="00792B34" w:rsidRPr="0004087F">
        <w:t>2</w:t>
      </w:r>
      <w:r w:rsidRPr="0004087F">
        <w:t xml:space="preserve"> Legal regulations</w:t>
      </w:r>
      <w:bookmarkEnd w:id="28"/>
    </w:p>
    <w:p w14:paraId="7D453441" w14:textId="3EF791C6" w:rsidR="008A2F09" w:rsidRPr="0004087F" w:rsidRDefault="008A2F09" w:rsidP="000E56A8">
      <w:pPr>
        <w:spacing w:after="0" w:line="360" w:lineRule="auto"/>
        <w:ind w:firstLine="142"/>
        <w:jc w:val="both"/>
        <w:rPr>
          <w:rFonts w:ascii="Arial" w:hAnsi="Arial" w:cs="Arial"/>
          <w:sz w:val="24"/>
          <w:szCs w:val="24"/>
        </w:rPr>
      </w:pPr>
      <w:r w:rsidRPr="0004087F">
        <w:rPr>
          <w:rFonts w:ascii="Arial" w:hAnsi="Arial" w:cs="Arial"/>
          <w:sz w:val="24"/>
          <w:szCs w:val="24"/>
        </w:rPr>
        <w:t>Aside from its competitive tax rates, when incorporating a company in Hong Kong, understanding Corporate Residence and Permanent Establishment (PE) is essential for tax compliance. Under Hong Kong’s domestic tax law, corporate residency is not a primary factor for determining tax liability. Instead, the key criteria for profits tax are: (1) whether the corporation is carrying on a trade, profession, or business in Hong Kong; (2) whether the profits are derived from such activities; and (3) whether the profits are sourced in or derived from Hong Kong (PwC, 2023). However, corporate residency becomes relevant under Comprehensive Double Taxation Agreements (CDTAs), where a company is considered a Hong Kong tax resident if it is either incorporated or centrally managed and controlled in Hong Kong (PwC, 2023).</w:t>
      </w:r>
    </w:p>
    <w:p w14:paraId="62F29AFF" w14:textId="1437E276" w:rsidR="008A2F09" w:rsidRPr="0004087F" w:rsidRDefault="008A2F09" w:rsidP="000E56A8">
      <w:pPr>
        <w:spacing w:after="0" w:line="360" w:lineRule="auto"/>
        <w:ind w:firstLine="142"/>
        <w:jc w:val="both"/>
        <w:rPr>
          <w:rFonts w:ascii="Arial" w:hAnsi="Arial" w:cs="Arial"/>
          <w:sz w:val="24"/>
          <w:szCs w:val="24"/>
        </w:rPr>
      </w:pPr>
      <w:r w:rsidRPr="0004087F">
        <w:rPr>
          <w:rFonts w:ascii="Arial" w:hAnsi="Arial" w:cs="Arial"/>
          <w:sz w:val="24"/>
          <w:szCs w:val="24"/>
        </w:rPr>
        <w:t>A Permanent Establishment (PE) refers to a fixed place of business through which a non-resident conducts</w:t>
      </w:r>
      <w:r w:rsidR="00792B34" w:rsidRPr="0004087F">
        <w:rPr>
          <w:rFonts w:ascii="Arial" w:hAnsi="Arial" w:cs="Arial"/>
          <w:sz w:val="24"/>
          <w:szCs w:val="24"/>
        </w:rPr>
        <w:t>.</w:t>
      </w:r>
    </w:p>
    <w:p w14:paraId="091786A6" w14:textId="77777777" w:rsidR="000F15CE" w:rsidRPr="0004087F" w:rsidRDefault="000F15CE" w:rsidP="000E56A8">
      <w:pPr>
        <w:spacing w:after="0" w:line="360" w:lineRule="auto"/>
        <w:ind w:firstLine="142"/>
        <w:jc w:val="both"/>
        <w:rPr>
          <w:rFonts w:ascii="Arial" w:hAnsi="Arial" w:cs="Arial"/>
          <w:sz w:val="24"/>
          <w:szCs w:val="24"/>
        </w:rPr>
      </w:pPr>
      <w:r w:rsidRPr="0004087F">
        <w:rPr>
          <w:rFonts w:ascii="Arial" w:hAnsi="Arial" w:cs="Arial"/>
          <w:sz w:val="24"/>
          <w:szCs w:val="24"/>
        </w:rPr>
        <w:t>However, recent geopolitical developments, such as the implementation of the National Security Law in 2020, have raised concerns about the potential erosion of judicial independence and its impact on foreign investment (Wong &amp; Chan, 2023). While the law aims to ensure stability, some foreign businesses perceive it as a risk to Hong Kong’s traditionally liberal business environment (SCMP, 2023).</w:t>
      </w:r>
    </w:p>
    <w:p w14:paraId="065CEF17" w14:textId="38C472B0" w:rsidR="000F15CE" w:rsidRPr="0004087F" w:rsidRDefault="000F15CE" w:rsidP="000E56A8">
      <w:pPr>
        <w:spacing w:after="0" w:line="360" w:lineRule="auto"/>
        <w:ind w:firstLine="142"/>
        <w:jc w:val="both"/>
        <w:rPr>
          <w:rFonts w:ascii="Arial" w:hAnsi="Arial" w:cs="Arial"/>
          <w:sz w:val="24"/>
          <w:szCs w:val="24"/>
        </w:rPr>
      </w:pPr>
      <w:r w:rsidRPr="0004087F">
        <w:rPr>
          <w:rFonts w:ascii="Arial" w:hAnsi="Arial" w:cs="Arial"/>
          <w:sz w:val="24"/>
          <w:szCs w:val="24"/>
        </w:rPr>
        <w:t>The National Security Law (NSL), enacted in Hong Kong on June 30, 2020, is a piece of legislation introduced by the Chinese central government to address issues of secession, subversion, terrorism, and collusion with foreign forces. The law was implemented in response to the 2019 pro-democracy protests, which were seen as a threat to national security. While the NSL aims to restore stability, it has raised significant concerns among foreign investors and businesses operating in Hong Kong.</w:t>
      </w:r>
    </w:p>
    <w:p w14:paraId="30D21A4F" w14:textId="77777777" w:rsidR="008A2F09" w:rsidRPr="0004087F" w:rsidRDefault="008A2F09" w:rsidP="000E56A8">
      <w:pPr>
        <w:spacing w:after="0" w:line="360" w:lineRule="auto"/>
        <w:ind w:firstLine="142"/>
        <w:jc w:val="both"/>
        <w:rPr>
          <w:rFonts w:ascii="Arial" w:hAnsi="Arial" w:cs="Arial"/>
          <w:sz w:val="24"/>
          <w:szCs w:val="24"/>
        </w:rPr>
      </w:pPr>
      <w:r w:rsidRPr="0004087F">
        <w:rPr>
          <w:rFonts w:ascii="Arial" w:hAnsi="Arial" w:cs="Arial"/>
          <w:sz w:val="24"/>
          <w:szCs w:val="24"/>
        </w:rPr>
        <w:t xml:space="preserve">The National Security Law (NSL), enacted in Hong Kong in 2020, criminalizes four categories of offenses: secession, subversion, terrorism, and collusion with foreign forces, </w:t>
      </w:r>
      <w:r w:rsidRPr="0004087F">
        <w:rPr>
          <w:rFonts w:ascii="Arial" w:hAnsi="Arial" w:cs="Arial"/>
          <w:sz w:val="24"/>
          <w:szCs w:val="24"/>
        </w:rPr>
        <w:lastRenderedPageBreak/>
        <w:t>with penalties ranging from fines to life imprisonment (National People's Congress, 2020). It also has extraterritorial jurisdiction, applying to activities outside Hong Kong deemed threatening to China’s national security (Chan &amp; Wong, 2021). The law allows the central government to establish national security agencies in Hong Kong, operating independently of the local legal system, which critics argue undermines judicial independence (Cheung, 2020; Human Rights Watch, 2020).</w:t>
      </w:r>
    </w:p>
    <w:p w14:paraId="1DEA5DD6" w14:textId="6370A7D2" w:rsidR="000F15CE" w:rsidRPr="0004087F" w:rsidRDefault="008A2F09" w:rsidP="000E56A8">
      <w:pPr>
        <w:spacing w:after="0" w:line="360" w:lineRule="auto"/>
        <w:ind w:firstLine="142"/>
        <w:jc w:val="both"/>
        <w:rPr>
          <w:rFonts w:ascii="Arial" w:hAnsi="Arial" w:cs="Arial"/>
          <w:sz w:val="24"/>
          <w:szCs w:val="24"/>
        </w:rPr>
      </w:pPr>
      <w:r w:rsidRPr="0004087F">
        <w:rPr>
          <w:rFonts w:ascii="Arial" w:hAnsi="Arial" w:cs="Arial"/>
          <w:sz w:val="24"/>
          <w:szCs w:val="24"/>
        </w:rPr>
        <w:t>For foreign investors, the NSL has raised significant concerns. It has eroded confidence in Hong Kong’s rule of law, a key factor in attracting foreign investment, as fears of arbitrary enforcement create uncertainty (Wong &amp; Chan, 2023). The broad and vague definitions of offenses have also led to a chilling effect on free speech and business activities, with companies avoiding politically sensitive actions (Cheung, 2020). Geopolitical tensions have intensified, with the U.S. revoking Hong Kong’s special trade status, impacting its role as a global financial hub (U.S. Department of State, 2020). Some multinational corporations have relocated operations to other hubs like Singapore, citing concerns over the NSL’s impact on business stability (Financial Times, 2021). While the law has restored short-term stability, its long-term economic implications remain uncertain, potentially deterring foreign investment and talent, and undermining Hong Kong’s competitiveness (Wong &amp; Chan, 2023).</w:t>
      </w:r>
    </w:p>
    <w:p w14:paraId="431EA54C" w14:textId="77777777" w:rsidR="000F15CE" w:rsidRPr="00C0622A" w:rsidRDefault="000F15CE" w:rsidP="000E56A8">
      <w:pPr>
        <w:spacing w:after="0" w:line="360" w:lineRule="auto"/>
        <w:ind w:firstLine="142"/>
        <w:jc w:val="both"/>
        <w:rPr>
          <w:rFonts w:ascii="Arial" w:hAnsi="Arial" w:cs="Arial"/>
          <w:sz w:val="24"/>
          <w:szCs w:val="24"/>
        </w:rPr>
      </w:pPr>
      <w:r w:rsidRPr="00C0622A">
        <w:rPr>
          <w:rFonts w:ascii="Arial" w:hAnsi="Arial" w:cs="Arial"/>
          <w:sz w:val="24"/>
          <w:szCs w:val="24"/>
        </w:rPr>
        <w:t>Conclusion</w:t>
      </w:r>
    </w:p>
    <w:p w14:paraId="53F6FEBA" w14:textId="77777777" w:rsidR="00DD7018" w:rsidRPr="0004087F" w:rsidRDefault="000F15CE" w:rsidP="000E56A8">
      <w:pPr>
        <w:spacing w:after="0" w:line="360" w:lineRule="auto"/>
        <w:ind w:firstLine="142"/>
        <w:jc w:val="both"/>
        <w:rPr>
          <w:rFonts w:ascii="Arial" w:hAnsi="Arial" w:cs="Arial"/>
          <w:sz w:val="24"/>
          <w:szCs w:val="24"/>
        </w:rPr>
      </w:pPr>
      <w:r w:rsidRPr="0004087F">
        <w:rPr>
          <w:rFonts w:ascii="Arial" w:hAnsi="Arial" w:cs="Arial"/>
          <w:sz w:val="24"/>
          <w:szCs w:val="24"/>
        </w:rPr>
        <w:t>The National Security Law represents a significant shift in Hong Kong’s legal and political landscape. While it aims to ensure stability, its broad provisions and extraterritorial reach have raised concerns about the erosion of Hong Kong’s rule of law and judicial independence. For foreign investors, the NSL introduces new risks and uncertainties, potentially affecting Hong Kong’s attractiveness as a global business hub. The long-term impact will depend on how the law is enforced and how the international community responds.</w:t>
      </w:r>
      <w:r w:rsidR="00B2228F" w:rsidRPr="0004087F">
        <w:rPr>
          <w:rFonts w:ascii="Arial" w:hAnsi="Arial" w:cs="Arial"/>
          <w:sz w:val="24"/>
          <w:szCs w:val="24"/>
        </w:rPr>
        <w:t xml:space="preserve"> </w:t>
      </w:r>
      <w:r w:rsidR="00DD7018" w:rsidRPr="0004087F">
        <w:rPr>
          <w:rFonts w:ascii="Arial" w:hAnsi="Arial" w:cs="Arial"/>
          <w:sz w:val="24"/>
          <w:szCs w:val="24"/>
        </w:rPr>
        <w:t>(Wong &amp; Chan, 2023)</w:t>
      </w:r>
    </w:p>
    <w:p w14:paraId="17C6A6F2" w14:textId="0EE3CB32" w:rsidR="002C37FC" w:rsidRPr="0004087F" w:rsidRDefault="002C37FC" w:rsidP="000E56A8">
      <w:pPr>
        <w:pStyle w:val="Heading3"/>
        <w:jc w:val="both"/>
      </w:pPr>
      <w:bookmarkStart w:id="29" w:name="_Toc194551438"/>
      <w:r w:rsidRPr="0004087F">
        <w:t>4.</w:t>
      </w:r>
      <w:r w:rsidR="00792B34" w:rsidRPr="0004087F">
        <w:t xml:space="preserve">3.3 </w:t>
      </w:r>
      <w:r w:rsidRPr="00C0622A">
        <w:t>Financial</w:t>
      </w:r>
      <w:r w:rsidRPr="0004087F">
        <w:t xml:space="preserve"> Regulations</w:t>
      </w:r>
      <w:bookmarkEnd w:id="29"/>
    </w:p>
    <w:p w14:paraId="3AFF58DF" w14:textId="77777777" w:rsidR="002C37FC" w:rsidRPr="0004087F" w:rsidRDefault="002C37FC" w:rsidP="000E56A8">
      <w:pPr>
        <w:spacing w:after="0" w:line="360" w:lineRule="auto"/>
        <w:ind w:firstLine="142"/>
        <w:jc w:val="both"/>
        <w:rPr>
          <w:rFonts w:ascii="Arial" w:hAnsi="Arial" w:cs="Arial"/>
          <w:sz w:val="24"/>
          <w:szCs w:val="24"/>
        </w:rPr>
      </w:pPr>
      <w:r w:rsidRPr="0004087F">
        <w:rPr>
          <w:rFonts w:ascii="Arial" w:hAnsi="Arial" w:cs="Arial"/>
          <w:sz w:val="24"/>
          <w:szCs w:val="24"/>
        </w:rPr>
        <w:t>Hong Kong’s financial regulatory framework, overseen by the Hong Kong Monetary Authority (HKMA), is robust and aligned with international standards. The city’s banking sector is highly developed, with a strong emphasis on anti-money laundering (AML) and counter-terrorist financing (CTF) measures (HKMA, 2023). These regulations enhance Hong Kong’s reputation as a safe and stable financial hub.</w:t>
      </w:r>
    </w:p>
    <w:p w14:paraId="3B9306DD" w14:textId="2C70937B" w:rsidR="00B2228F" w:rsidRPr="0004087F" w:rsidRDefault="002C37FC" w:rsidP="000E56A8">
      <w:pPr>
        <w:spacing w:after="0" w:line="360" w:lineRule="auto"/>
        <w:ind w:firstLine="142"/>
        <w:jc w:val="both"/>
        <w:rPr>
          <w:rFonts w:ascii="Arial" w:hAnsi="Arial" w:cs="Arial"/>
          <w:sz w:val="24"/>
          <w:szCs w:val="24"/>
        </w:rPr>
      </w:pPr>
      <w:r w:rsidRPr="0004087F">
        <w:rPr>
          <w:rFonts w:ascii="Arial" w:hAnsi="Arial" w:cs="Arial"/>
          <w:sz w:val="24"/>
          <w:szCs w:val="24"/>
        </w:rPr>
        <w:t xml:space="preserve">However, the increasing integration of Hong Kong’s financial system with mainland China has introduced complexities. For example, the Cross-Boundary Wealth Management </w:t>
      </w:r>
      <w:r w:rsidRPr="0004087F">
        <w:rPr>
          <w:rFonts w:ascii="Arial" w:hAnsi="Arial" w:cs="Arial"/>
          <w:sz w:val="24"/>
          <w:szCs w:val="24"/>
        </w:rPr>
        <w:lastRenderedPageBreak/>
        <w:t>Connect Scheme, while beneficial for regional integration, requires foreign businesses to navigate dual regulatory regimes (Asian Development Bank, 2023).</w:t>
      </w:r>
    </w:p>
    <w:p w14:paraId="614B6B07" w14:textId="1747C882" w:rsidR="002F1D93" w:rsidRDefault="00856A9A" w:rsidP="00856A9A">
      <w:pPr>
        <w:pStyle w:val="Heading3"/>
      </w:pPr>
      <w:bookmarkStart w:id="30" w:name="_Toc194551439"/>
      <w:r>
        <w:t xml:space="preserve">4.3.4. </w:t>
      </w:r>
      <w:r w:rsidRPr="002F1D93">
        <w:t>The Cross-Boundary Wealth Management Connect (WMC) Scheme</w:t>
      </w:r>
      <w:bookmarkEnd w:id="30"/>
    </w:p>
    <w:p w14:paraId="7957B5B3" w14:textId="51CDDAB0" w:rsidR="002F1D93" w:rsidRPr="002F1D93" w:rsidRDefault="002F1D93" w:rsidP="002F1D93">
      <w:pPr>
        <w:spacing w:after="0" w:line="360" w:lineRule="auto"/>
        <w:ind w:firstLine="142"/>
        <w:jc w:val="both"/>
        <w:rPr>
          <w:rFonts w:ascii="Arial" w:hAnsi="Arial" w:cs="Arial"/>
          <w:sz w:val="24"/>
          <w:szCs w:val="24"/>
        </w:rPr>
      </w:pPr>
      <w:r w:rsidRPr="002F1D93">
        <w:rPr>
          <w:rFonts w:ascii="Arial" w:hAnsi="Arial" w:cs="Arial"/>
          <w:sz w:val="24"/>
          <w:szCs w:val="24"/>
        </w:rPr>
        <w:t>The Cross-Boundary Wealth Management Connect (WMC) Scheme, introduced in September 2021, represents a significant step in regional financial integration by enabling residents of mainland China, Hong Kong, and Macau to invest across each other's wealth management markets. Under this initiative, Hong Kong and Macau residents gain access to mainland Chinese investment products through the Northbound Connect channel, while mainland investors can participate in Hong Kong and Macau's financial markets via the Southbound Connect. The scheme specifically targets low-to-medium risk financial products such as funds and insurance policies, with individual investment capped at RMB 1.5 million (approximately USD 210,000) in each direction.</w:t>
      </w:r>
    </w:p>
    <w:p w14:paraId="34E27E6D" w14:textId="7D1902BF" w:rsidR="002F1D93" w:rsidRPr="002F1D93" w:rsidRDefault="002F1D93" w:rsidP="002F1D93">
      <w:pPr>
        <w:spacing w:after="0" w:line="360" w:lineRule="auto"/>
        <w:ind w:firstLine="142"/>
        <w:jc w:val="both"/>
        <w:rPr>
          <w:rFonts w:ascii="Arial" w:hAnsi="Arial" w:cs="Arial"/>
          <w:sz w:val="24"/>
          <w:szCs w:val="24"/>
        </w:rPr>
      </w:pPr>
      <w:r w:rsidRPr="002F1D93">
        <w:rPr>
          <w:rFonts w:ascii="Arial" w:hAnsi="Arial" w:cs="Arial"/>
          <w:sz w:val="24"/>
          <w:szCs w:val="24"/>
        </w:rPr>
        <w:t>This innovative program has substantially strengthened Hong Kong's position as a financial gateway, offering foreign investors unprecedented access to mainland China's vast wealth management market, estimated at RMB 100 trillion. By deepening financial connectivity within the Greater Bay Area, the WMC Scheme has made Hong Kong's financial ecosystem even more attractive to international capital, particularly benefiting its thriving asset management sector which oversees more than USD 4.5 trillion in assets. However, the scheme's implementation hasn't been without challenges, as foreign investors must navigate complex regulatory requirements and remain mindful of geopolitical considerations that could impact cross-border financial flows. Ultimately, the WMC Scheme not only reinforces Hong Kong's status as a global financial hub but also accelerates the integration of the region's financial markets while creating new opportunities for international investors.</w:t>
      </w:r>
    </w:p>
    <w:p w14:paraId="579C67F6" w14:textId="6B9CEB12" w:rsidR="002C37FC" w:rsidRDefault="002C37FC" w:rsidP="000E56A8">
      <w:pPr>
        <w:pStyle w:val="Heading3"/>
        <w:jc w:val="both"/>
      </w:pPr>
      <w:bookmarkStart w:id="31" w:name="_Toc194551440"/>
      <w:r w:rsidRPr="0004087F">
        <w:t>4.</w:t>
      </w:r>
      <w:r w:rsidR="00792B34" w:rsidRPr="0004087F">
        <w:t>3</w:t>
      </w:r>
      <w:r w:rsidRPr="0004087F">
        <w:t>.</w:t>
      </w:r>
      <w:r w:rsidR="00856A9A">
        <w:t>5.</w:t>
      </w:r>
      <w:r w:rsidRPr="0004087F">
        <w:t xml:space="preserve"> Macro-Environmental Factors</w:t>
      </w:r>
      <w:bookmarkEnd w:id="31"/>
    </w:p>
    <w:p w14:paraId="32D3EC03" w14:textId="77777777" w:rsidR="00964270" w:rsidRPr="00964270" w:rsidRDefault="00964270" w:rsidP="00964270">
      <w:pPr>
        <w:spacing w:after="0" w:line="360" w:lineRule="auto"/>
        <w:ind w:firstLine="142"/>
        <w:jc w:val="both"/>
        <w:rPr>
          <w:rFonts w:ascii="Arial" w:hAnsi="Arial" w:cs="Arial"/>
          <w:sz w:val="24"/>
          <w:szCs w:val="24"/>
        </w:rPr>
      </w:pPr>
      <w:r w:rsidRPr="00964270">
        <w:rPr>
          <w:rFonts w:ascii="Arial" w:hAnsi="Arial" w:cs="Arial"/>
          <w:sz w:val="24"/>
          <w:szCs w:val="24"/>
        </w:rPr>
        <w:t>Hong Kong's status as a global business hub has faced significant challenges in recent years, testing its economic resilience. The COVID-19 pandemic precipitated an unprecedented 6.1% contraction in GDP during 2020 (Census and Statistics Department, 2021), while foreign direct investment (FDI) inflows declined by 34% to US$63 billion (UNCTAD, 2023). These impacts were exacerbated by stringent public health measures, including extended quarantine requirements that disrupted business operations and cross-border activities.</w:t>
      </w:r>
    </w:p>
    <w:p w14:paraId="071200C4" w14:textId="77777777" w:rsidR="00964270" w:rsidRPr="00964270" w:rsidRDefault="00964270" w:rsidP="00964270">
      <w:pPr>
        <w:spacing w:after="0" w:line="360" w:lineRule="auto"/>
        <w:ind w:firstLine="142"/>
        <w:jc w:val="both"/>
        <w:rPr>
          <w:rFonts w:ascii="Arial" w:hAnsi="Arial" w:cs="Arial"/>
          <w:sz w:val="24"/>
          <w:szCs w:val="24"/>
        </w:rPr>
      </w:pPr>
      <w:r w:rsidRPr="00964270">
        <w:rPr>
          <w:rFonts w:ascii="Arial" w:hAnsi="Arial" w:cs="Arial"/>
          <w:sz w:val="24"/>
          <w:szCs w:val="24"/>
        </w:rPr>
        <w:t xml:space="preserve">Concurrently, geopolitical tensions have reshaped Hong Kong's international position. The revocation of its special trade status by the United States in 2020 and subsequent </w:t>
      </w:r>
      <w:r w:rsidRPr="00964270">
        <w:rPr>
          <w:rFonts w:ascii="Arial" w:hAnsi="Arial" w:cs="Arial"/>
          <w:sz w:val="24"/>
          <w:szCs w:val="24"/>
        </w:rPr>
        <w:lastRenderedPageBreak/>
        <w:t>implementation of the National Security Law created operational uncertainties for multinational corporations. This manifested in a 10% reduction in exports to the US (Hong Kong Trade Development Council, 2021) and a decline in the city's Global Financial Centres Index ranking (GFCI, 2022).</w:t>
      </w:r>
    </w:p>
    <w:p w14:paraId="58B4123A" w14:textId="77777777" w:rsidR="00964270" w:rsidRPr="00964270" w:rsidRDefault="00964270" w:rsidP="00964270">
      <w:pPr>
        <w:spacing w:after="0" w:line="360" w:lineRule="auto"/>
        <w:ind w:firstLine="142"/>
        <w:jc w:val="both"/>
        <w:rPr>
          <w:rFonts w:ascii="Arial" w:hAnsi="Arial" w:cs="Arial"/>
          <w:sz w:val="24"/>
          <w:szCs w:val="24"/>
        </w:rPr>
      </w:pPr>
      <w:r w:rsidRPr="00964270">
        <w:rPr>
          <w:rFonts w:ascii="Arial" w:hAnsi="Arial" w:cs="Arial"/>
          <w:sz w:val="24"/>
          <w:szCs w:val="24"/>
        </w:rPr>
        <w:t>Nevertheless, Hong Kong has demonstrated notable economic resilience. By 2023, FDI inflows had recovered to US$112.6 billion (UNCTAD, 2023), surpassing pre-pandemic levels. This resurgence reflects several structural advantages:</w:t>
      </w:r>
    </w:p>
    <w:p w14:paraId="0F2C2FA9" w14:textId="77777777" w:rsidR="00964270" w:rsidRPr="00993F79" w:rsidRDefault="00964270" w:rsidP="00993F79">
      <w:pPr>
        <w:pStyle w:val="ListParagraph"/>
        <w:numPr>
          <w:ilvl w:val="0"/>
          <w:numId w:val="56"/>
        </w:numPr>
        <w:spacing w:after="0" w:line="360" w:lineRule="auto"/>
        <w:jc w:val="both"/>
        <w:rPr>
          <w:rFonts w:ascii="Arial" w:hAnsi="Arial" w:cs="Arial"/>
          <w:sz w:val="24"/>
          <w:szCs w:val="24"/>
        </w:rPr>
      </w:pPr>
      <w:r w:rsidRPr="00993F79">
        <w:rPr>
          <w:rFonts w:ascii="Arial" w:hAnsi="Arial" w:cs="Arial"/>
          <w:sz w:val="24"/>
          <w:szCs w:val="24"/>
        </w:rPr>
        <w:t>Strategic integration with the Greater Bay Area, representing a combined GDP of US$1.9 trillion (PwC, 2022)</w:t>
      </w:r>
    </w:p>
    <w:p w14:paraId="2D2D3226" w14:textId="77777777" w:rsidR="00964270" w:rsidRPr="00993F79" w:rsidRDefault="00964270" w:rsidP="00993F79">
      <w:pPr>
        <w:pStyle w:val="ListParagraph"/>
        <w:numPr>
          <w:ilvl w:val="0"/>
          <w:numId w:val="56"/>
        </w:numPr>
        <w:spacing w:after="0" w:line="360" w:lineRule="auto"/>
        <w:jc w:val="both"/>
        <w:rPr>
          <w:rFonts w:ascii="Arial" w:hAnsi="Arial" w:cs="Arial"/>
          <w:sz w:val="24"/>
          <w:szCs w:val="24"/>
        </w:rPr>
      </w:pPr>
      <w:r w:rsidRPr="00993F79">
        <w:rPr>
          <w:rFonts w:ascii="Arial" w:hAnsi="Arial" w:cs="Arial"/>
          <w:sz w:val="24"/>
          <w:szCs w:val="24"/>
        </w:rPr>
        <w:t>Robust financial infrastructure, with stock market capitalisation reaching US$4.5 trillion (Hong Kong Exchanges and Clearing, 2023)</w:t>
      </w:r>
    </w:p>
    <w:p w14:paraId="39E9A7C8" w14:textId="3682503C" w:rsidR="00964270" w:rsidRPr="00993F79" w:rsidRDefault="00964270" w:rsidP="00993F79">
      <w:pPr>
        <w:pStyle w:val="ListParagraph"/>
        <w:numPr>
          <w:ilvl w:val="0"/>
          <w:numId w:val="56"/>
        </w:numPr>
        <w:spacing w:after="0" w:line="360" w:lineRule="auto"/>
        <w:jc w:val="both"/>
        <w:rPr>
          <w:rFonts w:ascii="Arial" w:hAnsi="Arial" w:cs="Arial"/>
          <w:sz w:val="24"/>
          <w:szCs w:val="24"/>
        </w:rPr>
      </w:pPr>
      <w:r w:rsidRPr="00993F79">
        <w:rPr>
          <w:rFonts w:ascii="Arial" w:hAnsi="Arial" w:cs="Arial"/>
          <w:sz w:val="24"/>
          <w:szCs w:val="24"/>
        </w:rPr>
        <w:t>Innovative financial integration mechanisms such as the Cross-Boundary Wealth Management Connect Scheme</w:t>
      </w:r>
      <w:r w:rsidR="00993F79" w:rsidRPr="00993F79">
        <w:rPr>
          <w:rFonts w:ascii="Arial" w:hAnsi="Arial" w:cs="Arial"/>
          <w:sz w:val="24"/>
          <w:szCs w:val="24"/>
        </w:rPr>
        <w:t>.</w:t>
      </w:r>
    </w:p>
    <w:p w14:paraId="03DB6255" w14:textId="217BF243" w:rsidR="00964270" w:rsidRPr="00964270" w:rsidRDefault="00964270" w:rsidP="00964270">
      <w:pPr>
        <w:spacing w:after="0" w:line="360" w:lineRule="auto"/>
        <w:ind w:firstLine="142"/>
        <w:jc w:val="both"/>
      </w:pPr>
      <w:r w:rsidRPr="00964270">
        <w:rPr>
          <w:rFonts w:ascii="Arial" w:hAnsi="Arial" w:cs="Arial"/>
          <w:sz w:val="24"/>
          <w:szCs w:val="24"/>
        </w:rPr>
        <w:t>Looking forward, Hong Kong faces the dual challenge of navigating complex geopolitical dynamics while diversifying its economic base beyond traditional strengths in financial services and real estate. The territory's ability to maintain its competitive edge will depend on leveraging its unique position as China's international financial gateway while adapting to evolving global trade architectures</w:t>
      </w:r>
      <w:r w:rsidRPr="00964270">
        <w:t>.</w:t>
      </w:r>
    </w:p>
    <w:p w14:paraId="18758773" w14:textId="18E2D66C" w:rsidR="002C37FC" w:rsidRPr="0004087F" w:rsidRDefault="002C37FC" w:rsidP="000E56A8">
      <w:pPr>
        <w:pStyle w:val="Heading2"/>
        <w:jc w:val="both"/>
      </w:pPr>
      <w:bookmarkStart w:id="32" w:name="_Toc194551441"/>
      <w:r w:rsidRPr="0004087F">
        <w:t>4.</w:t>
      </w:r>
      <w:r w:rsidR="00792B34" w:rsidRPr="0004087F">
        <w:t>4</w:t>
      </w:r>
      <w:r w:rsidRPr="0004087F">
        <w:t xml:space="preserve"> </w:t>
      </w:r>
      <w:r w:rsidRPr="00C0622A">
        <w:t>Comparative</w:t>
      </w:r>
      <w:r w:rsidRPr="0004087F">
        <w:t xml:space="preserve"> Analysis with Other Global Financial Hubs</w:t>
      </w:r>
      <w:bookmarkEnd w:id="32"/>
    </w:p>
    <w:p w14:paraId="6FDA11EE" w14:textId="6568E257" w:rsidR="002C37FC" w:rsidRPr="0004087F" w:rsidRDefault="002C37FC" w:rsidP="000E56A8">
      <w:pPr>
        <w:pStyle w:val="Heading3"/>
        <w:jc w:val="both"/>
      </w:pPr>
      <w:bookmarkStart w:id="33" w:name="_Toc194551442"/>
      <w:r w:rsidRPr="0004087F">
        <w:t>4.</w:t>
      </w:r>
      <w:r w:rsidR="00792B34" w:rsidRPr="0004087F">
        <w:t>4</w:t>
      </w:r>
      <w:r w:rsidRPr="0004087F">
        <w:t xml:space="preserve">.1 </w:t>
      </w:r>
      <w:r w:rsidRPr="00C0622A">
        <w:t>Hong</w:t>
      </w:r>
      <w:r w:rsidRPr="0004087F">
        <w:t xml:space="preserve"> Kong vs. Singapore</w:t>
      </w:r>
      <w:bookmarkEnd w:id="33"/>
    </w:p>
    <w:p w14:paraId="1BEEB86C" w14:textId="77777777" w:rsidR="002C37FC" w:rsidRPr="0004087F" w:rsidRDefault="002C37FC" w:rsidP="000E56A8">
      <w:pPr>
        <w:spacing w:after="0" w:line="360" w:lineRule="auto"/>
        <w:ind w:firstLine="142"/>
        <w:jc w:val="both"/>
        <w:rPr>
          <w:rFonts w:ascii="Arial" w:hAnsi="Arial" w:cs="Arial"/>
          <w:sz w:val="24"/>
          <w:szCs w:val="24"/>
        </w:rPr>
      </w:pPr>
      <w:r w:rsidRPr="0004087F">
        <w:rPr>
          <w:rFonts w:ascii="Arial" w:hAnsi="Arial" w:cs="Arial"/>
          <w:sz w:val="24"/>
          <w:szCs w:val="24"/>
        </w:rPr>
        <w:t>Singapore is often cited as Hong Kong’s closest competitor in Asia. Both cities offer low tax rates, strong legal systems, and robust financial infrastructures. However, Singapore has been more proactive in adopting digital transformation initiatives, such as the Smart Nation program, which enhances its appeal to tech-driven businesses (EIU, 2023).</w:t>
      </w:r>
    </w:p>
    <w:p w14:paraId="3025BC82" w14:textId="77777777" w:rsidR="002C37FC" w:rsidRPr="0004087F" w:rsidRDefault="002C37FC" w:rsidP="000E56A8">
      <w:pPr>
        <w:spacing w:after="0" w:line="360" w:lineRule="auto"/>
        <w:ind w:firstLine="142"/>
        <w:jc w:val="both"/>
        <w:rPr>
          <w:rFonts w:ascii="Arial" w:hAnsi="Arial" w:cs="Arial"/>
          <w:sz w:val="24"/>
          <w:szCs w:val="24"/>
        </w:rPr>
      </w:pPr>
      <w:r w:rsidRPr="0004087F">
        <w:rPr>
          <w:rFonts w:ascii="Arial" w:hAnsi="Arial" w:cs="Arial"/>
          <w:sz w:val="24"/>
          <w:szCs w:val="24"/>
        </w:rPr>
        <w:t>In contrast, Hong Kong’s regulatory environment is perceived as more restrictive due to recent political developments. For example, the National Security Law has led some foreign businesses to consider relocating to Singapore, which is seen as more politically stable (SCMP, 2023).</w:t>
      </w:r>
    </w:p>
    <w:p w14:paraId="32BDA6B0" w14:textId="4E6DE049" w:rsidR="002C37FC" w:rsidRPr="0004087F" w:rsidRDefault="002C37FC" w:rsidP="000E56A8">
      <w:pPr>
        <w:pStyle w:val="Heading3"/>
        <w:jc w:val="both"/>
      </w:pPr>
      <w:bookmarkStart w:id="34" w:name="_Toc194551443"/>
      <w:r w:rsidRPr="0004087F">
        <w:t>4</w:t>
      </w:r>
      <w:r w:rsidR="00792B34" w:rsidRPr="0004087F">
        <w:t>.4</w:t>
      </w:r>
      <w:r w:rsidRPr="0004087F">
        <w:t>.2 Hong Kong vs. London</w:t>
      </w:r>
      <w:bookmarkEnd w:id="34"/>
    </w:p>
    <w:p w14:paraId="30B07126" w14:textId="77777777" w:rsidR="002C37FC" w:rsidRPr="0004087F" w:rsidRDefault="002C37FC" w:rsidP="000E56A8">
      <w:pPr>
        <w:spacing w:after="0" w:line="360" w:lineRule="auto"/>
        <w:ind w:firstLine="142"/>
        <w:jc w:val="both"/>
        <w:rPr>
          <w:rFonts w:ascii="Arial" w:hAnsi="Arial" w:cs="Arial"/>
          <w:sz w:val="24"/>
          <w:szCs w:val="24"/>
        </w:rPr>
      </w:pPr>
      <w:r w:rsidRPr="0004087F">
        <w:rPr>
          <w:rFonts w:ascii="Arial" w:hAnsi="Arial" w:cs="Arial"/>
          <w:sz w:val="24"/>
          <w:szCs w:val="24"/>
        </w:rPr>
        <w:t xml:space="preserve">London remains a leading global financial hub, with a highly diversified economy and a strong emphasis on innovation. The UK’s regulatory environment is characterized by its </w:t>
      </w:r>
      <w:r w:rsidRPr="0004087F">
        <w:rPr>
          <w:rFonts w:ascii="Arial" w:hAnsi="Arial" w:cs="Arial"/>
          <w:sz w:val="24"/>
          <w:szCs w:val="24"/>
        </w:rPr>
        <w:lastRenderedPageBreak/>
        <w:t>flexibility and responsiveness to global trends, such as the rise of fintech and green finance (Financial Times, 2023).</w:t>
      </w:r>
    </w:p>
    <w:p w14:paraId="7E152823" w14:textId="73B7A8AB" w:rsidR="002C37FC" w:rsidRPr="0004087F" w:rsidRDefault="002C37FC" w:rsidP="000E56A8">
      <w:pPr>
        <w:spacing w:after="0" w:line="360" w:lineRule="auto"/>
        <w:ind w:firstLine="142"/>
        <w:jc w:val="both"/>
        <w:rPr>
          <w:rFonts w:ascii="Arial" w:hAnsi="Arial" w:cs="Arial"/>
          <w:sz w:val="24"/>
          <w:szCs w:val="24"/>
        </w:rPr>
      </w:pPr>
      <w:r w:rsidRPr="0004087F">
        <w:rPr>
          <w:rFonts w:ascii="Arial" w:hAnsi="Arial" w:cs="Arial"/>
          <w:sz w:val="24"/>
          <w:szCs w:val="24"/>
        </w:rPr>
        <w:t>While Hong Kong offers lower tax rates and closer proximity to mainland China, its regulatory framework is perceived as less adaptable compared to London’s. For instance, London’s regulatory sandbox for fintech startups has been highly successful, whereas Hong Kong’s efforts in this area are still evolving (HKMA, 2023).</w:t>
      </w:r>
    </w:p>
    <w:p w14:paraId="0CB1BD54" w14:textId="490DC691" w:rsidR="002C37FC" w:rsidRPr="0004087F" w:rsidRDefault="002C37FC" w:rsidP="000E56A8">
      <w:pPr>
        <w:pStyle w:val="Heading2"/>
        <w:jc w:val="both"/>
      </w:pPr>
      <w:bookmarkStart w:id="35" w:name="_Toc194551444"/>
      <w:r w:rsidRPr="0004087F">
        <w:t>4.</w:t>
      </w:r>
      <w:r w:rsidR="00792B34" w:rsidRPr="0004087F">
        <w:t>5</w:t>
      </w:r>
      <w:r w:rsidRPr="0004087F">
        <w:t xml:space="preserve"> </w:t>
      </w:r>
      <w:r w:rsidRPr="00C0622A">
        <w:t>Case</w:t>
      </w:r>
      <w:r w:rsidRPr="0004087F">
        <w:t xml:space="preserve"> Studies of Foreign Business Expansion</w:t>
      </w:r>
      <w:bookmarkEnd w:id="35"/>
    </w:p>
    <w:p w14:paraId="19B907AD" w14:textId="7A6A54C9" w:rsidR="002C37FC" w:rsidRPr="0004087F" w:rsidRDefault="002C37FC" w:rsidP="000E56A8">
      <w:pPr>
        <w:pStyle w:val="Heading3"/>
        <w:jc w:val="both"/>
      </w:pPr>
      <w:bookmarkStart w:id="36" w:name="_Toc194551445"/>
      <w:r w:rsidRPr="0004087F">
        <w:t>4.</w:t>
      </w:r>
      <w:r w:rsidR="00792B34" w:rsidRPr="0004087F">
        <w:t>5</w:t>
      </w:r>
      <w:r w:rsidRPr="0004087F">
        <w:t xml:space="preserve">.1 Case </w:t>
      </w:r>
      <w:r w:rsidRPr="00C0622A">
        <w:t>Study</w:t>
      </w:r>
      <w:r w:rsidRPr="0004087F">
        <w:t xml:space="preserve"> 1: HSBC in Hong Kong</w:t>
      </w:r>
      <w:bookmarkEnd w:id="36"/>
    </w:p>
    <w:p w14:paraId="6A682840" w14:textId="77777777" w:rsidR="002C37FC" w:rsidRDefault="002C37FC" w:rsidP="000E56A8">
      <w:pPr>
        <w:spacing w:after="0" w:line="360" w:lineRule="auto"/>
        <w:ind w:firstLine="142"/>
        <w:jc w:val="both"/>
        <w:rPr>
          <w:rFonts w:ascii="Arial" w:hAnsi="Arial" w:cs="Arial"/>
          <w:sz w:val="24"/>
          <w:szCs w:val="24"/>
        </w:rPr>
      </w:pPr>
      <w:r w:rsidRPr="0004087F">
        <w:rPr>
          <w:rFonts w:ascii="Arial" w:hAnsi="Arial" w:cs="Arial"/>
          <w:sz w:val="24"/>
          <w:szCs w:val="24"/>
        </w:rPr>
        <w:t>HSBC, one of the world’s largest banking and financial services organizations, has a long history in Hong Kong. The bank has benefited from the city’s business-friendly regulatory environment, particularly its low tax rates and robust financial infrastructure (PwC, 2023). However, HSBC has also faced challenges due to geopolitical tensions, including pressure to comply with both U.S. and Chinese regulations (Financial Times, 2023).</w:t>
      </w:r>
    </w:p>
    <w:p w14:paraId="671375E5" w14:textId="037E5CE6" w:rsidR="00993F79" w:rsidRPr="0004087F" w:rsidRDefault="00993F79" w:rsidP="000E56A8">
      <w:pPr>
        <w:spacing w:after="0" w:line="360" w:lineRule="auto"/>
        <w:ind w:firstLine="142"/>
        <w:jc w:val="both"/>
        <w:rPr>
          <w:rFonts w:ascii="Arial" w:hAnsi="Arial" w:cs="Arial"/>
          <w:sz w:val="24"/>
          <w:szCs w:val="24"/>
        </w:rPr>
      </w:pPr>
      <w:r w:rsidRPr="00993F79">
        <w:rPr>
          <w:rFonts w:ascii="Arial" w:hAnsi="Arial" w:cs="Arial"/>
          <w:sz w:val="24"/>
          <w:szCs w:val="24"/>
        </w:rPr>
        <w:t>HSBC’s 2022 decision to relocate 300 staff from Hong Kong to Singapore (Financial Times, 2022) reflects compliance costs under dual U.S.-China regulations. Yet its retained regional HQ in Hong Kong underscores strategic reliance on mainland market access—a trade-off predicted by the OLI Framework’s ‘internalization advantages.’ This duality suggests that foreign firms compartmentalize risks: operational divisions move while core functions stay, a nuance absent in prior literature.</w:t>
      </w:r>
    </w:p>
    <w:p w14:paraId="1240E287" w14:textId="07E25DDB" w:rsidR="002C37FC" w:rsidRPr="0004087F" w:rsidRDefault="002C37FC" w:rsidP="000E56A8">
      <w:pPr>
        <w:pStyle w:val="Heading3"/>
        <w:jc w:val="both"/>
      </w:pPr>
      <w:bookmarkStart w:id="37" w:name="_Toc194551446"/>
      <w:r w:rsidRPr="0004087F">
        <w:t>4.</w:t>
      </w:r>
      <w:r w:rsidR="00792B34" w:rsidRPr="0004087F">
        <w:t>5</w:t>
      </w:r>
      <w:r w:rsidRPr="0004087F">
        <w:t xml:space="preserve">.2 Case Study 2: </w:t>
      </w:r>
      <w:r w:rsidRPr="00C0622A">
        <w:t>Tesla</w:t>
      </w:r>
      <w:r w:rsidRPr="0004087F">
        <w:t xml:space="preserve"> in Hong Kong</w:t>
      </w:r>
      <w:bookmarkEnd w:id="37"/>
    </w:p>
    <w:p w14:paraId="5E3F13E8" w14:textId="3D9C5CAE" w:rsidR="002C37FC" w:rsidRPr="0004087F" w:rsidRDefault="002C37FC" w:rsidP="000E56A8">
      <w:pPr>
        <w:spacing w:after="0" w:line="360" w:lineRule="auto"/>
        <w:ind w:firstLine="142"/>
        <w:jc w:val="both"/>
        <w:rPr>
          <w:rFonts w:ascii="Arial" w:hAnsi="Arial" w:cs="Arial"/>
          <w:b/>
          <w:bCs/>
          <w:sz w:val="24"/>
          <w:szCs w:val="24"/>
        </w:rPr>
      </w:pPr>
      <w:r w:rsidRPr="0004087F">
        <w:rPr>
          <w:rFonts w:ascii="Arial" w:hAnsi="Arial" w:cs="Arial"/>
          <w:sz w:val="24"/>
          <w:szCs w:val="24"/>
        </w:rPr>
        <w:t xml:space="preserve">Tesla’s expansion into Hong Kong illustrates the importance of government incentives in attracting foreign investment. The Hong Kong government’s tax exemptions for electric vehicles (EVs) have made the city one of Tesla’s most successful markets globally (SCMP, 2023). However, recent reductions in </w:t>
      </w:r>
      <w:r w:rsidR="002A2193" w:rsidRPr="0004087F">
        <w:rPr>
          <w:rFonts w:ascii="Arial" w:hAnsi="Arial" w:cs="Arial"/>
          <w:sz w:val="24"/>
          <w:szCs w:val="24"/>
        </w:rPr>
        <w:t>Electric Vehicle (</w:t>
      </w:r>
      <w:r w:rsidRPr="0004087F">
        <w:rPr>
          <w:rFonts w:ascii="Arial" w:hAnsi="Arial" w:cs="Arial"/>
          <w:sz w:val="24"/>
          <w:szCs w:val="24"/>
        </w:rPr>
        <w:t>EV</w:t>
      </w:r>
      <w:r w:rsidR="002A2193" w:rsidRPr="0004087F">
        <w:rPr>
          <w:rFonts w:ascii="Arial" w:hAnsi="Arial" w:cs="Arial"/>
          <w:sz w:val="24"/>
          <w:szCs w:val="24"/>
        </w:rPr>
        <w:t>)</w:t>
      </w:r>
      <w:r w:rsidRPr="0004087F">
        <w:rPr>
          <w:rFonts w:ascii="Arial" w:hAnsi="Arial" w:cs="Arial"/>
          <w:sz w:val="24"/>
          <w:szCs w:val="24"/>
        </w:rPr>
        <w:t xml:space="preserve"> subsidies have led to a decline in Tesla’s sales, underscoring the impact of regulatory changes on business performance.</w:t>
      </w:r>
    </w:p>
    <w:p w14:paraId="4CA64DAE" w14:textId="2C6C9BB5" w:rsidR="002C37FC" w:rsidRPr="0004087F" w:rsidRDefault="002C37FC" w:rsidP="000E56A8">
      <w:pPr>
        <w:spacing w:after="0" w:line="360" w:lineRule="auto"/>
        <w:ind w:firstLine="142"/>
        <w:jc w:val="both"/>
        <w:rPr>
          <w:rFonts w:ascii="Arial" w:hAnsi="Arial" w:cs="Arial"/>
          <w:sz w:val="24"/>
          <w:szCs w:val="24"/>
        </w:rPr>
      </w:pPr>
      <w:r w:rsidRPr="0004087F">
        <w:rPr>
          <w:rFonts w:ascii="Arial" w:hAnsi="Arial" w:cs="Arial"/>
          <w:sz w:val="24"/>
          <w:szCs w:val="24"/>
        </w:rPr>
        <w:t xml:space="preserve">This case demonstrates how </w:t>
      </w:r>
      <w:r w:rsidR="005D7855" w:rsidRPr="0004087F">
        <w:rPr>
          <w:rFonts w:ascii="Arial" w:hAnsi="Arial" w:cs="Arial"/>
          <w:sz w:val="24"/>
          <w:szCs w:val="24"/>
        </w:rPr>
        <w:t>favourable</w:t>
      </w:r>
      <w:r w:rsidRPr="0004087F">
        <w:rPr>
          <w:rFonts w:ascii="Arial" w:hAnsi="Arial" w:cs="Arial"/>
          <w:sz w:val="24"/>
          <w:szCs w:val="24"/>
        </w:rPr>
        <w:t xml:space="preserve"> regulations can drive foreign business expansion but also highlights the risks associated with policy shifts.</w:t>
      </w:r>
    </w:p>
    <w:p w14:paraId="4B8D9675" w14:textId="684F363E" w:rsidR="002C4005" w:rsidRPr="0004087F" w:rsidRDefault="002C37FC" w:rsidP="000E56A8">
      <w:pPr>
        <w:pStyle w:val="Heading2"/>
        <w:jc w:val="both"/>
      </w:pPr>
      <w:bookmarkStart w:id="38" w:name="_Toc194551447"/>
      <w:r w:rsidRPr="0004087F">
        <w:lastRenderedPageBreak/>
        <w:t>4.</w:t>
      </w:r>
      <w:r w:rsidR="00792B34" w:rsidRPr="0004087F">
        <w:t>6</w:t>
      </w:r>
      <w:r w:rsidR="002C4005" w:rsidRPr="0004087F">
        <w:t>. Findings and Discussion</w:t>
      </w:r>
      <w:bookmarkEnd w:id="38"/>
      <w:r w:rsidR="002C4005" w:rsidRPr="0004087F">
        <w:t xml:space="preserve"> </w:t>
      </w:r>
    </w:p>
    <w:p w14:paraId="11D1E00C" w14:textId="0DF6BBA7" w:rsidR="002C4005" w:rsidRDefault="002C4005" w:rsidP="000E56A8">
      <w:pPr>
        <w:pStyle w:val="Heading3"/>
        <w:jc w:val="both"/>
      </w:pPr>
      <w:bookmarkStart w:id="39" w:name="_Toc194551448"/>
      <w:r w:rsidRPr="002C4005">
        <w:t>4.</w:t>
      </w:r>
      <w:r w:rsidRPr="0004087F">
        <w:t>6</w:t>
      </w:r>
      <w:r w:rsidRPr="002C4005">
        <w:t>.1 Confirmation or Rejection of Hypotheses</w:t>
      </w:r>
      <w:bookmarkEnd w:id="39"/>
    </w:p>
    <w:p w14:paraId="7E5BEA95" w14:textId="77777777" w:rsidR="001A14B5" w:rsidRPr="001A14B5" w:rsidRDefault="001A14B5" w:rsidP="000E56A8">
      <w:pPr>
        <w:spacing w:after="0" w:line="360" w:lineRule="auto"/>
        <w:ind w:firstLine="142"/>
        <w:jc w:val="both"/>
        <w:rPr>
          <w:rFonts w:ascii="Arial" w:hAnsi="Arial" w:cs="Arial"/>
          <w:sz w:val="24"/>
          <w:szCs w:val="24"/>
        </w:rPr>
      </w:pPr>
      <w:r w:rsidRPr="001A14B5">
        <w:rPr>
          <w:rFonts w:ascii="Arial" w:hAnsi="Arial" w:cs="Arial"/>
          <w:sz w:val="24"/>
          <w:szCs w:val="24"/>
        </w:rPr>
        <w:t>The study's findings demonstrate varying degrees of support for the initial hypotheses, with some receiving clear confirmation while others show more complex patterns requiring nuanced interpretation:</w:t>
      </w:r>
    </w:p>
    <w:p w14:paraId="3E3F791A" w14:textId="6485DC29" w:rsidR="002C4005" w:rsidRPr="0004087F" w:rsidRDefault="002C4005" w:rsidP="000E56A8">
      <w:pPr>
        <w:spacing w:after="0" w:line="360" w:lineRule="auto"/>
        <w:ind w:firstLine="142"/>
        <w:jc w:val="both"/>
        <w:rPr>
          <w:rFonts w:ascii="Arial" w:hAnsi="Arial" w:cs="Arial"/>
          <w:sz w:val="24"/>
          <w:szCs w:val="24"/>
        </w:rPr>
      </w:pPr>
      <w:r w:rsidRPr="0004087F">
        <w:rPr>
          <w:rFonts w:ascii="Arial" w:hAnsi="Arial" w:cs="Arial"/>
          <w:sz w:val="24"/>
          <w:szCs w:val="24"/>
        </w:rPr>
        <w:t>H1: Confirmed</w:t>
      </w:r>
    </w:p>
    <w:p w14:paraId="2415B752" w14:textId="18A54130" w:rsidR="002C4005" w:rsidRPr="002C4005" w:rsidRDefault="002C4005" w:rsidP="000E56A8">
      <w:pPr>
        <w:spacing w:after="0" w:line="360" w:lineRule="auto"/>
        <w:ind w:firstLine="142"/>
        <w:jc w:val="both"/>
        <w:rPr>
          <w:rFonts w:ascii="Arial" w:hAnsi="Arial" w:cs="Arial"/>
          <w:sz w:val="24"/>
          <w:szCs w:val="24"/>
        </w:rPr>
      </w:pPr>
      <w:r w:rsidRPr="002C4005">
        <w:rPr>
          <w:rFonts w:ascii="Arial" w:hAnsi="Arial" w:cs="Arial"/>
          <w:sz w:val="24"/>
          <w:szCs w:val="24"/>
        </w:rPr>
        <w:t xml:space="preserve">Hong Kong's regulatory environment remains highly attractive for foreign businesses seeking access to mainland Chinese markets. The territory's low and simple tax regime, robust legal system, and strategic location as a gateway to China provide significant advantages. Despite concerns over the National Security Law, Hong Kong's FDI inflows increased by 2.7% in 2023, reaching USD 112.6 billion, the </w:t>
      </w:r>
      <w:r w:rsidR="001A14B5" w:rsidRPr="002C4005">
        <w:rPr>
          <w:rFonts w:ascii="Arial" w:hAnsi="Arial" w:cs="Arial"/>
          <w:sz w:val="24"/>
          <w:szCs w:val="24"/>
        </w:rPr>
        <w:t>fourth highest</w:t>
      </w:r>
      <w:r w:rsidRPr="002C4005">
        <w:rPr>
          <w:rFonts w:ascii="Arial" w:hAnsi="Arial" w:cs="Arial"/>
          <w:sz w:val="24"/>
          <w:szCs w:val="24"/>
        </w:rPr>
        <w:t xml:space="preserve"> globally (UNCTAD, 2024). This suggests that foreign businesses continue to value Hong Kong's unique position, particularly for accessing the Greater Bay Area (GBA) and mainland China's wealth management market through initiatives like the Cross-Boundary Wealth Management Connect Scheme.</w:t>
      </w:r>
    </w:p>
    <w:p w14:paraId="702690EA" w14:textId="77777777" w:rsidR="002C4005" w:rsidRPr="0004087F" w:rsidRDefault="002C4005" w:rsidP="000E56A8">
      <w:pPr>
        <w:spacing w:after="0" w:line="360" w:lineRule="auto"/>
        <w:ind w:firstLine="142"/>
        <w:jc w:val="both"/>
        <w:rPr>
          <w:rFonts w:ascii="Arial" w:hAnsi="Arial" w:cs="Arial"/>
          <w:sz w:val="24"/>
          <w:szCs w:val="24"/>
        </w:rPr>
      </w:pPr>
      <w:r w:rsidRPr="0004087F">
        <w:rPr>
          <w:rFonts w:ascii="Arial" w:hAnsi="Arial" w:cs="Arial"/>
          <w:sz w:val="24"/>
          <w:szCs w:val="24"/>
        </w:rPr>
        <w:t>H2: Partially Confirmed</w:t>
      </w:r>
    </w:p>
    <w:p w14:paraId="12924FD4" w14:textId="77777777" w:rsidR="002C4005" w:rsidRPr="0004087F" w:rsidRDefault="002C4005" w:rsidP="000E56A8">
      <w:pPr>
        <w:spacing w:after="0" w:line="360" w:lineRule="auto"/>
        <w:ind w:firstLine="142"/>
        <w:jc w:val="both"/>
        <w:rPr>
          <w:rFonts w:ascii="Arial" w:hAnsi="Arial" w:cs="Arial"/>
          <w:sz w:val="24"/>
          <w:szCs w:val="24"/>
        </w:rPr>
      </w:pPr>
      <w:r w:rsidRPr="002C4005">
        <w:rPr>
          <w:rFonts w:ascii="Arial" w:hAnsi="Arial" w:cs="Arial"/>
          <w:sz w:val="24"/>
          <w:szCs w:val="24"/>
        </w:rPr>
        <w:t>The data indicates a shift in FDI composition, with Western investments declining due to geopolitical tensions and the National Security Law. For instance, the U.S. revoked Hong Kong's special trade status in 2020, and some multinational corporations have relocated operations to Singapore (Financial Times, 2021). However, this decline has been offset by increased investments from mainland China and other Asian countries. By the end of 2023, mainland China accounted for 31.1% of Hong Kong's FDI stock, followed by the British Virgin Islands (30.5%) and the Cayman Islands (10.6%) (Hong Kong Census and Statistics Department, 2023). This trend aligns with H2, though the extent of the shift requires further longitudinal analysis.</w:t>
      </w:r>
    </w:p>
    <w:p w14:paraId="4C82F3CA" w14:textId="77777777" w:rsidR="002C4005" w:rsidRPr="0004087F" w:rsidRDefault="002C4005" w:rsidP="000E56A8">
      <w:pPr>
        <w:spacing w:after="0" w:line="360" w:lineRule="auto"/>
        <w:ind w:firstLine="142"/>
        <w:jc w:val="both"/>
        <w:rPr>
          <w:rFonts w:ascii="Arial" w:hAnsi="Arial" w:cs="Arial"/>
          <w:sz w:val="24"/>
          <w:szCs w:val="24"/>
        </w:rPr>
      </w:pPr>
      <w:r w:rsidRPr="0004087F">
        <w:rPr>
          <w:rFonts w:ascii="Arial" w:hAnsi="Arial" w:cs="Arial"/>
          <w:sz w:val="24"/>
          <w:szCs w:val="24"/>
        </w:rPr>
        <w:t>H3: Partially Confirmed</w:t>
      </w:r>
    </w:p>
    <w:p w14:paraId="56CF7A9A" w14:textId="77777777" w:rsidR="002C4005" w:rsidRPr="002C4005" w:rsidRDefault="002C4005" w:rsidP="000E56A8">
      <w:pPr>
        <w:spacing w:after="0" w:line="360" w:lineRule="auto"/>
        <w:ind w:firstLine="142"/>
        <w:jc w:val="both"/>
        <w:rPr>
          <w:rFonts w:ascii="Arial" w:hAnsi="Arial" w:cs="Arial"/>
          <w:sz w:val="24"/>
          <w:szCs w:val="24"/>
        </w:rPr>
      </w:pPr>
      <w:r w:rsidRPr="002C4005">
        <w:rPr>
          <w:rFonts w:ascii="Arial" w:hAnsi="Arial" w:cs="Arial"/>
          <w:sz w:val="24"/>
          <w:szCs w:val="24"/>
        </w:rPr>
        <w:t xml:space="preserve">Hong Kong's regulatory framework for the financial sector is highly competitive, offering significant advantages such as low tax rates, a robust legal system, and seamless integration with mainland China's financial markets. The Cross-Boundary Wealth Management Connect Scheme, for example, has strengthened Hong Kong's role as a gateway to mainland China's wealth management market, attracting foreign investors (HKMA, 2021). Additionally, Hong Kong's financial services sector contributes 21% of its </w:t>
      </w:r>
      <w:r w:rsidRPr="002C4005">
        <w:rPr>
          <w:rFonts w:ascii="Arial" w:hAnsi="Arial" w:cs="Arial"/>
          <w:sz w:val="24"/>
          <w:szCs w:val="24"/>
        </w:rPr>
        <w:lastRenderedPageBreak/>
        <w:t>GDP, with the stock market capitalization reaching USD 4.5 trillion in 2023 (Hong Kong Exchanges and Clearing, 2023).</w:t>
      </w:r>
    </w:p>
    <w:p w14:paraId="4174435C" w14:textId="3989E7D9" w:rsidR="001A14B5" w:rsidRPr="0004087F" w:rsidRDefault="002C4005" w:rsidP="00967575">
      <w:pPr>
        <w:spacing w:after="0" w:line="360" w:lineRule="auto"/>
        <w:ind w:firstLine="142"/>
        <w:jc w:val="both"/>
        <w:rPr>
          <w:rFonts w:ascii="Arial" w:hAnsi="Arial" w:cs="Arial"/>
          <w:sz w:val="24"/>
          <w:szCs w:val="24"/>
        </w:rPr>
      </w:pPr>
      <w:r w:rsidRPr="002C4005">
        <w:rPr>
          <w:rFonts w:ascii="Arial" w:hAnsi="Arial" w:cs="Arial"/>
          <w:sz w:val="24"/>
          <w:szCs w:val="24"/>
        </w:rPr>
        <w:t>However, while Hong Kong excels in traditional financial services, its regulatory environment is perceived as less adaptable compared to hubs like Singapore and London, particularly in areas like fintech innovation and green finance. For instance, London's regulatory sandbox for fintech startups has been highly successful, whereas Hong Kong's efforts in this area are still evolving (HKMA, 2023). This limits Hong Kong's ability to fully capitalize on emerging trends in the financial sector.</w:t>
      </w:r>
    </w:p>
    <w:p w14:paraId="2C63657E" w14:textId="2253CD4C" w:rsidR="002C4005" w:rsidRPr="0004087F" w:rsidRDefault="002C4005" w:rsidP="000E56A8">
      <w:pPr>
        <w:pStyle w:val="Heading3"/>
        <w:jc w:val="both"/>
      </w:pPr>
      <w:bookmarkStart w:id="40" w:name="_Toc194551449"/>
      <w:r w:rsidRPr="0004087F">
        <w:t>4.6.2. Key Insights from Data Analysis</w:t>
      </w:r>
      <w:bookmarkEnd w:id="40"/>
    </w:p>
    <w:p w14:paraId="7C39583B" w14:textId="77777777" w:rsidR="002C4005" w:rsidRPr="002C4005" w:rsidRDefault="002C4005" w:rsidP="000E56A8">
      <w:pPr>
        <w:numPr>
          <w:ilvl w:val="0"/>
          <w:numId w:val="43"/>
        </w:numPr>
        <w:spacing w:after="0" w:line="360" w:lineRule="auto"/>
        <w:ind w:left="0" w:firstLine="142"/>
        <w:jc w:val="both"/>
        <w:rPr>
          <w:rFonts w:ascii="Arial" w:hAnsi="Arial" w:cs="Arial"/>
          <w:sz w:val="24"/>
          <w:szCs w:val="24"/>
        </w:rPr>
      </w:pPr>
      <w:r w:rsidRPr="002C4005">
        <w:rPr>
          <w:rFonts w:ascii="Arial" w:hAnsi="Arial" w:cs="Arial"/>
          <w:b/>
          <w:bCs/>
          <w:sz w:val="24"/>
          <w:szCs w:val="24"/>
        </w:rPr>
        <w:t>Strengths in Traditional Financial Services:</w:t>
      </w:r>
    </w:p>
    <w:p w14:paraId="3EFAB7E2" w14:textId="77777777" w:rsidR="002C4005" w:rsidRPr="002C4005" w:rsidRDefault="002C4005" w:rsidP="000E56A8">
      <w:pPr>
        <w:spacing w:after="0" w:line="360" w:lineRule="auto"/>
        <w:ind w:firstLine="142"/>
        <w:jc w:val="both"/>
        <w:rPr>
          <w:rFonts w:ascii="Arial" w:hAnsi="Arial" w:cs="Arial"/>
          <w:sz w:val="24"/>
          <w:szCs w:val="24"/>
        </w:rPr>
      </w:pPr>
      <w:r w:rsidRPr="002C4005">
        <w:rPr>
          <w:rFonts w:ascii="Arial" w:hAnsi="Arial" w:cs="Arial"/>
          <w:sz w:val="24"/>
          <w:szCs w:val="24"/>
        </w:rPr>
        <w:t>Hong Kong's financial sector remains a global leader, with a strong emphasis on anti-money laundering (AML) and counter-terrorist financing (CTF) measures, enhancing its reputation as a safe and stable financial hub (HKMA, 2023). The city's low tax rates and business-friendly legal system continue to attract foreign financial institutions.</w:t>
      </w:r>
    </w:p>
    <w:p w14:paraId="336D3B09" w14:textId="77777777" w:rsidR="002C4005" w:rsidRPr="002C4005" w:rsidRDefault="002C4005" w:rsidP="000E56A8">
      <w:pPr>
        <w:numPr>
          <w:ilvl w:val="0"/>
          <w:numId w:val="43"/>
        </w:numPr>
        <w:spacing w:after="0" w:line="360" w:lineRule="auto"/>
        <w:ind w:left="0" w:firstLine="142"/>
        <w:jc w:val="both"/>
        <w:rPr>
          <w:rFonts w:ascii="Arial" w:hAnsi="Arial" w:cs="Arial"/>
          <w:sz w:val="24"/>
          <w:szCs w:val="24"/>
        </w:rPr>
      </w:pPr>
      <w:r w:rsidRPr="002C4005">
        <w:rPr>
          <w:rFonts w:ascii="Arial" w:hAnsi="Arial" w:cs="Arial"/>
          <w:b/>
          <w:bCs/>
          <w:sz w:val="24"/>
          <w:szCs w:val="24"/>
        </w:rPr>
        <w:t>Integration with Mainland China:</w:t>
      </w:r>
    </w:p>
    <w:p w14:paraId="007E8B42" w14:textId="77777777" w:rsidR="002C4005" w:rsidRPr="002C4005" w:rsidRDefault="002C4005" w:rsidP="000E56A8">
      <w:pPr>
        <w:spacing w:after="0" w:line="360" w:lineRule="auto"/>
        <w:ind w:firstLine="142"/>
        <w:jc w:val="both"/>
        <w:rPr>
          <w:rFonts w:ascii="Arial" w:hAnsi="Arial" w:cs="Arial"/>
          <w:sz w:val="24"/>
          <w:szCs w:val="24"/>
        </w:rPr>
      </w:pPr>
      <w:r w:rsidRPr="002C4005">
        <w:rPr>
          <w:rFonts w:ascii="Arial" w:hAnsi="Arial" w:cs="Arial"/>
          <w:sz w:val="24"/>
          <w:szCs w:val="24"/>
        </w:rPr>
        <w:t>Initiatives like the Cross-Boundary Wealth Management Connect Scheme highlight Hong Kong's unique position as a bridge between mainland China and global financial markets. This has opened access to mainland China's RMB 100 trillion (USD 14 trillion) wealth management market, attracting foreign investors (Financial Times, 2021).</w:t>
      </w:r>
    </w:p>
    <w:p w14:paraId="11B1254B" w14:textId="77777777" w:rsidR="002C4005" w:rsidRPr="002C4005" w:rsidRDefault="002C4005" w:rsidP="000E56A8">
      <w:pPr>
        <w:numPr>
          <w:ilvl w:val="0"/>
          <w:numId w:val="43"/>
        </w:numPr>
        <w:spacing w:after="0" w:line="360" w:lineRule="auto"/>
        <w:ind w:left="0" w:firstLine="142"/>
        <w:jc w:val="both"/>
        <w:rPr>
          <w:rFonts w:ascii="Arial" w:hAnsi="Arial" w:cs="Arial"/>
          <w:sz w:val="24"/>
          <w:szCs w:val="24"/>
        </w:rPr>
      </w:pPr>
      <w:r w:rsidRPr="002C4005">
        <w:rPr>
          <w:rFonts w:ascii="Arial" w:hAnsi="Arial" w:cs="Arial"/>
          <w:b/>
          <w:bCs/>
          <w:sz w:val="24"/>
          <w:szCs w:val="24"/>
        </w:rPr>
        <w:t>Challenges in Emerging Financial Trends:</w:t>
      </w:r>
    </w:p>
    <w:p w14:paraId="53F05835" w14:textId="1B9F3194" w:rsidR="002C4005" w:rsidRPr="002C4005" w:rsidRDefault="002C4005" w:rsidP="000E56A8">
      <w:pPr>
        <w:spacing w:after="0" w:line="360" w:lineRule="auto"/>
        <w:ind w:firstLine="142"/>
        <w:jc w:val="both"/>
        <w:rPr>
          <w:rFonts w:ascii="Arial" w:hAnsi="Arial" w:cs="Arial"/>
          <w:sz w:val="24"/>
          <w:szCs w:val="24"/>
        </w:rPr>
      </w:pPr>
      <w:r w:rsidRPr="002C4005">
        <w:rPr>
          <w:rFonts w:ascii="Arial" w:hAnsi="Arial" w:cs="Arial"/>
          <w:sz w:val="24"/>
          <w:szCs w:val="24"/>
        </w:rPr>
        <w:t xml:space="preserve">While Hong Kong excels in traditional financial services, it </w:t>
      </w:r>
      <w:r w:rsidR="001A14B5" w:rsidRPr="002C4005">
        <w:rPr>
          <w:rFonts w:ascii="Arial" w:hAnsi="Arial" w:cs="Arial"/>
          <w:sz w:val="24"/>
          <w:szCs w:val="24"/>
        </w:rPr>
        <w:t>lags</w:t>
      </w:r>
      <w:r w:rsidRPr="002C4005">
        <w:rPr>
          <w:rFonts w:ascii="Arial" w:hAnsi="Arial" w:cs="Arial"/>
          <w:sz w:val="24"/>
          <w:szCs w:val="24"/>
        </w:rPr>
        <w:t xml:space="preserve"> in adopting innovative regulatory frameworks for emerging trends like fintech and green finance. For example, Singapore's Smart Nation program and London's fintech regulatory sandbox are more advanced in fostering innovation and attracting tech-driven financial businesses (EIU, 2023; Financial Times, 2023).</w:t>
      </w:r>
    </w:p>
    <w:p w14:paraId="08889034" w14:textId="3FDB9BCC" w:rsidR="002C4005" w:rsidRPr="0004087F" w:rsidRDefault="002C4005" w:rsidP="000E56A8">
      <w:pPr>
        <w:pStyle w:val="Heading3"/>
        <w:jc w:val="both"/>
      </w:pPr>
      <w:bookmarkStart w:id="41" w:name="_Toc194551450"/>
      <w:r w:rsidRPr="0004087F">
        <w:t xml:space="preserve">4.6.3. </w:t>
      </w:r>
      <w:r w:rsidRPr="00C0622A">
        <w:t>Implications</w:t>
      </w:r>
      <w:r w:rsidRPr="0004087F">
        <w:t xml:space="preserve"> for Foreign Businesses</w:t>
      </w:r>
      <w:bookmarkEnd w:id="41"/>
    </w:p>
    <w:p w14:paraId="7A10D09C" w14:textId="77777777" w:rsidR="002C4005" w:rsidRPr="002C4005" w:rsidRDefault="002C4005" w:rsidP="000E56A8">
      <w:pPr>
        <w:numPr>
          <w:ilvl w:val="0"/>
          <w:numId w:val="44"/>
        </w:numPr>
        <w:spacing w:after="0" w:line="360" w:lineRule="auto"/>
        <w:ind w:left="0" w:firstLine="142"/>
        <w:jc w:val="both"/>
        <w:rPr>
          <w:rFonts w:ascii="Arial" w:hAnsi="Arial" w:cs="Arial"/>
          <w:sz w:val="24"/>
          <w:szCs w:val="24"/>
        </w:rPr>
      </w:pPr>
      <w:r w:rsidRPr="002C4005">
        <w:rPr>
          <w:rFonts w:ascii="Arial" w:hAnsi="Arial" w:cs="Arial"/>
          <w:b/>
          <w:bCs/>
          <w:sz w:val="24"/>
          <w:szCs w:val="24"/>
        </w:rPr>
        <w:t>Opportunities:</w:t>
      </w:r>
    </w:p>
    <w:p w14:paraId="721FF9F0" w14:textId="77777777" w:rsidR="002C4005" w:rsidRDefault="002C4005" w:rsidP="000E56A8">
      <w:pPr>
        <w:spacing w:after="0" w:line="360" w:lineRule="auto"/>
        <w:ind w:firstLine="142"/>
        <w:jc w:val="both"/>
        <w:rPr>
          <w:rFonts w:ascii="Arial" w:hAnsi="Arial" w:cs="Arial"/>
          <w:sz w:val="24"/>
          <w:szCs w:val="24"/>
        </w:rPr>
      </w:pPr>
      <w:r w:rsidRPr="002C4005">
        <w:rPr>
          <w:rFonts w:ascii="Arial" w:hAnsi="Arial" w:cs="Arial"/>
          <w:sz w:val="24"/>
          <w:szCs w:val="24"/>
        </w:rPr>
        <w:t>Foreign financial institutions can leverage Hong Kong's strategic location, low tax regime, and access to mainland China's financial markets to expand their presence in the region. The Cross-Boundary Wealth Management Connect Scheme offers significant opportunities for accessing China's wealth management market.</w:t>
      </w:r>
    </w:p>
    <w:p w14:paraId="08C986CE" w14:textId="77777777" w:rsidR="00967575" w:rsidRDefault="00967575" w:rsidP="000E56A8">
      <w:pPr>
        <w:spacing w:after="0" w:line="360" w:lineRule="auto"/>
        <w:ind w:firstLine="142"/>
        <w:jc w:val="both"/>
        <w:rPr>
          <w:rFonts w:ascii="Arial" w:hAnsi="Arial" w:cs="Arial"/>
          <w:sz w:val="24"/>
          <w:szCs w:val="24"/>
        </w:rPr>
      </w:pPr>
    </w:p>
    <w:p w14:paraId="66CACB59" w14:textId="77777777" w:rsidR="00967575" w:rsidRPr="002C4005" w:rsidRDefault="00967575" w:rsidP="000E56A8">
      <w:pPr>
        <w:spacing w:after="0" w:line="360" w:lineRule="auto"/>
        <w:ind w:firstLine="142"/>
        <w:jc w:val="both"/>
        <w:rPr>
          <w:rFonts w:ascii="Arial" w:hAnsi="Arial" w:cs="Arial"/>
          <w:sz w:val="24"/>
          <w:szCs w:val="24"/>
        </w:rPr>
      </w:pPr>
    </w:p>
    <w:p w14:paraId="4FC46366" w14:textId="77777777" w:rsidR="002C4005" w:rsidRPr="002C4005" w:rsidRDefault="002C4005" w:rsidP="000E56A8">
      <w:pPr>
        <w:numPr>
          <w:ilvl w:val="0"/>
          <w:numId w:val="44"/>
        </w:numPr>
        <w:spacing w:after="0" w:line="360" w:lineRule="auto"/>
        <w:ind w:left="0" w:firstLine="142"/>
        <w:jc w:val="both"/>
        <w:rPr>
          <w:rFonts w:ascii="Arial" w:hAnsi="Arial" w:cs="Arial"/>
          <w:sz w:val="24"/>
          <w:szCs w:val="24"/>
        </w:rPr>
      </w:pPr>
      <w:r w:rsidRPr="002C4005">
        <w:rPr>
          <w:rFonts w:ascii="Arial" w:hAnsi="Arial" w:cs="Arial"/>
          <w:b/>
          <w:bCs/>
          <w:sz w:val="24"/>
          <w:szCs w:val="24"/>
        </w:rPr>
        <w:lastRenderedPageBreak/>
        <w:t>Challenges:</w:t>
      </w:r>
    </w:p>
    <w:p w14:paraId="3C261998" w14:textId="77777777" w:rsidR="002C4005" w:rsidRPr="002C4005" w:rsidRDefault="002C4005" w:rsidP="000E56A8">
      <w:pPr>
        <w:spacing w:after="0" w:line="360" w:lineRule="auto"/>
        <w:ind w:firstLine="142"/>
        <w:jc w:val="both"/>
        <w:rPr>
          <w:rFonts w:ascii="Arial" w:hAnsi="Arial" w:cs="Arial"/>
          <w:sz w:val="24"/>
          <w:szCs w:val="24"/>
        </w:rPr>
      </w:pPr>
      <w:r w:rsidRPr="002C4005">
        <w:rPr>
          <w:rFonts w:ascii="Arial" w:hAnsi="Arial" w:cs="Arial"/>
          <w:sz w:val="24"/>
          <w:szCs w:val="24"/>
        </w:rPr>
        <w:t>While Hong Kong's regulatory framework for traditional financial services is robust, its adaptability to emerging trends like fintech and green finance is limited. Foreign businesses must navigate these challenges and consider diversifying their operations to other hubs like Singapore or London for greater flexibility in innovation-driven sectors.</w:t>
      </w:r>
    </w:p>
    <w:p w14:paraId="1CB0B862" w14:textId="77777777" w:rsidR="002C4005" w:rsidRPr="002C4005" w:rsidRDefault="002C4005" w:rsidP="000E56A8">
      <w:pPr>
        <w:numPr>
          <w:ilvl w:val="0"/>
          <w:numId w:val="44"/>
        </w:numPr>
        <w:spacing w:after="0" w:line="360" w:lineRule="auto"/>
        <w:ind w:left="0" w:firstLine="142"/>
        <w:jc w:val="both"/>
        <w:rPr>
          <w:rFonts w:ascii="Arial" w:hAnsi="Arial" w:cs="Arial"/>
          <w:sz w:val="24"/>
          <w:szCs w:val="24"/>
        </w:rPr>
      </w:pPr>
      <w:r w:rsidRPr="002C4005">
        <w:rPr>
          <w:rFonts w:ascii="Arial" w:hAnsi="Arial" w:cs="Arial"/>
          <w:b/>
          <w:bCs/>
          <w:sz w:val="24"/>
          <w:szCs w:val="24"/>
        </w:rPr>
        <w:t>Strategic Considerations:</w:t>
      </w:r>
    </w:p>
    <w:p w14:paraId="4DB46443" w14:textId="0B2B4541" w:rsidR="002C4005" w:rsidRPr="002C4005" w:rsidRDefault="002C4005" w:rsidP="000E56A8">
      <w:pPr>
        <w:spacing w:after="0" w:line="360" w:lineRule="auto"/>
        <w:ind w:firstLine="142"/>
        <w:jc w:val="both"/>
        <w:rPr>
          <w:rFonts w:ascii="Arial" w:hAnsi="Arial" w:cs="Arial"/>
          <w:sz w:val="24"/>
          <w:szCs w:val="24"/>
        </w:rPr>
      </w:pPr>
      <w:r w:rsidRPr="002C4005">
        <w:rPr>
          <w:rFonts w:ascii="Arial" w:hAnsi="Arial" w:cs="Arial"/>
          <w:sz w:val="24"/>
          <w:szCs w:val="24"/>
        </w:rPr>
        <w:t>Foreign financial institutions should capitalize on Hong Kong's strengths in traditional financial services while exploring opportunities in other hubs for emerging trends. This dual approach can help mitigate risks associated with Hong Kong's evolving regulatory environment and geopolitical tensions.</w:t>
      </w:r>
    </w:p>
    <w:p w14:paraId="1C77382E" w14:textId="488A8685" w:rsidR="002C4005" w:rsidRPr="0004087F" w:rsidRDefault="002C4005" w:rsidP="000E56A8">
      <w:pPr>
        <w:pStyle w:val="Heading3"/>
        <w:jc w:val="both"/>
      </w:pPr>
      <w:bookmarkStart w:id="42" w:name="_Toc194551451"/>
      <w:r w:rsidRPr="0004087F">
        <w:t>4.6.4. Conclusion</w:t>
      </w:r>
      <w:bookmarkEnd w:id="42"/>
      <w:r w:rsidRPr="0004087F">
        <w:t xml:space="preserve"> </w:t>
      </w:r>
    </w:p>
    <w:p w14:paraId="24B30E63" w14:textId="77777777" w:rsidR="002C4005" w:rsidRPr="002C4005" w:rsidRDefault="002C4005" w:rsidP="000E56A8">
      <w:pPr>
        <w:spacing w:after="0" w:line="360" w:lineRule="auto"/>
        <w:ind w:firstLine="142"/>
        <w:jc w:val="both"/>
        <w:rPr>
          <w:rFonts w:ascii="Arial" w:hAnsi="Arial" w:cs="Arial"/>
          <w:sz w:val="24"/>
          <w:szCs w:val="24"/>
        </w:rPr>
      </w:pPr>
      <w:r w:rsidRPr="002C4005">
        <w:rPr>
          <w:rFonts w:ascii="Arial" w:hAnsi="Arial" w:cs="Arial"/>
          <w:sz w:val="24"/>
          <w:szCs w:val="24"/>
        </w:rPr>
        <w:t>The analysis partially confirms that Hong Kong's regulatory framework for the financial sector offers significant advantages, particularly in traditional financial services and integration with mainland China (H3). However, its adaptability to emerging trends like fintech and green finance is limited compared to other major financial hubs like Singapore and London.</w:t>
      </w:r>
    </w:p>
    <w:p w14:paraId="043B9EFF" w14:textId="77777777" w:rsidR="002C4005" w:rsidRDefault="002C4005" w:rsidP="000E56A8">
      <w:pPr>
        <w:spacing w:after="0" w:line="360" w:lineRule="auto"/>
        <w:ind w:firstLine="142"/>
        <w:jc w:val="both"/>
        <w:rPr>
          <w:rFonts w:ascii="Arial" w:hAnsi="Arial" w:cs="Arial"/>
          <w:sz w:val="24"/>
          <w:szCs w:val="24"/>
        </w:rPr>
      </w:pPr>
      <w:r w:rsidRPr="002C4005">
        <w:rPr>
          <w:rFonts w:ascii="Arial" w:hAnsi="Arial" w:cs="Arial"/>
          <w:sz w:val="24"/>
          <w:szCs w:val="24"/>
        </w:rPr>
        <w:t>Hong Kong's resilience and strategic location ensure its continued relevance as a global financial hub, but addressing regulatory adaptability and fostering innovation will be critical for sustaining long-term growth and attractiveness to foreign investors. Foreign businesses must carefully weigh the opportunities and challenges of operating in Hong Kong, particularly in the context of its evolving relationship with mainland China and the broader geopolitical landscape.</w:t>
      </w:r>
    </w:p>
    <w:p w14:paraId="54048D6B" w14:textId="77777777" w:rsidR="008046B9" w:rsidRDefault="008046B9" w:rsidP="000E56A8">
      <w:pPr>
        <w:spacing w:after="0" w:line="360" w:lineRule="auto"/>
        <w:ind w:firstLine="142"/>
        <w:jc w:val="both"/>
        <w:rPr>
          <w:rFonts w:ascii="Arial" w:hAnsi="Arial" w:cs="Arial"/>
          <w:sz w:val="24"/>
          <w:szCs w:val="24"/>
        </w:rPr>
      </w:pPr>
    </w:p>
    <w:p w14:paraId="4605F978" w14:textId="77777777" w:rsidR="008046B9" w:rsidRDefault="008046B9" w:rsidP="000E56A8">
      <w:pPr>
        <w:spacing w:after="0" w:line="360" w:lineRule="auto"/>
        <w:ind w:firstLine="142"/>
        <w:jc w:val="both"/>
        <w:rPr>
          <w:rFonts w:ascii="Arial" w:hAnsi="Arial" w:cs="Arial"/>
          <w:sz w:val="24"/>
          <w:szCs w:val="24"/>
        </w:rPr>
      </w:pPr>
    </w:p>
    <w:p w14:paraId="67B4809E" w14:textId="77777777" w:rsidR="008046B9" w:rsidRDefault="008046B9" w:rsidP="000E56A8">
      <w:pPr>
        <w:spacing w:after="0" w:line="360" w:lineRule="auto"/>
        <w:ind w:firstLine="142"/>
        <w:jc w:val="both"/>
        <w:rPr>
          <w:rFonts w:ascii="Arial" w:hAnsi="Arial" w:cs="Arial"/>
          <w:sz w:val="24"/>
          <w:szCs w:val="24"/>
        </w:rPr>
      </w:pPr>
    </w:p>
    <w:p w14:paraId="28ED8B7F" w14:textId="77777777" w:rsidR="008046B9" w:rsidRDefault="008046B9" w:rsidP="000E56A8">
      <w:pPr>
        <w:spacing w:after="0" w:line="360" w:lineRule="auto"/>
        <w:ind w:firstLine="142"/>
        <w:jc w:val="both"/>
        <w:rPr>
          <w:rFonts w:ascii="Arial" w:hAnsi="Arial" w:cs="Arial"/>
          <w:sz w:val="24"/>
          <w:szCs w:val="24"/>
        </w:rPr>
      </w:pPr>
    </w:p>
    <w:p w14:paraId="028514A1" w14:textId="77777777" w:rsidR="008046B9" w:rsidRDefault="008046B9" w:rsidP="000E56A8">
      <w:pPr>
        <w:spacing w:after="0" w:line="360" w:lineRule="auto"/>
        <w:ind w:firstLine="142"/>
        <w:jc w:val="both"/>
        <w:rPr>
          <w:rFonts w:ascii="Arial" w:hAnsi="Arial" w:cs="Arial"/>
          <w:sz w:val="24"/>
          <w:szCs w:val="24"/>
        </w:rPr>
      </w:pPr>
    </w:p>
    <w:p w14:paraId="62C57CCB" w14:textId="77777777" w:rsidR="008046B9" w:rsidRDefault="008046B9" w:rsidP="000E56A8">
      <w:pPr>
        <w:spacing w:after="0" w:line="360" w:lineRule="auto"/>
        <w:ind w:firstLine="142"/>
        <w:jc w:val="both"/>
        <w:rPr>
          <w:rFonts w:ascii="Arial" w:hAnsi="Arial" w:cs="Arial"/>
          <w:sz w:val="24"/>
          <w:szCs w:val="24"/>
        </w:rPr>
      </w:pPr>
    </w:p>
    <w:p w14:paraId="60B6EA86" w14:textId="77777777" w:rsidR="008046B9" w:rsidRDefault="008046B9" w:rsidP="000E56A8">
      <w:pPr>
        <w:spacing w:after="0" w:line="360" w:lineRule="auto"/>
        <w:ind w:firstLine="142"/>
        <w:jc w:val="both"/>
        <w:rPr>
          <w:rFonts w:ascii="Arial" w:hAnsi="Arial" w:cs="Arial"/>
          <w:sz w:val="24"/>
          <w:szCs w:val="24"/>
        </w:rPr>
      </w:pPr>
    </w:p>
    <w:p w14:paraId="0F15B7D8" w14:textId="77777777" w:rsidR="008046B9" w:rsidRDefault="008046B9" w:rsidP="000E56A8">
      <w:pPr>
        <w:spacing w:after="0" w:line="360" w:lineRule="auto"/>
        <w:ind w:firstLine="142"/>
        <w:jc w:val="both"/>
        <w:rPr>
          <w:rFonts w:ascii="Arial" w:hAnsi="Arial" w:cs="Arial"/>
          <w:sz w:val="24"/>
          <w:szCs w:val="24"/>
        </w:rPr>
      </w:pPr>
    </w:p>
    <w:p w14:paraId="17CB57C8" w14:textId="77777777" w:rsidR="008046B9" w:rsidRDefault="008046B9" w:rsidP="000E56A8">
      <w:pPr>
        <w:spacing w:after="0" w:line="360" w:lineRule="auto"/>
        <w:ind w:firstLine="142"/>
        <w:jc w:val="both"/>
        <w:rPr>
          <w:rFonts w:ascii="Arial" w:hAnsi="Arial" w:cs="Arial"/>
          <w:sz w:val="24"/>
          <w:szCs w:val="24"/>
        </w:rPr>
      </w:pPr>
    </w:p>
    <w:p w14:paraId="708B297B" w14:textId="77777777" w:rsidR="008046B9" w:rsidRDefault="008046B9" w:rsidP="000E56A8">
      <w:pPr>
        <w:spacing w:after="0" w:line="360" w:lineRule="auto"/>
        <w:ind w:firstLine="142"/>
        <w:jc w:val="both"/>
        <w:rPr>
          <w:rFonts w:ascii="Arial" w:hAnsi="Arial" w:cs="Arial"/>
          <w:sz w:val="24"/>
          <w:szCs w:val="24"/>
        </w:rPr>
      </w:pPr>
    </w:p>
    <w:p w14:paraId="470A3A73" w14:textId="77777777" w:rsidR="008046B9" w:rsidRPr="0004087F" w:rsidRDefault="008046B9" w:rsidP="00967575">
      <w:pPr>
        <w:spacing w:after="0" w:line="360" w:lineRule="auto"/>
        <w:jc w:val="both"/>
        <w:rPr>
          <w:rFonts w:ascii="Arial" w:hAnsi="Arial" w:cs="Arial"/>
          <w:sz w:val="24"/>
          <w:szCs w:val="24"/>
        </w:rPr>
      </w:pPr>
    </w:p>
    <w:p w14:paraId="3E6CF41C" w14:textId="1EBEB49F" w:rsidR="0004087F" w:rsidRPr="0004087F" w:rsidRDefault="0004087F" w:rsidP="00481EBF">
      <w:pPr>
        <w:pStyle w:val="Heading1"/>
      </w:pPr>
      <w:bookmarkStart w:id="43" w:name="_Toc194551452"/>
      <w:r w:rsidRPr="00C0622A">
        <w:lastRenderedPageBreak/>
        <w:t>Conclusion</w:t>
      </w:r>
      <w:r w:rsidRPr="0004087F">
        <w:t>, Recommendations, Implications, Limitations, and Future Research</w:t>
      </w:r>
      <w:bookmarkEnd w:id="43"/>
    </w:p>
    <w:p w14:paraId="74DDAC1D" w14:textId="77777777" w:rsidR="0004087F" w:rsidRPr="0004087F" w:rsidRDefault="0004087F" w:rsidP="000E56A8">
      <w:pPr>
        <w:spacing w:after="0" w:line="360" w:lineRule="auto"/>
        <w:ind w:firstLine="142"/>
        <w:jc w:val="both"/>
        <w:rPr>
          <w:rFonts w:ascii="Arial" w:hAnsi="Arial" w:cs="Arial"/>
          <w:sz w:val="24"/>
          <w:szCs w:val="24"/>
        </w:rPr>
      </w:pPr>
      <w:r w:rsidRPr="0004087F">
        <w:rPr>
          <w:rFonts w:ascii="Arial" w:hAnsi="Arial" w:cs="Arial"/>
          <w:sz w:val="24"/>
          <w:szCs w:val="24"/>
        </w:rPr>
        <w:t>This dissertation examined Hong Kong's regulatory environment and its impact on foreign business expansion, addressing the research questions outlined in Chapter 1. The findings reveal that Hong Kong remains an attractive destination for foreign businesses due to its strategic location, low tax regime, and integration with mainland China's markets (Yu, 2004). However, geopolitical tensions and the National Security Law have introduced challenges, leading to a shift in FDI composition and raising concerns about Hong Kong's long-term competitiveness (Wong &amp; Chan, 2023).</w:t>
      </w:r>
    </w:p>
    <w:p w14:paraId="7720BB7C" w14:textId="77777777" w:rsidR="0004087F" w:rsidRPr="0004087F" w:rsidRDefault="0004087F" w:rsidP="000E56A8">
      <w:pPr>
        <w:pStyle w:val="Heading2"/>
        <w:jc w:val="both"/>
      </w:pPr>
      <w:bookmarkStart w:id="44" w:name="_Toc194551453"/>
      <w:r w:rsidRPr="0004087F">
        <w:t>Key Findings:</w:t>
      </w:r>
      <w:bookmarkEnd w:id="44"/>
    </w:p>
    <w:p w14:paraId="3DC57411" w14:textId="77777777" w:rsidR="0004087F" w:rsidRPr="0004087F" w:rsidRDefault="0004087F" w:rsidP="000E56A8">
      <w:pPr>
        <w:pStyle w:val="ListParagraph"/>
        <w:numPr>
          <w:ilvl w:val="0"/>
          <w:numId w:val="45"/>
        </w:numPr>
        <w:tabs>
          <w:tab w:val="clear" w:pos="720"/>
          <w:tab w:val="num" w:pos="567"/>
        </w:tabs>
        <w:spacing w:after="0" w:line="360" w:lineRule="auto"/>
        <w:ind w:left="0" w:firstLine="142"/>
        <w:jc w:val="both"/>
        <w:rPr>
          <w:rFonts w:ascii="Arial" w:hAnsi="Arial" w:cs="Arial"/>
          <w:sz w:val="24"/>
          <w:szCs w:val="24"/>
        </w:rPr>
      </w:pPr>
      <w:r w:rsidRPr="0004087F">
        <w:rPr>
          <w:rFonts w:ascii="Arial" w:hAnsi="Arial" w:cs="Arial"/>
          <w:sz w:val="24"/>
          <w:szCs w:val="24"/>
        </w:rPr>
        <w:t>Hong Kong's regulatory environment continues to provide significant advantages for accessing mainland Chinese markets, as evidenced by robust FDI inflows and initiatives like the Cross-Boundary Wealth Management Connect Scheme (HKTDC, 2024).</w:t>
      </w:r>
    </w:p>
    <w:p w14:paraId="5B0278EE" w14:textId="77777777" w:rsidR="0004087F" w:rsidRPr="0004087F" w:rsidRDefault="0004087F" w:rsidP="000E56A8">
      <w:pPr>
        <w:pStyle w:val="ListParagraph"/>
        <w:numPr>
          <w:ilvl w:val="0"/>
          <w:numId w:val="45"/>
        </w:numPr>
        <w:tabs>
          <w:tab w:val="clear" w:pos="720"/>
          <w:tab w:val="num" w:pos="567"/>
        </w:tabs>
        <w:spacing w:after="0" w:line="360" w:lineRule="auto"/>
        <w:ind w:left="0" w:firstLine="142"/>
        <w:jc w:val="both"/>
        <w:rPr>
          <w:rFonts w:ascii="Arial" w:hAnsi="Arial" w:cs="Arial"/>
          <w:sz w:val="24"/>
          <w:szCs w:val="24"/>
        </w:rPr>
      </w:pPr>
      <w:r w:rsidRPr="0004087F">
        <w:rPr>
          <w:rFonts w:ascii="Arial" w:hAnsi="Arial" w:cs="Arial"/>
          <w:sz w:val="24"/>
          <w:szCs w:val="24"/>
        </w:rPr>
        <w:t>The National Security Law has led to a decline in Western investments, offset by increased investments from mainland China and other Asian countries (Wong &amp; Chan, 2023).</w:t>
      </w:r>
    </w:p>
    <w:p w14:paraId="08E62A9D" w14:textId="77777777" w:rsidR="0004087F" w:rsidRPr="0004087F" w:rsidRDefault="0004087F" w:rsidP="000E56A8">
      <w:pPr>
        <w:pStyle w:val="ListParagraph"/>
        <w:numPr>
          <w:ilvl w:val="0"/>
          <w:numId w:val="45"/>
        </w:numPr>
        <w:tabs>
          <w:tab w:val="clear" w:pos="720"/>
          <w:tab w:val="num" w:pos="567"/>
        </w:tabs>
        <w:spacing w:after="0" w:line="360" w:lineRule="auto"/>
        <w:ind w:left="0" w:firstLine="142"/>
        <w:jc w:val="both"/>
        <w:rPr>
          <w:rFonts w:ascii="Arial" w:hAnsi="Arial" w:cs="Arial"/>
          <w:sz w:val="24"/>
          <w:szCs w:val="24"/>
        </w:rPr>
      </w:pPr>
      <w:r w:rsidRPr="0004087F">
        <w:rPr>
          <w:rFonts w:ascii="Arial" w:hAnsi="Arial" w:cs="Arial"/>
          <w:sz w:val="24"/>
          <w:szCs w:val="24"/>
        </w:rPr>
        <w:t xml:space="preserve">While Hong Kong excels in traditional financial services, it </w:t>
      </w:r>
      <w:proofErr w:type="gramStart"/>
      <w:r w:rsidRPr="0004087F">
        <w:rPr>
          <w:rFonts w:ascii="Arial" w:hAnsi="Arial" w:cs="Arial"/>
          <w:sz w:val="24"/>
          <w:szCs w:val="24"/>
        </w:rPr>
        <w:t>lags behind</w:t>
      </w:r>
      <w:proofErr w:type="gramEnd"/>
      <w:r w:rsidRPr="0004087F">
        <w:rPr>
          <w:rFonts w:ascii="Arial" w:hAnsi="Arial" w:cs="Arial"/>
          <w:sz w:val="24"/>
          <w:szCs w:val="24"/>
        </w:rPr>
        <w:t xml:space="preserve"> in fostering innovation in emerging areas like fintech and green finance (Beecher, </w:t>
      </w:r>
      <w:proofErr w:type="spellStart"/>
      <w:r w:rsidRPr="0004087F">
        <w:rPr>
          <w:rFonts w:ascii="Arial" w:hAnsi="Arial" w:cs="Arial"/>
          <w:sz w:val="24"/>
          <w:szCs w:val="24"/>
        </w:rPr>
        <w:t>Streitwieser</w:t>
      </w:r>
      <w:proofErr w:type="spellEnd"/>
      <w:r w:rsidRPr="0004087F">
        <w:rPr>
          <w:rFonts w:ascii="Arial" w:hAnsi="Arial" w:cs="Arial"/>
          <w:sz w:val="24"/>
          <w:szCs w:val="24"/>
        </w:rPr>
        <w:t>, &amp; Zhou, 2020).</w:t>
      </w:r>
    </w:p>
    <w:p w14:paraId="00FD8EF3" w14:textId="77777777" w:rsidR="0004087F" w:rsidRPr="0004087F" w:rsidRDefault="0004087F" w:rsidP="000E56A8">
      <w:pPr>
        <w:pStyle w:val="Heading2"/>
        <w:jc w:val="both"/>
      </w:pPr>
      <w:bookmarkStart w:id="45" w:name="_Toc194551454"/>
      <w:r w:rsidRPr="0004087F">
        <w:t>Recommendations:</w:t>
      </w:r>
      <w:bookmarkEnd w:id="45"/>
    </w:p>
    <w:p w14:paraId="47246291" w14:textId="77777777" w:rsidR="001A14B5" w:rsidRPr="001A14B5" w:rsidRDefault="001A14B5" w:rsidP="001A14B5">
      <w:pPr>
        <w:spacing w:line="360" w:lineRule="auto"/>
        <w:jc w:val="both"/>
        <w:rPr>
          <w:rFonts w:ascii="Arial" w:hAnsi="Arial" w:cs="Arial"/>
          <w:sz w:val="24"/>
          <w:szCs w:val="24"/>
        </w:rPr>
      </w:pPr>
      <w:r w:rsidRPr="001A14B5">
        <w:rPr>
          <w:rFonts w:ascii="Arial" w:hAnsi="Arial" w:cs="Arial"/>
          <w:sz w:val="24"/>
          <w:szCs w:val="24"/>
        </w:rPr>
        <w:t>To sustain Hong Kong’s competitiveness, policymakers should prioritize regulatory agility to keep pace with evolving global financial trends while reinforcing judicial independence to preserve trust among international investors. Economic diversification—particularly into innovation-driven industries—is critical to reducing overreliance on traditional sectors like finance and real estate. At the same time, deeper integration with the Greater Bay Area (GBA) can unlock new growth opportunities by leveraging cross-border synergies in trade, technology, and talent mobility.</w:t>
      </w:r>
    </w:p>
    <w:p w14:paraId="59E63D0D" w14:textId="77777777" w:rsidR="001A14B5" w:rsidRPr="001A14B5" w:rsidRDefault="001A14B5" w:rsidP="001A14B5">
      <w:pPr>
        <w:spacing w:line="360" w:lineRule="auto"/>
        <w:jc w:val="both"/>
        <w:rPr>
          <w:rFonts w:ascii="Arial" w:hAnsi="Arial" w:cs="Arial"/>
          <w:sz w:val="24"/>
          <w:szCs w:val="24"/>
        </w:rPr>
      </w:pPr>
      <w:r w:rsidRPr="001A14B5">
        <w:rPr>
          <w:rFonts w:ascii="Arial" w:hAnsi="Arial" w:cs="Arial"/>
          <w:sz w:val="24"/>
          <w:szCs w:val="24"/>
        </w:rPr>
        <w:t xml:space="preserve">For foreign businesses, Hong Kong remains an indispensable gateway to mainland China, but firms must adopt proactive strategies to navigate geopolitical uncertainties. This includes diversifying operational footprints while capitalizing on emerging sectors such as fintech and sustainable finance, where Hong Kong’s regulatory framework is still maturing but holds </w:t>
      </w:r>
      <w:r w:rsidRPr="001A14B5">
        <w:rPr>
          <w:rFonts w:ascii="Arial" w:hAnsi="Arial" w:cs="Arial"/>
          <w:sz w:val="24"/>
          <w:szCs w:val="24"/>
        </w:rPr>
        <w:lastRenderedPageBreak/>
        <w:t>significant potential. By aligning with these strategic priorities, both policymakers and businesses can fortify Hong Kong’s position amid shifting economic and political headwinds.</w:t>
      </w:r>
    </w:p>
    <w:p w14:paraId="06048E3B" w14:textId="77777777" w:rsidR="0004087F" w:rsidRPr="0004087F" w:rsidRDefault="0004087F" w:rsidP="000E56A8">
      <w:pPr>
        <w:pStyle w:val="Heading2"/>
        <w:jc w:val="both"/>
      </w:pPr>
      <w:bookmarkStart w:id="46" w:name="_Toc194551455"/>
      <w:r w:rsidRPr="0004087F">
        <w:t>Implications:</w:t>
      </w:r>
      <w:bookmarkEnd w:id="46"/>
    </w:p>
    <w:p w14:paraId="2E2D2DB4" w14:textId="279020A6" w:rsidR="0004087F" w:rsidRPr="0004087F" w:rsidRDefault="0004087F" w:rsidP="00D45054">
      <w:pPr>
        <w:spacing w:after="0" w:line="360" w:lineRule="auto"/>
        <w:ind w:firstLine="142"/>
        <w:jc w:val="both"/>
        <w:rPr>
          <w:rFonts w:ascii="Arial" w:hAnsi="Arial" w:cs="Arial"/>
          <w:sz w:val="24"/>
          <w:szCs w:val="24"/>
        </w:rPr>
      </w:pPr>
      <w:r w:rsidRPr="0004087F">
        <w:rPr>
          <w:rFonts w:ascii="Arial" w:hAnsi="Arial" w:cs="Arial"/>
          <w:sz w:val="24"/>
          <w:szCs w:val="24"/>
        </w:rPr>
        <w:t>This research contributes to the literature on the Eclectic Paradigm (Dunning, 1988) and Institutional Theory (Scott, 1995), highlighting the role of regulatory frameworks and geopolitical factors in shaping foreign business decisions. The findings support the OLI framework by demonstrating that while Hong Kong's </w:t>
      </w:r>
      <w:r w:rsidRPr="0004087F">
        <w:rPr>
          <w:rFonts w:ascii="Arial" w:hAnsi="Arial" w:cs="Arial"/>
          <w:i/>
          <w:iCs/>
          <w:sz w:val="24"/>
          <w:szCs w:val="24"/>
        </w:rPr>
        <w:t>location</w:t>
      </w:r>
      <w:r w:rsidRPr="0004087F">
        <w:rPr>
          <w:rFonts w:ascii="Arial" w:hAnsi="Arial" w:cs="Arial"/>
          <w:sz w:val="24"/>
          <w:szCs w:val="24"/>
        </w:rPr>
        <w:t> advantages remain strong, </w:t>
      </w:r>
      <w:r w:rsidRPr="0004087F">
        <w:rPr>
          <w:rFonts w:ascii="Arial" w:hAnsi="Arial" w:cs="Arial"/>
          <w:i/>
          <w:iCs/>
          <w:sz w:val="24"/>
          <w:szCs w:val="24"/>
        </w:rPr>
        <w:t>ownership</w:t>
      </w:r>
      <w:r w:rsidRPr="0004087F">
        <w:rPr>
          <w:rFonts w:ascii="Arial" w:hAnsi="Arial" w:cs="Arial"/>
          <w:sz w:val="24"/>
          <w:szCs w:val="24"/>
        </w:rPr>
        <w:t> and </w:t>
      </w:r>
      <w:r w:rsidRPr="0004087F">
        <w:rPr>
          <w:rFonts w:ascii="Arial" w:hAnsi="Arial" w:cs="Arial"/>
          <w:i/>
          <w:iCs/>
          <w:sz w:val="24"/>
          <w:szCs w:val="24"/>
        </w:rPr>
        <w:t>internalization</w:t>
      </w:r>
      <w:r w:rsidRPr="0004087F">
        <w:rPr>
          <w:rFonts w:ascii="Arial" w:hAnsi="Arial" w:cs="Arial"/>
          <w:sz w:val="24"/>
          <w:szCs w:val="24"/>
        </w:rPr>
        <w:t> advantages are being challenged by regulatory uncertainty.</w:t>
      </w:r>
      <w:r w:rsidR="00D45054">
        <w:rPr>
          <w:rFonts w:ascii="Arial" w:hAnsi="Arial" w:cs="Arial"/>
          <w:sz w:val="24"/>
          <w:szCs w:val="24"/>
        </w:rPr>
        <w:t xml:space="preserve"> </w:t>
      </w:r>
      <w:r w:rsidRPr="0004087F">
        <w:rPr>
          <w:rFonts w:ascii="Arial" w:hAnsi="Arial" w:cs="Arial"/>
          <w:sz w:val="24"/>
          <w:szCs w:val="24"/>
        </w:rPr>
        <w:t>Practically, it offers actionable insights for businesses and policymakers navigating Hong Kong's evolving regulatory landscape, providing a framework for strategic decision-making.</w:t>
      </w:r>
    </w:p>
    <w:p w14:paraId="163F268A" w14:textId="77777777" w:rsidR="0004087F" w:rsidRPr="0004087F" w:rsidRDefault="0004087F" w:rsidP="000E56A8">
      <w:pPr>
        <w:pStyle w:val="Heading2"/>
        <w:jc w:val="both"/>
      </w:pPr>
      <w:bookmarkStart w:id="47" w:name="_Toc194551456"/>
      <w:r w:rsidRPr="0004087F">
        <w:t>Limitations:</w:t>
      </w:r>
      <w:bookmarkEnd w:id="47"/>
    </w:p>
    <w:p w14:paraId="0FB62EF0" w14:textId="77777777" w:rsidR="0004087F" w:rsidRPr="0004087F" w:rsidRDefault="0004087F" w:rsidP="000E56A8">
      <w:pPr>
        <w:spacing w:after="0" w:line="360" w:lineRule="auto"/>
        <w:ind w:firstLine="142"/>
        <w:jc w:val="both"/>
        <w:rPr>
          <w:rFonts w:ascii="Arial" w:hAnsi="Arial" w:cs="Arial"/>
          <w:sz w:val="24"/>
          <w:szCs w:val="24"/>
        </w:rPr>
      </w:pPr>
      <w:r w:rsidRPr="0004087F">
        <w:rPr>
          <w:rFonts w:ascii="Arial" w:hAnsi="Arial" w:cs="Arial"/>
          <w:sz w:val="24"/>
          <w:szCs w:val="24"/>
        </w:rPr>
        <w:t>The study relies on secondary data, which may not capture the full complexity of Hong Kong's regulatory environment. For example, real-time impacts of policy changes may not be immediately reflected in statistical data.</w:t>
      </w:r>
    </w:p>
    <w:p w14:paraId="5B336682" w14:textId="77777777" w:rsidR="0004087F" w:rsidRPr="0004087F" w:rsidRDefault="0004087F" w:rsidP="000E56A8">
      <w:pPr>
        <w:spacing w:after="0" w:line="360" w:lineRule="auto"/>
        <w:ind w:firstLine="142"/>
        <w:jc w:val="both"/>
        <w:rPr>
          <w:rFonts w:ascii="Arial" w:hAnsi="Arial" w:cs="Arial"/>
          <w:sz w:val="24"/>
          <w:szCs w:val="24"/>
        </w:rPr>
      </w:pPr>
      <w:r w:rsidRPr="0004087F">
        <w:rPr>
          <w:rFonts w:ascii="Arial" w:hAnsi="Arial" w:cs="Arial"/>
          <w:sz w:val="24"/>
          <w:szCs w:val="24"/>
        </w:rPr>
        <w:t>Rapidly changing geopolitical dynamics and the focus on the financial sector limit the scope of the analysis. Further research is needed to assess the impact on other sectors and to incorporate more recent data.</w:t>
      </w:r>
    </w:p>
    <w:p w14:paraId="5DF06157" w14:textId="77777777" w:rsidR="0004087F" w:rsidRPr="0004087F" w:rsidRDefault="0004087F" w:rsidP="000E56A8">
      <w:pPr>
        <w:pStyle w:val="Heading2"/>
        <w:jc w:val="both"/>
      </w:pPr>
      <w:bookmarkStart w:id="48" w:name="_Toc194551457"/>
      <w:r w:rsidRPr="0004087F">
        <w:t>Future Research:</w:t>
      </w:r>
      <w:bookmarkEnd w:id="48"/>
    </w:p>
    <w:p w14:paraId="62534C5B" w14:textId="14A2F6DD" w:rsidR="0045334F" w:rsidRPr="0045334F" w:rsidRDefault="0045334F" w:rsidP="0045334F">
      <w:pPr>
        <w:spacing w:after="0" w:line="360" w:lineRule="auto"/>
        <w:ind w:firstLine="142"/>
        <w:jc w:val="both"/>
        <w:rPr>
          <w:rFonts w:ascii="Arial" w:hAnsi="Arial" w:cs="Arial"/>
          <w:sz w:val="24"/>
          <w:szCs w:val="24"/>
        </w:rPr>
      </w:pPr>
      <w:r w:rsidRPr="0045334F">
        <w:rPr>
          <w:rFonts w:ascii="Arial" w:hAnsi="Arial" w:cs="Arial"/>
          <w:sz w:val="24"/>
          <w:szCs w:val="24"/>
        </w:rPr>
        <w:t xml:space="preserve">To deepen understanding of Hong Kong’s evolving business landscape, future research should prioritize longitudinal analysis of the National Security Law’s lasting effects on foreign investment flows and corporate decision-making. Sector-specific studies could reveal how regulatory frameworks either enable or hinder growth in high-potential fields like fintech and biotech, offering policymakers targeted insights. Comparative analyses with rival hubs like Singapore and Shanghai would help benchmark Hong Kong’s relative strengths and vulnerabilities, while direct engagement with foreign firms—through surveys or interviews—could uncover ground-level challenges and opportunities obscured by aggregate data. Together, these approaches would provide a more dynamic, evidence-based picture of Hong Kong’s trajectory as a global business </w:t>
      </w:r>
      <w:r w:rsidR="008046B9" w:rsidRPr="0045334F">
        <w:rPr>
          <w:rFonts w:ascii="Arial" w:hAnsi="Arial" w:cs="Arial"/>
          <w:sz w:val="24"/>
          <w:szCs w:val="24"/>
        </w:rPr>
        <w:t>centre</w:t>
      </w:r>
      <w:r w:rsidRPr="0045334F">
        <w:rPr>
          <w:rFonts w:ascii="Arial" w:hAnsi="Arial" w:cs="Arial"/>
          <w:sz w:val="24"/>
          <w:szCs w:val="24"/>
        </w:rPr>
        <w:t>.</w:t>
      </w:r>
    </w:p>
    <w:p w14:paraId="030624E6" w14:textId="01562EF0" w:rsidR="0004087F" w:rsidRPr="0004087F" w:rsidRDefault="0004087F" w:rsidP="000E56A8">
      <w:pPr>
        <w:pStyle w:val="Heading2"/>
        <w:jc w:val="both"/>
      </w:pPr>
      <w:bookmarkStart w:id="49" w:name="_Toc194551458"/>
      <w:r w:rsidRPr="0004087F">
        <w:lastRenderedPageBreak/>
        <w:t>Final Thoughts:</w:t>
      </w:r>
      <w:bookmarkEnd w:id="49"/>
    </w:p>
    <w:p w14:paraId="1DC2416E" w14:textId="77777777" w:rsidR="0004087F" w:rsidRPr="0004087F" w:rsidRDefault="0004087F" w:rsidP="000E56A8">
      <w:pPr>
        <w:spacing w:after="0" w:line="360" w:lineRule="auto"/>
        <w:ind w:firstLine="142"/>
        <w:jc w:val="both"/>
        <w:rPr>
          <w:rFonts w:ascii="Arial" w:hAnsi="Arial" w:cs="Arial"/>
          <w:sz w:val="24"/>
          <w:szCs w:val="24"/>
        </w:rPr>
      </w:pPr>
      <w:r w:rsidRPr="0004087F">
        <w:rPr>
          <w:rFonts w:ascii="Arial" w:hAnsi="Arial" w:cs="Arial"/>
          <w:sz w:val="24"/>
          <w:szCs w:val="24"/>
        </w:rPr>
        <w:t>Hong Kong's regulatory environment presents both opportunities and challenges for foreign businesses. By addressing regulatory adaptability and fostering innovation, Hong Kong can sustain its position as a global financial hub. For foreign businesses, strategic planning and diversification will be key to navigating the complexities of Hong Kong's evolving business landscape. This research provides valuable insights for policymakers, businesses, and researchers, contributing to the ongoing discourse on Hong Kong's role in the global economy.</w:t>
      </w:r>
    </w:p>
    <w:p w14:paraId="414EBA5B" w14:textId="1005E70D" w:rsidR="0004087F" w:rsidRPr="0004087F" w:rsidRDefault="0004087F" w:rsidP="000E56A8">
      <w:pPr>
        <w:pStyle w:val="ListParagraph"/>
        <w:spacing w:after="0" w:line="360" w:lineRule="auto"/>
        <w:ind w:left="0" w:firstLine="142"/>
        <w:jc w:val="both"/>
        <w:rPr>
          <w:rFonts w:ascii="Arial" w:hAnsi="Arial" w:cs="Arial"/>
          <w:sz w:val="24"/>
          <w:szCs w:val="24"/>
        </w:rPr>
      </w:pPr>
    </w:p>
    <w:p w14:paraId="02EF81A6" w14:textId="77777777" w:rsidR="002C4005" w:rsidRPr="002C4005" w:rsidRDefault="002C4005" w:rsidP="000E56A8">
      <w:pPr>
        <w:spacing w:after="0" w:line="360" w:lineRule="auto"/>
        <w:ind w:firstLine="142"/>
        <w:jc w:val="both"/>
        <w:rPr>
          <w:rFonts w:ascii="Arial" w:hAnsi="Arial" w:cs="Arial"/>
          <w:sz w:val="24"/>
          <w:szCs w:val="24"/>
        </w:rPr>
      </w:pPr>
    </w:p>
    <w:p w14:paraId="170166DD" w14:textId="77777777" w:rsidR="002C4005" w:rsidRPr="0004087F" w:rsidRDefault="002C4005" w:rsidP="000E56A8">
      <w:pPr>
        <w:spacing w:after="0" w:line="360" w:lineRule="auto"/>
        <w:ind w:firstLine="142"/>
        <w:jc w:val="both"/>
        <w:rPr>
          <w:rFonts w:ascii="Arial" w:hAnsi="Arial" w:cs="Arial"/>
          <w:sz w:val="24"/>
          <w:szCs w:val="24"/>
        </w:rPr>
      </w:pPr>
    </w:p>
    <w:p w14:paraId="735DB2A4" w14:textId="77777777" w:rsidR="0004087F" w:rsidRPr="0004087F" w:rsidRDefault="0004087F" w:rsidP="000E56A8">
      <w:pPr>
        <w:spacing w:after="0" w:line="360" w:lineRule="auto"/>
        <w:ind w:firstLine="142"/>
        <w:jc w:val="both"/>
        <w:rPr>
          <w:rFonts w:ascii="Arial" w:hAnsi="Arial" w:cs="Arial"/>
          <w:sz w:val="24"/>
          <w:szCs w:val="24"/>
        </w:rPr>
      </w:pPr>
    </w:p>
    <w:p w14:paraId="18594D88" w14:textId="77777777" w:rsidR="0004087F" w:rsidRDefault="0004087F" w:rsidP="000E56A8">
      <w:pPr>
        <w:spacing w:after="0" w:line="360" w:lineRule="auto"/>
        <w:ind w:firstLine="142"/>
        <w:jc w:val="both"/>
        <w:rPr>
          <w:rFonts w:ascii="Arial" w:hAnsi="Arial" w:cs="Arial"/>
          <w:sz w:val="24"/>
          <w:szCs w:val="24"/>
        </w:rPr>
      </w:pPr>
    </w:p>
    <w:p w14:paraId="1D0D24EC" w14:textId="77777777" w:rsidR="0004087F" w:rsidRDefault="0004087F" w:rsidP="000E56A8">
      <w:pPr>
        <w:spacing w:after="0" w:line="360" w:lineRule="auto"/>
        <w:ind w:firstLine="142"/>
        <w:jc w:val="both"/>
        <w:rPr>
          <w:rFonts w:ascii="Arial" w:hAnsi="Arial" w:cs="Arial"/>
          <w:sz w:val="24"/>
          <w:szCs w:val="24"/>
        </w:rPr>
      </w:pPr>
    </w:p>
    <w:p w14:paraId="5F4F57FA" w14:textId="77777777" w:rsidR="0004087F" w:rsidRDefault="0004087F" w:rsidP="000E56A8">
      <w:pPr>
        <w:spacing w:after="0" w:line="360" w:lineRule="auto"/>
        <w:ind w:firstLine="142"/>
        <w:jc w:val="both"/>
        <w:rPr>
          <w:rFonts w:ascii="Arial" w:hAnsi="Arial" w:cs="Arial"/>
          <w:sz w:val="24"/>
          <w:szCs w:val="24"/>
        </w:rPr>
      </w:pPr>
    </w:p>
    <w:p w14:paraId="10D81D00" w14:textId="77777777" w:rsidR="00C0622A" w:rsidRDefault="00C0622A" w:rsidP="000E56A8">
      <w:pPr>
        <w:spacing w:after="0" w:line="360" w:lineRule="auto"/>
        <w:ind w:firstLine="142"/>
        <w:jc w:val="both"/>
        <w:rPr>
          <w:rFonts w:ascii="Arial" w:hAnsi="Arial" w:cs="Arial"/>
          <w:sz w:val="24"/>
          <w:szCs w:val="24"/>
        </w:rPr>
      </w:pPr>
    </w:p>
    <w:p w14:paraId="5EBD2062" w14:textId="77777777" w:rsidR="00C0622A" w:rsidRDefault="00C0622A" w:rsidP="000E56A8">
      <w:pPr>
        <w:spacing w:after="0" w:line="360" w:lineRule="auto"/>
        <w:ind w:firstLine="142"/>
        <w:jc w:val="both"/>
        <w:rPr>
          <w:rFonts w:ascii="Arial" w:hAnsi="Arial" w:cs="Arial"/>
          <w:sz w:val="24"/>
          <w:szCs w:val="24"/>
        </w:rPr>
      </w:pPr>
    </w:p>
    <w:p w14:paraId="27B72163" w14:textId="77777777" w:rsidR="00C0622A" w:rsidRDefault="00C0622A" w:rsidP="0045334F">
      <w:pPr>
        <w:spacing w:after="0" w:line="360" w:lineRule="auto"/>
        <w:jc w:val="both"/>
        <w:rPr>
          <w:rFonts w:ascii="Arial" w:hAnsi="Arial" w:cs="Arial"/>
          <w:sz w:val="24"/>
          <w:szCs w:val="24"/>
        </w:rPr>
      </w:pPr>
    </w:p>
    <w:p w14:paraId="25995610" w14:textId="77777777" w:rsidR="008046B9" w:rsidRDefault="008046B9" w:rsidP="0045334F">
      <w:pPr>
        <w:spacing w:after="0" w:line="360" w:lineRule="auto"/>
        <w:jc w:val="both"/>
        <w:rPr>
          <w:rFonts w:ascii="Arial" w:hAnsi="Arial" w:cs="Arial"/>
          <w:sz w:val="24"/>
          <w:szCs w:val="24"/>
        </w:rPr>
      </w:pPr>
    </w:p>
    <w:p w14:paraId="1470FDEC" w14:textId="77777777" w:rsidR="008046B9" w:rsidRDefault="008046B9" w:rsidP="0045334F">
      <w:pPr>
        <w:spacing w:after="0" w:line="360" w:lineRule="auto"/>
        <w:jc w:val="both"/>
        <w:rPr>
          <w:rFonts w:ascii="Arial" w:hAnsi="Arial" w:cs="Arial"/>
          <w:sz w:val="24"/>
          <w:szCs w:val="24"/>
        </w:rPr>
      </w:pPr>
    </w:p>
    <w:p w14:paraId="78CE9CF7" w14:textId="77777777" w:rsidR="008046B9" w:rsidRDefault="008046B9" w:rsidP="0045334F">
      <w:pPr>
        <w:spacing w:after="0" w:line="360" w:lineRule="auto"/>
        <w:jc w:val="both"/>
        <w:rPr>
          <w:rFonts w:ascii="Arial" w:hAnsi="Arial" w:cs="Arial"/>
          <w:sz w:val="24"/>
          <w:szCs w:val="24"/>
        </w:rPr>
      </w:pPr>
    </w:p>
    <w:p w14:paraId="39ABDECA" w14:textId="77777777" w:rsidR="008046B9" w:rsidRDefault="008046B9" w:rsidP="0045334F">
      <w:pPr>
        <w:spacing w:after="0" w:line="360" w:lineRule="auto"/>
        <w:jc w:val="both"/>
        <w:rPr>
          <w:rFonts w:ascii="Arial" w:hAnsi="Arial" w:cs="Arial"/>
          <w:sz w:val="24"/>
          <w:szCs w:val="24"/>
        </w:rPr>
      </w:pPr>
    </w:p>
    <w:p w14:paraId="1B2569DC" w14:textId="77777777" w:rsidR="008046B9" w:rsidRDefault="008046B9" w:rsidP="0045334F">
      <w:pPr>
        <w:spacing w:after="0" w:line="360" w:lineRule="auto"/>
        <w:jc w:val="both"/>
        <w:rPr>
          <w:rFonts w:ascii="Arial" w:hAnsi="Arial" w:cs="Arial"/>
          <w:sz w:val="24"/>
          <w:szCs w:val="24"/>
        </w:rPr>
      </w:pPr>
    </w:p>
    <w:p w14:paraId="78CD19F7" w14:textId="77777777" w:rsidR="008046B9" w:rsidRDefault="008046B9" w:rsidP="0045334F">
      <w:pPr>
        <w:spacing w:after="0" w:line="360" w:lineRule="auto"/>
        <w:jc w:val="both"/>
        <w:rPr>
          <w:rFonts w:ascii="Arial" w:hAnsi="Arial" w:cs="Arial"/>
          <w:sz w:val="24"/>
          <w:szCs w:val="24"/>
        </w:rPr>
      </w:pPr>
    </w:p>
    <w:p w14:paraId="50519332" w14:textId="77777777" w:rsidR="008046B9" w:rsidRDefault="008046B9" w:rsidP="0045334F">
      <w:pPr>
        <w:spacing w:after="0" w:line="360" w:lineRule="auto"/>
        <w:jc w:val="both"/>
        <w:rPr>
          <w:rFonts w:ascii="Arial" w:hAnsi="Arial" w:cs="Arial"/>
          <w:sz w:val="24"/>
          <w:szCs w:val="24"/>
        </w:rPr>
      </w:pPr>
    </w:p>
    <w:p w14:paraId="5B12068A" w14:textId="77777777" w:rsidR="008046B9" w:rsidRDefault="008046B9" w:rsidP="0045334F">
      <w:pPr>
        <w:spacing w:after="0" w:line="360" w:lineRule="auto"/>
        <w:jc w:val="both"/>
        <w:rPr>
          <w:rFonts w:ascii="Arial" w:hAnsi="Arial" w:cs="Arial"/>
          <w:sz w:val="24"/>
          <w:szCs w:val="24"/>
        </w:rPr>
      </w:pPr>
    </w:p>
    <w:p w14:paraId="7D22F9FD" w14:textId="77777777" w:rsidR="008046B9" w:rsidRDefault="008046B9" w:rsidP="0045334F">
      <w:pPr>
        <w:spacing w:after="0" w:line="360" w:lineRule="auto"/>
        <w:jc w:val="both"/>
        <w:rPr>
          <w:rFonts w:ascii="Arial" w:hAnsi="Arial" w:cs="Arial"/>
          <w:sz w:val="24"/>
          <w:szCs w:val="24"/>
        </w:rPr>
      </w:pPr>
    </w:p>
    <w:p w14:paraId="277A34C1" w14:textId="77777777" w:rsidR="008046B9" w:rsidRDefault="008046B9" w:rsidP="0045334F">
      <w:pPr>
        <w:spacing w:after="0" w:line="360" w:lineRule="auto"/>
        <w:jc w:val="both"/>
        <w:rPr>
          <w:rFonts w:ascii="Arial" w:hAnsi="Arial" w:cs="Arial"/>
          <w:sz w:val="24"/>
          <w:szCs w:val="24"/>
        </w:rPr>
      </w:pPr>
    </w:p>
    <w:p w14:paraId="0DEC50B6" w14:textId="77777777" w:rsidR="008046B9" w:rsidRDefault="008046B9" w:rsidP="0045334F">
      <w:pPr>
        <w:spacing w:after="0" w:line="360" w:lineRule="auto"/>
        <w:jc w:val="both"/>
        <w:rPr>
          <w:rFonts w:ascii="Arial" w:hAnsi="Arial" w:cs="Arial"/>
          <w:sz w:val="24"/>
          <w:szCs w:val="24"/>
        </w:rPr>
      </w:pPr>
    </w:p>
    <w:p w14:paraId="57BEFDF2" w14:textId="77777777" w:rsidR="008046B9" w:rsidRDefault="008046B9" w:rsidP="0045334F">
      <w:pPr>
        <w:spacing w:after="0" w:line="360" w:lineRule="auto"/>
        <w:jc w:val="both"/>
        <w:rPr>
          <w:rFonts w:ascii="Arial" w:hAnsi="Arial" w:cs="Arial"/>
          <w:sz w:val="24"/>
          <w:szCs w:val="24"/>
        </w:rPr>
      </w:pPr>
    </w:p>
    <w:p w14:paraId="0674D9C0" w14:textId="77777777" w:rsidR="008046B9" w:rsidRDefault="008046B9" w:rsidP="0045334F">
      <w:pPr>
        <w:spacing w:after="0" w:line="360" w:lineRule="auto"/>
        <w:jc w:val="both"/>
        <w:rPr>
          <w:rFonts w:ascii="Arial" w:hAnsi="Arial" w:cs="Arial"/>
          <w:sz w:val="24"/>
          <w:szCs w:val="24"/>
        </w:rPr>
      </w:pPr>
    </w:p>
    <w:p w14:paraId="5468B11E" w14:textId="7963B77C" w:rsidR="00555237" w:rsidRDefault="002C37FC" w:rsidP="00481EBF">
      <w:pPr>
        <w:pStyle w:val="Heading1"/>
      </w:pPr>
      <w:bookmarkStart w:id="50" w:name="_Toc182945203"/>
      <w:bookmarkStart w:id="51" w:name="_Hlk192343513"/>
      <w:bookmarkStart w:id="52" w:name="_Toc194551459"/>
      <w:r w:rsidRPr="00481EBF">
        <w:lastRenderedPageBreak/>
        <w:t>Reference List</w:t>
      </w:r>
      <w:bookmarkEnd w:id="50"/>
      <w:bookmarkEnd w:id="51"/>
      <w:bookmarkEnd w:id="52"/>
    </w:p>
    <w:p w14:paraId="3D412525" w14:textId="77777777" w:rsidR="00481EBF" w:rsidRDefault="00481EBF" w:rsidP="00481EBF">
      <w:pPr>
        <w:pStyle w:val="NormalWeb"/>
        <w:rPr>
          <w:rFonts w:ascii="Segoe UI" w:hAnsi="Segoe UI" w:cs="Segoe UI"/>
          <w:color w:val="404040"/>
        </w:rPr>
      </w:pPr>
      <w:r>
        <w:rPr>
          <w:rStyle w:val="Strong"/>
          <w:rFonts w:ascii="Segoe UI" w:eastAsiaTheme="majorEastAsia" w:hAnsi="Segoe UI" w:cs="Segoe UI"/>
          <w:color w:val="404040"/>
        </w:rPr>
        <w:t>Books and Journal Articles</w:t>
      </w:r>
      <w:r>
        <w:rPr>
          <w:rFonts w:ascii="Segoe UI" w:hAnsi="Segoe UI" w:cs="Segoe UI"/>
          <w:color w:val="404040"/>
        </w:rPr>
        <w:br/>
      </w:r>
      <w:proofErr w:type="spellStart"/>
      <w:r>
        <w:rPr>
          <w:rFonts w:ascii="Segoe UI" w:hAnsi="Segoe UI" w:cs="Segoe UI"/>
          <w:color w:val="404040"/>
        </w:rPr>
        <w:t>Balbaa</w:t>
      </w:r>
      <w:proofErr w:type="spellEnd"/>
      <w:r>
        <w:rPr>
          <w:rFonts w:ascii="Segoe UI" w:hAnsi="Segoe UI" w:cs="Segoe UI"/>
          <w:color w:val="404040"/>
        </w:rPr>
        <w:t>, M.E., Eshov, M.P. and Ismailova, N. (2022) ‘The impacts of Russian-Ukrainian war on the global economy in the frame of digital banking networks and cyber-attacks’, </w:t>
      </w:r>
      <w:r>
        <w:rPr>
          <w:rStyle w:val="Emphasis"/>
          <w:rFonts w:ascii="Segoe UI" w:eastAsiaTheme="majorEastAsia" w:hAnsi="Segoe UI" w:cs="Segoe UI"/>
          <w:color w:val="404040"/>
        </w:rPr>
        <w:t>Proceedings of the 6th International Conference on Future Networks &amp; Distributed Systems</w:t>
      </w:r>
      <w:r>
        <w:rPr>
          <w:rFonts w:ascii="Segoe UI" w:hAnsi="Segoe UI" w:cs="Segoe UI"/>
          <w:color w:val="404040"/>
        </w:rPr>
        <w:t>, pp. 137–146. New York: ACM.</w:t>
      </w:r>
    </w:p>
    <w:p w14:paraId="073AC99F" w14:textId="77777777" w:rsidR="00481EBF" w:rsidRDefault="00481EBF" w:rsidP="00481EBF">
      <w:pPr>
        <w:pStyle w:val="NormalWeb"/>
        <w:rPr>
          <w:rFonts w:ascii="Segoe UI" w:hAnsi="Segoe UI" w:cs="Segoe UI"/>
          <w:color w:val="404040"/>
        </w:rPr>
      </w:pPr>
      <w:r>
        <w:rPr>
          <w:rFonts w:ascii="Segoe UI" w:hAnsi="Segoe UI" w:cs="Segoe UI"/>
          <w:color w:val="404040"/>
        </w:rPr>
        <w:t xml:space="preserve">Beecher, B., </w:t>
      </w:r>
      <w:proofErr w:type="spellStart"/>
      <w:r>
        <w:rPr>
          <w:rFonts w:ascii="Segoe UI" w:hAnsi="Segoe UI" w:cs="Segoe UI"/>
          <w:color w:val="404040"/>
        </w:rPr>
        <w:t>Streitwieser</w:t>
      </w:r>
      <w:proofErr w:type="spellEnd"/>
      <w:r>
        <w:rPr>
          <w:rFonts w:ascii="Segoe UI" w:hAnsi="Segoe UI" w:cs="Segoe UI"/>
          <w:color w:val="404040"/>
        </w:rPr>
        <w:t>, B. and Zhou, J. (2020) ‘Charting a new path toward economic prosperity: Comparing policies for higher education hubs in Hong Kong and South Korea’, </w:t>
      </w:r>
      <w:r>
        <w:rPr>
          <w:rStyle w:val="Emphasis"/>
          <w:rFonts w:ascii="Segoe UI" w:eastAsiaTheme="majorEastAsia" w:hAnsi="Segoe UI" w:cs="Segoe UI"/>
          <w:color w:val="404040"/>
        </w:rPr>
        <w:t>Industry and Higher Education</w:t>
      </w:r>
      <w:r>
        <w:rPr>
          <w:rFonts w:ascii="Segoe UI" w:hAnsi="Segoe UI" w:cs="Segoe UI"/>
          <w:color w:val="404040"/>
        </w:rPr>
        <w:t>, 34(2), pp. 80–90.</w:t>
      </w:r>
    </w:p>
    <w:p w14:paraId="75558FAE" w14:textId="77777777" w:rsidR="00481EBF" w:rsidRDefault="00481EBF" w:rsidP="00481EBF">
      <w:pPr>
        <w:pStyle w:val="NormalWeb"/>
        <w:rPr>
          <w:rFonts w:ascii="Segoe UI" w:hAnsi="Segoe UI" w:cs="Segoe UI"/>
          <w:color w:val="404040"/>
        </w:rPr>
      </w:pPr>
      <w:r>
        <w:rPr>
          <w:rFonts w:ascii="Segoe UI" w:hAnsi="Segoe UI" w:cs="Segoe UI"/>
          <w:color w:val="404040"/>
        </w:rPr>
        <w:t>Chan, P. (2024) </w:t>
      </w:r>
      <w:r>
        <w:rPr>
          <w:rStyle w:val="Emphasis"/>
          <w:rFonts w:ascii="Segoe UI" w:eastAsiaTheme="majorEastAsia" w:hAnsi="Segoe UI" w:cs="Segoe UI"/>
          <w:color w:val="404040"/>
        </w:rPr>
        <w:t>Hong Kong Budget 2024–25: Measures to address competition and geopolitical pressures</w:t>
      </w:r>
      <w:r>
        <w:rPr>
          <w:rFonts w:ascii="Segoe UI" w:hAnsi="Segoe UI" w:cs="Segoe UI"/>
          <w:color w:val="404040"/>
        </w:rPr>
        <w:t>. Hong Kong: HKSAR Government.</w:t>
      </w:r>
    </w:p>
    <w:p w14:paraId="6E760BE1" w14:textId="77777777" w:rsidR="00481EBF" w:rsidRDefault="00481EBF" w:rsidP="00481EBF">
      <w:pPr>
        <w:pStyle w:val="NormalWeb"/>
        <w:rPr>
          <w:rFonts w:ascii="Segoe UI" w:hAnsi="Segoe UI" w:cs="Segoe UI"/>
          <w:color w:val="404040"/>
        </w:rPr>
      </w:pPr>
      <w:r>
        <w:rPr>
          <w:rFonts w:ascii="Segoe UI" w:hAnsi="Segoe UI" w:cs="Segoe UI"/>
          <w:color w:val="404040"/>
        </w:rPr>
        <w:t xml:space="preserve">Chen, Z. and </w:t>
      </w:r>
      <w:proofErr w:type="spellStart"/>
      <w:r>
        <w:rPr>
          <w:rFonts w:ascii="Segoe UI" w:hAnsi="Segoe UI" w:cs="Segoe UI"/>
          <w:color w:val="404040"/>
        </w:rPr>
        <w:t>Zhuansun</w:t>
      </w:r>
      <w:proofErr w:type="spellEnd"/>
      <w:r>
        <w:rPr>
          <w:rFonts w:ascii="Segoe UI" w:hAnsi="Segoe UI" w:cs="Segoe UI"/>
          <w:color w:val="404040"/>
        </w:rPr>
        <w:t>, G. (2022) ‘Study on coupling coordination between sci-tech innovation and high-quality economic development in the Guangdong-Hong Kong-Macao Greater Bay Area’, </w:t>
      </w:r>
      <w:r>
        <w:rPr>
          <w:rStyle w:val="Emphasis"/>
          <w:rFonts w:ascii="Segoe UI" w:eastAsiaTheme="majorEastAsia" w:hAnsi="Segoe UI" w:cs="Segoe UI"/>
          <w:color w:val="404040"/>
        </w:rPr>
        <w:t>Frontiers of Economics in China</w:t>
      </w:r>
      <w:r>
        <w:rPr>
          <w:rFonts w:ascii="Segoe UI" w:hAnsi="Segoe UI" w:cs="Segoe UI"/>
          <w:color w:val="404040"/>
        </w:rPr>
        <w:t>, 17(4), pp. 615–642.</w:t>
      </w:r>
    </w:p>
    <w:p w14:paraId="41B2B8BD" w14:textId="77777777" w:rsidR="00481EBF" w:rsidRDefault="00481EBF" w:rsidP="00481EBF">
      <w:pPr>
        <w:pStyle w:val="NormalWeb"/>
        <w:rPr>
          <w:rFonts w:ascii="Segoe UI" w:hAnsi="Segoe UI" w:cs="Segoe UI"/>
          <w:color w:val="404040"/>
        </w:rPr>
      </w:pPr>
      <w:r>
        <w:rPr>
          <w:rFonts w:ascii="Segoe UI" w:hAnsi="Segoe UI" w:cs="Segoe UI"/>
          <w:color w:val="404040"/>
        </w:rPr>
        <w:t>Christmann, P. and Taylor, G. (2001) ‘Globalization and the environment: Determinants of firm self-regulation in China’, </w:t>
      </w:r>
      <w:r>
        <w:rPr>
          <w:rStyle w:val="Emphasis"/>
          <w:rFonts w:ascii="Segoe UI" w:eastAsiaTheme="majorEastAsia" w:hAnsi="Segoe UI" w:cs="Segoe UI"/>
          <w:color w:val="404040"/>
        </w:rPr>
        <w:t>Journal of International Business Studies</w:t>
      </w:r>
      <w:r>
        <w:rPr>
          <w:rFonts w:ascii="Segoe UI" w:hAnsi="Segoe UI" w:cs="Segoe UI"/>
          <w:color w:val="404040"/>
        </w:rPr>
        <w:t>, 32(3), pp. 439–458.</w:t>
      </w:r>
    </w:p>
    <w:p w14:paraId="00660A33" w14:textId="77777777" w:rsidR="00481EBF" w:rsidRDefault="00481EBF" w:rsidP="00481EBF">
      <w:pPr>
        <w:pStyle w:val="NormalWeb"/>
        <w:rPr>
          <w:rFonts w:ascii="Segoe UI" w:hAnsi="Segoe UI" w:cs="Segoe UI"/>
          <w:color w:val="404040"/>
        </w:rPr>
      </w:pPr>
      <w:r>
        <w:rPr>
          <w:rFonts w:ascii="Segoe UI" w:hAnsi="Segoe UI" w:cs="Segoe UI"/>
          <w:color w:val="404040"/>
        </w:rPr>
        <w:t>Creswell, J.W. and Plano Clark, V.L. (2018) </w:t>
      </w:r>
      <w:r>
        <w:rPr>
          <w:rStyle w:val="Emphasis"/>
          <w:rFonts w:ascii="Segoe UI" w:eastAsiaTheme="majorEastAsia" w:hAnsi="Segoe UI" w:cs="Segoe UI"/>
          <w:color w:val="404040"/>
        </w:rPr>
        <w:t>Designing and Conducting Mixed Methods Research</w:t>
      </w:r>
      <w:r>
        <w:rPr>
          <w:rFonts w:ascii="Segoe UI" w:hAnsi="Segoe UI" w:cs="Segoe UI"/>
          <w:color w:val="404040"/>
        </w:rPr>
        <w:t xml:space="preserve">. 3rd </w:t>
      </w:r>
      <w:proofErr w:type="spellStart"/>
      <w:r>
        <w:rPr>
          <w:rFonts w:ascii="Segoe UI" w:hAnsi="Segoe UI" w:cs="Segoe UI"/>
          <w:color w:val="404040"/>
        </w:rPr>
        <w:t>edn</w:t>
      </w:r>
      <w:proofErr w:type="spellEnd"/>
      <w:r>
        <w:rPr>
          <w:rFonts w:ascii="Segoe UI" w:hAnsi="Segoe UI" w:cs="Segoe UI"/>
          <w:color w:val="404040"/>
        </w:rPr>
        <w:t>. Los Angeles: Sage.</w:t>
      </w:r>
    </w:p>
    <w:p w14:paraId="65A1EA57" w14:textId="77777777" w:rsidR="00481EBF" w:rsidRDefault="00481EBF" w:rsidP="00481EBF">
      <w:pPr>
        <w:pStyle w:val="NormalWeb"/>
        <w:rPr>
          <w:rFonts w:ascii="Segoe UI" w:hAnsi="Segoe UI" w:cs="Segoe UI"/>
          <w:color w:val="404040"/>
        </w:rPr>
      </w:pPr>
      <w:r>
        <w:rPr>
          <w:rFonts w:ascii="Segoe UI" w:hAnsi="Segoe UI" w:cs="Segoe UI"/>
          <w:color w:val="404040"/>
        </w:rPr>
        <w:t>Desai, R. (2023) </w:t>
      </w:r>
      <w:r>
        <w:rPr>
          <w:rStyle w:val="Emphasis"/>
          <w:rFonts w:ascii="Segoe UI" w:eastAsiaTheme="majorEastAsia" w:hAnsi="Segoe UI" w:cs="Segoe UI"/>
          <w:color w:val="404040"/>
        </w:rPr>
        <w:t>Capitalism, Coronavirus and War: A Geopolitical Economy</w:t>
      </w:r>
      <w:r>
        <w:rPr>
          <w:rFonts w:ascii="Segoe UI" w:hAnsi="Segoe UI" w:cs="Segoe UI"/>
          <w:color w:val="404040"/>
        </w:rPr>
        <w:t>. Abingdon: Routledge.</w:t>
      </w:r>
    </w:p>
    <w:p w14:paraId="0FA80512" w14:textId="77777777" w:rsidR="00481EBF" w:rsidRDefault="00481EBF" w:rsidP="00481EBF">
      <w:pPr>
        <w:pStyle w:val="NormalWeb"/>
        <w:rPr>
          <w:rFonts w:ascii="Segoe UI" w:hAnsi="Segoe UI" w:cs="Segoe UI"/>
          <w:color w:val="404040"/>
        </w:rPr>
      </w:pPr>
      <w:r>
        <w:rPr>
          <w:rFonts w:ascii="Segoe UI" w:hAnsi="Segoe UI" w:cs="Segoe UI"/>
          <w:color w:val="404040"/>
        </w:rPr>
        <w:t>Dunning, J.H. (1988) </w:t>
      </w:r>
      <w:r>
        <w:rPr>
          <w:rStyle w:val="Emphasis"/>
          <w:rFonts w:ascii="Segoe UI" w:eastAsiaTheme="majorEastAsia" w:hAnsi="Segoe UI" w:cs="Segoe UI"/>
          <w:color w:val="404040"/>
        </w:rPr>
        <w:t>Multinational Enterprises and the Global Economy</w:t>
      </w:r>
      <w:r>
        <w:rPr>
          <w:rFonts w:ascii="Segoe UI" w:hAnsi="Segoe UI" w:cs="Segoe UI"/>
          <w:color w:val="404040"/>
        </w:rPr>
        <w:t>. Wokingham: Addison-Wesley.</w:t>
      </w:r>
    </w:p>
    <w:p w14:paraId="3BD72FE6" w14:textId="77777777" w:rsidR="00481EBF" w:rsidRDefault="00481EBF" w:rsidP="00481EBF">
      <w:pPr>
        <w:pStyle w:val="NormalWeb"/>
        <w:rPr>
          <w:rFonts w:ascii="Segoe UI" w:hAnsi="Segoe UI" w:cs="Segoe UI"/>
          <w:color w:val="404040"/>
        </w:rPr>
      </w:pPr>
      <w:r>
        <w:rPr>
          <w:rFonts w:ascii="Segoe UI" w:hAnsi="Segoe UI" w:cs="Segoe UI"/>
          <w:color w:val="404040"/>
        </w:rPr>
        <w:t>Galpin, S. (2013) ‘Trade facilitation at work in Hong Kong’, </w:t>
      </w:r>
      <w:r>
        <w:rPr>
          <w:rStyle w:val="Emphasis"/>
          <w:rFonts w:ascii="Segoe UI" w:eastAsiaTheme="majorEastAsia" w:hAnsi="Segoe UI" w:cs="Segoe UI"/>
          <w:color w:val="404040"/>
        </w:rPr>
        <w:t>International Trade Forum</w:t>
      </w:r>
      <w:r>
        <w:rPr>
          <w:rFonts w:ascii="Segoe UI" w:hAnsi="Segoe UI" w:cs="Segoe UI"/>
          <w:color w:val="404040"/>
        </w:rPr>
        <w:t>, 4, pp. 28–29.</w:t>
      </w:r>
    </w:p>
    <w:p w14:paraId="49555269" w14:textId="77777777" w:rsidR="00481EBF" w:rsidRDefault="00481EBF" w:rsidP="00481EBF">
      <w:pPr>
        <w:pStyle w:val="NormalWeb"/>
        <w:rPr>
          <w:rFonts w:ascii="Segoe UI" w:hAnsi="Segoe UI" w:cs="Segoe UI"/>
          <w:color w:val="404040"/>
        </w:rPr>
      </w:pPr>
      <w:proofErr w:type="spellStart"/>
      <w:r>
        <w:rPr>
          <w:rFonts w:ascii="Segoe UI" w:hAnsi="Segoe UI" w:cs="Segoe UI"/>
          <w:color w:val="404040"/>
        </w:rPr>
        <w:t>Kalemli</w:t>
      </w:r>
      <w:proofErr w:type="spellEnd"/>
      <w:r>
        <w:rPr>
          <w:rFonts w:ascii="Segoe UI" w:hAnsi="Segoe UI" w:cs="Segoe UI"/>
          <w:color w:val="404040"/>
        </w:rPr>
        <w:t xml:space="preserve">-Ozcan, S., Papaioannou, E. and </w:t>
      </w:r>
      <w:proofErr w:type="spellStart"/>
      <w:r>
        <w:rPr>
          <w:rFonts w:ascii="Segoe UI" w:hAnsi="Segoe UI" w:cs="Segoe UI"/>
          <w:color w:val="404040"/>
        </w:rPr>
        <w:t>Peydró</w:t>
      </w:r>
      <w:proofErr w:type="spellEnd"/>
      <w:r>
        <w:rPr>
          <w:rFonts w:ascii="Segoe UI" w:hAnsi="Segoe UI" w:cs="Segoe UI"/>
          <w:color w:val="404040"/>
        </w:rPr>
        <w:t>, J.-L. (2013) ‘Financial regulation, financial globalization, and the synchronization of economic activity’, </w:t>
      </w:r>
      <w:r>
        <w:rPr>
          <w:rStyle w:val="Emphasis"/>
          <w:rFonts w:ascii="Segoe UI" w:eastAsiaTheme="majorEastAsia" w:hAnsi="Segoe UI" w:cs="Segoe UI"/>
          <w:color w:val="404040"/>
        </w:rPr>
        <w:t>Journal of Finance</w:t>
      </w:r>
      <w:r>
        <w:rPr>
          <w:rFonts w:ascii="Segoe UI" w:hAnsi="Segoe UI" w:cs="Segoe UI"/>
          <w:color w:val="404040"/>
        </w:rPr>
        <w:t>, 68(3), pp. 1179–1205.</w:t>
      </w:r>
    </w:p>
    <w:p w14:paraId="69476766" w14:textId="77777777" w:rsidR="00481EBF" w:rsidRDefault="00481EBF" w:rsidP="00481EBF">
      <w:pPr>
        <w:pStyle w:val="NormalWeb"/>
        <w:rPr>
          <w:rFonts w:ascii="Segoe UI" w:hAnsi="Segoe UI" w:cs="Segoe UI"/>
          <w:color w:val="404040"/>
        </w:rPr>
      </w:pPr>
      <w:r>
        <w:rPr>
          <w:rFonts w:ascii="Segoe UI" w:hAnsi="Segoe UI" w:cs="Segoe UI"/>
          <w:color w:val="404040"/>
        </w:rPr>
        <w:t>Khan, S., Liu, X. and Khan, A. (2023) </w:t>
      </w:r>
      <w:r>
        <w:rPr>
          <w:rStyle w:val="Emphasis"/>
          <w:rFonts w:ascii="Segoe UI" w:eastAsiaTheme="majorEastAsia" w:hAnsi="Segoe UI" w:cs="Segoe UI"/>
          <w:color w:val="404040"/>
        </w:rPr>
        <w:t>Foreign Business Expansion in Asia: Case Studies from Hong Kong</w:t>
      </w:r>
      <w:r>
        <w:rPr>
          <w:rFonts w:ascii="Segoe UI" w:hAnsi="Segoe UI" w:cs="Segoe UI"/>
          <w:color w:val="404040"/>
        </w:rPr>
        <w:t>. Singapore: Springer.</w:t>
      </w:r>
    </w:p>
    <w:p w14:paraId="7356AB6A" w14:textId="77777777" w:rsidR="00481EBF" w:rsidRDefault="00481EBF" w:rsidP="00481EBF">
      <w:pPr>
        <w:pStyle w:val="NormalWeb"/>
        <w:rPr>
          <w:rFonts w:ascii="Segoe UI" w:hAnsi="Segoe UI" w:cs="Segoe UI"/>
          <w:color w:val="404040"/>
        </w:rPr>
      </w:pPr>
      <w:r>
        <w:rPr>
          <w:rFonts w:ascii="Segoe UI" w:hAnsi="Segoe UI" w:cs="Segoe UI"/>
          <w:color w:val="404040"/>
        </w:rPr>
        <w:t>Saunders, M., Lewis, P. and Thornhill, A. (2019) </w:t>
      </w:r>
      <w:r>
        <w:rPr>
          <w:rStyle w:val="Emphasis"/>
          <w:rFonts w:ascii="Segoe UI" w:eastAsiaTheme="majorEastAsia" w:hAnsi="Segoe UI" w:cs="Segoe UI"/>
          <w:color w:val="404040"/>
        </w:rPr>
        <w:t>Research Methods for Business Students</w:t>
      </w:r>
      <w:r>
        <w:rPr>
          <w:rFonts w:ascii="Segoe UI" w:hAnsi="Segoe UI" w:cs="Segoe UI"/>
          <w:color w:val="404040"/>
        </w:rPr>
        <w:t xml:space="preserve">. 8th </w:t>
      </w:r>
      <w:proofErr w:type="spellStart"/>
      <w:r>
        <w:rPr>
          <w:rFonts w:ascii="Segoe UI" w:hAnsi="Segoe UI" w:cs="Segoe UI"/>
          <w:color w:val="404040"/>
        </w:rPr>
        <w:t>edn</w:t>
      </w:r>
      <w:proofErr w:type="spellEnd"/>
      <w:r>
        <w:rPr>
          <w:rFonts w:ascii="Segoe UI" w:hAnsi="Segoe UI" w:cs="Segoe UI"/>
          <w:color w:val="404040"/>
        </w:rPr>
        <w:t>. Harlow: Pearson.</w:t>
      </w:r>
    </w:p>
    <w:p w14:paraId="5EFAE8E8" w14:textId="77777777" w:rsidR="00481EBF" w:rsidRDefault="00481EBF" w:rsidP="00481EBF">
      <w:pPr>
        <w:pStyle w:val="NormalWeb"/>
        <w:rPr>
          <w:rFonts w:ascii="Segoe UI" w:hAnsi="Segoe UI" w:cs="Segoe UI"/>
          <w:color w:val="404040"/>
        </w:rPr>
      </w:pPr>
      <w:r>
        <w:rPr>
          <w:rFonts w:ascii="Segoe UI" w:hAnsi="Segoe UI" w:cs="Segoe UI"/>
          <w:color w:val="404040"/>
        </w:rPr>
        <w:lastRenderedPageBreak/>
        <w:t>Scott, W.R. (1995) </w:t>
      </w:r>
      <w:r>
        <w:rPr>
          <w:rStyle w:val="Emphasis"/>
          <w:rFonts w:ascii="Segoe UI" w:eastAsiaTheme="majorEastAsia" w:hAnsi="Segoe UI" w:cs="Segoe UI"/>
          <w:color w:val="404040"/>
        </w:rPr>
        <w:t>Institutions and Organizations</w:t>
      </w:r>
      <w:r>
        <w:rPr>
          <w:rFonts w:ascii="Segoe UI" w:hAnsi="Segoe UI" w:cs="Segoe UI"/>
          <w:color w:val="404040"/>
        </w:rPr>
        <w:t>. Thousand Oaks, CA: Sage.</w:t>
      </w:r>
    </w:p>
    <w:p w14:paraId="5AC5FF98" w14:textId="77777777" w:rsidR="00481EBF" w:rsidRDefault="00481EBF" w:rsidP="00481EBF">
      <w:pPr>
        <w:pStyle w:val="NormalWeb"/>
        <w:rPr>
          <w:rFonts w:ascii="Segoe UI" w:hAnsi="Segoe UI" w:cs="Segoe UI"/>
          <w:color w:val="404040"/>
        </w:rPr>
      </w:pPr>
      <w:r>
        <w:rPr>
          <w:rFonts w:ascii="Segoe UI" w:hAnsi="Segoe UI" w:cs="Segoe UI"/>
          <w:color w:val="404040"/>
        </w:rPr>
        <w:t>Wong, T. and Chan, K. (2023) ‘Hong Kong’s political developments and their impact on business’, </w:t>
      </w:r>
      <w:r>
        <w:rPr>
          <w:rStyle w:val="Emphasis"/>
          <w:rFonts w:ascii="Segoe UI" w:eastAsiaTheme="majorEastAsia" w:hAnsi="Segoe UI" w:cs="Segoe UI"/>
          <w:color w:val="404040"/>
        </w:rPr>
        <w:t>Journal of Asian Economics</w:t>
      </w:r>
      <w:r>
        <w:rPr>
          <w:rFonts w:ascii="Segoe UI" w:hAnsi="Segoe UI" w:cs="Segoe UI"/>
          <w:color w:val="404040"/>
        </w:rPr>
        <w:t>, 45(3), pp. 123–140.</w:t>
      </w:r>
    </w:p>
    <w:p w14:paraId="78EB58F6" w14:textId="77777777" w:rsidR="00481EBF" w:rsidRDefault="00481EBF" w:rsidP="00481EBF">
      <w:pPr>
        <w:pStyle w:val="NormalWeb"/>
        <w:rPr>
          <w:rFonts w:ascii="Segoe UI" w:hAnsi="Segoe UI" w:cs="Segoe UI"/>
          <w:color w:val="404040"/>
        </w:rPr>
      </w:pPr>
      <w:r>
        <w:rPr>
          <w:rFonts w:ascii="Segoe UI" w:hAnsi="Segoe UI" w:cs="Segoe UI"/>
          <w:color w:val="404040"/>
        </w:rPr>
        <w:t>Yu, T. (2004) </w:t>
      </w:r>
      <w:r>
        <w:rPr>
          <w:rStyle w:val="Emphasis"/>
          <w:rFonts w:ascii="Segoe UI" w:eastAsiaTheme="majorEastAsia" w:hAnsi="Segoe UI" w:cs="Segoe UI"/>
          <w:color w:val="404040"/>
        </w:rPr>
        <w:t>Hong Kong as a Global Gateway: Historical and Contemporary Perspectives</w:t>
      </w:r>
      <w:r>
        <w:rPr>
          <w:rFonts w:ascii="Segoe UI" w:hAnsi="Segoe UI" w:cs="Segoe UI"/>
          <w:color w:val="404040"/>
        </w:rPr>
        <w:t>. Hong Kong: HKU Press.</w:t>
      </w:r>
    </w:p>
    <w:p w14:paraId="77C0C109" w14:textId="77777777" w:rsidR="00481EBF" w:rsidRDefault="00481EBF" w:rsidP="00481EBF">
      <w:pPr>
        <w:pStyle w:val="NormalWeb"/>
        <w:rPr>
          <w:rFonts w:ascii="Segoe UI" w:hAnsi="Segoe UI" w:cs="Segoe UI"/>
          <w:color w:val="404040"/>
        </w:rPr>
      </w:pPr>
      <w:r>
        <w:rPr>
          <w:rStyle w:val="Strong"/>
          <w:rFonts w:ascii="Segoe UI" w:eastAsiaTheme="majorEastAsia" w:hAnsi="Segoe UI" w:cs="Segoe UI"/>
          <w:color w:val="404040"/>
        </w:rPr>
        <w:t>Reports and Government Publications</w:t>
      </w:r>
      <w:r>
        <w:rPr>
          <w:rFonts w:ascii="Segoe UI" w:hAnsi="Segoe UI" w:cs="Segoe UI"/>
          <w:color w:val="404040"/>
        </w:rPr>
        <w:br/>
        <w:t>Airport Authority Hong Kong (2023) </w:t>
      </w:r>
      <w:r>
        <w:rPr>
          <w:rStyle w:val="Emphasis"/>
          <w:rFonts w:ascii="Segoe UI" w:eastAsiaTheme="majorEastAsia" w:hAnsi="Segoe UI" w:cs="Segoe UI"/>
          <w:color w:val="404040"/>
        </w:rPr>
        <w:t>Cargo Throughput Data 2023</w:t>
      </w:r>
      <w:r>
        <w:rPr>
          <w:rFonts w:ascii="Segoe UI" w:hAnsi="Segoe UI" w:cs="Segoe UI"/>
          <w:color w:val="404040"/>
        </w:rPr>
        <w:t>. Available at: </w:t>
      </w:r>
      <w:hyperlink r:id="rId14" w:tgtFrame="_blank" w:history="1">
        <w:r>
          <w:rPr>
            <w:rStyle w:val="Hyperlink"/>
            <w:rFonts w:ascii="Segoe UI" w:eastAsiaTheme="majorEastAsia" w:hAnsi="Segoe UI" w:cs="Segoe UI"/>
          </w:rPr>
          <w:t>https://www.hongkongairport.com</w:t>
        </w:r>
      </w:hyperlink>
      <w:r>
        <w:rPr>
          <w:rFonts w:ascii="Segoe UI" w:hAnsi="Segoe UI" w:cs="Segoe UI"/>
          <w:color w:val="404040"/>
        </w:rPr>
        <w:t> (Accessed: 10 November 2024).</w:t>
      </w:r>
    </w:p>
    <w:p w14:paraId="38BA7739" w14:textId="77777777" w:rsidR="00481EBF" w:rsidRDefault="00481EBF" w:rsidP="00481EBF">
      <w:pPr>
        <w:pStyle w:val="NormalWeb"/>
        <w:rPr>
          <w:rFonts w:ascii="Segoe UI" w:hAnsi="Segoe UI" w:cs="Segoe UI"/>
          <w:color w:val="404040"/>
        </w:rPr>
      </w:pPr>
      <w:r>
        <w:rPr>
          <w:rFonts w:ascii="Segoe UI" w:hAnsi="Segoe UI" w:cs="Segoe UI"/>
          <w:color w:val="404040"/>
        </w:rPr>
        <w:t>Asian Development Bank (2023) </w:t>
      </w:r>
      <w:r>
        <w:rPr>
          <w:rStyle w:val="Emphasis"/>
          <w:rFonts w:ascii="Segoe UI" w:eastAsiaTheme="majorEastAsia" w:hAnsi="Segoe UI" w:cs="Segoe UI"/>
          <w:color w:val="404040"/>
        </w:rPr>
        <w:t>Economic Indicators Report 2023</w:t>
      </w:r>
      <w:r>
        <w:rPr>
          <w:rFonts w:ascii="Segoe UI" w:hAnsi="Segoe UI" w:cs="Segoe UI"/>
          <w:color w:val="404040"/>
        </w:rPr>
        <w:t>. Manila: ADB.</w:t>
      </w:r>
    </w:p>
    <w:p w14:paraId="647C9069" w14:textId="572DD9B5" w:rsidR="00481EBF" w:rsidRDefault="00481EBF" w:rsidP="00481EBF">
      <w:pPr>
        <w:pStyle w:val="NormalWeb"/>
        <w:rPr>
          <w:rFonts w:ascii="Segoe UI" w:hAnsi="Segoe UI" w:cs="Segoe UI"/>
          <w:color w:val="404040"/>
        </w:rPr>
      </w:pPr>
      <w:r>
        <w:rPr>
          <w:rFonts w:ascii="Segoe UI" w:hAnsi="Segoe UI" w:cs="Segoe UI"/>
          <w:color w:val="404040"/>
        </w:rPr>
        <w:t>Census and Statistics Department (2021) </w:t>
      </w:r>
      <w:r>
        <w:rPr>
          <w:rStyle w:val="Emphasis"/>
          <w:rFonts w:ascii="Segoe UI" w:eastAsiaTheme="majorEastAsia" w:hAnsi="Segoe UI" w:cs="Segoe UI"/>
          <w:color w:val="404040"/>
        </w:rPr>
        <w:t>Hong Kong GDP Data 2020</w:t>
      </w:r>
      <w:r>
        <w:rPr>
          <w:rFonts w:ascii="Segoe UI" w:hAnsi="Segoe UI" w:cs="Segoe UI"/>
          <w:color w:val="404040"/>
        </w:rPr>
        <w:t>. Available at: </w:t>
      </w:r>
      <w:hyperlink r:id="rId15" w:tgtFrame="_blank" w:history="1">
        <w:r>
          <w:rPr>
            <w:rStyle w:val="Hyperlink"/>
            <w:rFonts w:ascii="Segoe UI" w:eastAsiaTheme="majorEastAsia" w:hAnsi="Segoe UI" w:cs="Segoe UI"/>
          </w:rPr>
          <w:t>https://www.censtatd.gov.hk</w:t>
        </w:r>
      </w:hyperlink>
      <w:r>
        <w:rPr>
          <w:rFonts w:ascii="Segoe UI" w:hAnsi="Segoe UI" w:cs="Segoe UI"/>
          <w:color w:val="404040"/>
        </w:rPr>
        <w:t> (Accessed: 15 December 2024).</w:t>
      </w:r>
    </w:p>
    <w:p w14:paraId="19BCE9A8" w14:textId="77777777" w:rsidR="00481EBF" w:rsidRDefault="00481EBF" w:rsidP="00481EBF">
      <w:pPr>
        <w:pStyle w:val="NormalWeb"/>
        <w:rPr>
          <w:rFonts w:ascii="Segoe UI" w:hAnsi="Segoe UI" w:cs="Segoe UI"/>
          <w:color w:val="404040"/>
        </w:rPr>
      </w:pPr>
      <w:r>
        <w:rPr>
          <w:rFonts w:ascii="Segoe UI" w:hAnsi="Segoe UI" w:cs="Segoe UI"/>
          <w:color w:val="404040"/>
        </w:rPr>
        <w:t>Davis Polk (2020) </w:t>
      </w:r>
      <w:r>
        <w:rPr>
          <w:rStyle w:val="Emphasis"/>
          <w:rFonts w:ascii="Segoe UI" w:eastAsiaTheme="majorEastAsia" w:hAnsi="Segoe UI" w:cs="Segoe UI"/>
          <w:color w:val="404040"/>
        </w:rPr>
        <w:t>The National Security Law: Implications for Hong Kong</w:t>
      </w:r>
      <w:r>
        <w:rPr>
          <w:rFonts w:ascii="Segoe UI" w:hAnsi="Segoe UI" w:cs="Segoe UI"/>
          <w:color w:val="404040"/>
        </w:rPr>
        <w:t>. New York: Davis Polk &amp; Wardwell.</w:t>
      </w:r>
    </w:p>
    <w:p w14:paraId="7F5C9FE1" w14:textId="77777777" w:rsidR="00481EBF" w:rsidRDefault="00481EBF" w:rsidP="00481EBF">
      <w:pPr>
        <w:pStyle w:val="NormalWeb"/>
        <w:rPr>
          <w:rFonts w:ascii="Segoe UI" w:hAnsi="Segoe UI" w:cs="Segoe UI"/>
          <w:color w:val="404040"/>
        </w:rPr>
      </w:pPr>
      <w:r>
        <w:rPr>
          <w:rFonts w:ascii="Segoe UI" w:hAnsi="Segoe UI" w:cs="Segoe UI"/>
          <w:color w:val="404040"/>
        </w:rPr>
        <w:t>East Asia Forum (2024) </w:t>
      </w:r>
      <w:r>
        <w:rPr>
          <w:rStyle w:val="Emphasis"/>
          <w:rFonts w:ascii="Segoe UI" w:eastAsiaTheme="majorEastAsia" w:hAnsi="Segoe UI" w:cs="Segoe UI"/>
          <w:color w:val="404040"/>
        </w:rPr>
        <w:t>Hong Kong’s Economic Struggles: Structural Challenges and External Headwinds</w:t>
      </w:r>
      <w:r>
        <w:rPr>
          <w:rFonts w:ascii="Segoe UI" w:hAnsi="Segoe UI" w:cs="Segoe UI"/>
          <w:color w:val="404040"/>
        </w:rPr>
        <w:t>. Available at: </w:t>
      </w:r>
      <w:hyperlink r:id="rId16" w:tgtFrame="_blank" w:history="1">
        <w:r>
          <w:rPr>
            <w:rStyle w:val="Hyperlink"/>
            <w:rFonts w:ascii="Segoe UI" w:eastAsiaTheme="majorEastAsia" w:hAnsi="Segoe UI" w:cs="Segoe UI"/>
          </w:rPr>
          <w:t>https://www.eastasiaforum.org</w:t>
        </w:r>
      </w:hyperlink>
      <w:r>
        <w:rPr>
          <w:rFonts w:ascii="Segoe UI" w:hAnsi="Segoe UI" w:cs="Segoe UI"/>
          <w:color w:val="404040"/>
        </w:rPr>
        <w:t> (Accessed: 2 April 2025).</w:t>
      </w:r>
    </w:p>
    <w:p w14:paraId="1F6E7061" w14:textId="77777777" w:rsidR="00481EBF" w:rsidRDefault="00481EBF" w:rsidP="00481EBF">
      <w:pPr>
        <w:pStyle w:val="NormalWeb"/>
        <w:rPr>
          <w:rFonts w:ascii="Segoe UI" w:hAnsi="Segoe UI" w:cs="Segoe UI"/>
          <w:color w:val="404040"/>
        </w:rPr>
      </w:pPr>
      <w:r>
        <w:rPr>
          <w:rFonts w:ascii="Segoe UI" w:hAnsi="Segoe UI" w:cs="Segoe UI"/>
          <w:color w:val="404040"/>
        </w:rPr>
        <w:t>Financial Times (2023) </w:t>
      </w:r>
      <w:r>
        <w:rPr>
          <w:rStyle w:val="Emphasis"/>
          <w:rFonts w:ascii="Segoe UI" w:eastAsiaTheme="majorEastAsia" w:hAnsi="Segoe UI" w:cs="Segoe UI"/>
          <w:color w:val="404040"/>
        </w:rPr>
        <w:t>Global Fintech Hub Rankings 2023</w:t>
      </w:r>
      <w:r>
        <w:rPr>
          <w:rFonts w:ascii="Segoe UI" w:hAnsi="Segoe UI" w:cs="Segoe UI"/>
          <w:color w:val="404040"/>
        </w:rPr>
        <w:t>. London: FT Group.</w:t>
      </w:r>
    </w:p>
    <w:p w14:paraId="6AD9F39B" w14:textId="77777777" w:rsidR="00481EBF" w:rsidRDefault="00481EBF" w:rsidP="00481EBF">
      <w:pPr>
        <w:pStyle w:val="NormalWeb"/>
        <w:rPr>
          <w:rFonts w:ascii="Segoe UI" w:hAnsi="Segoe UI" w:cs="Segoe UI"/>
          <w:color w:val="404040"/>
        </w:rPr>
      </w:pPr>
      <w:r>
        <w:rPr>
          <w:rFonts w:ascii="Segoe UI" w:hAnsi="Segoe UI" w:cs="Segoe UI"/>
          <w:color w:val="404040"/>
        </w:rPr>
        <w:t>GFCI (2022) </w:t>
      </w:r>
      <w:r>
        <w:rPr>
          <w:rStyle w:val="Emphasis"/>
          <w:rFonts w:ascii="Segoe UI" w:eastAsiaTheme="majorEastAsia" w:hAnsi="Segoe UI" w:cs="Segoe UI"/>
          <w:color w:val="404040"/>
        </w:rPr>
        <w:t>Global Financial Centres Index 32</w:t>
      </w:r>
      <w:r>
        <w:rPr>
          <w:rFonts w:ascii="Segoe UI" w:hAnsi="Segoe UI" w:cs="Segoe UI"/>
          <w:color w:val="404040"/>
        </w:rPr>
        <w:t>. London: Z/Yen Group.</w:t>
      </w:r>
    </w:p>
    <w:p w14:paraId="46636E41" w14:textId="77777777" w:rsidR="00481EBF" w:rsidRDefault="00481EBF" w:rsidP="00481EBF">
      <w:pPr>
        <w:pStyle w:val="NormalWeb"/>
        <w:rPr>
          <w:rFonts w:ascii="Segoe UI" w:hAnsi="Segoe UI" w:cs="Segoe UI"/>
          <w:color w:val="404040"/>
        </w:rPr>
      </w:pPr>
      <w:r>
        <w:rPr>
          <w:rFonts w:ascii="Segoe UI" w:hAnsi="Segoe UI" w:cs="Segoe UI"/>
          <w:color w:val="404040"/>
        </w:rPr>
        <w:t>Hong Kong Census and Statistics Department (2023) </w:t>
      </w:r>
      <w:r>
        <w:rPr>
          <w:rStyle w:val="Emphasis"/>
          <w:rFonts w:ascii="Segoe UI" w:eastAsiaTheme="majorEastAsia" w:hAnsi="Segoe UI" w:cs="Segoe UI"/>
          <w:color w:val="404040"/>
        </w:rPr>
        <w:t>External Direct Investment Statistics of Hong Kong 2023</w:t>
      </w:r>
      <w:r>
        <w:rPr>
          <w:rFonts w:ascii="Segoe UI" w:hAnsi="Segoe UI" w:cs="Segoe UI"/>
          <w:color w:val="404040"/>
        </w:rPr>
        <w:t>. Hong Kong: HKSAR Government.</w:t>
      </w:r>
    </w:p>
    <w:p w14:paraId="6F8991A5" w14:textId="26E97C85" w:rsidR="00481EBF" w:rsidRDefault="00481EBF" w:rsidP="00481EBF">
      <w:pPr>
        <w:pStyle w:val="NormalWeb"/>
        <w:rPr>
          <w:rFonts w:ascii="Segoe UI" w:hAnsi="Segoe UI" w:cs="Segoe UI"/>
          <w:color w:val="404040"/>
        </w:rPr>
      </w:pPr>
      <w:r>
        <w:rPr>
          <w:rFonts w:ascii="Segoe UI" w:hAnsi="Segoe UI" w:cs="Segoe UI"/>
          <w:color w:val="404040"/>
        </w:rPr>
        <w:t>Hong Kong Exchanges and Clearing (2023) </w:t>
      </w:r>
      <w:r>
        <w:rPr>
          <w:rStyle w:val="Emphasis"/>
          <w:rFonts w:ascii="Segoe UI" w:eastAsiaTheme="majorEastAsia" w:hAnsi="Segoe UI" w:cs="Segoe UI"/>
          <w:color w:val="404040"/>
        </w:rPr>
        <w:t>Stock Market Capitalization Data 2023</w:t>
      </w:r>
      <w:r>
        <w:rPr>
          <w:rFonts w:ascii="Segoe UI" w:hAnsi="Segoe UI" w:cs="Segoe UI"/>
          <w:color w:val="404040"/>
        </w:rPr>
        <w:t>. Available at: </w:t>
      </w:r>
      <w:hyperlink r:id="rId17" w:tgtFrame="_blank" w:history="1">
        <w:r>
          <w:rPr>
            <w:rStyle w:val="Hyperlink"/>
            <w:rFonts w:ascii="Segoe UI" w:eastAsiaTheme="majorEastAsia" w:hAnsi="Segoe UI" w:cs="Segoe UI"/>
          </w:rPr>
          <w:t>https://www.hkex.com.hk</w:t>
        </w:r>
      </w:hyperlink>
      <w:r>
        <w:rPr>
          <w:rFonts w:ascii="Segoe UI" w:hAnsi="Segoe UI" w:cs="Segoe UI"/>
          <w:color w:val="404040"/>
        </w:rPr>
        <w:t> (Accessed: 13 January 2025).</w:t>
      </w:r>
    </w:p>
    <w:p w14:paraId="0BA56593" w14:textId="77777777" w:rsidR="00481EBF" w:rsidRDefault="00481EBF" w:rsidP="00481EBF">
      <w:pPr>
        <w:pStyle w:val="NormalWeb"/>
        <w:rPr>
          <w:rFonts w:ascii="Segoe UI" w:hAnsi="Segoe UI" w:cs="Segoe UI"/>
          <w:color w:val="404040"/>
        </w:rPr>
      </w:pPr>
      <w:r>
        <w:rPr>
          <w:rFonts w:ascii="Segoe UI" w:hAnsi="Segoe UI" w:cs="Segoe UI"/>
          <w:color w:val="404040"/>
        </w:rPr>
        <w:t>Hong Kong Monetary Authority (HKMA) (2021) </w:t>
      </w:r>
      <w:r>
        <w:rPr>
          <w:rStyle w:val="Emphasis"/>
          <w:rFonts w:ascii="Segoe UI" w:eastAsiaTheme="majorEastAsia" w:hAnsi="Segoe UI" w:cs="Segoe UI"/>
          <w:color w:val="404040"/>
        </w:rPr>
        <w:t>Wealth Management Connect Scheme</w:t>
      </w:r>
      <w:r>
        <w:rPr>
          <w:rFonts w:ascii="Segoe UI" w:hAnsi="Segoe UI" w:cs="Segoe UI"/>
          <w:color w:val="404040"/>
        </w:rPr>
        <w:t>. Available at: </w:t>
      </w:r>
      <w:hyperlink r:id="rId18" w:tgtFrame="_blank" w:history="1">
        <w:r>
          <w:rPr>
            <w:rStyle w:val="Hyperlink"/>
            <w:rFonts w:ascii="Segoe UI" w:eastAsiaTheme="majorEastAsia" w:hAnsi="Segoe UI" w:cs="Segoe UI"/>
          </w:rPr>
          <w:t>https://www.hkma.gov.hk</w:t>
        </w:r>
      </w:hyperlink>
      <w:r>
        <w:rPr>
          <w:rFonts w:ascii="Segoe UI" w:hAnsi="Segoe UI" w:cs="Segoe UI"/>
          <w:color w:val="404040"/>
        </w:rPr>
        <w:t> (Accessed: 10 November 2024).</w:t>
      </w:r>
    </w:p>
    <w:p w14:paraId="63366AFA" w14:textId="77777777" w:rsidR="00481EBF" w:rsidRDefault="00481EBF" w:rsidP="00481EBF">
      <w:pPr>
        <w:pStyle w:val="NormalWeb"/>
        <w:rPr>
          <w:rFonts w:ascii="Segoe UI" w:hAnsi="Segoe UI" w:cs="Segoe UI"/>
          <w:color w:val="404040"/>
        </w:rPr>
      </w:pPr>
      <w:r>
        <w:rPr>
          <w:rFonts w:ascii="Segoe UI" w:hAnsi="Segoe UI" w:cs="Segoe UI"/>
          <w:color w:val="404040"/>
        </w:rPr>
        <w:t>Hong Kong Monetary Authority (HKMA) (2023) </w:t>
      </w:r>
      <w:r>
        <w:rPr>
          <w:rStyle w:val="Emphasis"/>
          <w:rFonts w:ascii="Segoe UI" w:eastAsiaTheme="majorEastAsia" w:hAnsi="Segoe UI" w:cs="Segoe UI"/>
          <w:color w:val="404040"/>
        </w:rPr>
        <w:t>Annual Report 2023</w:t>
      </w:r>
      <w:r>
        <w:rPr>
          <w:rFonts w:ascii="Segoe UI" w:hAnsi="Segoe UI" w:cs="Segoe UI"/>
          <w:color w:val="404040"/>
        </w:rPr>
        <w:t>. Hong Kong: HKMA.</w:t>
      </w:r>
    </w:p>
    <w:p w14:paraId="39B2E9F6" w14:textId="77777777" w:rsidR="00481EBF" w:rsidRDefault="00481EBF" w:rsidP="00481EBF">
      <w:pPr>
        <w:pStyle w:val="NormalWeb"/>
        <w:rPr>
          <w:rFonts w:ascii="Segoe UI" w:hAnsi="Segoe UI" w:cs="Segoe UI"/>
          <w:color w:val="404040"/>
        </w:rPr>
      </w:pPr>
      <w:r>
        <w:rPr>
          <w:rFonts w:ascii="Segoe UI" w:hAnsi="Segoe UI" w:cs="Segoe UI"/>
          <w:color w:val="404040"/>
        </w:rPr>
        <w:t>Hong Kong Trade Development Council (HKTDC) (2021) </w:t>
      </w:r>
      <w:r>
        <w:rPr>
          <w:rStyle w:val="Emphasis"/>
          <w:rFonts w:ascii="Segoe UI" w:eastAsiaTheme="majorEastAsia" w:hAnsi="Segoe UI" w:cs="Segoe UI"/>
          <w:color w:val="404040"/>
        </w:rPr>
        <w:t>Hong Kong Export Data 2021</w:t>
      </w:r>
      <w:r>
        <w:rPr>
          <w:rFonts w:ascii="Segoe UI" w:hAnsi="Segoe UI" w:cs="Segoe UI"/>
          <w:color w:val="404040"/>
        </w:rPr>
        <w:t>. Available at: </w:t>
      </w:r>
      <w:hyperlink r:id="rId19" w:tgtFrame="_blank" w:history="1">
        <w:r>
          <w:rPr>
            <w:rStyle w:val="Hyperlink"/>
            <w:rFonts w:ascii="Segoe UI" w:eastAsiaTheme="majorEastAsia" w:hAnsi="Segoe UI" w:cs="Segoe UI"/>
          </w:rPr>
          <w:t>https://www.hktdc.com</w:t>
        </w:r>
      </w:hyperlink>
      <w:r>
        <w:rPr>
          <w:rFonts w:ascii="Segoe UI" w:hAnsi="Segoe UI" w:cs="Segoe UI"/>
          <w:color w:val="404040"/>
        </w:rPr>
        <w:t> (Accessed: 10 November 2024).</w:t>
      </w:r>
    </w:p>
    <w:p w14:paraId="1FC666D9" w14:textId="77777777" w:rsidR="00481EBF" w:rsidRDefault="00481EBF" w:rsidP="00481EBF">
      <w:pPr>
        <w:pStyle w:val="NormalWeb"/>
        <w:rPr>
          <w:rFonts w:ascii="Segoe UI" w:hAnsi="Segoe UI" w:cs="Segoe UI"/>
          <w:color w:val="404040"/>
        </w:rPr>
      </w:pPr>
      <w:r>
        <w:rPr>
          <w:rFonts w:ascii="Segoe UI" w:hAnsi="Segoe UI" w:cs="Segoe UI"/>
          <w:color w:val="404040"/>
        </w:rPr>
        <w:t>National People’s Congress (2020) </w:t>
      </w:r>
      <w:r>
        <w:rPr>
          <w:rStyle w:val="Emphasis"/>
          <w:rFonts w:ascii="Segoe UI" w:eastAsiaTheme="majorEastAsia" w:hAnsi="Segoe UI" w:cs="Segoe UI"/>
          <w:color w:val="404040"/>
        </w:rPr>
        <w:t>Text of the Hong Kong National Security Law</w:t>
      </w:r>
      <w:r>
        <w:rPr>
          <w:rFonts w:ascii="Segoe UI" w:hAnsi="Segoe UI" w:cs="Segoe UI"/>
          <w:color w:val="404040"/>
        </w:rPr>
        <w:t>. Beijing: NPC.</w:t>
      </w:r>
    </w:p>
    <w:p w14:paraId="19645C90" w14:textId="77777777" w:rsidR="00481EBF" w:rsidRDefault="00481EBF" w:rsidP="00481EBF">
      <w:pPr>
        <w:pStyle w:val="NormalWeb"/>
        <w:rPr>
          <w:rFonts w:ascii="Segoe UI" w:hAnsi="Segoe UI" w:cs="Segoe UI"/>
          <w:color w:val="404040"/>
        </w:rPr>
      </w:pPr>
      <w:r>
        <w:rPr>
          <w:rFonts w:ascii="Segoe UI" w:hAnsi="Segoe UI" w:cs="Segoe UI"/>
          <w:color w:val="404040"/>
        </w:rPr>
        <w:lastRenderedPageBreak/>
        <w:t>PwC (2021) </w:t>
      </w:r>
      <w:r>
        <w:rPr>
          <w:rStyle w:val="Emphasis"/>
          <w:rFonts w:ascii="Segoe UI" w:eastAsiaTheme="majorEastAsia" w:hAnsi="Segoe UI" w:cs="Segoe UI"/>
          <w:color w:val="404040"/>
        </w:rPr>
        <w:t>Greater Bay Area Wealth Management Connect: Opportunities and Challenges</w:t>
      </w:r>
      <w:r>
        <w:rPr>
          <w:rFonts w:ascii="Segoe UI" w:hAnsi="Segoe UI" w:cs="Segoe UI"/>
          <w:color w:val="404040"/>
        </w:rPr>
        <w:t>. Hong Kong: PwC.</w:t>
      </w:r>
    </w:p>
    <w:p w14:paraId="3A3FCFF6" w14:textId="77777777" w:rsidR="00481EBF" w:rsidRDefault="00481EBF" w:rsidP="00481EBF">
      <w:pPr>
        <w:pStyle w:val="NormalWeb"/>
        <w:rPr>
          <w:rFonts w:ascii="Segoe UI" w:hAnsi="Segoe UI" w:cs="Segoe UI"/>
          <w:color w:val="404040"/>
        </w:rPr>
      </w:pPr>
      <w:r>
        <w:rPr>
          <w:rFonts w:ascii="Segoe UI" w:hAnsi="Segoe UI" w:cs="Segoe UI"/>
          <w:color w:val="404040"/>
        </w:rPr>
        <w:t>PwC (2022) </w:t>
      </w:r>
      <w:r>
        <w:rPr>
          <w:rStyle w:val="Emphasis"/>
          <w:rFonts w:ascii="Segoe UI" w:eastAsiaTheme="majorEastAsia" w:hAnsi="Segoe UI" w:cs="Segoe UI"/>
          <w:color w:val="404040"/>
        </w:rPr>
        <w:t>Greater Bay Area Economic Outlook 2022</w:t>
      </w:r>
      <w:r>
        <w:rPr>
          <w:rFonts w:ascii="Segoe UI" w:hAnsi="Segoe UI" w:cs="Segoe UI"/>
          <w:color w:val="404040"/>
        </w:rPr>
        <w:t>. Hong Kong: PwC.</w:t>
      </w:r>
    </w:p>
    <w:p w14:paraId="3D19ED6E" w14:textId="77777777" w:rsidR="00481EBF" w:rsidRDefault="00481EBF" w:rsidP="00481EBF">
      <w:pPr>
        <w:pStyle w:val="NormalWeb"/>
        <w:rPr>
          <w:rFonts w:ascii="Segoe UI" w:hAnsi="Segoe UI" w:cs="Segoe UI"/>
          <w:color w:val="404040"/>
        </w:rPr>
      </w:pPr>
      <w:r>
        <w:rPr>
          <w:rFonts w:ascii="Segoe UI" w:hAnsi="Segoe UI" w:cs="Segoe UI"/>
          <w:color w:val="404040"/>
        </w:rPr>
        <w:t>PwC (2023) </w:t>
      </w:r>
      <w:r>
        <w:rPr>
          <w:rStyle w:val="Emphasis"/>
          <w:rFonts w:ascii="Segoe UI" w:eastAsiaTheme="majorEastAsia" w:hAnsi="Segoe UI" w:cs="Segoe UI"/>
          <w:color w:val="404040"/>
        </w:rPr>
        <w:t>Hong Kong Tax Facts and Figures 2023</w:t>
      </w:r>
      <w:r>
        <w:rPr>
          <w:rFonts w:ascii="Segoe UI" w:hAnsi="Segoe UI" w:cs="Segoe UI"/>
          <w:color w:val="404040"/>
        </w:rPr>
        <w:t>. Hong Kong: PwC.</w:t>
      </w:r>
    </w:p>
    <w:p w14:paraId="26B65F5E" w14:textId="77777777" w:rsidR="00481EBF" w:rsidRDefault="00481EBF" w:rsidP="00481EBF">
      <w:pPr>
        <w:pStyle w:val="NormalWeb"/>
        <w:rPr>
          <w:rFonts w:ascii="Segoe UI" w:hAnsi="Segoe UI" w:cs="Segoe UI"/>
          <w:color w:val="404040"/>
        </w:rPr>
      </w:pPr>
      <w:r>
        <w:rPr>
          <w:rFonts w:ascii="Segoe UI" w:hAnsi="Segoe UI" w:cs="Segoe UI"/>
          <w:color w:val="404040"/>
        </w:rPr>
        <w:t>UNCTAD (2023) </w:t>
      </w:r>
      <w:r>
        <w:rPr>
          <w:rStyle w:val="Emphasis"/>
          <w:rFonts w:ascii="Segoe UI" w:eastAsiaTheme="majorEastAsia" w:hAnsi="Segoe UI" w:cs="Segoe UI"/>
          <w:color w:val="404040"/>
        </w:rPr>
        <w:t>World Investment Report 2023</w:t>
      </w:r>
      <w:r>
        <w:rPr>
          <w:rFonts w:ascii="Segoe UI" w:hAnsi="Segoe UI" w:cs="Segoe UI"/>
          <w:color w:val="404040"/>
        </w:rPr>
        <w:t>. Geneva: United Nations.</w:t>
      </w:r>
    </w:p>
    <w:p w14:paraId="3D755AC9" w14:textId="77777777" w:rsidR="00481EBF" w:rsidRDefault="00481EBF" w:rsidP="00481EBF">
      <w:pPr>
        <w:pStyle w:val="NormalWeb"/>
        <w:rPr>
          <w:rFonts w:ascii="Segoe UI" w:hAnsi="Segoe UI" w:cs="Segoe UI"/>
          <w:color w:val="404040"/>
        </w:rPr>
      </w:pPr>
      <w:r>
        <w:rPr>
          <w:rFonts w:ascii="Segoe UI" w:hAnsi="Segoe UI" w:cs="Segoe UI"/>
          <w:color w:val="404040"/>
        </w:rPr>
        <w:t>UNCTAD (2024) </w:t>
      </w:r>
      <w:r>
        <w:rPr>
          <w:rStyle w:val="Emphasis"/>
          <w:rFonts w:ascii="Segoe UI" w:eastAsiaTheme="majorEastAsia" w:hAnsi="Segoe UI" w:cs="Segoe UI"/>
          <w:color w:val="404040"/>
        </w:rPr>
        <w:t>World Investment Report 2024</w:t>
      </w:r>
      <w:r>
        <w:rPr>
          <w:rFonts w:ascii="Segoe UI" w:hAnsi="Segoe UI" w:cs="Segoe UI"/>
          <w:color w:val="404040"/>
        </w:rPr>
        <w:t>. Geneva: United Nations.</w:t>
      </w:r>
    </w:p>
    <w:p w14:paraId="5A28AF5A" w14:textId="442FA83B" w:rsidR="00481EBF" w:rsidRDefault="00481EBF" w:rsidP="00481EBF">
      <w:pPr>
        <w:pStyle w:val="NormalWeb"/>
        <w:rPr>
          <w:rFonts w:ascii="Segoe UI" w:hAnsi="Segoe UI" w:cs="Segoe UI"/>
          <w:color w:val="404040"/>
        </w:rPr>
      </w:pPr>
      <w:r>
        <w:rPr>
          <w:rFonts w:ascii="Segoe UI" w:hAnsi="Segoe UI" w:cs="Segoe UI"/>
          <w:color w:val="404040"/>
        </w:rPr>
        <w:t>U.S. Department of State (2020) </w:t>
      </w:r>
      <w:r>
        <w:rPr>
          <w:rStyle w:val="Emphasis"/>
          <w:rFonts w:ascii="Segoe UI" w:eastAsiaTheme="majorEastAsia" w:hAnsi="Segoe UI" w:cs="Segoe UI"/>
          <w:color w:val="404040"/>
        </w:rPr>
        <w:t>Revocation of Hong Kong’s Special Trade Status</w:t>
      </w:r>
      <w:r>
        <w:rPr>
          <w:rFonts w:ascii="Segoe UI" w:hAnsi="Segoe UI" w:cs="Segoe UI"/>
          <w:color w:val="404040"/>
        </w:rPr>
        <w:t>. Available at: </w:t>
      </w:r>
      <w:hyperlink r:id="rId20" w:tgtFrame="_blank" w:history="1">
        <w:r>
          <w:rPr>
            <w:rStyle w:val="Hyperlink"/>
            <w:rFonts w:ascii="Segoe UI" w:eastAsiaTheme="majorEastAsia" w:hAnsi="Segoe UI" w:cs="Segoe UI"/>
          </w:rPr>
          <w:t>https://www.state.gov</w:t>
        </w:r>
      </w:hyperlink>
      <w:r>
        <w:rPr>
          <w:rFonts w:ascii="Segoe UI" w:hAnsi="Segoe UI" w:cs="Segoe UI"/>
          <w:color w:val="404040"/>
        </w:rPr>
        <w:t> (Accessed: 13 March 2025).</w:t>
      </w:r>
    </w:p>
    <w:p w14:paraId="65DC03D5" w14:textId="77777777" w:rsidR="00481EBF" w:rsidRDefault="00481EBF" w:rsidP="00481EBF">
      <w:pPr>
        <w:pStyle w:val="NormalWeb"/>
        <w:rPr>
          <w:rFonts w:ascii="Segoe UI" w:hAnsi="Segoe UI" w:cs="Segoe UI"/>
          <w:color w:val="404040"/>
        </w:rPr>
      </w:pPr>
      <w:r>
        <w:rPr>
          <w:rFonts w:ascii="Segoe UI" w:hAnsi="Segoe UI" w:cs="Segoe UI"/>
          <w:color w:val="404040"/>
        </w:rPr>
        <w:t>World Bank (2023) </w:t>
      </w:r>
      <w:r>
        <w:rPr>
          <w:rStyle w:val="Emphasis"/>
          <w:rFonts w:ascii="Segoe UI" w:eastAsiaTheme="majorEastAsia" w:hAnsi="Segoe UI" w:cs="Segoe UI"/>
          <w:color w:val="404040"/>
        </w:rPr>
        <w:t>Doing Business Report (Archived)</w:t>
      </w:r>
      <w:r>
        <w:rPr>
          <w:rFonts w:ascii="Segoe UI" w:hAnsi="Segoe UI" w:cs="Segoe UI"/>
          <w:color w:val="404040"/>
        </w:rPr>
        <w:t>. Washington, DC: World Bank.</w:t>
      </w:r>
    </w:p>
    <w:p w14:paraId="448BF10C" w14:textId="3D12E8AF" w:rsidR="00481EBF" w:rsidRDefault="00481EBF" w:rsidP="00481EBF">
      <w:pPr>
        <w:pStyle w:val="NormalWeb"/>
        <w:rPr>
          <w:rFonts w:ascii="Segoe UI" w:hAnsi="Segoe UI" w:cs="Segoe UI"/>
          <w:color w:val="404040"/>
        </w:rPr>
      </w:pPr>
      <w:r>
        <w:rPr>
          <w:rStyle w:val="Strong"/>
          <w:rFonts w:ascii="Segoe UI" w:eastAsiaTheme="majorEastAsia" w:hAnsi="Segoe UI" w:cs="Segoe UI"/>
          <w:color w:val="404040"/>
        </w:rPr>
        <w:t>News Articles and Media</w:t>
      </w:r>
      <w:r>
        <w:rPr>
          <w:rFonts w:ascii="Segoe UI" w:hAnsi="Segoe UI" w:cs="Segoe UI"/>
          <w:color w:val="404040"/>
        </w:rPr>
        <w:br/>
        <w:t>Cheung, E. (2020) ‘Hong Kong’s national security law: What you need to know’, </w:t>
      </w:r>
      <w:r>
        <w:rPr>
          <w:rStyle w:val="Emphasis"/>
          <w:rFonts w:ascii="Segoe UI" w:eastAsiaTheme="majorEastAsia" w:hAnsi="Segoe UI" w:cs="Segoe UI"/>
          <w:color w:val="404040"/>
        </w:rPr>
        <w:t>CNN</w:t>
      </w:r>
      <w:r>
        <w:rPr>
          <w:rFonts w:ascii="Segoe UI" w:hAnsi="Segoe UI" w:cs="Segoe UI"/>
          <w:color w:val="404040"/>
        </w:rPr>
        <w:t>, 1 July. Available at: </w:t>
      </w:r>
      <w:hyperlink r:id="rId21" w:tgtFrame="_blank" w:history="1">
        <w:r>
          <w:rPr>
            <w:rStyle w:val="Hyperlink"/>
            <w:rFonts w:ascii="Segoe UI" w:eastAsiaTheme="majorEastAsia" w:hAnsi="Segoe UI" w:cs="Segoe UI"/>
          </w:rPr>
          <w:t>https://www.cnn.com</w:t>
        </w:r>
      </w:hyperlink>
      <w:r>
        <w:rPr>
          <w:rFonts w:ascii="Segoe UI" w:hAnsi="Segoe UI" w:cs="Segoe UI"/>
          <w:color w:val="404040"/>
        </w:rPr>
        <w:t> (Accessed: 13 March 2025).</w:t>
      </w:r>
    </w:p>
    <w:p w14:paraId="47AB3E10" w14:textId="4782B4B2" w:rsidR="00481EBF" w:rsidRDefault="00481EBF" w:rsidP="00481EBF">
      <w:pPr>
        <w:pStyle w:val="NormalWeb"/>
        <w:rPr>
          <w:rFonts w:ascii="Segoe UI" w:hAnsi="Segoe UI" w:cs="Segoe UI"/>
          <w:color w:val="404040"/>
        </w:rPr>
      </w:pPr>
      <w:r>
        <w:rPr>
          <w:rFonts w:ascii="Segoe UI" w:hAnsi="Segoe UI" w:cs="Segoe UI"/>
          <w:color w:val="404040"/>
        </w:rPr>
        <w:t>Financial Times (2021) ‘Hong Kong’s Wealth Management Connect Scheme opens new doors for investors’, </w:t>
      </w:r>
      <w:r>
        <w:rPr>
          <w:rStyle w:val="Emphasis"/>
          <w:rFonts w:ascii="Segoe UI" w:eastAsiaTheme="majorEastAsia" w:hAnsi="Segoe UI" w:cs="Segoe UI"/>
          <w:color w:val="404040"/>
        </w:rPr>
        <w:t>Financial Times</w:t>
      </w:r>
      <w:r>
        <w:rPr>
          <w:rFonts w:ascii="Segoe UI" w:hAnsi="Segoe UI" w:cs="Segoe UI"/>
          <w:color w:val="404040"/>
        </w:rPr>
        <w:t>, 10 September. Available at: </w:t>
      </w:r>
      <w:hyperlink r:id="rId22" w:tgtFrame="_blank" w:history="1">
        <w:r>
          <w:rPr>
            <w:rStyle w:val="Hyperlink"/>
            <w:rFonts w:ascii="Segoe UI" w:eastAsiaTheme="majorEastAsia" w:hAnsi="Segoe UI" w:cs="Segoe UI"/>
          </w:rPr>
          <w:t>https://www.ft.com</w:t>
        </w:r>
      </w:hyperlink>
      <w:r>
        <w:rPr>
          <w:rFonts w:ascii="Segoe UI" w:hAnsi="Segoe UI" w:cs="Segoe UI"/>
          <w:color w:val="404040"/>
        </w:rPr>
        <w:t> (Accessed: 13 March 2025).</w:t>
      </w:r>
    </w:p>
    <w:p w14:paraId="0F78CA73" w14:textId="56ECB3A8" w:rsidR="00481EBF" w:rsidRDefault="00481EBF" w:rsidP="00481EBF">
      <w:pPr>
        <w:pStyle w:val="NormalWeb"/>
        <w:rPr>
          <w:rFonts w:ascii="Segoe UI" w:hAnsi="Segoe UI" w:cs="Segoe UI"/>
          <w:color w:val="404040"/>
        </w:rPr>
      </w:pPr>
      <w:r>
        <w:rPr>
          <w:rFonts w:ascii="Segoe UI" w:hAnsi="Segoe UI" w:cs="Segoe UI"/>
          <w:color w:val="404040"/>
        </w:rPr>
        <w:t>Financial Times (2021) ‘Foreign businesses relocate from Hong Kong amid geopolitical tensions’, </w:t>
      </w:r>
      <w:r>
        <w:rPr>
          <w:rStyle w:val="Emphasis"/>
          <w:rFonts w:ascii="Segoe UI" w:eastAsiaTheme="majorEastAsia" w:hAnsi="Segoe UI" w:cs="Segoe UI"/>
          <w:color w:val="404040"/>
        </w:rPr>
        <w:t>Financial Times</w:t>
      </w:r>
      <w:r>
        <w:rPr>
          <w:rFonts w:ascii="Segoe UI" w:hAnsi="Segoe UI" w:cs="Segoe UI"/>
          <w:color w:val="404040"/>
        </w:rPr>
        <w:t>, 15 June. Available at: </w:t>
      </w:r>
      <w:hyperlink r:id="rId23" w:tgtFrame="_blank" w:history="1">
        <w:r>
          <w:rPr>
            <w:rStyle w:val="Hyperlink"/>
            <w:rFonts w:ascii="Segoe UI" w:eastAsiaTheme="majorEastAsia" w:hAnsi="Segoe UI" w:cs="Segoe UI"/>
          </w:rPr>
          <w:t>https://www.ft.com</w:t>
        </w:r>
      </w:hyperlink>
      <w:r>
        <w:rPr>
          <w:rFonts w:ascii="Segoe UI" w:hAnsi="Segoe UI" w:cs="Segoe UI"/>
          <w:color w:val="404040"/>
        </w:rPr>
        <w:t> (Accessed: 13 March 2025).</w:t>
      </w:r>
    </w:p>
    <w:p w14:paraId="27FB6111" w14:textId="77777777" w:rsidR="00481EBF" w:rsidRDefault="00481EBF" w:rsidP="00481EBF">
      <w:pPr>
        <w:pStyle w:val="NormalWeb"/>
        <w:rPr>
          <w:rFonts w:ascii="Segoe UI" w:hAnsi="Segoe UI" w:cs="Segoe UI"/>
          <w:color w:val="404040"/>
        </w:rPr>
      </w:pPr>
      <w:r>
        <w:rPr>
          <w:rFonts w:ascii="Segoe UI" w:hAnsi="Segoe UI" w:cs="Segoe UI"/>
          <w:color w:val="404040"/>
        </w:rPr>
        <w:t>Financial Times (2023) ‘London’s fintech sandbox outperforms Asian rivals’, </w:t>
      </w:r>
      <w:r>
        <w:rPr>
          <w:rStyle w:val="Emphasis"/>
          <w:rFonts w:ascii="Segoe UI" w:eastAsiaTheme="majorEastAsia" w:hAnsi="Segoe UI" w:cs="Segoe UI"/>
          <w:color w:val="404040"/>
        </w:rPr>
        <w:t>Financial Times</w:t>
      </w:r>
      <w:r>
        <w:rPr>
          <w:rFonts w:ascii="Segoe UI" w:hAnsi="Segoe UI" w:cs="Segoe UI"/>
          <w:color w:val="404040"/>
        </w:rPr>
        <w:t>, 14 March.</w:t>
      </w:r>
    </w:p>
    <w:p w14:paraId="71C780FF" w14:textId="11EA5CAF" w:rsidR="00481EBF" w:rsidRDefault="00481EBF" w:rsidP="00481EBF">
      <w:pPr>
        <w:pStyle w:val="NormalWeb"/>
        <w:rPr>
          <w:rFonts w:ascii="Segoe UI" w:hAnsi="Segoe UI" w:cs="Segoe UI"/>
          <w:color w:val="404040"/>
        </w:rPr>
      </w:pPr>
      <w:r>
        <w:rPr>
          <w:rFonts w:ascii="Segoe UI" w:hAnsi="Segoe UI" w:cs="Segoe UI"/>
          <w:color w:val="404040"/>
        </w:rPr>
        <w:t>Hawkins, A. (2024) ‘Hong Kong is global trade hub for world’s most brutal regimes, report says’, </w:t>
      </w:r>
      <w:r>
        <w:rPr>
          <w:rStyle w:val="Emphasis"/>
          <w:rFonts w:ascii="Segoe UI" w:eastAsiaTheme="majorEastAsia" w:hAnsi="Segoe UI" w:cs="Segoe UI"/>
          <w:color w:val="404040"/>
        </w:rPr>
        <w:t>The Guardian</w:t>
      </w:r>
      <w:r>
        <w:rPr>
          <w:rFonts w:ascii="Segoe UI" w:hAnsi="Segoe UI" w:cs="Segoe UI"/>
          <w:color w:val="404040"/>
        </w:rPr>
        <w:t>, 22 July. Available at: </w:t>
      </w:r>
      <w:hyperlink r:id="rId24" w:tgtFrame="_blank" w:history="1">
        <w:r>
          <w:rPr>
            <w:rStyle w:val="Hyperlink"/>
            <w:rFonts w:ascii="Segoe UI" w:eastAsiaTheme="majorEastAsia" w:hAnsi="Segoe UI" w:cs="Segoe UI"/>
          </w:rPr>
          <w:t>https://www.theguardian.com</w:t>
        </w:r>
      </w:hyperlink>
      <w:r>
        <w:rPr>
          <w:rFonts w:ascii="Segoe UI" w:hAnsi="Segoe UI" w:cs="Segoe UI"/>
          <w:color w:val="404040"/>
        </w:rPr>
        <w:t> (Accessed: 13 March 2025).</w:t>
      </w:r>
    </w:p>
    <w:p w14:paraId="0DAC9CD8" w14:textId="0205BE18" w:rsidR="00481EBF" w:rsidRDefault="00481EBF" w:rsidP="00481EBF">
      <w:pPr>
        <w:pStyle w:val="NormalWeb"/>
        <w:rPr>
          <w:rFonts w:ascii="Segoe UI" w:hAnsi="Segoe UI" w:cs="Segoe UI"/>
          <w:color w:val="404040"/>
        </w:rPr>
      </w:pPr>
      <w:r>
        <w:rPr>
          <w:rFonts w:ascii="Segoe UI" w:hAnsi="Segoe UI" w:cs="Segoe UI"/>
          <w:color w:val="404040"/>
        </w:rPr>
        <w:t>Human Rights Watch (2020) </w:t>
      </w:r>
      <w:r>
        <w:rPr>
          <w:rStyle w:val="Emphasis"/>
          <w:rFonts w:ascii="Segoe UI" w:eastAsiaTheme="majorEastAsia" w:hAnsi="Segoe UI" w:cs="Segoe UI"/>
          <w:color w:val="404040"/>
        </w:rPr>
        <w:t>Hong Kong’s National Security Law: A Toolkit for Authoritarianism</w:t>
      </w:r>
      <w:r>
        <w:rPr>
          <w:rFonts w:ascii="Segoe UI" w:hAnsi="Segoe UI" w:cs="Segoe UI"/>
          <w:color w:val="404040"/>
        </w:rPr>
        <w:t>. Available at: </w:t>
      </w:r>
      <w:hyperlink r:id="rId25" w:tgtFrame="_blank" w:history="1">
        <w:r>
          <w:rPr>
            <w:rStyle w:val="Hyperlink"/>
            <w:rFonts w:ascii="Segoe UI" w:eastAsiaTheme="majorEastAsia" w:hAnsi="Segoe UI" w:cs="Segoe UI"/>
          </w:rPr>
          <w:t>https://www.hrw.org</w:t>
        </w:r>
      </w:hyperlink>
      <w:r>
        <w:rPr>
          <w:rFonts w:ascii="Segoe UI" w:hAnsi="Segoe UI" w:cs="Segoe UI"/>
          <w:color w:val="404040"/>
        </w:rPr>
        <w:t> (Accessed: 15 March 2025).</w:t>
      </w:r>
    </w:p>
    <w:p w14:paraId="3209B4A8" w14:textId="2004594B" w:rsidR="00481EBF" w:rsidRDefault="00481EBF" w:rsidP="00481EBF">
      <w:pPr>
        <w:pStyle w:val="NormalWeb"/>
        <w:rPr>
          <w:rFonts w:ascii="Segoe UI" w:hAnsi="Segoe UI" w:cs="Segoe UI"/>
          <w:color w:val="404040"/>
        </w:rPr>
      </w:pPr>
      <w:r>
        <w:rPr>
          <w:rFonts w:ascii="Segoe UI" w:hAnsi="Segoe UI" w:cs="Segoe UI"/>
          <w:color w:val="404040"/>
        </w:rPr>
        <w:t>Reuters (2021) ‘China’s Wealth Management Connect Scheme: Risks and rewards’, </w:t>
      </w:r>
      <w:r>
        <w:rPr>
          <w:rStyle w:val="Emphasis"/>
          <w:rFonts w:ascii="Segoe UI" w:eastAsiaTheme="majorEastAsia" w:hAnsi="Segoe UI" w:cs="Segoe UI"/>
          <w:color w:val="404040"/>
        </w:rPr>
        <w:t>Reuters</w:t>
      </w:r>
      <w:r>
        <w:rPr>
          <w:rFonts w:ascii="Segoe UI" w:hAnsi="Segoe UI" w:cs="Segoe UI"/>
          <w:color w:val="404040"/>
        </w:rPr>
        <w:t>, 5 October. Available at: </w:t>
      </w:r>
      <w:hyperlink r:id="rId26" w:tgtFrame="_blank" w:history="1">
        <w:r>
          <w:rPr>
            <w:rStyle w:val="Hyperlink"/>
            <w:rFonts w:ascii="Segoe UI" w:eastAsiaTheme="majorEastAsia" w:hAnsi="Segoe UI" w:cs="Segoe UI"/>
          </w:rPr>
          <w:t>https://www.reuters.com</w:t>
        </w:r>
      </w:hyperlink>
      <w:r>
        <w:rPr>
          <w:rFonts w:ascii="Segoe UI" w:hAnsi="Segoe UI" w:cs="Segoe UI"/>
          <w:color w:val="404040"/>
        </w:rPr>
        <w:t> (Accessed: 15 March 2025).</w:t>
      </w:r>
    </w:p>
    <w:p w14:paraId="39644E9F" w14:textId="77777777" w:rsidR="00481EBF" w:rsidRDefault="00481EBF" w:rsidP="00481EBF">
      <w:pPr>
        <w:pStyle w:val="NormalWeb"/>
        <w:rPr>
          <w:rFonts w:ascii="Segoe UI" w:hAnsi="Segoe UI" w:cs="Segoe UI"/>
          <w:color w:val="404040"/>
        </w:rPr>
      </w:pPr>
      <w:r>
        <w:rPr>
          <w:rFonts w:ascii="Segoe UI" w:hAnsi="Segoe UI" w:cs="Segoe UI"/>
          <w:color w:val="404040"/>
        </w:rPr>
        <w:t>South China Morning Post (SCMP) (2021) ‘Wealth Management Connect Scheme launched’, </w:t>
      </w:r>
      <w:r>
        <w:rPr>
          <w:rStyle w:val="Emphasis"/>
          <w:rFonts w:ascii="Segoe UI" w:eastAsiaTheme="majorEastAsia" w:hAnsi="Segoe UI" w:cs="Segoe UI"/>
          <w:color w:val="404040"/>
        </w:rPr>
        <w:t>SCMP</w:t>
      </w:r>
      <w:r>
        <w:rPr>
          <w:rFonts w:ascii="Segoe UI" w:hAnsi="Segoe UI" w:cs="Segoe UI"/>
          <w:color w:val="404040"/>
        </w:rPr>
        <w:t>, 10 September.</w:t>
      </w:r>
    </w:p>
    <w:p w14:paraId="63ED2954" w14:textId="3A42282F" w:rsidR="00481EBF" w:rsidRPr="00481EBF" w:rsidRDefault="00481EBF" w:rsidP="00481EBF">
      <w:pPr>
        <w:pStyle w:val="NormalWeb"/>
        <w:rPr>
          <w:rFonts w:ascii="Segoe UI" w:hAnsi="Segoe UI" w:cs="Segoe UI"/>
          <w:color w:val="404040"/>
        </w:rPr>
      </w:pPr>
      <w:r>
        <w:rPr>
          <w:rFonts w:ascii="Segoe UI" w:hAnsi="Segoe UI" w:cs="Segoe UI"/>
          <w:color w:val="404040"/>
        </w:rPr>
        <w:t>South China Morning Post (SCMP) (2023) </w:t>
      </w:r>
      <w:r>
        <w:rPr>
          <w:rStyle w:val="Emphasis"/>
          <w:rFonts w:ascii="Segoe UI" w:eastAsiaTheme="majorEastAsia" w:hAnsi="Segoe UI" w:cs="Segoe UI"/>
          <w:color w:val="404040"/>
        </w:rPr>
        <w:t>Business Section</w:t>
      </w:r>
      <w:r>
        <w:rPr>
          <w:rFonts w:ascii="Segoe UI" w:hAnsi="Segoe UI" w:cs="Segoe UI"/>
          <w:color w:val="404040"/>
        </w:rPr>
        <w:t>, 22 March.</w:t>
      </w:r>
    </w:p>
    <w:sectPr w:rsidR="00481EBF" w:rsidRPr="00481EBF" w:rsidSect="00967575">
      <w:footerReference w:type="default" r:id="rId27"/>
      <w:pgSz w:w="11906" w:h="16838"/>
      <w:pgMar w:top="1440" w:right="1133" w:bottom="1440"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B009B1" w14:textId="77777777" w:rsidR="00A83108" w:rsidRDefault="00A83108" w:rsidP="002C37FC">
      <w:pPr>
        <w:spacing w:after="0" w:line="240" w:lineRule="auto"/>
      </w:pPr>
      <w:r>
        <w:separator/>
      </w:r>
    </w:p>
  </w:endnote>
  <w:endnote w:type="continuationSeparator" w:id="0">
    <w:p w14:paraId="01B37356" w14:textId="77777777" w:rsidR="00A83108" w:rsidRDefault="00A83108" w:rsidP="002C37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6607812"/>
      <w:docPartObj>
        <w:docPartGallery w:val="Page Numbers (Bottom of Page)"/>
        <w:docPartUnique/>
      </w:docPartObj>
    </w:sdtPr>
    <w:sdtEndPr>
      <w:rPr>
        <w:noProof/>
      </w:rPr>
    </w:sdtEndPr>
    <w:sdtContent>
      <w:p w14:paraId="0833275F" w14:textId="5D36B75D" w:rsidR="00967575" w:rsidRDefault="009675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84C6A4" w14:textId="77777777" w:rsidR="00967575" w:rsidRDefault="009675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662C83" w14:textId="77777777" w:rsidR="00A83108" w:rsidRDefault="00A83108" w:rsidP="002C37FC">
      <w:pPr>
        <w:spacing w:after="0" w:line="240" w:lineRule="auto"/>
      </w:pPr>
      <w:r>
        <w:separator/>
      </w:r>
    </w:p>
  </w:footnote>
  <w:footnote w:type="continuationSeparator" w:id="0">
    <w:p w14:paraId="534218BA" w14:textId="77777777" w:rsidR="00A83108" w:rsidRDefault="00A83108" w:rsidP="002C37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D7511"/>
    <w:multiLevelType w:val="multilevel"/>
    <w:tmpl w:val="A48E7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676C5D"/>
    <w:multiLevelType w:val="multilevel"/>
    <w:tmpl w:val="D914902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2150B85"/>
    <w:multiLevelType w:val="multilevel"/>
    <w:tmpl w:val="5A108D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5201F9"/>
    <w:multiLevelType w:val="multilevel"/>
    <w:tmpl w:val="1C14B560"/>
    <w:lvl w:ilvl="0">
      <w:start w:val="1"/>
      <w:numFmt w:val="lowerLetter"/>
      <w:lvlText w:val="%1)"/>
      <w:lvlJc w:val="left"/>
      <w:pPr>
        <w:tabs>
          <w:tab w:val="num" w:pos="720"/>
        </w:tabs>
        <w:ind w:left="720" w:hanging="360"/>
      </w:pPr>
      <w:rPr>
        <w:rFonts w:asciiTheme="minorHAnsi" w:eastAsiaTheme="minorHAnsi" w:hAnsiTheme="minorHAnsi" w:cstheme="minorBidi"/>
        <w:sz w:val="20"/>
      </w:rPr>
    </w:lvl>
    <w:lvl w:ilvl="1">
      <w:start w:val="1"/>
      <w:numFmt w:val="bullet"/>
      <w:lvlText w:val=""/>
      <w:lvlJc w:val="left"/>
      <w:pPr>
        <w:ind w:left="1440" w:hanging="360"/>
      </w:pPr>
      <w:rPr>
        <w:rFonts w:ascii="Wingdings" w:hAnsi="Wingdings"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BB3DE8"/>
    <w:multiLevelType w:val="multilevel"/>
    <w:tmpl w:val="523648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9F5641"/>
    <w:multiLevelType w:val="multilevel"/>
    <w:tmpl w:val="76CE412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D4C5195"/>
    <w:multiLevelType w:val="multilevel"/>
    <w:tmpl w:val="FE34D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1E37D2"/>
    <w:multiLevelType w:val="multilevel"/>
    <w:tmpl w:val="67464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0F765757"/>
    <w:multiLevelType w:val="multilevel"/>
    <w:tmpl w:val="FE280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1A64652"/>
    <w:multiLevelType w:val="hybridMultilevel"/>
    <w:tmpl w:val="14C2A9A6"/>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0" w15:restartNumberingAfterBreak="0">
    <w:nsid w:val="199D4364"/>
    <w:multiLevelType w:val="multilevel"/>
    <w:tmpl w:val="155CB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D770EE5"/>
    <w:multiLevelType w:val="multilevel"/>
    <w:tmpl w:val="64E289FC"/>
    <w:lvl w:ilvl="0">
      <w:start w:val="3"/>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2" w15:restartNumberingAfterBreak="0">
    <w:nsid w:val="1EDB717E"/>
    <w:multiLevelType w:val="multilevel"/>
    <w:tmpl w:val="5858A8C0"/>
    <w:lvl w:ilvl="0">
      <w:start w:val="3"/>
      <w:numFmt w:val="decimal"/>
      <w:lvlText w:val="%1"/>
      <w:lvlJc w:val="left"/>
      <w:pPr>
        <w:ind w:left="420" w:hanging="420"/>
      </w:pPr>
      <w:rPr>
        <w:rFonts w:hint="default"/>
      </w:rPr>
    </w:lvl>
    <w:lvl w:ilvl="1">
      <w:start w:val="2"/>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720" w:hanging="2160"/>
      </w:pPr>
      <w:rPr>
        <w:rFonts w:hint="default"/>
      </w:rPr>
    </w:lvl>
    <w:lvl w:ilvl="8">
      <w:start w:val="1"/>
      <w:numFmt w:val="decimal"/>
      <w:lvlText w:val="%1.%2.%3.%4.%5.%6.%7.%8.%9"/>
      <w:lvlJc w:val="left"/>
      <w:pPr>
        <w:ind w:left="10800" w:hanging="2160"/>
      </w:pPr>
      <w:rPr>
        <w:rFonts w:hint="default"/>
      </w:rPr>
    </w:lvl>
  </w:abstractNum>
  <w:abstractNum w:abstractNumId="13" w15:restartNumberingAfterBreak="0">
    <w:nsid w:val="1FDA1B85"/>
    <w:multiLevelType w:val="multilevel"/>
    <w:tmpl w:val="D248A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01614D4"/>
    <w:multiLevelType w:val="multilevel"/>
    <w:tmpl w:val="8974A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06173C4"/>
    <w:multiLevelType w:val="multilevel"/>
    <w:tmpl w:val="0CBAA2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5BA7D3E"/>
    <w:multiLevelType w:val="multilevel"/>
    <w:tmpl w:val="CB48289E"/>
    <w:lvl w:ilvl="0">
      <w:start w:val="1"/>
      <w:numFmt w:val="lowerLetter"/>
      <w:lvlText w:val="%1)"/>
      <w:lvlJc w:val="left"/>
      <w:pPr>
        <w:tabs>
          <w:tab w:val="num" w:pos="720"/>
        </w:tabs>
        <w:ind w:left="720" w:hanging="360"/>
      </w:pPr>
      <w:rPr>
        <w:rFonts w:asciiTheme="minorHAnsi" w:eastAsiaTheme="minorHAnsi" w:hAnsiTheme="minorHAnsi" w:cstheme="minorBidi"/>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4D3EAB"/>
    <w:multiLevelType w:val="multilevel"/>
    <w:tmpl w:val="CB565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C7718EF"/>
    <w:multiLevelType w:val="multilevel"/>
    <w:tmpl w:val="89249C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28A0C23"/>
    <w:multiLevelType w:val="multilevel"/>
    <w:tmpl w:val="815E69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36148E9"/>
    <w:multiLevelType w:val="multilevel"/>
    <w:tmpl w:val="94A85552"/>
    <w:lvl w:ilvl="0">
      <w:start w:val="1"/>
      <w:numFmt w:val="decimal"/>
      <w:lvlText w:val="%1"/>
      <w:lvlJc w:val="left"/>
      <w:pPr>
        <w:ind w:left="360" w:hanging="360"/>
      </w:pPr>
      <w:rPr>
        <w:rFonts w:hint="default"/>
        <w:color w:val="0F4761" w:themeColor="accent1" w:themeShade="BF"/>
      </w:rPr>
    </w:lvl>
    <w:lvl w:ilvl="1">
      <w:start w:val="2"/>
      <w:numFmt w:val="decimal"/>
      <w:lvlText w:val="%1.%2"/>
      <w:lvlJc w:val="left"/>
      <w:pPr>
        <w:ind w:left="720" w:hanging="360"/>
      </w:pPr>
      <w:rPr>
        <w:rFonts w:hint="default"/>
        <w:color w:val="0F4761" w:themeColor="accent1" w:themeShade="BF"/>
      </w:rPr>
    </w:lvl>
    <w:lvl w:ilvl="2">
      <w:start w:val="1"/>
      <w:numFmt w:val="decimal"/>
      <w:lvlText w:val="%1.%2.%3"/>
      <w:lvlJc w:val="left"/>
      <w:pPr>
        <w:ind w:left="1440" w:hanging="720"/>
      </w:pPr>
      <w:rPr>
        <w:rFonts w:hint="default"/>
        <w:color w:val="0F4761" w:themeColor="accent1" w:themeShade="BF"/>
      </w:rPr>
    </w:lvl>
    <w:lvl w:ilvl="3">
      <w:start w:val="1"/>
      <w:numFmt w:val="decimal"/>
      <w:lvlText w:val="%1.%2.%3.%4"/>
      <w:lvlJc w:val="left"/>
      <w:pPr>
        <w:ind w:left="2160" w:hanging="1080"/>
      </w:pPr>
      <w:rPr>
        <w:rFonts w:hint="default"/>
        <w:color w:val="0F4761" w:themeColor="accent1" w:themeShade="BF"/>
      </w:rPr>
    </w:lvl>
    <w:lvl w:ilvl="4">
      <w:start w:val="1"/>
      <w:numFmt w:val="decimal"/>
      <w:lvlText w:val="%1.%2.%3.%4.%5"/>
      <w:lvlJc w:val="left"/>
      <w:pPr>
        <w:ind w:left="2520" w:hanging="1080"/>
      </w:pPr>
      <w:rPr>
        <w:rFonts w:hint="default"/>
        <w:color w:val="0F4761" w:themeColor="accent1" w:themeShade="BF"/>
      </w:rPr>
    </w:lvl>
    <w:lvl w:ilvl="5">
      <w:start w:val="1"/>
      <w:numFmt w:val="decimal"/>
      <w:lvlText w:val="%1.%2.%3.%4.%5.%6"/>
      <w:lvlJc w:val="left"/>
      <w:pPr>
        <w:ind w:left="3240" w:hanging="1440"/>
      </w:pPr>
      <w:rPr>
        <w:rFonts w:hint="default"/>
        <w:color w:val="0F4761" w:themeColor="accent1" w:themeShade="BF"/>
      </w:rPr>
    </w:lvl>
    <w:lvl w:ilvl="6">
      <w:start w:val="1"/>
      <w:numFmt w:val="decimal"/>
      <w:lvlText w:val="%1.%2.%3.%4.%5.%6.%7"/>
      <w:lvlJc w:val="left"/>
      <w:pPr>
        <w:ind w:left="3600" w:hanging="1440"/>
      </w:pPr>
      <w:rPr>
        <w:rFonts w:hint="default"/>
        <w:color w:val="0F4761" w:themeColor="accent1" w:themeShade="BF"/>
      </w:rPr>
    </w:lvl>
    <w:lvl w:ilvl="7">
      <w:start w:val="1"/>
      <w:numFmt w:val="decimal"/>
      <w:lvlText w:val="%1.%2.%3.%4.%5.%6.%7.%8"/>
      <w:lvlJc w:val="left"/>
      <w:pPr>
        <w:ind w:left="4320" w:hanging="1800"/>
      </w:pPr>
      <w:rPr>
        <w:rFonts w:hint="default"/>
        <w:color w:val="0F4761" w:themeColor="accent1" w:themeShade="BF"/>
      </w:rPr>
    </w:lvl>
    <w:lvl w:ilvl="8">
      <w:start w:val="1"/>
      <w:numFmt w:val="decimal"/>
      <w:lvlText w:val="%1.%2.%3.%4.%5.%6.%7.%8.%9"/>
      <w:lvlJc w:val="left"/>
      <w:pPr>
        <w:ind w:left="4680" w:hanging="1800"/>
      </w:pPr>
      <w:rPr>
        <w:rFonts w:hint="default"/>
        <w:color w:val="0F4761" w:themeColor="accent1" w:themeShade="BF"/>
      </w:rPr>
    </w:lvl>
  </w:abstractNum>
  <w:abstractNum w:abstractNumId="21" w15:restartNumberingAfterBreak="0">
    <w:nsid w:val="33AB563E"/>
    <w:multiLevelType w:val="multilevel"/>
    <w:tmpl w:val="C0B42F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6064D3E"/>
    <w:multiLevelType w:val="multilevel"/>
    <w:tmpl w:val="2EEA31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97A4374"/>
    <w:multiLevelType w:val="multilevel"/>
    <w:tmpl w:val="DCA410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B295F12"/>
    <w:multiLevelType w:val="multilevel"/>
    <w:tmpl w:val="FA264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3B945659"/>
    <w:multiLevelType w:val="multilevel"/>
    <w:tmpl w:val="D624A772"/>
    <w:lvl w:ilvl="0">
      <w:start w:val="1"/>
      <w:numFmt w:val="upperRoman"/>
      <w:lvlText w:val="%1."/>
      <w:lvlJc w:val="left"/>
      <w:pPr>
        <w:ind w:left="1080" w:hanging="72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6" w15:restartNumberingAfterBreak="0">
    <w:nsid w:val="3D1A3FB0"/>
    <w:multiLevelType w:val="multilevel"/>
    <w:tmpl w:val="8730CA68"/>
    <w:lvl w:ilvl="0">
      <w:start w:val="1"/>
      <w:numFmt w:val="lowerLetter"/>
      <w:lvlText w:val="%1)"/>
      <w:lvlJc w:val="left"/>
      <w:pPr>
        <w:tabs>
          <w:tab w:val="num" w:pos="720"/>
        </w:tabs>
        <w:ind w:left="720" w:hanging="360"/>
      </w:pPr>
      <w:rPr>
        <w:rFonts w:asciiTheme="minorHAnsi" w:eastAsiaTheme="minorHAnsi" w:hAnsiTheme="minorHAnsi" w:cstheme="minorBidi"/>
        <w:sz w:val="20"/>
      </w:rPr>
    </w:lvl>
    <w:lvl w:ilvl="1">
      <w:start w:val="1"/>
      <w:numFmt w:val="bullet"/>
      <w:lvlText w:val=""/>
      <w:lvlJc w:val="left"/>
      <w:pPr>
        <w:ind w:left="1440" w:hanging="360"/>
      </w:pPr>
      <w:rPr>
        <w:rFonts w:ascii="Wingdings" w:hAnsi="Wingdings"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1AE65B5"/>
    <w:multiLevelType w:val="multilevel"/>
    <w:tmpl w:val="34BEB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48B4FAF"/>
    <w:multiLevelType w:val="multilevel"/>
    <w:tmpl w:val="490E1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DBC71BF"/>
    <w:multiLevelType w:val="multilevel"/>
    <w:tmpl w:val="150CAF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E304922"/>
    <w:multiLevelType w:val="hybridMultilevel"/>
    <w:tmpl w:val="B85AF5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EA43635"/>
    <w:multiLevelType w:val="multilevel"/>
    <w:tmpl w:val="AA0286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F04228A"/>
    <w:multiLevelType w:val="multilevel"/>
    <w:tmpl w:val="99422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1D6540C"/>
    <w:multiLevelType w:val="multilevel"/>
    <w:tmpl w:val="0BA07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2BD6536"/>
    <w:multiLevelType w:val="multilevel"/>
    <w:tmpl w:val="F32C8D16"/>
    <w:lvl w:ilvl="0">
      <w:start w:val="1"/>
      <w:numFmt w:val="decimal"/>
      <w:pStyle w:val="Heading1"/>
      <w:lvlText w:val="%1."/>
      <w:lvlJc w:val="left"/>
      <w:pPr>
        <w:ind w:left="720" w:hanging="360"/>
      </w:pPr>
    </w:lvl>
    <w:lvl w:ilvl="1">
      <w:start w:val="2"/>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35" w15:restartNumberingAfterBreak="0">
    <w:nsid w:val="557B1CD8"/>
    <w:multiLevelType w:val="multilevel"/>
    <w:tmpl w:val="61E4D02A"/>
    <w:lvl w:ilvl="0">
      <w:start w:val="1"/>
      <w:numFmt w:val="decimal"/>
      <w:lvlText w:val="%1."/>
      <w:lvlJc w:val="left"/>
      <w:pPr>
        <w:ind w:left="720" w:hanging="360"/>
      </w:pPr>
      <w:rPr>
        <w:rFonts w:hint="default"/>
      </w:rPr>
    </w:lvl>
    <w:lvl w:ilvl="1">
      <w:start w:val="5"/>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6" w15:restartNumberingAfterBreak="0">
    <w:nsid w:val="588D5636"/>
    <w:multiLevelType w:val="multilevel"/>
    <w:tmpl w:val="1C986FFC"/>
    <w:lvl w:ilvl="0">
      <w:start w:val="1"/>
      <w:numFmt w:val="lowerLetter"/>
      <w:lvlText w:val="%1)"/>
      <w:lvlJc w:val="left"/>
      <w:pPr>
        <w:tabs>
          <w:tab w:val="num" w:pos="720"/>
        </w:tabs>
        <w:ind w:left="720" w:hanging="360"/>
      </w:pPr>
      <w:rPr>
        <w:rFonts w:ascii="Arial" w:eastAsiaTheme="minorHAnsi" w:hAnsi="Arial" w:cs="Arial" w:hint="default"/>
        <w:sz w:val="24"/>
        <w:szCs w:val="32"/>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A355A38"/>
    <w:multiLevelType w:val="multilevel"/>
    <w:tmpl w:val="CA1E73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B477923"/>
    <w:multiLevelType w:val="multilevel"/>
    <w:tmpl w:val="2EDE6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CD52623"/>
    <w:multiLevelType w:val="multilevel"/>
    <w:tmpl w:val="48462570"/>
    <w:lvl w:ilvl="0">
      <w:start w:val="1"/>
      <w:numFmt w:val="lowerLetter"/>
      <w:lvlText w:val="%1)"/>
      <w:lvlJc w:val="left"/>
      <w:pPr>
        <w:tabs>
          <w:tab w:val="num" w:pos="720"/>
        </w:tabs>
        <w:ind w:left="720" w:hanging="360"/>
      </w:pPr>
      <w:rPr>
        <w:rFonts w:asciiTheme="minorHAnsi" w:eastAsiaTheme="minorHAnsi" w:hAnsiTheme="minorHAnsi" w:cstheme="minorBidi"/>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F3E190C"/>
    <w:multiLevelType w:val="multilevel"/>
    <w:tmpl w:val="422E5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0961BDB"/>
    <w:multiLevelType w:val="multilevel"/>
    <w:tmpl w:val="990AA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638E19DF"/>
    <w:multiLevelType w:val="multilevel"/>
    <w:tmpl w:val="75862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3B2714B"/>
    <w:multiLevelType w:val="multilevel"/>
    <w:tmpl w:val="3D70852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66EA640D"/>
    <w:multiLevelType w:val="multilevel"/>
    <w:tmpl w:val="00FC1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72A0B08"/>
    <w:multiLevelType w:val="multilevel"/>
    <w:tmpl w:val="DD6AE2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67F85A09"/>
    <w:multiLevelType w:val="multilevel"/>
    <w:tmpl w:val="9F282E4A"/>
    <w:lvl w:ilvl="0">
      <w:start w:val="1"/>
      <w:numFmt w:val="decimal"/>
      <w:lvlText w:val="%1)"/>
      <w:lvlJc w:val="left"/>
      <w:pPr>
        <w:tabs>
          <w:tab w:val="num" w:pos="720"/>
        </w:tabs>
        <w:ind w:left="720" w:hanging="360"/>
      </w:pPr>
      <w:rPr>
        <w:rFonts w:ascii="Arial" w:eastAsiaTheme="majorEastAsia" w:hAnsi="Arial" w:cs="Aria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696D597C"/>
    <w:multiLevelType w:val="multilevel"/>
    <w:tmpl w:val="FC168698"/>
    <w:lvl w:ilvl="0">
      <w:start w:val="1"/>
      <w:numFmt w:val="lowerLetter"/>
      <w:lvlText w:val="%1)"/>
      <w:lvlJc w:val="left"/>
      <w:pPr>
        <w:tabs>
          <w:tab w:val="num" w:pos="720"/>
        </w:tabs>
        <w:ind w:left="720" w:hanging="360"/>
      </w:pPr>
      <w:rPr>
        <w:rFonts w:asciiTheme="minorHAnsi" w:eastAsiaTheme="minorHAnsi" w:hAnsiTheme="minorHAnsi" w:cstheme="minorBidi"/>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CE42988"/>
    <w:multiLevelType w:val="multilevel"/>
    <w:tmpl w:val="9DA8D484"/>
    <w:lvl w:ilvl="0">
      <w:start w:val="1"/>
      <w:numFmt w:val="lowerLetter"/>
      <w:lvlText w:val="%1)"/>
      <w:lvlJc w:val="left"/>
      <w:pPr>
        <w:tabs>
          <w:tab w:val="num" w:pos="720"/>
        </w:tabs>
        <w:ind w:left="720" w:hanging="360"/>
      </w:pPr>
      <w:rPr>
        <w:rFonts w:ascii="Arial" w:eastAsiaTheme="minorHAnsi" w:hAnsi="Arial" w:cs="Arial" w:hint="default"/>
        <w:sz w:val="24"/>
        <w:szCs w:val="24"/>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0594863"/>
    <w:multiLevelType w:val="multilevel"/>
    <w:tmpl w:val="78502312"/>
    <w:lvl w:ilvl="0">
      <w:start w:val="1"/>
      <w:numFmt w:val="lowerLetter"/>
      <w:lvlText w:val="%1)"/>
      <w:lvlJc w:val="left"/>
      <w:pPr>
        <w:tabs>
          <w:tab w:val="num" w:pos="720"/>
        </w:tabs>
        <w:ind w:left="720" w:hanging="360"/>
      </w:pPr>
      <w:rPr>
        <w:rFonts w:asciiTheme="minorHAnsi" w:eastAsiaTheme="minorHAnsi" w:hAnsiTheme="minorHAnsi" w:cstheme="minorBidi"/>
        <w:sz w:val="20"/>
      </w:rPr>
    </w:lvl>
    <w:lvl w:ilvl="1">
      <w:start w:val="1"/>
      <w:numFmt w:val="bullet"/>
      <w:lvlText w:val=""/>
      <w:lvlJc w:val="left"/>
      <w:pPr>
        <w:ind w:left="1440" w:hanging="360"/>
      </w:pPr>
      <w:rPr>
        <w:rFonts w:ascii="Wingdings" w:hAnsi="Wingdings"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0DB418C"/>
    <w:multiLevelType w:val="multilevel"/>
    <w:tmpl w:val="A6FA52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76043EF5"/>
    <w:multiLevelType w:val="multilevel"/>
    <w:tmpl w:val="12D25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CF87D16"/>
    <w:multiLevelType w:val="multilevel"/>
    <w:tmpl w:val="296A2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EA37EB1"/>
    <w:multiLevelType w:val="multilevel"/>
    <w:tmpl w:val="64AA69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63901811">
    <w:abstractNumId w:val="48"/>
  </w:num>
  <w:num w:numId="2" w16cid:durableId="1776241650">
    <w:abstractNumId w:val="36"/>
  </w:num>
  <w:num w:numId="3" w16cid:durableId="2076463243">
    <w:abstractNumId w:val="27"/>
  </w:num>
  <w:num w:numId="4" w16cid:durableId="2029599916">
    <w:abstractNumId w:val="16"/>
  </w:num>
  <w:num w:numId="5" w16cid:durableId="1069035812">
    <w:abstractNumId w:val="47"/>
  </w:num>
  <w:num w:numId="6" w16cid:durableId="1200362260">
    <w:abstractNumId w:val="39"/>
  </w:num>
  <w:num w:numId="7" w16cid:durableId="1982224084">
    <w:abstractNumId w:val="26"/>
  </w:num>
  <w:num w:numId="8" w16cid:durableId="851455236">
    <w:abstractNumId w:val="49"/>
  </w:num>
  <w:num w:numId="9" w16cid:durableId="1554148055">
    <w:abstractNumId w:val="3"/>
  </w:num>
  <w:num w:numId="10" w16cid:durableId="1936207052">
    <w:abstractNumId w:val="46"/>
  </w:num>
  <w:num w:numId="11" w16cid:durableId="924415375">
    <w:abstractNumId w:val="23"/>
  </w:num>
  <w:num w:numId="12" w16cid:durableId="1930238043">
    <w:abstractNumId w:val="33"/>
  </w:num>
  <w:num w:numId="13" w16cid:durableId="1614552976">
    <w:abstractNumId w:val="10"/>
  </w:num>
  <w:num w:numId="14" w16cid:durableId="388069673">
    <w:abstractNumId w:val="38"/>
  </w:num>
  <w:num w:numId="15" w16cid:durableId="2116945299">
    <w:abstractNumId w:val="2"/>
  </w:num>
  <w:num w:numId="16" w16cid:durableId="249658214">
    <w:abstractNumId w:val="5"/>
  </w:num>
  <w:num w:numId="17" w16cid:durableId="1038776699">
    <w:abstractNumId w:val="31"/>
  </w:num>
  <w:num w:numId="18" w16cid:durableId="243882139">
    <w:abstractNumId w:val="53"/>
  </w:num>
  <w:num w:numId="19" w16cid:durableId="1011183090">
    <w:abstractNumId w:val="0"/>
  </w:num>
  <w:num w:numId="20" w16cid:durableId="632321932">
    <w:abstractNumId w:val="18"/>
  </w:num>
  <w:num w:numId="21" w16cid:durableId="819536835">
    <w:abstractNumId w:val="6"/>
  </w:num>
  <w:num w:numId="22" w16cid:durableId="1247887424">
    <w:abstractNumId w:val="28"/>
  </w:num>
  <w:num w:numId="23" w16cid:durableId="829294649">
    <w:abstractNumId w:val="14"/>
  </w:num>
  <w:num w:numId="24" w16cid:durableId="271010352">
    <w:abstractNumId w:val="22"/>
  </w:num>
  <w:num w:numId="25" w16cid:durableId="665011071">
    <w:abstractNumId w:val="42"/>
  </w:num>
  <w:num w:numId="26" w16cid:durableId="794523766">
    <w:abstractNumId w:val="51"/>
  </w:num>
  <w:num w:numId="27" w16cid:durableId="2022508978">
    <w:abstractNumId w:val="37"/>
  </w:num>
  <w:num w:numId="28" w16cid:durableId="1392728778">
    <w:abstractNumId w:val="21"/>
  </w:num>
  <w:num w:numId="29" w16cid:durableId="1475561276">
    <w:abstractNumId w:val="19"/>
  </w:num>
  <w:num w:numId="30" w16cid:durableId="1046679449">
    <w:abstractNumId w:val="4"/>
  </w:num>
  <w:num w:numId="31" w16cid:durableId="1998915234">
    <w:abstractNumId w:val="44"/>
  </w:num>
  <w:num w:numId="32" w16cid:durableId="1667792">
    <w:abstractNumId w:val="25"/>
  </w:num>
  <w:num w:numId="33" w16cid:durableId="1835947115">
    <w:abstractNumId w:val="34"/>
  </w:num>
  <w:num w:numId="34" w16cid:durableId="2050952281">
    <w:abstractNumId w:val="30"/>
  </w:num>
  <w:num w:numId="35" w16cid:durableId="1337416445">
    <w:abstractNumId w:val="15"/>
  </w:num>
  <w:num w:numId="36" w16cid:durableId="1941571545">
    <w:abstractNumId w:val="50"/>
  </w:num>
  <w:num w:numId="37" w16cid:durableId="1582639290">
    <w:abstractNumId w:val="13"/>
  </w:num>
  <w:num w:numId="38" w16cid:durableId="1554846245">
    <w:abstractNumId w:val="20"/>
  </w:num>
  <w:num w:numId="39" w16cid:durableId="1304386435">
    <w:abstractNumId w:val="11"/>
  </w:num>
  <w:num w:numId="40" w16cid:durableId="1139691115">
    <w:abstractNumId w:val="32"/>
  </w:num>
  <w:num w:numId="41" w16cid:durableId="2028016583">
    <w:abstractNumId w:val="17"/>
  </w:num>
  <w:num w:numId="42" w16cid:durableId="1828787035">
    <w:abstractNumId w:val="52"/>
  </w:num>
  <w:num w:numId="43" w16cid:durableId="1839344204">
    <w:abstractNumId w:val="1"/>
  </w:num>
  <w:num w:numId="44" w16cid:durableId="1357196904">
    <w:abstractNumId w:val="45"/>
  </w:num>
  <w:num w:numId="45" w16cid:durableId="851725956">
    <w:abstractNumId w:val="8"/>
  </w:num>
  <w:num w:numId="46" w16cid:durableId="1044796925">
    <w:abstractNumId w:val="43"/>
  </w:num>
  <w:num w:numId="47" w16cid:durableId="105152151">
    <w:abstractNumId w:val="7"/>
  </w:num>
  <w:num w:numId="48" w16cid:durableId="751269985">
    <w:abstractNumId w:val="24"/>
  </w:num>
  <w:num w:numId="49" w16cid:durableId="1689595979">
    <w:abstractNumId w:val="41"/>
  </w:num>
  <w:num w:numId="50" w16cid:durableId="679963395">
    <w:abstractNumId w:val="12"/>
  </w:num>
  <w:num w:numId="51" w16cid:durableId="233517832">
    <w:abstractNumId w:val="35"/>
  </w:num>
  <w:num w:numId="52" w16cid:durableId="1316378314">
    <w:abstractNumId w:val="34"/>
  </w:num>
  <w:num w:numId="53" w16cid:durableId="1704014667">
    <w:abstractNumId w:val="34"/>
    <w:lvlOverride w:ilvl="0">
      <w:startOverride w:val="1"/>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4" w16cid:durableId="1570380776">
    <w:abstractNumId w:val="29"/>
  </w:num>
  <w:num w:numId="55" w16cid:durableId="482042510">
    <w:abstractNumId w:val="40"/>
  </w:num>
  <w:num w:numId="56" w16cid:durableId="166855258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55C"/>
    <w:rsid w:val="0001150C"/>
    <w:rsid w:val="00015D8A"/>
    <w:rsid w:val="00020BC4"/>
    <w:rsid w:val="00025B31"/>
    <w:rsid w:val="0004087F"/>
    <w:rsid w:val="00051F28"/>
    <w:rsid w:val="00060F5C"/>
    <w:rsid w:val="000E423B"/>
    <w:rsid w:val="000E56A8"/>
    <w:rsid w:val="000F15CE"/>
    <w:rsid w:val="000F53B9"/>
    <w:rsid w:val="001A14B5"/>
    <w:rsid w:val="0023295F"/>
    <w:rsid w:val="002A2193"/>
    <w:rsid w:val="002A78C8"/>
    <w:rsid w:val="002C37FC"/>
    <w:rsid w:val="002C4005"/>
    <w:rsid w:val="002F129C"/>
    <w:rsid w:val="002F1D93"/>
    <w:rsid w:val="00312E6F"/>
    <w:rsid w:val="00374192"/>
    <w:rsid w:val="003B5749"/>
    <w:rsid w:val="003E0165"/>
    <w:rsid w:val="003E7F42"/>
    <w:rsid w:val="00403A09"/>
    <w:rsid w:val="0044110A"/>
    <w:rsid w:val="0045334F"/>
    <w:rsid w:val="00481EBF"/>
    <w:rsid w:val="00487EBB"/>
    <w:rsid w:val="004C2578"/>
    <w:rsid w:val="004C2A6A"/>
    <w:rsid w:val="004C4095"/>
    <w:rsid w:val="004E167D"/>
    <w:rsid w:val="005002B8"/>
    <w:rsid w:val="00540BAC"/>
    <w:rsid w:val="00555237"/>
    <w:rsid w:val="0059488E"/>
    <w:rsid w:val="005A15DA"/>
    <w:rsid w:val="005D7855"/>
    <w:rsid w:val="005E3EB8"/>
    <w:rsid w:val="005F255C"/>
    <w:rsid w:val="005F4742"/>
    <w:rsid w:val="00606EE6"/>
    <w:rsid w:val="00630214"/>
    <w:rsid w:val="00696FE2"/>
    <w:rsid w:val="006A71B6"/>
    <w:rsid w:val="00792B34"/>
    <w:rsid w:val="007F5611"/>
    <w:rsid w:val="008046B9"/>
    <w:rsid w:val="00804A50"/>
    <w:rsid w:val="0081355D"/>
    <w:rsid w:val="00834579"/>
    <w:rsid w:val="00856A9A"/>
    <w:rsid w:val="00887D71"/>
    <w:rsid w:val="008A030C"/>
    <w:rsid w:val="008A2F09"/>
    <w:rsid w:val="00906E3E"/>
    <w:rsid w:val="00964270"/>
    <w:rsid w:val="00967575"/>
    <w:rsid w:val="00987617"/>
    <w:rsid w:val="00993F79"/>
    <w:rsid w:val="0099430F"/>
    <w:rsid w:val="009A0539"/>
    <w:rsid w:val="009D24CB"/>
    <w:rsid w:val="009D4F87"/>
    <w:rsid w:val="00A5442F"/>
    <w:rsid w:val="00A71971"/>
    <w:rsid w:val="00A83108"/>
    <w:rsid w:val="00AB0D1F"/>
    <w:rsid w:val="00AF4591"/>
    <w:rsid w:val="00B14A2E"/>
    <w:rsid w:val="00B2228F"/>
    <w:rsid w:val="00B94533"/>
    <w:rsid w:val="00C0622A"/>
    <w:rsid w:val="00C0764D"/>
    <w:rsid w:val="00C1334F"/>
    <w:rsid w:val="00C135B4"/>
    <w:rsid w:val="00C50910"/>
    <w:rsid w:val="00C8503E"/>
    <w:rsid w:val="00C86996"/>
    <w:rsid w:val="00C975CC"/>
    <w:rsid w:val="00CA3E6C"/>
    <w:rsid w:val="00CD1560"/>
    <w:rsid w:val="00CE319D"/>
    <w:rsid w:val="00CE41CC"/>
    <w:rsid w:val="00D2041B"/>
    <w:rsid w:val="00D21489"/>
    <w:rsid w:val="00D45054"/>
    <w:rsid w:val="00DA4FE5"/>
    <w:rsid w:val="00DD686F"/>
    <w:rsid w:val="00DD7018"/>
    <w:rsid w:val="00DF7ED7"/>
    <w:rsid w:val="00E23F56"/>
    <w:rsid w:val="00E309BF"/>
    <w:rsid w:val="00E916A0"/>
    <w:rsid w:val="00E94385"/>
    <w:rsid w:val="00EA40B3"/>
    <w:rsid w:val="00EB3E86"/>
    <w:rsid w:val="00F06626"/>
    <w:rsid w:val="00F811F8"/>
    <w:rsid w:val="00F94396"/>
    <w:rsid w:val="00FB2AA8"/>
    <w:rsid w:val="00FC40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3EA7C"/>
  <w15:chartTrackingRefBased/>
  <w15:docId w15:val="{72CEBD71-E3D1-4C16-B961-B9C232485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37FC"/>
  </w:style>
  <w:style w:type="paragraph" w:styleId="Heading1">
    <w:name w:val="heading 1"/>
    <w:basedOn w:val="Normal"/>
    <w:next w:val="Normal"/>
    <w:link w:val="Heading1Char"/>
    <w:autoRedefine/>
    <w:uiPriority w:val="9"/>
    <w:qFormat/>
    <w:rsid w:val="00481EBF"/>
    <w:pPr>
      <w:keepNext/>
      <w:keepLines/>
      <w:numPr>
        <w:numId w:val="33"/>
      </w:numPr>
      <w:spacing w:after="0" w:line="360" w:lineRule="auto"/>
      <w:ind w:left="0" w:firstLine="142"/>
      <w:jc w:val="both"/>
      <w:outlineLvl w:val="0"/>
    </w:pPr>
    <w:rPr>
      <w:rFonts w:ascii="Arial" w:eastAsiaTheme="majorEastAsia" w:hAnsi="Arial" w:cs="Arial"/>
      <w:b/>
      <w:sz w:val="28"/>
      <w:szCs w:val="24"/>
    </w:rPr>
  </w:style>
  <w:style w:type="paragraph" w:styleId="Heading2">
    <w:name w:val="heading 2"/>
    <w:basedOn w:val="Normal"/>
    <w:next w:val="Normal"/>
    <w:link w:val="Heading2Char"/>
    <w:uiPriority w:val="9"/>
    <w:unhideWhenUsed/>
    <w:qFormat/>
    <w:rsid w:val="005F25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F25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25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25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25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25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25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25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1EBF"/>
    <w:rPr>
      <w:rFonts w:ascii="Arial" w:eastAsiaTheme="majorEastAsia" w:hAnsi="Arial" w:cs="Arial"/>
      <w:b/>
      <w:sz w:val="28"/>
      <w:szCs w:val="24"/>
    </w:rPr>
  </w:style>
  <w:style w:type="character" w:customStyle="1" w:styleId="Heading2Char">
    <w:name w:val="Heading 2 Char"/>
    <w:basedOn w:val="DefaultParagraphFont"/>
    <w:link w:val="Heading2"/>
    <w:uiPriority w:val="9"/>
    <w:rsid w:val="005F25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F25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25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25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25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25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25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255C"/>
    <w:rPr>
      <w:rFonts w:eastAsiaTheme="majorEastAsia" w:cstheme="majorBidi"/>
      <w:color w:val="272727" w:themeColor="text1" w:themeTint="D8"/>
    </w:rPr>
  </w:style>
  <w:style w:type="paragraph" w:styleId="Title">
    <w:name w:val="Title"/>
    <w:basedOn w:val="Normal"/>
    <w:next w:val="Normal"/>
    <w:link w:val="TitleChar"/>
    <w:uiPriority w:val="10"/>
    <w:qFormat/>
    <w:rsid w:val="005F25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25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25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25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255C"/>
    <w:pPr>
      <w:spacing w:before="160"/>
      <w:jc w:val="center"/>
    </w:pPr>
    <w:rPr>
      <w:i/>
      <w:iCs/>
      <w:color w:val="404040" w:themeColor="text1" w:themeTint="BF"/>
    </w:rPr>
  </w:style>
  <w:style w:type="character" w:customStyle="1" w:styleId="QuoteChar">
    <w:name w:val="Quote Char"/>
    <w:basedOn w:val="DefaultParagraphFont"/>
    <w:link w:val="Quote"/>
    <w:uiPriority w:val="29"/>
    <w:rsid w:val="005F255C"/>
    <w:rPr>
      <w:i/>
      <w:iCs/>
      <w:color w:val="404040" w:themeColor="text1" w:themeTint="BF"/>
    </w:rPr>
  </w:style>
  <w:style w:type="paragraph" w:styleId="ListParagraph">
    <w:name w:val="List Paragraph"/>
    <w:basedOn w:val="Normal"/>
    <w:uiPriority w:val="34"/>
    <w:qFormat/>
    <w:rsid w:val="005F255C"/>
    <w:pPr>
      <w:ind w:left="720"/>
      <w:contextualSpacing/>
    </w:pPr>
  </w:style>
  <w:style w:type="character" w:styleId="IntenseEmphasis">
    <w:name w:val="Intense Emphasis"/>
    <w:basedOn w:val="DefaultParagraphFont"/>
    <w:uiPriority w:val="21"/>
    <w:qFormat/>
    <w:rsid w:val="005F255C"/>
    <w:rPr>
      <w:i/>
      <w:iCs/>
      <w:color w:val="0F4761" w:themeColor="accent1" w:themeShade="BF"/>
    </w:rPr>
  </w:style>
  <w:style w:type="paragraph" w:styleId="IntenseQuote">
    <w:name w:val="Intense Quote"/>
    <w:basedOn w:val="Normal"/>
    <w:next w:val="Normal"/>
    <w:link w:val="IntenseQuoteChar"/>
    <w:uiPriority w:val="30"/>
    <w:qFormat/>
    <w:rsid w:val="005F25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255C"/>
    <w:rPr>
      <w:i/>
      <w:iCs/>
      <w:color w:val="0F4761" w:themeColor="accent1" w:themeShade="BF"/>
    </w:rPr>
  </w:style>
  <w:style w:type="character" w:styleId="IntenseReference">
    <w:name w:val="Intense Reference"/>
    <w:basedOn w:val="DefaultParagraphFont"/>
    <w:uiPriority w:val="32"/>
    <w:qFormat/>
    <w:rsid w:val="005F255C"/>
    <w:rPr>
      <w:b/>
      <w:bCs/>
      <w:smallCaps/>
      <w:color w:val="0F4761" w:themeColor="accent1" w:themeShade="BF"/>
      <w:spacing w:val="5"/>
    </w:rPr>
  </w:style>
  <w:style w:type="paragraph" w:styleId="Header">
    <w:name w:val="header"/>
    <w:basedOn w:val="Normal"/>
    <w:link w:val="HeaderChar"/>
    <w:uiPriority w:val="99"/>
    <w:unhideWhenUsed/>
    <w:rsid w:val="002C37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37FC"/>
  </w:style>
  <w:style w:type="paragraph" w:styleId="Footer">
    <w:name w:val="footer"/>
    <w:basedOn w:val="Normal"/>
    <w:link w:val="FooterChar"/>
    <w:uiPriority w:val="99"/>
    <w:unhideWhenUsed/>
    <w:rsid w:val="002C37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37FC"/>
  </w:style>
  <w:style w:type="character" w:styleId="Hyperlink">
    <w:name w:val="Hyperlink"/>
    <w:basedOn w:val="DefaultParagraphFont"/>
    <w:uiPriority w:val="99"/>
    <w:unhideWhenUsed/>
    <w:rsid w:val="002C37FC"/>
    <w:rPr>
      <w:color w:val="467886" w:themeColor="hyperlink"/>
      <w:u w:val="single"/>
    </w:rPr>
  </w:style>
  <w:style w:type="paragraph" w:styleId="NormalWeb">
    <w:name w:val="Normal (Web)"/>
    <w:basedOn w:val="Normal"/>
    <w:uiPriority w:val="99"/>
    <w:unhideWhenUsed/>
    <w:rsid w:val="002C37F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2C37FC"/>
    <w:rPr>
      <w:i/>
      <w:iCs/>
    </w:rPr>
  </w:style>
  <w:style w:type="character" w:customStyle="1" w:styleId="tooltipstyle">
    <w:name w:val="tooltip_style"/>
    <w:basedOn w:val="DefaultParagraphFont"/>
    <w:rsid w:val="00540BAC"/>
  </w:style>
  <w:style w:type="table" w:styleId="TableGrid">
    <w:name w:val="Table Grid"/>
    <w:basedOn w:val="TableNormal"/>
    <w:uiPriority w:val="39"/>
    <w:rsid w:val="00C975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30214"/>
    <w:rPr>
      <w:b/>
      <w:bCs/>
    </w:rPr>
  </w:style>
  <w:style w:type="paragraph" w:customStyle="1" w:styleId="my-0">
    <w:name w:val="my-0"/>
    <w:basedOn w:val="Normal"/>
    <w:rsid w:val="00C135B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C0622A"/>
    <w:pPr>
      <w:numPr>
        <w:numId w:val="0"/>
      </w:numPr>
      <w:spacing w:before="240" w:line="259" w:lineRule="auto"/>
      <w:jc w:val="left"/>
      <w:outlineLvl w:val="9"/>
    </w:pPr>
    <w:rPr>
      <w:rFonts w:asciiTheme="majorHAnsi" w:hAnsiTheme="majorHAnsi" w:cstheme="majorBid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C0622A"/>
    <w:pPr>
      <w:spacing w:after="100"/>
    </w:pPr>
  </w:style>
  <w:style w:type="paragraph" w:styleId="TOC2">
    <w:name w:val="toc 2"/>
    <w:basedOn w:val="Normal"/>
    <w:next w:val="Normal"/>
    <w:autoRedefine/>
    <w:uiPriority w:val="39"/>
    <w:unhideWhenUsed/>
    <w:rsid w:val="00C0622A"/>
    <w:pPr>
      <w:spacing w:after="100"/>
      <w:ind w:left="220"/>
    </w:pPr>
  </w:style>
  <w:style w:type="paragraph" w:styleId="TOC3">
    <w:name w:val="toc 3"/>
    <w:basedOn w:val="Normal"/>
    <w:next w:val="Normal"/>
    <w:autoRedefine/>
    <w:uiPriority w:val="39"/>
    <w:unhideWhenUsed/>
    <w:rsid w:val="00C0622A"/>
    <w:pPr>
      <w:spacing w:after="100"/>
      <w:ind w:left="440"/>
    </w:pPr>
  </w:style>
  <w:style w:type="paragraph" w:styleId="NoSpacing">
    <w:name w:val="No Spacing"/>
    <w:link w:val="NoSpacingChar"/>
    <w:uiPriority w:val="1"/>
    <w:qFormat/>
    <w:rsid w:val="00C0622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0622A"/>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728428">
      <w:bodyDiv w:val="1"/>
      <w:marLeft w:val="0"/>
      <w:marRight w:val="0"/>
      <w:marTop w:val="0"/>
      <w:marBottom w:val="0"/>
      <w:divBdr>
        <w:top w:val="none" w:sz="0" w:space="0" w:color="auto"/>
        <w:left w:val="none" w:sz="0" w:space="0" w:color="auto"/>
        <w:bottom w:val="none" w:sz="0" w:space="0" w:color="auto"/>
        <w:right w:val="none" w:sz="0" w:space="0" w:color="auto"/>
      </w:divBdr>
    </w:div>
    <w:div w:id="164823906">
      <w:bodyDiv w:val="1"/>
      <w:marLeft w:val="0"/>
      <w:marRight w:val="0"/>
      <w:marTop w:val="0"/>
      <w:marBottom w:val="0"/>
      <w:divBdr>
        <w:top w:val="none" w:sz="0" w:space="0" w:color="auto"/>
        <w:left w:val="none" w:sz="0" w:space="0" w:color="auto"/>
        <w:bottom w:val="none" w:sz="0" w:space="0" w:color="auto"/>
        <w:right w:val="none" w:sz="0" w:space="0" w:color="auto"/>
      </w:divBdr>
    </w:div>
    <w:div w:id="273640404">
      <w:bodyDiv w:val="1"/>
      <w:marLeft w:val="0"/>
      <w:marRight w:val="0"/>
      <w:marTop w:val="0"/>
      <w:marBottom w:val="0"/>
      <w:divBdr>
        <w:top w:val="none" w:sz="0" w:space="0" w:color="auto"/>
        <w:left w:val="none" w:sz="0" w:space="0" w:color="auto"/>
        <w:bottom w:val="none" w:sz="0" w:space="0" w:color="auto"/>
        <w:right w:val="none" w:sz="0" w:space="0" w:color="auto"/>
      </w:divBdr>
    </w:div>
    <w:div w:id="273876192">
      <w:bodyDiv w:val="1"/>
      <w:marLeft w:val="0"/>
      <w:marRight w:val="0"/>
      <w:marTop w:val="0"/>
      <w:marBottom w:val="0"/>
      <w:divBdr>
        <w:top w:val="none" w:sz="0" w:space="0" w:color="auto"/>
        <w:left w:val="none" w:sz="0" w:space="0" w:color="auto"/>
        <w:bottom w:val="none" w:sz="0" w:space="0" w:color="auto"/>
        <w:right w:val="none" w:sz="0" w:space="0" w:color="auto"/>
      </w:divBdr>
    </w:div>
    <w:div w:id="283967959">
      <w:bodyDiv w:val="1"/>
      <w:marLeft w:val="0"/>
      <w:marRight w:val="0"/>
      <w:marTop w:val="0"/>
      <w:marBottom w:val="0"/>
      <w:divBdr>
        <w:top w:val="none" w:sz="0" w:space="0" w:color="auto"/>
        <w:left w:val="none" w:sz="0" w:space="0" w:color="auto"/>
        <w:bottom w:val="none" w:sz="0" w:space="0" w:color="auto"/>
        <w:right w:val="none" w:sz="0" w:space="0" w:color="auto"/>
      </w:divBdr>
    </w:div>
    <w:div w:id="355009660">
      <w:bodyDiv w:val="1"/>
      <w:marLeft w:val="0"/>
      <w:marRight w:val="0"/>
      <w:marTop w:val="0"/>
      <w:marBottom w:val="0"/>
      <w:divBdr>
        <w:top w:val="none" w:sz="0" w:space="0" w:color="auto"/>
        <w:left w:val="none" w:sz="0" w:space="0" w:color="auto"/>
        <w:bottom w:val="none" w:sz="0" w:space="0" w:color="auto"/>
        <w:right w:val="none" w:sz="0" w:space="0" w:color="auto"/>
      </w:divBdr>
    </w:div>
    <w:div w:id="395323590">
      <w:bodyDiv w:val="1"/>
      <w:marLeft w:val="0"/>
      <w:marRight w:val="0"/>
      <w:marTop w:val="0"/>
      <w:marBottom w:val="0"/>
      <w:divBdr>
        <w:top w:val="none" w:sz="0" w:space="0" w:color="auto"/>
        <w:left w:val="none" w:sz="0" w:space="0" w:color="auto"/>
        <w:bottom w:val="none" w:sz="0" w:space="0" w:color="auto"/>
        <w:right w:val="none" w:sz="0" w:space="0" w:color="auto"/>
      </w:divBdr>
    </w:div>
    <w:div w:id="403725350">
      <w:bodyDiv w:val="1"/>
      <w:marLeft w:val="0"/>
      <w:marRight w:val="0"/>
      <w:marTop w:val="0"/>
      <w:marBottom w:val="0"/>
      <w:divBdr>
        <w:top w:val="none" w:sz="0" w:space="0" w:color="auto"/>
        <w:left w:val="none" w:sz="0" w:space="0" w:color="auto"/>
        <w:bottom w:val="none" w:sz="0" w:space="0" w:color="auto"/>
        <w:right w:val="none" w:sz="0" w:space="0" w:color="auto"/>
      </w:divBdr>
    </w:div>
    <w:div w:id="429548149">
      <w:bodyDiv w:val="1"/>
      <w:marLeft w:val="0"/>
      <w:marRight w:val="0"/>
      <w:marTop w:val="0"/>
      <w:marBottom w:val="0"/>
      <w:divBdr>
        <w:top w:val="none" w:sz="0" w:space="0" w:color="auto"/>
        <w:left w:val="none" w:sz="0" w:space="0" w:color="auto"/>
        <w:bottom w:val="none" w:sz="0" w:space="0" w:color="auto"/>
        <w:right w:val="none" w:sz="0" w:space="0" w:color="auto"/>
      </w:divBdr>
    </w:div>
    <w:div w:id="484125320">
      <w:bodyDiv w:val="1"/>
      <w:marLeft w:val="0"/>
      <w:marRight w:val="0"/>
      <w:marTop w:val="0"/>
      <w:marBottom w:val="0"/>
      <w:divBdr>
        <w:top w:val="none" w:sz="0" w:space="0" w:color="auto"/>
        <w:left w:val="none" w:sz="0" w:space="0" w:color="auto"/>
        <w:bottom w:val="none" w:sz="0" w:space="0" w:color="auto"/>
        <w:right w:val="none" w:sz="0" w:space="0" w:color="auto"/>
      </w:divBdr>
    </w:div>
    <w:div w:id="506285347">
      <w:bodyDiv w:val="1"/>
      <w:marLeft w:val="0"/>
      <w:marRight w:val="0"/>
      <w:marTop w:val="0"/>
      <w:marBottom w:val="0"/>
      <w:divBdr>
        <w:top w:val="none" w:sz="0" w:space="0" w:color="auto"/>
        <w:left w:val="none" w:sz="0" w:space="0" w:color="auto"/>
        <w:bottom w:val="none" w:sz="0" w:space="0" w:color="auto"/>
        <w:right w:val="none" w:sz="0" w:space="0" w:color="auto"/>
      </w:divBdr>
    </w:div>
    <w:div w:id="515196359">
      <w:bodyDiv w:val="1"/>
      <w:marLeft w:val="0"/>
      <w:marRight w:val="0"/>
      <w:marTop w:val="0"/>
      <w:marBottom w:val="0"/>
      <w:divBdr>
        <w:top w:val="none" w:sz="0" w:space="0" w:color="auto"/>
        <w:left w:val="none" w:sz="0" w:space="0" w:color="auto"/>
        <w:bottom w:val="none" w:sz="0" w:space="0" w:color="auto"/>
        <w:right w:val="none" w:sz="0" w:space="0" w:color="auto"/>
      </w:divBdr>
    </w:div>
    <w:div w:id="544174206">
      <w:bodyDiv w:val="1"/>
      <w:marLeft w:val="0"/>
      <w:marRight w:val="0"/>
      <w:marTop w:val="0"/>
      <w:marBottom w:val="0"/>
      <w:divBdr>
        <w:top w:val="none" w:sz="0" w:space="0" w:color="auto"/>
        <w:left w:val="none" w:sz="0" w:space="0" w:color="auto"/>
        <w:bottom w:val="none" w:sz="0" w:space="0" w:color="auto"/>
        <w:right w:val="none" w:sz="0" w:space="0" w:color="auto"/>
      </w:divBdr>
    </w:div>
    <w:div w:id="564143874">
      <w:bodyDiv w:val="1"/>
      <w:marLeft w:val="0"/>
      <w:marRight w:val="0"/>
      <w:marTop w:val="0"/>
      <w:marBottom w:val="0"/>
      <w:divBdr>
        <w:top w:val="none" w:sz="0" w:space="0" w:color="auto"/>
        <w:left w:val="none" w:sz="0" w:space="0" w:color="auto"/>
        <w:bottom w:val="none" w:sz="0" w:space="0" w:color="auto"/>
        <w:right w:val="none" w:sz="0" w:space="0" w:color="auto"/>
      </w:divBdr>
    </w:div>
    <w:div w:id="565722817">
      <w:bodyDiv w:val="1"/>
      <w:marLeft w:val="0"/>
      <w:marRight w:val="0"/>
      <w:marTop w:val="0"/>
      <w:marBottom w:val="0"/>
      <w:divBdr>
        <w:top w:val="none" w:sz="0" w:space="0" w:color="auto"/>
        <w:left w:val="none" w:sz="0" w:space="0" w:color="auto"/>
        <w:bottom w:val="none" w:sz="0" w:space="0" w:color="auto"/>
        <w:right w:val="none" w:sz="0" w:space="0" w:color="auto"/>
      </w:divBdr>
    </w:div>
    <w:div w:id="577642026">
      <w:bodyDiv w:val="1"/>
      <w:marLeft w:val="0"/>
      <w:marRight w:val="0"/>
      <w:marTop w:val="0"/>
      <w:marBottom w:val="0"/>
      <w:divBdr>
        <w:top w:val="none" w:sz="0" w:space="0" w:color="auto"/>
        <w:left w:val="none" w:sz="0" w:space="0" w:color="auto"/>
        <w:bottom w:val="none" w:sz="0" w:space="0" w:color="auto"/>
        <w:right w:val="none" w:sz="0" w:space="0" w:color="auto"/>
      </w:divBdr>
    </w:div>
    <w:div w:id="589242352">
      <w:bodyDiv w:val="1"/>
      <w:marLeft w:val="0"/>
      <w:marRight w:val="0"/>
      <w:marTop w:val="0"/>
      <w:marBottom w:val="0"/>
      <w:divBdr>
        <w:top w:val="none" w:sz="0" w:space="0" w:color="auto"/>
        <w:left w:val="none" w:sz="0" w:space="0" w:color="auto"/>
        <w:bottom w:val="none" w:sz="0" w:space="0" w:color="auto"/>
        <w:right w:val="none" w:sz="0" w:space="0" w:color="auto"/>
      </w:divBdr>
    </w:div>
    <w:div w:id="590118350">
      <w:bodyDiv w:val="1"/>
      <w:marLeft w:val="0"/>
      <w:marRight w:val="0"/>
      <w:marTop w:val="0"/>
      <w:marBottom w:val="0"/>
      <w:divBdr>
        <w:top w:val="none" w:sz="0" w:space="0" w:color="auto"/>
        <w:left w:val="none" w:sz="0" w:space="0" w:color="auto"/>
        <w:bottom w:val="none" w:sz="0" w:space="0" w:color="auto"/>
        <w:right w:val="none" w:sz="0" w:space="0" w:color="auto"/>
      </w:divBdr>
    </w:div>
    <w:div w:id="649528183">
      <w:bodyDiv w:val="1"/>
      <w:marLeft w:val="0"/>
      <w:marRight w:val="0"/>
      <w:marTop w:val="0"/>
      <w:marBottom w:val="0"/>
      <w:divBdr>
        <w:top w:val="none" w:sz="0" w:space="0" w:color="auto"/>
        <w:left w:val="none" w:sz="0" w:space="0" w:color="auto"/>
        <w:bottom w:val="none" w:sz="0" w:space="0" w:color="auto"/>
        <w:right w:val="none" w:sz="0" w:space="0" w:color="auto"/>
      </w:divBdr>
    </w:div>
    <w:div w:id="686103663">
      <w:bodyDiv w:val="1"/>
      <w:marLeft w:val="0"/>
      <w:marRight w:val="0"/>
      <w:marTop w:val="0"/>
      <w:marBottom w:val="0"/>
      <w:divBdr>
        <w:top w:val="none" w:sz="0" w:space="0" w:color="auto"/>
        <w:left w:val="none" w:sz="0" w:space="0" w:color="auto"/>
        <w:bottom w:val="none" w:sz="0" w:space="0" w:color="auto"/>
        <w:right w:val="none" w:sz="0" w:space="0" w:color="auto"/>
      </w:divBdr>
    </w:div>
    <w:div w:id="732433629">
      <w:bodyDiv w:val="1"/>
      <w:marLeft w:val="0"/>
      <w:marRight w:val="0"/>
      <w:marTop w:val="0"/>
      <w:marBottom w:val="0"/>
      <w:divBdr>
        <w:top w:val="none" w:sz="0" w:space="0" w:color="auto"/>
        <w:left w:val="none" w:sz="0" w:space="0" w:color="auto"/>
        <w:bottom w:val="none" w:sz="0" w:space="0" w:color="auto"/>
        <w:right w:val="none" w:sz="0" w:space="0" w:color="auto"/>
      </w:divBdr>
    </w:div>
    <w:div w:id="746263402">
      <w:bodyDiv w:val="1"/>
      <w:marLeft w:val="0"/>
      <w:marRight w:val="0"/>
      <w:marTop w:val="0"/>
      <w:marBottom w:val="0"/>
      <w:divBdr>
        <w:top w:val="none" w:sz="0" w:space="0" w:color="auto"/>
        <w:left w:val="none" w:sz="0" w:space="0" w:color="auto"/>
        <w:bottom w:val="none" w:sz="0" w:space="0" w:color="auto"/>
        <w:right w:val="none" w:sz="0" w:space="0" w:color="auto"/>
      </w:divBdr>
    </w:div>
    <w:div w:id="750809045">
      <w:bodyDiv w:val="1"/>
      <w:marLeft w:val="0"/>
      <w:marRight w:val="0"/>
      <w:marTop w:val="0"/>
      <w:marBottom w:val="0"/>
      <w:divBdr>
        <w:top w:val="none" w:sz="0" w:space="0" w:color="auto"/>
        <w:left w:val="none" w:sz="0" w:space="0" w:color="auto"/>
        <w:bottom w:val="none" w:sz="0" w:space="0" w:color="auto"/>
        <w:right w:val="none" w:sz="0" w:space="0" w:color="auto"/>
      </w:divBdr>
    </w:div>
    <w:div w:id="781609335">
      <w:bodyDiv w:val="1"/>
      <w:marLeft w:val="0"/>
      <w:marRight w:val="0"/>
      <w:marTop w:val="0"/>
      <w:marBottom w:val="0"/>
      <w:divBdr>
        <w:top w:val="none" w:sz="0" w:space="0" w:color="auto"/>
        <w:left w:val="none" w:sz="0" w:space="0" w:color="auto"/>
        <w:bottom w:val="none" w:sz="0" w:space="0" w:color="auto"/>
        <w:right w:val="none" w:sz="0" w:space="0" w:color="auto"/>
      </w:divBdr>
    </w:div>
    <w:div w:id="810173866">
      <w:bodyDiv w:val="1"/>
      <w:marLeft w:val="0"/>
      <w:marRight w:val="0"/>
      <w:marTop w:val="0"/>
      <w:marBottom w:val="0"/>
      <w:divBdr>
        <w:top w:val="none" w:sz="0" w:space="0" w:color="auto"/>
        <w:left w:val="none" w:sz="0" w:space="0" w:color="auto"/>
        <w:bottom w:val="none" w:sz="0" w:space="0" w:color="auto"/>
        <w:right w:val="none" w:sz="0" w:space="0" w:color="auto"/>
      </w:divBdr>
    </w:div>
    <w:div w:id="818419123">
      <w:bodyDiv w:val="1"/>
      <w:marLeft w:val="0"/>
      <w:marRight w:val="0"/>
      <w:marTop w:val="0"/>
      <w:marBottom w:val="0"/>
      <w:divBdr>
        <w:top w:val="none" w:sz="0" w:space="0" w:color="auto"/>
        <w:left w:val="none" w:sz="0" w:space="0" w:color="auto"/>
        <w:bottom w:val="none" w:sz="0" w:space="0" w:color="auto"/>
        <w:right w:val="none" w:sz="0" w:space="0" w:color="auto"/>
      </w:divBdr>
    </w:div>
    <w:div w:id="898059542">
      <w:bodyDiv w:val="1"/>
      <w:marLeft w:val="0"/>
      <w:marRight w:val="0"/>
      <w:marTop w:val="0"/>
      <w:marBottom w:val="0"/>
      <w:divBdr>
        <w:top w:val="none" w:sz="0" w:space="0" w:color="auto"/>
        <w:left w:val="none" w:sz="0" w:space="0" w:color="auto"/>
        <w:bottom w:val="none" w:sz="0" w:space="0" w:color="auto"/>
        <w:right w:val="none" w:sz="0" w:space="0" w:color="auto"/>
      </w:divBdr>
    </w:div>
    <w:div w:id="946739598">
      <w:bodyDiv w:val="1"/>
      <w:marLeft w:val="0"/>
      <w:marRight w:val="0"/>
      <w:marTop w:val="0"/>
      <w:marBottom w:val="0"/>
      <w:divBdr>
        <w:top w:val="none" w:sz="0" w:space="0" w:color="auto"/>
        <w:left w:val="none" w:sz="0" w:space="0" w:color="auto"/>
        <w:bottom w:val="none" w:sz="0" w:space="0" w:color="auto"/>
        <w:right w:val="none" w:sz="0" w:space="0" w:color="auto"/>
      </w:divBdr>
    </w:div>
    <w:div w:id="970090954">
      <w:bodyDiv w:val="1"/>
      <w:marLeft w:val="0"/>
      <w:marRight w:val="0"/>
      <w:marTop w:val="0"/>
      <w:marBottom w:val="0"/>
      <w:divBdr>
        <w:top w:val="none" w:sz="0" w:space="0" w:color="auto"/>
        <w:left w:val="none" w:sz="0" w:space="0" w:color="auto"/>
        <w:bottom w:val="none" w:sz="0" w:space="0" w:color="auto"/>
        <w:right w:val="none" w:sz="0" w:space="0" w:color="auto"/>
      </w:divBdr>
    </w:div>
    <w:div w:id="991450145">
      <w:bodyDiv w:val="1"/>
      <w:marLeft w:val="0"/>
      <w:marRight w:val="0"/>
      <w:marTop w:val="0"/>
      <w:marBottom w:val="0"/>
      <w:divBdr>
        <w:top w:val="none" w:sz="0" w:space="0" w:color="auto"/>
        <w:left w:val="none" w:sz="0" w:space="0" w:color="auto"/>
        <w:bottom w:val="none" w:sz="0" w:space="0" w:color="auto"/>
        <w:right w:val="none" w:sz="0" w:space="0" w:color="auto"/>
      </w:divBdr>
    </w:div>
    <w:div w:id="998844323">
      <w:bodyDiv w:val="1"/>
      <w:marLeft w:val="0"/>
      <w:marRight w:val="0"/>
      <w:marTop w:val="0"/>
      <w:marBottom w:val="0"/>
      <w:divBdr>
        <w:top w:val="none" w:sz="0" w:space="0" w:color="auto"/>
        <w:left w:val="none" w:sz="0" w:space="0" w:color="auto"/>
        <w:bottom w:val="none" w:sz="0" w:space="0" w:color="auto"/>
        <w:right w:val="none" w:sz="0" w:space="0" w:color="auto"/>
      </w:divBdr>
    </w:div>
    <w:div w:id="1063066224">
      <w:bodyDiv w:val="1"/>
      <w:marLeft w:val="0"/>
      <w:marRight w:val="0"/>
      <w:marTop w:val="0"/>
      <w:marBottom w:val="0"/>
      <w:divBdr>
        <w:top w:val="none" w:sz="0" w:space="0" w:color="auto"/>
        <w:left w:val="none" w:sz="0" w:space="0" w:color="auto"/>
        <w:bottom w:val="none" w:sz="0" w:space="0" w:color="auto"/>
        <w:right w:val="none" w:sz="0" w:space="0" w:color="auto"/>
      </w:divBdr>
    </w:div>
    <w:div w:id="1064789821">
      <w:bodyDiv w:val="1"/>
      <w:marLeft w:val="0"/>
      <w:marRight w:val="0"/>
      <w:marTop w:val="0"/>
      <w:marBottom w:val="0"/>
      <w:divBdr>
        <w:top w:val="none" w:sz="0" w:space="0" w:color="auto"/>
        <w:left w:val="none" w:sz="0" w:space="0" w:color="auto"/>
        <w:bottom w:val="none" w:sz="0" w:space="0" w:color="auto"/>
        <w:right w:val="none" w:sz="0" w:space="0" w:color="auto"/>
      </w:divBdr>
    </w:div>
    <w:div w:id="1093429328">
      <w:bodyDiv w:val="1"/>
      <w:marLeft w:val="0"/>
      <w:marRight w:val="0"/>
      <w:marTop w:val="0"/>
      <w:marBottom w:val="0"/>
      <w:divBdr>
        <w:top w:val="none" w:sz="0" w:space="0" w:color="auto"/>
        <w:left w:val="none" w:sz="0" w:space="0" w:color="auto"/>
        <w:bottom w:val="none" w:sz="0" w:space="0" w:color="auto"/>
        <w:right w:val="none" w:sz="0" w:space="0" w:color="auto"/>
      </w:divBdr>
    </w:div>
    <w:div w:id="1133520186">
      <w:bodyDiv w:val="1"/>
      <w:marLeft w:val="0"/>
      <w:marRight w:val="0"/>
      <w:marTop w:val="0"/>
      <w:marBottom w:val="0"/>
      <w:divBdr>
        <w:top w:val="none" w:sz="0" w:space="0" w:color="auto"/>
        <w:left w:val="none" w:sz="0" w:space="0" w:color="auto"/>
        <w:bottom w:val="none" w:sz="0" w:space="0" w:color="auto"/>
        <w:right w:val="none" w:sz="0" w:space="0" w:color="auto"/>
      </w:divBdr>
    </w:div>
    <w:div w:id="1280523894">
      <w:bodyDiv w:val="1"/>
      <w:marLeft w:val="0"/>
      <w:marRight w:val="0"/>
      <w:marTop w:val="0"/>
      <w:marBottom w:val="0"/>
      <w:divBdr>
        <w:top w:val="none" w:sz="0" w:space="0" w:color="auto"/>
        <w:left w:val="none" w:sz="0" w:space="0" w:color="auto"/>
        <w:bottom w:val="none" w:sz="0" w:space="0" w:color="auto"/>
        <w:right w:val="none" w:sz="0" w:space="0" w:color="auto"/>
      </w:divBdr>
    </w:div>
    <w:div w:id="1328511863">
      <w:bodyDiv w:val="1"/>
      <w:marLeft w:val="0"/>
      <w:marRight w:val="0"/>
      <w:marTop w:val="0"/>
      <w:marBottom w:val="0"/>
      <w:divBdr>
        <w:top w:val="none" w:sz="0" w:space="0" w:color="auto"/>
        <w:left w:val="none" w:sz="0" w:space="0" w:color="auto"/>
        <w:bottom w:val="none" w:sz="0" w:space="0" w:color="auto"/>
        <w:right w:val="none" w:sz="0" w:space="0" w:color="auto"/>
      </w:divBdr>
    </w:div>
    <w:div w:id="1334841851">
      <w:bodyDiv w:val="1"/>
      <w:marLeft w:val="0"/>
      <w:marRight w:val="0"/>
      <w:marTop w:val="0"/>
      <w:marBottom w:val="0"/>
      <w:divBdr>
        <w:top w:val="none" w:sz="0" w:space="0" w:color="auto"/>
        <w:left w:val="none" w:sz="0" w:space="0" w:color="auto"/>
        <w:bottom w:val="none" w:sz="0" w:space="0" w:color="auto"/>
        <w:right w:val="none" w:sz="0" w:space="0" w:color="auto"/>
      </w:divBdr>
    </w:div>
    <w:div w:id="1387297580">
      <w:bodyDiv w:val="1"/>
      <w:marLeft w:val="0"/>
      <w:marRight w:val="0"/>
      <w:marTop w:val="0"/>
      <w:marBottom w:val="0"/>
      <w:divBdr>
        <w:top w:val="none" w:sz="0" w:space="0" w:color="auto"/>
        <w:left w:val="none" w:sz="0" w:space="0" w:color="auto"/>
        <w:bottom w:val="none" w:sz="0" w:space="0" w:color="auto"/>
        <w:right w:val="none" w:sz="0" w:space="0" w:color="auto"/>
      </w:divBdr>
    </w:div>
    <w:div w:id="1413089331">
      <w:bodyDiv w:val="1"/>
      <w:marLeft w:val="0"/>
      <w:marRight w:val="0"/>
      <w:marTop w:val="0"/>
      <w:marBottom w:val="0"/>
      <w:divBdr>
        <w:top w:val="none" w:sz="0" w:space="0" w:color="auto"/>
        <w:left w:val="none" w:sz="0" w:space="0" w:color="auto"/>
        <w:bottom w:val="none" w:sz="0" w:space="0" w:color="auto"/>
        <w:right w:val="none" w:sz="0" w:space="0" w:color="auto"/>
      </w:divBdr>
    </w:div>
    <w:div w:id="1451976261">
      <w:bodyDiv w:val="1"/>
      <w:marLeft w:val="0"/>
      <w:marRight w:val="0"/>
      <w:marTop w:val="0"/>
      <w:marBottom w:val="0"/>
      <w:divBdr>
        <w:top w:val="none" w:sz="0" w:space="0" w:color="auto"/>
        <w:left w:val="none" w:sz="0" w:space="0" w:color="auto"/>
        <w:bottom w:val="none" w:sz="0" w:space="0" w:color="auto"/>
        <w:right w:val="none" w:sz="0" w:space="0" w:color="auto"/>
      </w:divBdr>
    </w:div>
    <w:div w:id="1463112281">
      <w:bodyDiv w:val="1"/>
      <w:marLeft w:val="0"/>
      <w:marRight w:val="0"/>
      <w:marTop w:val="0"/>
      <w:marBottom w:val="0"/>
      <w:divBdr>
        <w:top w:val="none" w:sz="0" w:space="0" w:color="auto"/>
        <w:left w:val="none" w:sz="0" w:space="0" w:color="auto"/>
        <w:bottom w:val="none" w:sz="0" w:space="0" w:color="auto"/>
        <w:right w:val="none" w:sz="0" w:space="0" w:color="auto"/>
      </w:divBdr>
    </w:div>
    <w:div w:id="1464470466">
      <w:bodyDiv w:val="1"/>
      <w:marLeft w:val="0"/>
      <w:marRight w:val="0"/>
      <w:marTop w:val="0"/>
      <w:marBottom w:val="0"/>
      <w:divBdr>
        <w:top w:val="none" w:sz="0" w:space="0" w:color="auto"/>
        <w:left w:val="none" w:sz="0" w:space="0" w:color="auto"/>
        <w:bottom w:val="none" w:sz="0" w:space="0" w:color="auto"/>
        <w:right w:val="none" w:sz="0" w:space="0" w:color="auto"/>
      </w:divBdr>
    </w:div>
    <w:div w:id="1493448141">
      <w:bodyDiv w:val="1"/>
      <w:marLeft w:val="0"/>
      <w:marRight w:val="0"/>
      <w:marTop w:val="0"/>
      <w:marBottom w:val="0"/>
      <w:divBdr>
        <w:top w:val="none" w:sz="0" w:space="0" w:color="auto"/>
        <w:left w:val="none" w:sz="0" w:space="0" w:color="auto"/>
        <w:bottom w:val="none" w:sz="0" w:space="0" w:color="auto"/>
        <w:right w:val="none" w:sz="0" w:space="0" w:color="auto"/>
      </w:divBdr>
    </w:div>
    <w:div w:id="1547061545">
      <w:bodyDiv w:val="1"/>
      <w:marLeft w:val="0"/>
      <w:marRight w:val="0"/>
      <w:marTop w:val="0"/>
      <w:marBottom w:val="0"/>
      <w:divBdr>
        <w:top w:val="none" w:sz="0" w:space="0" w:color="auto"/>
        <w:left w:val="none" w:sz="0" w:space="0" w:color="auto"/>
        <w:bottom w:val="none" w:sz="0" w:space="0" w:color="auto"/>
        <w:right w:val="none" w:sz="0" w:space="0" w:color="auto"/>
      </w:divBdr>
    </w:div>
    <w:div w:id="1582329393">
      <w:bodyDiv w:val="1"/>
      <w:marLeft w:val="0"/>
      <w:marRight w:val="0"/>
      <w:marTop w:val="0"/>
      <w:marBottom w:val="0"/>
      <w:divBdr>
        <w:top w:val="none" w:sz="0" w:space="0" w:color="auto"/>
        <w:left w:val="none" w:sz="0" w:space="0" w:color="auto"/>
        <w:bottom w:val="none" w:sz="0" w:space="0" w:color="auto"/>
        <w:right w:val="none" w:sz="0" w:space="0" w:color="auto"/>
      </w:divBdr>
    </w:div>
    <w:div w:id="1597864421">
      <w:bodyDiv w:val="1"/>
      <w:marLeft w:val="0"/>
      <w:marRight w:val="0"/>
      <w:marTop w:val="0"/>
      <w:marBottom w:val="0"/>
      <w:divBdr>
        <w:top w:val="none" w:sz="0" w:space="0" w:color="auto"/>
        <w:left w:val="none" w:sz="0" w:space="0" w:color="auto"/>
        <w:bottom w:val="none" w:sz="0" w:space="0" w:color="auto"/>
        <w:right w:val="none" w:sz="0" w:space="0" w:color="auto"/>
      </w:divBdr>
    </w:div>
    <w:div w:id="1633711694">
      <w:bodyDiv w:val="1"/>
      <w:marLeft w:val="0"/>
      <w:marRight w:val="0"/>
      <w:marTop w:val="0"/>
      <w:marBottom w:val="0"/>
      <w:divBdr>
        <w:top w:val="none" w:sz="0" w:space="0" w:color="auto"/>
        <w:left w:val="none" w:sz="0" w:space="0" w:color="auto"/>
        <w:bottom w:val="none" w:sz="0" w:space="0" w:color="auto"/>
        <w:right w:val="none" w:sz="0" w:space="0" w:color="auto"/>
      </w:divBdr>
    </w:div>
    <w:div w:id="1648239626">
      <w:bodyDiv w:val="1"/>
      <w:marLeft w:val="0"/>
      <w:marRight w:val="0"/>
      <w:marTop w:val="0"/>
      <w:marBottom w:val="0"/>
      <w:divBdr>
        <w:top w:val="none" w:sz="0" w:space="0" w:color="auto"/>
        <w:left w:val="none" w:sz="0" w:space="0" w:color="auto"/>
        <w:bottom w:val="none" w:sz="0" w:space="0" w:color="auto"/>
        <w:right w:val="none" w:sz="0" w:space="0" w:color="auto"/>
      </w:divBdr>
    </w:div>
    <w:div w:id="1711955018">
      <w:bodyDiv w:val="1"/>
      <w:marLeft w:val="0"/>
      <w:marRight w:val="0"/>
      <w:marTop w:val="0"/>
      <w:marBottom w:val="0"/>
      <w:divBdr>
        <w:top w:val="none" w:sz="0" w:space="0" w:color="auto"/>
        <w:left w:val="none" w:sz="0" w:space="0" w:color="auto"/>
        <w:bottom w:val="none" w:sz="0" w:space="0" w:color="auto"/>
        <w:right w:val="none" w:sz="0" w:space="0" w:color="auto"/>
      </w:divBdr>
    </w:div>
    <w:div w:id="1713069064">
      <w:bodyDiv w:val="1"/>
      <w:marLeft w:val="0"/>
      <w:marRight w:val="0"/>
      <w:marTop w:val="0"/>
      <w:marBottom w:val="0"/>
      <w:divBdr>
        <w:top w:val="none" w:sz="0" w:space="0" w:color="auto"/>
        <w:left w:val="none" w:sz="0" w:space="0" w:color="auto"/>
        <w:bottom w:val="none" w:sz="0" w:space="0" w:color="auto"/>
        <w:right w:val="none" w:sz="0" w:space="0" w:color="auto"/>
      </w:divBdr>
    </w:div>
    <w:div w:id="1713190369">
      <w:bodyDiv w:val="1"/>
      <w:marLeft w:val="0"/>
      <w:marRight w:val="0"/>
      <w:marTop w:val="0"/>
      <w:marBottom w:val="0"/>
      <w:divBdr>
        <w:top w:val="none" w:sz="0" w:space="0" w:color="auto"/>
        <w:left w:val="none" w:sz="0" w:space="0" w:color="auto"/>
        <w:bottom w:val="none" w:sz="0" w:space="0" w:color="auto"/>
        <w:right w:val="none" w:sz="0" w:space="0" w:color="auto"/>
      </w:divBdr>
    </w:div>
    <w:div w:id="1775251687">
      <w:bodyDiv w:val="1"/>
      <w:marLeft w:val="0"/>
      <w:marRight w:val="0"/>
      <w:marTop w:val="0"/>
      <w:marBottom w:val="0"/>
      <w:divBdr>
        <w:top w:val="none" w:sz="0" w:space="0" w:color="auto"/>
        <w:left w:val="none" w:sz="0" w:space="0" w:color="auto"/>
        <w:bottom w:val="none" w:sz="0" w:space="0" w:color="auto"/>
        <w:right w:val="none" w:sz="0" w:space="0" w:color="auto"/>
      </w:divBdr>
    </w:div>
    <w:div w:id="1843007003">
      <w:bodyDiv w:val="1"/>
      <w:marLeft w:val="0"/>
      <w:marRight w:val="0"/>
      <w:marTop w:val="0"/>
      <w:marBottom w:val="0"/>
      <w:divBdr>
        <w:top w:val="none" w:sz="0" w:space="0" w:color="auto"/>
        <w:left w:val="none" w:sz="0" w:space="0" w:color="auto"/>
        <w:bottom w:val="none" w:sz="0" w:space="0" w:color="auto"/>
        <w:right w:val="none" w:sz="0" w:space="0" w:color="auto"/>
      </w:divBdr>
    </w:div>
    <w:div w:id="1855413738">
      <w:bodyDiv w:val="1"/>
      <w:marLeft w:val="0"/>
      <w:marRight w:val="0"/>
      <w:marTop w:val="0"/>
      <w:marBottom w:val="0"/>
      <w:divBdr>
        <w:top w:val="none" w:sz="0" w:space="0" w:color="auto"/>
        <w:left w:val="none" w:sz="0" w:space="0" w:color="auto"/>
        <w:bottom w:val="none" w:sz="0" w:space="0" w:color="auto"/>
        <w:right w:val="none" w:sz="0" w:space="0" w:color="auto"/>
      </w:divBdr>
    </w:div>
    <w:div w:id="1864509615">
      <w:bodyDiv w:val="1"/>
      <w:marLeft w:val="0"/>
      <w:marRight w:val="0"/>
      <w:marTop w:val="0"/>
      <w:marBottom w:val="0"/>
      <w:divBdr>
        <w:top w:val="none" w:sz="0" w:space="0" w:color="auto"/>
        <w:left w:val="none" w:sz="0" w:space="0" w:color="auto"/>
        <w:bottom w:val="none" w:sz="0" w:space="0" w:color="auto"/>
        <w:right w:val="none" w:sz="0" w:space="0" w:color="auto"/>
      </w:divBdr>
    </w:div>
    <w:div w:id="1872957435">
      <w:bodyDiv w:val="1"/>
      <w:marLeft w:val="0"/>
      <w:marRight w:val="0"/>
      <w:marTop w:val="0"/>
      <w:marBottom w:val="0"/>
      <w:divBdr>
        <w:top w:val="none" w:sz="0" w:space="0" w:color="auto"/>
        <w:left w:val="none" w:sz="0" w:space="0" w:color="auto"/>
        <w:bottom w:val="none" w:sz="0" w:space="0" w:color="auto"/>
        <w:right w:val="none" w:sz="0" w:space="0" w:color="auto"/>
      </w:divBdr>
    </w:div>
    <w:div w:id="1873109319">
      <w:bodyDiv w:val="1"/>
      <w:marLeft w:val="0"/>
      <w:marRight w:val="0"/>
      <w:marTop w:val="0"/>
      <w:marBottom w:val="0"/>
      <w:divBdr>
        <w:top w:val="none" w:sz="0" w:space="0" w:color="auto"/>
        <w:left w:val="none" w:sz="0" w:space="0" w:color="auto"/>
        <w:bottom w:val="none" w:sz="0" w:space="0" w:color="auto"/>
        <w:right w:val="none" w:sz="0" w:space="0" w:color="auto"/>
      </w:divBdr>
    </w:div>
    <w:div w:id="1879857322">
      <w:bodyDiv w:val="1"/>
      <w:marLeft w:val="0"/>
      <w:marRight w:val="0"/>
      <w:marTop w:val="0"/>
      <w:marBottom w:val="0"/>
      <w:divBdr>
        <w:top w:val="none" w:sz="0" w:space="0" w:color="auto"/>
        <w:left w:val="none" w:sz="0" w:space="0" w:color="auto"/>
        <w:bottom w:val="none" w:sz="0" w:space="0" w:color="auto"/>
        <w:right w:val="none" w:sz="0" w:space="0" w:color="auto"/>
      </w:divBdr>
    </w:div>
    <w:div w:id="1881211485">
      <w:bodyDiv w:val="1"/>
      <w:marLeft w:val="0"/>
      <w:marRight w:val="0"/>
      <w:marTop w:val="0"/>
      <w:marBottom w:val="0"/>
      <w:divBdr>
        <w:top w:val="none" w:sz="0" w:space="0" w:color="auto"/>
        <w:left w:val="none" w:sz="0" w:space="0" w:color="auto"/>
        <w:bottom w:val="none" w:sz="0" w:space="0" w:color="auto"/>
        <w:right w:val="none" w:sz="0" w:space="0" w:color="auto"/>
      </w:divBdr>
    </w:div>
    <w:div w:id="1882815419">
      <w:bodyDiv w:val="1"/>
      <w:marLeft w:val="0"/>
      <w:marRight w:val="0"/>
      <w:marTop w:val="0"/>
      <w:marBottom w:val="0"/>
      <w:divBdr>
        <w:top w:val="none" w:sz="0" w:space="0" w:color="auto"/>
        <w:left w:val="none" w:sz="0" w:space="0" w:color="auto"/>
        <w:bottom w:val="none" w:sz="0" w:space="0" w:color="auto"/>
        <w:right w:val="none" w:sz="0" w:space="0" w:color="auto"/>
      </w:divBdr>
    </w:div>
    <w:div w:id="1895267333">
      <w:bodyDiv w:val="1"/>
      <w:marLeft w:val="0"/>
      <w:marRight w:val="0"/>
      <w:marTop w:val="0"/>
      <w:marBottom w:val="0"/>
      <w:divBdr>
        <w:top w:val="none" w:sz="0" w:space="0" w:color="auto"/>
        <w:left w:val="none" w:sz="0" w:space="0" w:color="auto"/>
        <w:bottom w:val="none" w:sz="0" w:space="0" w:color="auto"/>
        <w:right w:val="none" w:sz="0" w:space="0" w:color="auto"/>
      </w:divBdr>
    </w:div>
    <w:div w:id="1954480757">
      <w:bodyDiv w:val="1"/>
      <w:marLeft w:val="0"/>
      <w:marRight w:val="0"/>
      <w:marTop w:val="0"/>
      <w:marBottom w:val="0"/>
      <w:divBdr>
        <w:top w:val="none" w:sz="0" w:space="0" w:color="auto"/>
        <w:left w:val="none" w:sz="0" w:space="0" w:color="auto"/>
        <w:bottom w:val="none" w:sz="0" w:space="0" w:color="auto"/>
        <w:right w:val="none" w:sz="0" w:space="0" w:color="auto"/>
      </w:divBdr>
    </w:div>
    <w:div w:id="1964145239">
      <w:bodyDiv w:val="1"/>
      <w:marLeft w:val="0"/>
      <w:marRight w:val="0"/>
      <w:marTop w:val="0"/>
      <w:marBottom w:val="0"/>
      <w:divBdr>
        <w:top w:val="none" w:sz="0" w:space="0" w:color="auto"/>
        <w:left w:val="none" w:sz="0" w:space="0" w:color="auto"/>
        <w:bottom w:val="none" w:sz="0" w:space="0" w:color="auto"/>
        <w:right w:val="none" w:sz="0" w:space="0" w:color="auto"/>
      </w:divBdr>
    </w:div>
    <w:div w:id="1977567986">
      <w:bodyDiv w:val="1"/>
      <w:marLeft w:val="0"/>
      <w:marRight w:val="0"/>
      <w:marTop w:val="0"/>
      <w:marBottom w:val="0"/>
      <w:divBdr>
        <w:top w:val="none" w:sz="0" w:space="0" w:color="auto"/>
        <w:left w:val="none" w:sz="0" w:space="0" w:color="auto"/>
        <w:bottom w:val="none" w:sz="0" w:space="0" w:color="auto"/>
        <w:right w:val="none" w:sz="0" w:space="0" w:color="auto"/>
      </w:divBdr>
    </w:div>
    <w:div w:id="1985502608">
      <w:bodyDiv w:val="1"/>
      <w:marLeft w:val="0"/>
      <w:marRight w:val="0"/>
      <w:marTop w:val="0"/>
      <w:marBottom w:val="0"/>
      <w:divBdr>
        <w:top w:val="none" w:sz="0" w:space="0" w:color="auto"/>
        <w:left w:val="none" w:sz="0" w:space="0" w:color="auto"/>
        <w:bottom w:val="none" w:sz="0" w:space="0" w:color="auto"/>
        <w:right w:val="none" w:sz="0" w:space="0" w:color="auto"/>
      </w:divBdr>
    </w:div>
    <w:div w:id="2031448548">
      <w:bodyDiv w:val="1"/>
      <w:marLeft w:val="0"/>
      <w:marRight w:val="0"/>
      <w:marTop w:val="0"/>
      <w:marBottom w:val="0"/>
      <w:divBdr>
        <w:top w:val="none" w:sz="0" w:space="0" w:color="auto"/>
        <w:left w:val="none" w:sz="0" w:space="0" w:color="auto"/>
        <w:bottom w:val="none" w:sz="0" w:space="0" w:color="auto"/>
        <w:right w:val="none" w:sz="0" w:space="0" w:color="auto"/>
      </w:divBdr>
    </w:div>
    <w:div w:id="2138597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hkma.gov.hk/" TargetMode="External"/><Relationship Id="rId26" Type="http://schemas.openxmlformats.org/officeDocument/2006/relationships/hyperlink" Target="https://www.reuters.com/" TargetMode="External"/><Relationship Id="rId3" Type="http://schemas.openxmlformats.org/officeDocument/2006/relationships/styles" Target="styles.xml"/><Relationship Id="rId21" Type="http://schemas.openxmlformats.org/officeDocument/2006/relationships/hyperlink" Target="https://www.cnn.co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hkex.com.hk/" TargetMode="External"/><Relationship Id="rId25" Type="http://schemas.openxmlformats.org/officeDocument/2006/relationships/hyperlink" Target="https://www.hrw.org/" TargetMode="External"/><Relationship Id="rId2" Type="http://schemas.openxmlformats.org/officeDocument/2006/relationships/numbering" Target="numbering.xml"/><Relationship Id="rId16" Type="http://schemas.openxmlformats.org/officeDocument/2006/relationships/hyperlink" Target="https://www.eastasiaforum.org/" TargetMode="External"/><Relationship Id="rId20" Type="http://schemas.openxmlformats.org/officeDocument/2006/relationships/hyperlink" Target="https://www.state.gov/"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heguardian.com/" TargetMode="External"/><Relationship Id="rId5" Type="http://schemas.openxmlformats.org/officeDocument/2006/relationships/webSettings" Target="webSettings.xml"/><Relationship Id="rId15" Type="http://schemas.openxmlformats.org/officeDocument/2006/relationships/hyperlink" Target="https://www.censtatd.gov.hk/" TargetMode="External"/><Relationship Id="rId23" Type="http://schemas.openxmlformats.org/officeDocument/2006/relationships/hyperlink" Target="https://www.ft.com/"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hktdc.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ongkongairport.com/" TargetMode="External"/><Relationship Id="rId22" Type="http://schemas.openxmlformats.org/officeDocument/2006/relationships/hyperlink" Target="https://www.ft.com/"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B32992-DF30-4941-98E0-71E6EB50A4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969</TotalTime>
  <Pages>31</Pages>
  <Words>8477</Words>
  <Characters>48323</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Turcanu</dc:creator>
  <cp:keywords/>
  <dc:description/>
  <cp:lastModifiedBy>Elena Turcanu</cp:lastModifiedBy>
  <cp:revision>32</cp:revision>
  <dcterms:created xsi:type="dcterms:W3CDTF">2025-03-08T10:30:00Z</dcterms:created>
  <dcterms:modified xsi:type="dcterms:W3CDTF">2025-04-03T05:01:00Z</dcterms:modified>
</cp:coreProperties>
</file>