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CEEB06" w14:textId="18A77872" w:rsidR="23B1BE8E"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rPr>
        <w:t>Multilingualism is defined as having the ability, at a minimum level of effective proficiency to understand, speak, read and write in two or more languages, despite the age at which the languages were learned (</w:t>
      </w:r>
      <w:proofErr w:type="spellStart"/>
      <w:r w:rsidRPr="1E70E42E">
        <w:rPr>
          <w:rFonts w:ascii="Arial" w:eastAsia="Arial" w:hAnsi="Arial" w:cs="Arial"/>
          <w:sz w:val="24"/>
          <w:szCs w:val="24"/>
        </w:rPr>
        <w:t>McLoed</w:t>
      </w:r>
      <w:proofErr w:type="spellEnd"/>
      <w:r w:rsidRPr="1E70E42E">
        <w:rPr>
          <w:rFonts w:ascii="Arial" w:eastAsia="Arial" w:hAnsi="Arial" w:cs="Arial"/>
          <w:sz w:val="24"/>
          <w:szCs w:val="24"/>
        </w:rPr>
        <w:t xml:space="preserve">, et al. 2016). Interestingly however, O’Malley (2018) expresses that the ability to develop language bilingually </w:t>
      </w:r>
      <w:r w:rsidRPr="1E70E42E">
        <w:rPr>
          <w:rFonts w:ascii="Arial" w:eastAsia="Arial" w:hAnsi="Arial" w:cs="Arial"/>
          <w:sz w:val="25"/>
          <w:szCs w:val="25"/>
        </w:rPr>
        <w:t>begins in the womb and additionally, Byers-Heinlein, et al (2010) state that infants who are exposed to two languages during gestation have already begun the process of bilingual language acquisition at birth.</w:t>
      </w:r>
    </w:p>
    <w:p w14:paraId="6468E82B" w14:textId="1A2E7FA7" w:rsidR="23B1BE8E"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lang w:val="en"/>
        </w:rPr>
        <w:t xml:space="preserve">At first, an infant may appear to use language for superficial social interaction, however, this language will at some stage go deeper to become the structure of the child’s thinking (Vygotsky, 1962 cited Issa and </w:t>
      </w:r>
      <w:proofErr w:type="spellStart"/>
      <w:r w:rsidRPr="1E70E42E">
        <w:rPr>
          <w:rFonts w:ascii="Arial" w:eastAsia="Arial" w:hAnsi="Arial" w:cs="Arial"/>
          <w:sz w:val="24"/>
          <w:szCs w:val="24"/>
          <w:lang w:val="en"/>
        </w:rPr>
        <w:t>Hatt</w:t>
      </w:r>
      <w:proofErr w:type="spellEnd"/>
      <w:r w:rsidRPr="1E70E42E">
        <w:rPr>
          <w:rFonts w:ascii="Arial" w:eastAsia="Arial" w:hAnsi="Arial" w:cs="Arial"/>
          <w:sz w:val="24"/>
          <w:szCs w:val="24"/>
          <w:lang w:val="en"/>
        </w:rPr>
        <w:t xml:space="preserve">, 2013). In relation to bilingual children, what Vygotsky is implying is that although a child may not appear to be competent in communicating in the language of the setting, this does not mean that they are not thinking and it will be highly likely that they are thinking in their mother tongue (Issa and </w:t>
      </w:r>
      <w:proofErr w:type="spellStart"/>
      <w:r w:rsidRPr="1E70E42E">
        <w:rPr>
          <w:rFonts w:ascii="Arial" w:eastAsia="Arial" w:hAnsi="Arial" w:cs="Arial"/>
          <w:sz w:val="24"/>
          <w:szCs w:val="24"/>
          <w:lang w:val="en"/>
        </w:rPr>
        <w:t>Hatt</w:t>
      </w:r>
      <w:proofErr w:type="spellEnd"/>
      <w:r w:rsidRPr="1E70E42E">
        <w:rPr>
          <w:rFonts w:ascii="Arial" w:eastAsia="Arial" w:hAnsi="Arial" w:cs="Arial"/>
          <w:sz w:val="24"/>
          <w:szCs w:val="24"/>
          <w:lang w:val="en"/>
        </w:rPr>
        <w:t>, 2013).</w:t>
      </w:r>
      <w:r w:rsidRPr="1E70E42E">
        <w:rPr>
          <w:rFonts w:ascii="Arial" w:eastAsia="Arial" w:hAnsi="Arial" w:cs="Arial"/>
          <w:sz w:val="24"/>
          <w:szCs w:val="24"/>
        </w:rPr>
        <w:t xml:space="preserve"> </w:t>
      </w:r>
    </w:p>
    <w:p w14:paraId="030EE7EF" w14:textId="7585C892" w:rsidR="23B1BE8E" w:rsidRDefault="0FC26AEE" w:rsidP="00AD3277">
      <w:pPr>
        <w:spacing w:line="360" w:lineRule="auto"/>
        <w:jc w:val="both"/>
        <w:rPr>
          <w:rFonts w:ascii="Arial" w:eastAsia="Arial" w:hAnsi="Arial" w:cs="Arial"/>
          <w:sz w:val="24"/>
          <w:szCs w:val="24"/>
        </w:rPr>
      </w:pPr>
      <w:proofErr w:type="spellStart"/>
      <w:r w:rsidRPr="0FC26AEE">
        <w:rPr>
          <w:rFonts w:ascii="Arial" w:eastAsia="Arial" w:hAnsi="Arial" w:cs="Arial"/>
          <w:sz w:val="24"/>
          <w:szCs w:val="24"/>
        </w:rPr>
        <w:t>Sorace</w:t>
      </w:r>
      <w:proofErr w:type="spellEnd"/>
      <w:r w:rsidRPr="0FC26AEE">
        <w:rPr>
          <w:rFonts w:ascii="Arial" w:eastAsia="Arial" w:hAnsi="Arial" w:cs="Arial"/>
          <w:sz w:val="24"/>
          <w:szCs w:val="24"/>
        </w:rPr>
        <w:t xml:space="preserve"> and Ladd (2004, cited Pugh and Duffy, 2014) point out that too often people believe that an infant’s brain is burdened by learning two or more languages simultaneously and that cognitive development is negatively affected. However, these beliefs are unjustified and contrary to this, researchers such as </w:t>
      </w:r>
      <w:proofErr w:type="spellStart"/>
      <w:r w:rsidRPr="0FC26AEE">
        <w:rPr>
          <w:rFonts w:ascii="Arial" w:eastAsia="Arial" w:hAnsi="Arial" w:cs="Arial"/>
          <w:sz w:val="24"/>
          <w:szCs w:val="24"/>
        </w:rPr>
        <w:t>Slobin</w:t>
      </w:r>
      <w:proofErr w:type="spellEnd"/>
      <w:r w:rsidRPr="0FC26AEE">
        <w:rPr>
          <w:rFonts w:ascii="Arial" w:eastAsia="Arial" w:hAnsi="Arial" w:cs="Arial"/>
          <w:sz w:val="24"/>
          <w:szCs w:val="24"/>
        </w:rPr>
        <w:t xml:space="preserve"> (1973, cited </w:t>
      </w:r>
      <w:proofErr w:type="spellStart"/>
      <w:r w:rsidRPr="0FC26AEE">
        <w:rPr>
          <w:rFonts w:ascii="Arial" w:eastAsia="Arial" w:hAnsi="Arial" w:cs="Arial"/>
          <w:sz w:val="24"/>
          <w:szCs w:val="24"/>
        </w:rPr>
        <w:t>Lightbown</w:t>
      </w:r>
      <w:proofErr w:type="spellEnd"/>
      <w:r w:rsidRPr="0FC26AEE">
        <w:rPr>
          <w:rFonts w:ascii="Arial" w:eastAsia="Arial" w:hAnsi="Arial" w:cs="Arial"/>
          <w:sz w:val="24"/>
          <w:szCs w:val="24"/>
        </w:rPr>
        <w:t xml:space="preserve"> and Spada, 2013) recognised the strong link between a child’s cognitive development and their acquisition of language. Furthermore, Premack and Woodruff (1978, cited </w:t>
      </w:r>
      <w:proofErr w:type="spellStart"/>
      <w:r w:rsidRPr="0FC26AEE">
        <w:rPr>
          <w:rFonts w:ascii="Arial" w:eastAsia="Arial" w:hAnsi="Arial" w:cs="Arial"/>
          <w:sz w:val="24"/>
          <w:szCs w:val="24"/>
        </w:rPr>
        <w:t>Farhadian</w:t>
      </w:r>
      <w:proofErr w:type="spellEnd"/>
      <w:r w:rsidRPr="0FC26AEE">
        <w:rPr>
          <w:rFonts w:ascii="Arial" w:eastAsia="Arial" w:hAnsi="Arial" w:cs="Arial"/>
          <w:sz w:val="24"/>
          <w:szCs w:val="24"/>
        </w:rPr>
        <w:t xml:space="preserve">, et al. 2010) suggest that cognitive development in children of preschool age is marked by significant advancement in social understanding, and these early years are where children tend to develop the ability to appreciate other individuals.  Moreover, </w:t>
      </w:r>
      <w:r w:rsidRPr="0FC26AEE">
        <w:rPr>
          <w:rFonts w:ascii="Arial" w:eastAsia="Arial" w:hAnsi="Arial" w:cs="Arial"/>
          <w:sz w:val="24"/>
          <w:szCs w:val="24"/>
          <w:lang w:val="en"/>
        </w:rPr>
        <w:t xml:space="preserve">Kamenetz (2016) explains that young bilingual children have to follow social cues to work out which language they need to use with which person and in what setting and consequently, bilingual children as young as age three have demonstrated a head start on the fundamental social and emotional skills such as, perspective-taking and </w:t>
      </w:r>
      <w:hyperlink r:id="rId7">
        <w:r w:rsidRPr="0FC26AEE">
          <w:rPr>
            <w:rStyle w:val="Hyperlink"/>
            <w:rFonts w:ascii="Arial" w:eastAsia="Arial" w:hAnsi="Arial" w:cs="Arial"/>
            <w:color w:val="auto"/>
            <w:sz w:val="24"/>
            <w:szCs w:val="24"/>
            <w:u w:val="none"/>
            <w:lang w:val="en"/>
          </w:rPr>
          <w:t>theory of mind</w:t>
        </w:r>
      </w:hyperlink>
      <w:r w:rsidRPr="0FC26AEE">
        <w:rPr>
          <w:rFonts w:ascii="Arial" w:eastAsia="Arial" w:hAnsi="Arial" w:cs="Arial"/>
          <w:sz w:val="24"/>
          <w:szCs w:val="24"/>
          <w:lang w:val="en"/>
        </w:rPr>
        <w:t>.</w:t>
      </w:r>
    </w:p>
    <w:p w14:paraId="6557E515" w14:textId="53F6B1B7" w:rsidR="0FC26AEE" w:rsidRDefault="270388B2" w:rsidP="00AD3277">
      <w:pPr>
        <w:spacing w:line="360" w:lineRule="auto"/>
        <w:jc w:val="both"/>
        <w:rPr>
          <w:rFonts w:ascii="Arial" w:eastAsia="Arial" w:hAnsi="Arial" w:cs="Arial"/>
          <w:sz w:val="24"/>
          <w:szCs w:val="24"/>
          <w:lang w:val="en"/>
        </w:rPr>
      </w:pPr>
      <w:r w:rsidRPr="270388B2">
        <w:rPr>
          <w:rFonts w:ascii="Arial" w:eastAsia="Arial" w:hAnsi="Arial" w:cs="Arial"/>
          <w:sz w:val="24"/>
          <w:szCs w:val="24"/>
          <w:lang w:val="en"/>
        </w:rPr>
        <w:t xml:space="preserve">Garcia (2009) conveys that back in the 1930’s, theorist Vygotsky noted that bilingual children could describe the world around them in more than one way and were therefore more flexible in their perceptions and interpretations. More recently, this ability is referred to as divergent or creative thinking (Garcia, 2009). Additionally, Baker (2017) suggests that bilinguals may have superior divergent thinking skills and those children may be more creative, imaginative, original, open ended and free in thinking. Furthermore, the metalinguistic awareness of bilingual children is often greater due to them having the ability to tackle the problems and possibilities of translating words, ideas and figure of speech (Baker, 2017). Donaldson (2015) </w:t>
      </w:r>
      <w:proofErr w:type="spellStart"/>
      <w:r w:rsidRPr="270388B2">
        <w:rPr>
          <w:rFonts w:ascii="Arial" w:eastAsia="Arial" w:hAnsi="Arial" w:cs="Arial"/>
          <w:sz w:val="24"/>
          <w:szCs w:val="24"/>
          <w:lang w:val="en"/>
        </w:rPr>
        <w:t>recognises</w:t>
      </w:r>
      <w:proofErr w:type="spellEnd"/>
      <w:r w:rsidRPr="270388B2">
        <w:rPr>
          <w:rFonts w:ascii="Arial" w:eastAsia="Arial" w:hAnsi="Arial" w:cs="Arial"/>
          <w:sz w:val="24"/>
          <w:szCs w:val="24"/>
          <w:lang w:val="en"/>
        </w:rPr>
        <w:t xml:space="preserve"> that there is an international demand for young people with enhanced levels of those critical thinking skills and therefore, the new proposed curriculum which looks to strengthen and promote bilingualism through the medium of Welsh, will </w:t>
      </w:r>
      <w:proofErr w:type="spellStart"/>
      <w:r w:rsidRPr="270388B2">
        <w:rPr>
          <w:rFonts w:ascii="Arial" w:eastAsia="Arial" w:hAnsi="Arial" w:cs="Arial"/>
          <w:sz w:val="24"/>
          <w:szCs w:val="24"/>
          <w:lang w:val="en"/>
        </w:rPr>
        <w:t>endeavour</w:t>
      </w:r>
      <w:proofErr w:type="spellEnd"/>
      <w:r w:rsidRPr="270388B2">
        <w:rPr>
          <w:rFonts w:ascii="Arial" w:eastAsia="Arial" w:hAnsi="Arial" w:cs="Arial"/>
          <w:sz w:val="24"/>
          <w:szCs w:val="24"/>
          <w:lang w:val="en"/>
        </w:rPr>
        <w:t xml:space="preserve"> to support the successful futures of children (Donaldson, 2015).</w:t>
      </w:r>
    </w:p>
    <w:p w14:paraId="3E276868" w14:textId="4DB95E8B" w:rsidR="23B1BE8E"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lang w:val="en"/>
        </w:rPr>
        <w:t>When considering the effects multilingualism has on one’s brain development, Vince (2018) states that the part of the brain known as the anterior cingulate cortex is a toolbox of mental attention skills and imaging tests have shown that bilinguals have more grey matter in this area. This is due to the ‘tools’ such as concentration, problem solving and focus, better mental flexibility and multitasking skills being used more, and just like a muscle, the more it is used, the stronger, bigger and more flexible it becomes (</w:t>
      </w:r>
      <w:proofErr w:type="spellStart"/>
      <w:r w:rsidRPr="1E70E42E">
        <w:rPr>
          <w:rFonts w:ascii="Arial" w:eastAsia="Arial" w:hAnsi="Arial" w:cs="Arial"/>
          <w:sz w:val="24"/>
          <w:szCs w:val="24"/>
          <w:lang w:val="en"/>
        </w:rPr>
        <w:t>Abutalebi</w:t>
      </w:r>
      <w:proofErr w:type="spellEnd"/>
      <w:r w:rsidRPr="1E70E42E">
        <w:rPr>
          <w:rFonts w:ascii="Arial" w:eastAsia="Arial" w:hAnsi="Arial" w:cs="Arial"/>
          <w:sz w:val="24"/>
          <w:szCs w:val="24"/>
          <w:lang w:val="en"/>
        </w:rPr>
        <w:t>, no date cited Vince 2018). Later on, as a result, Bialystok, (no date, cited Vince, 2018) believes that bilingualism can delay or protect against the effects of dementia. This is because bilingualism boosts one’s cognitive reserve and bilinguals can compensate for any damage the brain may succumb to due to the additional grey matter and alternative neural pathways they may have, compared to monolinguals.</w:t>
      </w:r>
    </w:p>
    <w:p w14:paraId="291777A9" w14:textId="1DEBF06A" w:rsidR="00431AB6" w:rsidRDefault="1E70E42E" w:rsidP="00AD3277">
      <w:pPr>
        <w:spacing w:line="360" w:lineRule="auto"/>
        <w:jc w:val="both"/>
        <w:rPr>
          <w:rFonts w:ascii="Arial" w:eastAsia="Arial" w:hAnsi="Arial" w:cs="Arial"/>
          <w:sz w:val="24"/>
          <w:szCs w:val="24"/>
          <w:lang w:val="en"/>
        </w:rPr>
      </w:pPr>
      <w:r w:rsidRPr="1E70E42E">
        <w:rPr>
          <w:rFonts w:ascii="Arial" w:eastAsia="Arial" w:hAnsi="Arial" w:cs="Arial"/>
          <w:sz w:val="24"/>
          <w:szCs w:val="24"/>
          <w:lang w:val="en"/>
        </w:rPr>
        <w:t xml:space="preserve">Baker (2006, cited in </w:t>
      </w:r>
      <w:proofErr w:type="spellStart"/>
      <w:r w:rsidRPr="1E70E42E">
        <w:rPr>
          <w:rFonts w:ascii="Arial" w:eastAsia="Arial" w:hAnsi="Arial" w:cs="Arial"/>
          <w:sz w:val="24"/>
          <w:szCs w:val="24"/>
          <w:lang w:val="en"/>
        </w:rPr>
        <w:t>Crolla</w:t>
      </w:r>
      <w:proofErr w:type="spellEnd"/>
      <w:r w:rsidRPr="1E70E42E">
        <w:rPr>
          <w:rFonts w:ascii="Arial" w:eastAsia="Arial" w:hAnsi="Arial" w:cs="Arial"/>
          <w:sz w:val="24"/>
          <w:szCs w:val="24"/>
          <w:lang w:val="en"/>
        </w:rPr>
        <w:t xml:space="preserve"> and </w:t>
      </w:r>
      <w:proofErr w:type="spellStart"/>
      <w:r w:rsidRPr="1E70E42E">
        <w:rPr>
          <w:rFonts w:ascii="Arial" w:eastAsia="Arial" w:hAnsi="Arial" w:cs="Arial"/>
          <w:sz w:val="24"/>
          <w:szCs w:val="24"/>
          <w:lang w:val="en"/>
        </w:rPr>
        <w:t>Treffers-Daller</w:t>
      </w:r>
      <w:proofErr w:type="spellEnd"/>
      <w:r w:rsidRPr="1E70E42E">
        <w:rPr>
          <w:rFonts w:ascii="Arial" w:eastAsia="Arial" w:hAnsi="Arial" w:cs="Arial"/>
          <w:sz w:val="24"/>
          <w:szCs w:val="24"/>
          <w:lang w:val="en"/>
        </w:rPr>
        <w:t xml:space="preserve">, 2017) suggests that bilingual learners may use both their mother tongue and a new language in a sentence or conversation. This is known as code-switching and may be the most ‘personally efficient manner’ of communication for them.  Nevertheless, many practitioners and policy-makers oppose the use of code-switching (Baker (2006, cited in </w:t>
      </w:r>
      <w:proofErr w:type="spellStart"/>
      <w:r w:rsidRPr="1E70E42E">
        <w:rPr>
          <w:rFonts w:ascii="Arial" w:eastAsia="Arial" w:hAnsi="Arial" w:cs="Arial"/>
          <w:sz w:val="24"/>
          <w:szCs w:val="24"/>
          <w:lang w:val="en"/>
        </w:rPr>
        <w:t>Crolla</w:t>
      </w:r>
      <w:proofErr w:type="spellEnd"/>
      <w:r w:rsidRPr="1E70E42E">
        <w:rPr>
          <w:rFonts w:ascii="Arial" w:eastAsia="Arial" w:hAnsi="Arial" w:cs="Arial"/>
          <w:sz w:val="24"/>
          <w:szCs w:val="24"/>
          <w:lang w:val="en"/>
        </w:rPr>
        <w:t xml:space="preserve"> and </w:t>
      </w:r>
      <w:proofErr w:type="spellStart"/>
      <w:r w:rsidRPr="1E70E42E">
        <w:rPr>
          <w:rFonts w:ascii="Arial" w:eastAsia="Arial" w:hAnsi="Arial" w:cs="Arial"/>
          <w:sz w:val="24"/>
          <w:szCs w:val="24"/>
          <w:lang w:val="en"/>
        </w:rPr>
        <w:t>Treffers-Daller</w:t>
      </w:r>
      <w:proofErr w:type="spellEnd"/>
      <w:r w:rsidRPr="1E70E42E">
        <w:rPr>
          <w:rFonts w:ascii="Arial" w:eastAsia="Arial" w:hAnsi="Arial" w:cs="Arial"/>
          <w:sz w:val="24"/>
          <w:szCs w:val="24"/>
          <w:lang w:val="en"/>
        </w:rPr>
        <w:t>, 2017) and view it as a barrier to learning the new language (Rodrigo, 2016). However, Baker (2007, cited in Rodrigo, 2016) argues that users of code-switching demonstrate impressive cognitive, linguistic, and social skills.</w:t>
      </w:r>
      <w:r w:rsidRPr="1E70E42E">
        <w:rPr>
          <w:rFonts w:ascii="Arial" w:eastAsia="Arial" w:hAnsi="Arial" w:cs="Arial"/>
          <w:sz w:val="24"/>
          <w:szCs w:val="24"/>
        </w:rPr>
        <w:t xml:space="preserve"> </w:t>
      </w:r>
    </w:p>
    <w:p w14:paraId="6F1FFCD2" w14:textId="41F64080" w:rsidR="00431AB6" w:rsidRDefault="0FC26AEE" w:rsidP="00AD3277">
      <w:pPr>
        <w:spacing w:line="360" w:lineRule="auto"/>
        <w:jc w:val="both"/>
        <w:rPr>
          <w:rFonts w:ascii="Arial" w:eastAsia="Arial" w:hAnsi="Arial" w:cs="Arial"/>
          <w:sz w:val="24"/>
          <w:szCs w:val="24"/>
          <w:lang w:val="en"/>
        </w:rPr>
      </w:pPr>
      <w:r w:rsidRPr="0FC26AEE">
        <w:rPr>
          <w:rFonts w:ascii="Arial" w:eastAsia="Arial" w:hAnsi="Arial" w:cs="Arial"/>
          <w:sz w:val="24"/>
          <w:szCs w:val="24"/>
          <w:lang w:val="en"/>
        </w:rPr>
        <w:t xml:space="preserve">The immersion program however, which occurs internationally and demonstrates remarkable success and growth (Baker and Wright, 2017), means that children are surrounded entirely by the second or target language, and through play, stories, songs, rhymes and being involved in various fun activities, children will acquire the new language almost without </w:t>
      </w:r>
      <w:proofErr w:type="spellStart"/>
      <w:r w:rsidRPr="0FC26AEE">
        <w:rPr>
          <w:rFonts w:ascii="Arial" w:eastAsia="Arial" w:hAnsi="Arial" w:cs="Arial"/>
          <w:sz w:val="24"/>
          <w:szCs w:val="24"/>
          <w:lang w:val="en"/>
        </w:rPr>
        <w:t>realising</w:t>
      </w:r>
      <w:proofErr w:type="spellEnd"/>
      <w:r w:rsidRPr="0FC26AEE">
        <w:rPr>
          <w:rFonts w:ascii="Arial" w:eastAsia="Arial" w:hAnsi="Arial" w:cs="Arial"/>
          <w:sz w:val="24"/>
          <w:szCs w:val="24"/>
          <w:lang w:val="en"/>
        </w:rPr>
        <w:t xml:space="preserve"> they are doing so (</w:t>
      </w:r>
      <w:proofErr w:type="spellStart"/>
      <w:r w:rsidRPr="0FC26AEE">
        <w:rPr>
          <w:rFonts w:ascii="Arial" w:eastAsia="Arial" w:hAnsi="Arial" w:cs="Arial"/>
          <w:sz w:val="24"/>
          <w:szCs w:val="24"/>
          <w:lang w:val="en"/>
        </w:rPr>
        <w:t>Mudiad</w:t>
      </w:r>
      <w:proofErr w:type="spellEnd"/>
      <w:r w:rsidRPr="0FC26AEE">
        <w:rPr>
          <w:rFonts w:ascii="Arial" w:eastAsia="Arial" w:hAnsi="Arial" w:cs="Arial"/>
          <w:sz w:val="24"/>
          <w:szCs w:val="24"/>
          <w:lang w:val="en"/>
        </w:rPr>
        <w:t xml:space="preserve"> </w:t>
      </w:r>
      <w:proofErr w:type="spellStart"/>
      <w:r w:rsidRPr="0FC26AEE">
        <w:rPr>
          <w:rFonts w:ascii="Arial" w:eastAsia="Arial" w:hAnsi="Arial" w:cs="Arial"/>
          <w:sz w:val="24"/>
          <w:szCs w:val="24"/>
          <w:lang w:val="en"/>
        </w:rPr>
        <w:t>Meithrin</w:t>
      </w:r>
      <w:proofErr w:type="spellEnd"/>
      <w:r w:rsidRPr="0FC26AEE">
        <w:rPr>
          <w:rFonts w:ascii="Arial" w:eastAsia="Arial" w:hAnsi="Arial" w:cs="Arial"/>
          <w:sz w:val="24"/>
          <w:szCs w:val="24"/>
          <w:lang w:val="en"/>
        </w:rPr>
        <w:t xml:space="preserve">, no date). Furthermore, it is from the repetition of key words and phrases during those activities that create conditions for a productive use of language (Dodman, 2016). The activity demonstrates such methods and the Welsh Government (2008) states that when children hear and practice simple phrases, language patterns and short structured sessions and; practitioners use positive reinforcement, praise and supportive gestures, as suggested by Skinner (1957, cited Maynard and Powell, 2014), children will become confident in the acquisition of a second language (Welsh Government, 2008). </w:t>
      </w:r>
      <w:r w:rsidR="5F241986" w:rsidRPr="5F241986">
        <w:rPr>
          <w:rFonts w:ascii="Arial" w:eastAsia="Arial" w:hAnsi="Arial" w:cs="Arial"/>
          <w:sz w:val="24"/>
          <w:szCs w:val="24"/>
          <w:lang w:val="en"/>
        </w:rPr>
        <w:t xml:space="preserve">Additionally, the Foundation Phase curriculum promotes this and believes that play/active learning will support, motivate and stimulate children to develop their language acquisition, communication and concentration skills effectively (Welsh Government, 2015). </w:t>
      </w:r>
    </w:p>
    <w:p w14:paraId="78E638C4" w14:textId="3437C144" w:rsidR="00431AB6" w:rsidRDefault="1E70E42E" w:rsidP="00AD3277">
      <w:pPr>
        <w:spacing w:line="360" w:lineRule="auto"/>
        <w:jc w:val="both"/>
      </w:pPr>
      <w:r w:rsidRPr="1E70E42E">
        <w:rPr>
          <w:rFonts w:ascii="Arial" w:eastAsia="Arial" w:hAnsi="Arial" w:cs="Arial"/>
          <w:sz w:val="24"/>
          <w:szCs w:val="24"/>
        </w:rPr>
        <w:t>Children who are exposed to and learn two or more languages from infancy are referred to as ‘simultaneous bilinguals’ whereas ‘sequential bilinguals’ are those who are initially monolingual and learn a further language later (</w:t>
      </w:r>
      <w:proofErr w:type="spellStart"/>
      <w:r w:rsidRPr="1E70E42E">
        <w:rPr>
          <w:rFonts w:ascii="Arial" w:eastAsia="Arial" w:hAnsi="Arial" w:cs="Arial"/>
          <w:sz w:val="24"/>
          <w:szCs w:val="24"/>
        </w:rPr>
        <w:t>Lightbown</w:t>
      </w:r>
      <w:proofErr w:type="spellEnd"/>
      <w:r w:rsidRPr="1E70E42E">
        <w:rPr>
          <w:rFonts w:ascii="Arial" w:eastAsia="Arial" w:hAnsi="Arial" w:cs="Arial"/>
          <w:sz w:val="24"/>
          <w:szCs w:val="24"/>
        </w:rPr>
        <w:t xml:space="preserve"> and Spada, 2013). For the latter, </w:t>
      </w:r>
      <w:proofErr w:type="spellStart"/>
      <w:r w:rsidRPr="1E70E42E">
        <w:rPr>
          <w:rFonts w:ascii="Arial" w:eastAsia="Arial" w:hAnsi="Arial" w:cs="Arial"/>
          <w:sz w:val="24"/>
          <w:szCs w:val="24"/>
        </w:rPr>
        <w:t>Devarakonda</w:t>
      </w:r>
      <w:proofErr w:type="spellEnd"/>
      <w:r w:rsidRPr="1E70E42E">
        <w:rPr>
          <w:rFonts w:ascii="Arial" w:eastAsia="Arial" w:hAnsi="Arial" w:cs="Arial"/>
          <w:sz w:val="24"/>
          <w:szCs w:val="24"/>
        </w:rPr>
        <w:t xml:space="preserve"> (2013) explains that some children may be expected to abruptly divert from their mother tongue to the language of the setting and this may cause them to lose confidence, interest and motivation. However, Brentnall, et al (2009) suggest that children who experience immersion education will not only become competent in a new language but also achieve academic success through the medium of that language. Furthermore, Garcia (2009) believes that in order for children who are educated in another language to maintain bilingualism, they must continue to hear and use their mother tongue and settings must respect and honour the child’s home language. </w:t>
      </w:r>
    </w:p>
    <w:p w14:paraId="265D731F" w14:textId="155102FC" w:rsidR="00431AB6" w:rsidRPr="000A52A2" w:rsidRDefault="1E70E42E" w:rsidP="00AD3277">
      <w:pPr>
        <w:spacing w:line="360" w:lineRule="auto"/>
        <w:jc w:val="both"/>
        <w:rPr>
          <w:rFonts w:ascii="Arial" w:eastAsia="Arial" w:hAnsi="Arial" w:cs="Arial"/>
          <w:color w:val="000000" w:themeColor="text1"/>
          <w:sz w:val="24"/>
          <w:szCs w:val="24"/>
        </w:rPr>
      </w:pPr>
      <w:r w:rsidRPr="000A52A2">
        <w:rPr>
          <w:rFonts w:ascii="Arial" w:eastAsia="Arial" w:hAnsi="Arial" w:cs="Arial"/>
          <w:color w:val="000000" w:themeColor="text1"/>
          <w:sz w:val="24"/>
          <w:szCs w:val="24"/>
        </w:rPr>
        <w:t xml:space="preserve">Figures provided by the Department for Education suggest that </w:t>
      </w:r>
      <w:r w:rsidRPr="000A52A2">
        <w:rPr>
          <w:rFonts w:ascii="Arial" w:eastAsia="Arial" w:hAnsi="Arial" w:cs="Arial"/>
          <w:color w:val="000000" w:themeColor="text1"/>
          <w:sz w:val="25"/>
          <w:szCs w:val="25"/>
        </w:rPr>
        <w:t>in the past decade</w:t>
      </w:r>
      <w:r w:rsidRPr="000A52A2">
        <w:rPr>
          <w:rFonts w:ascii="Arial" w:eastAsia="Arial" w:hAnsi="Arial" w:cs="Arial"/>
          <w:color w:val="000000" w:themeColor="text1"/>
          <w:sz w:val="24"/>
          <w:szCs w:val="24"/>
        </w:rPr>
        <w:t xml:space="preserve"> t</w:t>
      </w:r>
      <w:r w:rsidRPr="000A52A2">
        <w:rPr>
          <w:rFonts w:ascii="Arial" w:eastAsia="Arial" w:hAnsi="Arial" w:cs="Arial"/>
          <w:color w:val="000000" w:themeColor="text1"/>
          <w:sz w:val="25"/>
          <w:szCs w:val="25"/>
        </w:rPr>
        <w:t xml:space="preserve">he number of schoolchildren who do not have English as their first language has risen by two-thirds (Paton, 2014). Reasons for this increase, as suggested by </w:t>
      </w:r>
      <w:proofErr w:type="spellStart"/>
      <w:r w:rsidRPr="000A52A2">
        <w:rPr>
          <w:rFonts w:ascii="Arial" w:eastAsia="Arial" w:hAnsi="Arial" w:cs="Arial"/>
          <w:color w:val="000000" w:themeColor="text1"/>
          <w:sz w:val="25"/>
          <w:szCs w:val="25"/>
        </w:rPr>
        <w:t>Devarakonda</w:t>
      </w:r>
      <w:proofErr w:type="spellEnd"/>
      <w:r w:rsidRPr="000A52A2">
        <w:rPr>
          <w:rFonts w:ascii="Arial" w:eastAsia="Arial" w:hAnsi="Arial" w:cs="Arial"/>
          <w:color w:val="000000" w:themeColor="text1"/>
          <w:sz w:val="25"/>
          <w:szCs w:val="25"/>
        </w:rPr>
        <w:t xml:space="preserve"> (2013) may be due to immigration, families seeking asylum, more desirable employment or employment transfers due to globalisation of companies.</w:t>
      </w:r>
      <w:r w:rsidRPr="000A52A2">
        <w:rPr>
          <w:rFonts w:ascii="Arial" w:eastAsia="Arial" w:hAnsi="Arial" w:cs="Arial"/>
          <w:color w:val="000000" w:themeColor="text1"/>
          <w:sz w:val="24"/>
          <w:szCs w:val="24"/>
          <w:lang w:val="en"/>
        </w:rPr>
        <w:t xml:space="preserve"> </w:t>
      </w:r>
    </w:p>
    <w:p w14:paraId="26BBC58B" w14:textId="5860672B" w:rsidR="00431AB6"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rPr>
        <w:t>Article 30 of the United Nations Convention on the Rights of the child states that regardless of where a child lives and the majority language spoken, every child has a right to learn and practice the language, customs and religion of their family (</w:t>
      </w:r>
      <w:proofErr w:type="spellStart"/>
      <w:r w:rsidRPr="1E70E42E">
        <w:rPr>
          <w:rFonts w:ascii="Arial" w:eastAsia="Arial" w:hAnsi="Arial" w:cs="Arial"/>
          <w:sz w:val="24"/>
          <w:szCs w:val="24"/>
        </w:rPr>
        <w:t>Unicef</w:t>
      </w:r>
      <w:proofErr w:type="spellEnd"/>
      <w:r w:rsidRPr="1E70E42E">
        <w:rPr>
          <w:rFonts w:ascii="Arial" w:eastAsia="Arial" w:hAnsi="Arial" w:cs="Arial"/>
          <w:sz w:val="24"/>
          <w:szCs w:val="24"/>
        </w:rPr>
        <w:t xml:space="preserve">, no date). Therefore, </w:t>
      </w:r>
      <w:proofErr w:type="spellStart"/>
      <w:r w:rsidRPr="1E70E42E">
        <w:rPr>
          <w:rFonts w:ascii="Arial" w:eastAsia="Arial" w:hAnsi="Arial" w:cs="Arial"/>
          <w:sz w:val="24"/>
          <w:szCs w:val="24"/>
        </w:rPr>
        <w:t>Devarakonda</w:t>
      </w:r>
      <w:proofErr w:type="spellEnd"/>
      <w:r w:rsidRPr="1E70E42E">
        <w:rPr>
          <w:rFonts w:ascii="Arial" w:eastAsia="Arial" w:hAnsi="Arial" w:cs="Arial"/>
          <w:sz w:val="24"/>
          <w:szCs w:val="24"/>
        </w:rPr>
        <w:t xml:space="preserve"> (2013) expresses the importance of practitioners being aware of any different communication styles some children and their parents from multicultural backgrounds may have. Furthermore, Baker (2017)</w:t>
      </w:r>
      <w:r w:rsidRPr="1E70E42E">
        <w:rPr>
          <w:rFonts w:ascii="Arial" w:eastAsia="Arial" w:hAnsi="Arial" w:cs="Arial"/>
          <w:color w:val="C00000"/>
          <w:sz w:val="24"/>
          <w:szCs w:val="24"/>
        </w:rPr>
        <w:t xml:space="preserve"> </w:t>
      </w:r>
      <w:r w:rsidRPr="1E70E42E">
        <w:rPr>
          <w:rFonts w:ascii="Arial" w:eastAsia="Arial" w:hAnsi="Arial" w:cs="Arial"/>
          <w:sz w:val="24"/>
          <w:szCs w:val="24"/>
        </w:rPr>
        <w:t>suggests that as many minority parents desire to be involved in their child’s education, a partnership between parents and settings and ways to develop communication between all involved will consequently benefit the children holistically.</w:t>
      </w:r>
    </w:p>
    <w:p w14:paraId="1799C361" w14:textId="2B9F840F" w:rsidR="00431AB6"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lang w:val="en"/>
        </w:rPr>
        <w:t xml:space="preserve">The Welsh Government (2014) </w:t>
      </w:r>
      <w:proofErr w:type="spellStart"/>
      <w:r w:rsidRPr="1E70E42E">
        <w:rPr>
          <w:rFonts w:ascii="Arial" w:eastAsia="Arial" w:hAnsi="Arial" w:cs="Arial"/>
          <w:sz w:val="24"/>
          <w:szCs w:val="24"/>
          <w:lang w:val="en"/>
        </w:rPr>
        <w:t>recognises</w:t>
      </w:r>
      <w:proofErr w:type="spellEnd"/>
      <w:r w:rsidRPr="1E70E42E">
        <w:rPr>
          <w:rFonts w:ascii="Arial" w:eastAsia="Arial" w:hAnsi="Arial" w:cs="Arial"/>
          <w:sz w:val="24"/>
          <w:szCs w:val="24"/>
          <w:lang w:val="en"/>
        </w:rPr>
        <w:t xml:space="preserve"> that some pupils who are learning English as an Additional Language and/or Welsh as an Additional Language may need additional support to </w:t>
      </w:r>
      <w:proofErr w:type="spellStart"/>
      <w:r w:rsidRPr="1E70E42E">
        <w:rPr>
          <w:rFonts w:ascii="Arial" w:eastAsia="Arial" w:hAnsi="Arial" w:cs="Arial"/>
          <w:sz w:val="24"/>
          <w:szCs w:val="24"/>
          <w:lang w:val="en"/>
        </w:rPr>
        <w:t>recognise</w:t>
      </w:r>
      <w:proofErr w:type="spellEnd"/>
      <w:r w:rsidRPr="1E70E42E">
        <w:rPr>
          <w:rFonts w:ascii="Arial" w:eastAsia="Arial" w:hAnsi="Arial" w:cs="Arial"/>
          <w:sz w:val="24"/>
          <w:szCs w:val="24"/>
          <w:lang w:val="en"/>
        </w:rPr>
        <w:t xml:space="preserve"> and reach their full academic potential and avoid any risk of under achieving. Osborne, et al (2017) suggest ways in which practitioners can support children with EAL/WAL such as, using a range of visual resources to support the language, maintaining a daily routine and providing children with adequate time to think and respond. </w:t>
      </w:r>
      <w:proofErr w:type="spellStart"/>
      <w:r w:rsidRPr="1E70E42E">
        <w:rPr>
          <w:rFonts w:ascii="Arial" w:eastAsia="Arial" w:hAnsi="Arial" w:cs="Arial"/>
          <w:sz w:val="24"/>
          <w:szCs w:val="24"/>
          <w:lang w:val="en"/>
        </w:rPr>
        <w:t>Devarakonda</w:t>
      </w:r>
      <w:proofErr w:type="spellEnd"/>
      <w:r w:rsidRPr="1E70E42E">
        <w:rPr>
          <w:rFonts w:ascii="Arial" w:eastAsia="Arial" w:hAnsi="Arial" w:cs="Arial"/>
          <w:sz w:val="24"/>
          <w:szCs w:val="24"/>
          <w:lang w:val="en"/>
        </w:rPr>
        <w:t xml:space="preserve"> (2013) suggests additional strategies such as, encouraging buddy systems where children can support one other and by promoting policies that include, support and encourage parents to be involved with their child’s learning.</w:t>
      </w:r>
    </w:p>
    <w:p w14:paraId="2BE7B324" w14:textId="2A74DDAE" w:rsidR="00431AB6" w:rsidRDefault="00431AB6" w:rsidP="00AD3277">
      <w:pPr>
        <w:spacing w:line="360" w:lineRule="auto"/>
        <w:jc w:val="both"/>
        <w:rPr>
          <w:rFonts w:ascii="Arial" w:eastAsia="Arial" w:hAnsi="Arial" w:cs="Arial"/>
          <w:sz w:val="24"/>
          <w:szCs w:val="24"/>
        </w:rPr>
      </w:pPr>
      <w:r w:rsidRPr="00431AB6">
        <w:rPr>
          <w:rFonts w:ascii="Arial" w:eastAsia="Arial" w:hAnsi="Arial" w:cs="Arial"/>
          <w:sz w:val="24"/>
          <w:szCs w:val="24"/>
          <w:lang w:val="en"/>
        </w:rPr>
        <w:t xml:space="preserve">Additionally, Smidt (2016) states that practitioners can scaffold a child’s learning through repetition, modelling language, positive interactions and responses, eye contact and body language.  furthermore, Lindon and Brodie (2016) explain how the concept of scaffolding was developed by Bruner in order to help adults understand how they could suitably use their knowledge and experience to temporarily support children to gain a new skill or understanding. Therefore, it is important to add that </w:t>
      </w:r>
      <w:proofErr w:type="spellStart"/>
      <w:r w:rsidRPr="00431AB6">
        <w:rPr>
          <w:rFonts w:ascii="Arial" w:eastAsia="Arial" w:hAnsi="Arial" w:cs="Arial"/>
          <w:sz w:val="24"/>
          <w:szCs w:val="24"/>
          <w:lang w:val="en"/>
        </w:rPr>
        <w:t>Brentall</w:t>
      </w:r>
      <w:proofErr w:type="spellEnd"/>
      <w:r w:rsidRPr="00431AB6">
        <w:rPr>
          <w:rFonts w:ascii="Arial" w:eastAsia="Arial" w:hAnsi="Arial" w:cs="Arial"/>
          <w:sz w:val="24"/>
          <w:szCs w:val="24"/>
          <w:lang w:val="en"/>
        </w:rPr>
        <w:t xml:space="preserve">, et al (2009) suggest that </w:t>
      </w:r>
      <w:r w:rsidRPr="00431AB6">
        <w:rPr>
          <w:rFonts w:ascii="Arial" w:eastAsia="Arial" w:hAnsi="Arial" w:cs="Arial"/>
          <w:sz w:val="24"/>
          <w:szCs w:val="24"/>
        </w:rPr>
        <w:t>when children with EAL or WAL receive good quality provision to develop their Welsh and/or English language, they are more likely to catch up with their peers and potentially make better progress over time.</w:t>
      </w:r>
    </w:p>
    <w:p w14:paraId="011E6C7A" w14:textId="2EB073C3" w:rsidR="23B1BE8E" w:rsidRDefault="6C69474E" w:rsidP="00AD3277">
      <w:pPr>
        <w:spacing w:line="360" w:lineRule="auto"/>
        <w:jc w:val="both"/>
        <w:rPr>
          <w:rFonts w:ascii="Arial" w:eastAsia="Arial" w:hAnsi="Arial" w:cs="Arial"/>
          <w:sz w:val="24"/>
          <w:szCs w:val="24"/>
        </w:rPr>
      </w:pPr>
      <w:r w:rsidRPr="6C69474E">
        <w:rPr>
          <w:rFonts w:ascii="Arial" w:eastAsia="Arial" w:hAnsi="Arial" w:cs="Arial"/>
          <w:sz w:val="24"/>
          <w:szCs w:val="24"/>
        </w:rPr>
        <w:t xml:space="preserve">Bilingualism Matters (No date) states that research by </w:t>
      </w:r>
      <w:proofErr w:type="spellStart"/>
      <w:r w:rsidRPr="6C69474E">
        <w:rPr>
          <w:rFonts w:ascii="Arial" w:eastAsia="Arial" w:hAnsi="Arial" w:cs="Arial"/>
          <w:sz w:val="24"/>
          <w:szCs w:val="24"/>
        </w:rPr>
        <w:t>Prof.</w:t>
      </w:r>
      <w:proofErr w:type="spellEnd"/>
      <w:r w:rsidRPr="6C69474E">
        <w:rPr>
          <w:rFonts w:ascii="Arial" w:eastAsia="Arial" w:hAnsi="Arial" w:cs="Arial"/>
          <w:sz w:val="24"/>
          <w:szCs w:val="24"/>
        </w:rPr>
        <w:t xml:space="preserve"> Antonella </w:t>
      </w:r>
      <w:proofErr w:type="spellStart"/>
      <w:r w:rsidRPr="6C69474E">
        <w:rPr>
          <w:rFonts w:ascii="Arial" w:eastAsia="Arial" w:hAnsi="Arial" w:cs="Arial"/>
          <w:sz w:val="24"/>
          <w:szCs w:val="24"/>
        </w:rPr>
        <w:t>Sorace</w:t>
      </w:r>
      <w:proofErr w:type="spellEnd"/>
      <w:r w:rsidRPr="6C69474E">
        <w:rPr>
          <w:rFonts w:ascii="Arial" w:eastAsia="Arial" w:hAnsi="Arial" w:cs="Arial"/>
          <w:sz w:val="24"/>
          <w:szCs w:val="24"/>
        </w:rPr>
        <w:t xml:space="preserve"> has shown that not only is bilingualism beneficial for a child’s development and their future but additionally, researchers such as, Gigi </w:t>
      </w:r>
      <w:proofErr w:type="spellStart"/>
      <w:r w:rsidRPr="6C69474E">
        <w:rPr>
          <w:rFonts w:ascii="Arial" w:eastAsia="Arial" w:hAnsi="Arial" w:cs="Arial"/>
          <w:sz w:val="24"/>
          <w:szCs w:val="24"/>
        </w:rPr>
        <w:t>Luk</w:t>
      </w:r>
      <w:proofErr w:type="spellEnd"/>
      <w:r w:rsidRPr="6C69474E">
        <w:rPr>
          <w:rFonts w:ascii="Arial" w:eastAsia="Arial" w:hAnsi="Arial" w:cs="Arial"/>
          <w:sz w:val="24"/>
          <w:szCs w:val="24"/>
        </w:rPr>
        <w:t>, an associate professor at Harvard's Graduate School of Education have repeatedly discovered that bilingualism is an experience that can shape the brain for a lifetime (</w:t>
      </w:r>
      <w:r w:rsidRPr="6C69474E">
        <w:rPr>
          <w:rFonts w:ascii="Arial" w:eastAsia="Arial" w:hAnsi="Arial" w:cs="Arial"/>
          <w:sz w:val="24"/>
          <w:szCs w:val="24"/>
          <w:lang w:val="en"/>
        </w:rPr>
        <w:t>Kamenetz, 2016). Moreover, children who have the advantageous opportunity to grow up speaking two or more languages, have an ability that will strengthen and further improve their learning potential (Pugh and Duffy, 2014).</w:t>
      </w:r>
    </w:p>
    <w:p w14:paraId="49B117EF" w14:textId="10A1FDC7" w:rsidR="1E70E42E" w:rsidRDefault="1E70E42E" w:rsidP="00AD3277">
      <w:pPr>
        <w:spacing w:line="360" w:lineRule="auto"/>
        <w:jc w:val="both"/>
      </w:pPr>
      <w:r w:rsidRPr="1E70E42E">
        <w:rPr>
          <w:rFonts w:ascii="Arial" w:eastAsia="Arial" w:hAnsi="Arial" w:cs="Arial"/>
          <w:sz w:val="24"/>
          <w:szCs w:val="24"/>
        </w:rPr>
        <w:t xml:space="preserve">According to Maynard and Powell (2014) In Wales, The Welsh-medium playgroups such as, </w:t>
      </w:r>
      <w:proofErr w:type="spellStart"/>
      <w:r w:rsidRPr="1E70E42E">
        <w:rPr>
          <w:rFonts w:ascii="Arial" w:eastAsia="Arial" w:hAnsi="Arial" w:cs="Arial"/>
          <w:sz w:val="24"/>
          <w:szCs w:val="24"/>
        </w:rPr>
        <w:t>Mudiad</w:t>
      </w:r>
      <w:proofErr w:type="spellEnd"/>
      <w:r w:rsidRPr="1E70E42E">
        <w:rPr>
          <w:rFonts w:ascii="Arial" w:eastAsia="Arial" w:hAnsi="Arial" w:cs="Arial"/>
          <w:sz w:val="24"/>
          <w:szCs w:val="24"/>
        </w:rPr>
        <w:t xml:space="preserve"> </w:t>
      </w:r>
      <w:proofErr w:type="spellStart"/>
      <w:r w:rsidRPr="1E70E42E">
        <w:rPr>
          <w:rFonts w:ascii="Arial" w:eastAsia="Arial" w:hAnsi="Arial" w:cs="Arial"/>
          <w:sz w:val="24"/>
          <w:szCs w:val="24"/>
        </w:rPr>
        <w:t>Ysgolion</w:t>
      </w:r>
      <w:proofErr w:type="spellEnd"/>
      <w:r w:rsidRPr="1E70E42E">
        <w:rPr>
          <w:rFonts w:ascii="Arial" w:eastAsia="Arial" w:hAnsi="Arial" w:cs="Arial"/>
          <w:sz w:val="24"/>
          <w:szCs w:val="24"/>
        </w:rPr>
        <w:t xml:space="preserve"> </w:t>
      </w:r>
      <w:proofErr w:type="spellStart"/>
      <w:r w:rsidRPr="1E70E42E">
        <w:rPr>
          <w:rFonts w:ascii="Arial" w:eastAsia="Arial" w:hAnsi="Arial" w:cs="Arial"/>
          <w:sz w:val="24"/>
          <w:szCs w:val="24"/>
        </w:rPr>
        <w:t>Meithrin</w:t>
      </w:r>
      <w:proofErr w:type="spellEnd"/>
      <w:r w:rsidRPr="1E70E42E">
        <w:rPr>
          <w:rFonts w:ascii="Arial" w:eastAsia="Arial" w:hAnsi="Arial" w:cs="Arial"/>
          <w:sz w:val="24"/>
          <w:szCs w:val="24"/>
        </w:rPr>
        <w:t xml:space="preserve"> play a crucial role in the promotion of the Welsh language, though it was feared that many children would move on to English language education before their speech became fully established. However, evidence such as that provided by The National Assembly for Wales (2011) suggest that those fears are unfounded and the demand for Welsh-medium primary schools has increased considerably. Alternatively, should parents in Wales choose English medium schools for their children, The Welsh government (2008) affirm that through the foundation phase, all young children will be given opportunities to experience and use the Welsh language in their everyday activities, with the aim of encouraging further language learning and positive attitudes towards Welsh.</w:t>
      </w:r>
    </w:p>
    <w:p w14:paraId="2F628F34" w14:textId="6E1E2DC7" w:rsidR="1E70E42E" w:rsidRDefault="1E70E42E" w:rsidP="00AD3277">
      <w:pPr>
        <w:spacing w:line="360" w:lineRule="auto"/>
        <w:jc w:val="both"/>
        <w:rPr>
          <w:rFonts w:ascii="Arial" w:eastAsia="Arial" w:hAnsi="Arial" w:cs="Arial"/>
          <w:sz w:val="24"/>
          <w:szCs w:val="24"/>
        </w:rPr>
      </w:pPr>
      <w:r w:rsidRPr="1E70E42E">
        <w:rPr>
          <w:rFonts w:ascii="Arial" w:eastAsia="Arial" w:hAnsi="Arial" w:cs="Arial"/>
          <w:sz w:val="24"/>
          <w:szCs w:val="24"/>
        </w:rPr>
        <w:t xml:space="preserve">Furthermore, the Welsh Government (2017) believe that the Curriculum </w:t>
      </w:r>
      <w:proofErr w:type="spellStart"/>
      <w:r w:rsidRPr="1E70E42E">
        <w:rPr>
          <w:rFonts w:ascii="Arial" w:eastAsia="Arial" w:hAnsi="Arial" w:cs="Arial"/>
          <w:sz w:val="24"/>
          <w:szCs w:val="24"/>
        </w:rPr>
        <w:t>Cymreig</w:t>
      </w:r>
      <w:proofErr w:type="spellEnd"/>
      <w:r w:rsidRPr="1E70E42E">
        <w:rPr>
          <w:rFonts w:ascii="Arial" w:eastAsia="Arial" w:hAnsi="Arial" w:cs="Arial"/>
          <w:sz w:val="24"/>
          <w:szCs w:val="24"/>
        </w:rPr>
        <w:t>, when studiously delivered will enable children to understand and celebrate living and learning in Wales and provide them with a sense of belonging to both their local community and country alike. Additionally, by 2050, The Welsh Government (2017) commit to the ambition of achieving a million Welsh speakers and although challenging, to be able to make this vision a reality, some strategies to be implemented are: expanding Welsh-medium early years provision, increasing the number of Welsh language teachers and developing a national programme to promote understanding and the benefits of bilingualism. Moreover, to enable the facilitation of the strategies, the Welsh Government (2017) pledges to provide financial support, a strong infrastructure and leadership and lead by example, with the overall aim in creating a ‘truly bilingual Wales with a living language for all’.</w:t>
      </w:r>
    </w:p>
    <w:p w14:paraId="26CFA452" w14:textId="2785C023" w:rsidR="6C69474E" w:rsidRDefault="6C69474E" w:rsidP="6C69474E">
      <w:pPr>
        <w:spacing w:after="120"/>
      </w:pPr>
      <w:bookmarkStart w:id="0" w:name="_GoBack"/>
      <w:bookmarkEnd w:id="0"/>
    </w:p>
    <w:sectPr w:rsidR="6C69474E" w:rsidSect="008E6CCA">
      <w:headerReference w:type="default" r:id="rId8"/>
      <w:footerReference w:type="even" r:id="rId9"/>
      <w:footerReference w:type="default" r:id="rId10"/>
      <w:headerReference w:type="first" r:id="rId11"/>
      <w:footerReference w:type="first" r:id="rId12"/>
      <w:pgSz w:w="11906" w:h="16838"/>
      <w:pgMar w:top="567" w:right="567" w:bottom="816" w:left="567" w:header="510" w:footer="39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D55123" w14:textId="77777777" w:rsidR="00F5195B" w:rsidRDefault="00F5195B">
      <w:pPr>
        <w:spacing w:after="0" w:line="240" w:lineRule="auto"/>
      </w:pPr>
      <w:r>
        <w:separator/>
      </w:r>
    </w:p>
  </w:endnote>
  <w:endnote w:type="continuationSeparator" w:id="0">
    <w:p w14:paraId="13B6A873" w14:textId="77777777" w:rsidR="00F5195B" w:rsidRDefault="00F5195B">
      <w:pPr>
        <w:spacing w:after="0" w:line="240" w:lineRule="auto"/>
      </w:pPr>
      <w:r>
        <w:continuationSeparator/>
      </w:r>
    </w:p>
  </w:endnote>
  <w:endnote w:type="continuationNotice" w:id="1">
    <w:p w14:paraId="15AB2A37" w14:textId="77777777" w:rsidR="00F5195B" w:rsidRDefault="00F519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62409151"/>
      <w:docPartObj>
        <w:docPartGallery w:val="Page Numbers (Bottom of Page)"/>
        <w:docPartUnique/>
      </w:docPartObj>
    </w:sdtPr>
    <w:sdtContent>
      <w:p w14:paraId="306667CC" w14:textId="5F0BBCCB" w:rsidR="00762CFF" w:rsidRDefault="00762CFF" w:rsidP="00D72B2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9EFC3F" w14:textId="77777777" w:rsidR="00762CFF" w:rsidRDefault="00762CFF" w:rsidP="00762CF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752337"/>
      <w:docPartObj>
        <w:docPartGallery w:val="Page Numbers (Bottom of Page)"/>
        <w:docPartUnique/>
      </w:docPartObj>
    </w:sdtPr>
    <w:sdtContent>
      <w:p w14:paraId="79B50DF7" w14:textId="46D19D25" w:rsidR="00762CFF" w:rsidRDefault="00762CFF" w:rsidP="00D72B2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489"/>
      <w:gridCol w:w="3489"/>
      <w:gridCol w:w="3489"/>
    </w:tblGrid>
    <w:tr w:rsidR="23B1BE8E" w14:paraId="1B203137" w14:textId="77777777" w:rsidTr="23B1BE8E">
      <w:tc>
        <w:tcPr>
          <w:tcW w:w="3489" w:type="dxa"/>
        </w:tcPr>
        <w:p w14:paraId="6BDFFDAD" w14:textId="694074DF" w:rsidR="23B1BE8E" w:rsidRDefault="23B1BE8E" w:rsidP="00762CFF">
          <w:pPr>
            <w:pStyle w:val="Header"/>
            <w:ind w:left="-115" w:firstLine="360"/>
          </w:pPr>
        </w:p>
      </w:tc>
      <w:tc>
        <w:tcPr>
          <w:tcW w:w="3489" w:type="dxa"/>
        </w:tcPr>
        <w:p w14:paraId="1D0472D6" w14:textId="303FF063" w:rsidR="23B1BE8E" w:rsidRDefault="23B1BE8E" w:rsidP="23B1BE8E">
          <w:pPr>
            <w:pStyle w:val="Header"/>
            <w:jc w:val="center"/>
          </w:pPr>
        </w:p>
      </w:tc>
      <w:tc>
        <w:tcPr>
          <w:tcW w:w="3489" w:type="dxa"/>
        </w:tcPr>
        <w:p w14:paraId="36375BC4" w14:textId="4C340871" w:rsidR="23B1BE8E" w:rsidRDefault="5F241986" w:rsidP="23B1BE8E">
          <w:pPr>
            <w:pStyle w:val="Header"/>
            <w:ind w:right="-115"/>
            <w:jc w:val="right"/>
          </w:pPr>
          <w:r>
            <w:t>Word Count: 1819</w:t>
          </w:r>
        </w:p>
      </w:tc>
    </w:tr>
  </w:tbl>
  <w:p w14:paraId="40BEBDB9" w14:textId="5880D8CF" w:rsidR="00451188" w:rsidRDefault="00451188" w:rsidP="23B1BE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591"/>
      <w:gridCol w:w="3591"/>
      <w:gridCol w:w="3591"/>
    </w:tblGrid>
    <w:tr w:rsidR="1F51C2CB" w14:paraId="686845C7" w14:textId="77777777" w:rsidTr="1F51C2CB">
      <w:tc>
        <w:tcPr>
          <w:tcW w:w="3591" w:type="dxa"/>
        </w:tcPr>
        <w:p w14:paraId="1CE92C39" w14:textId="59C6815A" w:rsidR="1F51C2CB" w:rsidRDefault="1F51C2CB" w:rsidP="1F51C2CB">
          <w:pPr>
            <w:pStyle w:val="Header"/>
            <w:ind w:left="-115"/>
          </w:pPr>
        </w:p>
      </w:tc>
      <w:tc>
        <w:tcPr>
          <w:tcW w:w="3591" w:type="dxa"/>
        </w:tcPr>
        <w:p w14:paraId="1F876FED" w14:textId="3843362E" w:rsidR="1F51C2CB" w:rsidRDefault="1F51C2CB" w:rsidP="1F51C2CB">
          <w:pPr>
            <w:pStyle w:val="Header"/>
            <w:jc w:val="center"/>
          </w:pPr>
        </w:p>
      </w:tc>
      <w:tc>
        <w:tcPr>
          <w:tcW w:w="3591" w:type="dxa"/>
        </w:tcPr>
        <w:p w14:paraId="4C6680DD" w14:textId="4F88F032" w:rsidR="1F51C2CB" w:rsidRDefault="1F51C2CB" w:rsidP="1F51C2CB">
          <w:pPr>
            <w:pStyle w:val="Header"/>
            <w:ind w:right="-115"/>
            <w:jc w:val="right"/>
          </w:pPr>
        </w:p>
      </w:tc>
    </w:tr>
  </w:tbl>
  <w:p w14:paraId="4EC016C1" w14:textId="66A56B92" w:rsidR="004F3701" w:rsidRDefault="004F3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40AD72" w14:textId="77777777" w:rsidR="00F5195B" w:rsidRDefault="00F5195B">
      <w:pPr>
        <w:spacing w:after="0" w:line="240" w:lineRule="auto"/>
      </w:pPr>
      <w:r>
        <w:separator/>
      </w:r>
    </w:p>
  </w:footnote>
  <w:footnote w:type="continuationSeparator" w:id="0">
    <w:p w14:paraId="071307B2" w14:textId="77777777" w:rsidR="00F5195B" w:rsidRDefault="00F5195B">
      <w:pPr>
        <w:spacing w:after="0" w:line="240" w:lineRule="auto"/>
      </w:pPr>
      <w:r>
        <w:continuationSeparator/>
      </w:r>
    </w:p>
  </w:footnote>
  <w:footnote w:type="continuationNotice" w:id="1">
    <w:p w14:paraId="265C377D" w14:textId="77777777" w:rsidR="00F5195B" w:rsidRDefault="00F519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9"/>
      <w:gridCol w:w="3489"/>
      <w:gridCol w:w="3489"/>
    </w:tblGrid>
    <w:tr w:rsidR="23B1BE8E" w14:paraId="412EA923" w14:textId="77777777" w:rsidTr="23B1BE8E">
      <w:tc>
        <w:tcPr>
          <w:tcW w:w="3489" w:type="dxa"/>
        </w:tcPr>
        <w:p w14:paraId="449430AD" w14:textId="099D0549" w:rsidR="23B1BE8E" w:rsidRDefault="23B1BE8E" w:rsidP="23B1BE8E">
          <w:pPr>
            <w:spacing w:line="540" w:lineRule="exact"/>
            <w:rPr>
              <w:rFonts w:ascii="Arial" w:eastAsia="Arial" w:hAnsi="Arial" w:cs="Arial"/>
              <w:sz w:val="24"/>
              <w:szCs w:val="24"/>
            </w:rPr>
          </w:pPr>
          <w:r w:rsidRPr="23B1BE8E">
            <w:rPr>
              <w:rFonts w:ascii="Arial" w:eastAsia="Arial" w:hAnsi="Arial" w:cs="Arial"/>
              <w:sz w:val="24"/>
              <w:szCs w:val="24"/>
            </w:rPr>
            <w:t>EAEE4006/C</w:t>
          </w:r>
        </w:p>
      </w:tc>
      <w:tc>
        <w:tcPr>
          <w:tcW w:w="3489" w:type="dxa"/>
        </w:tcPr>
        <w:p w14:paraId="5D331F0E" w14:textId="678618DA" w:rsidR="23B1BE8E" w:rsidRDefault="23B1BE8E" w:rsidP="23B1BE8E">
          <w:pPr>
            <w:spacing w:before="120" w:after="0" w:line="240" w:lineRule="auto"/>
            <w:jc w:val="center"/>
            <w:rPr>
              <w:rFonts w:ascii="Arial" w:eastAsia="Arial" w:hAnsi="Arial" w:cs="Arial"/>
              <w:sz w:val="24"/>
              <w:szCs w:val="24"/>
            </w:rPr>
          </w:pPr>
          <w:r w:rsidRPr="23B1BE8E">
            <w:rPr>
              <w:rFonts w:ascii="Arial" w:eastAsia="Arial" w:hAnsi="Arial" w:cs="Arial"/>
              <w:sz w:val="24"/>
              <w:szCs w:val="24"/>
            </w:rPr>
            <w:t>Multilingualism, Multi-thinking</w:t>
          </w:r>
        </w:p>
      </w:tc>
      <w:tc>
        <w:tcPr>
          <w:tcW w:w="3489" w:type="dxa"/>
        </w:tcPr>
        <w:p w14:paraId="043B704C" w14:textId="18C4301B" w:rsidR="23B1BE8E" w:rsidRDefault="23B1BE8E" w:rsidP="23B1BE8E">
          <w:pPr>
            <w:pStyle w:val="Header"/>
            <w:spacing w:before="120"/>
            <w:ind w:right="-115"/>
            <w:jc w:val="right"/>
            <w:rPr>
              <w:rFonts w:ascii="Arial" w:eastAsia="Arial" w:hAnsi="Arial" w:cs="Arial"/>
              <w:sz w:val="24"/>
              <w:szCs w:val="24"/>
            </w:rPr>
          </w:pPr>
          <w:r w:rsidRPr="23B1BE8E">
            <w:rPr>
              <w:rFonts w:ascii="Arial" w:eastAsia="Arial" w:hAnsi="Arial" w:cs="Arial"/>
              <w:sz w:val="24"/>
              <w:szCs w:val="24"/>
            </w:rPr>
            <w:t>1806929</w:t>
          </w:r>
        </w:p>
      </w:tc>
    </w:tr>
  </w:tbl>
  <w:p w14:paraId="67C078A5" w14:textId="260521E4" w:rsidR="23B1BE8E" w:rsidRDefault="23B1BE8E" w:rsidP="23B1B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591"/>
      <w:gridCol w:w="3591"/>
      <w:gridCol w:w="3591"/>
    </w:tblGrid>
    <w:tr w:rsidR="1F51C2CB" w14:paraId="05E75BC2" w14:textId="77777777" w:rsidTr="1F51C2CB">
      <w:tc>
        <w:tcPr>
          <w:tcW w:w="3591" w:type="dxa"/>
        </w:tcPr>
        <w:p w14:paraId="40D6365D" w14:textId="57865B25" w:rsidR="1F51C2CB" w:rsidRDefault="1F51C2CB" w:rsidP="1F51C2CB">
          <w:pPr>
            <w:pStyle w:val="Header"/>
            <w:ind w:left="-115"/>
          </w:pPr>
        </w:p>
      </w:tc>
      <w:tc>
        <w:tcPr>
          <w:tcW w:w="3591" w:type="dxa"/>
        </w:tcPr>
        <w:p w14:paraId="53590533" w14:textId="439BBF1B" w:rsidR="1F51C2CB" w:rsidRDefault="1F51C2CB" w:rsidP="1F51C2CB">
          <w:pPr>
            <w:pStyle w:val="Header"/>
            <w:jc w:val="center"/>
          </w:pPr>
        </w:p>
      </w:tc>
      <w:tc>
        <w:tcPr>
          <w:tcW w:w="3591" w:type="dxa"/>
        </w:tcPr>
        <w:p w14:paraId="6F8212E2" w14:textId="61D338A5" w:rsidR="1F51C2CB" w:rsidRDefault="1F51C2CB" w:rsidP="1F51C2CB">
          <w:pPr>
            <w:pStyle w:val="Header"/>
            <w:ind w:right="-115"/>
            <w:jc w:val="right"/>
          </w:pPr>
        </w:p>
      </w:tc>
    </w:tr>
  </w:tbl>
  <w:p w14:paraId="61EE5FDF" w14:textId="5BD1D6AB" w:rsidR="004F3701" w:rsidRDefault="004F37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C32F52"/>
    <w:rsid w:val="00036351"/>
    <w:rsid w:val="0004193F"/>
    <w:rsid w:val="000A52A2"/>
    <w:rsid w:val="00104185"/>
    <w:rsid w:val="00117200"/>
    <w:rsid w:val="0014788C"/>
    <w:rsid w:val="001A18B4"/>
    <w:rsid w:val="002B469F"/>
    <w:rsid w:val="002D114C"/>
    <w:rsid w:val="002E55B0"/>
    <w:rsid w:val="00431AB6"/>
    <w:rsid w:val="00451188"/>
    <w:rsid w:val="00465E2F"/>
    <w:rsid w:val="00491B17"/>
    <w:rsid w:val="004F3701"/>
    <w:rsid w:val="0053568E"/>
    <w:rsid w:val="00586073"/>
    <w:rsid w:val="0071821A"/>
    <w:rsid w:val="00762CFF"/>
    <w:rsid w:val="0078683F"/>
    <w:rsid w:val="00786D2A"/>
    <w:rsid w:val="007C61F8"/>
    <w:rsid w:val="008E6CCA"/>
    <w:rsid w:val="00967BE0"/>
    <w:rsid w:val="009C5DD0"/>
    <w:rsid w:val="00AD3277"/>
    <w:rsid w:val="00B751ED"/>
    <w:rsid w:val="00C03814"/>
    <w:rsid w:val="00C369AD"/>
    <w:rsid w:val="00C65D07"/>
    <w:rsid w:val="00D147ED"/>
    <w:rsid w:val="00D72B25"/>
    <w:rsid w:val="00D9725C"/>
    <w:rsid w:val="00E46494"/>
    <w:rsid w:val="00F5195B"/>
    <w:rsid w:val="00F755F3"/>
    <w:rsid w:val="00FB225D"/>
    <w:rsid w:val="00FE79D4"/>
    <w:rsid w:val="0FC26AEE"/>
    <w:rsid w:val="1E70E42E"/>
    <w:rsid w:val="1F51C2CB"/>
    <w:rsid w:val="23B1BE8E"/>
    <w:rsid w:val="265291FB"/>
    <w:rsid w:val="270388B2"/>
    <w:rsid w:val="58ADAC05"/>
    <w:rsid w:val="5F241986"/>
    <w:rsid w:val="64C32F52"/>
    <w:rsid w:val="6529AB8D"/>
    <w:rsid w:val="65840854"/>
    <w:rsid w:val="6C69474E"/>
    <w:rsid w:val="7BA2EA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2EA7C"/>
  <w15:chartTrackingRefBased/>
  <w15:docId w15:val="{2DCCF87A-832F-47B8-BE42-50CF45C25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PageNumber">
    <w:name w:val="page number"/>
    <w:basedOn w:val="DefaultParagraphFont"/>
    <w:uiPriority w:val="99"/>
    <w:semiHidden/>
    <w:unhideWhenUsed/>
    <w:rsid w:val="00762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republishers.com/02-Journals/JP/JP-01-0-000-10-Web/JP-01-1-000-10-PDF/JP-01-1-039-10-010-Farhadian-M/JP-01-1-039-10-010-Farhadian-M-Tt.pdf"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1830</Words>
  <Characters>10432</Characters>
  <Application>Microsoft Office Word</Application>
  <DocSecurity>4</DocSecurity>
  <Lines>86</Lines>
  <Paragraphs>24</Paragraphs>
  <ScaleCrop>false</ScaleCrop>
  <Company/>
  <LinksUpToDate>false</LinksUpToDate>
  <CharactersWithSpaces>12238</CharactersWithSpaces>
  <SharedDoc>false</SharedDoc>
  <HLinks>
    <vt:vector size="6" baseType="variant">
      <vt:variant>
        <vt:i4>3735609</vt:i4>
      </vt:variant>
      <vt:variant>
        <vt:i4>0</vt:i4>
      </vt:variant>
      <vt:variant>
        <vt:i4>0</vt:i4>
      </vt:variant>
      <vt:variant>
        <vt:i4>5</vt:i4>
      </vt:variant>
      <vt:variant>
        <vt:lpwstr>http://www.krepublishers.com/02-Journals/JP/JP-01-0-000-10-Web/JP-01-1-000-10-PDF/JP-01-1-039-10-010-Farhadian-M/JP-01-1-039-10-010-Farhadian-M-Tt.pdf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Price (1806929)</dc:creator>
  <cp:keywords/>
  <dc:description/>
  <cp:lastModifiedBy>Helen Price (1806929)</cp:lastModifiedBy>
  <cp:revision>31</cp:revision>
  <dcterms:created xsi:type="dcterms:W3CDTF">2019-04-03T13:12:00Z</dcterms:created>
  <dcterms:modified xsi:type="dcterms:W3CDTF">2019-04-05T02:29:00Z</dcterms:modified>
</cp:coreProperties>
</file>