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292205354"/>
        <w:docPartObj>
          <w:docPartGallery w:val="Cover Pages"/>
          <w:docPartUnique/>
        </w:docPartObj>
      </w:sdtPr>
      <w:sdtEndPr/>
      <w:sdtContent>
        <w:p w:rsidR="00653781" w:rsidRDefault="00653781"/>
        <w:tbl>
          <w:tblPr>
            <w:tblpPr w:leftFromText="187" w:rightFromText="187" w:horzAnchor="margin" w:tblpXSpec="center" w:tblpY="2881"/>
            <w:tblW w:w="4000" w:type="pct"/>
            <w:tblBorders>
              <w:left w:val="single" w:sz="12" w:space="0" w:color="5B9BD5" w:themeColor="accent1"/>
            </w:tblBorders>
            <w:tblCellMar>
              <w:left w:w="144" w:type="dxa"/>
              <w:right w:w="115" w:type="dxa"/>
            </w:tblCellMar>
            <w:tblLook w:val="04A0" w:firstRow="1" w:lastRow="0" w:firstColumn="1" w:lastColumn="0" w:noHBand="0" w:noVBand="1"/>
          </w:tblPr>
          <w:tblGrid>
            <w:gridCol w:w="7209"/>
          </w:tblGrid>
          <w:tr w:rsidR="00653781">
            <w:sdt>
              <w:sdtPr>
                <w:rPr>
                  <w:color w:val="2E74B5" w:themeColor="accent1" w:themeShade="BF"/>
                  <w:sz w:val="24"/>
                  <w:szCs w:val="24"/>
                </w:rPr>
                <w:alias w:val="Company"/>
                <w:id w:val="13406915"/>
                <w:placeholder>
                  <w:docPart w:val="3D645923B53D4B7BBC026B6CA3CE4381"/>
                </w:placeholder>
                <w:dataBinding w:prefixMappings="xmlns:ns0='http://schemas.openxmlformats.org/officeDocument/2006/extended-properties'" w:xpath="/ns0:Properties[1]/ns0:Company[1]" w:storeItemID="{6668398D-A668-4E3E-A5EB-62B293D839F1}"/>
                <w:text/>
              </w:sdtPr>
              <w:sdtEndPr/>
              <w:sdtContent>
                <w:tc>
                  <w:tcPr>
                    <w:tcW w:w="7672" w:type="dxa"/>
                    <w:tcMar>
                      <w:top w:w="216" w:type="dxa"/>
                      <w:left w:w="115" w:type="dxa"/>
                      <w:bottom w:w="216" w:type="dxa"/>
                      <w:right w:w="115" w:type="dxa"/>
                    </w:tcMar>
                  </w:tcPr>
                  <w:p w:rsidR="00653781" w:rsidRDefault="00FF7CAC" w:rsidP="00FF7CAC">
                    <w:pPr>
                      <w:pStyle w:val="NoSpacing"/>
                      <w:rPr>
                        <w:color w:val="2E74B5" w:themeColor="accent1" w:themeShade="BF"/>
                        <w:sz w:val="24"/>
                      </w:rPr>
                    </w:pPr>
                    <w:r>
                      <w:rPr>
                        <w:color w:val="2E74B5" w:themeColor="accent1" w:themeShade="BF"/>
                        <w:sz w:val="24"/>
                        <w:szCs w:val="24"/>
                      </w:rPr>
                      <w:t xml:space="preserve">Powertrain &amp; Sustainability </w:t>
                    </w:r>
                  </w:p>
                </w:tc>
              </w:sdtContent>
            </w:sdt>
          </w:tr>
          <w:tr w:rsidR="00653781">
            <w:tc>
              <w:tcPr>
                <w:tcW w:w="7672" w:type="dxa"/>
              </w:tcPr>
              <w:sdt>
                <w:sdtPr>
                  <w:rPr>
                    <w:rFonts w:asciiTheme="majorHAnsi" w:eastAsiaTheme="majorEastAsia" w:hAnsiTheme="majorHAnsi" w:cstheme="majorBidi"/>
                    <w:color w:val="5B9BD5" w:themeColor="accent1"/>
                    <w:sz w:val="72"/>
                    <w:szCs w:val="72"/>
                  </w:rPr>
                  <w:alias w:val="Title"/>
                  <w:id w:val="13406919"/>
                  <w:placeholder>
                    <w:docPart w:val="08F7DCA2C1E14F1FB39A650E55108AED"/>
                  </w:placeholder>
                  <w:dataBinding w:prefixMappings="xmlns:ns0='http://schemas.openxmlformats.org/package/2006/metadata/core-properties' xmlns:ns1='http://purl.org/dc/elements/1.1/'" w:xpath="/ns0:coreProperties[1]/ns1:title[1]" w:storeItemID="{6C3C8BC8-F283-45AE-878A-BAB7291924A1}"/>
                  <w:text/>
                </w:sdtPr>
                <w:sdtEndPr/>
                <w:sdtContent>
                  <w:p w:rsidR="00653781" w:rsidRDefault="00FF7CAC" w:rsidP="00FF7CAC">
                    <w:pPr>
                      <w:pStyle w:val="NoSpacing"/>
                      <w:spacing w:line="216" w:lineRule="auto"/>
                      <w:rPr>
                        <w:rFonts w:asciiTheme="majorHAnsi" w:eastAsiaTheme="majorEastAsia" w:hAnsiTheme="majorHAnsi" w:cstheme="majorBidi"/>
                        <w:color w:val="5B9BD5" w:themeColor="accent1"/>
                        <w:sz w:val="88"/>
                        <w:szCs w:val="88"/>
                      </w:rPr>
                    </w:pPr>
                    <w:r w:rsidRPr="00FF7CAC">
                      <w:rPr>
                        <w:rFonts w:asciiTheme="majorHAnsi" w:eastAsiaTheme="majorEastAsia" w:hAnsiTheme="majorHAnsi" w:cstheme="majorBidi"/>
                        <w:color w:val="5B9BD5" w:themeColor="accent1"/>
                        <w:sz w:val="72"/>
                        <w:szCs w:val="72"/>
                      </w:rPr>
                      <w:t>Technical Review of Powertrains for 2025</w:t>
                    </w:r>
                  </w:p>
                </w:sdtContent>
              </w:sdt>
            </w:tc>
          </w:tr>
          <w:tr w:rsidR="00653781">
            <w:sdt>
              <w:sdtPr>
                <w:rPr>
                  <w:color w:val="2E74B5" w:themeColor="accent1" w:themeShade="BF"/>
                  <w:sz w:val="24"/>
                  <w:szCs w:val="24"/>
                </w:rPr>
                <w:alias w:val="Subtitle"/>
                <w:id w:val="13406923"/>
                <w:placeholder>
                  <w:docPart w:val="B4E4082A8ED948D0BC0E265741C57547"/>
                </w:placeholde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rsidR="00653781" w:rsidRDefault="00FF7CAC" w:rsidP="00FF7CAC">
                    <w:pPr>
                      <w:pStyle w:val="NoSpacing"/>
                      <w:rPr>
                        <w:color w:val="2E74B5" w:themeColor="accent1" w:themeShade="BF"/>
                        <w:sz w:val="24"/>
                      </w:rPr>
                    </w:pPr>
                    <w:r>
                      <w:rPr>
                        <w:color w:val="2E74B5" w:themeColor="accent1" w:themeShade="BF"/>
                        <w:sz w:val="24"/>
                        <w:szCs w:val="24"/>
                      </w:rPr>
                      <w:t>Malcolm McDonald</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653781">
            <w:tc>
              <w:tcPr>
                <w:tcW w:w="7221" w:type="dxa"/>
                <w:tcMar>
                  <w:top w:w="216" w:type="dxa"/>
                  <w:left w:w="115" w:type="dxa"/>
                  <w:bottom w:w="216" w:type="dxa"/>
                  <w:right w:w="115" w:type="dxa"/>
                </w:tcMar>
              </w:tcPr>
              <w:sdt>
                <w:sdtPr>
                  <w:rPr>
                    <w:color w:val="5B9BD5" w:themeColor="accent1"/>
                    <w:sz w:val="28"/>
                    <w:szCs w:val="28"/>
                  </w:rPr>
                  <w:alias w:val="Author"/>
                  <w:id w:val="13406928"/>
                  <w:placeholder>
                    <w:docPart w:val="053437605E5A47E6A953AD88D6ED4BEC"/>
                  </w:placeholder>
                  <w:dataBinding w:prefixMappings="xmlns:ns0='http://schemas.openxmlformats.org/package/2006/metadata/core-properties' xmlns:ns1='http://purl.org/dc/elements/1.1/'" w:xpath="/ns0:coreProperties[1]/ns1:creator[1]" w:storeItemID="{6C3C8BC8-F283-45AE-878A-BAB7291924A1}"/>
                  <w:text/>
                </w:sdtPr>
                <w:sdtEndPr/>
                <w:sdtContent>
                  <w:p w:rsidR="00653781" w:rsidRDefault="00653781">
                    <w:pPr>
                      <w:pStyle w:val="NoSpacing"/>
                      <w:rPr>
                        <w:color w:val="5B9BD5" w:themeColor="accent1"/>
                        <w:sz w:val="28"/>
                        <w:szCs w:val="28"/>
                      </w:rPr>
                    </w:pPr>
                    <w:r>
                      <w:rPr>
                        <w:color w:val="5B9BD5" w:themeColor="accent1"/>
                        <w:sz w:val="28"/>
                        <w:szCs w:val="28"/>
                        <w:lang w:val="en-GB"/>
                      </w:rPr>
                      <w:t>Jack Cresswell</w:t>
                    </w:r>
                  </w:p>
                </w:sdtContent>
              </w:sdt>
              <w:sdt>
                <w:sdtPr>
                  <w:rPr>
                    <w:color w:val="5B9BD5" w:themeColor="accent1"/>
                    <w:sz w:val="28"/>
                    <w:szCs w:val="28"/>
                  </w:rPr>
                  <w:alias w:val="Date"/>
                  <w:tag w:val="Date"/>
                  <w:id w:val="13406932"/>
                  <w:placeholder>
                    <w:docPart w:val="12E5AFDC6D9A4AD49A7384D83694EED6"/>
                  </w:placeholde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EndPr/>
                <w:sdtContent>
                  <w:p w:rsidR="00653781" w:rsidRDefault="00FF7CAC">
                    <w:pPr>
                      <w:pStyle w:val="NoSpacing"/>
                      <w:rPr>
                        <w:color w:val="5B9BD5" w:themeColor="accent1"/>
                        <w:sz w:val="28"/>
                        <w:szCs w:val="28"/>
                      </w:rPr>
                    </w:pPr>
                    <w:r>
                      <w:rPr>
                        <w:color w:val="5B9BD5" w:themeColor="accent1"/>
                        <w:sz w:val="28"/>
                        <w:szCs w:val="28"/>
                      </w:rPr>
                      <w:t>P143629</w:t>
                    </w:r>
                  </w:p>
                </w:sdtContent>
              </w:sdt>
              <w:p w:rsidR="00653781" w:rsidRDefault="00653781">
                <w:pPr>
                  <w:pStyle w:val="NoSpacing"/>
                  <w:rPr>
                    <w:color w:val="5B9BD5" w:themeColor="accent1"/>
                  </w:rPr>
                </w:pPr>
              </w:p>
            </w:tc>
          </w:tr>
        </w:tbl>
        <w:p w:rsidR="00653781" w:rsidRDefault="00653781">
          <w:r>
            <w:br w:type="page"/>
          </w:r>
        </w:p>
      </w:sdtContent>
    </w:sdt>
    <w:p w:rsidR="00665730" w:rsidRDefault="00665730" w:rsidP="00A911E0">
      <w:pPr>
        <w:pStyle w:val="Heading1"/>
      </w:pPr>
      <w:r>
        <w:lastRenderedPageBreak/>
        <w:t>2025 Powertrain proposal</w:t>
      </w:r>
      <w:r w:rsidR="00A911E0">
        <w:t xml:space="preserve"> for</w:t>
      </w:r>
      <w:r>
        <w:t xml:space="preserve"> Vauxhall.</w:t>
      </w:r>
    </w:p>
    <w:p w:rsidR="00A911E0" w:rsidRPr="00A911E0" w:rsidRDefault="00A911E0" w:rsidP="00A911E0"/>
    <w:p w:rsidR="00CB04F8" w:rsidRDefault="000C7658">
      <w:r>
        <w:t>With stricter emissions regulations coming into place it will force powertrains to become electrified.</w:t>
      </w:r>
      <w:r w:rsidR="00A911E0">
        <w:t xml:space="preserve"> Currently no Vauxhall Vehicles are </w:t>
      </w:r>
      <w:r w:rsidR="00795306">
        <w:t>electrified</w:t>
      </w:r>
      <w:r w:rsidR="00A911E0">
        <w:t>.</w:t>
      </w:r>
      <w:r>
        <w:t xml:space="preserve"> </w:t>
      </w:r>
      <w:r w:rsidR="00CB04F8">
        <w:t>The CO</w:t>
      </w:r>
      <w:r w:rsidR="00CB04F8">
        <w:rPr>
          <w:vertAlign w:val="subscript"/>
        </w:rPr>
        <w:t>2</w:t>
      </w:r>
      <w:r w:rsidR="00CB04F8">
        <w:t xml:space="preserve"> emissions target for 2025 is 68 grams per kilometre, nearly half of the current target (130 grams per km)</w:t>
      </w:r>
      <w:r w:rsidR="00C26306">
        <w:t xml:space="preserve"> </w:t>
      </w:r>
      <w:sdt>
        <w:sdtPr>
          <w:id w:val="1974319931"/>
          <w:citation/>
        </w:sdtPr>
        <w:sdtContent>
          <w:r w:rsidR="00C26306">
            <w:fldChar w:fldCharType="begin"/>
          </w:r>
          <w:r w:rsidR="00C26306">
            <w:instrText xml:space="preserve"> CITATION Cli17 \l 2057 </w:instrText>
          </w:r>
          <w:r w:rsidR="00C26306">
            <w:fldChar w:fldCharType="separate"/>
          </w:r>
          <w:r w:rsidR="00C26306" w:rsidRPr="00C26306">
            <w:rPr>
              <w:noProof/>
            </w:rPr>
            <w:t>(Action, 2017)</w:t>
          </w:r>
          <w:r w:rsidR="00C26306">
            <w:fldChar w:fldCharType="end"/>
          </w:r>
        </w:sdtContent>
      </w:sdt>
      <w:r w:rsidR="00CB04F8">
        <w:t>.</w:t>
      </w:r>
      <w:r w:rsidR="001F0067">
        <w:t xml:space="preserve"> Ideally a fully electric car would be the best solution to pass an emissions test however for long journeys electric vehicles are not practical dues to their limited range. </w:t>
      </w:r>
    </w:p>
    <w:p w:rsidR="000504FD" w:rsidRDefault="000C7658">
      <w:r>
        <w:t>Current battery technology makes it difficult to replicate the range of internal combustion engines</w:t>
      </w:r>
      <w:r w:rsidR="001F0067">
        <w:t xml:space="preserve"> and can cause “range anxiety” to the driver</w:t>
      </w:r>
      <w:r>
        <w:t xml:space="preserve">. Nearly all current electric vehicles use lithium ion batteries however due to the low </w:t>
      </w:r>
      <w:r w:rsidR="0033369D">
        <w:t>energy density of lithium ion compared to gasoline or diesel extremely large and heavy batteries must be used to get useable range of the vehicle. For every kilogram of fuel</w:t>
      </w:r>
      <w:r w:rsidR="0047135C">
        <w:t xml:space="preserve"> (gasoline or diesel)</w:t>
      </w:r>
      <w:r w:rsidR="0033369D">
        <w:t xml:space="preserve"> roughly 22 kg of lithium ion is needed to achieve the same energy. This results in much heavier vehicles for example the electric version of the Volkswagen golf is nearly 25% heavier than the gasoline version</w:t>
      </w:r>
      <w:r w:rsidR="00C26306">
        <w:t xml:space="preserve"> </w:t>
      </w:r>
      <w:sdt>
        <w:sdtPr>
          <w:id w:val="1221482982"/>
          <w:citation/>
        </w:sdtPr>
        <w:sdtContent>
          <w:r w:rsidR="00C26306">
            <w:fldChar w:fldCharType="begin"/>
          </w:r>
          <w:r w:rsidR="00C26306">
            <w:instrText xml:space="preserve"> CITATION Vol18 \l 2057 </w:instrText>
          </w:r>
          <w:r w:rsidR="00C26306">
            <w:fldChar w:fldCharType="separate"/>
          </w:r>
          <w:r w:rsidR="00C26306" w:rsidRPr="00C26306">
            <w:rPr>
              <w:noProof/>
            </w:rPr>
            <w:t>(Volkswagen, 2018)</w:t>
          </w:r>
          <w:r w:rsidR="00C26306">
            <w:fldChar w:fldCharType="end"/>
          </w:r>
        </w:sdtContent>
      </w:sdt>
      <w:r w:rsidR="0033369D">
        <w:t xml:space="preserve">. Therefore it is desirable to </w:t>
      </w:r>
      <w:r w:rsidR="000504FD">
        <w:t>have a</w:t>
      </w:r>
      <w:r w:rsidR="0033369D">
        <w:t xml:space="preserve"> hybrid system where the battery size can be reduced significantly but contains enough en</w:t>
      </w:r>
      <w:r w:rsidR="000504FD">
        <w:t xml:space="preserve">ergy to </w:t>
      </w:r>
      <w:r w:rsidR="0033369D">
        <w:t>have a reasonable drive cycle range.</w:t>
      </w:r>
      <w:r w:rsidR="001135BD">
        <w:t xml:space="preserve"> Current lithium ion batteries cost around $150 per Kwh with an e</w:t>
      </w:r>
      <w:r w:rsidR="002947F5">
        <w:t>xpected reduction to $100 per kW</w:t>
      </w:r>
      <w:r w:rsidR="001135BD">
        <w:t>h by 2020</w:t>
      </w:r>
      <w:r w:rsidR="00C26306">
        <w:t xml:space="preserve"> </w:t>
      </w:r>
      <w:sdt>
        <w:sdtPr>
          <w:id w:val="-343172383"/>
          <w:citation/>
        </w:sdtPr>
        <w:sdtContent>
          <w:r w:rsidR="00C26306">
            <w:fldChar w:fldCharType="begin"/>
          </w:r>
          <w:r w:rsidR="00C26306">
            <w:instrText xml:space="preserve"> CITATION JEF15 \l 2057 </w:instrText>
          </w:r>
          <w:r w:rsidR="00C26306">
            <w:fldChar w:fldCharType="separate"/>
          </w:r>
          <w:r w:rsidR="00C26306" w:rsidRPr="00C26306">
            <w:rPr>
              <w:noProof/>
            </w:rPr>
            <w:t>(Cobb, 2015)</w:t>
          </w:r>
          <w:r w:rsidR="00C26306">
            <w:fldChar w:fldCharType="end"/>
          </w:r>
        </w:sdtContent>
      </w:sdt>
      <w:r w:rsidR="001135BD">
        <w:t xml:space="preserve">. </w:t>
      </w:r>
      <w:r w:rsidR="00876112">
        <w:t xml:space="preserve">One of the bestselling electric cars in Europe is the Renault </w:t>
      </w:r>
      <w:r w:rsidR="002947F5">
        <w:t>ZOE</w:t>
      </w:r>
      <w:r w:rsidR="00C26306">
        <w:t xml:space="preserve"> </w:t>
      </w:r>
      <w:sdt>
        <w:sdtPr>
          <w:id w:val="-1692602987"/>
          <w:citation/>
        </w:sdtPr>
        <w:sdtContent>
          <w:r w:rsidR="00C26306">
            <w:fldChar w:fldCharType="begin"/>
          </w:r>
          <w:r w:rsidR="00C26306">
            <w:instrText xml:space="preserve"> CITATION Jos18 \l 2057 </w:instrText>
          </w:r>
          <w:r w:rsidR="00C26306">
            <w:fldChar w:fldCharType="separate"/>
          </w:r>
          <w:r w:rsidR="00C26306" w:rsidRPr="00C26306">
            <w:rPr>
              <w:noProof/>
            </w:rPr>
            <w:t>(Pontes, 2018)</w:t>
          </w:r>
          <w:r w:rsidR="00C26306">
            <w:fldChar w:fldCharType="end"/>
          </w:r>
        </w:sdtContent>
      </w:sdt>
      <w:r w:rsidR="00876112">
        <w:t>, this has a 41 Kwh battery and a 250 mile NEDC electric range</w:t>
      </w:r>
      <w:sdt>
        <w:sdtPr>
          <w:id w:val="-1617445185"/>
          <w:citation/>
        </w:sdtPr>
        <w:sdtContent>
          <w:r w:rsidR="00C26306">
            <w:fldChar w:fldCharType="begin"/>
          </w:r>
          <w:r w:rsidR="00C26306">
            <w:instrText xml:space="preserve"> CITATION Ric18 \l 2057 </w:instrText>
          </w:r>
          <w:r w:rsidR="00C26306">
            <w:fldChar w:fldCharType="separate"/>
          </w:r>
          <w:r w:rsidR="00C26306">
            <w:rPr>
              <w:noProof/>
            </w:rPr>
            <w:t xml:space="preserve"> </w:t>
          </w:r>
          <w:r w:rsidR="00C26306" w:rsidRPr="00C26306">
            <w:rPr>
              <w:noProof/>
            </w:rPr>
            <w:t>(Ingram, 2018)</w:t>
          </w:r>
          <w:r w:rsidR="00C26306">
            <w:fldChar w:fldCharType="end"/>
          </w:r>
        </w:sdtContent>
      </w:sdt>
      <w:r w:rsidR="00876112">
        <w:t xml:space="preserve">. A maximum 45 minute charge at a </w:t>
      </w:r>
      <w:r w:rsidR="0030514C">
        <w:t>shell servic</w:t>
      </w:r>
      <w:r w:rsidR="00876112">
        <w:t>e station at a cost of £0.</w:t>
      </w:r>
      <w:r w:rsidR="0030514C">
        <w:t>49</w:t>
      </w:r>
      <w:r w:rsidR="00876112">
        <w:t xml:space="preserve"> per Kwh</w:t>
      </w:r>
      <w:r w:rsidR="0030514C">
        <w:t xml:space="preserve"> (price in June 2018)</w:t>
      </w:r>
      <w:sdt>
        <w:sdtPr>
          <w:id w:val="908666429"/>
          <w:citation/>
        </w:sdtPr>
        <w:sdtContent>
          <w:r w:rsidR="00C26306">
            <w:fldChar w:fldCharType="begin"/>
          </w:r>
          <w:r w:rsidR="00C26306">
            <w:instrText xml:space="preserve"> CITATION She18 \l 2057 </w:instrText>
          </w:r>
          <w:r w:rsidR="00C26306">
            <w:fldChar w:fldCharType="separate"/>
          </w:r>
          <w:r w:rsidR="00C26306">
            <w:rPr>
              <w:noProof/>
            </w:rPr>
            <w:t xml:space="preserve"> </w:t>
          </w:r>
          <w:r w:rsidR="00C26306" w:rsidRPr="00C26306">
            <w:rPr>
              <w:noProof/>
            </w:rPr>
            <w:t>(Shell, 2018)</w:t>
          </w:r>
          <w:r w:rsidR="00C26306">
            <w:fldChar w:fldCharType="end"/>
          </w:r>
        </w:sdtContent>
      </w:sdt>
      <w:r w:rsidR="0030514C">
        <w:t xml:space="preserve"> with a 50 Kwh charger will cost £18.38 and give a range of around </w:t>
      </w:r>
      <w:r w:rsidR="003B21C3">
        <w:t>225 NEDC miles. Comparing this t</w:t>
      </w:r>
      <w:r w:rsidR="0030514C">
        <w:t xml:space="preserve">o a 1 series BMW diesel for the same cost of diesel you can achieve 268 NEDC miles. Therefor the cost per mile is greater for the Renault </w:t>
      </w:r>
      <w:r w:rsidR="00A911E0">
        <w:t>ZOE</w:t>
      </w:r>
      <w:r w:rsidR="0030514C">
        <w:t>.</w:t>
      </w:r>
    </w:p>
    <w:p w:rsidR="002947F5" w:rsidRDefault="000504FD">
      <w:r>
        <w:t>The most efficient way to integrate an internal combustion engine to create a hybrid vehicle would be to use the engine as a range extender to charge the vehicles batteries. This means the e</w:t>
      </w:r>
      <w:r w:rsidR="005C5B40">
        <w:t>ngine can be optimised to run at</w:t>
      </w:r>
      <w:r>
        <w:t xml:space="preserve"> a specific rpm </w:t>
      </w:r>
      <w:r w:rsidR="005C5B40">
        <w:t>where the engine is most efficient</w:t>
      </w:r>
      <w:r w:rsidR="00085A13">
        <w:t xml:space="preserve"> in its Optimal BSFC range</w:t>
      </w:r>
      <w:r w:rsidR="005C5B40">
        <w:t xml:space="preserve"> </w:t>
      </w:r>
      <w:r>
        <w:t xml:space="preserve">to meet the </w:t>
      </w:r>
      <w:r w:rsidR="003B21C3">
        <w:t>charging</w:t>
      </w:r>
      <w:r>
        <w:t xml:space="preserve"> requirements of the batteries.</w:t>
      </w:r>
      <w:r w:rsidR="00FF7CAC">
        <w:t xml:space="preserve"> Using an internal combustion engine is parallel with batteries is useful for having a long range vehicle however the engine would not be able to run at its most efficient point all of the time and will have to be large enough to produce enough power to drive the vehicle therefore adding weight. </w:t>
      </w:r>
      <w:r w:rsidR="00FF7CAC">
        <w:fldChar w:fldCharType="begin"/>
      </w:r>
      <w:r w:rsidR="00FF7CAC">
        <w:instrText xml:space="preserve"> REF _Ref510102237 \h </w:instrText>
      </w:r>
      <w:r w:rsidR="00FF7CAC">
        <w:fldChar w:fldCharType="separate"/>
      </w:r>
      <w:r w:rsidR="00FF7CAC">
        <w:t xml:space="preserve">Figure </w:t>
      </w:r>
      <w:r w:rsidR="00FF7CAC">
        <w:rPr>
          <w:noProof/>
        </w:rPr>
        <w:t>1</w:t>
      </w:r>
      <w:r w:rsidR="00FF7CAC">
        <w:fldChar w:fldCharType="end"/>
      </w:r>
      <w:r w:rsidR="00FF7CAC">
        <w:t xml:space="preserve"> shows </w:t>
      </w:r>
      <w:r w:rsidR="0047135C">
        <w:t>how running the engine at a single rpm and load point is beneficial for efficiency.</w:t>
      </w:r>
      <w:bookmarkStart w:id="0" w:name="_GoBack"/>
      <w:bookmarkEnd w:id="0"/>
    </w:p>
    <w:p w:rsidR="00FE3DD8" w:rsidRDefault="00FE3DD8"/>
    <w:p w:rsidR="00FE3DD8" w:rsidRDefault="00FE3DD8"/>
    <w:p w:rsidR="00FE3DD8" w:rsidRDefault="00FE3DD8"/>
    <w:p w:rsidR="00FE3DD8" w:rsidRDefault="00FE3DD8"/>
    <w:p w:rsidR="00FE3DD8" w:rsidRDefault="00FE3DD8"/>
    <w:p w:rsidR="00FE3DD8" w:rsidRDefault="00FE3DD8"/>
    <w:p w:rsidR="00FE3DD8" w:rsidRDefault="00FE3DD8"/>
    <w:p w:rsidR="00FE3DD8" w:rsidRDefault="00FE3DD8"/>
    <w:p w:rsidR="00FE3DD8" w:rsidRDefault="00FE3DD8"/>
    <w:p w:rsidR="00085A13" w:rsidRDefault="00085A13"/>
    <w:p w:rsidR="00085A13" w:rsidRDefault="00FF7CAC">
      <w:r>
        <w:rPr>
          <w:noProof/>
        </w:rPr>
        <w:lastRenderedPageBreak/>
        <mc:AlternateContent>
          <mc:Choice Requires="wps">
            <w:drawing>
              <wp:anchor distT="0" distB="0" distL="114300" distR="114300" simplePos="0" relativeHeight="251660288" behindDoc="0" locked="0" layoutInCell="1" allowOverlap="1" wp14:anchorId="3266CE2C" wp14:editId="2D004F65">
                <wp:simplePos x="0" y="0"/>
                <wp:positionH relativeFrom="column">
                  <wp:posOffset>0</wp:posOffset>
                </wp:positionH>
                <wp:positionV relativeFrom="paragraph">
                  <wp:posOffset>3061335</wp:posOffset>
                </wp:positionV>
                <wp:extent cx="4664075" cy="635"/>
                <wp:effectExtent l="0" t="0" r="0" b="0"/>
                <wp:wrapNone/>
                <wp:docPr id="1" name="Text Box 1"/>
                <wp:cNvGraphicFramePr/>
                <a:graphic xmlns:a="http://schemas.openxmlformats.org/drawingml/2006/main">
                  <a:graphicData uri="http://schemas.microsoft.com/office/word/2010/wordprocessingShape">
                    <wps:wsp>
                      <wps:cNvSpPr txBox="1"/>
                      <wps:spPr>
                        <a:xfrm>
                          <a:off x="0" y="0"/>
                          <a:ext cx="4664075" cy="635"/>
                        </a:xfrm>
                        <a:prstGeom prst="rect">
                          <a:avLst/>
                        </a:prstGeom>
                        <a:solidFill>
                          <a:prstClr val="white"/>
                        </a:solidFill>
                        <a:ln>
                          <a:noFill/>
                        </a:ln>
                      </wps:spPr>
                      <wps:txbx>
                        <w:txbxContent>
                          <w:p w:rsidR="00FF7CAC" w:rsidRPr="00362E98" w:rsidRDefault="00FF7CAC" w:rsidP="00FF7CAC">
                            <w:pPr>
                              <w:pStyle w:val="Caption"/>
                              <w:rPr>
                                <w:noProof/>
                              </w:rPr>
                            </w:pPr>
                            <w:bookmarkStart w:id="1" w:name="_Ref510102237"/>
                            <w:r>
                              <w:t xml:space="preserve">Figure </w:t>
                            </w:r>
                            <w:fldSimple w:instr=" SEQ Figure \* ARABIC ">
                              <w:r>
                                <w:rPr>
                                  <w:noProof/>
                                </w:rPr>
                                <w:t>1</w:t>
                              </w:r>
                            </w:fldSimple>
                            <w:bookmarkEnd w:id="1"/>
                            <w:r>
                              <w:t xml:space="preserve"> BSFC Map</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266CE2C" id="_x0000_t202" coordsize="21600,21600" o:spt="202" path="m,l,21600r21600,l21600,xe">
                <v:stroke joinstyle="miter"/>
                <v:path gradientshapeok="t" o:connecttype="rect"/>
              </v:shapetype>
              <v:shape id="Text Box 1" o:spid="_x0000_s1026" type="#_x0000_t202" style="position:absolute;margin-left:0;margin-top:241.05pt;width:367.2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whanKgIAAF0EAAAOAAAAZHJzL2Uyb0RvYy54bWysVE1vGjEQvVfqf7B8LwtpQqMVS0SJqCpF&#10;SSSocjZeL2vJ9rhjwy799R3vB2nTnqpezOzM87PfvDGLu9YadlIYNLiCzyZTzpSTUGp3KPi33ebD&#10;LWchClcKA04V/KwCv1u+f7dofK6uoAZTKmRE4kLe+ILXMfo8y4KslRVhAl45KlaAVkT6xENWomiI&#10;3ZrsajqdZw1g6RGkCoGy932RLzv+qlIyPlVVUJGZgtPdYrdit+7Tmi0XIj+g8LWWwzXEP9zCCu3o&#10;0AvVvYiCHVH/QWW1RAhQxYkEm0FVaak6DaRmNn2jZlsLrzot1JzgL20K/49WPp6ekemSvOPMCUsW&#10;7VQb2Wdo2Sx1p/EhJ9DWEyy2lE7IIR8omUS3Fdr0S3IY1anP50tvE5mk5PV8fj39dMOZpNr8403i&#10;yF63egzxiwLLUlBwJOO6forTQ4g9dISkkwIYXW60MekjFdYG2UmQyU2toxrIf0MZl7AO0q6eMGWy&#10;pK/XkaLY7ttB3B7KM2lG6GcmeLnRdNCDCPFZIA0JyaTBj0+0VAaagsMQcVYD/vhbPuHJO6py1tDQ&#10;FTx8PwpUnJmvjlxNEzoGOAb7MXBHuwaSSE7RbbqQNmA0Y1gh2Bd6D6t0CpWEk3RWweMYrmM/+vSe&#10;pFqtOhDNoRfxwW29TNRjQ3fti0A/2BHJxUcYx1Hkb1zpsZ0vfnWM1OLOstTQvotDn2mGO9OH95Ye&#10;ya/fHer1X2H5EwAA//8DAFBLAwQUAAYACAAAACEA4deejOAAAAAIAQAADwAAAGRycy9kb3ducmV2&#10;LnhtbEyPwU7DMBBE70j8g7WVuCDqNE1LFeJUVQUHuFSkvXBz422cEq8j22nD32O4wHF2VjNvivVo&#10;OnZB51tLAmbTBBhSbVVLjYDD/uVhBcwHSUp2llDAF3pYl7c3hcyVvdI7XqrQsBhCPpcCdAh9zrmv&#10;NRrpp7ZHit7JOiNDlK7hyslrDDcdT5NkyY1sKTZo2eNWY/1ZDUbALvvY6fvh9Py2yebu9TBsl+em&#10;EuJuMm6egAUcw98z/OBHdCgj09EOpDzrBMQhQUC2SmfAov04zxbAjr+XFHhZ8P8Dym8AAAD//wMA&#10;UEsBAi0AFAAGAAgAAAAhALaDOJL+AAAA4QEAABMAAAAAAAAAAAAAAAAAAAAAAFtDb250ZW50X1R5&#10;cGVzXS54bWxQSwECLQAUAAYACAAAACEAOP0h/9YAAACUAQAACwAAAAAAAAAAAAAAAAAvAQAAX3Jl&#10;bHMvLnJlbHNQSwECLQAUAAYACAAAACEAFsIWpyoCAABdBAAADgAAAAAAAAAAAAAAAAAuAgAAZHJz&#10;L2Uyb0RvYy54bWxQSwECLQAUAAYACAAAACEA4deejOAAAAAIAQAADwAAAAAAAAAAAAAAAACEBAAA&#10;ZHJzL2Rvd25yZXYueG1sUEsFBgAAAAAEAAQA8wAAAJEFAAAAAA==&#10;" stroked="f">
                <v:textbox style="mso-fit-shape-to-text:t" inset="0,0,0,0">
                  <w:txbxContent>
                    <w:p w:rsidR="00FF7CAC" w:rsidRPr="00362E98" w:rsidRDefault="00FF7CAC" w:rsidP="00FF7CAC">
                      <w:pPr>
                        <w:pStyle w:val="Caption"/>
                        <w:rPr>
                          <w:noProof/>
                        </w:rPr>
                      </w:pPr>
                      <w:bookmarkStart w:id="2" w:name="_Ref510102237"/>
                      <w:r>
                        <w:t xml:space="preserve">Figure </w:t>
                      </w:r>
                      <w:fldSimple w:instr=" SEQ Figure \* ARABIC ">
                        <w:r>
                          <w:rPr>
                            <w:noProof/>
                          </w:rPr>
                          <w:t>1</w:t>
                        </w:r>
                      </w:fldSimple>
                      <w:bookmarkEnd w:id="2"/>
                      <w:r>
                        <w:t xml:space="preserve"> BSFC Map</w:t>
                      </w:r>
                    </w:p>
                  </w:txbxContent>
                </v:textbox>
              </v:shape>
            </w:pict>
          </mc:Fallback>
        </mc:AlternateContent>
      </w:r>
      <w:r w:rsidR="00085A13">
        <w:rPr>
          <w:noProof/>
          <w:lang w:eastAsia="en-GB"/>
        </w:rPr>
        <w:drawing>
          <wp:anchor distT="0" distB="0" distL="114300" distR="114300" simplePos="0" relativeHeight="251658240" behindDoc="0" locked="0" layoutInCell="1" allowOverlap="1">
            <wp:simplePos x="0" y="0"/>
            <wp:positionH relativeFrom="margin">
              <wp:align>left</wp:align>
            </wp:positionH>
            <wp:positionV relativeFrom="paragraph">
              <wp:posOffset>10795</wp:posOffset>
            </wp:positionV>
            <wp:extent cx="4664075" cy="2993390"/>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64075" cy="2993390"/>
                    </a:xfrm>
                    <a:prstGeom prst="rect">
                      <a:avLst/>
                    </a:prstGeom>
                    <a:noFill/>
                  </pic:spPr>
                </pic:pic>
              </a:graphicData>
            </a:graphic>
          </wp:anchor>
        </w:drawing>
      </w:r>
    </w:p>
    <w:p w:rsidR="00085A13" w:rsidRDefault="00085A13"/>
    <w:p w:rsidR="00085A13" w:rsidRDefault="00085A13"/>
    <w:p w:rsidR="00085A13" w:rsidRDefault="00085A13"/>
    <w:p w:rsidR="00085A13" w:rsidRDefault="00085A13"/>
    <w:p w:rsidR="00085A13" w:rsidRDefault="00085A13"/>
    <w:p w:rsidR="00085A13" w:rsidRDefault="00085A13"/>
    <w:p w:rsidR="00085A13" w:rsidRDefault="00085A13"/>
    <w:p w:rsidR="00FE3DD8" w:rsidRDefault="00FE3DD8"/>
    <w:p w:rsidR="00FE3DD8" w:rsidRDefault="00FE3DD8"/>
    <w:p w:rsidR="00FE3DD8" w:rsidRDefault="00FE3DD8"/>
    <w:p w:rsidR="00FE3DD8" w:rsidRDefault="00FE3DD8"/>
    <w:p w:rsidR="002947F5" w:rsidRDefault="002947F5"/>
    <w:p w:rsidR="00085A13" w:rsidRDefault="005C5B40">
      <w:r>
        <w:t>A range extender can maintain state of charge the battery or reduce the rate of depletion by reducing the net discharge from the battery.</w:t>
      </w:r>
      <w:r w:rsidR="003230F5">
        <w:t xml:space="preserve"> For example the range extender could be matched to maintain char</w:t>
      </w:r>
      <w:r w:rsidR="003B21C3">
        <w:t>ge</w:t>
      </w:r>
      <w:r w:rsidR="003230F5">
        <w:t xml:space="preserve"> at 70 mph for motorway driving. For a </w:t>
      </w:r>
      <w:r w:rsidR="0088494C">
        <w:t>mid-size</w:t>
      </w:r>
      <w:r w:rsidR="003230F5">
        <w:t xml:space="preserve"> passenger car it takes roughly 21 </w:t>
      </w:r>
      <w:r w:rsidR="00C26306">
        <w:t>kW</w:t>
      </w:r>
      <w:r w:rsidR="003230F5">
        <w:t xml:space="preserve"> to stay at a constant 70 mph</w:t>
      </w:r>
      <w:r w:rsidR="006642E2">
        <w:t xml:space="preserve"> therefore if the range extender was able to output this power it could keep a state of charge.</w:t>
      </w:r>
      <w:r>
        <w:t xml:space="preserve"> If the battery can be reduced from 4</w:t>
      </w:r>
      <w:r w:rsidR="00085A13">
        <w:t>0 kWh to 20 kW</w:t>
      </w:r>
      <w:r>
        <w:t>h the weight can be reduced by 100 kg and the cost can be reduced by $2000 (2020 projected prices).</w:t>
      </w:r>
      <w:r w:rsidR="004946F9">
        <w:t xml:space="preserve"> Using a small engine as a range extender will also mean that the recently developed downsizing technology can still be used. </w:t>
      </w:r>
      <w:r w:rsidR="00FE3DD8">
        <w:t>All calculations can be found in Appendix.</w:t>
      </w:r>
    </w:p>
    <w:p w:rsidR="00FF7CAC" w:rsidRDefault="00085A13">
      <w:r>
        <w:t xml:space="preserve">BMW use a 650cc twin cylinder gasoline engine </w:t>
      </w:r>
      <w:r w:rsidR="00C02104">
        <w:t xml:space="preserve">in the I3 Rex </w:t>
      </w:r>
      <w:r>
        <w:t>from their motorcycle sector producing 25Kw that has the ability to extend the range by 100Km.</w:t>
      </w:r>
      <w:r w:rsidR="00C02104">
        <w:t xml:space="preserve"> The I3 Rex has a 33 KWh battery. The </w:t>
      </w:r>
      <w:sdt>
        <w:sdtPr>
          <w:id w:val="-246814840"/>
          <w:citation/>
        </w:sdtPr>
        <w:sdtContent>
          <w:r w:rsidR="004A146B">
            <w:fldChar w:fldCharType="begin"/>
          </w:r>
          <w:r w:rsidR="004A146B">
            <w:instrText xml:space="preserve"> CITATION bmw17 \l 2057 </w:instrText>
          </w:r>
          <w:r w:rsidR="004A146B">
            <w:fldChar w:fldCharType="separate"/>
          </w:r>
          <w:r w:rsidR="004A146B" w:rsidRPr="004A146B">
            <w:rPr>
              <w:noProof/>
            </w:rPr>
            <w:t>(bmw-powertrain, 2017)</w:t>
          </w:r>
          <w:r w:rsidR="004A146B">
            <w:fldChar w:fldCharType="end"/>
          </w:r>
        </w:sdtContent>
      </w:sdt>
      <w:r w:rsidR="004A146B">
        <w:t>. The ability to run electrically in the drive cycle gives impressive equivalent fuel consumption and emissions figures, 471 Equivalent MPG and</w:t>
      </w:r>
      <w:r w:rsidR="00FF7CAC">
        <w:t xml:space="preserve"> </w:t>
      </w:r>
      <w:r w:rsidR="004A146B">
        <w:t xml:space="preserve">13g/km CO2 </w:t>
      </w:r>
      <w:sdt>
        <w:sdtPr>
          <w:id w:val="587353833"/>
          <w:citation/>
        </w:sdtPr>
        <w:sdtContent>
          <w:r w:rsidR="004A146B">
            <w:fldChar w:fldCharType="begin"/>
          </w:r>
          <w:r w:rsidR="004A146B">
            <w:instrText xml:space="preserve"> CITATION Chr2525 \l 2057 </w:instrText>
          </w:r>
          <w:r w:rsidR="004A146B">
            <w:fldChar w:fldCharType="separate"/>
          </w:r>
          <w:r w:rsidR="004A146B" w:rsidRPr="004A146B">
            <w:rPr>
              <w:noProof/>
            </w:rPr>
            <w:t>(Lilley, 2018)</w:t>
          </w:r>
          <w:r w:rsidR="004A146B">
            <w:fldChar w:fldCharType="end"/>
          </w:r>
        </w:sdtContent>
      </w:sdt>
      <w:r w:rsidR="004A146B">
        <w:t xml:space="preserve">, falling well below the 2025 target. MAHLE Powertrain developed a Range extender demonstrator vehicle which has a purpose built larger 900cc twin cylinder engine producing 30 to 40 Kw with the ability to be increased to 50 Kw </w:t>
      </w:r>
      <w:r w:rsidR="00C02104">
        <w:t>with an electrical Supercharger to charge a 14 kWh battery. This engine allows the demonstrator vehicle to maintain a constant speed of 120 Km/h (75 mph) and can extend the range from 60 Km to 500 Km. it can achieve 45g/km CO2 on the NEDC once again well under the 2025 target</w:t>
      </w:r>
      <w:sdt>
        <w:sdtPr>
          <w:id w:val="1716543990"/>
          <w:citation/>
        </w:sdtPr>
        <w:sdtContent>
          <w:r w:rsidR="00C26306">
            <w:fldChar w:fldCharType="begin"/>
          </w:r>
          <w:r w:rsidR="00C26306">
            <w:instrText xml:space="preserve"> CITATION mah14 \l 2057 </w:instrText>
          </w:r>
          <w:r w:rsidR="00C26306">
            <w:fldChar w:fldCharType="separate"/>
          </w:r>
          <w:r w:rsidR="00C26306">
            <w:rPr>
              <w:noProof/>
            </w:rPr>
            <w:t xml:space="preserve"> </w:t>
          </w:r>
          <w:r w:rsidR="00C26306" w:rsidRPr="00C26306">
            <w:rPr>
              <w:noProof/>
            </w:rPr>
            <w:t>(mahle, 2014)</w:t>
          </w:r>
          <w:r w:rsidR="00C26306">
            <w:fldChar w:fldCharType="end"/>
          </w:r>
        </w:sdtContent>
      </w:sdt>
      <w:r w:rsidR="00C26306">
        <w:t>.</w:t>
      </w:r>
      <w:r w:rsidR="00C02104">
        <w:t xml:space="preserve"> </w:t>
      </w:r>
    </w:p>
    <w:p w:rsidR="0047135C" w:rsidRDefault="0047135C"/>
    <w:p w:rsidR="0047135C" w:rsidRDefault="0047135C"/>
    <w:p w:rsidR="0047135C" w:rsidRDefault="0047135C"/>
    <w:p w:rsidR="0047135C" w:rsidRDefault="0047135C"/>
    <w:p w:rsidR="0047135C" w:rsidRDefault="0047135C"/>
    <w:p w:rsidR="00FF7CAC" w:rsidRDefault="008178A1">
      <w:r>
        <w:lastRenderedPageBreak/>
        <w:t>Due to the inherent problem of poor energy density of lithium ion batteries, long charging times compared to fuel filling time a fully electric vehicle is not practical. I</w:t>
      </w:r>
      <w:r w:rsidR="00412FAB">
        <w:t xml:space="preserve"> propose that the powertrain used for 2025 would </w:t>
      </w:r>
      <w:r>
        <w:t>still use a</w:t>
      </w:r>
      <w:r w:rsidR="00412FAB">
        <w:t xml:space="preserve"> lithium Ion Battery providing power to an electric motor with the use of a small capacity gasoline range extender. The range extender engine will get rid of the “range anxiety” felt when driving purely electric vehicles and allow for much further journeys. The engine should be powerful enough to allow for constant speed motorway driving which will allow for a smaller battery that will reduce cost and weight. The engine will operate at a specific RPM and optimised for that speed by reducing valve spring friction and </w:t>
      </w:r>
      <w:r w:rsidR="00A911E0">
        <w:t xml:space="preserve">adjusting </w:t>
      </w:r>
      <w:r w:rsidR="00412FAB">
        <w:t xml:space="preserve">camshaft timing. The addition of </w:t>
      </w:r>
      <w:r w:rsidR="00665730">
        <w:t>an</w:t>
      </w:r>
      <w:r w:rsidR="00412FAB">
        <w:t xml:space="preserve"> electrical supercharger </w:t>
      </w:r>
      <w:r w:rsidR="00A911E0">
        <w:t xml:space="preserve">similar to MAHLE Powertrain </w:t>
      </w:r>
      <w:r w:rsidR="00412FAB">
        <w:t>will allow the engine to be ran as a miller cyc</w:t>
      </w:r>
      <w:r w:rsidR="00665730">
        <w:t>le engine to improve efficiency and reduce emissions.</w:t>
      </w:r>
      <w:r>
        <w:t xml:space="preserve"> The ability to use only electric power at low speed in the city means that the operation of the vehicle is environmentally friendly</w:t>
      </w:r>
      <w:r w:rsidR="00C26306">
        <w:t xml:space="preserve">. </w:t>
      </w:r>
    </w:p>
    <w:p w:rsidR="00E41B1A" w:rsidRDefault="00E41B1A"/>
    <w:p w:rsidR="00465ECF" w:rsidRDefault="00465ECF"/>
    <w:p w:rsidR="00465ECF" w:rsidRDefault="00465ECF"/>
    <w:p w:rsidR="00465ECF" w:rsidRDefault="00465ECF"/>
    <w:p w:rsidR="00465ECF" w:rsidRDefault="00465ECF"/>
    <w:p w:rsidR="004946F9" w:rsidRDefault="004946F9"/>
    <w:p w:rsidR="00FE3DD8" w:rsidRDefault="00FE3DD8"/>
    <w:p w:rsidR="00FE3DD8" w:rsidRDefault="00FE3DD8"/>
    <w:p w:rsidR="00FE3DD8" w:rsidRDefault="00FE3DD8"/>
    <w:p w:rsidR="00FE3DD8" w:rsidRDefault="00FE3DD8"/>
    <w:p w:rsidR="00FE3DD8" w:rsidRDefault="00FE3DD8"/>
    <w:p w:rsidR="00FE3DD8" w:rsidRDefault="00FE3DD8"/>
    <w:p w:rsidR="00FE3DD8" w:rsidRDefault="00FE3DD8"/>
    <w:p w:rsidR="00FE3DD8" w:rsidRDefault="00FE3DD8"/>
    <w:p w:rsidR="00FE3DD8" w:rsidRDefault="00FE3DD8"/>
    <w:p w:rsidR="00FE3DD8" w:rsidRDefault="00FE3DD8"/>
    <w:p w:rsidR="00FE3DD8" w:rsidRDefault="00FE3DD8"/>
    <w:p w:rsidR="00FE3DD8" w:rsidRDefault="00FE3DD8"/>
    <w:p w:rsidR="00FE3DD8" w:rsidRDefault="00FE3DD8"/>
    <w:p w:rsidR="00FE3DD8" w:rsidRDefault="00FE3DD8"/>
    <w:p w:rsidR="00FE3DD8" w:rsidRDefault="00FE3DD8"/>
    <w:p w:rsidR="00FE3DD8" w:rsidRDefault="00FE3DD8"/>
    <w:p w:rsidR="00C26306" w:rsidRDefault="00C26306" w:rsidP="00EA080E"/>
    <w:sdt>
      <w:sdtPr>
        <w:id w:val="-1616209244"/>
        <w:docPartObj>
          <w:docPartGallery w:val="Bibliographies"/>
          <w:docPartUnique/>
        </w:docPartObj>
      </w:sdtPr>
      <w:sdtEndPr>
        <w:rPr>
          <w:rFonts w:asciiTheme="minorHAnsi" w:eastAsiaTheme="minorHAnsi" w:hAnsiTheme="minorHAnsi" w:cstheme="minorBidi"/>
          <w:color w:val="auto"/>
          <w:sz w:val="22"/>
          <w:szCs w:val="22"/>
        </w:rPr>
      </w:sdtEndPr>
      <w:sdtContent>
        <w:p w:rsidR="0047135C" w:rsidRDefault="0047135C">
          <w:pPr>
            <w:pStyle w:val="Heading1"/>
          </w:pPr>
          <w:r>
            <w:t>References</w:t>
          </w:r>
        </w:p>
        <w:sdt>
          <w:sdtPr>
            <w:id w:val="-573587230"/>
            <w:bibliography/>
          </w:sdtPr>
          <w:sdtContent>
            <w:p w:rsidR="0047135C" w:rsidRDefault="0047135C" w:rsidP="0047135C">
              <w:pPr>
                <w:pStyle w:val="Bibliography"/>
                <w:rPr>
                  <w:noProof/>
                  <w:sz w:val="24"/>
                  <w:szCs w:val="24"/>
                </w:rPr>
              </w:pPr>
              <w:r>
                <w:fldChar w:fldCharType="begin"/>
              </w:r>
              <w:r>
                <w:instrText xml:space="preserve"> BIBLIOGRAPHY </w:instrText>
              </w:r>
              <w:r>
                <w:fldChar w:fldCharType="separate"/>
              </w:r>
              <w:r>
                <w:rPr>
                  <w:noProof/>
                </w:rPr>
                <w:t xml:space="preserve">Action, C., 2017. </w:t>
              </w:r>
              <w:r>
                <w:rPr>
                  <w:i/>
                  <w:iCs/>
                  <w:noProof/>
                </w:rPr>
                <w:t xml:space="preserve">proposal. </w:t>
              </w:r>
              <w:r>
                <w:rPr>
                  <w:noProof/>
                </w:rPr>
                <w:t xml:space="preserve">[Online] </w:t>
              </w:r>
              <w:r>
                <w:rPr>
                  <w:noProof/>
                </w:rPr>
                <w:br/>
                <w:t xml:space="preserve">Available at: </w:t>
              </w:r>
              <w:r>
                <w:rPr>
                  <w:noProof/>
                  <w:u w:val="single"/>
                </w:rPr>
                <w:t>https://ec.europa.eu/clima/policies/transport/vehicles/proposal_en</w:t>
              </w:r>
              <w:r>
                <w:rPr>
                  <w:noProof/>
                </w:rPr>
                <w:br/>
                <w:t>[Accessed 25 March 2018].</w:t>
              </w:r>
            </w:p>
            <w:p w:rsidR="0047135C" w:rsidRDefault="0047135C" w:rsidP="0047135C">
              <w:pPr>
                <w:pStyle w:val="Bibliography"/>
                <w:rPr>
                  <w:noProof/>
                </w:rPr>
              </w:pPr>
              <w:r>
                <w:rPr>
                  <w:noProof/>
                </w:rPr>
                <w:t xml:space="preserve">bmw-powertrain, 2017. </w:t>
              </w:r>
              <w:r>
                <w:rPr>
                  <w:i/>
                  <w:iCs/>
                  <w:noProof/>
                </w:rPr>
                <w:t xml:space="preserve">2-cylinder_gasoline_engines. </w:t>
              </w:r>
              <w:r>
                <w:rPr>
                  <w:noProof/>
                </w:rPr>
                <w:t xml:space="preserve">[Online] </w:t>
              </w:r>
              <w:r>
                <w:rPr>
                  <w:noProof/>
                </w:rPr>
                <w:br/>
                <w:t xml:space="preserve">Available at: </w:t>
              </w:r>
              <w:r>
                <w:rPr>
                  <w:noProof/>
                  <w:u w:val="single"/>
                </w:rPr>
                <w:t>http://www.bmw-powertrain.com/powertrain/en/automotive_engines/2-cylinder_gasoline_engines.html</w:t>
              </w:r>
              <w:r>
                <w:rPr>
                  <w:noProof/>
                </w:rPr>
                <w:br/>
                <w:t>[Accessed 25 March 2018].</w:t>
              </w:r>
            </w:p>
            <w:p w:rsidR="0047135C" w:rsidRDefault="0047135C" w:rsidP="0047135C">
              <w:pPr>
                <w:pStyle w:val="Bibliography"/>
                <w:rPr>
                  <w:noProof/>
                </w:rPr>
              </w:pPr>
              <w:r>
                <w:rPr>
                  <w:noProof/>
                </w:rPr>
                <w:t xml:space="preserve">Cobb, J., 2015. </w:t>
              </w:r>
              <w:r>
                <w:rPr>
                  <w:i/>
                  <w:iCs/>
                  <w:noProof/>
                </w:rPr>
                <w:t xml:space="preserve">chevy-bolt-production-confirmed-for-2016. </w:t>
              </w:r>
              <w:r>
                <w:rPr>
                  <w:noProof/>
                </w:rPr>
                <w:t xml:space="preserve">[Online] </w:t>
              </w:r>
              <w:r>
                <w:rPr>
                  <w:noProof/>
                </w:rPr>
                <w:br/>
                <w:t xml:space="preserve">Available at: </w:t>
              </w:r>
              <w:r>
                <w:rPr>
                  <w:noProof/>
                  <w:u w:val="single"/>
                </w:rPr>
                <w:t>http://www.hybridcars.com/chevy-bolt-production-confirmed-for-2016/</w:t>
              </w:r>
              <w:r>
                <w:rPr>
                  <w:noProof/>
                </w:rPr>
                <w:br/>
                <w:t>[Accessed 25 March 2018].</w:t>
              </w:r>
            </w:p>
            <w:p w:rsidR="0047135C" w:rsidRDefault="0047135C" w:rsidP="0047135C">
              <w:pPr>
                <w:pStyle w:val="Bibliography"/>
                <w:rPr>
                  <w:noProof/>
                </w:rPr>
              </w:pPr>
              <w:r>
                <w:rPr>
                  <w:noProof/>
                </w:rPr>
                <w:t xml:space="preserve">Ingram, R., 2018. </w:t>
              </w:r>
              <w:r>
                <w:rPr>
                  <w:i/>
                  <w:iCs/>
                  <w:noProof/>
                </w:rPr>
                <w:t xml:space="preserve">updated-renault-zoe-on-sale-now-with-250-mile-range. </w:t>
              </w:r>
              <w:r>
                <w:rPr>
                  <w:noProof/>
                </w:rPr>
                <w:t xml:space="preserve">[Online] </w:t>
              </w:r>
              <w:r>
                <w:rPr>
                  <w:noProof/>
                </w:rPr>
                <w:br/>
                <w:t xml:space="preserve">Available at: </w:t>
              </w:r>
              <w:r>
                <w:rPr>
                  <w:noProof/>
                  <w:u w:val="single"/>
                </w:rPr>
                <w:t>http://www.autoexpress.co.uk/renault/zoe/97213/updated-renault-zoe-on-sale-now-with-250-mile-range</w:t>
              </w:r>
              <w:r>
                <w:rPr>
                  <w:noProof/>
                </w:rPr>
                <w:br/>
                <w:t>[Accessed 22 March 2018].</w:t>
              </w:r>
            </w:p>
            <w:p w:rsidR="0047135C" w:rsidRDefault="0047135C" w:rsidP="0047135C">
              <w:pPr>
                <w:pStyle w:val="Bibliography"/>
                <w:rPr>
                  <w:noProof/>
                </w:rPr>
              </w:pPr>
              <w:r>
                <w:rPr>
                  <w:noProof/>
                </w:rPr>
                <w:t xml:space="preserve">Lilley, C., 2018. </w:t>
              </w:r>
              <w:r>
                <w:rPr>
                  <w:i/>
                  <w:iCs/>
                  <w:noProof/>
                </w:rPr>
                <w:t xml:space="preserve">bmw-i3-electric-car-94ah-with-range-extender-auto-plug-in-petrol-hybrid-automatic. </w:t>
              </w:r>
              <w:r>
                <w:rPr>
                  <w:noProof/>
                </w:rPr>
                <w:t xml:space="preserve">[Online] </w:t>
              </w:r>
              <w:r>
                <w:rPr>
                  <w:noProof/>
                </w:rPr>
                <w:br/>
                <w:t xml:space="preserve">Available at: </w:t>
              </w:r>
              <w:r>
                <w:rPr>
                  <w:noProof/>
                  <w:u w:val="single"/>
                </w:rPr>
                <w:t>http://www.nextgreencar.com/view-car/60279/bmw-i3-electric-car-94ah-with-range-extender-auto-plug-in-petrol-hybrid-automatic/</w:t>
              </w:r>
              <w:r>
                <w:rPr>
                  <w:noProof/>
                </w:rPr>
                <w:br/>
                <w:t>[Accessed 22 March 2018].</w:t>
              </w:r>
            </w:p>
            <w:p w:rsidR="0047135C" w:rsidRDefault="0047135C" w:rsidP="0047135C">
              <w:pPr>
                <w:pStyle w:val="Bibliography"/>
                <w:rPr>
                  <w:noProof/>
                </w:rPr>
              </w:pPr>
              <w:r>
                <w:rPr>
                  <w:noProof/>
                </w:rPr>
                <w:t xml:space="preserve">Lilly, C., 2018. </w:t>
              </w:r>
              <w:r>
                <w:rPr>
                  <w:i/>
                  <w:iCs/>
                  <w:noProof/>
                </w:rPr>
                <w:t xml:space="preserve">bmw-1-series-116d-se-diesel-manual-6-speed/. </w:t>
              </w:r>
              <w:r>
                <w:rPr>
                  <w:noProof/>
                </w:rPr>
                <w:t xml:space="preserve">[Online] </w:t>
              </w:r>
              <w:r>
                <w:rPr>
                  <w:noProof/>
                </w:rPr>
                <w:br/>
                <w:t xml:space="preserve">Available at: </w:t>
              </w:r>
              <w:r>
                <w:rPr>
                  <w:noProof/>
                  <w:u w:val="single"/>
                </w:rPr>
                <w:t>http://www.nextgreencar.com/view-car/54198/bmw-1-series-116d-se-diesel-manual-6-speed/</w:t>
              </w:r>
              <w:r>
                <w:rPr>
                  <w:noProof/>
                </w:rPr>
                <w:br/>
                <w:t>[Accessed 20 March 2018].</w:t>
              </w:r>
            </w:p>
            <w:p w:rsidR="0047135C" w:rsidRDefault="0047135C" w:rsidP="0047135C">
              <w:pPr>
                <w:pStyle w:val="Bibliography"/>
                <w:rPr>
                  <w:noProof/>
                </w:rPr>
              </w:pPr>
              <w:r>
                <w:rPr>
                  <w:noProof/>
                </w:rPr>
                <w:t xml:space="preserve">mahle, 2014. </w:t>
              </w:r>
              <w:r>
                <w:rPr>
                  <w:i/>
                  <w:iCs/>
                  <w:noProof/>
                </w:rPr>
                <w:t xml:space="preserve">mahle-compact-range-extender-engine. </w:t>
              </w:r>
              <w:r>
                <w:rPr>
                  <w:noProof/>
                </w:rPr>
                <w:t xml:space="preserve">[Online] </w:t>
              </w:r>
              <w:r>
                <w:rPr>
                  <w:noProof/>
                </w:rPr>
                <w:br/>
                <w:t xml:space="preserve">Available at: </w:t>
              </w:r>
              <w:r>
                <w:rPr>
                  <w:noProof/>
                  <w:u w:val="single"/>
                </w:rPr>
                <w:t>http://www.mahle-powertrain.com/en/experience/mahle-compact-range-extender-engine/</w:t>
              </w:r>
              <w:r>
                <w:rPr>
                  <w:noProof/>
                </w:rPr>
                <w:br/>
                <w:t>[Accessed 19 March 2018].</w:t>
              </w:r>
            </w:p>
            <w:p w:rsidR="0047135C" w:rsidRDefault="0047135C" w:rsidP="0047135C">
              <w:pPr>
                <w:pStyle w:val="Bibliography"/>
                <w:rPr>
                  <w:noProof/>
                </w:rPr>
              </w:pPr>
              <w:r>
                <w:rPr>
                  <w:noProof/>
                </w:rPr>
                <w:t xml:space="preserve">Pontes, J., 2018. </w:t>
              </w:r>
              <w:r>
                <w:rPr>
                  <w:i/>
                  <w:iCs/>
                  <w:noProof/>
                </w:rPr>
                <w:t xml:space="preserve">tesla-surges-renault-zoe-coasts-1-2017-europe-electric-car-sales. </w:t>
              </w:r>
              <w:r>
                <w:rPr>
                  <w:noProof/>
                </w:rPr>
                <w:t xml:space="preserve">[Online] </w:t>
              </w:r>
              <w:r>
                <w:rPr>
                  <w:noProof/>
                </w:rPr>
                <w:br/>
                <w:t xml:space="preserve">Available at: </w:t>
              </w:r>
              <w:r>
                <w:rPr>
                  <w:noProof/>
                  <w:u w:val="single"/>
                </w:rPr>
                <w:t>https://cleantechnica.com/2018/01/27/tesla-surges-renault-zoe-coasts-1-2017-europe-electric-car-sales/</w:t>
              </w:r>
              <w:r>
                <w:rPr>
                  <w:noProof/>
                </w:rPr>
                <w:br/>
                <w:t>[Accessed 25 March 2018].</w:t>
              </w:r>
            </w:p>
            <w:p w:rsidR="0047135C" w:rsidRDefault="0047135C" w:rsidP="0047135C">
              <w:pPr>
                <w:pStyle w:val="Bibliography"/>
                <w:rPr>
                  <w:noProof/>
                </w:rPr>
              </w:pPr>
              <w:r>
                <w:rPr>
                  <w:noProof/>
                </w:rPr>
                <w:t xml:space="preserve">Shell, 2018. </w:t>
              </w:r>
              <w:r>
                <w:rPr>
                  <w:i/>
                  <w:iCs/>
                  <w:noProof/>
                </w:rPr>
                <w:t xml:space="preserve">welcome-to-shell-recharge. </w:t>
              </w:r>
              <w:r>
                <w:rPr>
                  <w:noProof/>
                </w:rPr>
                <w:t xml:space="preserve">[Online] </w:t>
              </w:r>
              <w:r>
                <w:rPr>
                  <w:noProof/>
                </w:rPr>
                <w:br/>
                <w:t xml:space="preserve">Available at: </w:t>
              </w:r>
              <w:r>
                <w:rPr>
                  <w:noProof/>
                  <w:u w:val="single"/>
                </w:rPr>
                <w:t>https://www.shell.co.uk/motorist/welcome-to-shell-recharge.html</w:t>
              </w:r>
              <w:r>
                <w:rPr>
                  <w:noProof/>
                </w:rPr>
                <w:br/>
                <w:t>[Accessed 22 March 2018].</w:t>
              </w:r>
            </w:p>
            <w:p w:rsidR="0047135C" w:rsidRDefault="0047135C" w:rsidP="0047135C">
              <w:pPr>
                <w:pStyle w:val="Bibliography"/>
                <w:rPr>
                  <w:noProof/>
                </w:rPr>
              </w:pPr>
              <w:r>
                <w:rPr>
                  <w:noProof/>
                </w:rPr>
                <w:t xml:space="preserve">Volkswagen, 2018. </w:t>
              </w:r>
              <w:r>
                <w:rPr>
                  <w:i/>
                  <w:iCs/>
                  <w:noProof/>
                </w:rPr>
                <w:t xml:space="preserve">new/golf-vii-pa. </w:t>
              </w:r>
              <w:r>
                <w:rPr>
                  <w:noProof/>
                </w:rPr>
                <w:t xml:space="preserve">[Online] </w:t>
              </w:r>
              <w:r>
                <w:rPr>
                  <w:noProof/>
                </w:rPr>
                <w:br/>
                <w:t xml:space="preserve">Available at: </w:t>
              </w:r>
              <w:r>
                <w:rPr>
                  <w:noProof/>
                  <w:u w:val="single"/>
                </w:rPr>
                <w:t>http://www.volkswagen.co.uk/new/golf-vii-pa</w:t>
              </w:r>
              <w:r>
                <w:rPr>
                  <w:noProof/>
                </w:rPr>
                <w:br/>
                <w:t>[Accessed 22 March 2018].</w:t>
              </w:r>
            </w:p>
            <w:p w:rsidR="0047135C" w:rsidRDefault="0047135C" w:rsidP="0047135C">
              <w:r>
                <w:rPr>
                  <w:b/>
                  <w:bCs/>
                  <w:noProof/>
                </w:rPr>
                <w:fldChar w:fldCharType="end"/>
              </w:r>
            </w:p>
          </w:sdtContent>
        </w:sdt>
      </w:sdtContent>
    </w:sdt>
    <w:p w:rsidR="0047135C" w:rsidRDefault="0047135C" w:rsidP="00EA080E"/>
    <w:p w:rsidR="008657CE" w:rsidRDefault="008657CE" w:rsidP="008657CE">
      <w:pPr>
        <w:pStyle w:val="Heading1"/>
      </w:pPr>
      <w:r>
        <w:lastRenderedPageBreak/>
        <w:t>Appendix</w:t>
      </w:r>
    </w:p>
    <w:p w:rsidR="008657CE" w:rsidRDefault="008657CE" w:rsidP="008657CE"/>
    <w:p w:rsidR="008657CE" w:rsidRDefault="008657CE" w:rsidP="008657CE">
      <w:pPr>
        <w:pStyle w:val="Heading2"/>
      </w:pPr>
      <w:r>
        <w:t>Lithium Ion Kg per kWh</w:t>
      </w:r>
    </w:p>
    <w:p w:rsidR="008657CE" w:rsidRDefault="008657CE" w:rsidP="008657CE"/>
    <w:p w:rsidR="00A901B0" w:rsidRPr="00A901B0" w:rsidRDefault="00A901B0" w:rsidP="008657CE">
      <m:oMathPara>
        <m:oMathParaPr>
          <m:jc m:val="left"/>
        </m:oMathParaPr>
        <m:oMath>
          <m:r>
            <w:rPr>
              <w:rFonts w:ascii="Cambria Math" w:hAnsi="Cambria Math"/>
            </w:rPr>
            <m:t>1 kWh=1000 Joules per Second for 3600 Seconds=3,600,000 Joules=3.6 Megajoules</m:t>
          </m:r>
        </m:oMath>
      </m:oMathPara>
    </w:p>
    <w:p w:rsidR="00A901B0" w:rsidRDefault="00A901B0" w:rsidP="00A901B0"/>
    <w:p w:rsidR="008657CE" w:rsidRPr="00A901B0" w:rsidRDefault="00A901B0" w:rsidP="00A901B0">
      <w:pPr>
        <w:rPr>
          <w:rFonts w:eastAsiaTheme="minorEastAsia"/>
        </w:rPr>
      </w:pPr>
      <m:oMathPara>
        <m:oMathParaPr>
          <m:jc m:val="left"/>
        </m:oMathParaPr>
        <m:oMath>
          <m:r>
            <w:rPr>
              <w:rFonts w:ascii="Cambria Math" w:hAnsi="Cambria Math"/>
            </w:rPr>
            <m:t>Lithium Ion Energy Density ≈0.72 Megajoules Per Kilogram</m:t>
          </m:r>
        </m:oMath>
      </m:oMathPara>
    </w:p>
    <w:p w:rsidR="00A901B0" w:rsidRDefault="00A901B0" w:rsidP="00A901B0"/>
    <w:p w:rsidR="00A901B0" w:rsidRPr="002947F5" w:rsidRDefault="00A901B0" w:rsidP="00A901B0">
      <w:pPr>
        <w:rPr>
          <w:rFonts w:eastAsiaTheme="minorEastAsia"/>
        </w:rPr>
      </w:pPr>
      <m:oMathPara>
        <m:oMathParaPr>
          <m:jc m:val="left"/>
        </m:oMathParaPr>
        <m:oMath>
          <m:r>
            <w:rPr>
              <w:rFonts w:ascii="Cambria Math" w:hAnsi="Cambria Math"/>
            </w:rPr>
            <m:t xml:space="preserve">Kilograms per kWh </m:t>
          </m:r>
          <m:r>
            <w:rPr>
              <w:rFonts w:ascii="Cambria Math" w:hAnsi="Cambria Math"/>
            </w:rPr>
            <m:t>of Lithium ion=</m:t>
          </m:r>
          <m:f>
            <m:fPr>
              <m:ctrlPr>
                <w:rPr>
                  <w:rFonts w:ascii="Cambria Math" w:hAnsi="Cambria Math"/>
                  <w:i/>
                </w:rPr>
              </m:ctrlPr>
            </m:fPr>
            <m:num>
              <m:r>
                <w:rPr>
                  <w:rFonts w:ascii="Cambria Math" w:hAnsi="Cambria Math"/>
                </w:rPr>
                <m:t>Energy</m:t>
              </m:r>
            </m:num>
            <m:den>
              <m:r>
                <w:rPr>
                  <w:rFonts w:ascii="Cambria Math" w:hAnsi="Cambria Math"/>
                </w:rPr>
                <m:t>Energy Density</m:t>
              </m:r>
            </m:den>
          </m:f>
          <m:r>
            <w:rPr>
              <w:rFonts w:ascii="Cambria Math" w:hAnsi="Cambria Math"/>
            </w:rPr>
            <m:t>=</m:t>
          </m:r>
          <m:f>
            <m:fPr>
              <m:ctrlPr>
                <w:rPr>
                  <w:rFonts w:ascii="Cambria Math" w:hAnsi="Cambria Math"/>
                  <w:i/>
                </w:rPr>
              </m:ctrlPr>
            </m:fPr>
            <m:num>
              <m:r>
                <w:rPr>
                  <w:rFonts w:ascii="Cambria Math" w:hAnsi="Cambria Math"/>
                </w:rPr>
                <m:t>3.6</m:t>
              </m:r>
            </m:num>
            <m:den>
              <m:r>
                <w:rPr>
                  <w:rFonts w:ascii="Cambria Math" w:hAnsi="Cambria Math"/>
                </w:rPr>
                <m:t>0.72</m:t>
              </m:r>
            </m:den>
          </m:f>
          <m:r>
            <w:rPr>
              <w:rFonts w:ascii="Cambria Math" w:hAnsi="Cambria Math"/>
            </w:rPr>
            <m:t>=5 Kg</m:t>
          </m:r>
        </m:oMath>
      </m:oMathPara>
    </w:p>
    <w:p w:rsidR="002947F5" w:rsidRDefault="002947F5" w:rsidP="00A901B0">
      <w:pPr>
        <w:rPr>
          <w:rFonts w:eastAsiaTheme="minorEastAsia"/>
        </w:rPr>
      </w:pPr>
    </w:p>
    <w:p w:rsidR="002947F5" w:rsidRDefault="002947F5" w:rsidP="002947F5">
      <w:pPr>
        <w:pStyle w:val="Heading2"/>
        <w:rPr>
          <w:rFonts w:eastAsiaTheme="minorEastAsia"/>
        </w:rPr>
      </w:pPr>
      <w:r>
        <w:rPr>
          <w:rFonts w:eastAsiaTheme="minorEastAsia"/>
        </w:rPr>
        <w:t xml:space="preserve">Lithium Ion to Gasoline Comparison </w:t>
      </w:r>
    </w:p>
    <w:p w:rsidR="002947F5" w:rsidRDefault="002947F5" w:rsidP="002947F5"/>
    <w:p w:rsidR="002947F5" w:rsidRDefault="002947F5" w:rsidP="002947F5">
      <w:r>
        <w:t>Assuming 30% gasoline to wheel efficiency and 80% Lithium Ion to wheel efficiency.</w:t>
      </w:r>
    </w:p>
    <w:p w:rsidR="002947F5" w:rsidRPr="002947F5" w:rsidRDefault="002947F5" w:rsidP="002947F5">
      <w:pPr>
        <w:rPr>
          <w:rFonts w:eastAsiaTheme="minorEastAsia"/>
        </w:rPr>
      </w:pPr>
      <m:oMathPara>
        <m:oMathParaPr>
          <m:jc m:val="left"/>
        </m:oMathParaPr>
        <m:oMath>
          <m:r>
            <w:rPr>
              <w:rFonts w:ascii="Cambria Math" w:hAnsi="Cambria Math"/>
            </w:rPr>
            <m:t>Gasoline Energy Density=44 MJ/Kg</m:t>
          </m:r>
        </m:oMath>
      </m:oMathPara>
    </w:p>
    <w:p w:rsidR="002947F5" w:rsidRPr="002947F5" w:rsidRDefault="002947F5" w:rsidP="002947F5">
      <w:pPr>
        <w:rPr>
          <w:rFonts w:eastAsiaTheme="minorEastAsia"/>
        </w:rPr>
      </w:pPr>
      <m:oMathPara>
        <m:oMathParaPr>
          <m:jc m:val="left"/>
        </m:oMathParaPr>
        <m:oMath>
          <m:r>
            <w:rPr>
              <w:rFonts w:ascii="Cambria Math" w:hAnsi="Cambria Math"/>
            </w:rPr>
            <m:t>Lithium Ion</m:t>
          </m:r>
          <m:r>
            <w:rPr>
              <w:rFonts w:ascii="Cambria Math" w:hAnsi="Cambria Math"/>
            </w:rPr>
            <m:t xml:space="preserve"> Energy Density=</m:t>
          </m:r>
          <m:r>
            <w:rPr>
              <w:rFonts w:ascii="Cambria Math" w:hAnsi="Cambria Math"/>
            </w:rPr>
            <m:t>0.72</m:t>
          </m:r>
          <m:r>
            <w:rPr>
              <w:rFonts w:ascii="Cambria Math" w:hAnsi="Cambria Math"/>
            </w:rPr>
            <m:t xml:space="preserve"> MJ/Kg</m:t>
          </m:r>
        </m:oMath>
      </m:oMathPara>
    </w:p>
    <w:p w:rsidR="002947F5" w:rsidRDefault="002947F5" w:rsidP="002947F5">
      <w:pPr>
        <w:rPr>
          <w:rFonts w:eastAsiaTheme="minorEastAsia"/>
        </w:rPr>
      </w:pPr>
    </w:p>
    <w:p w:rsidR="002947F5" w:rsidRPr="002947F5" w:rsidRDefault="002947F5" w:rsidP="002947F5">
      <m:oMathPara>
        <m:oMathParaPr>
          <m:jc m:val="left"/>
        </m:oMathParaPr>
        <m:oMath>
          <m:r>
            <w:rPr>
              <w:rFonts w:ascii="Cambria Math" w:hAnsi="Cambria Math"/>
            </w:rPr>
            <m:t>Gasoline Effective Energy=44×0.3=13.2 MJ/Kg</m:t>
          </m:r>
        </m:oMath>
      </m:oMathPara>
    </w:p>
    <w:p w:rsidR="002947F5" w:rsidRPr="004343EB" w:rsidRDefault="002947F5" w:rsidP="002947F5">
      <w:pPr>
        <w:rPr>
          <w:rFonts w:eastAsiaTheme="minorEastAsia"/>
        </w:rPr>
      </w:pPr>
      <m:oMathPara>
        <m:oMathParaPr>
          <m:jc m:val="left"/>
        </m:oMathParaPr>
        <m:oMath>
          <m:r>
            <w:rPr>
              <w:rFonts w:ascii="Cambria Math" w:hAnsi="Cambria Math"/>
            </w:rPr>
            <m:t>Lithium Ion</m:t>
          </m:r>
          <m:r>
            <w:rPr>
              <w:rFonts w:ascii="Cambria Math" w:hAnsi="Cambria Math"/>
            </w:rPr>
            <m:t xml:space="preserve"> Effective Energy=</m:t>
          </m:r>
          <m:r>
            <w:rPr>
              <w:rFonts w:ascii="Cambria Math" w:hAnsi="Cambria Math"/>
            </w:rPr>
            <m:t>0.72</m:t>
          </m:r>
          <m:r>
            <w:rPr>
              <w:rFonts w:ascii="Cambria Math" w:hAnsi="Cambria Math"/>
            </w:rPr>
            <m:t>×</m:t>
          </m:r>
          <m:r>
            <w:rPr>
              <w:rFonts w:ascii="Cambria Math" w:hAnsi="Cambria Math"/>
            </w:rPr>
            <m:t>0.8</m:t>
          </m:r>
          <m:r>
            <w:rPr>
              <w:rFonts w:ascii="Cambria Math" w:hAnsi="Cambria Math"/>
            </w:rPr>
            <m:t>=</m:t>
          </m:r>
          <m:r>
            <w:rPr>
              <w:rFonts w:ascii="Cambria Math" w:hAnsi="Cambria Math"/>
            </w:rPr>
            <m:t>0.576</m:t>
          </m:r>
          <m:r>
            <w:rPr>
              <w:rFonts w:ascii="Cambria Math" w:hAnsi="Cambria Math"/>
            </w:rPr>
            <m:t xml:space="preserve"> MJ/Kg</m:t>
          </m:r>
        </m:oMath>
      </m:oMathPara>
    </w:p>
    <w:p w:rsidR="004343EB" w:rsidRDefault="004343EB" w:rsidP="002947F5">
      <w:pPr>
        <w:rPr>
          <w:rFonts w:eastAsiaTheme="minorEastAsia"/>
        </w:rPr>
      </w:pPr>
    </w:p>
    <w:p w:rsidR="004343EB" w:rsidRPr="002947F5" w:rsidRDefault="004343EB" w:rsidP="002947F5">
      <m:oMathPara>
        <m:oMathParaPr>
          <m:jc m:val="left"/>
        </m:oMathParaPr>
        <m:oMath>
          <m:r>
            <w:rPr>
              <w:rFonts w:ascii="Cambria Math" w:hAnsi="Cambria Math"/>
            </w:rPr>
            <m:t>Gasoline to Lithium Ion energy density ratio=</m:t>
          </m:r>
          <m:f>
            <m:fPr>
              <m:ctrlPr>
                <w:rPr>
                  <w:rFonts w:ascii="Cambria Math" w:hAnsi="Cambria Math"/>
                  <w:i/>
                </w:rPr>
              </m:ctrlPr>
            </m:fPr>
            <m:num>
              <m:r>
                <w:rPr>
                  <w:rFonts w:ascii="Cambria Math" w:hAnsi="Cambria Math"/>
                </w:rPr>
                <m:t>13.2</m:t>
              </m:r>
            </m:num>
            <m:den>
              <m:r>
                <w:rPr>
                  <w:rFonts w:ascii="Cambria Math" w:hAnsi="Cambria Math"/>
                </w:rPr>
                <m:t>0.576</m:t>
              </m:r>
            </m:den>
          </m:f>
          <m:r>
            <w:rPr>
              <w:rFonts w:ascii="Cambria Math" w:hAnsi="Cambria Math"/>
            </w:rPr>
            <m:t>=</m:t>
          </m:r>
          <m:r>
            <w:rPr>
              <w:rFonts w:ascii="Cambria Math" w:hAnsi="Cambria Math"/>
            </w:rPr>
            <m:t>22.19</m:t>
          </m:r>
        </m:oMath>
      </m:oMathPara>
    </w:p>
    <w:p w:rsidR="00296267" w:rsidRDefault="00296267" w:rsidP="00A901B0">
      <w:pPr>
        <w:rPr>
          <w:rFonts w:eastAsiaTheme="minorEastAsia"/>
        </w:rPr>
      </w:pPr>
    </w:p>
    <w:p w:rsidR="00296267" w:rsidRDefault="00296267" w:rsidP="00296267">
      <w:pPr>
        <w:pStyle w:val="Heading2"/>
      </w:pPr>
      <w:r>
        <w:t xml:space="preserve">Range Comparison </w:t>
      </w:r>
    </w:p>
    <w:p w:rsidR="00296267" w:rsidRDefault="00296267" w:rsidP="00296267"/>
    <w:p w:rsidR="00296267" w:rsidRPr="00601950" w:rsidRDefault="00601950" w:rsidP="00296267">
      <w:pPr>
        <w:rPr>
          <w:rFonts w:eastAsiaTheme="minorEastAsia"/>
        </w:rPr>
      </w:pPr>
      <m:oMathPara>
        <m:oMathParaPr>
          <m:jc m:val="left"/>
        </m:oMathParaPr>
        <m:oMath>
          <m:r>
            <w:rPr>
              <w:rFonts w:ascii="Cambria Math" w:hAnsi="Cambria Math"/>
            </w:rPr>
            <m:t>Shell 50 kWh rapid charger=£0.49 per kWh</m:t>
          </m:r>
        </m:oMath>
      </m:oMathPara>
    </w:p>
    <w:p w:rsidR="00601950" w:rsidRDefault="00601950" w:rsidP="00296267">
      <w:pPr>
        <w:rPr>
          <w:rFonts w:eastAsiaTheme="minorEastAsia"/>
        </w:rPr>
      </w:pPr>
    </w:p>
    <w:p w:rsidR="00601950" w:rsidRPr="00601950" w:rsidRDefault="00601950" w:rsidP="00296267">
      <w:pPr>
        <w:rPr>
          <w:rFonts w:eastAsiaTheme="minorEastAsia"/>
        </w:rPr>
      </w:pPr>
      <m:oMathPara>
        <m:oMathParaPr>
          <m:jc m:val="left"/>
        </m:oMathParaPr>
        <m:oMath>
          <m:r>
            <w:rPr>
              <w:rFonts w:ascii="Cambria Math" w:hAnsi="Cambria Math"/>
            </w:rPr>
            <m:t>Maximum Charge Time Allowed=45 Minutes</m:t>
          </m:r>
        </m:oMath>
      </m:oMathPara>
    </w:p>
    <w:p w:rsidR="00601950" w:rsidRDefault="00601950" w:rsidP="00296267">
      <w:pPr>
        <w:rPr>
          <w:rFonts w:eastAsiaTheme="minorEastAsia"/>
        </w:rPr>
      </w:pPr>
    </w:p>
    <w:p w:rsidR="00601950" w:rsidRPr="00601950" w:rsidRDefault="00601950" w:rsidP="00296267">
      <w:pPr>
        <w:rPr>
          <w:rFonts w:eastAsiaTheme="minorEastAsia"/>
        </w:rPr>
      </w:pPr>
      <m:oMathPara>
        <m:oMathParaPr>
          <m:jc m:val="left"/>
        </m:oMathParaPr>
        <m:oMath>
          <m:r>
            <w:rPr>
              <w:rFonts w:ascii="Cambria Math" w:hAnsi="Cambria Math"/>
            </w:rPr>
            <m:t>Maximum Charge Capable=0.75 ×50=37.5 kWh</m:t>
          </m:r>
        </m:oMath>
      </m:oMathPara>
    </w:p>
    <w:p w:rsidR="00601950" w:rsidRPr="00601950" w:rsidRDefault="00601950" w:rsidP="00296267">
      <w:pPr>
        <w:rPr>
          <w:rFonts w:eastAsiaTheme="minorEastAsia"/>
        </w:rPr>
      </w:pPr>
      <m:oMathPara>
        <m:oMathParaPr>
          <m:jc m:val="left"/>
        </m:oMathParaPr>
        <m:oMath>
          <m:r>
            <w:rPr>
              <w:rFonts w:ascii="Cambria Math" w:eastAsiaTheme="minorEastAsia" w:hAnsi="Cambria Math"/>
            </w:rPr>
            <m:t>Cost of Charge=0.49×37.5</m:t>
          </m:r>
          <m:r>
            <w:rPr>
              <w:rFonts w:ascii="Cambria Math" w:eastAsiaTheme="minorEastAsia" w:hAnsi="Cambria Math"/>
            </w:rPr>
            <m:t>=£18.38</m:t>
          </m:r>
        </m:oMath>
      </m:oMathPara>
    </w:p>
    <w:p w:rsidR="00601950" w:rsidRDefault="00601950" w:rsidP="00296267">
      <w:pPr>
        <w:rPr>
          <w:rFonts w:eastAsiaTheme="minorEastAsia"/>
        </w:rPr>
      </w:pPr>
    </w:p>
    <w:p w:rsidR="00601950" w:rsidRDefault="00601950" w:rsidP="00296267">
      <w:pPr>
        <w:rPr>
          <w:rFonts w:eastAsiaTheme="minorEastAsia"/>
        </w:rPr>
      </w:pPr>
      <w:r>
        <w:rPr>
          <w:rFonts w:eastAsiaTheme="minorEastAsia"/>
        </w:rPr>
        <w:t xml:space="preserve">The Renault ZOE can achieve 250 NEDC miles with 41 kWh battery. </w:t>
      </w:r>
    </w:p>
    <w:p w:rsidR="00601950" w:rsidRDefault="00601950" w:rsidP="00296267">
      <w:pPr>
        <w:rPr>
          <w:rFonts w:eastAsiaTheme="minorEastAsia"/>
        </w:rPr>
      </w:pPr>
    </w:p>
    <w:p w:rsidR="00601950" w:rsidRPr="00D9119D" w:rsidRDefault="00601950" w:rsidP="00296267">
      <w:pPr>
        <w:rPr>
          <w:rFonts w:eastAsiaTheme="minorEastAsia"/>
        </w:rPr>
      </w:pPr>
      <m:oMathPara>
        <m:oMathParaPr>
          <m:jc m:val="left"/>
        </m:oMathParaPr>
        <m:oMath>
          <m:r>
            <w:rPr>
              <w:rFonts w:ascii="Cambria Math" w:hAnsi="Cambria Math"/>
            </w:rPr>
            <m:t>Range With 45 Minute Charge=</m:t>
          </m:r>
          <m:f>
            <m:fPr>
              <m:ctrlPr>
                <w:rPr>
                  <w:rFonts w:ascii="Cambria Math" w:hAnsi="Cambria Math"/>
                  <w:i/>
                </w:rPr>
              </m:ctrlPr>
            </m:fPr>
            <m:num>
              <m:r>
                <w:rPr>
                  <w:rFonts w:ascii="Cambria Math" w:hAnsi="Cambria Math"/>
                </w:rPr>
                <m:t>37.5</m:t>
              </m:r>
            </m:num>
            <m:den>
              <m:r>
                <w:rPr>
                  <w:rFonts w:ascii="Cambria Math" w:hAnsi="Cambria Math"/>
                </w:rPr>
                <m:t>41</m:t>
              </m:r>
            </m:den>
          </m:f>
          <m:r>
            <w:rPr>
              <w:rFonts w:ascii="Cambria Math" w:hAnsi="Cambria Math"/>
            </w:rPr>
            <m:t>×250=220 miles</m:t>
          </m:r>
        </m:oMath>
      </m:oMathPara>
    </w:p>
    <w:p w:rsidR="00D9119D" w:rsidRDefault="00D9119D" w:rsidP="00296267">
      <w:pPr>
        <w:rPr>
          <w:rFonts w:eastAsiaTheme="minorEastAsia"/>
        </w:rPr>
      </w:pPr>
    </w:p>
    <w:p w:rsidR="00D9119D" w:rsidRDefault="00D9119D" w:rsidP="00296267">
      <w:pPr>
        <w:rPr>
          <w:rFonts w:eastAsiaTheme="minorEastAsia"/>
        </w:rPr>
      </w:pPr>
      <w:r>
        <w:rPr>
          <w:rFonts w:eastAsiaTheme="minorEastAsia"/>
        </w:rPr>
        <w:t>BMW 1 series Diesel can achieve 80 mpg on the NEDC</w:t>
      </w:r>
      <w:sdt>
        <w:sdtPr>
          <w:rPr>
            <w:rFonts w:eastAsiaTheme="minorEastAsia"/>
          </w:rPr>
          <w:id w:val="529527448"/>
          <w:citation/>
        </w:sdtPr>
        <w:sdtContent>
          <w:r w:rsidR="00FE3DD8">
            <w:rPr>
              <w:rFonts w:eastAsiaTheme="minorEastAsia"/>
            </w:rPr>
            <w:fldChar w:fldCharType="begin"/>
          </w:r>
          <w:r w:rsidR="00FE3DD8">
            <w:rPr>
              <w:rFonts w:eastAsiaTheme="minorEastAsia"/>
            </w:rPr>
            <w:instrText xml:space="preserve"> CITATION Chr18 \l 2057 </w:instrText>
          </w:r>
          <w:r w:rsidR="00FE3DD8">
            <w:rPr>
              <w:rFonts w:eastAsiaTheme="minorEastAsia"/>
            </w:rPr>
            <w:fldChar w:fldCharType="separate"/>
          </w:r>
          <w:r w:rsidR="00FE3DD8">
            <w:rPr>
              <w:rFonts w:eastAsiaTheme="minorEastAsia"/>
              <w:noProof/>
            </w:rPr>
            <w:t xml:space="preserve"> </w:t>
          </w:r>
          <w:r w:rsidR="00FE3DD8" w:rsidRPr="00FE3DD8">
            <w:rPr>
              <w:rFonts w:eastAsiaTheme="minorEastAsia"/>
              <w:noProof/>
            </w:rPr>
            <w:t>(Lilly, 2018)</w:t>
          </w:r>
          <w:r w:rsidR="00FE3DD8">
            <w:rPr>
              <w:rFonts w:eastAsiaTheme="minorEastAsia"/>
            </w:rPr>
            <w:fldChar w:fldCharType="end"/>
          </w:r>
        </w:sdtContent>
      </w:sdt>
      <w:r>
        <w:rPr>
          <w:rFonts w:eastAsiaTheme="minorEastAsia"/>
        </w:rPr>
        <w:t xml:space="preserve">. </w:t>
      </w:r>
    </w:p>
    <w:p w:rsidR="00D9119D" w:rsidRDefault="00D9119D" w:rsidP="00296267">
      <w:pPr>
        <w:rPr>
          <w:rFonts w:eastAsiaTheme="minorEastAsia"/>
        </w:rPr>
      </w:pPr>
    </w:p>
    <w:p w:rsidR="00D9119D" w:rsidRPr="00D9119D" w:rsidRDefault="00D9119D" w:rsidP="00296267">
      <w:pPr>
        <w:rPr>
          <w:rFonts w:eastAsiaTheme="minorEastAsia"/>
        </w:rPr>
      </w:pPr>
      <m:oMathPara>
        <m:oMathParaPr>
          <m:jc m:val="left"/>
        </m:oMathParaPr>
        <m:oMath>
          <m:r>
            <w:rPr>
              <w:rFonts w:ascii="Cambria Math" w:eastAsiaTheme="minorEastAsia" w:hAnsi="Cambria Math"/>
            </w:rPr>
            <m:t>Current Diesel Pice=£1.22 per Litre</m:t>
          </m:r>
        </m:oMath>
      </m:oMathPara>
    </w:p>
    <w:p w:rsidR="00D9119D" w:rsidRDefault="00D9119D" w:rsidP="00296267">
      <w:pPr>
        <w:rPr>
          <w:rFonts w:eastAsiaTheme="minorEastAsia"/>
        </w:rPr>
      </w:pPr>
      <w:r>
        <w:rPr>
          <w:rFonts w:eastAsiaTheme="minorEastAsia"/>
        </w:rPr>
        <w:t xml:space="preserve"> </w:t>
      </w:r>
    </w:p>
    <w:p w:rsidR="00D9119D" w:rsidRPr="00D9119D" w:rsidRDefault="00D9119D" w:rsidP="00296267">
      <w:pPr>
        <w:rPr>
          <w:rFonts w:eastAsiaTheme="minorEastAsia"/>
        </w:rPr>
      </w:pPr>
      <m:oMathPara>
        <m:oMathParaPr>
          <m:jc m:val="left"/>
        </m:oMathParaPr>
        <m:oMath>
          <m:r>
            <w:rPr>
              <w:rFonts w:ascii="Cambria Math" w:eastAsiaTheme="minorEastAsia" w:hAnsi="Cambria Math"/>
            </w:rPr>
            <m:t>1 gallon=4.5 Litres</m:t>
          </m:r>
        </m:oMath>
      </m:oMathPara>
    </w:p>
    <w:p w:rsidR="00D9119D" w:rsidRPr="00D9119D" w:rsidRDefault="00D9119D" w:rsidP="00296267">
      <w:pPr>
        <w:rPr>
          <w:rFonts w:eastAsiaTheme="minorEastAsia"/>
        </w:rPr>
      </w:pPr>
      <m:oMathPara>
        <m:oMathParaPr>
          <m:jc m:val="left"/>
        </m:oMathParaPr>
        <m:oMath>
          <m:r>
            <w:rPr>
              <w:rFonts w:ascii="Cambria Math" w:eastAsiaTheme="minorEastAsia" w:hAnsi="Cambria Math"/>
            </w:rPr>
            <m:t>1 gallon=4.5×1.22=£5.49</m:t>
          </m:r>
        </m:oMath>
      </m:oMathPara>
    </w:p>
    <w:p w:rsidR="00D9119D" w:rsidRDefault="00D9119D" w:rsidP="00296267">
      <w:pPr>
        <w:rPr>
          <w:rFonts w:eastAsiaTheme="minorEastAsia"/>
        </w:rPr>
      </w:pPr>
    </w:p>
    <w:p w:rsidR="00D9119D" w:rsidRPr="00D9119D" w:rsidRDefault="00D9119D" w:rsidP="00296267">
      <w:pPr>
        <w:rPr>
          <w:rFonts w:eastAsiaTheme="minorEastAsia"/>
        </w:rPr>
      </w:pPr>
      <m:oMathPara>
        <m:oMathParaPr>
          <m:jc m:val="left"/>
        </m:oMathParaPr>
        <m:oMath>
          <m:r>
            <w:rPr>
              <w:rFonts w:ascii="Cambria Math" w:eastAsiaTheme="minorEastAsia" w:hAnsi="Cambria Math"/>
            </w:rPr>
            <m:t>Number of Gallons for £18.38=</m:t>
          </m:r>
          <m:f>
            <m:fPr>
              <m:ctrlPr>
                <w:rPr>
                  <w:rFonts w:ascii="Cambria Math" w:eastAsiaTheme="minorEastAsia" w:hAnsi="Cambria Math"/>
                  <w:i/>
                </w:rPr>
              </m:ctrlPr>
            </m:fPr>
            <m:num>
              <m:r>
                <w:rPr>
                  <w:rFonts w:ascii="Cambria Math" w:eastAsiaTheme="minorEastAsia" w:hAnsi="Cambria Math"/>
                </w:rPr>
                <m:t>18.38</m:t>
              </m:r>
            </m:num>
            <m:den>
              <m:r>
                <w:rPr>
                  <w:rFonts w:ascii="Cambria Math" w:eastAsiaTheme="minorEastAsia" w:hAnsi="Cambria Math"/>
                </w:rPr>
                <m:t>5.49</m:t>
              </m:r>
            </m:den>
          </m:f>
          <m:r>
            <w:rPr>
              <w:rFonts w:ascii="Cambria Math" w:eastAsiaTheme="minorEastAsia" w:hAnsi="Cambria Math"/>
            </w:rPr>
            <m:t>=3.35 gallons</m:t>
          </m:r>
        </m:oMath>
      </m:oMathPara>
    </w:p>
    <w:p w:rsidR="00601950" w:rsidRPr="00D9119D" w:rsidRDefault="00D9119D" w:rsidP="00296267">
      <w:pPr>
        <w:rPr>
          <w:rFonts w:eastAsiaTheme="minorEastAsia"/>
        </w:rPr>
      </w:pPr>
      <m:oMathPara>
        <m:oMathParaPr>
          <m:jc m:val="left"/>
        </m:oMathParaPr>
        <m:oMath>
          <m:r>
            <w:rPr>
              <w:rFonts w:ascii="Cambria Math" w:eastAsiaTheme="minorEastAsia" w:hAnsi="Cambria Math"/>
            </w:rPr>
            <m:t>Number of Miles with 3.35 gallons</m:t>
          </m:r>
          <m:r>
            <w:rPr>
              <w:rFonts w:ascii="Cambria Math" w:eastAsiaTheme="minorEastAsia" w:hAnsi="Cambria Math"/>
            </w:rPr>
            <m:t>=3.35×80=268 miles</m:t>
          </m:r>
        </m:oMath>
      </m:oMathPara>
    </w:p>
    <w:p w:rsidR="00601950" w:rsidRDefault="00601950" w:rsidP="00296267"/>
    <w:p w:rsidR="00D9119D" w:rsidRPr="00D9119D" w:rsidRDefault="00D9119D" w:rsidP="00296267">
      <w:pPr>
        <w:rPr>
          <w:rFonts w:eastAsiaTheme="minorEastAsia"/>
        </w:rPr>
      </w:pPr>
      <m:oMathPara>
        <m:oMathParaPr>
          <m:jc m:val="left"/>
        </m:oMathParaPr>
        <m:oMath>
          <m:r>
            <w:rPr>
              <w:rFonts w:ascii="Cambria Math" w:hAnsi="Cambria Math"/>
            </w:rPr>
            <m:t>Cost per Mile Zoe=</m:t>
          </m:r>
          <m:f>
            <m:fPr>
              <m:ctrlPr>
                <w:rPr>
                  <w:rFonts w:ascii="Cambria Math" w:hAnsi="Cambria Math"/>
                  <w:i/>
                </w:rPr>
              </m:ctrlPr>
            </m:fPr>
            <m:num>
              <m:r>
                <w:rPr>
                  <w:rFonts w:ascii="Cambria Math" w:hAnsi="Cambria Math"/>
                </w:rPr>
                <m:t>18.38</m:t>
              </m:r>
            </m:num>
            <m:den>
              <m:r>
                <w:rPr>
                  <w:rFonts w:ascii="Cambria Math" w:hAnsi="Cambria Math"/>
                </w:rPr>
                <m:t>220</m:t>
              </m:r>
            </m:den>
          </m:f>
          <m:r>
            <w:rPr>
              <w:rFonts w:ascii="Cambria Math" w:hAnsi="Cambria Math"/>
            </w:rPr>
            <m:t>=£0.084</m:t>
          </m:r>
        </m:oMath>
      </m:oMathPara>
    </w:p>
    <w:p w:rsidR="00D9119D" w:rsidRPr="00A87D7E" w:rsidRDefault="00D9119D" w:rsidP="00296267">
      <w:pPr>
        <w:rPr>
          <w:rFonts w:eastAsiaTheme="minorEastAsia"/>
        </w:rPr>
      </w:pPr>
      <m:oMathPara>
        <m:oMathParaPr>
          <m:jc m:val="left"/>
        </m:oMathParaPr>
        <m:oMath>
          <m:r>
            <w:rPr>
              <w:rFonts w:ascii="Cambria Math" w:hAnsi="Cambria Math"/>
            </w:rPr>
            <m:t>Cost per Mile BMW 1 Series=</m:t>
          </m:r>
          <m:f>
            <m:fPr>
              <m:ctrlPr>
                <w:rPr>
                  <w:rFonts w:ascii="Cambria Math" w:hAnsi="Cambria Math"/>
                  <w:i/>
                </w:rPr>
              </m:ctrlPr>
            </m:fPr>
            <m:num>
              <m:r>
                <w:rPr>
                  <w:rFonts w:ascii="Cambria Math" w:hAnsi="Cambria Math"/>
                </w:rPr>
                <m:t>18.38</m:t>
              </m:r>
            </m:num>
            <m:den>
              <m:r>
                <w:rPr>
                  <w:rFonts w:ascii="Cambria Math" w:hAnsi="Cambria Math"/>
                </w:rPr>
                <m:t>268</m:t>
              </m:r>
            </m:den>
          </m:f>
          <m:r>
            <w:rPr>
              <w:rFonts w:ascii="Cambria Math" w:hAnsi="Cambria Math"/>
            </w:rPr>
            <m:t>=£0.068</m:t>
          </m:r>
        </m:oMath>
      </m:oMathPara>
    </w:p>
    <w:p w:rsidR="00A87D7E" w:rsidRDefault="00A87D7E" w:rsidP="00296267">
      <w:pPr>
        <w:rPr>
          <w:rFonts w:eastAsiaTheme="minorEastAsia"/>
        </w:rPr>
      </w:pPr>
      <w:r>
        <w:rPr>
          <w:rFonts w:eastAsiaTheme="minorEastAsia"/>
        </w:rPr>
        <w:t>Calculations assume 100% charging efficiency.</w:t>
      </w:r>
    </w:p>
    <w:p w:rsidR="00FE3DD8" w:rsidRDefault="00FE3DD8" w:rsidP="00296267">
      <w:pPr>
        <w:rPr>
          <w:rFonts w:eastAsiaTheme="minorEastAsia"/>
        </w:rPr>
      </w:pPr>
    </w:p>
    <w:p w:rsidR="00A87D7E" w:rsidRDefault="00A87D7E" w:rsidP="00A87D7E">
      <w:pPr>
        <w:pStyle w:val="Heading2"/>
      </w:pPr>
      <w:r>
        <w:t xml:space="preserve">Range Extender Power Requirement </w:t>
      </w:r>
    </w:p>
    <w:p w:rsidR="00A87D7E" w:rsidRDefault="00A87D7E" w:rsidP="00A87D7E"/>
    <w:p w:rsidR="00F21C70" w:rsidRPr="00F21C70" w:rsidRDefault="00F21C70" w:rsidP="00A87D7E">
      <w:pPr>
        <w:rPr>
          <w:rFonts w:eastAsiaTheme="minorEastAsia"/>
        </w:rPr>
      </w:pPr>
      <m:oMathPara>
        <m:oMathParaPr>
          <m:jc m:val="left"/>
        </m:oMathParaPr>
        <m:oMath>
          <m:r>
            <w:rPr>
              <w:rFonts w:ascii="Cambria Math" w:hAnsi="Cambria Math"/>
            </w:rPr>
            <m:t>Mechanical Energy per Second = Wheel Force</m:t>
          </m:r>
          <m:r>
            <w:rPr>
              <w:rFonts w:ascii="Cambria Math" w:hAnsi="Cambria Math"/>
            </w:rPr>
            <m:t>×Velocity</m:t>
          </m:r>
          <m:r>
            <w:rPr>
              <w:rFonts w:ascii="Cambria Math" w:hAnsi="Cambria Math"/>
            </w:rPr>
            <m:t xml:space="preserve"> </m:t>
          </m:r>
        </m:oMath>
      </m:oMathPara>
    </w:p>
    <w:p w:rsidR="00F21C70" w:rsidRPr="00F21C70" w:rsidRDefault="00F21C70" w:rsidP="00A87D7E">
      <w:pPr>
        <w:rPr>
          <w:rFonts w:ascii="Cambria Math" w:hAnsi="Cambria Math"/>
          <w:oMath/>
        </w:rPr>
      </w:pPr>
    </w:p>
    <w:p w:rsidR="00A87D7E" w:rsidRPr="00465ECF" w:rsidRDefault="00465ECF" w:rsidP="00A87D7E">
      <w:pPr>
        <w:rPr>
          <w:rFonts w:eastAsiaTheme="minorEastAsia"/>
        </w:rPr>
      </w:pPr>
      <m:oMathPara>
        <m:oMathParaPr>
          <m:jc m:val="left"/>
        </m:oMathParaPr>
        <m:oMath>
          <m:r>
            <w:rPr>
              <w:rFonts w:ascii="Cambria Math" w:hAnsi="Cambria Math"/>
            </w:rPr>
            <m:t>Motorway Speed=70 mph=31.</m:t>
          </m:r>
          <m:r>
            <w:rPr>
              <w:rFonts w:ascii="Cambria Math" w:hAnsi="Cambria Math"/>
            </w:rPr>
            <m:t>3</m:t>
          </m:r>
          <m:r>
            <w:rPr>
              <w:rFonts w:ascii="Cambria Math" w:hAnsi="Cambria Math"/>
            </w:rPr>
            <m:t xml:space="preserve"> m/s</m:t>
          </m:r>
        </m:oMath>
      </m:oMathPara>
    </w:p>
    <w:p w:rsidR="00BF5BA7" w:rsidRDefault="00BF5BA7" w:rsidP="00A87D7E">
      <w:pPr>
        <w:rPr>
          <w:rFonts w:eastAsiaTheme="minorEastAsia"/>
        </w:rPr>
      </w:pPr>
    </w:p>
    <w:p w:rsidR="00BF5BA7" w:rsidRPr="00BF5BA7" w:rsidRDefault="00BF5BA7" w:rsidP="00A87D7E">
      <w:pPr>
        <w:rPr>
          <w:rFonts w:eastAsiaTheme="minorEastAsia"/>
        </w:rPr>
      </w:pPr>
      <m:oMath>
        <m:r>
          <w:rPr>
            <w:rFonts w:ascii="Cambria Math" w:eastAsiaTheme="minorEastAsia" w:hAnsi="Cambria Math"/>
          </w:rPr>
          <m:t>Wheel Force=Aero Force+Rolling Force</m:t>
        </m:r>
        <m:r>
          <w:rPr>
            <w:rFonts w:ascii="Cambria Math" w:eastAsiaTheme="minorEastAsia" w:hAnsi="Cambria Math"/>
          </w:rPr>
          <m:t>+(Mass×Acceleration</m:t>
        </m:r>
      </m:oMath>
      <w:r w:rsidR="00465ECF">
        <w:rPr>
          <w:rFonts w:eastAsiaTheme="minorEastAsia"/>
        </w:rPr>
        <w:t>)</w:t>
      </w:r>
    </w:p>
    <w:p w:rsidR="00A87D7E" w:rsidRDefault="00A87D7E" w:rsidP="00A87D7E">
      <w:pPr>
        <w:rPr>
          <w:rFonts w:eastAsiaTheme="minorEastAsia"/>
        </w:rPr>
      </w:pPr>
    </w:p>
    <w:p w:rsidR="00A87D7E" w:rsidRPr="00A87D7E" w:rsidRDefault="00A87D7E" w:rsidP="00A87D7E">
      <w:pPr>
        <w:rPr>
          <w:rFonts w:eastAsiaTheme="minorEastAsia"/>
        </w:rPr>
      </w:pPr>
      <m:oMathPara>
        <m:oMathParaPr>
          <m:jc m:val="left"/>
        </m:oMathParaPr>
        <m:oMath>
          <m:r>
            <w:rPr>
              <w:rFonts w:ascii="Cambria Math" w:eastAsiaTheme="minorEastAsia" w:hAnsi="Cambria Math"/>
            </w:rPr>
            <m:t>Aero Force=</m:t>
          </m:r>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2</m:t>
              </m:r>
            </m:den>
          </m:f>
          <m:r>
            <w:rPr>
              <w:rFonts w:ascii="Cambria Math" w:eastAsiaTheme="minorEastAsia" w:hAnsi="Cambria Math"/>
            </w:rPr>
            <m:t>.ρ.</m:t>
          </m:r>
          <m:sSub>
            <m:sSubPr>
              <m:ctrlPr>
                <w:rPr>
                  <w:rFonts w:ascii="Cambria Math" w:eastAsiaTheme="minorEastAsia" w:hAnsi="Cambria Math"/>
                  <w:i/>
                </w:rPr>
              </m:ctrlPr>
            </m:sSubPr>
            <m:e>
              <m:r>
                <w:rPr>
                  <w:rFonts w:ascii="Cambria Math" w:eastAsiaTheme="minorEastAsia" w:hAnsi="Cambria Math"/>
                </w:rPr>
                <m:t>C</m:t>
              </m:r>
            </m:e>
            <m:sub>
              <m:r>
                <w:rPr>
                  <w:rFonts w:ascii="Cambria Math" w:eastAsiaTheme="minorEastAsia" w:hAnsi="Cambria Math"/>
                </w:rPr>
                <m:t>D</m:t>
              </m:r>
            </m:sub>
          </m:sSub>
          <m:r>
            <w:rPr>
              <w:rFonts w:ascii="Cambria Math" w:eastAsiaTheme="minorEastAsia" w:hAnsi="Cambria Math"/>
            </w:rPr>
            <m:t>.A.</m:t>
          </m:r>
          <m:sSup>
            <m:sSupPr>
              <m:ctrlPr>
                <w:rPr>
                  <w:rFonts w:ascii="Cambria Math" w:eastAsiaTheme="minorEastAsia" w:hAnsi="Cambria Math"/>
                  <w:i/>
                </w:rPr>
              </m:ctrlPr>
            </m:sSupPr>
            <m:e>
              <m:r>
                <w:rPr>
                  <w:rFonts w:ascii="Cambria Math" w:eastAsiaTheme="minorEastAsia" w:hAnsi="Cambria Math"/>
                </w:rPr>
                <m:t>v</m:t>
              </m:r>
            </m:e>
            <m:sup>
              <m:r>
                <w:rPr>
                  <w:rFonts w:ascii="Cambria Math" w:eastAsiaTheme="minorEastAsia" w:hAnsi="Cambria Math"/>
                </w:rPr>
                <m:t>2</m:t>
              </m:r>
            </m:sup>
          </m:sSup>
        </m:oMath>
      </m:oMathPara>
    </w:p>
    <w:p w:rsidR="00A87D7E" w:rsidRPr="004C460C" w:rsidRDefault="00A87D7E" w:rsidP="00A87D7E">
      <w:pPr>
        <w:rPr>
          <w:rFonts w:eastAsiaTheme="minorEastAsia"/>
        </w:rPr>
      </w:pPr>
      <m:oMathPara>
        <m:oMathParaPr>
          <m:jc m:val="left"/>
        </m:oMathParaPr>
        <m:oMath>
          <m:r>
            <w:rPr>
              <w:rFonts w:ascii="Cambria Math" w:eastAsiaTheme="minorEastAsia" w:hAnsi="Cambria Math"/>
            </w:rPr>
            <m:t>ρ=air density=</m:t>
          </m:r>
          <m:r>
            <w:rPr>
              <w:rFonts w:ascii="Cambria Math" w:eastAsiaTheme="minorEastAsia" w:hAnsi="Cambria Math"/>
            </w:rPr>
            <m:t>1.2 Kg/</m:t>
          </m:r>
          <m:sSup>
            <m:sSupPr>
              <m:ctrlPr>
                <w:rPr>
                  <w:rFonts w:ascii="Cambria Math" w:eastAsiaTheme="minorEastAsia" w:hAnsi="Cambria Math"/>
                  <w:i/>
                </w:rPr>
              </m:ctrlPr>
            </m:sSupPr>
            <m:e>
              <m:r>
                <w:rPr>
                  <w:rFonts w:ascii="Cambria Math" w:eastAsiaTheme="minorEastAsia" w:hAnsi="Cambria Math"/>
                </w:rPr>
                <m:t>m</m:t>
              </m:r>
            </m:e>
            <m:sup>
              <m:r>
                <w:rPr>
                  <w:rFonts w:ascii="Cambria Math" w:eastAsiaTheme="minorEastAsia" w:hAnsi="Cambria Math"/>
                </w:rPr>
                <m:t>3</m:t>
              </m:r>
            </m:sup>
          </m:sSup>
        </m:oMath>
      </m:oMathPara>
    </w:p>
    <w:p w:rsidR="00A87D7E" w:rsidRPr="004C460C" w:rsidRDefault="004C460C" w:rsidP="00A87D7E">
      <w:pPr>
        <w:rPr>
          <w:rFonts w:eastAsiaTheme="minorEastAsia"/>
        </w:rPr>
      </w:pPr>
      <m:oMathPara>
        <m:oMathParaPr>
          <m:jc m:val="left"/>
        </m:oMathParaPr>
        <m:oMath>
          <m:sSub>
            <m:sSubPr>
              <m:ctrlPr>
                <w:rPr>
                  <w:rFonts w:ascii="Cambria Math" w:hAnsi="Cambria Math"/>
                  <w:i/>
                </w:rPr>
              </m:ctrlPr>
            </m:sSubPr>
            <m:e>
              <m:r>
                <w:rPr>
                  <w:rFonts w:ascii="Cambria Math" w:hAnsi="Cambria Math"/>
                </w:rPr>
                <m:t>C</m:t>
              </m:r>
            </m:e>
            <m:sub>
              <m:r>
                <w:rPr>
                  <w:rFonts w:ascii="Cambria Math" w:hAnsi="Cambria Math"/>
                </w:rPr>
                <m:t>D</m:t>
              </m:r>
            </m:sub>
          </m:sSub>
          <m:r>
            <w:rPr>
              <w:rFonts w:ascii="Cambria Math" w:hAnsi="Cambria Math"/>
            </w:rPr>
            <m:t>=Drag Coefficient=0.4</m:t>
          </m:r>
        </m:oMath>
      </m:oMathPara>
    </w:p>
    <w:p w:rsidR="004C460C" w:rsidRPr="004C460C" w:rsidRDefault="004C460C" w:rsidP="00A87D7E">
      <w:pPr>
        <w:rPr>
          <w:rFonts w:eastAsiaTheme="minorEastAsia"/>
        </w:rPr>
      </w:pPr>
      <m:oMathPara>
        <m:oMathParaPr>
          <m:jc m:val="left"/>
        </m:oMathParaPr>
        <m:oMath>
          <m:r>
            <w:rPr>
              <w:rFonts w:ascii="Cambria Math" w:eastAsiaTheme="minorEastAsia" w:hAnsi="Cambria Math"/>
            </w:rPr>
            <m:t xml:space="preserve">A=Frontal Area=2.2 </m:t>
          </m:r>
          <m:sSup>
            <m:sSupPr>
              <m:ctrlPr>
                <w:rPr>
                  <w:rFonts w:ascii="Cambria Math" w:eastAsiaTheme="minorEastAsia" w:hAnsi="Cambria Math"/>
                  <w:i/>
                </w:rPr>
              </m:ctrlPr>
            </m:sSupPr>
            <m:e>
              <m:r>
                <w:rPr>
                  <w:rFonts w:ascii="Cambria Math" w:eastAsiaTheme="minorEastAsia" w:hAnsi="Cambria Math"/>
                </w:rPr>
                <m:t>m</m:t>
              </m:r>
            </m:e>
            <m:sup>
              <m:r>
                <w:rPr>
                  <w:rFonts w:ascii="Cambria Math" w:eastAsiaTheme="minorEastAsia" w:hAnsi="Cambria Math"/>
                </w:rPr>
                <m:t>2</m:t>
              </m:r>
            </m:sup>
          </m:sSup>
        </m:oMath>
      </m:oMathPara>
    </w:p>
    <w:p w:rsidR="004C460C" w:rsidRPr="004C460C" w:rsidRDefault="004C460C" w:rsidP="00A87D7E">
      <w:pPr>
        <w:rPr>
          <w:rFonts w:eastAsiaTheme="minorEastAsia"/>
        </w:rPr>
      </w:pPr>
      <m:oMathPara>
        <m:oMathParaPr>
          <m:jc m:val="left"/>
        </m:oMathParaPr>
        <m:oMath>
          <m:r>
            <w:rPr>
              <w:rFonts w:ascii="Cambria Math" w:eastAsiaTheme="minorEastAsia" w:hAnsi="Cambria Math"/>
            </w:rPr>
            <w:lastRenderedPageBreak/>
            <m:t>v=Velocity=</m:t>
          </m:r>
          <m:r>
            <w:rPr>
              <w:rFonts w:ascii="Cambria Math" w:eastAsiaTheme="minorEastAsia" w:hAnsi="Cambria Math"/>
            </w:rPr>
            <m:t>31.3</m:t>
          </m:r>
          <m:r>
            <w:rPr>
              <w:rFonts w:ascii="Cambria Math" w:eastAsiaTheme="minorEastAsia" w:hAnsi="Cambria Math"/>
            </w:rPr>
            <m:t xml:space="preserve"> m/s</m:t>
          </m:r>
        </m:oMath>
      </m:oMathPara>
    </w:p>
    <w:p w:rsidR="004C460C" w:rsidRPr="00BF5BA7" w:rsidRDefault="004C460C" w:rsidP="00A87D7E">
      <w:pPr>
        <w:rPr>
          <w:rFonts w:eastAsiaTheme="minorEastAsia"/>
        </w:rPr>
      </w:pPr>
      <m:oMathPara>
        <m:oMathParaPr>
          <m:jc m:val="left"/>
        </m:oMathParaPr>
        <m:oMath>
          <m:r>
            <w:rPr>
              <w:rFonts w:ascii="Cambria Math" w:eastAsiaTheme="minorEastAsia" w:hAnsi="Cambria Math"/>
            </w:rPr>
            <m:t>Aero Force=</m:t>
          </m:r>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2</m:t>
              </m:r>
            </m:den>
          </m:f>
          <m:r>
            <w:rPr>
              <w:rFonts w:ascii="Cambria Math" w:eastAsiaTheme="minorEastAsia" w:hAnsi="Cambria Math"/>
            </w:rPr>
            <m:t>×1.2×0.4×2.2×</m:t>
          </m:r>
          <m:sSup>
            <m:sSupPr>
              <m:ctrlPr>
                <w:rPr>
                  <w:rFonts w:ascii="Cambria Math" w:eastAsiaTheme="minorEastAsia" w:hAnsi="Cambria Math"/>
                  <w:i/>
                </w:rPr>
              </m:ctrlPr>
            </m:sSupPr>
            <m:e>
              <m:r>
                <w:rPr>
                  <w:rFonts w:ascii="Cambria Math" w:eastAsiaTheme="minorEastAsia" w:hAnsi="Cambria Math"/>
                </w:rPr>
                <m:t>31.3</m:t>
              </m:r>
            </m:e>
            <m:sup>
              <m:r>
                <w:rPr>
                  <w:rFonts w:ascii="Cambria Math" w:eastAsiaTheme="minorEastAsia" w:hAnsi="Cambria Math"/>
                </w:rPr>
                <m:t>2</m:t>
              </m:r>
            </m:sup>
          </m:sSup>
          <m:r>
            <w:rPr>
              <w:rFonts w:ascii="Cambria Math" w:eastAsiaTheme="minorEastAsia" w:hAnsi="Cambria Math"/>
            </w:rPr>
            <m:t>=</m:t>
          </m:r>
          <m:r>
            <w:rPr>
              <w:rFonts w:ascii="Cambria Math" w:eastAsiaTheme="minorEastAsia" w:hAnsi="Cambria Math"/>
            </w:rPr>
            <m:t>431N</m:t>
          </m:r>
        </m:oMath>
      </m:oMathPara>
    </w:p>
    <w:p w:rsidR="00BF5BA7" w:rsidRPr="00BF5BA7" w:rsidRDefault="00BF5BA7" w:rsidP="00A87D7E">
      <w:pPr>
        <w:rPr>
          <w:rFonts w:eastAsiaTheme="minorEastAsia"/>
        </w:rPr>
      </w:pPr>
      <m:oMath>
        <m:r>
          <w:rPr>
            <w:rFonts w:ascii="Cambria Math" w:eastAsiaTheme="minorEastAsia" w:hAnsi="Cambria Math"/>
          </w:rPr>
          <m:t>Rolling Force= μ.m.g</m:t>
        </m:r>
      </m:oMath>
      <w:r>
        <w:rPr>
          <w:rFonts w:eastAsiaTheme="minorEastAsia"/>
        </w:rPr>
        <w:t xml:space="preserve"> </w:t>
      </w:r>
    </w:p>
    <w:p w:rsidR="00BF5BA7" w:rsidRPr="00BF5BA7" w:rsidRDefault="00BF5BA7" w:rsidP="00A87D7E">
      <w:pPr>
        <w:rPr>
          <w:rFonts w:eastAsiaTheme="minorEastAsia"/>
        </w:rPr>
      </w:pPr>
      <m:oMathPara>
        <m:oMathParaPr>
          <m:jc m:val="left"/>
        </m:oMathParaPr>
        <m:oMath>
          <m:r>
            <w:rPr>
              <w:rFonts w:ascii="Cambria Math" w:eastAsiaTheme="minorEastAsia" w:hAnsi="Cambria Math"/>
            </w:rPr>
            <m:t>μ=Rolling Coefficient=0.015</m:t>
          </m:r>
        </m:oMath>
      </m:oMathPara>
    </w:p>
    <w:p w:rsidR="00BF5BA7" w:rsidRPr="00BF5BA7" w:rsidRDefault="00BF5BA7" w:rsidP="00A87D7E">
      <w:pPr>
        <w:rPr>
          <w:rFonts w:eastAsiaTheme="minorEastAsia"/>
        </w:rPr>
      </w:pPr>
      <m:oMathPara>
        <m:oMathParaPr>
          <m:jc m:val="left"/>
        </m:oMathParaPr>
        <m:oMath>
          <m:r>
            <w:rPr>
              <w:rFonts w:ascii="Cambria Math" w:eastAsiaTheme="minorEastAsia" w:hAnsi="Cambria Math"/>
            </w:rPr>
            <m:t>m=Mass=1650 Kg</m:t>
          </m:r>
        </m:oMath>
      </m:oMathPara>
    </w:p>
    <w:p w:rsidR="00BF5BA7" w:rsidRPr="00BF5BA7" w:rsidRDefault="00BF5BA7" w:rsidP="00A87D7E">
      <w:pPr>
        <w:rPr>
          <w:rFonts w:eastAsiaTheme="minorEastAsia"/>
        </w:rPr>
      </w:pPr>
      <m:oMathPara>
        <m:oMathParaPr>
          <m:jc m:val="left"/>
        </m:oMathParaPr>
        <m:oMath>
          <m:r>
            <w:rPr>
              <w:rFonts w:ascii="Cambria Math" w:eastAsiaTheme="minorEastAsia" w:hAnsi="Cambria Math"/>
            </w:rPr>
            <m:t>g=Gravity=9.81 m/s</m:t>
          </m:r>
        </m:oMath>
      </m:oMathPara>
    </w:p>
    <w:p w:rsidR="00BF5BA7" w:rsidRPr="00BF5BA7" w:rsidRDefault="00BF5BA7" w:rsidP="00A87D7E">
      <w:pPr>
        <w:rPr>
          <w:rFonts w:eastAsiaTheme="minorEastAsia"/>
        </w:rPr>
      </w:pPr>
      <m:oMathPara>
        <m:oMathParaPr>
          <m:jc m:val="left"/>
        </m:oMathParaPr>
        <m:oMath>
          <m:r>
            <w:rPr>
              <w:rFonts w:ascii="Cambria Math" w:eastAsiaTheme="minorEastAsia" w:hAnsi="Cambria Math"/>
            </w:rPr>
            <m:t>Rolling Force=0.015×1650×9.81=242.75N</m:t>
          </m:r>
        </m:oMath>
      </m:oMathPara>
    </w:p>
    <w:p w:rsidR="00BF5BA7" w:rsidRPr="00BF5BA7" w:rsidRDefault="00BF5BA7" w:rsidP="00A87D7E">
      <w:pPr>
        <w:rPr>
          <w:rFonts w:eastAsiaTheme="minorEastAsia"/>
        </w:rPr>
      </w:pPr>
    </w:p>
    <w:p w:rsidR="00F21C70" w:rsidRPr="00F21C70" w:rsidRDefault="00F21C70" w:rsidP="00A87D7E">
      <w:pPr>
        <w:rPr>
          <w:rFonts w:eastAsiaTheme="minorEastAsia"/>
        </w:rPr>
      </w:pPr>
      <m:oMathPara>
        <m:oMathParaPr>
          <m:jc m:val="left"/>
        </m:oMathParaPr>
        <m:oMath>
          <m:r>
            <w:rPr>
              <w:rFonts w:ascii="Cambria Math" w:eastAsiaTheme="minorEastAsia" w:hAnsi="Cambria Math"/>
            </w:rPr>
            <m:t>Wheel Force=</m:t>
          </m:r>
          <m:r>
            <w:rPr>
              <w:rFonts w:ascii="Cambria Math" w:eastAsiaTheme="minorEastAsia" w:hAnsi="Cambria Math"/>
            </w:rPr>
            <m:t>431+242.75</m:t>
          </m:r>
          <m:r>
            <w:rPr>
              <w:rFonts w:ascii="Cambria Math" w:eastAsiaTheme="minorEastAsia" w:hAnsi="Cambria Math"/>
            </w:rPr>
            <m:t>=</m:t>
          </m:r>
          <m:r>
            <w:rPr>
              <w:rFonts w:ascii="Cambria Math" w:eastAsiaTheme="minorEastAsia" w:hAnsi="Cambria Math"/>
            </w:rPr>
            <m:t>673.75</m:t>
          </m:r>
          <m:r>
            <w:rPr>
              <w:rFonts w:ascii="Cambria Math" w:eastAsiaTheme="minorEastAsia" w:hAnsi="Cambria Math"/>
            </w:rPr>
            <m:t>N</m:t>
          </m:r>
        </m:oMath>
      </m:oMathPara>
    </w:p>
    <w:p w:rsidR="00F21C70" w:rsidRPr="00F21C70" w:rsidRDefault="00F21C70" w:rsidP="00A87D7E">
      <w:pPr>
        <w:rPr>
          <w:rFonts w:eastAsiaTheme="minorEastAsia"/>
        </w:rPr>
      </w:pPr>
      <m:oMathPara>
        <m:oMathParaPr>
          <m:jc m:val="left"/>
        </m:oMathParaPr>
        <m:oMath>
          <m:r>
            <w:rPr>
              <w:rFonts w:ascii="Cambria Math" w:eastAsiaTheme="minorEastAsia" w:hAnsi="Cambria Math"/>
            </w:rPr>
            <m:t>Mechanical Energy per Second=</m:t>
          </m:r>
          <m:r>
            <w:rPr>
              <w:rFonts w:ascii="Cambria Math" w:eastAsiaTheme="minorEastAsia" w:hAnsi="Cambria Math"/>
            </w:rPr>
            <m:t>673.75</m:t>
          </m:r>
          <m:r>
            <w:rPr>
              <w:rFonts w:ascii="Cambria Math" w:eastAsiaTheme="minorEastAsia" w:hAnsi="Cambria Math"/>
            </w:rPr>
            <m:t>×</m:t>
          </m:r>
          <m:r>
            <w:rPr>
              <w:rFonts w:ascii="Cambria Math" w:eastAsiaTheme="minorEastAsia" w:hAnsi="Cambria Math"/>
            </w:rPr>
            <m:t>31.3</m:t>
          </m:r>
          <m:r>
            <w:rPr>
              <w:rFonts w:ascii="Cambria Math" w:eastAsiaTheme="minorEastAsia" w:hAnsi="Cambria Math"/>
            </w:rPr>
            <m:t>=</m:t>
          </m:r>
          <m:r>
            <w:rPr>
              <w:rFonts w:ascii="Cambria Math" w:eastAsiaTheme="minorEastAsia" w:hAnsi="Cambria Math"/>
            </w:rPr>
            <m:t>21088</m:t>
          </m:r>
          <m:r>
            <w:rPr>
              <w:rFonts w:ascii="Cambria Math" w:eastAsiaTheme="minorEastAsia" w:hAnsi="Cambria Math"/>
            </w:rPr>
            <m:t xml:space="preserve"> Joules</m:t>
          </m:r>
          <m:r>
            <w:rPr>
              <w:rFonts w:ascii="Cambria Math" w:eastAsiaTheme="minorEastAsia" w:hAnsi="Cambria Math"/>
            </w:rPr>
            <m:t xml:space="preserve"> per second</m:t>
          </m:r>
          <m:r>
            <w:rPr>
              <w:rFonts w:ascii="Cambria Math" w:eastAsiaTheme="minorEastAsia" w:hAnsi="Cambria Math"/>
            </w:rPr>
            <m:t xml:space="preserve"> or</m:t>
          </m:r>
          <m:r>
            <w:rPr>
              <w:rFonts w:ascii="Cambria Math" w:eastAsiaTheme="minorEastAsia" w:hAnsi="Cambria Math"/>
            </w:rPr>
            <m:t xml:space="preserve"> 21.1</m:t>
          </m:r>
          <m:r>
            <w:rPr>
              <w:rFonts w:ascii="Cambria Math" w:eastAsiaTheme="minorEastAsia" w:hAnsi="Cambria Math"/>
            </w:rPr>
            <m:t xml:space="preserve"> </m:t>
          </m:r>
          <m:r>
            <w:rPr>
              <w:rFonts w:ascii="Cambria Math" w:eastAsiaTheme="minorEastAsia" w:hAnsi="Cambria Math"/>
            </w:rPr>
            <m:t>Kw</m:t>
          </m:r>
        </m:oMath>
      </m:oMathPara>
    </w:p>
    <w:p w:rsidR="00F21C70" w:rsidRDefault="00F21C70" w:rsidP="00A87D7E">
      <w:pPr>
        <w:rPr>
          <w:rFonts w:eastAsiaTheme="minorEastAsia"/>
        </w:rPr>
      </w:pPr>
    </w:p>
    <w:p w:rsidR="00412FAB" w:rsidRDefault="00F21C70" w:rsidP="00A87D7E">
      <w:pPr>
        <w:rPr>
          <w:rFonts w:eastAsiaTheme="minorEastAsia"/>
        </w:rPr>
      </w:pPr>
      <w:r>
        <w:rPr>
          <w:rFonts w:eastAsiaTheme="minorEastAsia"/>
        </w:rPr>
        <w:t xml:space="preserve">These calculations assume constant speed with zero acceleration. </w:t>
      </w:r>
      <w:r w:rsidR="00465ECF">
        <w:rPr>
          <w:rFonts w:eastAsiaTheme="minorEastAsia"/>
        </w:rPr>
        <w:t xml:space="preserve">In reality the car would be accelerating and decelerating. This would increase the mechanical energy needed </w:t>
      </w:r>
      <w:r w:rsidR="00E41B1A">
        <w:rPr>
          <w:rFonts w:eastAsiaTheme="minorEastAsia"/>
        </w:rPr>
        <w:t xml:space="preserve">therefore the range extender would momentarily not keep up with the demand. </w:t>
      </w:r>
    </w:p>
    <w:p w:rsidR="00412FAB" w:rsidRPr="00412FAB" w:rsidRDefault="00412FAB" w:rsidP="00412FAB">
      <w:pPr>
        <w:rPr>
          <w:rFonts w:eastAsiaTheme="minorEastAsia"/>
        </w:rPr>
      </w:pPr>
    </w:p>
    <w:p w:rsidR="00412FAB" w:rsidRDefault="00412FAB" w:rsidP="00412FAB">
      <w:pPr>
        <w:rPr>
          <w:rFonts w:eastAsiaTheme="minorEastAsia"/>
        </w:rPr>
      </w:pPr>
    </w:p>
    <w:p w:rsidR="00F21C70" w:rsidRDefault="00412FAB" w:rsidP="00412FAB">
      <w:pPr>
        <w:pStyle w:val="Heading2"/>
        <w:rPr>
          <w:rFonts w:eastAsiaTheme="minorEastAsia"/>
        </w:rPr>
      </w:pPr>
      <w:r>
        <w:rPr>
          <w:rFonts w:eastAsiaTheme="minorEastAsia"/>
        </w:rPr>
        <w:t>Miller Cycle</w:t>
      </w:r>
    </w:p>
    <w:p w:rsidR="00412FAB" w:rsidRDefault="00412FAB" w:rsidP="00412FAB"/>
    <w:p w:rsidR="00412FAB" w:rsidRDefault="00412FAB" w:rsidP="00412FAB">
      <w:r>
        <w:t xml:space="preserve">In a miller cycle the inlet valve is left open longer than it would be in an </w:t>
      </w:r>
      <w:r w:rsidR="00665730">
        <w:t>Otto</w:t>
      </w:r>
      <w:r>
        <w:t xml:space="preserve"> cycle engine </w:t>
      </w:r>
      <w:r w:rsidR="00665730">
        <w:t>therefore the compression stroke is split into 2. The first part charge is being pushed out back through the inlet valve but a supercharger allows performance to be kept. The second part is where compression occurs, this means that the compression ratio is now smaller than the expansion ratio giving a greater efficiency. The lower compression ratio means combustions temperatures are not as high which helps reduce NOx formation.</w:t>
      </w:r>
    </w:p>
    <w:p w:rsidR="00665730" w:rsidRDefault="00665730" w:rsidP="00412FAB"/>
    <w:p w:rsidR="00665730" w:rsidRDefault="00665730" w:rsidP="00412FAB"/>
    <w:p w:rsidR="00665730" w:rsidRDefault="00665730" w:rsidP="00412FAB"/>
    <w:p w:rsidR="00665730" w:rsidRDefault="00665730" w:rsidP="00412FAB"/>
    <w:p w:rsidR="00665730" w:rsidRDefault="00665730" w:rsidP="00412FAB"/>
    <w:p w:rsidR="00665730" w:rsidRDefault="00665730" w:rsidP="00412FAB"/>
    <w:p w:rsidR="00665730" w:rsidRDefault="00665730" w:rsidP="00412FAB"/>
    <w:p w:rsidR="00665730" w:rsidRDefault="00665730" w:rsidP="00412FAB"/>
    <w:p w:rsidR="00665730" w:rsidRPr="00412FAB" w:rsidRDefault="00665730" w:rsidP="00412FAB"/>
    <w:sectPr w:rsidR="00665730" w:rsidRPr="00412FAB" w:rsidSect="00653781">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B7BBB" w:rsidRDefault="007B7BBB" w:rsidP="008178A1">
      <w:pPr>
        <w:spacing w:after="0" w:line="240" w:lineRule="auto"/>
      </w:pPr>
      <w:r>
        <w:separator/>
      </w:r>
    </w:p>
  </w:endnote>
  <w:endnote w:type="continuationSeparator" w:id="0">
    <w:p w:rsidR="007B7BBB" w:rsidRDefault="007B7BBB" w:rsidP="008178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27022379"/>
      <w:docPartObj>
        <w:docPartGallery w:val="Page Numbers (Bottom of Page)"/>
        <w:docPartUnique/>
      </w:docPartObj>
    </w:sdtPr>
    <w:sdtEndPr>
      <w:rPr>
        <w:noProof/>
      </w:rPr>
    </w:sdtEndPr>
    <w:sdtContent>
      <w:p w:rsidR="008178A1" w:rsidRDefault="008178A1">
        <w:pPr>
          <w:pStyle w:val="Footer"/>
          <w:jc w:val="right"/>
        </w:pPr>
        <w:r>
          <w:fldChar w:fldCharType="begin"/>
        </w:r>
        <w:r>
          <w:instrText xml:space="preserve"> PAGE   \* MERGEFORMAT </w:instrText>
        </w:r>
        <w:r>
          <w:fldChar w:fldCharType="separate"/>
        </w:r>
        <w:r w:rsidR="0047135C">
          <w:rPr>
            <w:noProof/>
          </w:rPr>
          <w:t>1</w:t>
        </w:r>
        <w:r>
          <w:rPr>
            <w:noProof/>
          </w:rPr>
          <w:fldChar w:fldCharType="end"/>
        </w:r>
      </w:p>
    </w:sdtContent>
  </w:sdt>
  <w:p w:rsidR="008178A1" w:rsidRDefault="008178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B7BBB" w:rsidRDefault="007B7BBB" w:rsidP="008178A1">
      <w:pPr>
        <w:spacing w:after="0" w:line="240" w:lineRule="auto"/>
      </w:pPr>
      <w:r>
        <w:separator/>
      </w:r>
    </w:p>
  </w:footnote>
  <w:footnote w:type="continuationSeparator" w:id="0">
    <w:p w:rsidR="007B7BBB" w:rsidRDefault="007B7BBB" w:rsidP="008178A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53781"/>
    <w:rsid w:val="000504FD"/>
    <w:rsid w:val="00085A13"/>
    <w:rsid w:val="000C7658"/>
    <w:rsid w:val="001135BD"/>
    <w:rsid w:val="001F0067"/>
    <w:rsid w:val="002947F5"/>
    <w:rsid w:val="00296267"/>
    <w:rsid w:val="0030514C"/>
    <w:rsid w:val="003230F5"/>
    <w:rsid w:val="0033369D"/>
    <w:rsid w:val="00381417"/>
    <w:rsid w:val="003B21C3"/>
    <w:rsid w:val="00412FAB"/>
    <w:rsid w:val="004343EB"/>
    <w:rsid w:val="00465ECF"/>
    <w:rsid w:val="0047135C"/>
    <w:rsid w:val="004946F9"/>
    <w:rsid w:val="004A146B"/>
    <w:rsid w:val="004C460C"/>
    <w:rsid w:val="005B4CBE"/>
    <w:rsid w:val="005B60A0"/>
    <w:rsid w:val="005C5B40"/>
    <w:rsid w:val="00601950"/>
    <w:rsid w:val="006154CF"/>
    <w:rsid w:val="00653781"/>
    <w:rsid w:val="006642E2"/>
    <w:rsid w:val="00665730"/>
    <w:rsid w:val="00795306"/>
    <w:rsid w:val="007B7BBB"/>
    <w:rsid w:val="008178A1"/>
    <w:rsid w:val="008657CE"/>
    <w:rsid w:val="00876112"/>
    <w:rsid w:val="0088494C"/>
    <w:rsid w:val="00892661"/>
    <w:rsid w:val="008B3329"/>
    <w:rsid w:val="00A87D7E"/>
    <w:rsid w:val="00A901B0"/>
    <w:rsid w:val="00A911E0"/>
    <w:rsid w:val="00BF5BA7"/>
    <w:rsid w:val="00C02104"/>
    <w:rsid w:val="00C26306"/>
    <w:rsid w:val="00CB04F8"/>
    <w:rsid w:val="00D9119D"/>
    <w:rsid w:val="00E41B1A"/>
    <w:rsid w:val="00EA080E"/>
    <w:rsid w:val="00F21C70"/>
    <w:rsid w:val="00FE3DD8"/>
    <w:rsid w:val="00FF7C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CC9324"/>
  <w15:chartTrackingRefBased/>
  <w15:docId w15:val="{FC2E95B2-DDD6-4189-920E-BC9D7A82DC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657C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657C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5378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53781"/>
    <w:rPr>
      <w:rFonts w:eastAsiaTheme="minorEastAsia"/>
      <w:lang w:val="en-US"/>
    </w:rPr>
  </w:style>
  <w:style w:type="character" w:customStyle="1" w:styleId="Heading1Char">
    <w:name w:val="Heading 1 Char"/>
    <w:basedOn w:val="DefaultParagraphFont"/>
    <w:link w:val="Heading1"/>
    <w:uiPriority w:val="9"/>
    <w:rsid w:val="008657CE"/>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8657CE"/>
    <w:rPr>
      <w:rFonts w:asciiTheme="majorHAnsi" w:eastAsiaTheme="majorEastAsia" w:hAnsiTheme="majorHAnsi" w:cstheme="majorBidi"/>
      <w:color w:val="2E74B5" w:themeColor="accent1" w:themeShade="BF"/>
      <w:sz w:val="26"/>
      <w:szCs w:val="26"/>
    </w:rPr>
  </w:style>
  <w:style w:type="character" w:styleId="PlaceholderText">
    <w:name w:val="Placeholder Text"/>
    <w:basedOn w:val="DefaultParagraphFont"/>
    <w:uiPriority w:val="99"/>
    <w:semiHidden/>
    <w:rsid w:val="00A901B0"/>
    <w:rPr>
      <w:color w:val="808080"/>
    </w:rPr>
  </w:style>
  <w:style w:type="paragraph" w:styleId="Caption">
    <w:name w:val="caption"/>
    <w:basedOn w:val="Normal"/>
    <w:next w:val="Normal"/>
    <w:uiPriority w:val="35"/>
    <w:unhideWhenUsed/>
    <w:qFormat/>
    <w:rsid w:val="00FF7CAC"/>
    <w:pPr>
      <w:spacing w:after="200" w:line="240" w:lineRule="auto"/>
    </w:pPr>
    <w:rPr>
      <w:i/>
      <w:iCs/>
      <w:color w:val="44546A" w:themeColor="text2"/>
      <w:sz w:val="18"/>
      <w:szCs w:val="18"/>
    </w:rPr>
  </w:style>
  <w:style w:type="paragraph" w:styleId="Header">
    <w:name w:val="header"/>
    <w:basedOn w:val="Normal"/>
    <w:link w:val="HeaderChar"/>
    <w:uiPriority w:val="99"/>
    <w:unhideWhenUsed/>
    <w:rsid w:val="008178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78A1"/>
  </w:style>
  <w:style w:type="paragraph" w:styleId="Footer">
    <w:name w:val="footer"/>
    <w:basedOn w:val="Normal"/>
    <w:link w:val="FooterChar"/>
    <w:uiPriority w:val="99"/>
    <w:unhideWhenUsed/>
    <w:rsid w:val="008178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78A1"/>
  </w:style>
  <w:style w:type="paragraph" w:styleId="Bibliography">
    <w:name w:val="Bibliography"/>
    <w:basedOn w:val="Normal"/>
    <w:next w:val="Normal"/>
    <w:uiPriority w:val="37"/>
    <w:unhideWhenUsed/>
    <w:rsid w:val="0047135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9675231">
      <w:bodyDiv w:val="1"/>
      <w:marLeft w:val="0"/>
      <w:marRight w:val="0"/>
      <w:marTop w:val="0"/>
      <w:marBottom w:val="0"/>
      <w:divBdr>
        <w:top w:val="none" w:sz="0" w:space="0" w:color="auto"/>
        <w:left w:val="none" w:sz="0" w:space="0" w:color="auto"/>
        <w:bottom w:val="none" w:sz="0" w:space="0" w:color="auto"/>
        <w:right w:val="none" w:sz="0" w:space="0" w:color="auto"/>
      </w:divBdr>
    </w:div>
    <w:div w:id="199972376">
      <w:bodyDiv w:val="1"/>
      <w:marLeft w:val="0"/>
      <w:marRight w:val="0"/>
      <w:marTop w:val="0"/>
      <w:marBottom w:val="0"/>
      <w:divBdr>
        <w:top w:val="none" w:sz="0" w:space="0" w:color="auto"/>
        <w:left w:val="none" w:sz="0" w:space="0" w:color="auto"/>
        <w:bottom w:val="none" w:sz="0" w:space="0" w:color="auto"/>
        <w:right w:val="none" w:sz="0" w:space="0" w:color="auto"/>
      </w:divBdr>
    </w:div>
    <w:div w:id="231548748">
      <w:bodyDiv w:val="1"/>
      <w:marLeft w:val="0"/>
      <w:marRight w:val="0"/>
      <w:marTop w:val="0"/>
      <w:marBottom w:val="0"/>
      <w:divBdr>
        <w:top w:val="none" w:sz="0" w:space="0" w:color="auto"/>
        <w:left w:val="none" w:sz="0" w:space="0" w:color="auto"/>
        <w:bottom w:val="none" w:sz="0" w:space="0" w:color="auto"/>
        <w:right w:val="none" w:sz="0" w:space="0" w:color="auto"/>
      </w:divBdr>
    </w:div>
    <w:div w:id="319775918">
      <w:bodyDiv w:val="1"/>
      <w:marLeft w:val="0"/>
      <w:marRight w:val="0"/>
      <w:marTop w:val="0"/>
      <w:marBottom w:val="0"/>
      <w:divBdr>
        <w:top w:val="none" w:sz="0" w:space="0" w:color="auto"/>
        <w:left w:val="none" w:sz="0" w:space="0" w:color="auto"/>
        <w:bottom w:val="none" w:sz="0" w:space="0" w:color="auto"/>
        <w:right w:val="none" w:sz="0" w:space="0" w:color="auto"/>
      </w:divBdr>
    </w:div>
    <w:div w:id="531117402">
      <w:bodyDiv w:val="1"/>
      <w:marLeft w:val="0"/>
      <w:marRight w:val="0"/>
      <w:marTop w:val="0"/>
      <w:marBottom w:val="0"/>
      <w:divBdr>
        <w:top w:val="none" w:sz="0" w:space="0" w:color="auto"/>
        <w:left w:val="none" w:sz="0" w:space="0" w:color="auto"/>
        <w:bottom w:val="none" w:sz="0" w:space="0" w:color="auto"/>
        <w:right w:val="none" w:sz="0" w:space="0" w:color="auto"/>
      </w:divBdr>
    </w:div>
    <w:div w:id="565649867">
      <w:bodyDiv w:val="1"/>
      <w:marLeft w:val="0"/>
      <w:marRight w:val="0"/>
      <w:marTop w:val="0"/>
      <w:marBottom w:val="0"/>
      <w:divBdr>
        <w:top w:val="none" w:sz="0" w:space="0" w:color="auto"/>
        <w:left w:val="none" w:sz="0" w:space="0" w:color="auto"/>
        <w:bottom w:val="none" w:sz="0" w:space="0" w:color="auto"/>
        <w:right w:val="none" w:sz="0" w:space="0" w:color="auto"/>
      </w:divBdr>
    </w:div>
    <w:div w:id="614285857">
      <w:bodyDiv w:val="1"/>
      <w:marLeft w:val="0"/>
      <w:marRight w:val="0"/>
      <w:marTop w:val="0"/>
      <w:marBottom w:val="0"/>
      <w:divBdr>
        <w:top w:val="none" w:sz="0" w:space="0" w:color="auto"/>
        <w:left w:val="none" w:sz="0" w:space="0" w:color="auto"/>
        <w:bottom w:val="none" w:sz="0" w:space="0" w:color="auto"/>
        <w:right w:val="none" w:sz="0" w:space="0" w:color="auto"/>
      </w:divBdr>
    </w:div>
    <w:div w:id="963079916">
      <w:bodyDiv w:val="1"/>
      <w:marLeft w:val="0"/>
      <w:marRight w:val="0"/>
      <w:marTop w:val="0"/>
      <w:marBottom w:val="0"/>
      <w:divBdr>
        <w:top w:val="none" w:sz="0" w:space="0" w:color="auto"/>
        <w:left w:val="none" w:sz="0" w:space="0" w:color="auto"/>
        <w:bottom w:val="none" w:sz="0" w:space="0" w:color="auto"/>
        <w:right w:val="none" w:sz="0" w:space="0" w:color="auto"/>
      </w:divBdr>
    </w:div>
    <w:div w:id="1291329135">
      <w:bodyDiv w:val="1"/>
      <w:marLeft w:val="0"/>
      <w:marRight w:val="0"/>
      <w:marTop w:val="0"/>
      <w:marBottom w:val="0"/>
      <w:divBdr>
        <w:top w:val="none" w:sz="0" w:space="0" w:color="auto"/>
        <w:left w:val="none" w:sz="0" w:space="0" w:color="auto"/>
        <w:bottom w:val="none" w:sz="0" w:space="0" w:color="auto"/>
        <w:right w:val="none" w:sz="0" w:space="0" w:color="auto"/>
      </w:divBdr>
    </w:div>
    <w:div w:id="1704280293">
      <w:bodyDiv w:val="1"/>
      <w:marLeft w:val="0"/>
      <w:marRight w:val="0"/>
      <w:marTop w:val="0"/>
      <w:marBottom w:val="0"/>
      <w:divBdr>
        <w:top w:val="none" w:sz="0" w:space="0" w:color="auto"/>
        <w:left w:val="none" w:sz="0" w:space="0" w:color="auto"/>
        <w:bottom w:val="none" w:sz="0" w:space="0" w:color="auto"/>
        <w:right w:val="none" w:sz="0" w:space="0" w:color="auto"/>
      </w:divBdr>
    </w:div>
    <w:div w:id="1981881955">
      <w:bodyDiv w:val="1"/>
      <w:marLeft w:val="0"/>
      <w:marRight w:val="0"/>
      <w:marTop w:val="0"/>
      <w:marBottom w:val="0"/>
      <w:divBdr>
        <w:top w:val="none" w:sz="0" w:space="0" w:color="auto"/>
        <w:left w:val="none" w:sz="0" w:space="0" w:color="auto"/>
        <w:bottom w:val="none" w:sz="0" w:space="0" w:color="auto"/>
        <w:right w:val="none" w:sz="0" w:space="0" w:color="auto"/>
      </w:divBdr>
    </w:div>
    <w:div w:id="21009832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3D645923B53D4B7BBC026B6CA3CE4381"/>
        <w:category>
          <w:name w:val="General"/>
          <w:gallery w:val="placeholder"/>
        </w:category>
        <w:types>
          <w:type w:val="bbPlcHdr"/>
        </w:types>
        <w:behaviors>
          <w:behavior w:val="content"/>
        </w:behaviors>
        <w:guid w:val="{EFDAFBD5-E3EE-42B2-BC3D-9AA4115C0EA7}"/>
      </w:docPartPr>
      <w:docPartBody>
        <w:p w:rsidR="002521F9" w:rsidRDefault="00F83239" w:rsidP="00F83239">
          <w:pPr>
            <w:pStyle w:val="3D645923B53D4B7BBC026B6CA3CE4381"/>
          </w:pPr>
          <w:r>
            <w:rPr>
              <w:color w:val="2E74B5" w:themeColor="accent1" w:themeShade="BF"/>
              <w:sz w:val="24"/>
              <w:szCs w:val="24"/>
            </w:rPr>
            <w:t>[Company name]</w:t>
          </w:r>
        </w:p>
      </w:docPartBody>
    </w:docPart>
    <w:docPart>
      <w:docPartPr>
        <w:name w:val="08F7DCA2C1E14F1FB39A650E55108AED"/>
        <w:category>
          <w:name w:val="General"/>
          <w:gallery w:val="placeholder"/>
        </w:category>
        <w:types>
          <w:type w:val="bbPlcHdr"/>
        </w:types>
        <w:behaviors>
          <w:behavior w:val="content"/>
        </w:behaviors>
        <w:guid w:val="{F8F7607C-544C-4DDE-8D25-1827CF687360}"/>
      </w:docPartPr>
      <w:docPartBody>
        <w:p w:rsidR="002521F9" w:rsidRDefault="00F83239" w:rsidP="00F83239">
          <w:pPr>
            <w:pStyle w:val="08F7DCA2C1E14F1FB39A650E55108AED"/>
          </w:pPr>
          <w:r>
            <w:rPr>
              <w:rFonts w:asciiTheme="majorHAnsi" w:eastAsiaTheme="majorEastAsia" w:hAnsiTheme="majorHAnsi" w:cstheme="majorBidi"/>
              <w:color w:val="5B9BD5" w:themeColor="accent1"/>
              <w:sz w:val="88"/>
              <w:szCs w:val="88"/>
            </w:rPr>
            <w:t>[Document title]</w:t>
          </w:r>
        </w:p>
      </w:docPartBody>
    </w:docPart>
    <w:docPart>
      <w:docPartPr>
        <w:name w:val="B4E4082A8ED948D0BC0E265741C57547"/>
        <w:category>
          <w:name w:val="General"/>
          <w:gallery w:val="placeholder"/>
        </w:category>
        <w:types>
          <w:type w:val="bbPlcHdr"/>
        </w:types>
        <w:behaviors>
          <w:behavior w:val="content"/>
        </w:behaviors>
        <w:guid w:val="{7CBB106D-6B47-46DD-9DC5-0E7CFF31BAC5}"/>
      </w:docPartPr>
      <w:docPartBody>
        <w:p w:rsidR="002521F9" w:rsidRDefault="00F83239" w:rsidP="00F83239">
          <w:pPr>
            <w:pStyle w:val="B4E4082A8ED948D0BC0E265741C57547"/>
          </w:pPr>
          <w:r>
            <w:rPr>
              <w:color w:val="2E74B5" w:themeColor="accent1" w:themeShade="BF"/>
              <w:sz w:val="24"/>
              <w:szCs w:val="24"/>
            </w:rPr>
            <w:t>[Document subtitle]</w:t>
          </w:r>
        </w:p>
      </w:docPartBody>
    </w:docPart>
    <w:docPart>
      <w:docPartPr>
        <w:name w:val="053437605E5A47E6A953AD88D6ED4BEC"/>
        <w:category>
          <w:name w:val="General"/>
          <w:gallery w:val="placeholder"/>
        </w:category>
        <w:types>
          <w:type w:val="bbPlcHdr"/>
        </w:types>
        <w:behaviors>
          <w:behavior w:val="content"/>
        </w:behaviors>
        <w:guid w:val="{73D2263E-C5ED-4DD2-A29E-4446C8D31E5F}"/>
      </w:docPartPr>
      <w:docPartBody>
        <w:p w:rsidR="002521F9" w:rsidRDefault="00F83239" w:rsidP="00F83239">
          <w:pPr>
            <w:pStyle w:val="053437605E5A47E6A953AD88D6ED4BEC"/>
          </w:pPr>
          <w:r>
            <w:rPr>
              <w:color w:val="5B9BD5" w:themeColor="accent1"/>
              <w:sz w:val="28"/>
              <w:szCs w:val="28"/>
            </w:rPr>
            <w:t>[Author name]</w:t>
          </w:r>
        </w:p>
      </w:docPartBody>
    </w:docPart>
    <w:docPart>
      <w:docPartPr>
        <w:name w:val="12E5AFDC6D9A4AD49A7384D83694EED6"/>
        <w:category>
          <w:name w:val="General"/>
          <w:gallery w:val="placeholder"/>
        </w:category>
        <w:types>
          <w:type w:val="bbPlcHdr"/>
        </w:types>
        <w:behaviors>
          <w:behavior w:val="content"/>
        </w:behaviors>
        <w:guid w:val="{9B316586-D89C-460E-98CF-49130BBB4AB1}"/>
      </w:docPartPr>
      <w:docPartBody>
        <w:p w:rsidR="002521F9" w:rsidRDefault="00F83239" w:rsidP="00F83239">
          <w:pPr>
            <w:pStyle w:val="12E5AFDC6D9A4AD49A7384D83694EED6"/>
          </w:pPr>
          <w:r>
            <w:rPr>
              <w:color w:val="5B9BD5"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83239"/>
    <w:rsid w:val="00074A1F"/>
    <w:rsid w:val="000B4142"/>
    <w:rsid w:val="001273DA"/>
    <w:rsid w:val="002521F9"/>
    <w:rsid w:val="004F472B"/>
    <w:rsid w:val="00D637DD"/>
    <w:rsid w:val="00F83239"/>
    <w:rsid w:val="00FC79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D645923B53D4B7BBC026B6CA3CE4381">
    <w:name w:val="3D645923B53D4B7BBC026B6CA3CE4381"/>
    <w:rsid w:val="00F83239"/>
  </w:style>
  <w:style w:type="paragraph" w:customStyle="1" w:styleId="08F7DCA2C1E14F1FB39A650E55108AED">
    <w:name w:val="08F7DCA2C1E14F1FB39A650E55108AED"/>
    <w:rsid w:val="00F83239"/>
  </w:style>
  <w:style w:type="paragraph" w:customStyle="1" w:styleId="B4E4082A8ED948D0BC0E265741C57547">
    <w:name w:val="B4E4082A8ED948D0BC0E265741C57547"/>
    <w:rsid w:val="00F83239"/>
  </w:style>
  <w:style w:type="paragraph" w:customStyle="1" w:styleId="053437605E5A47E6A953AD88D6ED4BEC">
    <w:name w:val="053437605E5A47E6A953AD88D6ED4BEC"/>
    <w:rsid w:val="00F83239"/>
  </w:style>
  <w:style w:type="paragraph" w:customStyle="1" w:styleId="12E5AFDC6D9A4AD49A7384D83694EED6">
    <w:name w:val="12E5AFDC6D9A4AD49A7384D83694EED6"/>
    <w:rsid w:val="00F83239"/>
  </w:style>
  <w:style w:type="character" w:styleId="PlaceholderText">
    <w:name w:val="Placeholder Text"/>
    <w:basedOn w:val="DefaultParagraphFont"/>
    <w:uiPriority w:val="99"/>
    <w:semiHidden/>
    <w:rsid w:val="001273DA"/>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P143629</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JEF15</b:Tag>
    <b:SourceType>InternetSite</b:SourceType>
    <b:Guid>{F836AF3F-735A-4B2F-A059-144AD5595377}</b:Guid>
    <b:Author>
      <b:Author>
        <b:NameList>
          <b:Person>
            <b:Last>Cobb</b:Last>
            <b:First>Jeff</b:First>
          </b:Person>
        </b:NameList>
      </b:Author>
    </b:Author>
    <b:Title>chevy-bolt-production-confirmed-for-2016</b:Title>
    <b:Year>2015</b:Year>
    <b:YearAccessed>2018</b:YearAccessed>
    <b:MonthAccessed>March</b:MonthAccessed>
    <b:DayAccessed>25</b:DayAccessed>
    <b:URL>http://www.hybridcars.com/chevy-bolt-production-confirmed-for-2016/</b:URL>
    <b:RefOrder>3</b:RefOrder>
  </b:Source>
  <b:Source>
    <b:Tag>Ric18</b:Tag>
    <b:SourceType>InternetSite</b:SourceType>
    <b:Guid>{8F4B0509-A3FB-4F93-A6AF-12B82820ECA1}</b:Guid>
    <b:Title>updated-renault-zoe-on-sale-now-with-250-mile-range</b:Title>
    <b:Year>2018</b:Year>
    <b:YearAccessed>2018</b:YearAccessed>
    <b:MonthAccessed>March</b:MonthAccessed>
    <b:DayAccessed>22</b:DayAccessed>
    <b:URL>http://www.autoexpress.co.uk/renault/zoe/97213/updated-renault-zoe-on-sale-now-with-250-mile-range</b:URL>
    <b:Author>
      <b:Author>
        <b:NameList>
          <b:Person>
            <b:Last>Ingram</b:Last>
            <b:First>Richard</b:First>
          </b:Person>
        </b:NameList>
      </b:Author>
    </b:Author>
    <b:RefOrder>5</b:RefOrder>
  </b:Source>
  <b:Source>
    <b:Tag>Chr18</b:Tag>
    <b:SourceType>InternetSite</b:SourceType>
    <b:Guid>{E403E0C8-0768-4598-8450-1ACC0CA221FD}</b:Guid>
    <b:Title>bmw-1-series-116d-se-diesel-manual-6-speed/</b:Title>
    <b:Year>2018</b:Year>
    <b:Author>
      <b:Author>
        <b:NameList>
          <b:Person>
            <b:Last>Lilly</b:Last>
            <b:First>Chris</b:First>
          </b:Person>
        </b:NameList>
      </b:Author>
    </b:Author>
    <b:YearAccessed>2018</b:YearAccessed>
    <b:MonthAccessed>March</b:MonthAccessed>
    <b:DayAccessed>20</b:DayAccessed>
    <b:URL>http://www.nextgreencar.com/view-car/54198/bmw-1-series-116d-se-diesel-manual-6-speed/</b:URL>
    <b:RefOrder>10</b:RefOrder>
  </b:Source>
  <b:Source>
    <b:Tag>She18</b:Tag>
    <b:SourceType>InternetSite</b:SourceType>
    <b:Guid>{949050C5-E51E-4852-9EFE-F10E75FBF58D}</b:Guid>
    <b:Author>
      <b:Author>
        <b:NameList>
          <b:Person>
            <b:Last>Shell</b:Last>
          </b:Person>
        </b:NameList>
      </b:Author>
    </b:Author>
    <b:Title>welcome-to-shell-recharge</b:Title>
    <b:Year>2018</b:Year>
    <b:YearAccessed>2018</b:YearAccessed>
    <b:MonthAccessed>March</b:MonthAccessed>
    <b:DayAccessed>22</b:DayAccessed>
    <b:URL>https://www.shell.co.uk/motorist/welcome-to-shell-recharge.html</b:URL>
    <b:RefOrder>6</b:RefOrder>
  </b:Source>
  <b:Source>
    <b:Tag>Cli17</b:Tag>
    <b:SourceType>InternetSite</b:SourceType>
    <b:Guid>{504FC5FE-57EF-4238-B8E9-74FC074267E5}</b:Guid>
    <b:Title>proposal</b:Title>
    <b:Year>2017</b:Year>
    <b:Author>
      <b:Author>
        <b:NameList>
          <b:Person>
            <b:Last>Action</b:Last>
            <b:First>Climate</b:First>
          </b:Person>
        </b:NameList>
      </b:Author>
    </b:Author>
    <b:YearAccessed>2018</b:YearAccessed>
    <b:MonthAccessed>March</b:MonthAccessed>
    <b:DayAccessed>25</b:DayAccessed>
    <b:URL>https://ec.europa.eu/clima/policies/transport/vehicles/proposal_en</b:URL>
    <b:RefOrder>1</b:RefOrder>
  </b:Source>
  <b:Source>
    <b:Tag>bmw17</b:Tag>
    <b:SourceType>InternetSite</b:SourceType>
    <b:Guid>{24B6D372-AC81-4024-8D56-288EA3683826}</b:Guid>
    <b:Author>
      <b:Author>
        <b:NameList>
          <b:Person>
            <b:Last>bmw-powertrain</b:Last>
          </b:Person>
        </b:NameList>
      </b:Author>
    </b:Author>
    <b:Title>2-cylinder_gasoline_engines</b:Title>
    <b:Year>2017</b:Year>
    <b:YearAccessed>2018</b:YearAccessed>
    <b:MonthAccessed>March</b:MonthAccessed>
    <b:DayAccessed>25</b:DayAccessed>
    <b:URL>http://www.bmw-powertrain.com/powertrain/en/automotive_engines/2-cylinder_gasoline_engines.html</b:URL>
    <b:RefOrder>7</b:RefOrder>
  </b:Source>
  <b:Source>
    <b:Tag>Chr2525</b:Tag>
    <b:SourceType>InternetSite</b:SourceType>
    <b:Guid>{87EBBB4E-C5AE-4CF5-9C42-855C864C5AF4}</b:Guid>
    <b:Author>
      <b:Author>
        <b:NameList>
          <b:Person>
            <b:Last>Lilley</b:Last>
            <b:First>Chris</b:First>
          </b:Person>
        </b:NameList>
      </b:Author>
    </b:Author>
    <b:Title>bmw-i3-electric-car-94ah-with-range-extender-auto-plug-in-petrol-hybrid-automatic</b:Title>
    <b:Year>2018</b:Year>
    <b:YearAccessed>2018</b:YearAccessed>
    <b:MonthAccessed>March</b:MonthAccessed>
    <b:DayAccessed>22</b:DayAccessed>
    <b:URL>http://www.nextgreencar.com/view-car/60279/bmw-i3-electric-car-94ah-with-range-extender-auto-plug-in-petrol-hybrid-automatic/</b:URL>
    <b:RefOrder>8</b:RefOrder>
  </b:Source>
  <b:Source>
    <b:Tag>Vol18</b:Tag>
    <b:SourceType>InternetSite</b:SourceType>
    <b:Guid>{04250254-357B-441E-BA7C-04D5D8213E13}</b:Guid>
    <b:Author>
      <b:Author>
        <b:NameList>
          <b:Person>
            <b:Last>Volkswagen</b:Last>
          </b:Person>
        </b:NameList>
      </b:Author>
    </b:Author>
    <b:Title>new/golf-vii-pa</b:Title>
    <b:Year>2018</b:Year>
    <b:YearAccessed>2018</b:YearAccessed>
    <b:MonthAccessed>March</b:MonthAccessed>
    <b:DayAccessed>22</b:DayAccessed>
    <b:URL>http://www.volkswagen.co.uk/new/golf-vii-pa</b:URL>
    <b:RefOrder>2</b:RefOrder>
  </b:Source>
  <b:Source>
    <b:Tag>Jos18</b:Tag>
    <b:SourceType>InternetSite</b:SourceType>
    <b:Guid>{BA087968-73B6-4B23-BD33-326FB3414D9E}</b:Guid>
    <b:Author>
      <b:Author>
        <b:NameList>
          <b:Person>
            <b:Last>Pontes</b:Last>
            <b:First>Jose</b:First>
          </b:Person>
        </b:NameList>
      </b:Author>
    </b:Author>
    <b:Title>tesla-surges-renault-zoe-coasts-1-2017-europe-electric-car-sales</b:Title>
    <b:Year>2018</b:Year>
    <b:YearAccessed>2018</b:YearAccessed>
    <b:MonthAccessed>March</b:MonthAccessed>
    <b:DayAccessed>25</b:DayAccessed>
    <b:URL>https://cleantechnica.com/2018/01/27/tesla-surges-renault-zoe-coasts-1-2017-europe-electric-car-sales/</b:URL>
    <b:RefOrder>4</b:RefOrder>
  </b:Source>
  <b:Source>
    <b:Tag>mah14</b:Tag>
    <b:SourceType>InternetSite</b:SourceType>
    <b:Guid>{6FFF261B-35D7-410D-96D2-93B31EB5DCB5}</b:Guid>
    <b:Author>
      <b:Author>
        <b:NameList>
          <b:Person>
            <b:Last>mahle</b:Last>
          </b:Person>
        </b:NameList>
      </b:Author>
    </b:Author>
    <b:Title>mahle-compact-range-extender-engine</b:Title>
    <b:Year>2014</b:Year>
    <b:YearAccessed>2018</b:YearAccessed>
    <b:MonthAccessed>March</b:MonthAccessed>
    <b:DayAccessed>19</b:DayAccessed>
    <b:URL>http://www.mahle-powertrain.com/en/experience/mahle-compact-range-extender-engine/</b:URL>
    <b:RefOrder>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F0901B6-532D-400A-BA33-BE79BA4CA8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278</TotalTime>
  <Pages>8</Pages>
  <Words>1694</Words>
  <Characters>9659</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Powertrain &amp; Sustainability</Company>
  <LinksUpToDate>false</LinksUpToDate>
  <CharactersWithSpaces>11331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Technical Review of Powertrains for 2025</dc:title>
  <dc:subject>Malcolm McDonald</dc:subject>
  <dc:creator>Jack Cresswell</dc:creator>
  <cp:keywords/>
  <dc:description/>
  <cp:lastModifiedBy>Jack Cresswell (P143629)</cp:lastModifiedBy>
  <cp:revision>10</cp:revision>
  <dcterms:created xsi:type="dcterms:W3CDTF">2018-03-29T11:07:00Z</dcterms:created>
  <dcterms:modified xsi:type="dcterms:W3CDTF">2018-03-29T15:54:00Z</dcterms:modified>
</cp:coreProperties>
</file>