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93451D4" w14:textId="77777777" w:rsidR="000B7ED1" w:rsidRDefault="005740ED">
      <w:pPr>
        <w:spacing w:after="0" w:line="259" w:lineRule="auto"/>
        <w:ind w:left="0" w:right="3010" w:firstLine="0"/>
        <w:jc w:val="right"/>
      </w:pPr>
      <w:r>
        <w:rPr>
          <w:noProof/>
        </w:rPr>
        <w:drawing>
          <wp:inline distT="0" distB="0" distL="0" distR="0" wp14:anchorId="17639831" wp14:editId="62D24E37">
            <wp:extent cx="1816100" cy="599885"/>
            <wp:effectExtent l="0" t="0" r="0" b="0"/>
            <wp:docPr id="189" name="Picture 189"/>
            <wp:cNvGraphicFramePr/>
            <a:graphic xmlns:a="http://schemas.openxmlformats.org/drawingml/2006/main">
              <a:graphicData uri="http://schemas.openxmlformats.org/drawingml/2006/picture">
                <pic:pic xmlns:pic="http://schemas.openxmlformats.org/drawingml/2006/picture">
                  <pic:nvPicPr>
                    <pic:cNvPr id="189" name="Picture 189"/>
                    <pic:cNvPicPr/>
                  </pic:nvPicPr>
                  <pic:blipFill>
                    <a:blip r:embed="rId7"/>
                    <a:stretch>
                      <a:fillRect/>
                    </a:stretch>
                  </pic:blipFill>
                  <pic:spPr>
                    <a:xfrm>
                      <a:off x="0" y="0"/>
                      <a:ext cx="1816100" cy="599885"/>
                    </a:xfrm>
                    <a:prstGeom prst="rect">
                      <a:avLst/>
                    </a:prstGeom>
                  </pic:spPr>
                </pic:pic>
              </a:graphicData>
            </a:graphic>
          </wp:inline>
        </w:drawing>
      </w:r>
      <w:r>
        <w:t xml:space="preserve"> </w:t>
      </w:r>
    </w:p>
    <w:tbl>
      <w:tblPr>
        <w:tblStyle w:val="TableGrid"/>
        <w:tblW w:w="9926" w:type="dxa"/>
        <w:tblInd w:w="-449" w:type="dxa"/>
        <w:tblCellMar>
          <w:top w:w="56" w:type="dxa"/>
          <w:left w:w="5" w:type="dxa"/>
          <w:bottom w:w="124" w:type="dxa"/>
        </w:tblCellMar>
        <w:tblLook w:val="04A0" w:firstRow="1" w:lastRow="0" w:firstColumn="1" w:lastColumn="0" w:noHBand="0" w:noVBand="1"/>
      </w:tblPr>
      <w:tblGrid>
        <w:gridCol w:w="2095"/>
        <w:gridCol w:w="3295"/>
        <w:gridCol w:w="2266"/>
        <w:gridCol w:w="2270"/>
      </w:tblGrid>
      <w:tr w:rsidR="000B7ED1" w14:paraId="2554169F" w14:textId="77777777">
        <w:trPr>
          <w:trHeight w:val="955"/>
        </w:trPr>
        <w:tc>
          <w:tcPr>
            <w:tcW w:w="2096" w:type="dxa"/>
            <w:tcBorders>
              <w:top w:val="single" w:sz="4" w:space="0" w:color="000000"/>
              <w:left w:val="single" w:sz="4" w:space="0" w:color="000000"/>
              <w:bottom w:val="single" w:sz="4" w:space="0" w:color="000000"/>
              <w:right w:val="single" w:sz="4" w:space="0" w:color="000000"/>
            </w:tcBorders>
          </w:tcPr>
          <w:p w14:paraId="67341811" w14:textId="77777777" w:rsidR="000B7ED1" w:rsidRDefault="005740ED">
            <w:pPr>
              <w:spacing w:after="0" w:line="259" w:lineRule="auto"/>
              <w:ind w:left="108" w:firstLine="0"/>
            </w:pPr>
            <w:r>
              <w:rPr>
                <w:b/>
              </w:rPr>
              <w:t xml:space="preserve">Student name: </w:t>
            </w:r>
          </w:p>
        </w:tc>
        <w:tc>
          <w:tcPr>
            <w:tcW w:w="3295" w:type="dxa"/>
            <w:tcBorders>
              <w:top w:val="single" w:sz="4" w:space="0" w:color="000000"/>
              <w:left w:val="single" w:sz="4" w:space="0" w:color="000000"/>
              <w:bottom w:val="single" w:sz="4" w:space="0" w:color="000000"/>
              <w:right w:val="single" w:sz="4" w:space="0" w:color="000000"/>
            </w:tcBorders>
          </w:tcPr>
          <w:p w14:paraId="548C2D4D" w14:textId="77777777" w:rsidR="000B7ED1" w:rsidRDefault="005740ED">
            <w:pPr>
              <w:spacing w:after="103" w:line="259" w:lineRule="auto"/>
              <w:ind w:left="0" w:firstLine="0"/>
            </w:pPr>
            <w:r>
              <w:rPr>
                <w:rFonts w:ascii="Times New Roman" w:eastAsia="Times New Roman" w:hAnsi="Times New Roman" w:cs="Times New Roman"/>
                <w:sz w:val="22"/>
              </w:rPr>
              <w:t xml:space="preserve"> </w:t>
            </w:r>
          </w:p>
          <w:p w14:paraId="20B2B6BF" w14:textId="77777777" w:rsidR="000B7ED1" w:rsidRDefault="005740ED">
            <w:pPr>
              <w:spacing w:after="0" w:line="259" w:lineRule="auto"/>
              <w:ind w:left="0" w:firstLine="0"/>
              <w:jc w:val="both"/>
            </w:pPr>
            <w:r>
              <w:rPr>
                <w:rFonts w:ascii="Times New Roman" w:eastAsia="Times New Roman" w:hAnsi="Times New Roman" w:cs="Times New Roman"/>
                <w:sz w:val="22"/>
              </w:rPr>
              <w:t xml:space="preserve"> </w:t>
            </w:r>
            <w:r>
              <w:rPr>
                <w:b/>
                <w:sz w:val="22"/>
              </w:rPr>
              <w:t xml:space="preserve">Meetkumar Sureshbhai Vasani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31973B7" w14:textId="77777777" w:rsidR="000B7ED1" w:rsidRDefault="005740ED">
            <w:pPr>
              <w:spacing w:after="0" w:line="259" w:lineRule="auto"/>
              <w:ind w:left="107" w:firstLine="0"/>
            </w:pPr>
            <w:r>
              <w:rPr>
                <w:b/>
              </w:rPr>
              <w:t xml:space="preserve">Student ID number: </w:t>
            </w:r>
          </w:p>
        </w:tc>
        <w:tc>
          <w:tcPr>
            <w:tcW w:w="2270" w:type="dxa"/>
            <w:tcBorders>
              <w:top w:val="single" w:sz="4" w:space="0" w:color="000000"/>
              <w:left w:val="single" w:sz="4" w:space="0" w:color="000000"/>
              <w:bottom w:val="single" w:sz="4" w:space="0" w:color="000000"/>
              <w:right w:val="single" w:sz="4" w:space="0" w:color="000000"/>
            </w:tcBorders>
          </w:tcPr>
          <w:p w14:paraId="0278DB0C" w14:textId="77777777" w:rsidR="000B7ED1" w:rsidRDefault="005740ED">
            <w:pPr>
              <w:spacing w:after="103" w:line="259" w:lineRule="auto"/>
              <w:ind w:left="1" w:firstLine="0"/>
            </w:pPr>
            <w:r>
              <w:rPr>
                <w:rFonts w:ascii="Times New Roman" w:eastAsia="Times New Roman" w:hAnsi="Times New Roman" w:cs="Times New Roman"/>
                <w:sz w:val="22"/>
              </w:rPr>
              <w:t xml:space="preserve"> </w:t>
            </w:r>
          </w:p>
          <w:p w14:paraId="71780B3D" w14:textId="77777777" w:rsidR="000B7ED1" w:rsidRDefault="005740ED">
            <w:pPr>
              <w:spacing w:after="0" w:line="259" w:lineRule="auto"/>
              <w:ind w:left="1" w:firstLine="0"/>
            </w:pPr>
            <w:r>
              <w:rPr>
                <w:rFonts w:ascii="Times New Roman" w:eastAsia="Times New Roman" w:hAnsi="Times New Roman" w:cs="Times New Roman"/>
                <w:sz w:val="22"/>
              </w:rPr>
              <w:t xml:space="preserve"> </w:t>
            </w:r>
            <w:r>
              <w:rPr>
                <w:b/>
                <w:sz w:val="22"/>
              </w:rPr>
              <w:t xml:space="preserve">2520608 </w:t>
            </w:r>
          </w:p>
        </w:tc>
      </w:tr>
      <w:tr w:rsidR="000B7ED1" w14:paraId="79D48798" w14:textId="77777777">
        <w:trPr>
          <w:trHeight w:val="548"/>
        </w:trPr>
        <w:tc>
          <w:tcPr>
            <w:tcW w:w="2096" w:type="dxa"/>
            <w:tcBorders>
              <w:top w:val="single" w:sz="4" w:space="0" w:color="000000"/>
              <w:left w:val="single" w:sz="4" w:space="0" w:color="000000"/>
              <w:bottom w:val="single" w:sz="4" w:space="0" w:color="000000"/>
              <w:right w:val="single" w:sz="4" w:space="0" w:color="000000"/>
            </w:tcBorders>
            <w:vAlign w:val="center"/>
          </w:tcPr>
          <w:p w14:paraId="25F4A083" w14:textId="77777777" w:rsidR="000B7ED1" w:rsidRDefault="005740ED">
            <w:pPr>
              <w:spacing w:after="0" w:line="259" w:lineRule="auto"/>
              <w:ind w:left="108" w:firstLine="0"/>
            </w:pPr>
            <w:r>
              <w:rPr>
                <w:b/>
              </w:rPr>
              <w:t xml:space="preserve">Programme: </w:t>
            </w:r>
          </w:p>
        </w:tc>
        <w:tc>
          <w:tcPr>
            <w:tcW w:w="5561" w:type="dxa"/>
            <w:gridSpan w:val="2"/>
            <w:tcBorders>
              <w:top w:val="single" w:sz="4" w:space="0" w:color="000000"/>
              <w:left w:val="single" w:sz="4" w:space="0" w:color="000000"/>
              <w:bottom w:val="single" w:sz="4" w:space="0" w:color="000000"/>
              <w:right w:val="nil"/>
            </w:tcBorders>
            <w:vAlign w:val="center"/>
          </w:tcPr>
          <w:p w14:paraId="34BE97C2" w14:textId="77777777" w:rsidR="000B7ED1" w:rsidRDefault="005740ED">
            <w:pPr>
              <w:spacing w:after="0" w:line="259" w:lineRule="auto"/>
              <w:ind w:left="106" w:firstLine="0"/>
            </w:pPr>
            <w:r>
              <w:rPr>
                <w:b/>
              </w:rPr>
              <w:t xml:space="preserve">Master of Business Administration </w:t>
            </w:r>
          </w:p>
        </w:tc>
        <w:tc>
          <w:tcPr>
            <w:tcW w:w="2270" w:type="dxa"/>
            <w:tcBorders>
              <w:top w:val="single" w:sz="4" w:space="0" w:color="000000"/>
              <w:left w:val="nil"/>
              <w:bottom w:val="single" w:sz="4" w:space="0" w:color="000000"/>
              <w:right w:val="single" w:sz="4" w:space="0" w:color="000000"/>
            </w:tcBorders>
          </w:tcPr>
          <w:p w14:paraId="0ED0C2F9" w14:textId="77777777" w:rsidR="000B7ED1" w:rsidRDefault="000B7ED1">
            <w:pPr>
              <w:spacing w:after="160" w:line="259" w:lineRule="auto"/>
              <w:ind w:left="0" w:firstLine="0"/>
            </w:pPr>
          </w:p>
        </w:tc>
      </w:tr>
      <w:tr w:rsidR="000B7ED1" w14:paraId="782D384F" w14:textId="77777777">
        <w:trPr>
          <w:trHeight w:val="545"/>
        </w:trPr>
        <w:tc>
          <w:tcPr>
            <w:tcW w:w="2096" w:type="dxa"/>
            <w:tcBorders>
              <w:top w:val="single" w:sz="4" w:space="0" w:color="000000"/>
              <w:left w:val="single" w:sz="4" w:space="0" w:color="000000"/>
              <w:bottom w:val="single" w:sz="4" w:space="0" w:color="000000"/>
              <w:right w:val="single" w:sz="4" w:space="0" w:color="000000"/>
            </w:tcBorders>
            <w:vAlign w:val="center"/>
          </w:tcPr>
          <w:p w14:paraId="6962DAD0" w14:textId="77777777" w:rsidR="000B7ED1" w:rsidRDefault="005740ED">
            <w:pPr>
              <w:spacing w:after="0" w:line="259" w:lineRule="auto"/>
              <w:ind w:left="108" w:firstLine="0"/>
            </w:pPr>
            <w:r>
              <w:rPr>
                <w:b/>
              </w:rPr>
              <w:t xml:space="preserve">Module: </w:t>
            </w:r>
          </w:p>
        </w:tc>
        <w:tc>
          <w:tcPr>
            <w:tcW w:w="5561" w:type="dxa"/>
            <w:gridSpan w:val="2"/>
            <w:tcBorders>
              <w:top w:val="single" w:sz="4" w:space="0" w:color="000000"/>
              <w:left w:val="single" w:sz="4" w:space="0" w:color="000000"/>
              <w:bottom w:val="single" w:sz="4" w:space="0" w:color="000000"/>
              <w:right w:val="nil"/>
            </w:tcBorders>
            <w:vAlign w:val="center"/>
          </w:tcPr>
          <w:p w14:paraId="10713C80" w14:textId="77777777" w:rsidR="000B7ED1" w:rsidRDefault="005740ED">
            <w:pPr>
              <w:spacing w:after="0" w:line="259" w:lineRule="auto"/>
              <w:ind w:left="106" w:firstLine="0"/>
            </w:pPr>
            <w:r>
              <w:rPr>
                <w:b/>
              </w:rPr>
              <w:t xml:space="preserve">Human Capital Management </w:t>
            </w:r>
          </w:p>
        </w:tc>
        <w:tc>
          <w:tcPr>
            <w:tcW w:w="2270" w:type="dxa"/>
            <w:tcBorders>
              <w:top w:val="single" w:sz="4" w:space="0" w:color="000000"/>
              <w:left w:val="nil"/>
              <w:bottom w:val="single" w:sz="4" w:space="0" w:color="000000"/>
              <w:right w:val="single" w:sz="4" w:space="0" w:color="000000"/>
            </w:tcBorders>
          </w:tcPr>
          <w:p w14:paraId="632AB34B" w14:textId="77777777" w:rsidR="000B7ED1" w:rsidRDefault="000B7ED1">
            <w:pPr>
              <w:spacing w:after="160" w:line="259" w:lineRule="auto"/>
              <w:ind w:left="0" w:firstLine="0"/>
            </w:pPr>
          </w:p>
        </w:tc>
      </w:tr>
      <w:tr w:rsidR="000B7ED1" w14:paraId="03C5DEA9" w14:textId="77777777">
        <w:trPr>
          <w:trHeight w:val="838"/>
        </w:trPr>
        <w:tc>
          <w:tcPr>
            <w:tcW w:w="2096" w:type="dxa"/>
            <w:tcBorders>
              <w:top w:val="single" w:sz="4" w:space="0" w:color="000000"/>
              <w:left w:val="single" w:sz="4" w:space="0" w:color="000000"/>
              <w:bottom w:val="single" w:sz="4" w:space="0" w:color="000000"/>
              <w:right w:val="single" w:sz="4" w:space="0" w:color="000000"/>
            </w:tcBorders>
          </w:tcPr>
          <w:p w14:paraId="79D61666" w14:textId="77777777" w:rsidR="000B7ED1" w:rsidRDefault="005740ED">
            <w:pPr>
              <w:spacing w:after="115" w:line="259" w:lineRule="auto"/>
              <w:ind w:left="0" w:firstLine="0"/>
            </w:pPr>
            <w:r>
              <w:rPr>
                <w:b/>
              </w:rPr>
              <w:t xml:space="preserve"> </w:t>
            </w:r>
          </w:p>
          <w:p w14:paraId="25262FE2" w14:textId="77777777" w:rsidR="000B7ED1" w:rsidRDefault="005740ED">
            <w:pPr>
              <w:spacing w:after="0" w:line="259" w:lineRule="auto"/>
              <w:ind w:left="108" w:firstLine="0"/>
            </w:pPr>
            <w:r>
              <w:rPr>
                <w:b/>
              </w:rPr>
              <w:t xml:space="preserve">Module code: </w:t>
            </w:r>
          </w:p>
        </w:tc>
        <w:tc>
          <w:tcPr>
            <w:tcW w:w="5561" w:type="dxa"/>
            <w:gridSpan w:val="2"/>
            <w:tcBorders>
              <w:top w:val="single" w:sz="4" w:space="0" w:color="000000"/>
              <w:left w:val="single" w:sz="4" w:space="0" w:color="000000"/>
              <w:bottom w:val="single" w:sz="4" w:space="0" w:color="000000"/>
              <w:right w:val="nil"/>
            </w:tcBorders>
          </w:tcPr>
          <w:p w14:paraId="4507A913" w14:textId="77777777" w:rsidR="000B7ED1" w:rsidRDefault="005740ED">
            <w:pPr>
              <w:spacing w:after="115" w:line="259" w:lineRule="auto"/>
              <w:ind w:left="0" w:firstLine="0"/>
            </w:pPr>
            <w:r>
              <w:rPr>
                <w:b/>
              </w:rPr>
              <w:t xml:space="preserve"> </w:t>
            </w:r>
          </w:p>
          <w:p w14:paraId="51EE0BAD" w14:textId="77777777" w:rsidR="000B7ED1" w:rsidRDefault="005740ED">
            <w:pPr>
              <w:spacing w:after="0" w:line="259" w:lineRule="auto"/>
              <w:ind w:left="106" w:firstLine="0"/>
            </w:pPr>
            <w:r>
              <w:rPr>
                <w:b/>
              </w:rPr>
              <w:t xml:space="preserve">LCMB7023 </w:t>
            </w:r>
          </w:p>
        </w:tc>
        <w:tc>
          <w:tcPr>
            <w:tcW w:w="2270" w:type="dxa"/>
            <w:tcBorders>
              <w:top w:val="single" w:sz="4" w:space="0" w:color="000000"/>
              <w:left w:val="nil"/>
              <w:bottom w:val="single" w:sz="4" w:space="0" w:color="000000"/>
              <w:right w:val="single" w:sz="4" w:space="0" w:color="000000"/>
            </w:tcBorders>
          </w:tcPr>
          <w:p w14:paraId="3442DA85" w14:textId="77777777" w:rsidR="000B7ED1" w:rsidRDefault="000B7ED1">
            <w:pPr>
              <w:spacing w:after="160" w:line="259" w:lineRule="auto"/>
              <w:ind w:left="0" w:firstLine="0"/>
            </w:pPr>
          </w:p>
        </w:tc>
      </w:tr>
      <w:tr w:rsidR="000B7ED1" w14:paraId="49717D8A" w14:textId="77777777">
        <w:trPr>
          <w:trHeight w:val="1318"/>
        </w:trPr>
        <w:tc>
          <w:tcPr>
            <w:tcW w:w="2096" w:type="dxa"/>
            <w:tcBorders>
              <w:top w:val="single" w:sz="4" w:space="0" w:color="000000"/>
              <w:left w:val="single" w:sz="4" w:space="0" w:color="000000"/>
              <w:bottom w:val="single" w:sz="4" w:space="0" w:color="000000"/>
              <w:right w:val="single" w:sz="4" w:space="0" w:color="000000"/>
            </w:tcBorders>
          </w:tcPr>
          <w:p w14:paraId="58FBB1AA" w14:textId="77777777" w:rsidR="000B7ED1" w:rsidRDefault="005740ED">
            <w:pPr>
              <w:spacing w:after="117" w:line="259" w:lineRule="auto"/>
              <w:ind w:left="0" w:firstLine="0"/>
            </w:pPr>
            <w:r>
              <w:rPr>
                <w:b/>
              </w:rPr>
              <w:t xml:space="preserve"> </w:t>
            </w:r>
          </w:p>
          <w:p w14:paraId="4ADBB068" w14:textId="77777777" w:rsidR="000B7ED1" w:rsidRDefault="005740ED">
            <w:pPr>
              <w:spacing w:after="0" w:line="259" w:lineRule="auto"/>
              <w:ind w:left="108" w:firstLine="0"/>
            </w:pPr>
            <w:r>
              <w:rPr>
                <w:b/>
              </w:rPr>
              <w:t xml:space="preserve">Lecturer: </w:t>
            </w:r>
          </w:p>
        </w:tc>
        <w:tc>
          <w:tcPr>
            <w:tcW w:w="5561" w:type="dxa"/>
            <w:gridSpan w:val="2"/>
            <w:tcBorders>
              <w:top w:val="single" w:sz="4" w:space="0" w:color="000000"/>
              <w:left w:val="single" w:sz="4" w:space="0" w:color="000000"/>
              <w:bottom w:val="single" w:sz="4" w:space="0" w:color="000000"/>
              <w:right w:val="nil"/>
            </w:tcBorders>
            <w:vAlign w:val="bottom"/>
          </w:tcPr>
          <w:p w14:paraId="690B63F7" w14:textId="77777777" w:rsidR="000B7ED1" w:rsidRDefault="005740ED">
            <w:pPr>
              <w:spacing w:after="355" w:line="259" w:lineRule="auto"/>
              <w:ind w:left="0" w:firstLine="0"/>
            </w:pPr>
            <w:r>
              <w:rPr>
                <w:b/>
              </w:rPr>
              <w:t xml:space="preserve"> Gladius Kulothungan  </w:t>
            </w:r>
          </w:p>
          <w:p w14:paraId="7506E0EE" w14:textId="77777777" w:rsidR="000B7ED1" w:rsidRDefault="005740ED">
            <w:pPr>
              <w:spacing w:after="0" w:line="259" w:lineRule="auto"/>
              <w:ind w:left="0" w:firstLine="0"/>
            </w:pPr>
            <w:r>
              <w:rPr>
                <w:b/>
              </w:rPr>
              <w:t xml:space="preserve"> Eno Maycock </w:t>
            </w:r>
          </w:p>
        </w:tc>
        <w:tc>
          <w:tcPr>
            <w:tcW w:w="2270" w:type="dxa"/>
            <w:tcBorders>
              <w:top w:val="single" w:sz="4" w:space="0" w:color="000000"/>
              <w:left w:val="nil"/>
              <w:bottom w:val="single" w:sz="4" w:space="0" w:color="000000"/>
              <w:right w:val="single" w:sz="4" w:space="0" w:color="000000"/>
            </w:tcBorders>
          </w:tcPr>
          <w:p w14:paraId="23F00160" w14:textId="77777777" w:rsidR="000B7ED1" w:rsidRDefault="000B7ED1">
            <w:pPr>
              <w:spacing w:after="160" w:line="259" w:lineRule="auto"/>
              <w:ind w:left="0" w:firstLine="0"/>
            </w:pPr>
          </w:p>
        </w:tc>
      </w:tr>
      <w:tr w:rsidR="000B7ED1" w14:paraId="4CA8A4BC" w14:textId="77777777">
        <w:trPr>
          <w:trHeight w:val="1097"/>
        </w:trPr>
        <w:tc>
          <w:tcPr>
            <w:tcW w:w="2096" w:type="dxa"/>
            <w:tcBorders>
              <w:top w:val="single" w:sz="4" w:space="0" w:color="000000"/>
              <w:left w:val="single" w:sz="4" w:space="0" w:color="000000"/>
              <w:bottom w:val="single" w:sz="4" w:space="0" w:color="000000"/>
              <w:right w:val="single" w:sz="4" w:space="0" w:color="000000"/>
            </w:tcBorders>
          </w:tcPr>
          <w:p w14:paraId="21EA03C8" w14:textId="77777777" w:rsidR="000B7ED1" w:rsidRDefault="005740ED">
            <w:pPr>
              <w:spacing w:after="115" w:line="259" w:lineRule="auto"/>
              <w:ind w:left="108" w:firstLine="0"/>
            </w:pPr>
            <w:r>
              <w:rPr>
                <w:b/>
              </w:rPr>
              <w:t xml:space="preserve">Assignment </w:t>
            </w:r>
          </w:p>
          <w:p w14:paraId="299FD1AB" w14:textId="77777777" w:rsidR="000B7ED1" w:rsidRDefault="005740ED">
            <w:pPr>
              <w:spacing w:after="0" w:line="259" w:lineRule="auto"/>
              <w:ind w:left="108" w:firstLine="0"/>
            </w:pPr>
            <w:r>
              <w:rPr>
                <w:b/>
              </w:rPr>
              <w:t xml:space="preserve">Title: </w:t>
            </w:r>
          </w:p>
        </w:tc>
        <w:tc>
          <w:tcPr>
            <w:tcW w:w="3295" w:type="dxa"/>
            <w:tcBorders>
              <w:top w:val="single" w:sz="4" w:space="0" w:color="000000"/>
              <w:left w:val="single" w:sz="4" w:space="0" w:color="000000"/>
              <w:bottom w:val="single" w:sz="4" w:space="0" w:color="000000"/>
              <w:right w:val="single" w:sz="4" w:space="0" w:color="000000"/>
            </w:tcBorders>
          </w:tcPr>
          <w:p w14:paraId="733B67EE" w14:textId="77777777" w:rsidR="000B7ED1" w:rsidRDefault="005740ED">
            <w:pPr>
              <w:spacing w:after="115" w:line="259" w:lineRule="auto"/>
              <w:ind w:left="106" w:firstLine="0"/>
              <w:jc w:val="both"/>
            </w:pPr>
            <w:r>
              <w:rPr>
                <w:b/>
              </w:rPr>
              <w:t xml:space="preserve">Assessment component 1: </w:t>
            </w:r>
          </w:p>
          <w:p w14:paraId="490F1B5C" w14:textId="77777777" w:rsidR="000B7ED1" w:rsidRDefault="005740ED">
            <w:pPr>
              <w:spacing w:after="0" w:line="259" w:lineRule="auto"/>
              <w:ind w:left="106" w:firstLine="0"/>
            </w:pPr>
            <w:r>
              <w:rPr>
                <w:b/>
              </w:rPr>
              <w:t xml:space="preserve">Individual report </w:t>
            </w:r>
          </w:p>
        </w:tc>
        <w:tc>
          <w:tcPr>
            <w:tcW w:w="2266" w:type="dxa"/>
            <w:tcBorders>
              <w:top w:val="single" w:sz="4" w:space="0" w:color="000000"/>
              <w:left w:val="single" w:sz="4" w:space="0" w:color="000000"/>
              <w:bottom w:val="single" w:sz="4" w:space="0" w:color="000000"/>
              <w:right w:val="single" w:sz="4" w:space="0" w:color="000000"/>
            </w:tcBorders>
          </w:tcPr>
          <w:p w14:paraId="639962AD" w14:textId="77777777" w:rsidR="000B7ED1" w:rsidRDefault="005740ED">
            <w:pPr>
              <w:spacing w:after="0" w:line="259" w:lineRule="auto"/>
              <w:ind w:left="107" w:firstLine="0"/>
            </w:pPr>
            <w:r>
              <w:rPr>
                <w:b/>
              </w:rPr>
              <w:t xml:space="preserve">Word count: </w:t>
            </w:r>
          </w:p>
        </w:tc>
        <w:tc>
          <w:tcPr>
            <w:tcW w:w="2270" w:type="dxa"/>
            <w:tcBorders>
              <w:top w:val="single" w:sz="4" w:space="0" w:color="000000"/>
              <w:left w:val="single" w:sz="4" w:space="0" w:color="000000"/>
              <w:bottom w:val="single" w:sz="4" w:space="0" w:color="000000"/>
              <w:right w:val="single" w:sz="4" w:space="0" w:color="000000"/>
            </w:tcBorders>
            <w:vAlign w:val="bottom"/>
          </w:tcPr>
          <w:p w14:paraId="0E6B60EA" w14:textId="77777777" w:rsidR="000B7ED1" w:rsidRDefault="005740ED">
            <w:pPr>
              <w:spacing w:after="115" w:line="259" w:lineRule="auto"/>
              <w:ind w:left="1" w:firstLine="0"/>
            </w:pPr>
            <w:r>
              <w:rPr>
                <w:b/>
              </w:rPr>
              <w:t xml:space="preserve">2,682(Excluding </w:t>
            </w:r>
          </w:p>
          <w:p w14:paraId="4871B139" w14:textId="77777777" w:rsidR="000B7ED1" w:rsidRDefault="005740ED">
            <w:pPr>
              <w:spacing w:after="0" w:line="259" w:lineRule="auto"/>
              <w:ind w:left="1" w:firstLine="0"/>
              <w:jc w:val="both"/>
            </w:pPr>
            <w:r>
              <w:rPr>
                <w:b/>
              </w:rPr>
              <w:t xml:space="preserve">Tables, References) </w:t>
            </w:r>
          </w:p>
        </w:tc>
      </w:tr>
      <w:tr w:rsidR="000B7ED1" w14:paraId="71514664" w14:textId="77777777">
        <w:trPr>
          <w:trHeight w:val="838"/>
        </w:trPr>
        <w:tc>
          <w:tcPr>
            <w:tcW w:w="2096" w:type="dxa"/>
            <w:tcBorders>
              <w:top w:val="single" w:sz="4" w:space="0" w:color="000000"/>
              <w:left w:val="single" w:sz="4" w:space="0" w:color="000000"/>
              <w:bottom w:val="single" w:sz="4" w:space="0" w:color="000000"/>
              <w:right w:val="single" w:sz="4" w:space="0" w:color="000000"/>
            </w:tcBorders>
          </w:tcPr>
          <w:p w14:paraId="7CC48FA4" w14:textId="77777777" w:rsidR="000B7ED1" w:rsidRDefault="005740ED">
            <w:pPr>
              <w:spacing w:after="115" w:line="259" w:lineRule="auto"/>
              <w:ind w:left="0" w:firstLine="0"/>
            </w:pPr>
            <w:r>
              <w:rPr>
                <w:b/>
              </w:rPr>
              <w:t xml:space="preserve"> </w:t>
            </w:r>
          </w:p>
          <w:p w14:paraId="1BC7947F" w14:textId="77777777" w:rsidR="000B7ED1" w:rsidRDefault="005740ED">
            <w:pPr>
              <w:spacing w:after="0" w:line="259" w:lineRule="auto"/>
              <w:ind w:left="0" w:firstLine="0"/>
              <w:jc w:val="both"/>
            </w:pPr>
            <w:r>
              <w:rPr>
                <w:b/>
              </w:rPr>
              <w:t xml:space="preserve"> Submission date: </w:t>
            </w:r>
          </w:p>
        </w:tc>
        <w:tc>
          <w:tcPr>
            <w:tcW w:w="5561" w:type="dxa"/>
            <w:gridSpan w:val="2"/>
            <w:tcBorders>
              <w:top w:val="single" w:sz="4" w:space="0" w:color="000000"/>
              <w:left w:val="single" w:sz="4" w:space="0" w:color="000000"/>
              <w:bottom w:val="single" w:sz="4" w:space="0" w:color="000000"/>
              <w:right w:val="nil"/>
            </w:tcBorders>
            <w:vAlign w:val="center"/>
          </w:tcPr>
          <w:p w14:paraId="529880CF" w14:textId="77777777" w:rsidR="000B7ED1" w:rsidRDefault="005740ED">
            <w:pPr>
              <w:spacing w:after="0" w:line="259" w:lineRule="auto"/>
              <w:ind w:left="0" w:firstLine="0"/>
            </w:pPr>
            <w:r>
              <w:rPr>
                <w:b/>
              </w:rPr>
              <w:t xml:space="preserve"> 17</w:t>
            </w:r>
            <w:r>
              <w:rPr>
                <w:b/>
                <w:vertAlign w:val="superscript"/>
              </w:rPr>
              <w:t xml:space="preserve">th </w:t>
            </w:r>
            <w:r>
              <w:rPr>
                <w:b/>
              </w:rPr>
              <w:t xml:space="preserve">July 2026  </w:t>
            </w:r>
          </w:p>
        </w:tc>
        <w:tc>
          <w:tcPr>
            <w:tcW w:w="2270" w:type="dxa"/>
            <w:tcBorders>
              <w:top w:val="single" w:sz="4" w:space="0" w:color="000000"/>
              <w:left w:val="nil"/>
              <w:bottom w:val="single" w:sz="4" w:space="0" w:color="000000"/>
              <w:right w:val="single" w:sz="4" w:space="0" w:color="000000"/>
            </w:tcBorders>
          </w:tcPr>
          <w:p w14:paraId="3F9279A3" w14:textId="77777777" w:rsidR="000B7ED1" w:rsidRDefault="000B7ED1">
            <w:pPr>
              <w:spacing w:after="160" w:line="259" w:lineRule="auto"/>
              <w:ind w:left="0" w:firstLine="0"/>
            </w:pPr>
          </w:p>
        </w:tc>
      </w:tr>
    </w:tbl>
    <w:p w14:paraId="560664E9" w14:textId="77777777" w:rsidR="000B7ED1" w:rsidRDefault="005740ED">
      <w:pPr>
        <w:spacing w:after="160" w:line="259" w:lineRule="auto"/>
        <w:ind w:left="0" w:firstLine="0"/>
      </w:pPr>
      <w:r>
        <w:t xml:space="preserve"> </w:t>
      </w:r>
    </w:p>
    <w:p w14:paraId="4E5A1EC7" w14:textId="77777777" w:rsidR="000B7ED1" w:rsidRDefault="005740ED">
      <w:pPr>
        <w:spacing w:after="6387" w:line="259" w:lineRule="auto"/>
        <w:ind w:left="0" w:firstLine="0"/>
      </w:pPr>
      <w:r>
        <w:t xml:space="preserve"> </w:t>
      </w:r>
    </w:p>
    <w:p w14:paraId="725B93DA" w14:textId="77777777" w:rsidR="000B7ED1" w:rsidRDefault="005740ED">
      <w:pPr>
        <w:spacing w:after="0" w:line="259" w:lineRule="auto"/>
        <w:ind w:left="72" w:firstLine="0"/>
        <w:jc w:val="center"/>
      </w:pPr>
      <w:r>
        <w:t xml:space="preserve"> </w:t>
      </w:r>
    </w:p>
    <w:p w14:paraId="3E44110D" w14:textId="77777777" w:rsidR="000B7ED1" w:rsidRDefault="005740ED">
      <w:pPr>
        <w:spacing w:after="319" w:line="259" w:lineRule="auto"/>
        <w:ind w:left="0" w:firstLine="0"/>
      </w:pPr>
      <w:r>
        <w:t xml:space="preserve"> </w:t>
      </w:r>
    </w:p>
    <w:sdt>
      <w:sdtPr>
        <w:id w:val="-253979229"/>
        <w:docPartObj>
          <w:docPartGallery w:val="Table of Contents"/>
        </w:docPartObj>
      </w:sdtPr>
      <w:sdtEndPr/>
      <w:sdtContent>
        <w:p w14:paraId="544EE721" w14:textId="77777777" w:rsidR="000B7ED1" w:rsidRDefault="005740ED">
          <w:pPr>
            <w:spacing w:after="0" w:line="259" w:lineRule="auto"/>
            <w:ind w:left="0" w:firstLine="0"/>
          </w:pPr>
          <w:r>
            <w:rPr>
              <w:rFonts w:ascii="Calibri" w:eastAsia="Calibri" w:hAnsi="Calibri" w:cs="Calibri"/>
              <w:color w:val="2F5496"/>
              <w:sz w:val="32"/>
            </w:rPr>
            <w:t xml:space="preserve">Table of Contents </w:t>
          </w:r>
        </w:p>
        <w:p w14:paraId="7205BACC" w14:textId="77777777" w:rsidR="000B7ED1" w:rsidRDefault="005740ED">
          <w:pPr>
            <w:pStyle w:val="TOC1"/>
            <w:tabs>
              <w:tab w:val="right" w:leader="dot" w:pos="9020"/>
            </w:tabs>
          </w:pPr>
          <w:r>
            <w:fldChar w:fldCharType="begin"/>
          </w:r>
          <w:r>
            <w:instrText xml:space="preserve"> TOC \o "1-2" \h \z \u </w:instrText>
          </w:r>
          <w:r>
            <w:fldChar w:fldCharType="separate"/>
          </w:r>
          <w:hyperlink w:anchor="_Toc21016">
            <w:r w:rsidR="000B7ED1">
              <w:t>1. Introduction</w:t>
            </w:r>
            <w:r w:rsidR="000B7ED1">
              <w:tab/>
            </w:r>
            <w:r w:rsidR="000B7ED1">
              <w:fldChar w:fldCharType="begin"/>
            </w:r>
            <w:r w:rsidR="000B7ED1">
              <w:instrText>PAGEREF _Toc21016 \h</w:instrText>
            </w:r>
            <w:r w:rsidR="000B7ED1">
              <w:fldChar w:fldCharType="separate"/>
            </w:r>
            <w:r w:rsidR="000B7ED1">
              <w:t xml:space="preserve">1 </w:t>
            </w:r>
            <w:r w:rsidR="000B7ED1">
              <w:fldChar w:fldCharType="end"/>
            </w:r>
          </w:hyperlink>
        </w:p>
        <w:p w14:paraId="60DC0DD5" w14:textId="77777777" w:rsidR="000B7ED1" w:rsidRDefault="000B7ED1">
          <w:pPr>
            <w:pStyle w:val="TOC1"/>
            <w:tabs>
              <w:tab w:val="right" w:leader="dot" w:pos="9020"/>
            </w:tabs>
          </w:pPr>
          <w:hyperlink w:anchor="_Toc21017">
            <w:r>
              <w:t>2. Task A: Critical Evaluation of Strategic Socialisation</w:t>
            </w:r>
            <w:r>
              <w:tab/>
            </w:r>
            <w:r>
              <w:fldChar w:fldCharType="begin"/>
            </w:r>
            <w:r>
              <w:instrText>PAGEREF _Toc21017 \h</w:instrText>
            </w:r>
            <w:r>
              <w:fldChar w:fldCharType="separate"/>
            </w:r>
            <w:r>
              <w:t xml:space="preserve">2 </w:t>
            </w:r>
            <w:r>
              <w:fldChar w:fldCharType="end"/>
            </w:r>
          </w:hyperlink>
        </w:p>
        <w:p w14:paraId="750B899B" w14:textId="77777777" w:rsidR="000B7ED1" w:rsidRDefault="000B7ED1">
          <w:pPr>
            <w:pStyle w:val="TOC2"/>
            <w:tabs>
              <w:tab w:val="right" w:leader="dot" w:pos="9020"/>
            </w:tabs>
          </w:pPr>
          <w:hyperlink w:anchor="_Toc21018">
            <w:r>
              <w:t xml:space="preserve">2.1 Critical Comparison of Traditional Onboarding and Strategic Organisational </w:t>
            </w:r>
            <w:r>
              <w:tab/>
            </w:r>
            <w:r>
              <w:fldChar w:fldCharType="begin"/>
            </w:r>
            <w:r>
              <w:instrText>PAGEREF _Toc21018 \h</w:instrText>
            </w:r>
            <w:r>
              <w:fldChar w:fldCharType="separate"/>
            </w:r>
            <w:r>
              <w:fldChar w:fldCharType="end"/>
            </w:r>
          </w:hyperlink>
        </w:p>
        <w:p w14:paraId="56AAE85B" w14:textId="77777777" w:rsidR="000B7ED1" w:rsidRDefault="000B7ED1">
          <w:pPr>
            <w:pStyle w:val="TOC2"/>
            <w:tabs>
              <w:tab w:val="right" w:leader="dot" w:pos="9020"/>
            </w:tabs>
          </w:pPr>
          <w:hyperlink w:anchor="_Toc21019">
            <w:r>
              <w:t>Socialisation</w:t>
            </w:r>
            <w:r>
              <w:tab/>
            </w:r>
            <w:r>
              <w:fldChar w:fldCharType="begin"/>
            </w:r>
            <w:r>
              <w:instrText>PAGEREF _Toc21019 \h</w:instrText>
            </w:r>
            <w:r>
              <w:fldChar w:fldCharType="separate"/>
            </w:r>
            <w:r>
              <w:t xml:space="preserve">2 </w:t>
            </w:r>
            <w:r>
              <w:fldChar w:fldCharType="end"/>
            </w:r>
          </w:hyperlink>
        </w:p>
        <w:p w14:paraId="75A0DE5F" w14:textId="77777777" w:rsidR="000B7ED1" w:rsidRDefault="000B7ED1">
          <w:pPr>
            <w:pStyle w:val="TOC2"/>
            <w:tabs>
              <w:tab w:val="right" w:leader="dot" w:pos="9020"/>
            </w:tabs>
          </w:pPr>
          <w:hyperlink w:anchor="_Toc21020">
            <w:r>
              <w:t>2.2 Psychological Contract Theory, Identity Construction Theory and Van Maanen &amp; Schein</w:t>
            </w:r>
            <w:r>
              <w:tab/>
            </w:r>
            <w:r>
              <w:fldChar w:fldCharType="begin"/>
            </w:r>
            <w:r>
              <w:instrText>PAGEREF _Toc21020 \h</w:instrText>
            </w:r>
            <w:r>
              <w:fldChar w:fldCharType="separate"/>
            </w:r>
            <w:r>
              <w:t xml:space="preserve">3 </w:t>
            </w:r>
            <w:r>
              <w:fldChar w:fldCharType="end"/>
            </w:r>
          </w:hyperlink>
        </w:p>
        <w:p w14:paraId="377FD142" w14:textId="77777777" w:rsidR="000B7ED1" w:rsidRDefault="000B7ED1">
          <w:pPr>
            <w:pStyle w:val="TOC2"/>
            <w:tabs>
              <w:tab w:val="right" w:leader="dot" w:pos="9020"/>
            </w:tabs>
          </w:pPr>
          <w:hyperlink w:anchor="_Toc21021">
            <w:r>
              <w:t>2.3 Fostering Organisational Identification, Ethical Professionalism and a Business Activist Mindset</w:t>
            </w:r>
            <w:r>
              <w:tab/>
            </w:r>
            <w:r>
              <w:fldChar w:fldCharType="begin"/>
            </w:r>
            <w:r>
              <w:instrText>PAGEREF _Toc21021 \h</w:instrText>
            </w:r>
            <w:r>
              <w:fldChar w:fldCharType="separate"/>
            </w:r>
            <w:r>
              <w:t xml:space="preserve">5 </w:t>
            </w:r>
            <w:r>
              <w:fldChar w:fldCharType="end"/>
            </w:r>
          </w:hyperlink>
        </w:p>
        <w:p w14:paraId="3D8B9670" w14:textId="77777777" w:rsidR="000B7ED1" w:rsidRDefault="000B7ED1">
          <w:pPr>
            <w:pStyle w:val="TOC2"/>
            <w:tabs>
              <w:tab w:val="right" w:leader="dot" w:pos="9020"/>
            </w:tabs>
          </w:pPr>
          <w:hyperlink w:anchor="_Toc21022">
            <w:r>
              <w:t>2.4 Critical Synthesis</w:t>
            </w:r>
            <w:r>
              <w:tab/>
            </w:r>
            <w:r>
              <w:fldChar w:fldCharType="begin"/>
            </w:r>
            <w:r>
              <w:instrText>PAGEREF _Toc21022 \h</w:instrText>
            </w:r>
            <w:r>
              <w:fldChar w:fldCharType="separate"/>
            </w:r>
            <w:r>
              <w:t xml:space="preserve">6 </w:t>
            </w:r>
            <w:r>
              <w:fldChar w:fldCharType="end"/>
            </w:r>
          </w:hyperlink>
        </w:p>
        <w:p w14:paraId="2F1708C7" w14:textId="77777777" w:rsidR="000B7ED1" w:rsidRDefault="000B7ED1">
          <w:pPr>
            <w:pStyle w:val="TOC1"/>
            <w:tabs>
              <w:tab w:val="right" w:leader="dot" w:pos="9020"/>
            </w:tabs>
          </w:pPr>
          <w:hyperlink w:anchor="_Toc21023">
            <w:r>
              <w:t>3. Task B: Strategic Renewal Innovative Job Architecture Design</w:t>
            </w:r>
            <w:r>
              <w:tab/>
            </w:r>
            <w:r>
              <w:fldChar w:fldCharType="begin"/>
            </w:r>
            <w:r>
              <w:instrText>PAGEREF _Toc21023 \h</w:instrText>
            </w:r>
            <w:r>
              <w:fldChar w:fldCharType="separate"/>
            </w:r>
            <w:r>
              <w:t xml:space="preserve">7 </w:t>
            </w:r>
            <w:r>
              <w:fldChar w:fldCharType="end"/>
            </w:r>
          </w:hyperlink>
        </w:p>
        <w:p w14:paraId="21B875B7" w14:textId="77777777" w:rsidR="000B7ED1" w:rsidRDefault="000B7ED1">
          <w:pPr>
            <w:pStyle w:val="TOC2"/>
            <w:tabs>
              <w:tab w:val="right" w:leader="dot" w:pos="9020"/>
            </w:tabs>
          </w:pPr>
          <w:hyperlink w:anchor="_Toc21024">
            <w:r>
              <w:t>3.1 Reimagining Job Design for Strategic Human Capital</w:t>
            </w:r>
            <w:r>
              <w:tab/>
            </w:r>
            <w:r>
              <w:fldChar w:fldCharType="begin"/>
            </w:r>
            <w:r>
              <w:instrText>PAGEREF _Toc21024 \h</w:instrText>
            </w:r>
            <w:r>
              <w:fldChar w:fldCharType="separate"/>
            </w:r>
            <w:r>
              <w:t xml:space="preserve">7 </w:t>
            </w:r>
            <w:r>
              <w:fldChar w:fldCharType="end"/>
            </w:r>
          </w:hyperlink>
        </w:p>
        <w:p w14:paraId="3C88A288" w14:textId="77777777" w:rsidR="000B7ED1" w:rsidRDefault="000B7ED1">
          <w:pPr>
            <w:pStyle w:val="TOC2"/>
            <w:tabs>
              <w:tab w:val="right" w:leader="dot" w:pos="9020"/>
            </w:tabs>
          </w:pPr>
          <w:hyperlink w:anchor="_Toc21025">
            <w:r>
              <w:t>3.2 Job Characteristics Model: Strengthening Intrinsic Motivation</w:t>
            </w:r>
            <w:r>
              <w:tab/>
            </w:r>
            <w:r>
              <w:fldChar w:fldCharType="begin"/>
            </w:r>
            <w:r>
              <w:instrText>PAGEREF _Toc21025 \h</w:instrText>
            </w:r>
            <w:r>
              <w:fldChar w:fldCharType="separate"/>
            </w:r>
            <w:r>
              <w:t xml:space="preserve">7 </w:t>
            </w:r>
            <w:r>
              <w:fldChar w:fldCharType="end"/>
            </w:r>
          </w:hyperlink>
        </w:p>
        <w:p w14:paraId="60D005F5" w14:textId="77777777" w:rsidR="000B7ED1" w:rsidRDefault="000B7ED1">
          <w:pPr>
            <w:pStyle w:val="TOC2"/>
            <w:tabs>
              <w:tab w:val="right" w:leader="dot" w:pos="9020"/>
            </w:tabs>
          </w:pPr>
          <w:hyperlink w:anchor="_Toc21026">
            <w:r>
              <w:t>3.3 Job Crafting Theory: Employee Led Work Redesign</w:t>
            </w:r>
            <w:r>
              <w:tab/>
            </w:r>
            <w:r>
              <w:fldChar w:fldCharType="begin"/>
            </w:r>
            <w:r>
              <w:instrText>PAGEREF _Toc21026 \h</w:instrText>
            </w:r>
            <w:r>
              <w:fldChar w:fldCharType="separate"/>
            </w:r>
            <w:r>
              <w:t xml:space="preserve">8 </w:t>
            </w:r>
            <w:r>
              <w:fldChar w:fldCharType="end"/>
            </w:r>
          </w:hyperlink>
        </w:p>
        <w:p w14:paraId="27817DF1" w14:textId="77777777" w:rsidR="000B7ED1" w:rsidRDefault="000B7ED1">
          <w:pPr>
            <w:pStyle w:val="TOC2"/>
            <w:tabs>
              <w:tab w:val="right" w:leader="dot" w:pos="9020"/>
            </w:tabs>
          </w:pPr>
          <w:hyperlink w:anchor="_Toc21027">
            <w:r>
              <w:t>3.4 Skills-Based Architecture and Internal Talent Marketplace</w:t>
            </w:r>
            <w:r>
              <w:tab/>
            </w:r>
            <w:r>
              <w:fldChar w:fldCharType="begin"/>
            </w:r>
            <w:r>
              <w:instrText>PAGEREF _Toc21027 \h</w:instrText>
            </w:r>
            <w:r>
              <w:fldChar w:fldCharType="separate"/>
            </w:r>
            <w:r>
              <w:t xml:space="preserve">9 </w:t>
            </w:r>
            <w:r>
              <w:fldChar w:fldCharType="end"/>
            </w:r>
          </w:hyperlink>
        </w:p>
        <w:p w14:paraId="2DC95CA5" w14:textId="77777777" w:rsidR="000B7ED1" w:rsidRDefault="000B7ED1">
          <w:pPr>
            <w:pStyle w:val="TOC2"/>
            <w:tabs>
              <w:tab w:val="right" w:leader="dot" w:pos="9020"/>
            </w:tabs>
          </w:pPr>
          <w:hyperlink w:anchor="_Toc21028">
            <w:r>
              <w:t>3.5 AI Assisted Work Design, Innovation and Intrinsic Motivation</w:t>
            </w:r>
            <w:r>
              <w:tab/>
            </w:r>
            <w:r>
              <w:fldChar w:fldCharType="begin"/>
            </w:r>
            <w:r>
              <w:instrText>PAGEREF _Toc21028 \h</w:instrText>
            </w:r>
            <w:r>
              <w:fldChar w:fldCharType="separate"/>
            </w:r>
            <w:r>
              <w:t xml:space="preserve">9 </w:t>
            </w:r>
            <w:r>
              <w:fldChar w:fldCharType="end"/>
            </w:r>
          </w:hyperlink>
        </w:p>
        <w:p w14:paraId="20F3F478" w14:textId="77777777" w:rsidR="000B7ED1" w:rsidRDefault="000B7ED1">
          <w:pPr>
            <w:pStyle w:val="TOC2"/>
            <w:tabs>
              <w:tab w:val="right" w:leader="dot" w:pos="9020"/>
            </w:tabs>
          </w:pPr>
          <w:hyperlink w:anchor="_Toc21029">
            <w:r>
              <w:t>3.6 Proposed Helios Job Architecture</w:t>
            </w:r>
            <w:r>
              <w:tab/>
            </w:r>
            <w:r>
              <w:fldChar w:fldCharType="begin"/>
            </w:r>
            <w:r>
              <w:instrText>PAGEREF _Toc21029 \h</w:instrText>
            </w:r>
            <w:r>
              <w:fldChar w:fldCharType="separate"/>
            </w:r>
            <w:r>
              <w:t xml:space="preserve">10 </w:t>
            </w:r>
            <w:r>
              <w:fldChar w:fldCharType="end"/>
            </w:r>
          </w:hyperlink>
        </w:p>
        <w:p w14:paraId="49F660DB" w14:textId="77777777" w:rsidR="000B7ED1" w:rsidRDefault="000B7ED1">
          <w:pPr>
            <w:pStyle w:val="TOC2"/>
            <w:tabs>
              <w:tab w:val="right" w:leader="dot" w:pos="9020"/>
            </w:tabs>
          </w:pPr>
          <w:hyperlink w:anchor="_Toc21030">
            <w:r>
              <w:t>3.7 Critical Synthesis</w:t>
            </w:r>
            <w:r>
              <w:tab/>
            </w:r>
            <w:r>
              <w:fldChar w:fldCharType="begin"/>
            </w:r>
            <w:r>
              <w:instrText>PAGEREF _Toc21030 \h</w:instrText>
            </w:r>
            <w:r>
              <w:fldChar w:fldCharType="separate"/>
            </w:r>
            <w:r>
              <w:t xml:space="preserve">10 </w:t>
            </w:r>
            <w:r>
              <w:fldChar w:fldCharType="end"/>
            </w:r>
          </w:hyperlink>
        </w:p>
        <w:p w14:paraId="0BEE936B" w14:textId="77777777" w:rsidR="000B7ED1" w:rsidRDefault="000B7ED1">
          <w:pPr>
            <w:pStyle w:val="TOC1"/>
            <w:tabs>
              <w:tab w:val="right" w:leader="dot" w:pos="9020"/>
            </w:tabs>
          </w:pPr>
          <w:hyperlink w:anchor="_Toc21031">
            <w:r>
              <w:t>4. Task C: Reflective Report</w:t>
            </w:r>
            <w:r>
              <w:tab/>
            </w:r>
            <w:r>
              <w:fldChar w:fldCharType="begin"/>
            </w:r>
            <w:r>
              <w:instrText>PAGEREF _Toc21031 \h</w:instrText>
            </w:r>
            <w:r>
              <w:fldChar w:fldCharType="separate"/>
            </w:r>
            <w:r>
              <w:t xml:space="preserve">12 </w:t>
            </w:r>
            <w:r>
              <w:fldChar w:fldCharType="end"/>
            </w:r>
          </w:hyperlink>
        </w:p>
        <w:p w14:paraId="5A9A2BE3" w14:textId="77777777" w:rsidR="000B7ED1" w:rsidRDefault="000B7ED1">
          <w:pPr>
            <w:pStyle w:val="TOC1"/>
            <w:tabs>
              <w:tab w:val="right" w:leader="dot" w:pos="9020"/>
            </w:tabs>
          </w:pPr>
          <w:hyperlink w:anchor="_Toc21032">
            <w:r>
              <w:t>5. Conclusion</w:t>
            </w:r>
            <w:r>
              <w:tab/>
            </w:r>
            <w:r>
              <w:fldChar w:fldCharType="begin"/>
            </w:r>
            <w:r>
              <w:instrText>PAGEREF _Toc21032 \h</w:instrText>
            </w:r>
            <w:r>
              <w:fldChar w:fldCharType="separate"/>
            </w:r>
            <w:r>
              <w:t xml:space="preserve">14 </w:t>
            </w:r>
            <w:r>
              <w:fldChar w:fldCharType="end"/>
            </w:r>
          </w:hyperlink>
        </w:p>
        <w:p w14:paraId="67929042" w14:textId="77777777" w:rsidR="000B7ED1" w:rsidRDefault="000B7ED1">
          <w:pPr>
            <w:pStyle w:val="TOC1"/>
            <w:tabs>
              <w:tab w:val="right" w:leader="dot" w:pos="9020"/>
            </w:tabs>
          </w:pPr>
          <w:hyperlink w:anchor="_Toc21033">
            <w:r>
              <w:t>References</w:t>
            </w:r>
            <w:r>
              <w:tab/>
            </w:r>
            <w:r>
              <w:fldChar w:fldCharType="begin"/>
            </w:r>
            <w:r>
              <w:instrText>PAGEREF _Toc21033 \h</w:instrText>
            </w:r>
            <w:r>
              <w:fldChar w:fldCharType="separate"/>
            </w:r>
            <w:r>
              <w:t xml:space="preserve">14 </w:t>
            </w:r>
            <w:r>
              <w:fldChar w:fldCharType="end"/>
            </w:r>
          </w:hyperlink>
        </w:p>
        <w:p w14:paraId="7CB52A49" w14:textId="77777777" w:rsidR="000B7ED1" w:rsidRDefault="005740ED">
          <w:r>
            <w:fldChar w:fldCharType="end"/>
          </w:r>
        </w:p>
      </w:sdtContent>
    </w:sdt>
    <w:p w14:paraId="4D242B74" w14:textId="77777777" w:rsidR="000B7ED1" w:rsidRDefault="005740ED">
      <w:pPr>
        <w:spacing w:after="5387" w:line="358" w:lineRule="auto"/>
        <w:ind w:right="-14"/>
      </w:pPr>
      <w:r>
        <w:t xml:space="preserve"> </w:t>
      </w:r>
    </w:p>
    <w:p w14:paraId="7FA3E192" w14:textId="77777777" w:rsidR="000B7ED1" w:rsidRDefault="005740ED">
      <w:pPr>
        <w:spacing w:after="0" w:line="259" w:lineRule="auto"/>
        <w:ind w:left="72" w:firstLine="0"/>
        <w:jc w:val="center"/>
      </w:pPr>
      <w:r>
        <w:t xml:space="preserve"> </w:t>
      </w:r>
    </w:p>
    <w:p w14:paraId="4D119579" w14:textId="77777777" w:rsidR="000B7ED1" w:rsidRDefault="000B7ED1">
      <w:pPr>
        <w:sectPr w:rsidR="000B7ED1">
          <w:footerReference w:type="even" r:id="rId8"/>
          <w:footerReference w:type="default" r:id="rId9"/>
          <w:footerReference w:type="first" r:id="rId10"/>
          <w:pgSz w:w="11906" w:h="16838"/>
          <w:pgMar w:top="1440" w:right="1446" w:bottom="705" w:left="1440" w:header="720" w:footer="720" w:gutter="0"/>
          <w:cols w:space="720"/>
        </w:sectPr>
      </w:pPr>
    </w:p>
    <w:p w14:paraId="36A0317A" w14:textId="77777777" w:rsidR="000B7ED1" w:rsidRDefault="005740ED">
      <w:pPr>
        <w:pStyle w:val="Heading1"/>
        <w:ind w:left="386" w:hanging="401"/>
      </w:pPr>
      <w:bookmarkStart w:id="0" w:name="_Toc21016"/>
      <w:r>
        <w:t xml:space="preserve">Introduction </w:t>
      </w:r>
      <w:bookmarkEnd w:id="0"/>
    </w:p>
    <w:p w14:paraId="3A96EC17" w14:textId="77777777" w:rsidR="000B7ED1" w:rsidRDefault="005740ED">
      <w:pPr>
        <w:ind w:left="-5"/>
      </w:pPr>
      <w:r>
        <w:t xml:space="preserve">Organisations are continuing to find that their technological innovation is the basis of their sustainable competitive advantage but that they also rely on their ability to build, engage and retain human capital. Human capital management is no longer just a managerial task but a strategic competency that directly affects organisational agility, innovation and value for the future, with digital transformation fundamentally changing the nature and expectations of the workforce. Helios Urban Mobility (HUM) is </w:t>
      </w:r>
      <w:r>
        <w:t>a growing European smart mobility company that focuses on AI-powered electric mobility solutions and urban infrastructure analytics. While making great strides in growth, it is currently struggling with long-term employee integration, low engagement and staff attrition among its high-potential graduates, which are all jeopardising organisational performance and strategic renewal. This report critically reviews current human capital theories and introduces an integrated architecture that enriches organizatio</w:t>
      </w:r>
      <w:r>
        <w:t xml:space="preserve">nal socialization, reframes work to foster motivation and innovation, and considers the future development of human capital and the responsible use of artificial intelligence to strengthen evidence based Human Resource decision making. </w:t>
      </w:r>
    </w:p>
    <w:p w14:paraId="4AEBEEDE" w14:textId="77777777" w:rsidR="000B7ED1" w:rsidRDefault="005740ED">
      <w:pPr>
        <w:spacing w:after="0" w:line="259" w:lineRule="auto"/>
        <w:ind w:left="0" w:firstLine="0"/>
      </w:pPr>
      <w:r>
        <w:t xml:space="preserve"> </w:t>
      </w:r>
      <w:r>
        <w:br w:type="page"/>
      </w:r>
    </w:p>
    <w:p w14:paraId="5837A38C" w14:textId="77777777" w:rsidR="000B7ED1" w:rsidRDefault="005740ED">
      <w:pPr>
        <w:pStyle w:val="Heading1"/>
        <w:spacing w:after="84"/>
        <w:ind w:left="-5"/>
      </w:pPr>
      <w:bookmarkStart w:id="1" w:name="_Toc21017"/>
      <w:r>
        <w:t xml:space="preserve">Task A: Critical Evaluation of Strategic Socialisation </w:t>
      </w:r>
      <w:bookmarkEnd w:id="1"/>
    </w:p>
    <w:p w14:paraId="698A1716" w14:textId="77777777" w:rsidR="000B7ED1" w:rsidRDefault="005740ED">
      <w:pPr>
        <w:pStyle w:val="Heading2"/>
        <w:ind w:left="455" w:hanging="470"/>
      </w:pPr>
      <w:bookmarkStart w:id="2" w:name="_Toc21018"/>
      <w:r>
        <w:t xml:space="preserve">Critical Comparison of Traditional Onboarding and Strategic </w:t>
      </w:r>
      <w:bookmarkEnd w:id="2"/>
    </w:p>
    <w:p w14:paraId="71A4900A" w14:textId="77777777" w:rsidR="000B7ED1" w:rsidRDefault="005740ED">
      <w:pPr>
        <w:pStyle w:val="Heading2"/>
        <w:numPr>
          <w:ilvl w:val="0"/>
          <w:numId w:val="0"/>
        </w:numPr>
        <w:ind w:left="-5"/>
      </w:pPr>
      <w:bookmarkStart w:id="3" w:name="_Toc21019"/>
      <w:r>
        <w:t xml:space="preserve">Organisational Socialisation </w:t>
      </w:r>
      <w:bookmarkEnd w:id="3"/>
    </w:p>
    <w:p w14:paraId="5136C2CC" w14:textId="77777777" w:rsidR="000B7ED1" w:rsidRDefault="005740ED">
      <w:pPr>
        <w:ind w:left="-5"/>
      </w:pPr>
      <w:r>
        <w:t>Typical onboarding is done mainly in an administrative way, introducing new hires to organization policies, compliance, job duties and workplace protocol. It aims to reduce uncertainty and help employees to work productively quickly. While effective onboarding helps create clarity about the position and boosts confidence, modern research shows that onboarding does not automatically result in organisational commitment as it focuses on transactional adaptation instead of behavioural and psychological integrat</w:t>
      </w:r>
      <w:r>
        <w:t xml:space="preserve">ion (Bauer, 2023; Klein et al., 2022). </w:t>
      </w:r>
    </w:p>
    <w:p w14:paraId="3CDBECFE" w14:textId="77777777" w:rsidR="000B7ED1" w:rsidRDefault="005740ED">
      <w:pPr>
        <w:ind w:left="-5"/>
      </w:pPr>
      <w:r>
        <w:t>Strategic organisational socialisation goes beyond induction and sees employee integration on-going, as new employees learn to accept organisational values, build professional relationships and construct mutual identity. Strategic socialisation is not just about making people feel what they're doing, it's also about making them feel the importance of what they do and what they do to achieve the purpose of the organisation. For Helios Urban Mobility (HUM), the eight-month integration process is long, and the</w:t>
      </w:r>
      <w:r>
        <w:t xml:space="preserve"> high rate of resignation of their graduates suggests that the administrative integration hasn't led to long-term commitment or a sense of organizational citizenship.  </w:t>
      </w:r>
    </w:p>
    <w:p w14:paraId="5C1FA0CB" w14:textId="77777777" w:rsidR="000B7ED1" w:rsidRDefault="005740ED">
      <w:pPr>
        <w:ind w:left="-5"/>
      </w:pPr>
      <w:r>
        <w:t xml:space="preserve">However, there is a set of constraints to strategic socialisation. Some programmes can be very formal and might foster conformity and stifle creativity by imposing norms on the newcomers without giving them the opportunity to challenge them. Excessive standardisation can stifle innovation and varied thinking in knowledgebased firms like Helios. Hence, strategic socialisation must be a compromise between cultural fit and opportunities for employees to share new knowledge to support organizational innovation </w:t>
      </w:r>
      <w:r>
        <w:t xml:space="preserve">(Ashforth, Schinoff &amp; Rogers, 2023). </w:t>
      </w:r>
    </w:p>
    <w:p w14:paraId="44686164" w14:textId="77777777" w:rsidR="000B7ED1" w:rsidRDefault="005740ED">
      <w:pPr>
        <w:spacing w:after="0"/>
        <w:ind w:left="-5"/>
      </w:pPr>
      <w:r>
        <w:t xml:space="preserve">Table 1: Traditional Onboarding vs Strategic Socialisation </w:t>
      </w:r>
    </w:p>
    <w:tbl>
      <w:tblPr>
        <w:tblStyle w:val="TableGrid"/>
        <w:tblW w:w="9018" w:type="dxa"/>
        <w:tblInd w:w="5" w:type="dxa"/>
        <w:tblCellMar>
          <w:top w:w="56" w:type="dxa"/>
          <w:left w:w="106" w:type="dxa"/>
          <w:right w:w="44" w:type="dxa"/>
        </w:tblCellMar>
        <w:tblLook w:val="04A0" w:firstRow="1" w:lastRow="0" w:firstColumn="1" w:lastColumn="0" w:noHBand="0" w:noVBand="1"/>
      </w:tblPr>
      <w:tblGrid>
        <w:gridCol w:w="1898"/>
        <w:gridCol w:w="2185"/>
        <w:gridCol w:w="2633"/>
        <w:gridCol w:w="2302"/>
      </w:tblGrid>
      <w:tr w:rsidR="000B7ED1" w14:paraId="46C68C04" w14:textId="77777777">
        <w:trPr>
          <w:trHeight w:val="1063"/>
        </w:trPr>
        <w:tc>
          <w:tcPr>
            <w:tcW w:w="1898" w:type="dxa"/>
            <w:tcBorders>
              <w:top w:val="single" w:sz="4" w:space="0" w:color="000000"/>
              <w:left w:val="single" w:sz="4" w:space="0" w:color="000000"/>
              <w:bottom w:val="single" w:sz="4" w:space="0" w:color="000000"/>
              <w:right w:val="single" w:sz="4" w:space="0" w:color="000000"/>
            </w:tcBorders>
          </w:tcPr>
          <w:p w14:paraId="736D0467" w14:textId="77777777" w:rsidR="000B7ED1" w:rsidRDefault="005740ED">
            <w:pPr>
              <w:spacing w:after="0" w:line="259" w:lineRule="auto"/>
              <w:ind w:left="2" w:firstLine="0"/>
            </w:pPr>
            <w:r>
              <w:rPr>
                <w:b/>
              </w:rPr>
              <w:t xml:space="preserve">Dimension </w:t>
            </w:r>
          </w:p>
        </w:tc>
        <w:tc>
          <w:tcPr>
            <w:tcW w:w="2185" w:type="dxa"/>
            <w:tcBorders>
              <w:top w:val="single" w:sz="4" w:space="0" w:color="000000"/>
              <w:left w:val="single" w:sz="4" w:space="0" w:color="000000"/>
              <w:bottom w:val="single" w:sz="4" w:space="0" w:color="000000"/>
              <w:right w:val="single" w:sz="4" w:space="0" w:color="000000"/>
            </w:tcBorders>
          </w:tcPr>
          <w:p w14:paraId="384EE3C5" w14:textId="77777777" w:rsidR="000B7ED1" w:rsidRDefault="005740ED">
            <w:pPr>
              <w:spacing w:after="0" w:line="259" w:lineRule="auto"/>
              <w:ind w:left="2" w:firstLine="0"/>
            </w:pPr>
            <w:r>
              <w:rPr>
                <w:b/>
              </w:rPr>
              <w:t xml:space="preserve">Traditional </w:t>
            </w:r>
          </w:p>
          <w:p w14:paraId="4584DC40" w14:textId="77777777" w:rsidR="000B7ED1" w:rsidRDefault="005740ED">
            <w:pPr>
              <w:spacing w:after="0" w:line="259" w:lineRule="auto"/>
              <w:ind w:left="2" w:firstLine="0"/>
            </w:pPr>
            <w:r>
              <w:rPr>
                <w:b/>
              </w:rPr>
              <w:t xml:space="preserve">Onboarding </w:t>
            </w:r>
          </w:p>
        </w:tc>
        <w:tc>
          <w:tcPr>
            <w:tcW w:w="2633" w:type="dxa"/>
            <w:tcBorders>
              <w:top w:val="single" w:sz="4" w:space="0" w:color="000000"/>
              <w:left w:val="single" w:sz="4" w:space="0" w:color="000000"/>
              <w:bottom w:val="single" w:sz="4" w:space="0" w:color="000000"/>
              <w:right w:val="single" w:sz="4" w:space="0" w:color="000000"/>
            </w:tcBorders>
          </w:tcPr>
          <w:p w14:paraId="15025B5E" w14:textId="77777777" w:rsidR="000B7ED1" w:rsidRDefault="005740ED">
            <w:pPr>
              <w:spacing w:after="0" w:line="259" w:lineRule="auto"/>
              <w:ind w:left="0" w:firstLine="0"/>
            </w:pPr>
            <w:r>
              <w:rPr>
                <w:b/>
              </w:rPr>
              <w:t xml:space="preserve">Strategic </w:t>
            </w:r>
          </w:p>
          <w:p w14:paraId="1677F001" w14:textId="77777777" w:rsidR="000B7ED1" w:rsidRDefault="005740ED">
            <w:pPr>
              <w:spacing w:after="0" w:line="259" w:lineRule="auto"/>
              <w:ind w:left="0" w:firstLine="0"/>
            </w:pPr>
            <w:r>
              <w:rPr>
                <w:b/>
              </w:rPr>
              <w:t xml:space="preserve">Organisational </w:t>
            </w:r>
          </w:p>
          <w:p w14:paraId="123F1B73" w14:textId="77777777" w:rsidR="000B7ED1" w:rsidRDefault="005740ED">
            <w:pPr>
              <w:spacing w:after="0" w:line="259" w:lineRule="auto"/>
              <w:ind w:left="0" w:firstLine="0"/>
            </w:pPr>
            <w:r>
              <w:rPr>
                <w:b/>
              </w:rPr>
              <w:t xml:space="preserve">Socialisation </w:t>
            </w:r>
          </w:p>
        </w:tc>
        <w:tc>
          <w:tcPr>
            <w:tcW w:w="2302" w:type="dxa"/>
            <w:tcBorders>
              <w:top w:val="single" w:sz="4" w:space="0" w:color="000000"/>
              <w:left w:val="single" w:sz="4" w:space="0" w:color="000000"/>
              <w:bottom w:val="single" w:sz="4" w:space="0" w:color="000000"/>
              <w:right w:val="single" w:sz="4" w:space="0" w:color="000000"/>
            </w:tcBorders>
          </w:tcPr>
          <w:p w14:paraId="1A0CD063" w14:textId="77777777" w:rsidR="000B7ED1" w:rsidRDefault="005740ED">
            <w:pPr>
              <w:spacing w:after="0" w:line="259" w:lineRule="auto"/>
              <w:ind w:left="2" w:firstLine="0"/>
            </w:pPr>
            <w:r>
              <w:rPr>
                <w:b/>
              </w:rPr>
              <w:t xml:space="preserve">Application to </w:t>
            </w:r>
          </w:p>
          <w:p w14:paraId="78A335FC" w14:textId="77777777" w:rsidR="000B7ED1" w:rsidRDefault="005740ED">
            <w:pPr>
              <w:spacing w:after="0" w:line="259" w:lineRule="auto"/>
              <w:ind w:left="2" w:firstLine="0"/>
            </w:pPr>
            <w:r>
              <w:rPr>
                <w:b/>
              </w:rPr>
              <w:t xml:space="preserve">Helios Urban </w:t>
            </w:r>
          </w:p>
          <w:p w14:paraId="285B0474" w14:textId="77777777" w:rsidR="000B7ED1" w:rsidRDefault="005740ED">
            <w:pPr>
              <w:spacing w:after="0" w:line="259" w:lineRule="auto"/>
              <w:ind w:left="2" w:firstLine="0"/>
            </w:pPr>
            <w:r>
              <w:rPr>
                <w:b/>
              </w:rPr>
              <w:t xml:space="preserve">Mobility </w:t>
            </w:r>
          </w:p>
        </w:tc>
      </w:tr>
      <w:tr w:rsidR="000B7ED1" w14:paraId="6465C148" w14:textId="77777777">
        <w:trPr>
          <w:trHeight w:val="1659"/>
        </w:trPr>
        <w:tc>
          <w:tcPr>
            <w:tcW w:w="1898" w:type="dxa"/>
            <w:tcBorders>
              <w:top w:val="single" w:sz="4" w:space="0" w:color="000000"/>
              <w:left w:val="single" w:sz="4" w:space="0" w:color="000000"/>
              <w:bottom w:val="single" w:sz="4" w:space="0" w:color="000000"/>
              <w:right w:val="single" w:sz="4" w:space="0" w:color="000000"/>
            </w:tcBorders>
          </w:tcPr>
          <w:p w14:paraId="49F63FEE" w14:textId="77777777" w:rsidR="000B7ED1" w:rsidRDefault="005740ED">
            <w:pPr>
              <w:spacing w:after="0" w:line="259" w:lineRule="auto"/>
              <w:ind w:left="2" w:firstLine="0"/>
            </w:pPr>
            <w:r>
              <w:t xml:space="preserve">Primary focus </w:t>
            </w:r>
          </w:p>
        </w:tc>
        <w:tc>
          <w:tcPr>
            <w:tcW w:w="2185" w:type="dxa"/>
            <w:tcBorders>
              <w:top w:val="single" w:sz="4" w:space="0" w:color="000000"/>
              <w:left w:val="single" w:sz="4" w:space="0" w:color="000000"/>
              <w:bottom w:val="single" w:sz="4" w:space="0" w:color="000000"/>
              <w:right w:val="single" w:sz="4" w:space="0" w:color="000000"/>
            </w:tcBorders>
          </w:tcPr>
          <w:p w14:paraId="06FF7C6F" w14:textId="77777777" w:rsidR="000B7ED1" w:rsidRDefault="005740ED">
            <w:pPr>
              <w:spacing w:after="0" w:line="259" w:lineRule="auto"/>
              <w:ind w:left="2" w:firstLine="0"/>
            </w:pPr>
            <w:r>
              <w:t xml:space="preserve">Administrative orientation and compliance </w:t>
            </w:r>
          </w:p>
        </w:tc>
        <w:tc>
          <w:tcPr>
            <w:tcW w:w="2633" w:type="dxa"/>
            <w:tcBorders>
              <w:top w:val="single" w:sz="4" w:space="0" w:color="000000"/>
              <w:left w:val="single" w:sz="4" w:space="0" w:color="000000"/>
              <w:bottom w:val="single" w:sz="4" w:space="0" w:color="000000"/>
              <w:right w:val="single" w:sz="4" w:space="0" w:color="000000"/>
            </w:tcBorders>
          </w:tcPr>
          <w:p w14:paraId="1255622D" w14:textId="77777777" w:rsidR="000B7ED1" w:rsidRDefault="005740ED">
            <w:pPr>
              <w:spacing w:after="0" w:line="259" w:lineRule="auto"/>
              <w:ind w:left="0" w:firstLine="0"/>
            </w:pPr>
            <w:r>
              <w:t xml:space="preserve">Identity development and long-term commitment </w:t>
            </w:r>
          </w:p>
        </w:tc>
        <w:tc>
          <w:tcPr>
            <w:tcW w:w="2302" w:type="dxa"/>
            <w:tcBorders>
              <w:top w:val="single" w:sz="4" w:space="0" w:color="000000"/>
              <w:left w:val="single" w:sz="4" w:space="0" w:color="000000"/>
              <w:bottom w:val="single" w:sz="4" w:space="0" w:color="000000"/>
              <w:right w:val="single" w:sz="4" w:space="0" w:color="000000"/>
            </w:tcBorders>
          </w:tcPr>
          <w:p w14:paraId="70A4267F" w14:textId="77777777" w:rsidR="000B7ED1" w:rsidRDefault="005740ED">
            <w:pPr>
              <w:spacing w:after="0" w:line="259" w:lineRule="auto"/>
              <w:ind w:left="2" w:firstLine="0"/>
            </w:pPr>
            <w:r>
              <w:t xml:space="preserve">Shift from procedural induction to strategic employee integration </w:t>
            </w:r>
          </w:p>
        </w:tc>
      </w:tr>
      <w:tr w:rsidR="000B7ED1" w14:paraId="74326572" w14:textId="77777777">
        <w:trPr>
          <w:trHeight w:val="1063"/>
        </w:trPr>
        <w:tc>
          <w:tcPr>
            <w:tcW w:w="1898" w:type="dxa"/>
            <w:tcBorders>
              <w:top w:val="single" w:sz="4" w:space="0" w:color="000000"/>
              <w:left w:val="single" w:sz="4" w:space="0" w:color="000000"/>
              <w:bottom w:val="single" w:sz="4" w:space="0" w:color="000000"/>
              <w:right w:val="single" w:sz="4" w:space="0" w:color="000000"/>
            </w:tcBorders>
          </w:tcPr>
          <w:p w14:paraId="2EB4DDC5" w14:textId="77777777" w:rsidR="000B7ED1" w:rsidRDefault="005740ED">
            <w:pPr>
              <w:spacing w:after="0" w:line="259" w:lineRule="auto"/>
              <w:ind w:left="2" w:firstLine="0"/>
            </w:pPr>
            <w:r>
              <w:t xml:space="preserve">Duration </w:t>
            </w:r>
          </w:p>
        </w:tc>
        <w:tc>
          <w:tcPr>
            <w:tcW w:w="2185" w:type="dxa"/>
            <w:tcBorders>
              <w:top w:val="single" w:sz="4" w:space="0" w:color="000000"/>
              <w:left w:val="single" w:sz="4" w:space="0" w:color="000000"/>
              <w:bottom w:val="single" w:sz="4" w:space="0" w:color="000000"/>
              <w:right w:val="single" w:sz="4" w:space="0" w:color="000000"/>
            </w:tcBorders>
          </w:tcPr>
          <w:p w14:paraId="6BAC96A5" w14:textId="77777777" w:rsidR="000B7ED1" w:rsidRDefault="005740ED">
            <w:pPr>
              <w:spacing w:after="0" w:line="259" w:lineRule="auto"/>
              <w:ind w:left="2" w:firstLine="0"/>
            </w:pPr>
            <w:r>
              <w:t xml:space="preserve">First few days or weeks </w:t>
            </w:r>
          </w:p>
        </w:tc>
        <w:tc>
          <w:tcPr>
            <w:tcW w:w="2633" w:type="dxa"/>
            <w:tcBorders>
              <w:top w:val="single" w:sz="4" w:space="0" w:color="000000"/>
              <w:left w:val="single" w:sz="4" w:space="0" w:color="000000"/>
              <w:bottom w:val="single" w:sz="4" w:space="0" w:color="000000"/>
              <w:right w:val="single" w:sz="4" w:space="0" w:color="000000"/>
            </w:tcBorders>
          </w:tcPr>
          <w:p w14:paraId="571C2E1A" w14:textId="77777777" w:rsidR="000B7ED1" w:rsidRDefault="005740ED">
            <w:pPr>
              <w:spacing w:after="0" w:line="259" w:lineRule="auto"/>
              <w:ind w:left="0" w:firstLine="0"/>
            </w:pPr>
            <w:r>
              <w:t xml:space="preserve">Continuous process from pre-boarding to the first year </w:t>
            </w:r>
          </w:p>
        </w:tc>
        <w:tc>
          <w:tcPr>
            <w:tcW w:w="2302" w:type="dxa"/>
            <w:tcBorders>
              <w:top w:val="single" w:sz="4" w:space="0" w:color="000000"/>
              <w:left w:val="single" w:sz="4" w:space="0" w:color="000000"/>
              <w:bottom w:val="single" w:sz="4" w:space="0" w:color="000000"/>
              <w:right w:val="single" w:sz="4" w:space="0" w:color="000000"/>
            </w:tcBorders>
          </w:tcPr>
          <w:p w14:paraId="6F218684" w14:textId="77777777" w:rsidR="000B7ED1" w:rsidRDefault="005740ED">
            <w:pPr>
              <w:spacing w:after="0" w:line="259" w:lineRule="auto"/>
              <w:ind w:left="2" w:firstLine="0"/>
            </w:pPr>
            <w:r>
              <w:t xml:space="preserve">Reduces the current eight-month integration period </w:t>
            </w:r>
          </w:p>
        </w:tc>
      </w:tr>
      <w:tr w:rsidR="000B7ED1" w14:paraId="6840C02D" w14:textId="77777777">
        <w:trPr>
          <w:trHeight w:val="1361"/>
        </w:trPr>
        <w:tc>
          <w:tcPr>
            <w:tcW w:w="1898" w:type="dxa"/>
            <w:tcBorders>
              <w:top w:val="single" w:sz="4" w:space="0" w:color="000000"/>
              <w:left w:val="single" w:sz="4" w:space="0" w:color="000000"/>
              <w:bottom w:val="single" w:sz="4" w:space="0" w:color="000000"/>
              <w:right w:val="single" w:sz="4" w:space="0" w:color="000000"/>
            </w:tcBorders>
          </w:tcPr>
          <w:p w14:paraId="4C6AAB0B" w14:textId="77777777" w:rsidR="000B7ED1" w:rsidRDefault="005740ED">
            <w:pPr>
              <w:spacing w:after="0" w:line="259" w:lineRule="auto"/>
              <w:ind w:left="2" w:firstLine="0"/>
            </w:pPr>
            <w:r>
              <w:t xml:space="preserve">Employee role </w:t>
            </w:r>
          </w:p>
        </w:tc>
        <w:tc>
          <w:tcPr>
            <w:tcW w:w="2185" w:type="dxa"/>
            <w:tcBorders>
              <w:top w:val="single" w:sz="4" w:space="0" w:color="000000"/>
              <w:left w:val="single" w:sz="4" w:space="0" w:color="000000"/>
              <w:bottom w:val="single" w:sz="4" w:space="0" w:color="000000"/>
              <w:right w:val="single" w:sz="4" w:space="0" w:color="000000"/>
            </w:tcBorders>
          </w:tcPr>
          <w:p w14:paraId="33309CBD" w14:textId="77777777" w:rsidR="000B7ED1" w:rsidRDefault="005740ED">
            <w:pPr>
              <w:spacing w:after="0" w:line="259" w:lineRule="auto"/>
              <w:ind w:left="2" w:firstLine="0"/>
            </w:pPr>
            <w:r>
              <w:t xml:space="preserve">Passive recipient of organisational information </w:t>
            </w:r>
          </w:p>
        </w:tc>
        <w:tc>
          <w:tcPr>
            <w:tcW w:w="2633" w:type="dxa"/>
            <w:tcBorders>
              <w:top w:val="single" w:sz="4" w:space="0" w:color="000000"/>
              <w:left w:val="single" w:sz="4" w:space="0" w:color="000000"/>
              <w:bottom w:val="single" w:sz="4" w:space="0" w:color="000000"/>
              <w:right w:val="single" w:sz="4" w:space="0" w:color="000000"/>
            </w:tcBorders>
          </w:tcPr>
          <w:p w14:paraId="6AF9CD08" w14:textId="77777777" w:rsidR="000B7ED1" w:rsidRDefault="005740ED">
            <w:pPr>
              <w:spacing w:after="0" w:line="259" w:lineRule="auto"/>
              <w:ind w:left="0" w:firstLine="0"/>
            </w:pPr>
            <w:r>
              <w:t xml:space="preserve">Active participant in organisational learning and culture </w:t>
            </w:r>
          </w:p>
        </w:tc>
        <w:tc>
          <w:tcPr>
            <w:tcW w:w="2302" w:type="dxa"/>
            <w:tcBorders>
              <w:top w:val="single" w:sz="4" w:space="0" w:color="000000"/>
              <w:left w:val="single" w:sz="4" w:space="0" w:color="000000"/>
              <w:bottom w:val="single" w:sz="4" w:space="0" w:color="000000"/>
              <w:right w:val="single" w:sz="4" w:space="0" w:color="000000"/>
            </w:tcBorders>
          </w:tcPr>
          <w:p w14:paraId="0C3BABF6" w14:textId="77777777" w:rsidR="000B7ED1" w:rsidRDefault="005740ED">
            <w:pPr>
              <w:spacing w:after="0" w:line="259" w:lineRule="auto"/>
              <w:ind w:left="2" w:firstLine="0"/>
            </w:pPr>
            <w:r>
              <w:t xml:space="preserve">Encourages innovation and collaborative learning </w:t>
            </w:r>
          </w:p>
        </w:tc>
      </w:tr>
      <w:tr w:rsidR="000B7ED1" w14:paraId="4CDB835C" w14:textId="77777777">
        <w:trPr>
          <w:trHeight w:val="1361"/>
        </w:trPr>
        <w:tc>
          <w:tcPr>
            <w:tcW w:w="1898" w:type="dxa"/>
            <w:tcBorders>
              <w:top w:val="single" w:sz="4" w:space="0" w:color="000000"/>
              <w:left w:val="single" w:sz="4" w:space="0" w:color="000000"/>
              <w:bottom w:val="single" w:sz="4" w:space="0" w:color="000000"/>
              <w:right w:val="single" w:sz="4" w:space="0" w:color="000000"/>
            </w:tcBorders>
          </w:tcPr>
          <w:p w14:paraId="171966F3" w14:textId="77777777" w:rsidR="000B7ED1" w:rsidRDefault="005740ED">
            <w:pPr>
              <w:spacing w:after="0" w:line="259" w:lineRule="auto"/>
              <w:ind w:left="2" w:firstLine="0"/>
            </w:pPr>
            <w:r>
              <w:t xml:space="preserve">Success indicator </w:t>
            </w:r>
          </w:p>
        </w:tc>
        <w:tc>
          <w:tcPr>
            <w:tcW w:w="2185" w:type="dxa"/>
            <w:tcBorders>
              <w:top w:val="single" w:sz="4" w:space="0" w:color="000000"/>
              <w:left w:val="single" w:sz="4" w:space="0" w:color="000000"/>
              <w:bottom w:val="single" w:sz="4" w:space="0" w:color="000000"/>
              <w:right w:val="single" w:sz="4" w:space="0" w:color="000000"/>
            </w:tcBorders>
          </w:tcPr>
          <w:p w14:paraId="448F41A2" w14:textId="77777777" w:rsidR="000B7ED1" w:rsidRDefault="005740ED">
            <w:pPr>
              <w:spacing w:after="0" w:line="259" w:lineRule="auto"/>
              <w:ind w:left="2" w:right="521" w:firstLine="0"/>
              <w:jc w:val="both"/>
            </w:pPr>
            <w:r>
              <w:t xml:space="preserve">Operational readiness and role clarity </w:t>
            </w:r>
          </w:p>
        </w:tc>
        <w:tc>
          <w:tcPr>
            <w:tcW w:w="2633" w:type="dxa"/>
            <w:tcBorders>
              <w:top w:val="single" w:sz="4" w:space="0" w:color="000000"/>
              <w:left w:val="single" w:sz="4" w:space="0" w:color="000000"/>
              <w:bottom w:val="single" w:sz="4" w:space="0" w:color="000000"/>
              <w:right w:val="single" w:sz="4" w:space="0" w:color="000000"/>
            </w:tcBorders>
          </w:tcPr>
          <w:p w14:paraId="46D5B706" w14:textId="77777777" w:rsidR="000B7ED1" w:rsidRDefault="005740ED">
            <w:pPr>
              <w:spacing w:after="2" w:line="259" w:lineRule="auto"/>
              <w:ind w:left="0" w:firstLine="0"/>
            </w:pPr>
            <w:r>
              <w:t xml:space="preserve">Organisational identification, </w:t>
            </w:r>
          </w:p>
          <w:p w14:paraId="0FDB2C7C" w14:textId="77777777" w:rsidR="000B7ED1" w:rsidRDefault="005740ED">
            <w:pPr>
              <w:spacing w:after="0" w:line="259" w:lineRule="auto"/>
              <w:ind w:left="0" w:firstLine="0"/>
            </w:pPr>
            <w:r>
              <w:t xml:space="preserve">engagement and retention </w:t>
            </w:r>
          </w:p>
        </w:tc>
        <w:tc>
          <w:tcPr>
            <w:tcW w:w="2302" w:type="dxa"/>
            <w:tcBorders>
              <w:top w:val="single" w:sz="4" w:space="0" w:color="000000"/>
              <w:left w:val="single" w:sz="4" w:space="0" w:color="000000"/>
              <w:bottom w:val="single" w:sz="4" w:space="0" w:color="000000"/>
              <w:right w:val="single" w:sz="4" w:space="0" w:color="000000"/>
            </w:tcBorders>
          </w:tcPr>
          <w:p w14:paraId="66465993" w14:textId="77777777" w:rsidR="000B7ED1" w:rsidRDefault="005740ED">
            <w:pPr>
              <w:spacing w:after="0" w:line="259" w:lineRule="auto"/>
              <w:ind w:left="2" w:firstLine="0"/>
            </w:pPr>
            <w:r>
              <w:t xml:space="preserve">Addresses </w:t>
            </w:r>
          </w:p>
          <w:p w14:paraId="33E75603" w14:textId="77777777" w:rsidR="000B7ED1" w:rsidRDefault="005740ED">
            <w:pPr>
              <w:spacing w:after="0" w:line="259" w:lineRule="auto"/>
              <w:ind w:left="2" w:firstLine="0"/>
            </w:pPr>
            <w:r>
              <w:t xml:space="preserve">declining engagement and graduate attrition </w:t>
            </w:r>
          </w:p>
        </w:tc>
      </w:tr>
      <w:tr w:rsidR="000B7ED1" w14:paraId="0A0DF5CB" w14:textId="77777777">
        <w:trPr>
          <w:trHeight w:val="1364"/>
        </w:trPr>
        <w:tc>
          <w:tcPr>
            <w:tcW w:w="1898" w:type="dxa"/>
            <w:tcBorders>
              <w:top w:val="single" w:sz="4" w:space="0" w:color="000000"/>
              <w:left w:val="single" w:sz="4" w:space="0" w:color="000000"/>
              <w:bottom w:val="single" w:sz="4" w:space="0" w:color="000000"/>
              <w:right w:val="single" w:sz="4" w:space="0" w:color="000000"/>
            </w:tcBorders>
          </w:tcPr>
          <w:p w14:paraId="1C4B4B32" w14:textId="77777777" w:rsidR="000B7ED1" w:rsidRDefault="005740ED">
            <w:pPr>
              <w:spacing w:after="0" w:line="259" w:lineRule="auto"/>
              <w:ind w:left="2" w:firstLine="0"/>
            </w:pPr>
            <w:r>
              <w:t xml:space="preserve">Organisational outcome </w:t>
            </w:r>
          </w:p>
        </w:tc>
        <w:tc>
          <w:tcPr>
            <w:tcW w:w="2185" w:type="dxa"/>
            <w:tcBorders>
              <w:top w:val="single" w:sz="4" w:space="0" w:color="000000"/>
              <w:left w:val="single" w:sz="4" w:space="0" w:color="000000"/>
              <w:bottom w:val="single" w:sz="4" w:space="0" w:color="000000"/>
              <w:right w:val="single" w:sz="4" w:space="0" w:color="000000"/>
            </w:tcBorders>
          </w:tcPr>
          <w:p w14:paraId="0F9090CA" w14:textId="77777777" w:rsidR="000B7ED1" w:rsidRDefault="005740ED">
            <w:pPr>
              <w:spacing w:after="0" w:line="259" w:lineRule="auto"/>
              <w:ind w:left="2" w:firstLine="0"/>
            </w:pPr>
            <w:r>
              <w:t xml:space="preserve">Short-term productivity </w:t>
            </w:r>
          </w:p>
        </w:tc>
        <w:tc>
          <w:tcPr>
            <w:tcW w:w="2633" w:type="dxa"/>
            <w:tcBorders>
              <w:top w:val="single" w:sz="4" w:space="0" w:color="000000"/>
              <w:left w:val="single" w:sz="4" w:space="0" w:color="000000"/>
              <w:bottom w:val="single" w:sz="4" w:space="0" w:color="000000"/>
              <w:right w:val="single" w:sz="4" w:space="0" w:color="000000"/>
            </w:tcBorders>
          </w:tcPr>
          <w:p w14:paraId="380F3DC5" w14:textId="77777777" w:rsidR="000B7ED1" w:rsidRDefault="005740ED">
            <w:pPr>
              <w:spacing w:after="0" w:line="259" w:lineRule="auto"/>
              <w:ind w:left="0" w:firstLine="0"/>
            </w:pPr>
            <w:r>
              <w:t xml:space="preserve">Organisational citizenship, innovation and sustainable performance </w:t>
            </w:r>
          </w:p>
        </w:tc>
        <w:tc>
          <w:tcPr>
            <w:tcW w:w="2302" w:type="dxa"/>
            <w:tcBorders>
              <w:top w:val="single" w:sz="4" w:space="0" w:color="000000"/>
              <w:left w:val="single" w:sz="4" w:space="0" w:color="000000"/>
              <w:bottom w:val="single" w:sz="4" w:space="0" w:color="000000"/>
              <w:right w:val="single" w:sz="4" w:space="0" w:color="000000"/>
            </w:tcBorders>
          </w:tcPr>
          <w:p w14:paraId="3BC184BC" w14:textId="77777777" w:rsidR="000B7ED1" w:rsidRDefault="005740ED">
            <w:pPr>
              <w:spacing w:after="0" w:line="259" w:lineRule="auto"/>
              <w:ind w:left="2" w:firstLine="0"/>
            </w:pPr>
            <w:r>
              <w:t xml:space="preserve">Supports long-term strategic renewal </w:t>
            </w:r>
          </w:p>
        </w:tc>
      </w:tr>
    </w:tbl>
    <w:p w14:paraId="549B29E3" w14:textId="77777777" w:rsidR="000B7ED1" w:rsidRDefault="005740ED">
      <w:pPr>
        <w:spacing w:after="196" w:line="259" w:lineRule="auto"/>
        <w:ind w:left="0" w:firstLine="0"/>
      </w:pPr>
      <w:r>
        <w:t xml:space="preserve"> </w:t>
      </w:r>
    </w:p>
    <w:p w14:paraId="5FA2CBB2" w14:textId="77777777" w:rsidR="000B7ED1" w:rsidRDefault="005740ED">
      <w:pPr>
        <w:pStyle w:val="Heading2"/>
        <w:ind w:left="-5"/>
      </w:pPr>
      <w:bookmarkStart w:id="4" w:name="_Toc21020"/>
      <w:r>
        <w:t xml:space="preserve">Psychological Contract Theory, Identity Construction Theory and Van Maanen &amp; Schein </w:t>
      </w:r>
      <w:bookmarkEnd w:id="4"/>
    </w:p>
    <w:p w14:paraId="036D4A87" w14:textId="77777777" w:rsidR="000B7ED1" w:rsidRDefault="005740ED">
      <w:pPr>
        <w:ind w:left="-5"/>
      </w:pPr>
      <w:r>
        <w:t xml:space="preserve">The psychological contract theory is about the informal promises that are made to and by employees and employers in relation to fairness, career development, organisational support and trust. Psychological contracts are not formal contracts, but rather develop over time through the day-to-day experiences in the organisation and can have a significant impact on engagement, satisfaction and retention (Conway, Guest &amp; Peck, 2023). </w:t>
      </w:r>
    </w:p>
    <w:p w14:paraId="12D0CEE0" w14:textId="77777777" w:rsidR="000B7ED1" w:rsidRDefault="005740ED">
      <w:pPr>
        <w:ind w:left="-5"/>
      </w:pPr>
      <w:r>
        <w:t xml:space="preserve">There is evidence of psychological contract violations in Helios because of the challenges faced by them. Recruitment can promise innovation, team spirit and career development, but if the integration process is lengthy or employee support is less than adequate, there can be a disconnect. These violations result in lost trust, decreased organizational commitment, and higher voluntary turnover, especially among highly skilled graduates (Griep &amp; Vantilborgh, 2023). Therefore, socialisation as a process needs </w:t>
      </w:r>
      <w:r>
        <w:t xml:space="preserve">to be managed from the beginning of the employee's career until the end and is not just one-time event. </w:t>
      </w:r>
    </w:p>
    <w:p w14:paraId="6F9D12D5" w14:textId="77777777" w:rsidR="000B7ED1" w:rsidRDefault="005740ED">
      <w:pPr>
        <w:ind w:left="-5"/>
      </w:pPr>
      <w:r>
        <w:t>Identity Construction Theory also supports this view, which suggests that organisational commitment is formed as employees are creating professional identities by engaging with fellow employees, organizational leaders and organizational culture. When personal values are congruent with organisational purpose there is greater engagement among employees. As a result, contemporary research recommends that identity formation be conceptualised as a strategic capability rather than an adjustment process, in the or</w:t>
      </w:r>
      <w:r>
        <w:t xml:space="preserve">ganization (Pratt, Schultz &amp; Ashforth, 2023). </w:t>
      </w:r>
    </w:p>
    <w:p w14:paraId="77E85CB4" w14:textId="77777777" w:rsidR="000B7ED1" w:rsidRDefault="005740ED">
      <w:pPr>
        <w:spacing w:after="109"/>
        <w:ind w:left="-5"/>
      </w:pPr>
      <w:r>
        <w:t xml:space="preserve">The socialisation framework of Van Maanen and Schein offers the structures within which this identity development can take place. They are socialised in an institutionalised manner through which uncertainty is minimised and adjustment is facilitated by collective learning, formal orientation and serial mentoring. Originally </w:t>
      </w:r>
      <w:r>
        <w:t>designed before the times of hybrid working, digital collaboration and teams spread across the globe. In recent studies, therefore, it has been recommended to use the organised organisational guidance, but also personalised developmental experiences, accommodating individual differences, yet being culturally consistent (Cooper-Thomas et al., 2024). Helios' view of integrating these theories gives him a more adaptive way to handle expectations, while helping to integrate his identity and faster into the orga</w:t>
      </w:r>
      <w:r>
        <w:t xml:space="preserve">nisation. </w:t>
      </w:r>
    </w:p>
    <w:p w14:paraId="283951D0" w14:textId="77777777" w:rsidR="000B7ED1" w:rsidRDefault="005740ED">
      <w:pPr>
        <w:spacing w:after="55" w:line="259" w:lineRule="auto"/>
        <w:ind w:left="77" w:firstLine="0"/>
        <w:jc w:val="center"/>
      </w:pPr>
      <w:r>
        <w:rPr>
          <w:noProof/>
        </w:rPr>
        <w:drawing>
          <wp:inline distT="0" distB="0" distL="0" distR="0" wp14:anchorId="390F7995" wp14:editId="21B82EA9">
            <wp:extent cx="2672715" cy="4095750"/>
            <wp:effectExtent l="0" t="0" r="0" b="0"/>
            <wp:docPr id="883" name="Picture 883"/>
            <wp:cNvGraphicFramePr/>
            <a:graphic xmlns:a="http://schemas.openxmlformats.org/drawingml/2006/main">
              <a:graphicData uri="http://schemas.openxmlformats.org/drawingml/2006/picture">
                <pic:pic xmlns:pic="http://schemas.openxmlformats.org/drawingml/2006/picture">
                  <pic:nvPicPr>
                    <pic:cNvPr id="883" name="Picture 883"/>
                    <pic:cNvPicPr/>
                  </pic:nvPicPr>
                  <pic:blipFill>
                    <a:blip r:embed="rId11"/>
                    <a:stretch>
                      <a:fillRect/>
                    </a:stretch>
                  </pic:blipFill>
                  <pic:spPr>
                    <a:xfrm>
                      <a:off x="0" y="0"/>
                      <a:ext cx="2672715" cy="4095750"/>
                    </a:xfrm>
                    <a:prstGeom prst="rect">
                      <a:avLst/>
                    </a:prstGeom>
                  </pic:spPr>
                </pic:pic>
              </a:graphicData>
            </a:graphic>
          </wp:inline>
        </w:drawing>
      </w:r>
      <w:r>
        <w:t xml:space="preserve"> </w:t>
      </w:r>
    </w:p>
    <w:p w14:paraId="3A046C1C" w14:textId="77777777" w:rsidR="000B7ED1" w:rsidRDefault="005740ED">
      <w:pPr>
        <w:spacing w:after="239" w:line="259" w:lineRule="auto"/>
        <w:ind w:left="19" w:right="1"/>
        <w:jc w:val="center"/>
      </w:pPr>
      <w:r>
        <w:rPr>
          <w:i/>
          <w:color w:val="44546A"/>
          <w:sz w:val="18"/>
        </w:rPr>
        <w:t xml:space="preserve">Figure 1: Helios Strategic Socialisation Framework </w:t>
      </w:r>
    </w:p>
    <w:p w14:paraId="56B435F4" w14:textId="77777777" w:rsidR="000B7ED1" w:rsidRDefault="005740ED">
      <w:pPr>
        <w:spacing w:after="0"/>
        <w:ind w:left="-5"/>
      </w:pPr>
      <w:r>
        <w:t xml:space="preserve">Table 2: Helios Strategic Socialisation Framework </w:t>
      </w:r>
    </w:p>
    <w:tbl>
      <w:tblPr>
        <w:tblStyle w:val="TableGrid"/>
        <w:tblW w:w="9018" w:type="dxa"/>
        <w:tblInd w:w="5" w:type="dxa"/>
        <w:tblCellMar>
          <w:top w:w="56" w:type="dxa"/>
          <w:left w:w="108" w:type="dxa"/>
          <w:right w:w="47" w:type="dxa"/>
        </w:tblCellMar>
        <w:tblLook w:val="04A0" w:firstRow="1" w:lastRow="0" w:firstColumn="1" w:lastColumn="0" w:noHBand="0" w:noVBand="1"/>
      </w:tblPr>
      <w:tblGrid>
        <w:gridCol w:w="1886"/>
        <w:gridCol w:w="2722"/>
        <w:gridCol w:w="2043"/>
        <w:gridCol w:w="2367"/>
      </w:tblGrid>
      <w:tr w:rsidR="000B7ED1" w14:paraId="6F034820" w14:textId="77777777">
        <w:trPr>
          <w:trHeight w:val="766"/>
        </w:trPr>
        <w:tc>
          <w:tcPr>
            <w:tcW w:w="1886" w:type="dxa"/>
            <w:tcBorders>
              <w:top w:val="single" w:sz="4" w:space="0" w:color="000000"/>
              <w:left w:val="single" w:sz="4" w:space="0" w:color="000000"/>
              <w:bottom w:val="single" w:sz="4" w:space="0" w:color="000000"/>
              <w:right w:val="single" w:sz="4" w:space="0" w:color="000000"/>
            </w:tcBorders>
          </w:tcPr>
          <w:p w14:paraId="5A86ABEE" w14:textId="77777777" w:rsidR="000B7ED1" w:rsidRDefault="005740ED">
            <w:pPr>
              <w:spacing w:after="0" w:line="259" w:lineRule="auto"/>
              <w:ind w:left="0" w:firstLine="0"/>
            </w:pPr>
            <w:r>
              <w:rPr>
                <w:b/>
              </w:rPr>
              <w:t xml:space="preserve">Stage </w:t>
            </w:r>
          </w:p>
        </w:tc>
        <w:tc>
          <w:tcPr>
            <w:tcW w:w="2722" w:type="dxa"/>
            <w:tcBorders>
              <w:top w:val="single" w:sz="4" w:space="0" w:color="000000"/>
              <w:left w:val="single" w:sz="4" w:space="0" w:color="000000"/>
              <w:bottom w:val="single" w:sz="4" w:space="0" w:color="000000"/>
              <w:right w:val="single" w:sz="4" w:space="0" w:color="000000"/>
            </w:tcBorders>
          </w:tcPr>
          <w:p w14:paraId="7B7E9E94" w14:textId="77777777" w:rsidR="000B7ED1" w:rsidRDefault="005740ED">
            <w:pPr>
              <w:spacing w:after="0" w:line="259" w:lineRule="auto"/>
              <w:ind w:left="0" w:firstLine="0"/>
            </w:pPr>
            <w:r>
              <w:rPr>
                <w:b/>
              </w:rPr>
              <w:t xml:space="preserve">Strategic Activities </w:t>
            </w:r>
          </w:p>
        </w:tc>
        <w:tc>
          <w:tcPr>
            <w:tcW w:w="2043" w:type="dxa"/>
            <w:tcBorders>
              <w:top w:val="single" w:sz="4" w:space="0" w:color="000000"/>
              <w:left w:val="single" w:sz="4" w:space="0" w:color="000000"/>
              <w:bottom w:val="single" w:sz="4" w:space="0" w:color="000000"/>
              <w:right w:val="single" w:sz="4" w:space="0" w:color="000000"/>
            </w:tcBorders>
          </w:tcPr>
          <w:p w14:paraId="43967ACB" w14:textId="77777777" w:rsidR="000B7ED1" w:rsidRDefault="005740ED">
            <w:pPr>
              <w:spacing w:after="0" w:line="259" w:lineRule="auto"/>
              <w:ind w:left="0" w:firstLine="0"/>
            </w:pPr>
            <w:r>
              <w:rPr>
                <w:b/>
              </w:rPr>
              <w:t xml:space="preserve">Supporting </w:t>
            </w:r>
          </w:p>
          <w:p w14:paraId="7EF18E4A" w14:textId="77777777" w:rsidR="000B7ED1" w:rsidRDefault="005740ED">
            <w:pPr>
              <w:spacing w:after="0" w:line="259" w:lineRule="auto"/>
              <w:ind w:left="0" w:firstLine="0"/>
            </w:pPr>
            <w:r>
              <w:rPr>
                <w:b/>
              </w:rPr>
              <w:t xml:space="preserve">Theory </w:t>
            </w:r>
          </w:p>
        </w:tc>
        <w:tc>
          <w:tcPr>
            <w:tcW w:w="2367" w:type="dxa"/>
            <w:tcBorders>
              <w:top w:val="single" w:sz="4" w:space="0" w:color="000000"/>
              <w:left w:val="single" w:sz="4" w:space="0" w:color="000000"/>
              <w:bottom w:val="single" w:sz="4" w:space="0" w:color="000000"/>
              <w:right w:val="single" w:sz="4" w:space="0" w:color="000000"/>
            </w:tcBorders>
          </w:tcPr>
          <w:p w14:paraId="13ECB734" w14:textId="77777777" w:rsidR="000B7ED1" w:rsidRDefault="005740ED">
            <w:pPr>
              <w:spacing w:after="0" w:line="259" w:lineRule="auto"/>
              <w:ind w:left="0" w:firstLine="0"/>
            </w:pPr>
            <w:r>
              <w:rPr>
                <w:b/>
              </w:rPr>
              <w:t xml:space="preserve">Expected </w:t>
            </w:r>
          </w:p>
          <w:p w14:paraId="7B3D055A" w14:textId="77777777" w:rsidR="000B7ED1" w:rsidRDefault="005740ED">
            <w:pPr>
              <w:spacing w:after="0" w:line="259" w:lineRule="auto"/>
              <w:ind w:left="0" w:firstLine="0"/>
            </w:pPr>
            <w:r>
              <w:rPr>
                <w:b/>
              </w:rPr>
              <w:t xml:space="preserve">Outcome </w:t>
            </w:r>
          </w:p>
        </w:tc>
      </w:tr>
      <w:tr w:rsidR="000B7ED1" w14:paraId="0F6154CA" w14:textId="77777777">
        <w:trPr>
          <w:trHeight w:val="1957"/>
        </w:trPr>
        <w:tc>
          <w:tcPr>
            <w:tcW w:w="1886" w:type="dxa"/>
            <w:tcBorders>
              <w:top w:val="single" w:sz="4" w:space="0" w:color="000000"/>
              <w:left w:val="single" w:sz="4" w:space="0" w:color="000000"/>
              <w:bottom w:val="single" w:sz="4" w:space="0" w:color="000000"/>
              <w:right w:val="single" w:sz="4" w:space="0" w:color="000000"/>
            </w:tcBorders>
          </w:tcPr>
          <w:p w14:paraId="6BF2EC55" w14:textId="77777777" w:rsidR="000B7ED1" w:rsidRDefault="005740ED">
            <w:pPr>
              <w:spacing w:after="0" w:line="259" w:lineRule="auto"/>
              <w:ind w:left="0" w:firstLine="0"/>
            </w:pPr>
            <w:r>
              <w:rPr>
                <w:b/>
              </w:rPr>
              <w:t>Pre-boarding</w:t>
            </w:r>
            <w:r>
              <w:t xml:space="preserve"> </w:t>
            </w:r>
          </w:p>
        </w:tc>
        <w:tc>
          <w:tcPr>
            <w:tcW w:w="2722" w:type="dxa"/>
            <w:tcBorders>
              <w:top w:val="single" w:sz="4" w:space="0" w:color="000000"/>
              <w:left w:val="single" w:sz="4" w:space="0" w:color="000000"/>
              <w:bottom w:val="single" w:sz="4" w:space="0" w:color="000000"/>
              <w:right w:val="single" w:sz="4" w:space="0" w:color="000000"/>
            </w:tcBorders>
          </w:tcPr>
          <w:p w14:paraId="61616AB1" w14:textId="77777777" w:rsidR="000B7ED1" w:rsidRDefault="005740ED">
            <w:pPr>
              <w:spacing w:after="0" w:line="259" w:lineRule="auto"/>
              <w:ind w:left="0" w:firstLine="0"/>
            </w:pPr>
            <w:r>
              <w:t xml:space="preserve">Digital welcome portal, AI onboarding assistant, mentor </w:t>
            </w:r>
          </w:p>
          <w:p w14:paraId="71470534" w14:textId="77777777" w:rsidR="000B7ED1" w:rsidRDefault="005740ED">
            <w:pPr>
              <w:spacing w:after="0" w:line="259" w:lineRule="auto"/>
              <w:ind w:left="0" w:firstLine="0"/>
            </w:pPr>
            <w:r>
              <w:t xml:space="preserve">allocation, </w:t>
            </w:r>
          </w:p>
          <w:p w14:paraId="4C9F943A" w14:textId="77777777" w:rsidR="000B7ED1" w:rsidRDefault="005740ED">
            <w:pPr>
              <w:spacing w:after="0" w:line="259" w:lineRule="auto"/>
              <w:ind w:left="0" w:firstLine="0"/>
            </w:pPr>
            <w:r>
              <w:t xml:space="preserve">organisational values briefing </w:t>
            </w:r>
          </w:p>
        </w:tc>
        <w:tc>
          <w:tcPr>
            <w:tcW w:w="2043" w:type="dxa"/>
            <w:tcBorders>
              <w:top w:val="single" w:sz="4" w:space="0" w:color="000000"/>
              <w:left w:val="single" w:sz="4" w:space="0" w:color="000000"/>
              <w:bottom w:val="single" w:sz="4" w:space="0" w:color="000000"/>
              <w:right w:val="single" w:sz="4" w:space="0" w:color="000000"/>
            </w:tcBorders>
          </w:tcPr>
          <w:p w14:paraId="2106441F" w14:textId="77777777" w:rsidR="000B7ED1" w:rsidRDefault="005740ED">
            <w:pPr>
              <w:spacing w:after="0" w:line="259" w:lineRule="auto"/>
              <w:ind w:left="0" w:firstLine="0"/>
            </w:pPr>
            <w:r>
              <w:t xml:space="preserve">Psychological </w:t>
            </w:r>
          </w:p>
          <w:p w14:paraId="087024F1" w14:textId="77777777" w:rsidR="000B7ED1" w:rsidRDefault="005740ED">
            <w:pPr>
              <w:spacing w:after="0" w:line="259" w:lineRule="auto"/>
              <w:ind w:left="0" w:firstLine="0"/>
            </w:pPr>
            <w:r>
              <w:t xml:space="preserve">Contract Theory </w:t>
            </w:r>
          </w:p>
        </w:tc>
        <w:tc>
          <w:tcPr>
            <w:tcW w:w="2367" w:type="dxa"/>
            <w:tcBorders>
              <w:top w:val="single" w:sz="4" w:space="0" w:color="000000"/>
              <w:left w:val="single" w:sz="4" w:space="0" w:color="000000"/>
              <w:bottom w:val="single" w:sz="4" w:space="0" w:color="000000"/>
              <w:right w:val="single" w:sz="4" w:space="0" w:color="000000"/>
            </w:tcBorders>
          </w:tcPr>
          <w:p w14:paraId="5145F68F" w14:textId="77777777" w:rsidR="000B7ED1" w:rsidRDefault="005740ED">
            <w:pPr>
              <w:spacing w:after="0" w:line="259" w:lineRule="auto"/>
              <w:ind w:left="0" w:firstLine="0"/>
            </w:pPr>
            <w:r>
              <w:t xml:space="preserve">Establish realistic expectations and reduce newcomer </w:t>
            </w:r>
          </w:p>
          <w:p w14:paraId="0410B0F5" w14:textId="77777777" w:rsidR="000B7ED1" w:rsidRDefault="005740ED">
            <w:pPr>
              <w:spacing w:after="0" w:line="259" w:lineRule="auto"/>
              <w:ind w:left="0" w:firstLine="0"/>
            </w:pPr>
            <w:r>
              <w:t xml:space="preserve">anxiety </w:t>
            </w:r>
          </w:p>
        </w:tc>
      </w:tr>
      <w:tr w:rsidR="000B7ED1" w14:paraId="4196C2AB" w14:textId="77777777">
        <w:trPr>
          <w:trHeight w:val="1363"/>
        </w:trPr>
        <w:tc>
          <w:tcPr>
            <w:tcW w:w="1886" w:type="dxa"/>
            <w:tcBorders>
              <w:top w:val="single" w:sz="4" w:space="0" w:color="000000"/>
              <w:left w:val="single" w:sz="4" w:space="0" w:color="000000"/>
              <w:bottom w:val="single" w:sz="4" w:space="0" w:color="000000"/>
              <w:right w:val="single" w:sz="4" w:space="0" w:color="000000"/>
            </w:tcBorders>
          </w:tcPr>
          <w:p w14:paraId="23FE7C30" w14:textId="77777777" w:rsidR="000B7ED1" w:rsidRDefault="005740ED">
            <w:pPr>
              <w:spacing w:after="0" w:line="259" w:lineRule="auto"/>
              <w:ind w:left="0" w:firstLine="0"/>
            </w:pPr>
            <w:r>
              <w:rPr>
                <w:b/>
              </w:rPr>
              <w:t>First 30 Days</w:t>
            </w:r>
            <w:r>
              <w:t xml:space="preserve"> </w:t>
            </w:r>
          </w:p>
        </w:tc>
        <w:tc>
          <w:tcPr>
            <w:tcW w:w="2722" w:type="dxa"/>
            <w:tcBorders>
              <w:top w:val="single" w:sz="4" w:space="0" w:color="000000"/>
              <w:left w:val="single" w:sz="4" w:space="0" w:color="000000"/>
              <w:bottom w:val="single" w:sz="4" w:space="0" w:color="000000"/>
              <w:right w:val="single" w:sz="4" w:space="0" w:color="000000"/>
            </w:tcBorders>
          </w:tcPr>
          <w:p w14:paraId="74EEF6C1" w14:textId="77777777" w:rsidR="000B7ED1" w:rsidRDefault="005740ED">
            <w:pPr>
              <w:spacing w:after="0" w:line="259" w:lineRule="auto"/>
              <w:ind w:left="0" w:firstLine="0"/>
            </w:pPr>
            <w:r>
              <w:t xml:space="preserve">Formal induction, role clarification, peer mentoring, ethics orientation </w:t>
            </w:r>
          </w:p>
        </w:tc>
        <w:tc>
          <w:tcPr>
            <w:tcW w:w="2043" w:type="dxa"/>
            <w:tcBorders>
              <w:top w:val="single" w:sz="4" w:space="0" w:color="000000"/>
              <w:left w:val="single" w:sz="4" w:space="0" w:color="000000"/>
              <w:bottom w:val="single" w:sz="4" w:space="0" w:color="000000"/>
              <w:right w:val="single" w:sz="4" w:space="0" w:color="000000"/>
            </w:tcBorders>
          </w:tcPr>
          <w:p w14:paraId="0E7D4898" w14:textId="77777777" w:rsidR="000B7ED1" w:rsidRDefault="005740ED">
            <w:pPr>
              <w:spacing w:after="2" w:line="259" w:lineRule="auto"/>
              <w:ind w:left="0" w:firstLine="0"/>
            </w:pPr>
            <w:r>
              <w:t xml:space="preserve">Van Maanen &amp; </w:t>
            </w:r>
          </w:p>
          <w:p w14:paraId="7756BA12" w14:textId="77777777" w:rsidR="000B7ED1" w:rsidRDefault="005740ED">
            <w:pPr>
              <w:spacing w:after="0" w:line="259" w:lineRule="auto"/>
              <w:ind w:left="0" w:firstLine="0"/>
            </w:pPr>
            <w:r>
              <w:t xml:space="preserve">Schein </w:t>
            </w:r>
          </w:p>
        </w:tc>
        <w:tc>
          <w:tcPr>
            <w:tcW w:w="2367" w:type="dxa"/>
            <w:tcBorders>
              <w:top w:val="single" w:sz="4" w:space="0" w:color="000000"/>
              <w:left w:val="single" w:sz="4" w:space="0" w:color="000000"/>
              <w:bottom w:val="single" w:sz="4" w:space="0" w:color="000000"/>
              <w:right w:val="single" w:sz="4" w:space="0" w:color="000000"/>
            </w:tcBorders>
          </w:tcPr>
          <w:p w14:paraId="552D2FFC" w14:textId="77777777" w:rsidR="000B7ED1" w:rsidRDefault="005740ED">
            <w:pPr>
              <w:spacing w:after="0" w:line="259" w:lineRule="auto"/>
              <w:ind w:left="0" w:firstLine="0"/>
            </w:pPr>
            <w:r>
              <w:t xml:space="preserve">Improve adjustment and role clarity </w:t>
            </w:r>
          </w:p>
        </w:tc>
      </w:tr>
      <w:tr w:rsidR="000B7ED1" w14:paraId="569E7C0F" w14:textId="77777777">
        <w:trPr>
          <w:trHeight w:val="1659"/>
        </w:trPr>
        <w:tc>
          <w:tcPr>
            <w:tcW w:w="1886" w:type="dxa"/>
            <w:tcBorders>
              <w:top w:val="single" w:sz="4" w:space="0" w:color="000000"/>
              <w:left w:val="single" w:sz="4" w:space="0" w:color="000000"/>
              <w:bottom w:val="single" w:sz="4" w:space="0" w:color="000000"/>
              <w:right w:val="single" w:sz="4" w:space="0" w:color="000000"/>
            </w:tcBorders>
          </w:tcPr>
          <w:p w14:paraId="4FB6F815" w14:textId="77777777" w:rsidR="000B7ED1" w:rsidRDefault="005740ED">
            <w:pPr>
              <w:spacing w:after="0" w:line="259" w:lineRule="auto"/>
              <w:ind w:left="0" w:firstLine="0"/>
            </w:pPr>
            <w:r>
              <w:rPr>
                <w:b/>
              </w:rPr>
              <w:t>Days 31–90</w:t>
            </w:r>
            <w:r>
              <w:t xml:space="preserve"> </w:t>
            </w:r>
          </w:p>
        </w:tc>
        <w:tc>
          <w:tcPr>
            <w:tcW w:w="2722" w:type="dxa"/>
            <w:tcBorders>
              <w:top w:val="single" w:sz="4" w:space="0" w:color="000000"/>
              <w:left w:val="single" w:sz="4" w:space="0" w:color="000000"/>
              <w:bottom w:val="single" w:sz="4" w:space="0" w:color="000000"/>
              <w:right w:val="single" w:sz="4" w:space="0" w:color="000000"/>
            </w:tcBorders>
          </w:tcPr>
          <w:p w14:paraId="39580EED" w14:textId="77777777" w:rsidR="000B7ED1" w:rsidRDefault="005740ED">
            <w:pPr>
              <w:spacing w:after="0" w:line="259" w:lineRule="auto"/>
              <w:ind w:left="0" w:firstLine="0"/>
            </w:pPr>
            <w:r>
              <w:t xml:space="preserve">Cross-functional projects, weekly coaching, continuous feedback, innovation workshops </w:t>
            </w:r>
          </w:p>
        </w:tc>
        <w:tc>
          <w:tcPr>
            <w:tcW w:w="2043" w:type="dxa"/>
            <w:tcBorders>
              <w:top w:val="single" w:sz="4" w:space="0" w:color="000000"/>
              <w:left w:val="single" w:sz="4" w:space="0" w:color="000000"/>
              <w:bottom w:val="single" w:sz="4" w:space="0" w:color="000000"/>
              <w:right w:val="single" w:sz="4" w:space="0" w:color="000000"/>
            </w:tcBorders>
          </w:tcPr>
          <w:p w14:paraId="02417703" w14:textId="77777777" w:rsidR="000B7ED1" w:rsidRDefault="005740ED">
            <w:pPr>
              <w:spacing w:after="0" w:line="259" w:lineRule="auto"/>
              <w:ind w:left="0" w:firstLine="0"/>
            </w:pPr>
            <w:r>
              <w:t xml:space="preserve">Identity </w:t>
            </w:r>
          </w:p>
          <w:p w14:paraId="247F6A8F" w14:textId="77777777" w:rsidR="000B7ED1" w:rsidRDefault="005740ED">
            <w:pPr>
              <w:spacing w:after="0" w:line="259" w:lineRule="auto"/>
              <w:ind w:left="0" w:firstLine="0"/>
            </w:pPr>
            <w:r>
              <w:t xml:space="preserve">Construction </w:t>
            </w:r>
          </w:p>
          <w:p w14:paraId="4727B9D5" w14:textId="77777777" w:rsidR="000B7ED1" w:rsidRDefault="005740ED">
            <w:pPr>
              <w:spacing w:after="0" w:line="259" w:lineRule="auto"/>
              <w:ind w:left="0" w:firstLine="0"/>
            </w:pPr>
            <w:r>
              <w:t xml:space="preserve">Theory </w:t>
            </w:r>
          </w:p>
        </w:tc>
        <w:tc>
          <w:tcPr>
            <w:tcW w:w="2367" w:type="dxa"/>
            <w:tcBorders>
              <w:top w:val="single" w:sz="4" w:space="0" w:color="000000"/>
              <w:left w:val="single" w:sz="4" w:space="0" w:color="000000"/>
              <w:bottom w:val="single" w:sz="4" w:space="0" w:color="000000"/>
              <w:right w:val="single" w:sz="4" w:space="0" w:color="000000"/>
            </w:tcBorders>
          </w:tcPr>
          <w:p w14:paraId="5A10EE9A" w14:textId="77777777" w:rsidR="000B7ED1" w:rsidRDefault="005740ED">
            <w:pPr>
              <w:spacing w:after="0" w:line="259" w:lineRule="auto"/>
              <w:ind w:left="0" w:firstLine="0"/>
            </w:pPr>
            <w:r>
              <w:t xml:space="preserve">Strengthen organisational identity and collaboration </w:t>
            </w:r>
          </w:p>
        </w:tc>
      </w:tr>
      <w:tr w:rsidR="000B7ED1" w14:paraId="1C0E48EC" w14:textId="77777777">
        <w:trPr>
          <w:trHeight w:val="1661"/>
        </w:trPr>
        <w:tc>
          <w:tcPr>
            <w:tcW w:w="1886" w:type="dxa"/>
            <w:tcBorders>
              <w:top w:val="single" w:sz="4" w:space="0" w:color="000000"/>
              <w:left w:val="single" w:sz="4" w:space="0" w:color="000000"/>
              <w:bottom w:val="single" w:sz="4" w:space="0" w:color="000000"/>
              <w:right w:val="single" w:sz="4" w:space="0" w:color="000000"/>
            </w:tcBorders>
          </w:tcPr>
          <w:p w14:paraId="190A3DCB" w14:textId="77777777" w:rsidR="000B7ED1" w:rsidRDefault="005740ED">
            <w:pPr>
              <w:spacing w:after="0" w:line="259" w:lineRule="auto"/>
              <w:ind w:left="0" w:firstLine="0"/>
            </w:pPr>
            <w:r>
              <w:rPr>
                <w:b/>
              </w:rPr>
              <w:t>Months 4–12</w:t>
            </w:r>
            <w:r>
              <w:t xml:space="preserve"> </w:t>
            </w:r>
          </w:p>
        </w:tc>
        <w:tc>
          <w:tcPr>
            <w:tcW w:w="2722" w:type="dxa"/>
            <w:tcBorders>
              <w:top w:val="single" w:sz="4" w:space="0" w:color="000000"/>
              <w:left w:val="single" w:sz="4" w:space="0" w:color="000000"/>
              <w:bottom w:val="single" w:sz="4" w:space="0" w:color="000000"/>
              <w:right w:val="single" w:sz="4" w:space="0" w:color="000000"/>
            </w:tcBorders>
          </w:tcPr>
          <w:p w14:paraId="38F14F44" w14:textId="77777777" w:rsidR="000B7ED1" w:rsidRDefault="005740ED">
            <w:pPr>
              <w:spacing w:after="0" w:line="259" w:lineRule="auto"/>
              <w:ind w:left="0" w:firstLine="0"/>
            </w:pPr>
            <w:r>
              <w:t xml:space="preserve">Career planning, leadership mentoring, internal mobility opportunities, innovation challenges </w:t>
            </w:r>
          </w:p>
        </w:tc>
        <w:tc>
          <w:tcPr>
            <w:tcW w:w="2043" w:type="dxa"/>
            <w:tcBorders>
              <w:top w:val="single" w:sz="4" w:space="0" w:color="000000"/>
              <w:left w:val="single" w:sz="4" w:space="0" w:color="000000"/>
              <w:bottom w:val="single" w:sz="4" w:space="0" w:color="000000"/>
              <w:right w:val="single" w:sz="4" w:space="0" w:color="000000"/>
            </w:tcBorders>
          </w:tcPr>
          <w:p w14:paraId="1C7AB83A" w14:textId="77777777" w:rsidR="000B7ED1" w:rsidRDefault="005740ED">
            <w:pPr>
              <w:spacing w:after="2" w:line="259" w:lineRule="auto"/>
              <w:ind w:left="0" w:firstLine="0"/>
            </w:pPr>
            <w:r>
              <w:t xml:space="preserve">Organisational </w:t>
            </w:r>
          </w:p>
          <w:p w14:paraId="2AFA385A" w14:textId="77777777" w:rsidR="000B7ED1" w:rsidRDefault="005740ED">
            <w:pPr>
              <w:spacing w:after="0" w:line="259" w:lineRule="auto"/>
              <w:ind w:left="0" w:firstLine="0"/>
            </w:pPr>
            <w:r>
              <w:t xml:space="preserve">Identification </w:t>
            </w:r>
          </w:p>
        </w:tc>
        <w:tc>
          <w:tcPr>
            <w:tcW w:w="2367" w:type="dxa"/>
            <w:tcBorders>
              <w:top w:val="single" w:sz="4" w:space="0" w:color="000000"/>
              <w:left w:val="single" w:sz="4" w:space="0" w:color="000000"/>
              <w:bottom w:val="single" w:sz="4" w:space="0" w:color="000000"/>
              <w:right w:val="single" w:sz="4" w:space="0" w:color="000000"/>
            </w:tcBorders>
          </w:tcPr>
          <w:p w14:paraId="5C509FC6" w14:textId="77777777" w:rsidR="000B7ED1" w:rsidRDefault="005740ED">
            <w:pPr>
              <w:spacing w:after="0" w:line="259" w:lineRule="auto"/>
              <w:ind w:left="0" w:firstLine="0"/>
            </w:pPr>
            <w:r>
              <w:t xml:space="preserve">Increase engagement, retention and organisational citizenship </w:t>
            </w:r>
          </w:p>
        </w:tc>
      </w:tr>
      <w:tr w:rsidR="000B7ED1" w14:paraId="2177AF42" w14:textId="77777777">
        <w:trPr>
          <w:trHeight w:val="1659"/>
        </w:trPr>
        <w:tc>
          <w:tcPr>
            <w:tcW w:w="1886" w:type="dxa"/>
            <w:tcBorders>
              <w:top w:val="single" w:sz="4" w:space="0" w:color="000000"/>
              <w:left w:val="single" w:sz="4" w:space="0" w:color="000000"/>
              <w:bottom w:val="single" w:sz="4" w:space="0" w:color="000000"/>
              <w:right w:val="single" w:sz="4" w:space="0" w:color="000000"/>
            </w:tcBorders>
          </w:tcPr>
          <w:p w14:paraId="6B103EFA" w14:textId="77777777" w:rsidR="000B7ED1" w:rsidRDefault="005740ED">
            <w:pPr>
              <w:spacing w:after="0" w:line="259" w:lineRule="auto"/>
              <w:ind w:left="0" w:firstLine="0"/>
            </w:pPr>
            <w:r>
              <w:rPr>
                <w:b/>
              </w:rPr>
              <w:t xml:space="preserve">Continuous </w:t>
            </w:r>
          </w:p>
          <w:p w14:paraId="694CF454" w14:textId="77777777" w:rsidR="000B7ED1" w:rsidRDefault="005740ED">
            <w:pPr>
              <w:spacing w:after="0" w:line="259" w:lineRule="auto"/>
              <w:ind w:left="0" w:firstLine="0"/>
            </w:pPr>
            <w:r>
              <w:rPr>
                <w:b/>
              </w:rPr>
              <w:t>Development</w:t>
            </w:r>
            <w:r>
              <w:t xml:space="preserve"> </w:t>
            </w:r>
          </w:p>
        </w:tc>
        <w:tc>
          <w:tcPr>
            <w:tcW w:w="2722" w:type="dxa"/>
            <w:tcBorders>
              <w:top w:val="single" w:sz="4" w:space="0" w:color="000000"/>
              <w:left w:val="single" w:sz="4" w:space="0" w:color="000000"/>
              <w:bottom w:val="single" w:sz="4" w:space="0" w:color="000000"/>
              <w:right w:val="single" w:sz="4" w:space="0" w:color="000000"/>
            </w:tcBorders>
          </w:tcPr>
          <w:p w14:paraId="48462FEE" w14:textId="77777777" w:rsidR="000B7ED1" w:rsidRDefault="005740ED">
            <w:pPr>
              <w:spacing w:after="0" w:line="259" w:lineRule="auto"/>
              <w:ind w:left="0" w:firstLine="0"/>
            </w:pPr>
            <w:r>
              <w:t xml:space="preserve">Responsible AI </w:t>
            </w:r>
          </w:p>
          <w:p w14:paraId="47A98923" w14:textId="77777777" w:rsidR="000B7ED1" w:rsidRDefault="005740ED">
            <w:pPr>
              <w:spacing w:after="0" w:line="259" w:lineRule="auto"/>
              <w:ind w:left="0" w:firstLine="0"/>
            </w:pPr>
            <w:r>
              <w:t xml:space="preserve">learning, stakeholder engagement and </w:t>
            </w:r>
          </w:p>
          <w:p w14:paraId="4DFEEF16" w14:textId="77777777" w:rsidR="000B7ED1" w:rsidRDefault="005740ED">
            <w:pPr>
              <w:spacing w:after="0" w:line="259" w:lineRule="auto"/>
              <w:ind w:left="0" w:firstLine="0"/>
            </w:pPr>
            <w:r>
              <w:t xml:space="preserve">business activism initiatives </w:t>
            </w:r>
          </w:p>
        </w:tc>
        <w:tc>
          <w:tcPr>
            <w:tcW w:w="2043" w:type="dxa"/>
            <w:tcBorders>
              <w:top w:val="single" w:sz="4" w:space="0" w:color="000000"/>
              <w:left w:val="single" w:sz="4" w:space="0" w:color="000000"/>
              <w:bottom w:val="single" w:sz="4" w:space="0" w:color="000000"/>
              <w:right w:val="single" w:sz="4" w:space="0" w:color="000000"/>
            </w:tcBorders>
          </w:tcPr>
          <w:p w14:paraId="482703FF" w14:textId="77777777" w:rsidR="000B7ED1" w:rsidRDefault="005740ED">
            <w:pPr>
              <w:spacing w:after="0" w:line="259" w:lineRule="auto"/>
              <w:ind w:left="0" w:firstLine="0"/>
            </w:pPr>
            <w:r>
              <w:t xml:space="preserve">Ulrich's Business </w:t>
            </w:r>
          </w:p>
          <w:p w14:paraId="1BD121C9" w14:textId="77777777" w:rsidR="000B7ED1" w:rsidRDefault="005740ED">
            <w:pPr>
              <w:spacing w:after="0" w:line="259" w:lineRule="auto"/>
              <w:ind w:left="0" w:firstLine="0"/>
            </w:pPr>
            <w:r>
              <w:t xml:space="preserve">Activist </w:t>
            </w:r>
          </w:p>
          <w:p w14:paraId="4109CED2" w14:textId="77777777" w:rsidR="000B7ED1" w:rsidRDefault="005740ED">
            <w:pPr>
              <w:spacing w:after="0" w:line="259" w:lineRule="auto"/>
              <w:ind w:left="0" w:firstLine="0"/>
            </w:pPr>
            <w:r>
              <w:t xml:space="preserve">Perspective </w:t>
            </w:r>
          </w:p>
        </w:tc>
        <w:tc>
          <w:tcPr>
            <w:tcW w:w="2367" w:type="dxa"/>
            <w:tcBorders>
              <w:top w:val="single" w:sz="4" w:space="0" w:color="000000"/>
              <w:left w:val="single" w:sz="4" w:space="0" w:color="000000"/>
              <w:bottom w:val="single" w:sz="4" w:space="0" w:color="000000"/>
              <w:right w:val="single" w:sz="4" w:space="0" w:color="000000"/>
            </w:tcBorders>
          </w:tcPr>
          <w:p w14:paraId="30502DF9" w14:textId="77777777" w:rsidR="000B7ED1" w:rsidRDefault="005740ED">
            <w:pPr>
              <w:spacing w:after="0" w:line="259" w:lineRule="auto"/>
              <w:ind w:left="0" w:firstLine="0"/>
            </w:pPr>
            <w:r>
              <w:t xml:space="preserve">Develop ethically responsible and </w:t>
            </w:r>
          </w:p>
          <w:p w14:paraId="0F008193" w14:textId="77777777" w:rsidR="000B7ED1" w:rsidRDefault="005740ED">
            <w:pPr>
              <w:spacing w:after="0" w:line="259" w:lineRule="auto"/>
              <w:ind w:left="0" w:right="47" w:firstLine="0"/>
            </w:pPr>
            <w:r>
              <w:t xml:space="preserve">strategically engaged employees </w:t>
            </w:r>
          </w:p>
        </w:tc>
      </w:tr>
    </w:tbl>
    <w:p w14:paraId="078B3C10" w14:textId="77777777" w:rsidR="000B7ED1" w:rsidRDefault="005740ED">
      <w:pPr>
        <w:spacing w:after="196" w:line="259" w:lineRule="auto"/>
        <w:ind w:left="0" w:firstLine="0"/>
      </w:pPr>
      <w:r>
        <w:t xml:space="preserve"> </w:t>
      </w:r>
    </w:p>
    <w:p w14:paraId="038BF76D" w14:textId="77777777" w:rsidR="000B7ED1" w:rsidRDefault="005740ED">
      <w:pPr>
        <w:pStyle w:val="Heading2"/>
        <w:ind w:left="-5"/>
      </w:pPr>
      <w:bookmarkStart w:id="5" w:name="_Toc21021"/>
      <w:r>
        <w:t xml:space="preserve">Fostering Organisational Identification, Ethical Professionalism and a Business Activist Mindset </w:t>
      </w:r>
      <w:bookmarkEnd w:id="5"/>
    </w:p>
    <w:p w14:paraId="2B9FBA42" w14:textId="77777777" w:rsidR="000B7ED1" w:rsidRDefault="005740ED">
      <w:pPr>
        <w:ind w:left="-5"/>
      </w:pPr>
      <w:r>
        <w:t xml:space="preserve">Finally, successful socialisation should lead to organisational identification, which is when workers feel that organisational success is a part of their identity. When an employee has high organisational identification, he feels that organisational goals are meaningful to him, which leads to higher levels of engagement, discretionary effort, and knowledge sharing behaviours (Ashforth et al., 2023). </w:t>
      </w:r>
    </w:p>
    <w:p w14:paraId="29B94F84" w14:textId="77777777" w:rsidR="000B7ED1" w:rsidRDefault="005740ED">
      <w:pPr>
        <w:ind w:left="-5"/>
      </w:pPr>
      <w:r>
        <w:t xml:space="preserve">Helios' organisation should not only focus on commercial performance but on its mission to provide sustainable AI-powered urban mobility. Through relating work tasks with both sustainability and smart-city innovation and public value, people can feel deeper emotional commitment to the organisation's goals and this can help them feel more committed to the organisation and remain longer. </w:t>
      </w:r>
    </w:p>
    <w:p w14:paraId="452C571D" w14:textId="77777777" w:rsidR="000B7ED1" w:rsidRDefault="005740ED">
      <w:pPr>
        <w:ind w:left="-5"/>
      </w:pPr>
      <w:r>
        <w:t xml:space="preserve">Ethical professionalism should also be developed through strategic socialisation. As Helios advances in AI-driven transport solutions, workers need moral sensibilities around accountability for algorithms, responsible innovation, data governance, and trust among stakeholders. By incorporating ethical reflection into socialisation, employees understand that their responsibilities go beyond job tasks and beyond the company (CIPD, 2024). </w:t>
      </w:r>
    </w:p>
    <w:p w14:paraId="5116DD68" w14:textId="77777777" w:rsidR="000B7ED1" w:rsidRDefault="005740ED">
      <w:pPr>
        <w:spacing w:after="0"/>
        <w:ind w:left="-5"/>
      </w:pPr>
      <w:r>
        <w:t xml:space="preserve">Moreover, today's organisations demand business activists, individuals with a mindset focused on work. Business activism builds on the Human Resource Business Partner model and stakeholder capitalism, urging employees to question practices that are not working and to propose organizational changes and responsible decision-making that considers commercial success alongside societal </w:t>
      </w:r>
    </w:p>
    <w:p w14:paraId="7538D1DE" w14:textId="77777777" w:rsidR="000B7ED1" w:rsidRDefault="005740ED">
      <w:pPr>
        <w:ind w:left="-5"/>
      </w:pPr>
      <w:r>
        <w:t xml:space="preserve">benefit (Ulrich &amp; Dulebohn, 2024). Business activism is a different type of organisational citizenship behaviour, in that it promotes a more positive approach to challenging the organisation in a constructive way, rather than in a passive one. This method, however, needs psychologically safe workplaces where staff members can challenge the status quo without repercussions. </w:t>
      </w:r>
    </w:p>
    <w:p w14:paraId="1FD831DA" w14:textId="77777777" w:rsidR="000B7ED1" w:rsidRDefault="005740ED">
      <w:pPr>
        <w:spacing w:after="196" w:line="259" w:lineRule="auto"/>
        <w:ind w:left="0" w:firstLine="0"/>
      </w:pPr>
      <w:r>
        <w:t xml:space="preserve"> </w:t>
      </w:r>
    </w:p>
    <w:p w14:paraId="43FD49F1" w14:textId="77777777" w:rsidR="000B7ED1" w:rsidRDefault="005740ED">
      <w:pPr>
        <w:pStyle w:val="Heading2"/>
        <w:ind w:left="455" w:hanging="470"/>
      </w:pPr>
      <w:bookmarkStart w:id="6" w:name="_Toc21022"/>
      <w:r>
        <w:t xml:space="preserve">Critical Synthesis </w:t>
      </w:r>
      <w:bookmarkEnd w:id="6"/>
    </w:p>
    <w:p w14:paraId="670A82E8" w14:textId="77777777" w:rsidR="000B7ED1" w:rsidRDefault="005740ED">
      <w:pPr>
        <w:ind w:left="-5"/>
      </w:pPr>
      <w:r>
        <w:t>These theories together show that the integration of employees must be regarded as a strategic organizational competence in the organization and not an ad hoc administrative task. Traditional onboarding enhances preparedness for operations, but it is unlikely to foster long-term organisational commitment. Psychological Contract Theory emphasizes the role of managing reciprocal expectations, Identity Construction Theory suggests employees' identity can be constructed through social interaction, and Van Maane</w:t>
      </w:r>
      <w:r>
        <w:t xml:space="preserve">n and Schein offer structured ways that help employees adjust to organisations. Socialisation continues through organisational identification, ethical professionalism and business activism, which turn new employees into dedicated members of the organisation who can advance innovation and sound decision-making. </w:t>
      </w:r>
    </w:p>
    <w:p w14:paraId="194CEEC0" w14:textId="77777777" w:rsidR="000B7ED1" w:rsidRDefault="005740ED">
      <w:pPr>
        <w:ind w:left="-5"/>
      </w:pPr>
      <w:r>
        <w:t xml:space="preserve">Helios Urban Mobility's findings suggest that a combination of different socialisation systems is needed to improve retention and engagement, from pre-boarding to the first year of employment. The following Helios Socialisation Framework brings these theoretical understandings into a structured strategic model that would help to lower the time to integration, improve organisational identification, and build ethically responsible professionals who can support the future growth of the organisation. </w:t>
      </w:r>
    </w:p>
    <w:p w14:paraId="377007E1" w14:textId="77777777" w:rsidR="000B7ED1" w:rsidRDefault="005740ED">
      <w:pPr>
        <w:spacing w:after="0" w:line="259" w:lineRule="auto"/>
        <w:ind w:left="0" w:firstLine="0"/>
      </w:pPr>
      <w:r>
        <w:t xml:space="preserve"> </w:t>
      </w:r>
    </w:p>
    <w:p w14:paraId="5FEB0B31" w14:textId="77777777" w:rsidR="000B7ED1" w:rsidRDefault="005740ED">
      <w:pPr>
        <w:pStyle w:val="Heading1"/>
        <w:spacing w:after="84"/>
        <w:ind w:left="-5"/>
      </w:pPr>
      <w:bookmarkStart w:id="7" w:name="_Toc21023"/>
      <w:r>
        <w:t xml:space="preserve">Task B: Strategic Renewal Innovative Job Architecture Design </w:t>
      </w:r>
      <w:bookmarkEnd w:id="7"/>
    </w:p>
    <w:p w14:paraId="57194971" w14:textId="77777777" w:rsidR="000B7ED1" w:rsidRDefault="005740ED">
      <w:pPr>
        <w:pStyle w:val="Heading2"/>
        <w:ind w:left="455" w:hanging="470"/>
      </w:pPr>
      <w:bookmarkStart w:id="8" w:name="_Toc21024"/>
      <w:r>
        <w:t xml:space="preserve">Reimagining Job Design for Strategic Human Capital </w:t>
      </w:r>
      <w:bookmarkEnd w:id="8"/>
    </w:p>
    <w:p w14:paraId="00234A73" w14:textId="77777777" w:rsidR="000B7ED1" w:rsidRDefault="005740ED">
      <w:pPr>
        <w:spacing w:after="107"/>
        <w:ind w:left="-5"/>
      </w:pPr>
      <w:r>
        <w:t>Organisations have seen the transformation of their work design, thanks to the fast uptake of Artificial Intelligence (AI), digital collaboration and growing demands of the workforce. Fixed job design and traditional career structures are no longer flexible enough to ensure innovation and employee engagement. Low engagement and high rates of turnover among graduates suggest poor utilization of employee capabilities for Helios Urban Mobility (HUM). Thus, Helios needs to build an integrated job architecture t</w:t>
      </w:r>
      <w:r>
        <w:t xml:space="preserve">hat blends enriched job design, employee autonomy, skills-based work deployment, and AI to bolster organizational agility and longer-term performance (Deloitte, 2024; World Economic Forum, 2025). </w:t>
      </w:r>
    </w:p>
    <w:p w14:paraId="64EBBB72" w14:textId="77777777" w:rsidR="000B7ED1" w:rsidRDefault="005740ED">
      <w:pPr>
        <w:spacing w:after="55" w:line="259" w:lineRule="auto"/>
        <w:ind w:left="77" w:firstLine="0"/>
        <w:jc w:val="center"/>
      </w:pPr>
      <w:r>
        <w:rPr>
          <w:noProof/>
        </w:rPr>
        <w:drawing>
          <wp:inline distT="0" distB="0" distL="0" distR="0" wp14:anchorId="31E2C198" wp14:editId="6329A089">
            <wp:extent cx="2950210" cy="4139565"/>
            <wp:effectExtent l="0" t="0" r="0" b="0"/>
            <wp:docPr id="1147" name="Picture 1147"/>
            <wp:cNvGraphicFramePr/>
            <a:graphic xmlns:a="http://schemas.openxmlformats.org/drawingml/2006/main">
              <a:graphicData uri="http://schemas.openxmlformats.org/drawingml/2006/picture">
                <pic:pic xmlns:pic="http://schemas.openxmlformats.org/drawingml/2006/picture">
                  <pic:nvPicPr>
                    <pic:cNvPr id="1147" name="Picture 1147"/>
                    <pic:cNvPicPr/>
                  </pic:nvPicPr>
                  <pic:blipFill>
                    <a:blip r:embed="rId12"/>
                    <a:stretch>
                      <a:fillRect/>
                    </a:stretch>
                  </pic:blipFill>
                  <pic:spPr>
                    <a:xfrm>
                      <a:off x="0" y="0"/>
                      <a:ext cx="2950210" cy="4139565"/>
                    </a:xfrm>
                    <a:prstGeom prst="rect">
                      <a:avLst/>
                    </a:prstGeom>
                  </pic:spPr>
                </pic:pic>
              </a:graphicData>
            </a:graphic>
          </wp:inline>
        </w:drawing>
      </w:r>
      <w:r>
        <w:t xml:space="preserve"> </w:t>
      </w:r>
    </w:p>
    <w:p w14:paraId="428301EC" w14:textId="77777777" w:rsidR="000B7ED1" w:rsidRDefault="005740ED">
      <w:pPr>
        <w:spacing w:after="239" w:line="259" w:lineRule="auto"/>
        <w:ind w:left="19"/>
        <w:jc w:val="center"/>
      </w:pPr>
      <w:r>
        <w:rPr>
          <w:i/>
          <w:color w:val="44546A"/>
          <w:sz w:val="18"/>
        </w:rPr>
        <w:t xml:space="preserve">Figure 2: Helios Human Capital Architecture for Strategic Renewal </w:t>
      </w:r>
    </w:p>
    <w:p w14:paraId="36ED861D" w14:textId="77777777" w:rsidR="000B7ED1" w:rsidRDefault="005740ED">
      <w:pPr>
        <w:spacing w:after="196" w:line="259" w:lineRule="auto"/>
        <w:ind w:left="0" w:firstLine="0"/>
      </w:pPr>
      <w:r>
        <w:t xml:space="preserve"> </w:t>
      </w:r>
    </w:p>
    <w:p w14:paraId="513ED609" w14:textId="77777777" w:rsidR="000B7ED1" w:rsidRDefault="005740ED">
      <w:pPr>
        <w:pStyle w:val="Heading2"/>
        <w:ind w:left="455" w:hanging="470"/>
      </w:pPr>
      <w:bookmarkStart w:id="9" w:name="_Toc21025"/>
      <w:r>
        <w:t xml:space="preserve">Job Characteristics Model: Strengthening Intrinsic Motivation </w:t>
      </w:r>
      <w:bookmarkEnd w:id="9"/>
    </w:p>
    <w:p w14:paraId="72A5E664" w14:textId="77777777" w:rsidR="000B7ED1" w:rsidRDefault="005740ED">
      <w:pPr>
        <w:ind w:left="-5"/>
      </w:pPr>
      <w:r>
        <w:t xml:space="preserve">The Job Characteristics Model (JCM) suggests that five factors of the job – skill variety, task identity, task significance, autonomy, and feedback – increase intrinsic motivation and work performance (Hackman &amp; Oldham, 1976). Enriched work positively correlates with employees' engagement, creativity, and innovative work behaviour, especially in knowledge-intensive organisations (Wang et al., 2023; Parker, Knight &amp; Ohly, 2024). </w:t>
      </w:r>
    </w:p>
    <w:p w14:paraId="61848356" w14:textId="77777777" w:rsidR="000B7ED1" w:rsidRDefault="005740ED">
      <w:pPr>
        <w:ind w:left="-5"/>
      </w:pPr>
      <w:r>
        <w:t xml:space="preserve">Multidisciplinary projects, end-to-end ownership of innovation projects, more autonomy in decision-making and continuous digital feedback should be integrated into engineering and AI jobs at Helios. Connecting employee contributions to sustainable urban mobility would also give tasks a greater meaning and meaning to work. </w:t>
      </w:r>
    </w:p>
    <w:p w14:paraId="33AF6192" w14:textId="77777777" w:rsidR="000B7ED1" w:rsidRDefault="005740ED">
      <w:pPr>
        <w:ind w:left="-5"/>
      </w:pPr>
      <w:r>
        <w:t xml:space="preserve">While highly relevant, JCM assumes that employees react the same way to enriched work, and overlooks the reality of hybrid work or AI-assisted collaboration. Thus, it should be supplemented by more flexible approaches that can meet the needs of various employees and rapidly changing organisational needs (Parker et al., 2024). </w:t>
      </w:r>
    </w:p>
    <w:p w14:paraId="6A3EE405" w14:textId="77777777" w:rsidR="000B7ED1" w:rsidRDefault="005740ED">
      <w:pPr>
        <w:spacing w:after="0"/>
        <w:ind w:left="-5"/>
      </w:pPr>
      <w:r>
        <w:t xml:space="preserve">Table 3: Application of the Job Characteristics Model at Helios Urban Mobility </w:t>
      </w:r>
    </w:p>
    <w:tbl>
      <w:tblPr>
        <w:tblStyle w:val="TableGrid"/>
        <w:tblW w:w="9018" w:type="dxa"/>
        <w:tblInd w:w="5" w:type="dxa"/>
        <w:tblCellMar>
          <w:top w:w="56" w:type="dxa"/>
          <w:left w:w="106" w:type="dxa"/>
          <w:right w:w="60" w:type="dxa"/>
        </w:tblCellMar>
        <w:tblLook w:val="04A0" w:firstRow="1" w:lastRow="0" w:firstColumn="1" w:lastColumn="0" w:noHBand="0" w:noVBand="1"/>
      </w:tblPr>
      <w:tblGrid>
        <w:gridCol w:w="1882"/>
        <w:gridCol w:w="2705"/>
        <w:gridCol w:w="2220"/>
        <w:gridCol w:w="2211"/>
      </w:tblGrid>
      <w:tr w:rsidR="000B7ED1" w14:paraId="214726A7" w14:textId="77777777">
        <w:trPr>
          <w:trHeight w:val="1063"/>
        </w:trPr>
        <w:tc>
          <w:tcPr>
            <w:tcW w:w="1882" w:type="dxa"/>
            <w:tcBorders>
              <w:top w:val="single" w:sz="4" w:space="0" w:color="000000"/>
              <w:left w:val="single" w:sz="4" w:space="0" w:color="000000"/>
              <w:bottom w:val="single" w:sz="4" w:space="0" w:color="000000"/>
              <w:right w:val="single" w:sz="4" w:space="0" w:color="000000"/>
            </w:tcBorders>
          </w:tcPr>
          <w:p w14:paraId="09BE86AF" w14:textId="77777777" w:rsidR="000B7ED1" w:rsidRDefault="005740ED">
            <w:pPr>
              <w:spacing w:after="0" w:line="259" w:lineRule="auto"/>
              <w:ind w:left="2" w:firstLine="0"/>
            </w:pPr>
            <w:r>
              <w:rPr>
                <w:b/>
              </w:rPr>
              <w:t xml:space="preserve">Job </w:t>
            </w:r>
          </w:p>
          <w:p w14:paraId="6D41AC81" w14:textId="77777777" w:rsidR="000B7ED1" w:rsidRDefault="005740ED">
            <w:pPr>
              <w:spacing w:after="0" w:line="259" w:lineRule="auto"/>
              <w:ind w:left="2" w:firstLine="0"/>
              <w:jc w:val="both"/>
            </w:pPr>
            <w:r>
              <w:rPr>
                <w:b/>
              </w:rPr>
              <w:t xml:space="preserve">Characteristic </w:t>
            </w:r>
          </w:p>
        </w:tc>
        <w:tc>
          <w:tcPr>
            <w:tcW w:w="2705" w:type="dxa"/>
            <w:tcBorders>
              <w:top w:val="single" w:sz="4" w:space="0" w:color="000000"/>
              <w:left w:val="single" w:sz="4" w:space="0" w:color="000000"/>
              <w:bottom w:val="single" w:sz="4" w:space="0" w:color="000000"/>
              <w:right w:val="single" w:sz="4" w:space="0" w:color="000000"/>
            </w:tcBorders>
          </w:tcPr>
          <w:p w14:paraId="0B83D544" w14:textId="77777777" w:rsidR="000B7ED1" w:rsidRDefault="005740ED">
            <w:pPr>
              <w:spacing w:after="0" w:line="259" w:lineRule="auto"/>
              <w:ind w:left="2" w:firstLine="0"/>
            </w:pPr>
            <w:r>
              <w:rPr>
                <w:b/>
              </w:rPr>
              <w:t xml:space="preserve">Application at Helios </w:t>
            </w:r>
          </w:p>
        </w:tc>
        <w:tc>
          <w:tcPr>
            <w:tcW w:w="2220" w:type="dxa"/>
            <w:tcBorders>
              <w:top w:val="single" w:sz="4" w:space="0" w:color="000000"/>
              <w:left w:val="single" w:sz="4" w:space="0" w:color="000000"/>
              <w:bottom w:val="single" w:sz="4" w:space="0" w:color="000000"/>
              <w:right w:val="single" w:sz="4" w:space="0" w:color="000000"/>
            </w:tcBorders>
          </w:tcPr>
          <w:p w14:paraId="5B9943AE" w14:textId="77777777" w:rsidR="000B7ED1" w:rsidRDefault="005740ED">
            <w:pPr>
              <w:spacing w:after="0" w:line="259" w:lineRule="auto"/>
              <w:ind w:left="0" w:firstLine="0"/>
            </w:pPr>
            <w:r>
              <w:rPr>
                <w:b/>
              </w:rPr>
              <w:t xml:space="preserve">Expected </w:t>
            </w:r>
          </w:p>
          <w:p w14:paraId="21C649F9" w14:textId="77777777" w:rsidR="000B7ED1" w:rsidRDefault="005740ED">
            <w:pPr>
              <w:spacing w:after="0" w:line="259" w:lineRule="auto"/>
              <w:ind w:left="0" w:firstLine="0"/>
            </w:pPr>
            <w:r>
              <w:rPr>
                <w:b/>
              </w:rPr>
              <w:t xml:space="preserve">Employee </w:t>
            </w:r>
          </w:p>
          <w:p w14:paraId="4F108E2D" w14:textId="77777777" w:rsidR="000B7ED1" w:rsidRDefault="005740ED">
            <w:pPr>
              <w:spacing w:after="0" w:line="259" w:lineRule="auto"/>
              <w:ind w:left="0" w:firstLine="0"/>
            </w:pPr>
            <w:r>
              <w:rPr>
                <w:b/>
              </w:rPr>
              <w:t xml:space="preserve">Outcome </w:t>
            </w:r>
          </w:p>
        </w:tc>
        <w:tc>
          <w:tcPr>
            <w:tcW w:w="2211" w:type="dxa"/>
            <w:tcBorders>
              <w:top w:val="single" w:sz="4" w:space="0" w:color="000000"/>
              <w:left w:val="single" w:sz="4" w:space="0" w:color="000000"/>
              <w:bottom w:val="single" w:sz="4" w:space="0" w:color="000000"/>
              <w:right w:val="single" w:sz="4" w:space="0" w:color="000000"/>
            </w:tcBorders>
          </w:tcPr>
          <w:p w14:paraId="492B4171" w14:textId="77777777" w:rsidR="000B7ED1" w:rsidRDefault="005740ED">
            <w:pPr>
              <w:spacing w:after="0" w:line="259" w:lineRule="auto"/>
              <w:ind w:left="2" w:firstLine="0"/>
            </w:pPr>
            <w:r>
              <w:rPr>
                <w:b/>
              </w:rPr>
              <w:t xml:space="preserve">Strategic </w:t>
            </w:r>
          </w:p>
          <w:p w14:paraId="1B7A77E0" w14:textId="77777777" w:rsidR="000B7ED1" w:rsidRDefault="005740ED">
            <w:pPr>
              <w:spacing w:after="0" w:line="259" w:lineRule="auto"/>
              <w:ind w:left="2" w:firstLine="0"/>
            </w:pPr>
            <w:r>
              <w:rPr>
                <w:b/>
              </w:rPr>
              <w:t xml:space="preserve">Organisational </w:t>
            </w:r>
          </w:p>
          <w:p w14:paraId="44558E76" w14:textId="77777777" w:rsidR="000B7ED1" w:rsidRDefault="005740ED">
            <w:pPr>
              <w:spacing w:after="0" w:line="259" w:lineRule="auto"/>
              <w:ind w:left="2" w:firstLine="0"/>
            </w:pPr>
            <w:r>
              <w:rPr>
                <w:b/>
              </w:rPr>
              <w:t xml:space="preserve">Benefit </w:t>
            </w:r>
          </w:p>
        </w:tc>
      </w:tr>
      <w:tr w:rsidR="000B7ED1" w14:paraId="351E02A8" w14:textId="77777777">
        <w:trPr>
          <w:trHeight w:val="1063"/>
        </w:trPr>
        <w:tc>
          <w:tcPr>
            <w:tcW w:w="1882" w:type="dxa"/>
            <w:tcBorders>
              <w:top w:val="single" w:sz="4" w:space="0" w:color="000000"/>
              <w:left w:val="single" w:sz="4" w:space="0" w:color="000000"/>
              <w:bottom w:val="single" w:sz="4" w:space="0" w:color="000000"/>
              <w:right w:val="single" w:sz="4" w:space="0" w:color="000000"/>
            </w:tcBorders>
          </w:tcPr>
          <w:p w14:paraId="41A289B8" w14:textId="77777777" w:rsidR="000B7ED1" w:rsidRDefault="005740ED">
            <w:pPr>
              <w:spacing w:after="0" w:line="259" w:lineRule="auto"/>
              <w:ind w:left="2" w:firstLine="0"/>
            </w:pPr>
            <w:r>
              <w:t xml:space="preserve">Skill Variety </w:t>
            </w:r>
          </w:p>
        </w:tc>
        <w:tc>
          <w:tcPr>
            <w:tcW w:w="2705" w:type="dxa"/>
            <w:tcBorders>
              <w:top w:val="single" w:sz="4" w:space="0" w:color="000000"/>
              <w:left w:val="single" w:sz="4" w:space="0" w:color="000000"/>
              <w:bottom w:val="single" w:sz="4" w:space="0" w:color="000000"/>
              <w:right w:val="single" w:sz="4" w:space="0" w:color="000000"/>
            </w:tcBorders>
          </w:tcPr>
          <w:p w14:paraId="138A2267" w14:textId="77777777" w:rsidR="000B7ED1" w:rsidRDefault="005740ED">
            <w:pPr>
              <w:spacing w:after="0" w:line="259" w:lineRule="auto"/>
              <w:ind w:left="2" w:firstLine="0"/>
            </w:pPr>
            <w:r>
              <w:t xml:space="preserve">Participation in multidisciplinary AI and sustainability projects </w:t>
            </w:r>
          </w:p>
        </w:tc>
        <w:tc>
          <w:tcPr>
            <w:tcW w:w="2220" w:type="dxa"/>
            <w:tcBorders>
              <w:top w:val="single" w:sz="4" w:space="0" w:color="000000"/>
              <w:left w:val="single" w:sz="4" w:space="0" w:color="000000"/>
              <w:bottom w:val="single" w:sz="4" w:space="0" w:color="000000"/>
              <w:right w:val="single" w:sz="4" w:space="0" w:color="000000"/>
            </w:tcBorders>
          </w:tcPr>
          <w:p w14:paraId="355672A1" w14:textId="77777777" w:rsidR="000B7ED1" w:rsidRDefault="005740ED">
            <w:pPr>
              <w:spacing w:after="0" w:line="259" w:lineRule="auto"/>
              <w:ind w:left="0" w:firstLine="0"/>
            </w:pPr>
            <w:r>
              <w:t xml:space="preserve">Increased learning and engagement </w:t>
            </w:r>
          </w:p>
        </w:tc>
        <w:tc>
          <w:tcPr>
            <w:tcW w:w="2211" w:type="dxa"/>
            <w:tcBorders>
              <w:top w:val="single" w:sz="4" w:space="0" w:color="000000"/>
              <w:left w:val="single" w:sz="4" w:space="0" w:color="000000"/>
              <w:bottom w:val="single" w:sz="4" w:space="0" w:color="000000"/>
              <w:right w:val="single" w:sz="4" w:space="0" w:color="000000"/>
            </w:tcBorders>
          </w:tcPr>
          <w:p w14:paraId="50786095" w14:textId="77777777" w:rsidR="000B7ED1" w:rsidRDefault="005740ED">
            <w:pPr>
              <w:spacing w:after="0" w:line="259" w:lineRule="auto"/>
              <w:ind w:left="2" w:firstLine="0"/>
            </w:pPr>
            <w:r>
              <w:t xml:space="preserve">Greater innovation capability </w:t>
            </w:r>
          </w:p>
        </w:tc>
      </w:tr>
      <w:tr w:rsidR="000B7ED1" w14:paraId="7DFCF807" w14:textId="77777777">
        <w:trPr>
          <w:trHeight w:val="1064"/>
        </w:trPr>
        <w:tc>
          <w:tcPr>
            <w:tcW w:w="1882" w:type="dxa"/>
            <w:tcBorders>
              <w:top w:val="single" w:sz="4" w:space="0" w:color="000000"/>
              <w:left w:val="single" w:sz="4" w:space="0" w:color="000000"/>
              <w:bottom w:val="single" w:sz="4" w:space="0" w:color="000000"/>
              <w:right w:val="single" w:sz="4" w:space="0" w:color="000000"/>
            </w:tcBorders>
          </w:tcPr>
          <w:p w14:paraId="5B58A84B" w14:textId="77777777" w:rsidR="000B7ED1" w:rsidRDefault="005740ED">
            <w:pPr>
              <w:spacing w:after="0" w:line="259" w:lineRule="auto"/>
              <w:ind w:left="2" w:firstLine="0"/>
            </w:pPr>
            <w:r>
              <w:t xml:space="preserve">Task Identity </w:t>
            </w:r>
          </w:p>
        </w:tc>
        <w:tc>
          <w:tcPr>
            <w:tcW w:w="2705" w:type="dxa"/>
            <w:tcBorders>
              <w:top w:val="single" w:sz="4" w:space="0" w:color="000000"/>
              <w:left w:val="single" w:sz="4" w:space="0" w:color="000000"/>
              <w:bottom w:val="single" w:sz="4" w:space="0" w:color="000000"/>
              <w:right w:val="single" w:sz="4" w:space="0" w:color="000000"/>
            </w:tcBorders>
          </w:tcPr>
          <w:p w14:paraId="733D271A" w14:textId="77777777" w:rsidR="000B7ED1" w:rsidRDefault="005740ED">
            <w:pPr>
              <w:spacing w:after="0" w:line="259" w:lineRule="auto"/>
              <w:ind w:left="2" w:firstLine="0"/>
            </w:pPr>
            <w:r>
              <w:t xml:space="preserve">Ownership of projects from design to implementation </w:t>
            </w:r>
          </w:p>
        </w:tc>
        <w:tc>
          <w:tcPr>
            <w:tcW w:w="2220" w:type="dxa"/>
            <w:tcBorders>
              <w:top w:val="single" w:sz="4" w:space="0" w:color="000000"/>
              <w:left w:val="single" w:sz="4" w:space="0" w:color="000000"/>
              <w:bottom w:val="single" w:sz="4" w:space="0" w:color="000000"/>
              <w:right w:val="single" w:sz="4" w:space="0" w:color="000000"/>
            </w:tcBorders>
          </w:tcPr>
          <w:p w14:paraId="0C11F2D4" w14:textId="77777777" w:rsidR="000B7ED1" w:rsidRDefault="005740ED">
            <w:pPr>
              <w:spacing w:after="0" w:line="259" w:lineRule="auto"/>
              <w:ind w:left="0" w:firstLine="0"/>
            </w:pPr>
            <w:r>
              <w:t xml:space="preserve">Higher </w:t>
            </w:r>
          </w:p>
          <w:p w14:paraId="279D7586" w14:textId="77777777" w:rsidR="000B7ED1" w:rsidRDefault="005740ED">
            <w:pPr>
              <w:spacing w:after="0" w:line="259" w:lineRule="auto"/>
              <w:ind w:left="0" w:firstLine="0"/>
              <w:jc w:val="both"/>
            </w:pPr>
            <w:r>
              <w:t xml:space="preserve">accountability and job satisfaction </w:t>
            </w:r>
          </w:p>
        </w:tc>
        <w:tc>
          <w:tcPr>
            <w:tcW w:w="2211" w:type="dxa"/>
            <w:tcBorders>
              <w:top w:val="single" w:sz="4" w:space="0" w:color="000000"/>
              <w:left w:val="single" w:sz="4" w:space="0" w:color="000000"/>
              <w:bottom w:val="single" w:sz="4" w:space="0" w:color="000000"/>
              <w:right w:val="single" w:sz="4" w:space="0" w:color="000000"/>
            </w:tcBorders>
          </w:tcPr>
          <w:p w14:paraId="5EB26C98" w14:textId="77777777" w:rsidR="000B7ED1" w:rsidRDefault="005740ED">
            <w:pPr>
              <w:spacing w:after="0" w:line="259" w:lineRule="auto"/>
              <w:ind w:left="2" w:firstLine="0"/>
            </w:pPr>
            <w:r>
              <w:t xml:space="preserve">Improved project quality </w:t>
            </w:r>
          </w:p>
        </w:tc>
      </w:tr>
      <w:tr w:rsidR="000B7ED1" w14:paraId="4BE15A01" w14:textId="77777777">
        <w:trPr>
          <w:trHeight w:val="1361"/>
        </w:trPr>
        <w:tc>
          <w:tcPr>
            <w:tcW w:w="1882" w:type="dxa"/>
            <w:tcBorders>
              <w:top w:val="single" w:sz="4" w:space="0" w:color="000000"/>
              <w:left w:val="single" w:sz="4" w:space="0" w:color="000000"/>
              <w:bottom w:val="single" w:sz="4" w:space="0" w:color="000000"/>
              <w:right w:val="single" w:sz="4" w:space="0" w:color="000000"/>
            </w:tcBorders>
          </w:tcPr>
          <w:p w14:paraId="6CC42B90" w14:textId="77777777" w:rsidR="000B7ED1" w:rsidRDefault="005740ED">
            <w:pPr>
              <w:spacing w:after="0" w:line="259" w:lineRule="auto"/>
              <w:ind w:left="2" w:firstLine="0"/>
            </w:pPr>
            <w:r>
              <w:t xml:space="preserve">Task </w:t>
            </w:r>
          </w:p>
          <w:p w14:paraId="3CC81971" w14:textId="77777777" w:rsidR="000B7ED1" w:rsidRDefault="005740ED">
            <w:pPr>
              <w:spacing w:after="0" w:line="259" w:lineRule="auto"/>
              <w:ind w:left="2" w:firstLine="0"/>
            </w:pPr>
            <w:r>
              <w:t xml:space="preserve">Significance </w:t>
            </w:r>
          </w:p>
        </w:tc>
        <w:tc>
          <w:tcPr>
            <w:tcW w:w="2705" w:type="dxa"/>
            <w:tcBorders>
              <w:top w:val="single" w:sz="4" w:space="0" w:color="000000"/>
              <w:left w:val="single" w:sz="4" w:space="0" w:color="000000"/>
              <w:bottom w:val="single" w:sz="4" w:space="0" w:color="000000"/>
              <w:right w:val="single" w:sz="4" w:space="0" w:color="000000"/>
            </w:tcBorders>
          </w:tcPr>
          <w:p w14:paraId="6384CDB4" w14:textId="77777777" w:rsidR="000B7ED1" w:rsidRDefault="005740ED">
            <w:pPr>
              <w:spacing w:after="2" w:line="259" w:lineRule="auto"/>
              <w:ind w:left="2" w:firstLine="0"/>
              <w:jc w:val="both"/>
            </w:pPr>
            <w:r>
              <w:t xml:space="preserve">Linking work to sustainable urban </w:t>
            </w:r>
          </w:p>
          <w:p w14:paraId="78D4616E" w14:textId="77777777" w:rsidR="000B7ED1" w:rsidRDefault="005740ED">
            <w:pPr>
              <w:spacing w:after="0" w:line="259" w:lineRule="auto"/>
              <w:ind w:left="2" w:firstLine="0"/>
            </w:pPr>
            <w:r>
              <w:t xml:space="preserve">mobility and smart-city development </w:t>
            </w:r>
          </w:p>
        </w:tc>
        <w:tc>
          <w:tcPr>
            <w:tcW w:w="2220" w:type="dxa"/>
            <w:tcBorders>
              <w:top w:val="single" w:sz="4" w:space="0" w:color="000000"/>
              <w:left w:val="single" w:sz="4" w:space="0" w:color="000000"/>
              <w:bottom w:val="single" w:sz="4" w:space="0" w:color="000000"/>
              <w:right w:val="single" w:sz="4" w:space="0" w:color="000000"/>
            </w:tcBorders>
          </w:tcPr>
          <w:p w14:paraId="06AAC083" w14:textId="77777777" w:rsidR="000B7ED1" w:rsidRDefault="005740ED">
            <w:pPr>
              <w:spacing w:after="0" w:line="259" w:lineRule="auto"/>
              <w:ind w:left="0" w:firstLine="0"/>
            </w:pPr>
            <w:r>
              <w:t xml:space="preserve">Greater sense of purpose </w:t>
            </w:r>
          </w:p>
        </w:tc>
        <w:tc>
          <w:tcPr>
            <w:tcW w:w="2211" w:type="dxa"/>
            <w:tcBorders>
              <w:top w:val="single" w:sz="4" w:space="0" w:color="000000"/>
              <w:left w:val="single" w:sz="4" w:space="0" w:color="000000"/>
              <w:bottom w:val="single" w:sz="4" w:space="0" w:color="000000"/>
              <w:right w:val="single" w:sz="4" w:space="0" w:color="000000"/>
            </w:tcBorders>
          </w:tcPr>
          <w:p w14:paraId="5FA80554" w14:textId="77777777" w:rsidR="000B7ED1" w:rsidRDefault="005740ED">
            <w:pPr>
              <w:spacing w:after="0" w:line="259" w:lineRule="auto"/>
              <w:ind w:left="2" w:firstLine="0"/>
            </w:pPr>
            <w:r>
              <w:t xml:space="preserve">Stronger organisational commitment </w:t>
            </w:r>
          </w:p>
        </w:tc>
      </w:tr>
      <w:tr w:rsidR="000B7ED1" w14:paraId="51872AC6" w14:textId="77777777">
        <w:trPr>
          <w:trHeight w:val="1063"/>
        </w:trPr>
        <w:tc>
          <w:tcPr>
            <w:tcW w:w="1882" w:type="dxa"/>
            <w:tcBorders>
              <w:top w:val="single" w:sz="4" w:space="0" w:color="000000"/>
              <w:left w:val="single" w:sz="4" w:space="0" w:color="000000"/>
              <w:bottom w:val="single" w:sz="4" w:space="0" w:color="000000"/>
              <w:right w:val="single" w:sz="4" w:space="0" w:color="000000"/>
            </w:tcBorders>
          </w:tcPr>
          <w:p w14:paraId="1F46C72F" w14:textId="77777777" w:rsidR="000B7ED1" w:rsidRDefault="005740ED">
            <w:pPr>
              <w:spacing w:after="0" w:line="259" w:lineRule="auto"/>
              <w:ind w:left="2" w:firstLine="0"/>
            </w:pPr>
            <w:r>
              <w:t xml:space="preserve">Autonomy </w:t>
            </w:r>
          </w:p>
        </w:tc>
        <w:tc>
          <w:tcPr>
            <w:tcW w:w="2705" w:type="dxa"/>
            <w:tcBorders>
              <w:top w:val="single" w:sz="4" w:space="0" w:color="000000"/>
              <w:left w:val="single" w:sz="4" w:space="0" w:color="000000"/>
              <w:bottom w:val="single" w:sz="4" w:space="0" w:color="000000"/>
              <w:right w:val="single" w:sz="4" w:space="0" w:color="000000"/>
            </w:tcBorders>
          </w:tcPr>
          <w:p w14:paraId="79542259" w14:textId="77777777" w:rsidR="000B7ED1" w:rsidRDefault="005740ED">
            <w:pPr>
              <w:spacing w:after="0" w:line="259" w:lineRule="auto"/>
              <w:ind w:left="2" w:firstLine="0"/>
            </w:pPr>
            <w:r>
              <w:t xml:space="preserve">Increased decisionmaking authority and flexible work practices </w:t>
            </w:r>
          </w:p>
        </w:tc>
        <w:tc>
          <w:tcPr>
            <w:tcW w:w="2220" w:type="dxa"/>
            <w:tcBorders>
              <w:top w:val="single" w:sz="4" w:space="0" w:color="000000"/>
              <w:left w:val="single" w:sz="4" w:space="0" w:color="000000"/>
              <w:bottom w:val="single" w:sz="4" w:space="0" w:color="000000"/>
              <w:right w:val="single" w:sz="4" w:space="0" w:color="000000"/>
            </w:tcBorders>
          </w:tcPr>
          <w:p w14:paraId="2BB6AD17" w14:textId="77777777" w:rsidR="000B7ED1" w:rsidRDefault="005740ED">
            <w:pPr>
              <w:spacing w:after="0" w:line="259" w:lineRule="auto"/>
              <w:ind w:left="0" w:firstLine="0"/>
            </w:pPr>
            <w:r>
              <w:t xml:space="preserve">Higher intrinsic motivation </w:t>
            </w:r>
          </w:p>
        </w:tc>
        <w:tc>
          <w:tcPr>
            <w:tcW w:w="2211" w:type="dxa"/>
            <w:tcBorders>
              <w:top w:val="single" w:sz="4" w:space="0" w:color="000000"/>
              <w:left w:val="single" w:sz="4" w:space="0" w:color="000000"/>
              <w:bottom w:val="single" w:sz="4" w:space="0" w:color="000000"/>
              <w:right w:val="single" w:sz="4" w:space="0" w:color="000000"/>
            </w:tcBorders>
          </w:tcPr>
          <w:p w14:paraId="1A1B0F78" w14:textId="77777777" w:rsidR="000B7ED1" w:rsidRDefault="005740ED">
            <w:pPr>
              <w:spacing w:after="0" w:line="259" w:lineRule="auto"/>
              <w:ind w:left="2" w:firstLine="0"/>
            </w:pPr>
            <w:r>
              <w:t xml:space="preserve">Faster innovation </w:t>
            </w:r>
          </w:p>
          <w:p w14:paraId="1B2D2658" w14:textId="77777777" w:rsidR="000B7ED1" w:rsidRDefault="005740ED">
            <w:pPr>
              <w:spacing w:after="0" w:line="259" w:lineRule="auto"/>
              <w:ind w:left="2" w:firstLine="0"/>
            </w:pPr>
            <w:r>
              <w:t xml:space="preserve">and </w:t>
            </w:r>
          </w:p>
          <w:p w14:paraId="2E24B6D7" w14:textId="77777777" w:rsidR="000B7ED1" w:rsidRDefault="005740ED">
            <w:pPr>
              <w:spacing w:after="0" w:line="259" w:lineRule="auto"/>
              <w:ind w:left="2" w:firstLine="0"/>
            </w:pPr>
            <w:r>
              <w:t xml:space="preserve">responsiveness </w:t>
            </w:r>
          </w:p>
        </w:tc>
      </w:tr>
      <w:tr w:rsidR="000B7ED1" w14:paraId="7B63F642" w14:textId="77777777">
        <w:trPr>
          <w:trHeight w:val="1661"/>
        </w:trPr>
        <w:tc>
          <w:tcPr>
            <w:tcW w:w="1882" w:type="dxa"/>
            <w:tcBorders>
              <w:top w:val="single" w:sz="4" w:space="0" w:color="000000"/>
              <w:left w:val="single" w:sz="4" w:space="0" w:color="000000"/>
              <w:bottom w:val="single" w:sz="4" w:space="0" w:color="000000"/>
              <w:right w:val="single" w:sz="4" w:space="0" w:color="000000"/>
            </w:tcBorders>
          </w:tcPr>
          <w:p w14:paraId="4980D182" w14:textId="77777777" w:rsidR="000B7ED1" w:rsidRDefault="005740ED">
            <w:pPr>
              <w:spacing w:after="0" w:line="259" w:lineRule="auto"/>
              <w:ind w:left="2" w:firstLine="0"/>
            </w:pPr>
            <w:r>
              <w:t xml:space="preserve">Feedback </w:t>
            </w:r>
          </w:p>
        </w:tc>
        <w:tc>
          <w:tcPr>
            <w:tcW w:w="2705" w:type="dxa"/>
            <w:tcBorders>
              <w:top w:val="single" w:sz="4" w:space="0" w:color="000000"/>
              <w:left w:val="single" w:sz="4" w:space="0" w:color="000000"/>
              <w:bottom w:val="single" w:sz="4" w:space="0" w:color="000000"/>
              <w:right w:val="single" w:sz="4" w:space="0" w:color="000000"/>
            </w:tcBorders>
          </w:tcPr>
          <w:p w14:paraId="6DF2516C" w14:textId="77777777" w:rsidR="000B7ED1" w:rsidRDefault="005740ED">
            <w:pPr>
              <w:spacing w:after="0" w:line="259" w:lineRule="auto"/>
              <w:ind w:left="2" w:firstLine="0"/>
            </w:pPr>
            <w:r>
              <w:t xml:space="preserve">AI-enabled performance dashboards, coaching and continuous feedback </w:t>
            </w:r>
          </w:p>
        </w:tc>
        <w:tc>
          <w:tcPr>
            <w:tcW w:w="2220" w:type="dxa"/>
            <w:tcBorders>
              <w:top w:val="single" w:sz="4" w:space="0" w:color="000000"/>
              <w:left w:val="single" w:sz="4" w:space="0" w:color="000000"/>
              <w:bottom w:val="single" w:sz="4" w:space="0" w:color="000000"/>
              <w:right w:val="single" w:sz="4" w:space="0" w:color="000000"/>
            </w:tcBorders>
          </w:tcPr>
          <w:p w14:paraId="042A9D57" w14:textId="77777777" w:rsidR="000B7ED1" w:rsidRDefault="005740ED">
            <w:pPr>
              <w:spacing w:after="0" w:line="259" w:lineRule="auto"/>
              <w:ind w:left="0" w:firstLine="0"/>
            </w:pPr>
            <w:r>
              <w:t xml:space="preserve">Continuous improvement and capability development </w:t>
            </w:r>
          </w:p>
        </w:tc>
        <w:tc>
          <w:tcPr>
            <w:tcW w:w="2211" w:type="dxa"/>
            <w:tcBorders>
              <w:top w:val="single" w:sz="4" w:space="0" w:color="000000"/>
              <w:left w:val="single" w:sz="4" w:space="0" w:color="000000"/>
              <w:bottom w:val="single" w:sz="4" w:space="0" w:color="000000"/>
              <w:right w:val="single" w:sz="4" w:space="0" w:color="000000"/>
            </w:tcBorders>
          </w:tcPr>
          <w:p w14:paraId="71E2C4E1" w14:textId="77777777" w:rsidR="000B7ED1" w:rsidRDefault="005740ED">
            <w:pPr>
              <w:spacing w:after="0" w:line="259" w:lineRule="auto"/>
              <w:ind w:left="2" w:firstLine="0"/>
            </w:pPr>
            <w:r>
              <w:t xml:space="preserve">Enhanced </w:t>
            </w:r>
          </w:p>
          <w:p w14:paraId="23A7E75F" w14:textId="77777777" w:rsidR="000B7ED1" w:rsidRDefault="005740ED">
            <w:pPr>
              <w:spacing w:after="0" w:line="259" w:lineRule="auto"/>
              <w:ind w:left="2" w:firstLine="0"/>
            </w:pPr>
            <w:r>
              <w:t xml:space="preserve">organisational performance </w:t>
            </w:r>
          </w:p>
        </w:tc>
      </w:tr>
    </w:tbl>
    <w:p w14:paraId="44EB3E82" w14:textId="77777777" w:rsidR="000B7ED1" w:rsidRDefault="005740ED">
      <w:pPr>
        <w:spacing w:after="196" w:line="259" w:lineRule="auto"/>
        <w:ind w:left="0" w:firstLine="0"/>
      </w:pPr>
      <w:r>
        <w:t xml:space="preserve"> </w:t>
      </w:r>
    </w:p>
    <w:p w14:paraId="0FC9D6DF" w14:textId="77777777" w:rsidR="000B7ED1" w:rsidRDefault="005740ED">
      <w:pPr>
        <w:pStyle w:val="Heading2"/>
        <w:ind w:left="455" w:hanging="470"/>
      </w:pPr>
      <w:bookmarkStart w:id="10" w:name="_Toc21026"/>
      <w:r>
        <w:t xml:space="preserve">Job Crafting Theory: Employee Led Work Redesign </w:t>
      </w:r>
      <w:bookmarkEnd w:id="10"/>
    </w:p>
    <w:p w14:paraId="4D44F417" w14:textId="77777777" w:rsidR="000B7ED1" w:rsidRDefault="005740ED">
      <w:pPr>
        <w:ind w:left="-5"/>
      </w:pPr>
      <w:r>
        <w:t xml:space="preserve">Unlike traditional job design, Job Crafting Theory views employees as active participants who reshape tasks, relationships and work perceptions to improve person-job fit and work meaningfulness (Wrzesniewski &amp; Dutton, 2001). Current evidence suggests that job crafting helps to enhance engagement, resilience, and innovation by empowering employees to customize their job to better match their capabilities and career goals ( Zhang et al., 2023; Tims, 2024). </w:t>
      </w:r>
    </w:p>
    <w:p w14:paraId="6954F058" w14:textId="77777777" w:rsidR="000B7ED1" w:rsidRDefault="005740ED">
      <w:pPr>
        <w:ind w:left="-5"/>
      </w:pPr>
      <w:r>
        <w:t xml:space="preserve">Helios employees should be encouraged to join cross-functional innovation teams, to have "stretch" assignments and to engage in sustainability or AI projects outside their current job function. This flexibility would facilitate ongoing learning and innovation through collaboration. </w:t>
      </w:r>
    </w:p>
    <w:p w14:paraId="7A953F93" w14:textId="77777777" w:rsidR="000B7ED1" w:rsidRDefault="005740ED">
      <w:pPr>
        <w:ind w:left="-5"/>
      </w:pPr>
      <w:r>
        <w:t xml:space="preserve">But when job crafting is not restricted it can lead to uneven workloads or less focus on organizational priorities. Guided job crafting (Tims, 2024) should be used in Helios, where managers set strategic goals and leave room for workers to determine how jobs are carried out. </w:t>
      </w:r>
    </w:p>
    <w:p w14:paraId="4AB4E1EA" w14:textId="77777777" w:rsidR="000B7ED1" w:rsidRDefault="005740ED">
      <w:pPr>
        <w:spacing w:after="197" w:line="259" w:lineRule="auto"/>
        <w:ind w:left="0" w:firstLine="0"/>
      </w:pPr>
      <w:r>
        <w:t xml:space="preserve"> </w:t>
      </w:r>
    </w:p>
    <w:p w14:paraId="184B9D0F" w14:textId="77777777" w:rsidR="000B7ED1" w:rsidRDefault="005740ED">
      <w:pPr>
        <w:pStyle w:val="Heading2"/>
        <w:ind w:left="453" w:hanging="468"/>
      </w:pPr>
      <w:bookmarkStart w:id="11" w:name="_Toc21027"/>
      <w:r>
        <w:t xml:space="preserve">Skills-Based Architecture and Internal Talent Marketplace </w:t>
      </w:r>
      <w:bookmarkEnd w:id="11"/>
    </w:p>
    <w:p w14:paraId="27D51421" w14:textId="77777777" w:rsidR="000B7ED1" w:rsidRDefault="005740ED">
      <w:pPr>
        <w:ind w:left="-5"/>
      </w:pPr>
      <w:r>
        <w:t xml:space="preserve">Skills based architecture moves away from job descriptions to competencies and allows organizations to quickly redeploy employees and adjust to technological advancement. Skills-first employers are found to provide greater career opportunities across the organisation, which increases employee agility, retention and organisational resilience (Deloitte, 2024; CIPD, 2024). </w:t>
      </w:r>
    </w:p>
    <w:p w14:paraId="3471FB00" w14:textId="77777777" w:rsidR="000B7ED1" w:rsidRDefault="005740ED">
      <w:pPr>
        <w:ind w:left="-5"/>
      </w:pPr>
      <w:r>
        <w:t xml:space="preserve">This can be reinforced by implementing an Internal Talent Marketplace (ITM), which connects employees' skills and interests with projects, training, and short-term working. A platform like this could help at Helios find talent in AI, data science and sustainability, thereby helping London, Berlin and Singapore staff to collaborate on strategic projects and furthering their career growth (Gartner, 2024). </w:t>
      </w:r>
    </w:p>
    <w:p w14:paraId="13B6EDA5" w14:textId="77777777" w:rsidR="000B7ED1" w:rsidRDefault="005740ED">
      <w:pPr>
        <w:ind w:left="-5"/>
      </w:pPr>
      <w:r>
        <w:t xml:space="preserve">However, for it to be effective it must have good skills data and clear governance and managerial control. If left unchecked, AI talent allocation could exacerbate bias or even fail to identify new capabilities (World Economic Forum, 2025). </w:t>
      </w:r>
    </w:p>
    <w:p w14:paraId="6BC780B8" w14:textId="77777777" w:rsidR="000B7ED1" w:rsidRDefault="005740ED">
      <w:pPr>
        <w:spacing w:after="196" w:line="259" w:lineRule="auto"/>
        <w:ind w:left="0" w:firstLine="0"/>
      </w:pPr>
      <w:r>
        <w:t xml:space="preserve"> </w:t>
      </w:r>
    </w:p>
    <w:p w14:paraId="5FA2125F" w14:textId="77777777" w:rsidR="000B7ED1" w:rsidRDefault="005740ED">
      <w:pPr>
        <w:pStyle w:val="Heading2"/>
        <w:ind w:left="443" w:hanging="458"/>
      </w:pPr>
      <w:bookmarkStart w:id="12" w:name="_Toc21028"/>
      <w:r>
        <w:t xml:space="preserve">AI Assisted Work Design, Innovation and Intrinsic Motivation </w:t>
      </w:r>
      <w:bookmarkEnd w:id="12"/>
    </w:p>
    <w:p w14:paraId="67A7A658" w14:textId="77777777" w:rsidR="000B7ED1" w:rsidRDefault="005740ED">
      <w:pPr>
        <w:ind w:left="-5"/>
      </w:pPr>
      <w:r>
        <w:t xml:space="preserve">AI should not take the place of human labor. AI frees up time from repetitive tasks, allowing workers to engage in more creative, collaborative and problem-solving efforts, which boosts employee motivation and innovation (Brynjolfsson, Li &amp; Raymond, 2023; McKinsey Global Institute, 2024). </w:t>
      </w:r>
    </w:p>
    <w:p w14:paraId="25A56406" w14:textId="77777777" w:rsidR="000B7ED1" w:rsidRDefault="005740ED">
      <w:pPr>
        <w:ind w:left="-5"/>
      </w:pPr>
      <w:r>
        <w:t xml:space="preserve">AI can automate documentation, track project performance, and identify skill gaps and suggest individual learning plans within Helios. This would allow engineers and project managers to concentrate more on innovation and solutions for the customer. </w:t>
      </w:r>
    </w:p>
    <w:p w14:paraId="54FAFCCA" w14:textId="77777777" w:rsidR="000B7ED1" w:rsidRDefault="005740ED">
      <w:pPr>
        <w:ind w:left="-5"/>
      </w:pPr>
      <w:r>
        <w:t xml:space="preserve">But, over-dependence on AI may lead to algorithmic bias, deskilling and loss of human judgment. For this reason, AI must be used as an aid to decision making and any strategic workforce decision must be made by human beings, who must exercise fairness, ethical responsibility and context, to ensure that decisions are right (CIPD, 2024; UNESCO, 2023). </w:t>
      </w:r>
    </w:p>
    <w:p w14:paraId="3BC0BD94" w14:textId="77777777" w:rsidR="000B7ED1" w:rsidRDefault="005740ED">
      <w:pPr>
        <w:spacing w:after="0" w:line="259" w:lineRule="auto"/>
        <w:ind w:left="0" w:firstLine="0"/>
      </w:pPr>
      <w:r>
        <w:t xml:space="preserve"> </w:t>
      </w:r>
    </w:p>
    <w:p w14:paraId="6C35BBB1" w14:textId="77777777" w:rsidR="000B7ED1" w:rsidRDefault="005740ED">
      <w:pPr>
        <w:pStyle w:val="Heading2"/>
        <w:ind w:left="453" w:hanging="468"/>
      </w:pPr>
      <w:bookmarkStart w:id="13" w:name="_Toc21029"/>
      <w:r>
        <w:t xml:space="preserve">Proposed Helios Job Architecture </w:t>
      </w:r>
      <w:bookmarkEnd w:id="13"/>
    </w:p>
    <w:p w14:paraId="646E68D7" w14:textId="77777777" w:rsidR="000B7ED1" w:rsidRDefault="005740ED">
      <w:pPr>
        <w:spacing w:after="108"/>
        <w:ind w:left="-5"/>
      </w:pPr>
      <w:r>
        <w:t>Based on these theories, Helios needs to develop a new integrated Helios Job Architecture, which consists of five components: First, redesign jobs to make them more autonomous, more varied in their skill demands, more significant, and more developmentally enriching (Job Characteristics Model). Second, foster guided job crafting and allow workers to tailor their work to achieve organizational goals. Third, embrace a new skills-driven approach to job design and compensation based on demonstrated ability and n</w:t>
      </w:r>
      <w:r>
        <w:t xml:space="preserve">ot tenure. Fourth, create an AI-powered Internal Talent Marketplace for project allocation, career mobility and ongoing education. Last but not least, use responsible AI for workforce planning by streamlining repetitive tasks while maintaining human oversight and decision-making for ethical and strategic talent choices. This architectural approach is collectively changing the nature of </w:t>
      </w:r>
      <w:r>
        <w:t xml:space="preserve">static job descriptions to dynamic capability ecosystems that foster innovation, learning and organisational agility. </w:t>
      </w:r>
    </w:p>
    <w:p w14:paraId="7AB8DD8A" w14:textId="77777777" w:rsidR="000B7ED1" w:rsidRDefault="005740ED">
      <w:pPr>
        <w:spacing w:after="52" w:line="259" w:lineRule="auto"/>
        <w:ind w:left="75" w:firstLine="0"/>
        <w:jc w:val="center"/>
      </w:pPr>
      <w:r>
        <w:rPr>
          <w:noProof/>
        </w:rPr>
        <w:drawing>
          <wp:inline distT="0" distB="0" distL="0" distR="0" wp14:anchorId="4F008A13" wp14:editId="62BDE0BA">
            <wp:extent cx="2802001" cy="3790315"/>
            <wp:effectExtent l="0" t="0" r="0" b="0"/>
            <wp:docPr id="1524" name="Picture 1524"/>
            <wp:cNvGraphicFramePr/>
            <a:graphic xmlns:a="http://schemas.openxmlformats.org/drawingml/2006/main">
              <a:graphicData uri="http://schemas.openxmlformats.org/drawingml/2006/picture">
                <pic:pic xmlns:pic="http://schemas.openxmlformats.org/drawingml/2006/picture">
                  <pic:nvPicPr>
                    <pic:cNvPr id="1524" name="Picture 1524"/>
                    <pic:cNvPicPr/>
                  </pic:nvPicPr>
                  <pic:blipFill>
                    <a:blip r:embed="rId13"/>
                    <a:stretch>
                      <a:fillRect/>
                    </a:stretch>
                  </pic:blipFill>
                  <pic:spPr>
                    <a:xfrm>
                      <a:off x="0" y="0"/>
                      <a:ext cx="2802001" cy="3790315"/>
                    </a:xfrm>
                    <a:prstGeom prst="rect">
                      <a:avLst/>
                    </a:prstGeom>
                  </pic:spPr>
                </pic:pic>
              </a:graphicData>
            </a:graphic>
          </wp:inline>
        </w:drawing>
      </w:r>
      <w:r>
        <w:t xml:space="preserve"> </w:t>
      </w:r>
    </w:p>
    <w:p w14:paraId="2117E461" w14:textId="77777777" w:rsidR="000B7ED1" w:rsidRDefault="005740ED">
      <w:pPr>
        <w:spacing w:after="239" w:line="259" w:lineRule="auto"/>
        <w:ind w:left="19"/>
        <w:jc w:val="center"/>
      </w:pPr>
      <w:r>
        <w:rPr>
          <w:i/>
          <w:color w:val="44546A"/>
          <w:sz w:val="18"/>
        </w:rPr>
        <w:t xml:space="preserve">Figure 3: Helios Dynamic Job Architecture </w:t>
      </w:r>
    </w:p>
    <w:p w14:paraId="2CA130C9" w14:textId="77777777" w:rsidR="000B7ED1" w:rsidRDefault="005740ED">
      <w:pPr>
        <w:spacing w:after="196" w:line="259" w:lineRule="auto"/>
        <w:ind w:left="0" w:firstLine="0"/>
      </w:pPr>
      <w:r>
        <w:t xml:space="preserve"> </w:t>
      </w:r>
    </w:p>
    <w:p w14:paraId="3ED956CD" w14:textId="77777777" w:rsidR="000B7ED1" w:rsidRDefault="005740ED">
      <w:pPr>
        <w:pStyle w:val="Heading2"/>
        <w:ind w:left="455" w:hanging="470"/>
      </w:pPr>
      <w:bookmarkStart w:id="14" w:name="_Toc21030"/>
      <w:r>
        <w:t xml:space="preserve">Critical Synthesis </w:t>
      </w:r>
      <w:bookmarkEnd w:id="14"/>
    </w:p>
    <w:p w14:paraId="32E3D0C3" w14:textId="77777777" w:rsidR="000B7ED1" w:rsidRDefault="005740ED">
      <w:pPr>
        <w:ind w:left="-5"/>
      </w:pPr>
      <w:r>
        <w:t>There is no single work design theory that can fully capture the complexity of organisations in which AI is embedded. The JCM provides an explanation of intrinsic motivation in the absence of clear suggestions for digital work contexts. Job Crafting Theory empowers employees to craft their roles, but sets limits on managers to ensure strategic alignment. Skills-based architecture and internal talent marketplaces are effective for an organisation's agility, but require robust skill data and clear governance.</w:t>
      </w:r>
      <w:r>
        <w:t xml:space="preserve"> Likewise, AI increases efficiency but cannot replace ethical judgement or human leadership (Parker et al., 2024; Deloitte, 2024; Brynjolfsson et al., 2023). </w:t>
      </w:r>
    </w:p>
    <w:p w14:paraId="68CC9DF5" w14:textId="77777777" w:rsidR="000B7ED1" w:rsidRDefault="005740ED">
      <w:pPr>
        <w:ind w:left="-5"/>
      </w:pPr>
      <w:r>
        <w:t xml:space="preserve">Thus, Helios must embrace an integrated job structure, including job enrichment, employee-driven job crafting, skill-focused workforce management, and responsible AI augmentation. This could mitigate engagement, bolster innovation, internal mobility, and create a resilient workforce that can support long-term strategic renewal. </w:t>
      </w:r>
    </w:p>
    <w:p w14:paraId="0CD4A709" w14:textId="77777777" w:rsidR="000B7ED1" w:rsidRDefault="005740ED">
      <w:pPr>
        <w:spacing w:after="160" w:line="259" w:lineRule="auto"/>
        <w:ind w:left="0" w:firstLine="0"/>
      </w:pPr>
      <w:r>
        <w:t xml:space="preserve"> </w:t>
      </w:r>
    </w:p>
    <w:p w14:paraId="5518AE61" w14:textId="77777777" w:rsidR="000B7ED1" w:rsidRDefault="005740ED">
      <w:pPr>
        <w:spacing w:after="0" w:line="259" w:lineRule="auto"/>
        <w:ind w:left="0" w:firstLine="0"/>
      </w:pPr>
      <w:r>
        <w:t xml:space="preserve"> </w:t>
      </w:r>
      <w:r>
        <w:br w:type="page"/>
      </w:r>
    </w:p>
    <w:p w14:paraId="2EE69C3A" w14:textId="77777777" w:rsidR="000B7ED1" w:rsidRDefault="005740ED">
      <w:pPr>
        <w:pStyle w:val="Heading1"/>
        <w:ind w:left="386" w:hanging="401"/>
      </w:pPr>
      <w:bookmarkStart w:id="15" w:name="_Toc21031"/>
      <w:r>
        <w:t xml:space="preserve">Task C: Reflective Report </w:t>
      </w:r>
      <w:bookmarkEnd w:id="15"/>
    </w:p>
    <w:p w14:paraId="60042081" w14:textId="77777777" w:rsidR="000B7ED1" w:rsidRDefault="005740ED">
      <w:pPr>
        <w:spacing w:after="1"/>
        <w:ind w:left="-5"/>
      </w:pPr>
      <w:r>
        <w:t xml:space="preserve">Responsible Usage of AI in HR Decision Making and Personal Capability </w:t>
      </w:r>
    </w:p>
    <w:p w14:paraId="195FE0FD" w14:textId="77777777" w:rsidR="000B7ED1" w:rsidRDefault="005740ED">
      <w:pPr>
        <w:ind w:left="-5"/>
      </w:pPr>
      <w:r>
        <w:t xml:space="preserve">Development </w:t>
      </w:r>
    </w:p>
    <w:p w14:paraId="0E470183" w14:textId="77777777" w:rsidR="000B7ED1" w:rsidRDefault="005740ED">
      <w:pPr>
        <w:ind w:left="-5"/>
      </w:pPr>
      <w:r>
        <w:t>AI now plays a crucial role in strategic human capital management, offering valuable insights for organisations to analyse workforce information, uncover skills gaps, and make informed decisions. However, AI must be used in tandem with human judgment, especially in critical HR functions like recruitment, promotion, and performance management. Whilst AI promises to increase the efficiency and the accuracy of predictions, algorithms can also perpetuate past biases, lack transparency, and fail to account for c</w:t>
      </w:r>
      <w:r>
        <w:t xml:space="preserve">ontext-specific factors that affect employee performance (CIPD, 2024; UNESCO, 2023). Accordingly, I acknowledge that Human oversight, ethical responsibility, and fairness are essential elements of responsible HR practice when employing AI in decision-making processes. I will consider the recommendations provided by AI against organisational goals, professional judgment and legal requirements before deciding. </w:t>
      </w:r>
    </w:p>
    <w:p w14:paraId="5511A986" w14:textId="77777777" w:rsidR="000B7ED1" w:rsidRDefault="005740ED">
      <w:pPr>
        <w:ind w:left="-5"/>
      </w:pPr>
      <w:r>
        <w:t xml:space="preserve">Looking forward, I see that a future HR pro needs more than just people management skills. To enhance my employability, I plan to cultivate my data literacy skills to better understand and analyse workforce data and HR dashboards to inform strategic decision making. I will also enhance my understanding of AI applications in HR, including predictive analytics, talent intelligence and responsible AI governance, through continuous professional learning and industry certifications. In addition, I want to build </w:t>
      </w:r>
      <w:r>
        <w:t xml:space="preserve">confidence in my strategic influencing by being able to present evidence-based recommendations to senior leaders and lead organisational change effectively. Lastly, I will enhance my global mobility awareness by gaining knowledge about cross-cultural employee management and international working practices so that I can work effectively in multinational companies like Helios Urban Mobility. </w:t>
      </w:r>
    </w:p>
    <w:p w14:paraId="21A15698" w14:textId="77777777" w:rsidR="000B7ED1" w:rsidRDefault="005740ED">
      <w:pPr>
        <w:spacing w:after="0"/>
        <w:ind w:left="-5"/>
      </w:pPr>
      <w:r>
        <w:t xml:space="preserve">Table 4: Personal Capability Development Plan </w:t>
      </w:r>
    </w:p>
    <w:tbl>
      <w:tblPr>
        <w:tblStyle w:val="TableGrid"/>
        <w:tblW w:w="9018" w:type="dxa"/>
        <w:tblInd w:w="5" w:type="dxa"/>
        <w:tblCellMar>
          <w:top w:w="56" w:type="dxa"/>
          <w:left w:w="108" w:type="dxa"/>
          <w:right w:w="51" w:type="dxa"/>
        </w:tblCellMar>
        <w:tblLook w:val="04A0" w:firstRow="1" w:lastRow="0" w:firstColumn="1" w:lastColumn="0" w:noHBand="0" w:noVBand="1"/>
      </w:tblPr>
      <w:tblGrid>
        <w:gridCol w:w="1999"/>
        <w:gridCol w:w="3133"/>
        <w:gridCol w:w="1505"/>
        <w:gridCol w:w="2381"/>
      </w:tblGrid>
      <w:tr w:rsidR="000B7ED1" w14:paraId="79F4C429" w14:textId="77777777">
        <w:trPr>
          <w:trHeight w:val="1063"/>
        </w:trPr>
        <w:tc>
          <w:tcPr>
            <w:tcW w:w="1999" w:type="dxa"/>
            <w:tcBorders>
              <w:top w:val="single" w:sz="4" w:space="0" w:color="000000"/>
              <w:left w:val="single" w:sz="4" w:space="0" w:color="000000"/>
              <w:bottom w:val="single" w:sz="4" w:space="0" w:color="000000"/>
              <w:right w:val="single" w:sz="4" w:space="0" w:color="000000"/>
            </w:tcBorders>
          </w:tcPr>
          <w:p w14:paraId="4583C1B0" w14:textId="77777777" w:rsidR="000B7ED1" w:rsidRDefault="005740ED">
            <w:pPr>
              <w:spacing w:after="0" w:line="259" w:lineRule="auto"/>
              <w:ind w:left="0" w:firstLine="0"/>
              <w:jc w:val="both"/>
            </w:pPr>
            <w:r>
              <w:rPr>
                <w:b/>
              </w:rPr>
              <w:t xml:space="preserve">Capability Area </w:t>
            </w:r>
          </w:p>
        </w:tc>
        <w:tc>
          <w:tcPr>
            <w:tcW w:w="3133" w:type="dxa"/>
            <w:tcBorders>
              <w:top w:val="single" w:sz="4" w:space="0" w:color="000000"/>
              <w:left w:val="single" w:sz="4" w:space="0" w:color="000000"/>
              <w:bottom w:val="single" w:sz="4" w:space="0" w:color="000000"/>
              <w:right w:val="single" w:sz="4" w:space="0" w:color="000000"/>
            </w:tcBorders>
          </w:tcPr>
          <w:p w14:paraId="6AAA46D1" w14:textId="77777777" w:rsidR="000B7ED1" w:rsidRDefault="005740ED">
            <w:pPr>
              <w:spacing w:after="0" w:line="259" w:lineRule="auto"/>
              <w:ind w:left="0" w:firstLine="0"/>
            </w:pPr>
            <w:r>
              <w:rPr>
                <w:b/>
              </w:rPr>
              <w:t xml:space="preserve">Development Activity </w:t>
            </w:r>
          </w:p>
        </w:tc>
        <w:tc>
          <w:tcPr>
            <w:tcW w:w="1505" w:type="dxa"/>
            <w:tcBorders>
              <w:top w:val="single" w:sz="4" w:space="0" w:color="000000"/>
              <w:left w:val="single" w:sz="4" w:space="0" w:color="000000"/>
              <w:bottom w:val="single" w:sz="4" w:space="0" w:color="000000"/>
              <w:right w:val="single" w:sz="4" w:space="0" w:color="000000"/>
            </w:tcBorders>
          </w:tcPr>
          <w:p w14:paraId="216B9D83" w14:textId="77777777" w:rsidR="000B7ED1" w:rsidRDefault="005740ED">
            <w:pPr>
              <w:spacing w:after="0" w:line="259" w:lineRule="auto"/>
              <w:ind w:left="0" w:firstLine="0"/>
              <w:jc w:val="both"/>
            </w:pPr>
            <w:r>
              <w:rPr>
                <w:b/>
              </w:rPr>
              <w:t xml:space="preserve">Timeframe </w:t>
            </w:r>
          </w:p>
        </w:tc>
        <w:tc>
          <w:tcPr>
            <w:tcW w:w="2381" w:type="dxa"/>
            <w:tcBorders>
              <w:top w:val="single" w:sz="4" w:space="0" w:color="000000"/>
              <w:left w:val="single" w:sz="4" w:space="0" w:color="000000"/>
              <w:bottom w:val="single" w:sz="4" w:space="0" w:color="000000"/>
              <w:right w:val="single" w:sz="4" w:space="0" w:color="000000"/>
            </w:tcBorders>
          </w:tcPr>
          <w:p w14:paraId="38867F69" w14:textId="77777777" w:rsidR="000B7ED1" w:rsidRDefault="005740ED">
            <w:pPr>
              <w:spacing w:after="0" w:line="259" w:lineRule="auto"/>
              <w:ind w:left="0" w:firstLine="0"/>
            </w:pPr>
            <w:r>
              <w:rPr>
                <w:b/>
              </w:rPr>
              <w:t xml:space="preserve">Expected </w:t>
            </w:r>
          </w:p>
          <w:p w14:paraId="1AD2AA4D" w14:textId="77777777" w:rsidR="000B7ED1" w:rsidRDefault="005740ED">
            <w:pPr>
              <w:spacing w:after="0" w:line="259" w:lineRule="auto"/>
              <w:ind w:left="0" w:firstLine="0"/>
            </w:pPr>
            <w:r>
              <w:rPr>
                <w:b/>
              </w:rPr>
              <w:t xml:space="preserve">Professional </w:t>
            </w:r>
          </w:p>
          <w:p w14:paraId="1EDC0692" w14:textId="77777777" w:rsidR="000B7ED1" w:rsidRDefault="005740ED">
            <w:pPr>
              <w:spacing w:after="0" w:line="259" w:lineRule="auto"/>
              <w:ind w:left="0" w:firstLine="0"/>
            </w:pPr>
            <w:r>
              <w:rPr>
                <w:b/>
              </w:rPr>
              <w:t xml:space="preserve">Outcome </w:t>
            </w:r>
          </w:p>
        </w:tc>
      </w:tr>
      <w:tr w:rsidR="000B7ED1" w14:paraId="765478E3" w14:textId="77777777">
        <w:trPr>
          <w:trHeight w:val="1361"/>
        </w:trPr>
        <w:tc>
          <w:tcPr>
            <w:tcW w:w="1999" w:type="dxa"/>
            <w:tcBorders>
              <w:top w:val="single" w:sz="4" w:space="0" w:color="000000"/>
              <w:left w:val="single" w:sz="4" w:space="0" w:color="000000"/>
              <w:bottom w:val="single" w:sz="4" w:space="0" w:color="000000"/>
              <w:right w:val="single" w:sz="4" w:space="0" w:color="000000"/>
            </w:tcBorders>
          </w:tcPr>
          <w:p w14:paraId="3E1650C8" w14:textId="77777777" w:rsidR="000B7ED1" w:rsidRDefault="005740ED">
            <w:pPr>
              <w:spacing w:after="0" w:line="259" w:lineRule="auto"/>
              <w:ind w:left="0" w:firstLine="0"/>
            </w:pPr>
            <w:r>
              <w:t xml:space="preserve">Data Literacy </w:t>
            </w:r>
          </w:p>
        </w:tc>
        <w:tc>
          <w:tcPr>
            <w:tcW w:w="3133" w:type="dxa"/>
            <w:tcBorders>
              <w:top w:val="single" w:sz="4" w:space="0" w:color="000000"/>
              <w:left w:val="single" w:sz="4" w:space="0" w:color="000000"/>
              <w:bottom w:val="single" w:sz="4" w:space="0" w:color="000000"/>
              <w:right w:val="single" w:sz="4" w:space="0" w:color="000000"/>
            </w:tcBorders>
          </w:tcPr>
          <w:p w14:paraId="7925D41B" w14:textId="77777777" w:rsidR="000B7ED1" w:rsidRDefault="005740ED">
            <w:pPr>
              <w:spacing w:after="0" w:line="259" w:lineRule="auto"/>
              <w:ind w:left="0" w:firstLine="0"/>
            </w:pPr>
            <w:r>
              <w:t xml:space="preserve">Complete HR analytics and Power BI training; apply workforce analytics in case studies </w:t>
            </w:r>
          </w:p>
        </w:tc>
        <w:tc>
          <w:tcPr>
            <w:tcW w:w="1505" w:type="dxa"/>
            <w:tcBorders>
              <w:top w:val="single" w:sz="4" w:space="0" w:color="000000"/>
              <w:left w:val="single" w:sz="4" w:space="0" w:color="000000"/>
              <w:bottom w:val="single" w:sz="4" w:space="0" w:color="000000"/>
              <w:right w:val="single" w:sz="4" w:space="0" w:color="000000"/>
            </w:tcBorders>
          </w:tcPr>
          <w:p w14:paraId="3B470CA4" w14:textId="77777777" w:rsidR="000B7ED1" w:rsidRDefault="005740ED">
            <w:pPr>
              <w:spacing w:after="0" w:line="259" w:lineRule="auto"/>
              <w:ind w:left="0" w:firstLine="0"/>
            </w:pPr>
            <w:r>
              <w:t xml:space="preserve">Within 6 months </w:t>
            </w:r>
          </w:p>
        </w:tc>
        <w:tc>
          <w:tcPr>
            <w:tcW w:w="2381" w:type="dxa"/>
            <w:tcBorders>
              <w:top w:val="single" w:sz="4" w:space="0" w:color="000000"/>
              <w:left w:val="single" w:sz="4" w:space="0" w:color="000000"/>
              <w:bottom w:val="single" w:sz="4" w:space="0" w:color="000000"/>
              <w:right w:val="single" w:sz="4" w:space="0" w:color="000000"/>
            </w:tcBorders>
          </w:tcPr>
          <w:p w14:paraId="2FBCBABC" w14:textId="77777777" w:rsidR="000B7ED1" w:rsidRDefault="005740ED">
            <w:pPr>
              <w:spacing w:after="0" w:line="259" w:lineRule="auto"/>
              <w:ind w:left="0" w:firstLine="0"/>
            </w:pPr>
            <w:r>
              <w:t xml:space="preserve">Enhanced evidence-based HR decision-making </w:t>
            </w:r>
          </w:p>
        </w:tc>
      </w:tr>
      <w:tr w:rsidR="000B7ED1" w14:paraId="68E9D59F" w14:textId="77777777">
        <w:trPr>
          <w:trHeight w:val="1361"/>
        </w:trPr>
        <w:tc>
          <w:tcPr>
            <w:tcW w:w="1999" w:type="dxa"/>
            <w:tcBorders>
              <w:top w:val="single" w:sz="4" w:space="0" w:color="000000"/>
              <w:left w:val="single" w:sz="4" w:space="0" w:color="000000"/>
              <w:bottom w:val="single" w:sz="4" w:space="0" w:color="000000"/>
              <w:right w:val="single" w:sz="4" w:space="0" w:color="000000"/>
            </w:tcBorders>
          </w:tcPr>
          <w:p w14:paraId="21AE9E51" w14:textId="77777777" w:rsidR="000B7ED1" w:rsidRDefault="005740ED">
            <w:pPr>
              <w:spacing w:after="0" w:line="259" w:lineRule="auto"/>
              <w:ind w:left="0" w:firstLine="0"/>
              <w:jc w:val="both"/>
            </w:pPr>
            <w:r>
              <w:t xml:space="preserve">AI Augmentation in HR </w:t>
            </w:r>
          </w:p>
        </w:tc>
        <w:tc>
          <w:tcPr>
            <w:tcW w:w="3133" w:type="dxa"/>
            <w:tcBorders>
              <w:top w:val="single" w:sz="4" w:space="0" w:color="000000"/>
              <w:left w:val="single" w:sz="4" w:space="0" w:color="000000"/>
              <w:bottom w:val="single" w:sz="4" w:space="0" w:color="000000"/>
              <w:right w:val="single" w:sz="4" w:space="0" w:color="000000"/>
            </w:tcBorders>
          </w:tcPr>
          <w:p w14:paraId="42FC5B06" w14:textId="77777777" w:rsidR="000B7ED1" w:rsidRDefault="005740ED">
            <w:pPr>
              <w:spacing w:after="0" w:line="259" w:lineRule="auto"/>
              <w:ind w:left="0" w:firstLine="0"/>
            </w:pPr>
            <w:r>
              <w:t xml:space="preserve">Complete professional learning in AI recruitment, predictive analytics and responsible AI governance </w:t>
            </w:r>
          </w:p>
        </w:tc>
        <w:tc>
          <w:tcPr>
            <w:tcW w:w="1505" w:type="dxa"/>
            <w:tcBorders>
              <w:top w:val="single" w:sz="4" w:space="0" w:color="000000"/>
              <w:left w:val="single" w:sz="4" w:space="0" w:color="000000"/>
              <w:bottom w:val="single" w:sz="4" w:space="0" w:color="000000"/>
              <w:right w:val="single" w:sz="4" w:space="0" w:color="000000"/>
            </w:tcBorders>
          </w:tcPr>
          <w:p w14:paraId="663CC799" w14:textId="77777777" w:rsidR="000B7ED1" w:rsidRDefault="005740ED">
            <w:pPr>
              <w:spacing w:after="0" w:line="259" w:lineRule="auto"/>
              <w:ind w:left="0" w:firstLine="0"/>
            </w:pPr>
            <w:r>
              <w:t xml:space="preserve">Within 12 months </w:t>
            </w:r>
          </w:p>
        </w:tc>
        <w:tc>
          <w:tcPr>
            <w:tcW w:w="2381" w:type="dxa"/>
            <w:tcBorders>
              <w:top w:val="single" w:sz="4" w:space="0" w:color="000000"/>
              <w:left w:val="single" w:sz="4" w:space="0" w:color="000000"/>
              <w:bottom w:val="single" w:sz="4" w:space="0" w:color="000000"/>
              <w:right w:val="single" w:sz="4" w:space="0" w:color="000000"/>
            </w:tcBorders>
          </w:tcPr>
          <w:p w14:paraId="44C2314B" w14:textId="77777777" w:rsidR="000B7ED1" w:rsidRDefault="005740ED">
            <w:pPr>
              <w:spacing w:after="0" w:line="259" w:lineRule="auto"/>
              <w:ind w:left="0" w:firstLine="0"/>
            </w:pPr>
            <w:r>
              <w:t xml:space="preserve">Effective and ethical use of AI in HR practice </w:t>
            </w:r>
          </w:p>
        </w:tc>
      </w:tr>
      <w:tr w:rsidR="000B7ED1" w14:paraId="1CB15A85" w14:textId="77777777">
        <w:trPr>
          <w:trHeight w:val="1063"/>
        </w:trPr>
        <w:tc>
          <w:tcPr>
            <w:tcW w:w="1999" w:type="dxa"/>
            <w:tcBorders>
              <w:top w:val="single" w:sz="4" w:space="0" w:color="000000"/>
              <w:left w:val="single" w:sz="4" w:space="0" w:color="000000"/>
              <w:bottom w:val="single" w:sz="4" w:space="0" w:color="000000"/>
              <w:right w:val="single" w:sz="4" w:space="0" w:color="000000"/>
            </w:tcBorders>
          </w:tcPr>
          <w:p w14:paraId="6DB52A9F" w14:textId="77777777" w:rsidR="000B7ED1" w:rsidRDefault="005740ED">
            <w:pPr>
              <w:spacing w:after="0" w:line="259" w:lineRule="auto"/>
              <w:ind w:left="0" w:firstLine="0"/>
            </w:pPr>
            <w:r>
              <w:t xml:space="preserve">Strategic </w:t>
            </w:r>
          </w:p>
          <w:p w14:paraId="5A310B3F" w14:textId="77777777" w:rsidR="000B7ED1" w:rsidRDefault="005740ED">
            <w:pPr>
              <w:spacing w:after="0" w:line="259" w:lineRule="auto"/>
              <w:ind w:left="0" w:firstLine="0"/>
            </w:pPr>
            <w:r>
              <w:t xml:space="preserve">Influencing </w:t>
            </w:r>
          </w:p>
          <w:p w14:paraId="268968E6" w14:textId="77777777" w:rsidR="000B7ED1" w:rsidRDefault="005740ED">
            <w:pPr>
              <w:spacing w:after="0" w:line="259" w:lineRule="auto"/>
              <w:ind w:left="0" w:firstLine="0"/>
            </w:pPr>
            <w:r>
              <w:t xml:space="preserve">Skills </w:t>
            </w:r>
          </w:p>
        </w:tc>
        <w:tc>
          <w:tcPr>
            <w:tcW w:w="3133" w:type="dxa"/>
            <w:tcBorders>
              <w:top w:val="single" w:sz="4" w:space="0" w:color="000000"/>
              <w:left w:val="single" w:sz="4" w:space="0" w:color="000000"/>
              <w:bottom w:val="single" w:sz="4" w:space="0" w:color="000000"/>
              <w:right w:val="single" w:sz="4" w:space="0" w:color="000000"/>
            </w:tcBorders>
          </w:tcPr>
          <w:p w14:paraId="008A0072" w14:textId="77777777" w:rsidR="000B7ED1" w:rsidRDefault="005740ED">
            <w:pPr>
              <w:spacing w:after="0" w:line="259" w:lineRule="auto"/>
              <w:ind w:left="0" w:firstLine="0"/>
              <w:jc w:val="both"/>
            </w:pPr>
            <w:r>
              <w:t xml:space="preserve">Attend leadership workshops; practise </w:t>
            </w:r>
          </w:p>
        </w:tc>
        <w:tc>
          <w:tcPr>
            <w:tcW w:w="1505" w:type="dxa"/>
            <w:tcBorders>
              <w:top w:val="single" w:sz="4" w:space="0" w:color="000000"/>
              <w:left w:val="single" w:sz="4" w:space="0" w:color="000000"/>
              <w:bottom w:val="single" w:sz="4" w:space="0" w:color="000000"/>
              <w:right w:val="single" w:sz="4" w:space="0" w:color="000000"/>
            </w:tcBorders>
          </w:tcPr>
          <w:p w14:paraId="493FD46E" w14:textId="77777777" w:rsidR="000B7ED1" w:rsidRDefault="005740ED">
            <w:pPr>
              <w:spacing w:after="0" w:line="259" w:lineRule="auto"/>
              <w:ind w:left="0" w:firstLine="0"/>
            </w:pPr>
            <w:r>
              <w:t xml:space="preserve">Ongoing </w:t>
            </w:r>
          </w:p>
        </w:tc>
        <w:tc>
          <w:tcPr>
            <w:tcW w:w="2381" w:type="dxa"/>
            <w:tcBorders>
              <w:top w:val="single" w:sz="4" w:space="0" w:color="000000"/>
              <w:left w:val="single" w:sz="4" w:space="0" w:color="000000"/>
              <w:bottom w:val="single" w:sz="4" w:space="0" w:color="000000"/>
              <w:right w:val="single" w:sz="4" w:space="0" w:color="000000"/>
            </w:tcBorders>
          </w:tcPr>
          <w:p w14:paraId="30C55096" w14:textId="77777777" w:rsidR="000B7ED1" w:rsidRDefault="005740ED">
            <w:pPr>
              <w:spacing w:after="0" w:line="259" w:lineRule="auto"/>
              <w:ind w:left="0" w:firstLine="0"/>
            </w:pPr>
            <w:r>
              <w:t xml:space="preserve">Stronger communication with senior stakeholders </w:t>
            </w:r>
          </w:p>
        </w:tc>
      </w:tr>
      <w:tr w:rsidR="000B7ED1" w14:paraId="6DB606F3" w14:textId="77777777">
        <w:trPr>
          <w:trHeight w:val="766"/>
        </w:trPr>
        <w:tc>
          <w:tcPr>
            <w:tcW w:w="1999" w:type="dxa"/>
            <w:tcBorders>
              <w:top w:val="single" w:sz="4" w:space="0" w:color="000000"/>
              <w:left w:val="single" w:sz="4" w:space="0" w:color="000000"/>
              <w:bottom w:val="single" w:sz="4" w:space="0" w:color="000000"/>
              <w:right w:val="single" w:sz="4" w:space="0" w:color="000000"/>
            </w:tcBorders>
          </w:tcPr>
          <w:p w14:paraId="5AEA537E" w14:textId="77777777" w:rsidR="000B7ED1" w:rsidRDefault="000B7ED1">
            <w:pPr>
              <w:spacing w:after="160" w:line="259" w:lineRule="auto"/>
              <w:ind w:left="0" w:firstLine="0"/>
            </w:pPr>
          </w:p>
        </w:tc>
        <w:tc>
          <w:tcPr>
            <w:tcW w:w="3133" w:type="dxa"/>
            <w:tcBorders>
              <w:top w:val="single" w:sz="4" w:space="0" w:color="000000"/>
              <w:left w:val="single" w:sz="4" w:space="0" w:color="000000"/>
              <w:bottom w:val="single" w:sz="4" w:space="0" w:color="000000"/>
              <w:right w:val="single" w:sz="4" w:space="0" w:color="000000"/>
            </w:tcBorders>
          </w:tcPr>
          <w:p w14:paraId="6A91E4EF" w14:textId="77777777" w:rsidR="000B7ED1" w:rsidRDefault="005740ED">
            <w:pPr>
              <w:spacing w:after="0" w:line="259" w:lineRule="auto"/>
              <w:ind w:left="0" w:firstLine="0"/>
            </w:pPr>
            <w:r>
              <w:t xml:space="preserve">presenting evidence-based recommendations </w:t>
            </w:r>
          </w:p>
        </w:tc>
        <w:tc>
          <w:tcPr>
            <w:tcW w:w="1505" w:type="dxa"/>
            <w:tcBorders>
              <w:top w:val="single" w:sz="4" w:space="0" w:color="000000"/>
              <w:left w:val="single" w:sz="4" w:space="0" w:color="000000"/>
              <w:bottom w:val="single" w:sz="4" w:space="0" w:color="000000"/>
              <w:right w:val="single" w:sz="4" w:space="0" w:color="000000"/>
            </w:tcBorders>
          </w:tcPr>
          <w:p w14:paraId="7A088EB2" w14:textId="77777777" w:rsidR="000B7ED1" w:rsidRDefault="000B7ED1">
            <w:pPr>
              <w:spacing w:after="160" w:line="259" w:lineRule="auto"/>
              <w:ind w:left="0" w:firstLine="0"/>
            </w:pPr>
          </w:p>
        </w:tc>
        <w:tc>
          <w:tcPr>
            <w:tcW w:w="2381" w:type="dxa"/>
            <w:tcBorders>
              <w:top w:val="single" w:sz="4" w:space="0" w:color="000000"/>
              <w:left w:val="single" w:sz="4" w:space="0" w:color="000000"/>
              <w:bottom w:val="single" w:sz="4" w:space="0" w:color="000000"/>
              <w:right w:val="single" w:sz="4" w:space="0" w:color="000000"/>
            </w:tcBorders>
          </w:tcPr>
          <w:p w14:paraId="355735C1" w14:textId="77777777" w:rsidR="000B7ED1" w:rsidRDefault="000B7ED1">
            <w:pPr>
              <w:spacing w:after="160" w:line="259" w:lineRule="auto"/>
              <w:ind w:left="0" w:firstLine="0"/>
            </w:pPr>
          </w:p>
        </w:tc>
      </w:tr>
      <w:tr w:rsidR="000B7ED1" w14:paraId="6591F503" w14:textId="77777777">
        <w:trPr>
          <w:trHeight w:val="1361"/>
        </w:trPr>
        <w:tc>
          <w:tcPr>
            <w:tcW w:w="1999" w:type="dxa"/>
            <w:tcBorders>
              <w:top w:val="single" w:sz="4" w:space="0" w:color="000000"/>
              <w:left w:val="single" w:sz="4" w:space="0" w:color="000000"/>
              <w:bottom w:val="single" w:sz="4" w:space="0" w:color="000000"/>
              <w:right w:val="single" w:sz="4" w:space="0" w:color="000000"/>
            </w:tcBorders>
          </w:tcPr>
          <w:p w14:paraId="7B35904F" w14:textId="77777777" w:rsidR="000B7ED1" w:rsidRDefault="005740ED">
            <w:pPr>
              <w:spacing w:after="0" w:line="259" w:lineRule="auto"/>
              <w:ind w:left="0" w:firstLine="0"/>
            </w:pPr>
            <w:r>
              <w:t xml:space="preserve">Global Mobility </w:t>
            </w:r>
          </w:p>
          <w:p w14:paraId="50EE269A" w14:textId="77777777" w:rsidR="000B7ED1" w:rsidRDefault="005740ED">
            <w:pPr>
              <w:spacing w:after="0" w:line="259" w:lineRule="auto"/>
              <w:ind w:left="0" w:firstLine="0"/>
            </w:pPr>
            <w:r>
              <w:t xml:space="preserve">Awareness </w:t>
            </w:r>
          </w:p>
        </w:tc>
        <w:tc>
          <w:tcPr>
            <w:tcW w:w="3133" w:type="dxa"/>
            <w:tcBorders>
              <w:top w:val="single" w:sz="4" w:space="0" w:color="000000"/>
              <w:left w:val="single" w:sz="4" w:space="0" w:color="000000"/>
              <w:bottom w:val="single" w:sz="4" w:space="0" w:color="000000"/>
              <w:right w:val="single" w:sz="4" w:space="0" w:color="000000"/>
            </w:tcBorders>
          </w:tcPr>
          <w:p w14:paraId="5B4BBE2E" w14:textId="77777777" w:rsidR="000B7ED1" w:rsidRDefault="005740ED">
            <w:pPr>
              <w:spacing w:after="0" w:line="259" w:lineRule="auto"/>
              <w:ind w:left="0" w:firstLine="0"/>
            </w:pPr>
            <w:r>
              <w:t xml:space="preserve">Study international HRM, employment legislation and cross-cultural management </w:t>
            </w:r>
          </w:p>
        </w:tc>
        <w:tc>
          <w:tcPr>
            <w:tcW w:w="1505" w:type="dxa"/>
            <w:tcBorders>
              <w:top w:val="single" w:sz="4" w:space="0" w:color="000000"/>
              <w:left w:val="single" w:sz="4" w:space="0" w:color="000000"/>
              <w:bottom w:val="single" w:sz="4" w:space="0" w:color="000000"/>
              <w:right w:val="single" w:sz="4" w:space="0" w:color="000000"/>
            </w:tcBorders>
          </w:tcPr>
          <w:p w14:paraId="03CBDB8F" w14:textId="77777777" w:rsidR="000B7ED1" w:rsidRDefault="005740ED">
            <w:pPr>
              <w:spacing w:after="0" w:line="259" w:lineRule="auto"/>
              <w:ind w:left="0" w:firstLine="0"/>
            </w:pPr>
            <w:r>
              <w:t xml:space="preserve">Within 12 months </w:t>
            </w:r>
          </w:p>
        </w:tc>
        <w:tc>
          <w:tcPr>
            <w:tcW w:w="2381" w:type="dxa"/>
            <w:tcBorders>
              <w:top w:val="single" w:sz="4" w:space="0" w:color="000000"/>
              <w:left w:val="single" w:sz="4" w:space="0" w:color="000000"/>
              <w:bottom w:val="single" w:sz="4" w:space="0" w:color="000000"/>
              <w:right w:val="single" w:sz="4" w:space="0" w:color="000000"/>
            </w:tcBorders>
          </w:tcPr>
          <w:p w14:paraId="3EB29F31" w14:textId="77777777" w:rsidR="000B7ED1" w:rsidRDefault="005740ED">
            <w:pPr>
              <w:spacing w:after="0" w:line="259" w:lineRule="auto"/>
              <w:ind w:left="0" w:firstLine="0"/>
            </w:pPr>
            <w:r>
              <w:t xml:space="preserve">Improved capability to operate in multinational organisations </w:t>
            </w:r>
          </w:p>
        </w:tc>
      </w:tr>
      <w:tr w:rsidR="000B7ED1" w14:paraId="58147C8E" w14:textId="77777777">
        <w:trPr>
          <w:trHeight w:val="1363"/>
        </w:trPr>
        <w:tc>
          <w:tcPr>
            <w:tcW w:w="1999" w:type="dxa"/>
            <w:tcBorders>
              <w:top w:val="single" w:sz="4" w:space="0" w:color="000000"/>
              <w:left w:val="single" w:sz="4" w:space="0" w:color="000000"/>
              <w:bottom w:val="single" w:sz="4" w:space="0" w:color="000000"/>
              <w:right w:val="single" w:sz="4" w:space="0" w:color="000000"/>
            </w:tcBorders>
          </w:tcPr>
          <w:p w14:paraId="2B71689B" w14:textId="77777777" w:rsidR="000B7ED1" w:rsidRDefault="005740ED">
            <w:pPr>
              <w:spacing w:after="0" w:line="259" w:lineRule="auto"/>
              <w:ind w:left="0" w:firstLine="0"/>
            </w:pPr>
            <w:r>
              <w:t xml:space="preserve">Continuous </w:t>
            </w:r>
          </w:p>
          <w:p w14:paraId="38C6C718" w14:textId="77777777" w:rsidR="000B7ED1" w:rsidRDefault="005740ED">
            <w:pPr>
              <w:spacing w:after="2" w:line="259" w:lineRule="auto"/>
              <w:ind w:left="0" w:firstLine="0"/>
            </w:pPr>
            <w:r>
              <w:t xml:space="preserve">Professional </w:t>
            </w:r>
          </w:p>
          <w:p w14:paraId="3CD0B3D1" w14:textId="77777777" w:rsidR="000B7ED1" w:rsidRDefault="005740ED">
            <w:pPr>
              <w:spacing w:after="0" w:line="259" w:lineRule="auto"/>
              <w:ind w:left="0" w:firstLine="0"/>
            </w:pPr>
            <w:r>
              <w:t xml:space="preserve">Development </w:t>
            </w:r>
          </w:p>
        </w:tc>
        <w:tc>
          <w:tcPr>
            <w:tcW w:w="3133" w:type="dxa"/>
            <w:tcBorders>
              <w:top w:val="single" w:sz="4" w:space="0" w:color="000000"/>
              <w:left w:val="single" w:sz="4" w:space="0" w:color="000000"/>
              <w:bottom w:val="single" w:sz="4" w:space="0" w:color="000000"/>
              <w:right w:val="single" w:sz="4" w:space="0" w:color="000000"/>
            </w:tcBorders>
          </w:tcPr>
          <w:p w14:paraId="2D8F396F" w14:textId="77777777" w:rsidR="000B7ED1" w:rsidRDefault="005740ED">
            <w:pPr>
              <w:spacing w:after="0" w:line="259" w:lineRule="auto"/>
              <w:ind w:left="0" w:firstLine="0"/>
            </w:pPr>
            <w:r>
              <w:t xml:space="preserve">Maintain CIPD membership, attend webinars and review current HR research </w:t>
            </w:r>
          </w:p>
        </w:tc>
        <w:tc>
          <w:tcPr>
            <w:tcW w:w="1505" w:type="dxa"/>
            <w:tcBorders>
              <w:top w:val="single" w:sz="4" w:space="0" w:color="000000"/>
              <w:left w:val="single" w:sz="4" w:space="0" w:color="000000"/>
              <w:bottom w:val="single" w:sz="4" w:space="0" w:color="000000"/>
              <w:right w:val="single" w:sz="4" w:space="0" w:color="000000"/>
            </w:tcBorders>
          </w:tcPr>
          <w:p w14:paraId="6A9B2F5D" w14:textId="77777777" w:rsidR="000B7ED1" w:rsidRDefault="005740ED">
            <w:pPr>
              <w:spacing w:after="0" w:line="259" w:lineRule="auto"/>
              <w:ind w:left="0" w:firstLine="0"/>
              <w:jc w:val="both"/>
            </w:pPr>
            <w:r>
              <w:t xml:space="preserve">Continuous </w:t>
            </w:r>
          </w:p>
        </w:tc>
        <w:tc>
          <w:tcPr>
            <w:tcW w:w="2381" w:type="dxa"/>
            <w:tcBorders>
              <w:top w:val="single" w:sz="4" w:space="0" w:color="000000"/>
              <w:left w:val="single" w:sz="4" w:space="0" w:color="000000"/>
              <w:bottom w:val="single" w:sz="4" w:space="0" w:color="000000"/>
              <w:right w:val="single" w:sz="4" w:space="0" w:color="000000"/>
            </w:tcBorders>
          </w:tcPr>
          <w:p w14:paraId="5E74ED08" w14:textId="77777777" w:rsidR="000B7ED1" w:rsidRDefault="005740ED">
            <w:pPr>
              <w:spacing w:after="2" w:line="259" w:lineRule="auto"/>
              <w:ind w:left="0" w:firstLine="0"/>
            </w:pPr>
            <w:r>
              <w:t xml:space="preserve">Lifelong learning and sustained </w:t>
            </w:r>
          </w:p>
          <w:p w14:paraId="46B63B79" w14:textId="77777777" w:rsidR="000B7ED1" w:rsidRDefault="005740ED">
            <w:pPr>
              <w:spacing w:after="0" w:line="259" w:lineRule="auto"/>
              <w:ind w:left="0" w:firstLine="0"/>
            </w:pPr>
            <w:r>
              <w:t xml:space="preserve">professional competence </w:t>
            </w:r>
          </w:p>
        </w:tc>
      </w:tr>
    </w:tbl>
    <w:p w14:paraId="24FB2722" w14:textId="77777777" w:rsidR="000B7ED1" w:rsidRDefault="005740ED">
      <w:pPr>
        <w:spacing w:line="259" w:lineRule="auto"/>
        <w:ind w:left="0" w:firstLine="0"/>
      </w:pPr>
      <w:r>
        <w:t xml:space="preserve"> </w:t>
      </w:r>
    </w:p>
    <w:p w14:paraId="52190B22" w14:textId="77777777" w:rsidR="000B7ED1" w:rsidRDefault="005740ED">
      <w:pPr>
        <w:ind w:left="-5"/>
      </w:pPr>
      <w:r>
        <w:t xml:space="preserve">This reflection has further highlighted that future HR leaders will not be those who drop the human touch in favor of AI but those who combine the power of technology with ethical decisions, strategic thinking, and lifelong learning. The acquisition of these skills will help me play my part for the organisations to perform effectively and responsibly, and supporting sustainable human capital management. </w:t>
      </w:r>
    </w:p>
    <w:p w14:paraId="25CCF1A4" w14:textId="77777777" w:rsidR="000B7ED1" w:rsidRDefault="005740ED">
      <w:pPr>
        <w:spacing w:after="271" w:line="259" w:lineRule="auto"/>
        <w:ind w:left="0" w:firstLine="0"/>
      </w:pPr>
      <w:r>
        <w:t xml:space="preserve"> </w:t>
      </w:r>
    </w:p>
    <w:p w14:paraId="425EF5B2" w14:textId="77777777" w:rsidR="000B7ED1" w:rsidRDefault="005740ED">
      <w:pPr>
        <w:spacing w:after="0" w:line="259" w:lineRule="auto"/>
        <w:ind w:left="0" w:firstLine="0"/>
      </w:pPr>
      <w:r>
        <w:rPr>
          <w:b/>
          <w:sz w:val="36"/>
        </w:rPr>
        <w:t xml:space="preserve"> </w:t>
      </w:r>
      <w:r>
        <w:br w:type="page"/>
      </w:r>
    </w:p>
    <w:p w14:paraId="500494B1" w14:textId="77777777" w:rsidR="000B7ED1" w:rsidRDefault="005740ED">
      <w:pPr>
        <w:pStyle w:val="Heading1"/>
        <w:ind w:left="386" w:hanging="401"/>
      </w:pPr>
      <w:bookmarkStart w:id="16" w:name="_Toc21032"/>
      <w:r>
        <w:t xml:space="preserve">Conclusion </w:t>
      </w:r>
      <w:bookmarkEnd w:id="16"/>
    </w:p>
    <w:p w14:paraId="5AC91AC6" w14:textId="77777777" w:rsidR="000B7ED1" w:rsidRDefault="005740ED">
      <w:pPr>
        <w:ind w:left="-5"/>
      </w:pPr>
      <w:r>
        <w:t>This report shows that sustainable organisational performance relies on an integrated human capital architecture and not on individual HR initiatives. Organisational socialisation increases the degree of commitment, ethical professionalism and employee identification, and skills-based job architecture and responsible use of AI promotes continuous innovation, agility and intrinsic motivation among employees. Last but not least, reflective capability development will equip future professionals with the skills</w:t>
      </w:r>
      <w:r>
        <w:t xml:space="preserve"> of combining technology with ethics and strategic leadership. This framework of recommendations gives Helios Urban Mobility a comprehensive human capital strategy that is aligned to strategic renewal, employee engagement and retention, and future-proofing the organisation in the era of AI. </w:t>
      </w:r>
    </w:p>
    <w:p w14:paraId="7014FAEA" w14:textId="77777777" w:rsidR="000B7ED1" w:rsidRDefault="005740ED">
      <w:pPr>
        <w:spacing w:after="472" w:line="259" w:lineRule="auto"/>
        <w:ind w:left="0" w:firstLine="0"/>
      </w:pPr>
      <w:r>
        <w:t xml:space="preserve"> </w:t>
      </w:r>
    </w:p>
    <w:p w14:paraId="6FEACCCE" w14:textId="77777777" w:rsidR="000B7ED1" w:rsidRDefault="005740ED">
      <w:pPr>
        <w:pStyle w:val="Heading1"/>
        <w:numPr>
          <w:ilvl w:val="0"/>
          <w:numId w:val="0"/>
        </w:numPr>
        <w:ind w:left="-5"/>
      </w:pPr>
      <w:bookmarkStart w:id="17" w:name="_Toc21033"/>
      <w:r>
        <w:t xml:space="preserve">References </w:t>
      </w:r>
      <w:bookmarkEnd w:id="17"/>
    </w:p>
    <w:p w14:paraId="1DBFE6F6" w14:textId="77777777" w:rsidR="000B7ED1" w:rsidRDefault="005740ED">
      <w:pPr>
        <w:ind w:left="-5"/>
      </w:pPr>
      <w:r>
        <w:t xml:space="preserve">Ashforth, B.E., Schinoff, B.S. and Rogers, K.M. (2023) ‘Identity construction in organisations: Recent developments and future directions’, </w:t>
      </w:r>
      <w:r>
        <w:rPr>
          <w:i/>
        </w:rPr>
        <w:t>Annual Review of Organizational Psychology and Organizational Behavior</w:t>
      </w:r>
      <w:r>
        <w:t xml:space="preserve">, 10, pp. 203–228. </w:t>
      </w:r>
    </w:p>
    <w:p w14:paraId="660C2309" w14:textId="77777777" w:rsidR="000B7ED1" w:rsidRDefault="005740ED">
      <w:pPr>
        <w:ind w:left="-5"/>
      </w:pPr>
      <w:r>
        <w:t xml:space="preserve">Ashforth, B.E., Harrison, S.H. and Corley, K.G. (2023) ‘Identification in organizations: An examination of four fundamental questions’, </w:t>
      </w:r>
      <w:r>
        <w:rPr>
          <w:i/>
        </w:rPr>
        <w:t>Journal of Management</w:t>
      </w:r>
      <w:r>
        <w:t xml:space="preserve">, 49(2), pp. 421–448. </w:t>
      </w:r>
    </w:p>
    <w:p w14:paraId="7AA90EE5" w14:textId="77777777" w:rsidR="000B7ED1" w:rsidRDefault="005740ED">
      <w:pPr>
        <w:ind w:left="-5"/>
      </w:pPr>
      <w:r>
        <w:t xml:space="preserve">Bauer, T.N. (2023) </w:t>
      </w:r>
      <w:r>
        <w:rPr>
          <w:i/>
        </w:rPr>
        <w:t>Onboarding New Employees: Maximizing Success</w:t>
      </w:r>
      <w:r>
        <w:t xml:space="preserve">. Alexandria, VA: SHRM Foundation. </w:t>
      </w:r>
    </w:p>
    <w:p w14:paraId="42AD6658" w14:textId="77777777" w:rsidR="000B7ED1" w:rsidRDefault="005740ED">
      <w:pPr>
        <w:ind w:left="-5"/>
      </w:pPr>
      <w:r>
        <w:t xml:space="preserve">Brynjolfsson, E., Li, D. and Raymond, L.R. (2023) ‘Generative AI at work’, </w:t>
      </w:r>
      <w:r>
        <w:rPr>
          <w:i/>
        </w:rPr>
        <w:t>National Bureau of Economic Research Working Paper</w:t>
      </w:r>
      <w:r>
        <w:t xml:space="preserve"> No. 31161. </w:t>
      </w:r>
    </w:p>
    <w:p w14:paraId="113C2140" w14:textId="77777777" w:rsidR="000B7ED1" w:rsidRDefault="005740ED">
      <w:pPr>
        <w:ind w:left="-5"/>
      </w:pPr>
      <w:r>
        <w:t xml:space="preserve">CIPD (2024) </w:t>
      </w:r>
      <w:r>
        <w:rPr>
          <w:i/>
        </w:rPr>
        <w:t>People Profession Survey 2024</w:t>
      </w:r>
      <w:r>
        <w:t xml:space="preserve">. London: Chartered Institute of Personnel and Development. </w:t>
      </w:r>
    </w:p>
    <w:p w14:paraId="4AD46193" w14:textId="77777777" w:rsidR="000B7ED1" w:rsidRDefault="005740ED">
      <w:pPr>
        <w:ind w:left="-5"/>
      </w:pPr>
      <w:r>
        <w:t xml:space="preserve">CIPD (2024) </w:t>
      </w:r>
      <w:r>
        <w:rPr>
          <w:i/>
        </w:rPr>
        <w:t>Artificial Intelligence and People Professionals</w:t>
      </w:r>
      <w:r>
        <w:t xml:space="preserve">. London: Chartered Institute of Personnel and Development. </w:t>
      </w:r>
    </w:p>
    <w:p w14:paraId="50B02FA0" w14:textId="77777777" w:rsidR="000B7ED1" w:rsidRDefault="005740ED">
      <w:pPr>
        <w:ind w:left="-5"/>
      </w:pPr>
      <w:r>
        <w:t xml:space="preserve">Conway, N., Guest, D. and Peck, E. (2023) ‘The psychological contract: Current perspectives and future directions’, </w:t>
      </w:r>
      <w:r>
        <w:rPr>
          <w:i/>
        </w:rPr>
        <w:t>Human Resource Management Review</w:t>
      </w:r>
      <w:r>
        <w:t xml:space="preserve">, 33(2), 100935. </w:t>
      </w:r>
    </w:p>
    <w:p w14:paraId="121FE432" w14:textId="77777777" w:rsidR="000B7ED1" w:rsidRDefault="005740ED">
      <w:pPr>
        <w:spacing w:after="0"/>
        <w:ind w:left="-5"/>
      </w:pPr>
      <w:r>
        <w:t xml:space="preserve">Cooper-Thomas, H.D., Paterson, N.L., Stadler, M. and Saks, A.M. (2024) </w:t>
      </w:r>
    </w:p>
    <w:p w14:paraId="6C82082F" w14:textId="77777777" w:rsidR="000B7ED1" w:rsidRDefault="005740ED">
      <w:pPr>
        <w:ind w:left="-5"/>
      </w:pPr>
      <w:r>
        <w:t xml:space="preserve">‘Organisational socialisation: Current trends and future research directions’, </w:t>
      </w:r>
      <w:r>
        <w:rPr>
          <w:i/>
        </w:rPr>
        <w:t>Human Resource Management Review</w:t>
      </w:r>
      <w:r>
        <w:t xml:space="preserve">, 34(1), 101012. </w:t>
      </w:r>
    </w:p>
    <w:p w14:paraId="5380F1DA" w14:textId="77777777" w:rsidR="000B7ED1" w:rsidRDefault="005740ED">
      <w:pPr>
        <w:ind w:left="-5"/>
      </w:pPr>
      <w:r>
        <w:t xml:space="preserve">Deloitte (2024) </w:t>
      </w:r>
      <w:r>
        <w:rPr>
          <w:i/>
        </w:rPr>
        <w:t>Global Human Capital Trends 2024</w:t>
      </w:r>
      <w:r>
        <w:t xml:space="preserve">. London: Deloitte Insights. </w:t>
      </w:r>
    </w:p>
    <w:p w14:paraId="14CB1EED" w14:textId="77777777" w:rsidR="000B7ED1" w:rsidRDefault="005740ED">
      <w:pPr>
        <w:ind w:left="-5"/>
      </w:pPr>
      <w:r>
        <w:t xml:space="preserve">Gartner (2024) </w:t>
      </w:r>
      <w:r>
        <w:rPr>
          <w:i/>
        </w:rPr>
        <w:t>Top Strategic HR Trends for 2024</w:t>
      </w:r>
      <w:r>
        <w:t xml:space="preserve">. Stamford, CT: Gartner Inc. </w:t>
      </w:r>
    </w:p>
    <w:p w14:paraId="4F6E1EB2" w14:textId="77777777" w:rsidR="000B7ED1" w:rsidRDefault="005740ED">
      <w:pPr>
        <w:ind w:left="-5"/>
      </w:pPr>
      <w:r>
        <w:t xml:space="preserve">Griep, Y. and Vantilborgh, T. (2023) ‘Reciprocity in psychological contracts: A review and future research agenda’, </w:t>
      </w:r>
      <w:r>
        <w:rPr>
          <w:i/>
        </w:rPr>
        <w:t>European Journal of Work and Organizational Psychology</w:t>
      </w:r>
      <w:r>
        <w:t xml:space="preserve">, 32(4), pp. 457–472. </w:t>
      </w:r>
    </w:p>
    <w:p w14:paraId="4E9C8022" w14:textId="77777777" w:rsidR="000B7ED1" w:rsidRDefault="005740ED">
      <w:pPr>
        <w:ind w:left="-5"/>
      </w:pPr>
      <w:r>
        <w:t xml:space="preserve">Hackman, J.R. and Oldham, G.R. (1976) ‘Motivation through the design of work: Test of a theory’, </w:t>
      </w:r>
      <w:r>
        <w:rPr>
          <w:i/>
        </w:rPr>
        <w:t>Organizational Behavior and Human Performance</w:t>
      </w:r>
      <w:r>
        <w:t xml:space="preserve">, 16(2), pp. 250–279. </w:t>
      </w:r>
    </w:p>
    <w:p w14:paraId="64EC80A6" w14:textId="77777777" w:rsidR="000B7ED1" w:rsidRDefault="005740ED">
      <w:pPr>
        <w:ind w:left="-5"/>
      </w:pPr>
      <w:r>
        <w:t xml:space="preserve">Klein, H.J., Polin, B. and Leigh Sutton, K. (2022) ‘Specific onboarding practices for the socialization of new employees’, </w:t>
      </w:r>
      <w:r>
        <w:rPr>
          <w:i/>
        </w:rPr>
        <w:t>International Journal of Selection and Assessment</w:t>
      </w:r>
      <w:r>
        <w:t xml:space="preserve">, 30(2), pp. 195–210. </w:t>
      </w:r>
    </w:p>
    <w:p w14:paraId="60105A83" w14:textId="77777777" w:rsidR="000B7ED1" w:rsidRDefault="005740ED">
      <w:pPr>
        <w:spacing w:after="161" w:line="259" w:lineRule="auto"/>
        <w:ind w:left="-5"/>
      </w:pPr>
      <w:r>
        <w:t xml:space="preserve">McKinsey Global Institute (2024) </w:t>
      </w:r>
      <w:r>
        <w:rPr>
          <w:i/>
        </w:rPr>
        <w:t>The Economic Potential of Generative AI: The Next Productivity Frontier</w:t>
      </w:r>
      <w:r>
        <w:t xml:space="preserve">. New York: McKinsey &amp; Company. </w:t>
      </w:r>
    </w:p>
    <w:p w14:paraId="6E6D373E" w14:textId="77777777" w:rsidR="000B7ED1" w:rsidRDefault="005740ED">
      <w:pPr>
        <w:spacing w:after="0"/>
        <w:ind w:left="-5"/>
      </w:pPr>
      <w:r>
        <w:t xml:space="preserve">Parker, S.K., Knight, C. and Ohly, S. (2024) ‘Work design for performance, wellbeing </w:t>
      </w:r>
    </w:p>
    <w:p w14:paraId="6EED35B0" w14:textId="77777777" w:rsidR="000B7ED1" w:rsidRDefault="005740ED">
      <w:pPr>
        <w:spacing w:after="161" w:line="259" w:lineRule="auto"/>
        <w:ind w:left="-5"/>
      </w:pPr>
      <w:r>
        <w:t xml:space="preserve">and innovation: A contemporary review’, </w:t>
      </w:r>
      <w:r>
        <w:rPr>
          <w:i/>
        </w:rPr>
        <w:t>Annual Review of Organizational Psychology and Organizational Behavior</w:t>
      </w:r>
      <w:r>
        <w:t xml:space="preserve">, 11, pp. 1–29. </w:t>
      </w:r>
    </w:p>
    <w:p w14:paraId="1D319DFF" w14:textId="77777777" w:rsidR="000B7ED1" w:rsidRDefault="005740ED">
      <w:pPr>
        <w:ind w:left="-5"/>
      </w:pPr>
      <w:r>
        <w:t xml:space="preserve">Pratt, M.G., Schultz, M. and Ashforth, B.E. (2023) ‘Identity construction in organizations’, </w:t>
      </w:r>
      <w:r>
        <w:rPr>
          <w:i/>
        </w:rPr>
        <w:t>Academy of Management Annals</w:t>
      </w:r>
      <w:r>
        <w:t xml:space="preserve">, 17(1), pp. 89–124. </w:t>
      </w:r>
    </w:p>
    <w:p w14:paraId="1386F942" w14:textId="77777777" w:rsidR="000B7ED1" w:rsidRDefault="005740ED">
      <w:pPr>
        <w:ind w:left="-5"/>
      </w:pPr>
      <w:r>
        <w:t xml:space="preserve">Tims, M. (2024) ‘Job crafting: Developments, challenges and future directions’, </w:t>
      </w:r>
      <w:r>
        <w:rPr>
          <w:i/>
        </w:rPr>
        <w:t>Current Opinion in Psychology</w:t>
      </w:r>
      <w:r>
        <w:t xml:space="preserve">, 56, 101782. </w:t>
      </w:r>
    </w:p>
    <w:p w14:paraId="3C15269A" w14:textId="77777777" w:rsidR="000B7ED1" w:rsidRDefault="005740ED">
      <w:pPr>
        <w:ind w:left="-5"/>
      </w:pPr>
      <w:r>
        <w:t xml:space="preserve">Ulrich, D. and Dulebohn, J.H. (2024) ‘The future of HR competencies and business activism’, </w:t>
      </w:r>
      <w:r>
        <w:rPr>
          <w:i/>
        </w:rPr>
        <w:t>Human Resource Management</w:t>
      </w:r>
      <w:r>
        <w:t xml:space="preserve">, 63(1), pp. 5–18. </w:t>
      </w:r>
    </w:p>
    <w:p w14:paraId="1276C2AE" w14:textId="77777777" w:rsidR="000B7ED1" w:rsidRDefault="005740ED">
      <w:pPr>
        <w:spacing w:after="161" w:line="259" w:lineRule="auto"/>
        <w:ind w:left="-5"/>
      </w:pPr>
      <w:r>
        <w:t xml:space="preserve">UNESCO (2023) </w:t>
      </w:r>
      <w:r>
        <w:rPr>
          <w:i/>
        </w:rPr>
        <w:t>Recommendation on the Ethics of Artificial Intelligence: Implementation Report</w:t>
      </w:r>
      <w:r>
        <w:t xml:space="preserve">. Paris: UNESCO. </w:t>
      </w:r>
    </w:p>
    <w:p w14:paraId="711753CA" w14:textId="77777777" w:rsidR="000B7ED1" w:rsidRDefault="005740ED">
      <w:pPr>
        <w:ind w:left="-5"/>
      </w:pPr>
      <w:r>
        <w:t xml:space="preserve">Van Maanen, J. and Schein, E.H. (1979) ‘Toward a theory of organizational socialization’, in Staw, B.M. (ed.) </w:t>
      </w:r>
      <w:r>
        <w:rPr>
          <w:i/>
        </w:rPr>
        <w:t>Research in Organizational Behavior</w:t>
      </w:r>
      <w:r>
        <w:t xml:space="preserve">. Vol. 1. Greenwich, CT: JAI Press, pp. 209–264. </w:t>
      </w:r>
    </w:p>
    <w:p w14:paraId="26F670A2" w14:textId="77777777" w:rsidR="000B7ED1" w:rsidRDefault="005740ED">
      <w:pPr>
        <w:ind w:left="-5"/>
      </w:pPr>
      <w:r>
        <w:t xml:space="preserve">Wang, Z., Parker, S.K. and Griffin, M.A. (2023) ‘Job design and innovative work behaviour in knowledge-intensive organisations’, </w:t>
      </w:r>
      <w:r>
        <w:rPr>
          <w:i/>
        </w:rPr>
        <w:t>Journal of Organizational Behavior</w:t>
      </w:r>
      <w:r>
        <w:t xml:space="preserve">, 44(5), pp. 641–660. </w:t>
      </w:r>
    </w:p>
    <w:p w14:paraId="574BC141" w14:textId="77777777" w:rsidR="000B7ED1" w:rsidRDefault="005740ED">
      <w:pPr>
        <w:ind w:left="-5"/>
      </w:pPr>
      <w:r>
        <w:t xml:space="preserve">World Economic Forum (2025) </w:t>
      </w:r>
      <w:r>
        <w:rPr>
          <w:i/>
        </w:rPr>
        <w:t>The Future of Jobs Report 2025</w:t>
      </w:r>
      <w:r>
        <w:t xml:space="preserve">. Geneva: World Economic Forum. </w:t>
      </w:r>
    </w:p>
    <w:p w14:paraId="1041C29E" w14:textId="77777777" w:rsidR="000B7ED1" w:rsidRDefault="005740ED">
      <w:pPr>
        <w:ind w:left="-5"/>
      </w:pPr>
      <w:r>
        <w:t xml:space="preserve">Wrzesniewski, A. and Dutton, J.E. (2001) ‘Crafting a job: Revisioning employees as active crafters of their work’, </w:t>
      </w:r>
      <w:r>
        <w:rPr>
          <w:i/>
        </w:rPr>
        <w:t>Academy of Management Review</w:t>
      </w:r>
      <w:r>
        <w:t xml:space="preserve">, 26(2), pp. 179–201. </w:t>
      </w:r>
    </w:p>
    <w:p w14:paraId="45D3DF5F" w14:textId="77777777" w:rsidR="000B7ED1" w:rsidRDefault="005740ED">
      <w:pPr>
        <w:ind w:left="-5"/>
      </w:pPr>
      <w:r>
        <w:t xml:space="preserve">Zhang, F., Tims, M. and Bakker, A.B. (2023) ‘Job crafting interventions and employee outcomes: A meta-analysis’, </w:t>
      </w:r>
      <w:r>
        <w:rPr>
          <w:i/>
        </w:rPr>
        <w:t>Journal of Vocational Behavior</w:t>
      </w:r>
      <w:r>
        <w:t xml:space="preserve">, 145, 103877. </w:t>
      </w:r>
    </w:p>
    <w:p w14:paraId="6C2D0D49" w14:textId="77777777" w:rsidR="000B7ED1" w:rsidRDefault="005740ED">
      <w:pPr>
        <w:spacing w:after="0" w:line="259" w:lineRule="auto"/>
        <w:ind w:left="0" w:firstLine="0"/>
      </w:pPr>
      <w:r>
        <w:t xml:space="preserve"> </w:t>
      </w:r>
    </w:p>
    <w:sectPr w:rsidR="000B7ED1">
      <w:footerReference w:type="even" r:id="rId14"/>
      <w:footerReference w:type="default" r:id="rId15"/>
      <w:footerReference w:type="first" r:id="rId16"/>
      <w:pgSz w:w="11906" w:h="16838"/>
      <w:pgMar w:top="1445" w:right="1450" w:bottom="1486" w:left="1440" w:header="720" w:footer="705"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287B468" w14:textId="77777777" w:rsidR="00B0660C" w:rsidRDefault="00B0660C">
      <w:pPr>
        <w:spacing w:after="0" w:line="240" w:lineRule="auto"/>
      </w:pPr>
      <w:r>
        <w:separator/>
      </w:r>
    </w:p>
  </w:endnote>
  <w:endnote w:type="continuationSeparator" w:id="0">
    <w:p w14:paraId="328C0D27" w14:textId="77777777" w:rsidR="00B0660C" w:rsidRDefault="00B06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05787C0" w14:textId="77777777" w:rsidR="000B7ED1" w:rsidRDefault="000B7ED1">
    <w:pPr>
      <w:spacing w:after="160" w:line="259" w:lineRule="auto"/>
      <w:ind w:lef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199A789" w14:textId="77777777" w:rsidR="000B7ED1" w:rsidRDefault="000B7ED1">
    <w:pPr>
      <w:spacing w:after="160" w:line="259" w:lineRule="auto"/>
      <w:ind w:lef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A147AE5" w14:textId="77777777" w:rsidR="000B7ED1" w:rsidRDefault="000B7ED1">
    <w:pPr>
      <w:spacing w:after="160" w:line="259" w:lineRule="auto"/>
      <w:ind w:lef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6CA2F56" w14:textId="77777777" w:rsidR="000B7ED1" w:rsidRDefault="005740ED">
    <w:pPr>
      <w:spacing w:after="0" w:line="259" w:lineRule="auto"/>
      <w:ind w:left="8" w:firstLine="0"/>
      <w:jc w:val="center"/>
    </w:pPr>
    <w:r>
      <w:fldChar w:fldCharType="begin"/>
    </w:r>
    <w:r>
      <w:instrText xml:space="preserve"> PAGE   \* MERGEFORMAT </w:instrText>
    </w:r>
    <w:r>
      <w:fldChar w:fldCharType="separate"/>
    </w:r>
    <w:r>
      <w:t>1</w:t>
    </w:r>
    <w:r>
      <w:fldChar w:fldCharType="end"/>
    </w:r>
    <w:r>
      <w:t xml:space="preserve"> </w:t>
    </w:r>
  </w:p>
  <w:p w14:paraId="3586AAC5" w14:textId="77777777" w:rsidR="000B7ED1" w:rsidRDefault="005740ED">
    <w:pPr>
      <w:spacing w:after="0" w:line="259" w:lineRule="auto"/>
      <w:ind w:left="0" w:firstLine="0"/>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7FE70D1" w14:textId="77777777" w:rsidR="000B7ED1" w:rsidRDefault="005740ED">
    <w:pPr>
      <w:spacing w:after="0" w:line="259" w:lineRule="auto"/>
      <w:ind w:left="8" w:firstLine="0"/>
      <w:jc w:val="center"/>
    </w:pPr>
    <w:r>
      <w:fldChar w:fldCharType="begin"/>
    </w:r>
    <w:r>
      <w:instrText xml:space="preserve"> PAGE   \* MERGEFORMAT </w:instrText>
    </w:r>
    <w:r>
      <w:fldChar w:fldCharType="separate"/>
    </w:r>
    <w:r>
      <w:t>1</w:t>
    </w:r>
    <w:r>
      <w:fldChar w:fldCharType="end"/>
    </w:r>
    <w:r>
      <w:t xml:space="preserve"> </w:t>
    </w:r>
  </w:p>
  <w:p w14:paraId="473AAF08" w14:textId="77777777" w:rsidR="000B7ED1" w:rsidRDefault="005740ED">
    <w:pPr>
      <w:spacing w:after="0" w:line="259" w:lineRule="auto"/>
      <w:ind w:left="0" w:firstLine="0"/>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851DD0A" w14:textId="77777777" w:rsidR="000B7ED1" w:rsidRDefault="005740ED">
    <w:pPr>
      <w:spacing w:after="0" w:line="259" w:lineRule="auto"/>
      <w:ind w:left="8" w:firstLine="0"/>
      <w:jc w:val="center"/>
    </w:pPr>
    <w:r>
      <w:fldChar w:fldCharType="begin"/>
    </w:r>
    <w:r>
      <w:instrText xml:space="preserve"> PAGE   \* MERGEFORMAT </w:instrText>
    </w:r>
    <w:r>
      <w:fldChar w:fldCharType="separate"/>
    </w:r>
    <w:r>
      <w:t>1</w:t>
    </w:r>
    <w:r>
      <w:fldChar w:fldCharType="end"/>
    </w:r>
    <w:r>
      <w:t xml:space="preserve"> </w:t>
    </w:r>
  </w:p>
  <w:p w14:paraId="57999D60" w14:textId="77777777" w:rsidR="000B7ED1" w:rsidRDefault="005740ED">
    <w:pPr>
      <w:spacing w:after="0" w:line="259" w:lineRule="auto"/>
      <w:ind w:left="0" w:firstLine="0"/>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3014BDD" w14:textId="77777777" w:rsidR="00B0660C" w:rsidRDefault="00B0660C">
      <w:pPr>
        <w:spacing w:after="0" w:line="240" w:lineRule="auto"/>
      </w:pPr>
      <w:r>
        <w:separator/>
      </w:r>
    </w:p>
  </w:footnote>
  <w:footnote w:type="continuationSeparator" w:id="0">
    <w:p w14:paraId="3ED2E805" w14:textId="77777777" w:rsidR="00B0660C" w:rsidRDefault="00B066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C52658"/>
    <w:multiLevelType w:val="multilevel"/>
    <w:tmpl w:val="B492FCB4"/>
    <w:lvl w:ilvl="0">
      <w:start w:val="1"/>
      <w:numFmt w:val="decimal"/>
      <w:pStyle w:val="Heading1"/>
      <w:lvlText w:val="%1."/>
      <w:lvlJc w:val="left"/>
      <w:pPr>
        <w:ind w:left="0"/>
      </w:pPr>
      <w:rPr>
        <w:rFonts w:ascii="Arial" w:eastAsia="Arial" w:hAnsi="Arial" w:cs="Arial"/>
        <w:b/>
        <w:bCs/>
        <w:i w:val="0"/>
        <w:strike w:val="0"/>
        <w:dstrike w:val="0"/>
        <w:color w:val="000000"/>
        <w:sz w:val="36"/>
        <w:szCs w:val="36"/>
        <w:u w:val="none" w:color="000000"/>
        <w:bdr w:val="none" w:sz="0" w:space="0" w:color="auto"/>
        <w:shd w:val="clear" w:color="auto" w:fill="auto"/>
        <w:vertAlign w:val="baseline"/>
      </w:rPr>
    </w:lvl>
    <w:lvl w:ilvl="1">
      <w:start w:val="1"/>
      <w:numFmt w:val="decimal"/>
      <w:pStyle w:val="Heading2"/>
      <w:lvlText w:val="%1.%2"/>
      <w:lvlJc w:val="left"/>
      <w:pPr>
        <w:ind w:left="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abstractNum>
  <w:num w:numId="1" w16cid:durableId="171095610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7ED1"/>
    <w:rsid w:val="000B7ED1"/>
    <w:rsid w:val="004B270F"/>
    <w:rsid w:val="005740ED"/>
    <w:rsid w:val="009A4556"/>
    <w:rsid w:val="00B0660C"/>
    <w:rsid w:val="00E542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76D65"/>
  <w15:docId w15:val="{52967128-9A42-4C36-A803-403B55174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9" w:line="260" w:lineRule="auto"/>
      <w:ind w:left="10" w:hanging="10"/>
    </w:pPr>
    <w:rPr>
      <w:rFonts w:ascii="Arial" w:eastAsia="Arial" w:hAnsi="Arial" w:cs="Arial"/>
      <w:color w:val="000000"/>
    </w:rPr>
  </w:style>
  <w:style w:type="paragraph" w:styleId="Heading1">
    <w:name w:val="heading 1"/>
    <w:next w:val="Normal"/>
    <w:link w:val="Heading1Char"/>
    <w:uiPriority w:val="9"/>
    <w:qFormat/>
    <w:pPr>
      <w:keepNext/>
      <w:keepLines/>
      <w:numPr>
        <w:numId w:val="1"/>
      </w:numPr>
      <w:spacing w:after="0" w:line="259" w:lineRule="auto"/>
      <w:ind w:left="10" w:hanging="10"/>
      <w:outlineLvl w:val="0"/>
    </w:pPr>
    <w:rPr>
      <w:rFonts w:ascii="Arial" w:eastAsia="Arial" w:hAnsi="Arial" w:cs="Arial"/>
      <w:b/>
      <w:color w:val="000000"/>
      <w:sz w:val="36"/>
    </w:rPr>
  </w:style>
  <w:style w:type="paragraph" w:styleId="Heading2">
    <w:name w:val="heading 2"/>
    <w:next w:val="Normal"/>
    <w:link w:val="Heading2Char"/>
    <w:uiPriority w:val="9"/>
    <w:unhideWhenUsed/>
    <w:qFormat/>
    <w:pPr>
      <w:keepNext/>
      <w:keepLines/>
      <w:numPr>
        <w:ilvl w:val="1"/>
        <w:numId w:val="1"/>
      </w:numPr>
      <w:spacing w:after="44" w:line="258" w:lineRule="auto"/>
      <w:ind w:left="1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Arial" w:eastAsia="Arial" w:hAnsi="Arial" w:cs="Arial"/>
      <w:b/>
      <w:color w:val="000000"/>
      <w:sz w:val="36"/>
    </w:rPr>
  </w:style>
  <w:style w:type="paragraph" w:styleId="TOC1">
    <w:name w:val="toc 1"/>
    <w:hidden/>
    <w:pPr>
      <w:spacing w:after="98" w:line="260" w:lineRule="auto"/>
      <w:ind w:left="25" w:right="16" w:hanging="10"/>
    </w:pPr>
    <w:rPr>
      <w:rFonts w:ascii="Arial" w:eastAsia="Arial" w:hAnsi="Arial" w:cs="Arial"/>
      <w:color w:val="000000"/>
    </w:rPr>
  </w:style>
  <w:style w:type="paragraph" w:styleId="TOC2">
    <w:name w:val="toc 2"/>
    <w:hidden/>
    <w:pPr>
      <w:spacing w:after="98" w:line="260" w:lineRule="auto"/>
      <w:ind w:left="265" w:right="16" w:hanging="10"/>
    </w:pPr>
    <w:rPr>
      <w:rFonts w:ascii="Arial" w:eastAsia="Arial" w:hAnsi="Arial" w:cs="Arial"/>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4446</Words>
  <Characters>25348</Characters>
  <Application>Microsoft Office Word</Application>
  <DocSecurity>0</DocSecurity>
  <Lines>211</Lines>
  <Paragraphs>59</Paragraphs>
  <ScaleCrop>false</ScaleCrop>
  <Company/>
  <LinksUpToDate>false</LinksUpToDate>
  <CharactersWithSpaces>29735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Meetkumar Vasani</dc:creator>
  <cp:keywords/>
  <cp:lastModifiedBy>Meetkumar Vasani</cp:lastModifiedBy>
  <cp:revision>2</cp:revision>
  <dcterms:created xsi:type="dcterms:W3CDTF">2026-07-17T01:59:00Z</dcterms:created>
  <dcterms:modified xsi:type="dcterms:W3CDTF">2026-07-17T01:59:00Z</dcterms:modified>
</cp:coreProperties>
</file>