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492665" w14:textId="77777777" w:rsidR="007D665F" w:rsidRDefault="007D665F" w:rsidP="005851A5">
      <w:pPr>
        <w:rPr>
          <w:b/>
          <w:sz w:val="28"/>
          <w:szCs w:val="28"/>
          <w:u w:val="single"/>
        </w:rPr>
      </w:pPr>
      <w:r w:rsidRPr="007D665F">
        <w:rPr>
          <w:b/>
          <w:bCs/>
          <w:sz w:val="28"/>
          <w:szCs w:val="28"/>
          <w:u w:val="single"/>
        </w:rPr>
        <w:t>A Critical Comparison of Two Secondary Sources</w:t>
      </w:r>
      <w:bookmarkStart w:id="0" w:name="_GoBack"/>
      <w:bookmarkEnd w:id="0"/>
    </w:p>
    <w:p w14:paraId="48C727B7" w14:textId="77777777" w:rsidR="005851A5" w:rsidRPr="007D665F" w:rsidRDefault="005851A5" w:rsidP="005851A5">
      <w:pPr>
        <w:rPr>
          <w:rFonts w:cstheme="minorHAnsi"/>
          <w:b/>
          <w:sz w:val="24"/>
          <w:szCs w:val="24"/>
          <w:u w:val="single"/>
        </w:rPr>
      </w:pPr>
      <w:bookmarkStart w:id="1" w:name="_Hlk27419510"/>
    </w:p>
    <w:p w14:paraId="22464925" w14:textId="52C6EB00" w:rsidR="00941430" w:rsidRPr="00EB431D" w:rsidRDefault="00AF02DA" w:rsidP="00D170AB">
      <w:pPr>
        <w:pStyle w:val="EndnoteText"/>
        <w:jc w:val="both"/>
        <w:rPr>
          <w:rFonts w:eastAsia="Times New Roman" w:cstheme="minorHAnsi"/>
          <w:sz w:val="24"/>
          <w:szCs w:val="24"/>
        </w:rPr>
      </w:pPr>
      <w:bookmarkStart w:id="2" w:name="_Hlk27428798"/>
      <w:r w:rsidRPr="00EB431D">
        <w:rPr>
          <w:rFonts w:cstheme="minorHAnsi"/>
          <w:sz w:val="24"/>
          <w:szCs w:val="24"/>
        </w:rPr>
        <w:t xml:space="preserve">This essay critically </w:t>
      </w:r>
      <w:proofErr w:type="gramStart"/>
      <w:r w:rsidRPr="00EB431D">
        <w:rPr>
          <w:rFonts w:cstheme="minorHAnsi"/>
          <w:sz w:val="24"/>
          <w:szCs w:val="24"/>
        </w:rPr>
        <w:t>compares and contrasts</w:t>
      </w:r>
      <w:proofErr w:type="gramEnd"/>
      <w:r w:rsidRPr="00EB431D">
        <w:rPr>
          <w:rFonts w:cstheme="minorHAnsi"/>
          <w:sz w:val="24"/>
          <w:szCs w:val="24"/>
        </w:rPr>
        <w:t xml:space="preserve"> two</w:t>
      </w:r>
      <w:r w:rsidR="007D665F" w:rsidRPr="00EB431D">
        <w:rPr>
          <w:rFonts w:cstheme="minorHAnsi"/>
          <w:sz w:val="24"/>
          <w:szCs w:val="24"/>
        </w:rPr>
        <w:t xml:space="preserve"> secondary sources that deal with Mircea Eliade and Emile Durkheim’s views of sacred space.</w:t>
      </w:r>
      <w:r w:rsidR="005851A5" w:rsidRPr="00EB431D">
        <w:rPr>
          <w:rFonts w:cstheme="minorHAnsi"/>
          <w:sz w:val="24"/>
          <w:szCs w:val="24"/>
        </w:rPr>
        <w:t xml:space="preserve"> The two papers chosen </w:t>
      </w:r>
      <w:r w:rsidRPr="00EB431D">
        <w:rPr>
          <w:rFonts w:cstheme="minorHAnsi"/>
          <w:sz w:val="24"/>
          <w:szCs w:val="24"/>
        </w:rPr>
        <w:t>are</w:t>
      </w:r>
      <w:r w:rsidRPr="00EB431D">
        <w:rPr>
          <w:rFonts w:eastAsia="Times New Roman" w:cstheme="minorHAnsi"/>
          <w:sz w:val="24"/>
          <w:szCs w:val="24"/>
        </w:rPr>
        <w:t xml:space="preserve">, </w:t>
      </w:r>
      <w:r w:rsidR="00941430" w:rsidRPr="00EB431D">
        <w:rPr>
          <w:rFonts w:eastAsia="Times New Roman" w:cstheme="minorHAnsi"/>
          <w:sz w:val="24"/>
          <w:szCs w:val="24"/>
        </w:rPr>
        <w:t>first:</w:t>
      </w:r>
      <w:r w:rsidR="00941430" w:rsidRPr="00EB431D">
        <w:rPr>
          <w:rFonts w:eastAsia="Times New Roman" w:cstheme="minorHAnsi"/>
          <w:i/>
          <w:iCs/>
          <w:sz w:val="24"/>
          <w:szCs w:val="24"/>
        </w:rPr>
        <w:t xml:space="preserve"> ‘The</w:t>
      </w:r>
      <w:r w:rsidRPr="00EB431D">
        <w:rPr>
          <w:rFonts w:eastAsia="Times New Roman" w:cstheme="minorHAnsi"/>
          <w:i/>
          <w:iCs/>
          <w:sz w:val="24"/>
          <w:szCs w:val="24"/>
        </w:rPr>
        <w:t xml:space="preserve"> elementary Forms of Religious Life: Discursive Monument, Symbolic Feast</w:t>
      </w:r>
      <w:r w:rsidRPr="00EB431D">
        <w:rPr>
          <w:rFonts w:eastAsia="Times New Roman" w:cstheme="minorHAnsi"/>
          <w:sz w:val="24"/>
          <w:szCs w:val="24"/>
        </w:rPr>
        <w:t xml:space="preserve">’, Publications of the Canadian Journal of Sociology, </w:t>
      </w:r>
      <w:r w:rsidR="00941430" w:rsidRPr="00EB431D">
        <w:rPr>
          <w:rFonts w:eastAsia="Times New Roman" w:cstheme="minorHAnsi"/>
          <w:sz w:val="24"/>
          <w:szCs w:val="24"/>
        </w:rPr>
        <w:t>vol.</w:t>
      </w:r>
      <w:r w:rsidRPr="00EB431D">
        <w:rPr>
          <w:rFonts w:eastAsia="Times New Roman" w:cstheme="minorHAnsi"/>
          <w:sz w:val="24"/>
          <w:szCs w:val="24"/>
        </w:rPr>
        <w:t>32</w:t>
      </w:r>
      <w:r w:rsidR="00941430" w:rsidRPr="00EB431D">
        <w:rPr>
          <w:rFonts w:eastAsia="Times New Roman" w:cstheme="minorHAnsi"/>
          <w:sz w:val="24"/>
          <w:szCs w:val="24"/>
        </w:rPr>
        <w:t xml:space="preserve"> no.</w:t>
      </w:r>
      <w:r w:rsidRPr="00EB431D">
        <w:rPr>
          <w:rFonts w:eastAsia="Times New Roman" w:cstheme="minorHAnsi"/>
          <w:sz w:val="24"/>
          <w:szCs w:val="24"/>
        </w:rPr>
        <w:t>4</w:t>
      </w:r>
      <w:r w:rsidR="00941430" w:rsidRPr="00EB431D">
        <w:rPr>
          <w:rFonts w:eastAsia="Times New Roman" w:cstheme="minorHAnsi"/>
          <w:sz w:val="24"/>
          <w:szCs w:val="24"/>
        </w:rPr>
        <w:t>,</w:t>
      </w:r>
      <w:r w:rsidRPr="00EB431D">
        <w:rPr>
          <w:rFonts w:eastAsia="Times New Roman" w:cstheme="minorHAnsi"/>
          <w:sz w:val="24"/>
          <w:szCs w:val="24"/>
        </w:rPr>
        <w:t>2014, pp.473-522</w:t>
      </w:r>
      <w:r w:rsidR="00941430" w:rsidRPr="00EB431D">
        <w:rPr>
          <w:rFonts w:eastAsia="Times New Roman" w:cstheme="minorHAnsi"/>
          <w:sz w:val="24"/>
          <w:szCs w:val="24"/>
        </w:rPr>
        <w:t xml:space="preserve"> by Ronjon Paul Datta and Tara Hope Milbrandt</w:t>
      </w:r>
      <w:r w:rsidR="00122D8E" w:rsidRPr="00EB431D">
        <w:rPr>
          <w:rFonts w:eastAsia="Times New Roman" w:cstheme="minorHAnsi"/>
          <w:sz w:val="24"/>
          <w:szCs w:val="24"/>
        </w:rPr>
        <w:t>.</w:t>
      </w:r>
      <w:r w:rsidR="00941430" w:rsidRPr="00EB431D">
        <w:rPr>
          <w:rFonts w:eastAsia="Times New Roman" w:cstheme="minorHAnsi"/>
          <w:sz w:val="24"/>
          <w:szCs w:val="24"/>
        </w:rPr>
        <w:t xml:space="preserve"> Second: ‘</w:t>
      </w:r>
      <w:r w:rsidR="00941430" w:rsidRPr="00EB431D">
        <w:rPr>
          <w:rFonts w:eastAsia="Times New Roman" w:cstheme="minorHAnsi"/>
          <w:i/>
          <w:iCs/>
          <w:sz w:val="24"/>
          <w:szCs w:val="24"/>
        </w:rPr>
        <w:t>Eliade, Phenomenology, and the Sacred</w:t>
      </w:r>
      <w:r w:rsidR="00941430" w:rsidRPr="00EB431D">
        <w:rPr>
          <w:rFonts w:eastAsia="Times New Roman" w:cstheme="minorHAnsi"/>
          <w:sz w:val="24"/>
          <w:szCs w:val="24"/>
        </w:rPr>
        <w:t>’, Publications of Cambridge University Press, vol.36 no. 2 ,2000, pp.177-194 by Randall Studstill.</w:t>
      </w:r>
      <w:r w:rsidR="00062CF6" w:rsidRPr="00EB431D">
        <w:rPr>
          <w:rFonts w:eastAsia="Times New Roman" w:cstheme="minorHAnsi"/>
          <w:sz w:val="24"/>
          <w:szCs w:val="24"/>
        </w:rPr>
        <w:t xml:space="preserve"> </w:t>
      </w:r>
      <w:r w:rsidR="00B74457" w:rsidRPr="00EB431D">
        <w:rPr>
          <w:rFonts w:eastAsia="Times New Roman" w:cstheme="minorHAnsi"/>
          <w:sz w:val="24"/>
          <w:szCs w:val="24"/>
        </w:rPr>
        <w:t>Some of the</w:t>
      </w:r>
      <w:r w:rsidR="00062CF6" w:rsidRPr="00EB431D">
        <w:rPr>
          <w:rFonts w:eastAsia="Times New Roman" w:cstheme="minorHAnsi"/>
          <w:sz w:val="24"/>
          <w:szCs w:val="24"/>
        </w:rPr>
        <w:t xml:space="preserve"> themes targeted in both Durkheim and Eliade’s books are</w:t>
      </w:r>
      <w:r w:rsidR="00122D8E" w:rsidRPr="00EB431D">
        <w:rPr>
          <w:rFonts w:eastAsia="Times New Roman" w:cstheme="minorHAnsi"/>
          <w:sz w:val="24"/>
          <w:szCs w:val="24"/>
        </w:rPr>
        <w:t xml:space="preserve"> about</w:t>
      </w:r>
      <w:r w:rsidR="00062CF6" w:rsidRPr="00EB431D">
        <w:rPr>
          <w:rFonts w:eastAsia="Times New Roman" w:cstheme="minorHAnsi"/>
          <w:sz w:val="24"/>
          <w:szCs w:val="24"/>
        </w:rPr>
        <w:t xml:space="preserve"> Religion, sacred</w:t>
      </w:r>
      <w:r w:rsidR="00B900D2" w:rsidRPr="00EB431D">
        <w:rPr>
          <w:rFonts w:eastAsia="Times New Roman" w:cstheme="minorHAnsi"/>
          <w:sz w:val="24"/>
          <w:szCs w:val="24"/>
        </w:rPr>
        <w:t>ness and symbolism</w:t>
      </w:r>
      <w:r w:rsidR="00F80BA3" w:rsidRPr="00EB431D">
        <w:rPr>
          <w:rFonts w:eastAsia="Times New Roman" w:cstheme="minorHAnsi"/>
          <w:sz w:val="24"/>
          <w:szCs w:val="24"/>
        </w:rPr>
        <w:t>.</w:t>
      </w:r>
      <w:r w:rsidR="00062CF6" w:rsidRPr="00EB431D">
        <w:rPr>
          <w:rFonts w:eastAsia="Times New Roman" w:cstheme="minorHAnsi"/>
          <w:sz w:val="24"/>
          <w:szCs w:val="24"/>
        </w:rPr>
        <w:t xml:space="preserve"> However, both </w:t>
      </w:r>
      <w:r w:rsidR="00B900D2" w:rsidRPr="00EB431D">
        <w:rPr>
          <w:rFonts w:eastAsia="Times New Roman" w:cstheme="minorHAnsi"/>
          <w:sz w:val="24"/>
          <w:szCs w:val="24"/>
        </w:rPr>
        <w:t xml:space="preserve">theorists </w:t>
      </w:r>
      <w:r w:rsidR="00062CF6" w:rsidRPr="00EB431D">
        <w:rPr>
          <w:rFonts w:eastAsia="Times New Roman" w:cstheme="minorHAnsi"/>
          <w:sz w:val="24"/>
          <w:szCs w:val="24"/>
        </w:rPr>
        <w:t>have different views</w:t>
      </w:r>
      <w:r w:rsidR="004568EC" w:rsidRPr="00EB431D">
        <w:rPr>
          <w:rFonts w:eastAsia="Times New Roman" w:cstheme="minorHAnsi"/>
          <w:sz w:val="24"/>
          <w:szCs w:val="24"/>
        </w:rPr>
        <w:t xml:space="preserve"> </w:t>
      </w:r>
      <w:r w:rsidR="00062CF6" w:rsidRPr="00EB431D">
        <w:rPr>
          <w:rFonts w:eastAsia="Times New Roman" w:cstheme="minorHAnsi"/>
          <w:sz w:val="24"/>
          <w:szCs w:val="24"/>
        </w:rPr>
        <w:t>about these t</w:t>
      </w:r>
      <w:r w:rsidR="00B900D2" w:rsidRPr="00EB431D">
        <w:rPr>
          <w:rFonts w:eastAsia="Times New Roman" w:cstheme="minorHAnsi"/>
          <w:sz w:val="24"/>
          <w:szCs w:val="24"/>
        </w:rPr>
        <w:t>hree</w:t>
      </w:r>
      <w:r w:rsidR="00062CF6" w:rsidRPr="00EB431D">
        <w:rPr>
          <w:rFonts w:eastAsia="Times New Roman" w:cstheme="minorHAnsi"/>
          <w:sz w:val="24"/>
          <w:szCs w:val="24"/>
        </w:rPr>
        <w:t xml:space="preserve"> themes </w:t>
      </w:r>
      <w:r w:rsidR="00DB2D34" w:rsidRPr="00EB431D">
        <w:rPr>
          <w:rFonts w:eastAsia="Times New Roman" w:cstheme="minorHAnsi"/>
          <w:sz w:val="24"/>
          <w:szCs w:val="24"/>
        </w:rPr>
        <w:t xml:space="preserve">that reflect an understanding of the nature of sacred space. </w:t>
      </w:r>
    </w:p>
    <w:p w14:paraId="2BE9E49E" w14:textId="46F44489" w:rsidR="003D374D" w:rsidRPr="00EB431D" w:rsidRDefault="003D374D" w:rsidP="00D170AB">
      <w:pPr>
        <w:pStyle w:val="EndnoteText"/>
        <w:jc w:val="both"/>
        <w:rPr>
          <w:rFonts w:ascii="Times New Roman" w:eastAsia="Times New Roman" w:hAnsi="Times New Roman" w:cs="Times New Roman"/>
          <w:sz w:val="24"/>
          <w:szCs w:val="24"/>
        </w:rPr>
      </w:pPr>
    </w:p>
    <w:p w14:paraId="23F60C05" w14:textId="1876E925" w:rsidR="003D374D" w:rsidRPr="00EB431D" w:rsidRDefault="002F41C5" w:rsidP="00D170AB">
      <w:pPr>
        <w:pStyle w:val="EndnoteText"/>
        <w:jc w:val="both"/>
        <w:rPr>
          <w:rFonts w:eastAsia="Times New Roman" w:cstheme="minorHAnsi"/>
          <w:sz w:val="24"/>
          <w:szCs w:val="24"/>
        </w:rPr>
      </w:pPr>
      <w:r w:rsidRPr="00EB431D">
        <w:rPr>
          <w:rFonts w:eastAsia="Times New Roman" w:cstheme="minorHAnsi"/>
          <w:sz w:val="24"/>
          <w:szCs w:val="24"/>
        </w:rPr>
        <w:t xml:space="preserve">To identify a sacred space, one must understand ‘the sacred’ itself. </w:t>
      </w:r>
      <w:r w:rsidR="003D374D" w:rsidRPr="00EB431D">
        <w:rPr>
          <w:rFonts w:eastAsia="Times New Roman" w:cstheme="minorHAnsi"/>
          <w:sz w:val="24"/>
          <w:szCs w:val="24"/>
        </w:rPr>
        <w:t xml:space="preserve">Starting with the perception of the ‘Sacred’ according to Durkheim and Eliade, they both understand the distinction of the </w:t>
      </w:r>
      <w:r w:rsidR="00C44836" w:rsidRPr="00EB431D">
        <w:rPr>
          <w:rFonts w:eastAsia="Times New Roman" w:cstheme="minorHAnsi"/>
          <w:sz w:val="24"/>
          <w:szCs w:val="24"/>
        </w:rPr>
        <w:t>sacred</w:t>
      </w:r>
      <w:r w:rsidRPr="00EB431D">
        <w:rPr>
          <w:rFonts w:eastAsia="Times New Roman" w:cstheme="minorHAnsi"/>
          <w:sz w:val="24"/>
          <w:szCs w:val="24"/>
        </w:rPr>
        <w:t xml:space="preserve"> from the profane</w:t>
      </w:r>
      <w:r w:rsidR="00C44836" w:rsidRPr="00EB431D">
        <w:rPr>
          <w:rFonts w:eastAsia="Times New Roman" w:cstheme="minorHAnsi"/>
          <w:sz w:val="24"/>
          <w:szCs w:val="24"/>
        </w:rPr>
        <w:t xml:space="preserve">. Eliade states </w:t>
      </w:r>
      <w:r w:rsidR="001511A2" w:rsidRPr="00EB431D">
        <w:rPr>
          <w:rFonts w:eastAsia="Times New Roman" w:cstheme="minorHAnsi"/>
          <w:sz w:val="24"/>
          <w:szCs w:val="24"/>
        </w:rPr>
        <w:t>that “The sacred always manifests itself as a reality of a wholly different order from "natural" realities</w:t>
      </w:r>
      <w:r w:rsidR="00C44836" w:rsidRPr="00EB431D">
        <w:rPr>
          <w:rFonts w:eastAsia="Times New Roman" w:cstheme="minorHAnsi"/>
          <w:sz w:val="24"/>
          <w:szCs w:val="24"/>
        </w:rPr>
        <w:t xml:space="preserve">.” </w:t>
      </w:r>
      <w:r w:rsidR="001511A2" w:rsidRPr="00EB431D">
        <w:rPr>
          <w:rStyle w:val="FootnoteReference"/>
          <w:rFonts w:eastAsia="Times New Roman" w:cstheme="minorHAnsi"/>
          <w:sz w:val="24"/>
          <w:szCs w:val="24"/>
        </w:rPr>
        <w:footnoteReference w:id="1"/>
      </w:r>
      <w:r w:rsidR="001511A2" w:rsidRPr="00EB431D">
        <w:rPr>
          <w:rFonts w:eastAsia="Times New Roman" w:cstheme="minorHAnsi"/>
          <w:sz w:val="24"/>
          <w:szCs w:val="24"/>
        </w:rPr>
        <w:t xml:space="preserve"> </w:t>
      </w:r>
      <w:r w:rsidR="00E7331E" w:rsidRPr="00EB431D">
        <w:rPr>
          <w:rFonts w:eastAsia="Times New Roman" w:cstheme="minorHAnsi"/>
          <w:sz w:val="24"/>
          <w:szCs w:val="24"/>
        </w:rPr>
        <w:t xml:space="preserve">As Eliade , Durkheim also speaks of the distinction of  the“ the </w:t>
      </w:r>
      <w:r w:rsidR="00102D07" w:rsidRPr="00EB431D">
        <w:rPr>
          <w:rFonts w:eastAsia="Times New Roman" w:cstheme="minorHAnsi"/>
          <w:sz w:val="24"/>
          <w:szCs w:val="24"/>
        </w:rPr>
        <w:t>sacred”,</w:t>
      </w:r>
      <w:r w:rsidR="00DB2D34" w:rsidRPr="00EB431D">
        <w:rPr>
          <w:rStyle w:val="FootnoteReference"/>
          <w:rFonts w:eastAsia="Times New Roman" w:cstheme="minorHAnsi"/>
          <w:sz w:val="24"/>
          <w:szCs w:val="24"/>
        </w:rPr>
        <w:footnoteReference w:id="2"/>
      </w:r>
      <w:r w:rsidR="00102D07" w:rsidRPr="00EB431D">
        <w:rPr>
          <w:rFonts w:eastAsia="Times New Roman" w:cstheme="minorHAnsi"/>
          <w:sz w:val="24"/>
          <w:szCs w:val="24"/>
        </w:rPr>
        <w:t xml:space="preserve"> he</w:t>
      </w:r>
      <w:r w:rsidR="00E7331E" w:rsidRPr="00EB431D">
        <w:rPr>
          <w:rFonts w:eastAsia="Times New Roman" w:cstheme="minorHAnsi"/>
          <w:sz w:val="24"/>
          <w:szCs w:val="24"/>
        </w:rPr>
        <w:t xml:space="preserve"> mentions “</w:t>
      </w:r>
      <w:r w:rsidR="00E7331E" w:rsidRPr="00EB431D">
        <w:rPr>
          <w:rFonts w:cstheme="minorHAnsi"/>
          <w:sz w:val="24"/>
          <w:szCs w:val="24"/>
        </w:rPr>
        <w:t>All known religious beliefs, whether simple or complex, present one common characteristic : they presuppose a classification of all the things, real and ideal, of which men think, into two classes or opposed groups, generally designated by the words profane and sacred… this division of the world into two domains, the one containing all that is sacred, and the other all that is profane, is the distinctive trait of religious thought; the beliefs , myths, dogmas and legends are either representations or systems of representations which express the nature of sacred things, the virtues and powers which are attributed to them, or their relations with each other and with profane things”</w:t>
      </w:r>
      <w:r w:rsidR="00102D07" w:rsidRPr="00EB431D">
        <w:rPr>
          <w:rFonts w:eastAsia="Times New Roman" w:cstheme="minorHAnsi"/>
          <w:sz w:val="24"/>
          <w:szCs w:val="24"/>
        </w:rPr>
        <w:t>.</w:t>
      </w:r>
      <w:r w:rsidR="00B900D2" w:rsidRPr="00EB431D">
        <w:rPr>
          <w:rStyle w:val="FootnoteReference"/>
          <w:rFonts w:eastAsia="Times New Roman" w:cstheme="minorHAnsi"/>
          <w:sz w:val="24"/>
          <w:szCs w:val="24"/>
        </w:rPr>
        <w:footnoteReference w:id="3"/>
      </w:r>
      <w:r w:rsidR="00C44836" w:rsidRPr="00EB431D">
        <w:rPr>
          <w:rFonts w:eastAsia="Times New Roman" w:cstheme="minorHAnsi"/>
          <w:sz w:val="24"/>
          <w:szCs w:val="24"/>
        </w:rPr>
        <w:t xml:space="preserve"> However, both perceive </w:t>
      </w:r>
      <w:r w:rsidRPr="00EB431D">
        <w:rPr>
          <w:rFonts w:eastAsia="Times New Roman" w:cstheme="minorHAnsi"/>
          <w:sz w:val="24"/>
          <w:szCs w:val="24"/>
        </w:rPr>
        <w:t xml:space="preserve">that </w:t>
      </w:r>
      <w:r w:rsidR="00C44836" w:rsidRPr="00EB431D">
        <w:rPr>
          <w:rFonts w:eastAsia="Times New Roman" w:cstheme="minorHAnsi"/>
          <w:sz w:val="24"/>
          <w:szCs w:val="24"/>
        </w:rPr>
        <w:t>th</w:t>
      </w:r>
      <w:r w:rsidR="001511A2" w:rsidRPr="00EB431D">
        <w:rPr>
          <w:rFonts w:eastAsia="Times New Roman" w:cstheme="minorHAnsi"/>
          <w:sz w:val="24"/>
          <w:szCs w:val="24"/>
        </w:rPr>
        <w:t xml:space="preserve">e </w:t>
      </w:r>
      <w:r w:rsidR="00C44836" w:rsidRPr="00EB431D">
        <w:rPr>
          <w:rFonts w:eastAsia="Times New Roman" w:cstheme="minorHAnsi"/>
          <w:sz w:val="24"/>
          <w:szCs w:val="24"/>
        </w:rPr>
        <w:t xml:space="preserve">distinction </w:t>
      </w:r>
      <w:r w:rsidR="001511A2" w:rsidRPr="00EB431D">
        <w:rPr>
          <w:rFonts w:eastAsia="Times New Roman" w:cstheme="minorHAnsi"/>
          <w:sz w:val="24"/>
          <w:szCs w:val="24"/>
        </w:rPr>
        <w:t xml:space="preserve">of </w:t>
      </w:r>
      <w:r w:rsidRPr="00EB431D">
        <w:rPr>
          <w:rFonts w:eastAsia="Times New Roman" w:cstheme="minorHAnsi"/>
          <w:sz w:val="24"/>
          <w:szCs w:val="24"/>
        </w:rPr>
        <w:t>‘</w:t>
      </w:r>
      <w:r w:rsidR="001511A2" w:rsidRPr="00EB431D">
        <w:rPr>
          <w:rFonts w:eastAsia="Times New Roman" w:cstheme="minorHAnsi"/>
          <w:sz w:val="24"/>
          <w:szCs w:val="24"/>
        </w:rPr>
        <w:t>the sacred</w:t>
      </w:r>
      <w:r w:rsidRPr="00EB431D">
        <w:rPr>
          <w:rFonts w:eastAsia="Times New Roman" w:cstheme="minorHAnsi"/>
          <w:sz w:val="24"/>
          <w:szCs w:val="24"/>
        </w:rPr>
        <w:t xml:space="preserve">’ </w:t>
      </w:r>
      <w:r w:rsidR="001426DC" w:rsidRPr="00EB431D">
        <w:rPr>
          <w:rFonts w:eastAsia="Times New Roman" w:cstheme="minorHAnsi"/>
          <w:sz w:val="24"/>
          <w:szCs w:val="24"/>
        </w:rPr>
        <w:t>erupts</w:t>
      </w:r>
      <w:r w:rsidR="001511A2" w:rsidRPr="00EB431D">
        <w:rPr>
          <w:rFonts w:eastAsia="Times New Roman" w:cstheme="minorHAnsi"/>
          <w:sz w:val="24"/>
          <w:szCs w:val="24"/>
        </w:rPr>
        <w:t xml:space="preserve"> </w:t>
      </w:r>
      <w:r w:rsidR="00C44836" w:rsidRPr="00EB431D">
        <w:rPr>
          <w:rFonts w:eastAsia="Times New Roman" w:cstheme="minorHAnsi"/>
          <w:sz w:val="24"/>
          <w:szCs w:val="24"/>
        </w:rPr>
        <w:t xml:space="preserve">in different ways, </w:t>
      </w:r>
      <w:r w:rsidR="00102D07" w:rsidRPr="00EB431D">
        <w:rPr>
          <w:rFonts w:eastAsia="Times New Roman" w:cstheme="minorHAnsi"/>
          <w:sz w:val="24"/>
          <w:szCs w:val="24"/>
        </w:rPr>
        <w:t>F</w:t>
      </w:r>
      <w:r w:rsidR="00C44836" w:rsidRPr="00EB431D">
        <w:rPr>
          <w:rFonts w:eastAsia="Times New Roman" w:cstheme="minorHAnsi"/>
          <w:sz w:val="24"/>
          <w:szCs w:val="24"/>
        </w:rPr>
        <w:t>or</w:t>
      </w:r>
      <w:r w:rsidR="00102D07" w:rsidRPr="00EB431D">
        <w:rPr>
          <w:rFonts w:eastAsia="Times New Roman" w:cstheme="minorHAnsi"/>
          <w:sz w:val="24"/>
          <w:szCs w:val="24"/>
        </w:rPr>
        <w:t xml:space="preserve"> Eliade</w:t>
      </w:r>
      <w:r w:rsidR="00B0638E" w:rsidRPr="00EB431D">
        <w:rPr>
          <w:rFonts w:eastAsia="Times New Roman" w:cstheme="minorHAnsi"/>
          <w:sz w:val="24"/>
          <w:szCs w:val="24"/>
        </w:rPr>
        <w:t xml:space="preserve"> sees that ‘the sacred’ exists independent of the human mind</w:t>
      </w:r>
      <w:r w:rsidR="00123B72" w:rsidRPr="00EB431D">
        <w:rPr>
          <w:rFonts w:eastAsia="Times New Roman" w:cstheme="minorHAnsi"/>
          <w:sz w:val="24"/>
          <w:szCs w:val="24"/>
        </w:rPr>
        <w:t xml:space="preserve">, and the human mind will recognize or sense it, he calls this </w:t>
      </w:r>
      <w:r w:rsidR="00B363D5" w:rsidRPr="00EB431D">
        <w:rPr>
          <w:rFonts w:cstheme="minorHAnsi"/>
          <w:sz w:val="24"/>
          <w:szCs w:val="24"/>
        </w:rPr>
        <w:t>‘a heirophany</w:t>
      </w:r>
      <w:r w:rsidR="00123B72" w:rsidRPr="00EB431D">
        <w:rPr>
          <w:rFonts w:cstheme="minorHAnsi"/>
          <w:sz w:val="24"/>
          <w:szCs w:val="24"/>
        </w:rPr>
        <w:t>.’</w:t>
      </w:r>
      <w:r w:rsidR="00FC6DC7" w:rsidRPr="00EB431D">
        <w:rPr>
          <w:rStyle w:val="FootnoteReference"/>
          <w:rFonts w:cstheme="minorHAnsi"/>
          <w:sz w:val="24"/>
          <w:szCs w:val="24"/>
        </w:rPr>
        <w:footnoteReference w:id="4"/>
      </w:r>
      <w:r w:rsidR="00123B72" w:rsidRPr="00EB431D">
        <w:rPr>
          <w:rFonts w:cstheme="minorHAnsi"/>
          <w:sz w:val="24"/>
          <w:szCs w:val="24"/>
        </w:rPr>
        <w:t xml:space="preserve"> And so,</w:t>
      </w:r>
      <w:r w:rsidR="00B0638E" w:rsidRPr="00EB431D">
        <w:rPr>
          <w:rFonts w:eastAsia="Times New Roman" w:cstheme="minorHAnsi"/>
          <w:sz w:val="24"/>
          <w:szCs w:val="24"/>
        </w:rPr>
        <w:t xml:space="preserve"> </w:t>
      </w:r>
      <w:r w:rsidR="00123B72" w:rsidRPr="00EB431D">
        <w:rPr>
          <w:rFonts w:eastAsia="Times New Roman" w:cstheme="minorHAnsi"/>
          <w:sz w:val="24"/>
          <w:szCs w:val="24"/>
        </w:rPr>
        <w:t>h</w:t>
      </w:r>
      <w:r w:rsidR="00B0638E" w:rsidRPr="00EB431D">
        <w:rPr>
          <w:rFonts w:eastAsia="Times New Roman" w:cstheme="minorHAnsi"/>
          <w:sz w:val="24"/>
          <w:szCs w:val="24"/>
        </w:rPr>
        <w:t>e</w:t>
      </w:r>
      <w:r w:rsidR="00C44836" w:rsidRPr="00EB431D">
        <w:rPr>
          <w:rFonts w:eastAsia="Times New Roman" w:cstheme="minorHAnsi"/>
          <w:sz w:val="24"/>
          <w:szCs w:val="24"/>
        </w:rPr>
        <w:t xml:space="preserve"> states that “</w:t>
      </w:r>
      <w:r w:rsidR="001511A2" w:rsidRPr="00EB431D">
        <w:rPr>
          <w:rFonts w:eastAsia="Times New Roman" w:cstheme="minorHAnsi"/>
          <w:sz w:val="24"/>
          <w:szCs w:val="24"/>
        </w:rPr>
        <w:t>To designate the act of manifestation of the sacred, we have proposed the term h</w:t>
      </w:r>
      <w:r w:rsidR="00B363D5" w:rsidRPr="00EB431D">
        <w:rPr>
          <w:rFonts w:eastAsia="Times New Roman" w:cstheme="minorHAnsi"/>
          <w:sz w:val="24"/>
          <w:szCs w:val="24"/>
        </w:rPr>
        <w:t>ei</w:t>
      </w:r>
      <w:r w:rsidR="001511A2" w:rsidRPr="00EB431D">
        <w:rPr>
          <w:rFonts w:eastAsia="Times New Roman" w:cstheme="minorHAnsi"/>
          <w:sz w:val="24"/>
          <w:szCs w:val="24"/>
        </w:rPr>
        <w:t>rophany. It is a fitting term, because it does not imply anything further; it expresses no more than is implicit in its etymological content, i.e., that something sacred shows itself to us.</w:t>
      </w:r>
      <w:r w:rsidR="001B7E8B" w:rsidRPr="00EB431D">
        <w:rPr>
          <w:rFonts w:eastAsia="Times New Roman" w:cstheme="minorHAnsi"/>
          <w:sz w:val="24"/>
          <w:szCs w:val="24"/>
        </w:rPr>
        <w:t>”</w:t>
      </w:r>
      <w:r w:rsidR="001B7E8B" w:rsidRPr="00EB431D">
        <w:rPr>
          <w:rStyle w:val="FootnoteReference"/>
          <w:rFonts w:eastAsia="Times New Roman" w:cstheme="minorHAnsi"/>
          <w:sz w:val="24"/>
          <w:szCs w:val="24"/>
        </w:rPr>
        <w:footnoteReference w:id="5"/>
      </w:r>
      <w:r w:rsidR="00123B72" w:rsidRPr="00EB431D">
        <w:rPr>
          <w:rFonts w:eastAsia="Times New Roman" w:cstheme="minorHAnsi"/>
          <w:sz w:val="24"/>
          <w:szCs w:val="24"/>
        </w:rPr>
        <w:t xml:space="preserve"> </w:t>
      </w:r>
      <w:r w:rsidR="00B363D5" w:rsidRPr="00EB431D">
        <w:rPr>
          <w:rFonts w:eastAsia="Times New Roman" w:cstheme="minorHAnsi"/>
          <w:sz w:val="24"/>
          <w:szCs w:val="24"/>
        </w:rPr>
        <w:t xml:space="preserve">In contrast, Durkheim claims that the sacred emerges due to the need of social life and social order, and the experience </w:t>
      </w:r>
      <w:r w:rsidR="003E7542" w:rsidRPr="00EB431D">
        <w:rPr>
          <w:rFonts w:eastAsia="Times New Roman" w:cstheme="minorHAnsi"/>
          <w:sz w:val="24"/>
          <w:szCs w:val="24"/>
        </w:rPr>
        <w:t>of a</w:t>
      </w:r>
      <w:r w:rsidR="00B363D5" w:rsidRPr="00EB431D">
        <w:rPr>
          <w:rFonts w:eastAsia="Times New Roman" w:cstheme="minorHAnsi"/>
          <w:sz w:val="24"/>
          <w:szCs w:val="24"/>
        </w:rPr>
        <w:t xml:space="preserve"> social group of people</w:t>
      </w:r>
      <w:r w:rsidR="00194F24" w:rsidRPr="00EB431D">
        <w:rPr>
          <w:rFonts w:eastAsia="Times New Roman" w:cstheme="minorHAnsi"/>
          <w:sz w:val="24"/>
          <w:szCs w:val="24"/>
        </w:rPr>
        <w:t xml:space="preserve"> which leads to one of his most important analysis which is collective </w:t>
      </w:r>
      <w:r w:rsidR="00853779" w:rsidRPr="00EB431D">
        <w:rPr>
          <w:rFonts w:eastAsia="Times New Roman" w:cstheme="minorHAnsi"/>
          <w:sz w:val="24"/>
          <w:szCs w:val="24"/>
        </w:rPr>
        <w:t>consciousness</w:t>
      </w:r>
      <w:r w:rsidR="00194F24" w:rsidRPr="00EB431D">
        <w:rPr>
          <w:rFonts w:eastAsia="Times New Roman" w:cstheme="minorHAnsi"/>
          <w:sz w:val="24"/>
          <w:szCs w:val="24"/>
        </w:rPr>
        <w:t>.</w:t>
      </w:r>
      <w:r w:rsidR="006F6554" w:rsidRPr="00EB431D">
        <w:rPr>
          <w:rFonts w:eastAsia="Times New Roman" w:cstheme="minorHAnsi"/>
          <w:sz w:val="24"/>
          <w:szCs w:val="24"/>
        </w:rPr>
        <w:t xml:space="preserve"> The Translator of the ‘Elementary forms of Religious life’ expresses </w:t>
      </w:r>
      <w:r w:rsidR="00217D0C" w:rsidRPr="00EB431D">
        <w:rPr>
          <w:rFonts w:eastAsia="Times New Roman" w:cstheme="minorHAnsi"/>
          <w:sz w:val="24"/>
          <w:szCs w:val="24"/>
        </w:rPr>
        <w:t>how sacredness was gained by a place or an object according to durkheim by stating that,</w:t>
      </w:r>
      <w:r w:rsidR="00194F24" w:rsidRPr="00EB431D">
        <w:rPr>
          <w:rFonts w:eastAsia="Times New Roman" w:cstheme="minorHAnsi"/>
          <w:sz w:val="24"/>
          <w:szCs w:val="24"/>
        </w:rPr>
        <w:t xml:space="preserve"> </w:t>
      </w:r>
      <w:r w:rsidR="00853779" w:rsidRPr="00EB431D">
        <w:rPr>
          <w:sz w:val="24"/>
          <w:szCs w:val="24"/>
        </w:rPr>
        <w:t>“</w:t>
      </w:r>
      <w:r w:rsidR="00B52107" w:rsidRPr="00EB431D">
        <w:rPr>
          <w:sz w:val="24"/>
          <w:szCs w:val="24"/>
        </w:rPr>
        <w:t>N</w:t>
      </w:r>
      <w:r w:rsidR="00853779" w:rsidRPr="00EB431D">
        <w:rPr>
          <w:sz w:val="24"/>
          <w:szCs w:val="24"/>
        </w:rPr>
        <w:t xml:space="preserve">onphysical reality is available to the individual mind only as it participates in mind both inside and outside itself. And because sacredness originates as it does, it is inherently impermanent and so must be added to the object again and again, just as it was originally; by </w:t>
      </w:r>
      <w:r w:rsidR="00853779" w:rsidRPr="00EB431D">
        <w:rPr>
          <w:sz w:val="24"/>
          <w:szCs w:val="24"/>
        </w:rPr>
        <w:lastRenderedPageBreak/>
        <w:t>collective human doing”.</w:t>
      </w:r>
      <w:r w:rsidR="00853779" w:rsidRPr="00EB431D">
        <w:rPr>
          <w:rStyle w:val="FootnoteReference"/>
          <w:sz w:val="24"/>
          <w:szCs w:val="24"/>
        </w:rPr>
        <w:footnoteReference w:id="6"/>
      </w:r>
      <w:r w:rsidRPr="00EB431D">
        <w:rPr>
          <w:sz w:val="24"/>
          <w:szCs w:val="24"/>
        </w:rPr>
        <w:t xml:space="preserve"> This distinction of the sacred reflects on how it could play a role into making a space to be considered as ‘sacred’, for Eliade the ‘sacred space’ could be recognized by the people in the form of heirophany</w:t>
      </w:r>
      <w:r w:rsidR="00187BC3" w:rsidRPr="00EB431D">
        <w:rPr>
          <w:sz w:val="24"/>
          <w:szCs w:val="24"/>
        </w:rPr>
        <w:t>,</w:t>
      </w:r>
      <w:r w:rsidRPr="00EB431D">
        <w:rPr>
          <w:sz w:val="24"/>
          <w:szCs w:val="24"/>
        </w:rPr>
        <w:t xml:space="preserve"> as for Durkheim sacred space will be made sacred due to the human</w:t>
      </w:r>
      <w:r w:rsidR="00187BC3" w:rsidRPr="00EB431D">
        <w:rPr>
          <w:sz w:val="24"/>
          <w:szCs w:val="24"/>
        </w:rPr>
        <w:t>s’</w:t>
      </w:r>
      <w:r w:rsidRPr="00EB431D">
        <w:rPr>
          <w:sz w:val="24"/>
          <w:szCs w:val="24"/>
        </w:rPr>
        <w:t xml:space="preserve"> mind</w:t>
      </w:r>
      <w:r w:rsidR="00187BC3" w:rsidRPr="00EB431D">
        <w:rPr>
          <w:sz w:val="24"/>
          <w:szCs w:val="24"/>
        </w:rPr>
        <w:t>s</w:t>
      </w:r>
      <w:r w:rsidRPr="00EB431D">
        <w:rPr>
          <w:sz w:val="24"/>
          <w:szCs w:val="24"/>
        </w:rPr>
        <w:t xml:space="preserve"> or collective consciousness.</w:t>
      </w:r>
      <w:r w:rsidRPr="00EB431D">
        <w:t xml:space="preserve"> </w:t>
      </w:r>
    </w:p>
    <w:p w14:paraId="7C83C71F" w14:textId="667AD929" w:rsidR="00F0760C" w:rsidRPr="00EB431D" w:rsidRDefault="00F0760C" w:rsidP="00D170AB">
      <w:pPr>
        <w:pStyle w:val="EndnoteText"/>
        <w:jc w:val="both"/>
        <w:rPr>
          <w:rFonts w:eastAsia="Times New Roman" w:cstheme="minorHAnsi"/>
          <w:sz w:val="24"/>
          <w:szCs w:val="24"/>
        </w:rPr>
      </w:pPr>
    </w:p>
    <w:p w14:paraId="55F65046" w14:textId="118CF366" w:rsidR="00C230A1" w:rsidRPr="00EB431D" w:rsidRDefault="00F0760C" w:rsidP="00D170AB">
      <w:pPr>
        <w:pStyle w:val="EndnoteText"/>
        <w:jc w:val="both"/>
        <w:rPr>
          <w:rFonts w:ascii="Times New Roman" w:eastAsia="Times New Roman" w:hAnsi="Times New Roman" w:cs="Times New Roman"/>
          <w:sz w:val="24"/>
          <w:szCs w:val="24"/>
        </w:rPr>
      </w:pPr>
      <w:r w:rsidRPr="00EB431D">
        <w:rPr>
          <w:rFonts w:eastAsia="Times New Roman" w:cstheme="minorHAnsi"/>
          <w:sz w:val="24"/>
          <w:szCs w:val="24"/>
        </w:rPr>
        <w:t xml:space="preserve">Moreover, both theorists have also had different perceptions of religion and its </w:t>
      </w:r>
      <w:r w:rsidR="007D665F" w:rsidRPr="00EB431D">
        <w:rPr>
          <w:rFonts w:eastAsia="Times New Roman" w:cstheme="minorHAnsi"/>
          <w:sz w:val="24"/>
          <w:szCs w:val="24"/>
        </w:rPr>
        <w:t>origin. Similarly,</w:t>
      </w:r>
      <w:r w:rsidR="00C230A1" w:rsidRPr="00EB431D">
        <w:rPr>
          <w:rFonts w:eastAsia="Times New Roman" w:cstheme="minorHAnsi"/>
          <w:sz w:val="24"/>
          <w:szCs w:val="24"/>
        </w:rPr>
        <w:t xml:space="preserve"> </w:t>
      </w:r>
      <w:r w:rsidRPr="00EB431D">
        <w:rPr>
          <w:rFonts w:eastAsia="Times New Roman" w:cstheme="minorHAnsi"/>
          <w:sz w:val="24"/>
          <w:szCs w:val="24"/>
        </w:rPr>
        <w:t xml:space="preserve">both do place ‘the sacred’ </w:t>
      </w:r>
      <w:r w:rsidR="00187BC3" w:rsidRPr="00EB431D">
        <w:rPr>
          <w:rFonts w:eastAsia="Times New Roman" w:cstheme="minorHAnsi"/>
          <w:sz w:val="24"/>
          <w:szCs w:val="24"/>
        </w:rPr>
        <w:t xml:space="preserve">at </w:t>
      </w:r>
      <w:r w:rsidRPr="00EB431D">
        <w:rPr>
          <w:rFonts w:eastAsia="Times New Roman" w:cstheme="minorHAnsi"/>
          <w:sz w:val="24"/>
          <w:szCs w:val="24"/>
        </w:rPr>
        <w:t>the heart of religion</w:t>
      </w:r>
      <w:r w:rsidR="00C230A1" w:rsidRPr="00EB431D">
        <w:rPr>
          <w:rFonts w:eastAsia="Times New Roman" w:cstheme="minorHAnsi"/>
          <w:sz w:val="24"/>
          <w:szCs w:val="24"/>
        </w:rPr>
        <w:t>, but</w:t>
      </w:r>
      <w:r w:rsidRPr="00EB431D">
        <w:rPr>
          <w:rFonts w:eastAsia="Times New Roman" w:cstheme="minorHAnsi"/>
          <w:sz w:val="24"/>
          <w:szCs w:val="24"/>
        </w:rPr>
        <w:t xml:space="preserve"> </w:t>
      </w:r>
      <w:r w:rsidR="00C230A1" w:rsidRPr="00EB431D">
        <w:rPr>
          <w:rFonts w:eastAsia="Times New Roman" w:cstheme="minorHAnsi"/>
          <w:sz w:val="24"/>
          <w:szCs w:val="24"/>
        </w:rPr>
        <w:t xml:space="preserve">they perceive it </w:t>
      </w:r>
      <w:r w:rsidRPr="00EB431D">
        <w:rPr>
          <w:rFonts w:eastAsia="Times New Roman" w:cstheme="minorHAnsi"/>
          <w:sz w:val="24"/>
          <w:szCs w:val="24"/>
        </w:rPr>
        <w:t xml:space="preserve">in different ways. For durkheim, </w:t>
      </w:r>
      <w:r w:rsidR="007D665F" w:rsidRPr="00EB431D">
        <w:rPr>
          <w:rFonts w:eastAsia="Times New Roman" w:cstheme="minorHAnsi"/>
          <w:sz w:val="24"/>
          <w:szCs w:val="24"/>
        </w:rPr>
        <w:t>to</w:t>
      </w:r>
      <w:r w:rsidRPr="00EB431D">
        <w:rPr>
          <w:rFonts w:eastAsia="Times New Roman" w:cstheme="minorHAnsi"/>
          <w:sz w:val="24"/>
          <w:szCs w:val="24"/>
        </w:rPr>
        <w:t xml:space="preserve"> understand religion, </w:t>
      </w:r>
      <w:r w:rsidR="00C230A1" w:rsidRPr="00EB431D">
        <w:rPr>
          <w:rFonts w:eastAsia="Times New Roman" w:cstheme="minorHAnsi"/>
          <w:sz w:val="24"/>
          <w:szCs w:val="24"/>
        </w:rPr>
        <w:t xml:space="preserve">one must understand what the sacred is and its distinction. </w:t>
      </w:r>
      <w:r w:rsidR="00897EE9" w:rsidRPr="00EB431D">
        <w:rPr>
          <w:rFonts w:eastAsia="Times New Roman" w:cstheme="minorHAnsi"/>
          <w:sz w:val="24"/>
          <w:szCs w:val="24"/>
        </w:rPr>
        <w:t>And so he explains that</w:t>
      </w:r>
      <w:r w:rsidR="00187BC3" w:rsidRPr="00EB431D">
        <w:rPr>
          <w:rFonts w:eastAsia="Times New Roman" w:cstheme="minorHAnsi"/>
          <w:sz w:val="24"/>
          <w:szCs w:val="24"/>
        </w:rPr>
        <w:t xml:space="preserve"> by stating</w:t>
      </w:r>
      <w:r w:rsidR="00897EE9" w:rsidRPr="00EB431D">
        <w:rPr>
          <w:rFonts w:eastAsia="Times New Roman" w:cstheme="minorHAnsi"/>
          <w:sz w:val="24"/>
          <w:szCs w:val="24"/>
        </w:rPr>
        <w:t>, “</w:t>
      </w:r>
      <w:r w:rsidR="00897EE9" w:rsidRPr="00EB431D">
        <w:rPr>
          <w:rFonts w:ascii="Times New Roman" w:eastAsia="Times New Roman" w:hAnsi="Times New Roman" w:cs="Times New Roman"/>
          <w:sz w:val="24"/>
          <w:szCs w:val="24"/>
        </w:rPr>
        <w:t>A religion is a unified system of beliefs and practices relative to sacred things, that is to say, things set apart and forbidden—beliefs and practices which unite into a single moral community called a Church, all those who adhere to them”.</w:t>
      </w:r>
      <w:r w:rsidR="00897EE9" w:rsidRPr="00EB431D">
        <w:rPr>
          <w:rStyle w:val="FootnoteReference"/>
          <w:rFonts w:ascii="Times New Roman" w:eastAsia="Times New Roman" w:hAnsi="Times New Roman" w:cs="Times New Roman"/>
          <w:sz w:val="24"/>
          <w:szCs w:val="24"/>
        </w:rPr>
        <w:footnoteReference w:id="7"/>
      </w:r>
      <w:r w:rsidR="00853779" w:rsidRPr="00EB431D">
        <w:rPr>
          <w:sz w:val="24"/>
          <w:szCs w:val="24"/>
        </w:rPr>
        <w:t xml:space="preserve"> </w:t>
      </w:r>
      <w:r w:rsidR="00CE20A4" w:rsidRPr="00EB431D">
        <w:rPr>
          <w:sz w:val="24"/>
          <w:szCs w:val="24"/>
        </w:rPr>
        <w:t>He also takes a more sociological approach where he refers to religion as one among several major social institutions in complex societies</w:t>
      </w:r>
      <w:r w:rsidR="00187BC3" w:rsidRPr="00EB431D">
        <w:rPr>
          <w:sz w:val="24"/>
          <w:szCs w:val="24"/>
        </w:rPr>
        <w:t>,</w:t>
      </w:r>
      <w:r w:rsidR="00CE20A4" w:rsidRPr="00EB431D">
        <w:rPr>
          <w:sz w:val="24"/>
          <w:szCs w:val="24"/>
        </w:rPr>
        <w:t xml:space="preserve"> like the family for example</w:t>
      </w:r>
      <w:r w:rsidR="00187BC3" w:rsidRPr="00EB431D">
        <w:rPr>
          <w:sz w:val="24"/>
          <w:szCs w:val="24"/>
        </w:rPr>
        <w:t xml:space="preserve">. </w:t>
      </w:r>
      <w:r w:rsidR="00661234" w:rsidRPr="00EB431D">
        <w:rPr>
          <w:sz w:val="24"/>
          <w:szCs w:val="24"/>
        </w:rPr>
        <w:t>Unlike Durkheim, Eliade views religion and its relation to the sacred independent from the human mind</w:t>
      </w:r>
      <w:r w:rsidR="001C3839" w:rsidRPr="00EB431D">
        <w:rPr>
          <w:sz w:val="24"/>
          <w:szCs w:val="24"/>
        </w:rPr>
        <w:t>.</w:t>
      </w:r>
      <w:r w:rsidR="00CE20A4" w:rsidRPr="00EB431D">
        <w:rPr>
          <w:rStyle w:val="FootnoteReference"/>
          <w:sz w:val="24"/>
          <w:szCs w:val="24"/>
        </w:rPr>
        <w:footnoteReference w:id="8"/>
      </w:r>
      <w:r w:rsidR="001C3839" w:rsidRPr="00EB431D">
        <w:rPr>
          <w:sz w:val="24"/>
          <w:szCs w:val="24"/>
        </w:rPr>
        <w:t xml:space="preserve"> “It could be said that the history of religions-from the most primitive to the most highly developed-is constituted by a great number of hierophanies, by manifestations of sacred realities”</w:t>
      </w:r>
      <w:r w:rsidR="008C7E1E" w:rsidRPr="00EB431D">
        <w:rPr>
          <w:rStyle w:val="FootnoteReference"/>
          <w:sz w:val="24"/>
          <w:szCs w:val="24"/>
        </w:rPr>
        <w:footnoteReference w:id="9"/>
      </w:r>
      <w:r w:rsidR="009D3451" w:rsidRPr="00EB431D">
        <w:rPr>
          <w:sz w:val="24"/>
          <w:szCs w:val="24"/>
        </w:rPr>
        <w:t xml:space="preserve"> However, according to Studstill he sees that Eliade is interested in discovering the structures of consciousness that constitute religious experience</w:t>
      </w:r>
      <w:r w:rsidR="00CF3F73" w:rsidRPr="00EB431D">
        <w:rPr>
          <w:sz w:val="24"/>
          <w:szCs w:val="24"/>
        </w:rPr>
        <w:t xml:space="preserve"> and that </w:t>
      </w:r>
      <w:r w:rsidR="009D3451" w:rsidRPr="00EB431D">
        <w:rPr>
          <w:sz w:val="24"/>
          <w:szCs w:val="24"/>
        </w:rPr>
        <w:t xml:space="preserve">the fundamental structure </w:t>
      </w:r>
      <w:r w:rsidR="00CF3F73" w:rsidRPr="00EB431D">
        <w:rPr>
          <w:sz w:val="24"/>
          <w:szCs w:val="24"/>
        </w:rPr>
        <w:t>he identifies is the relation between the believer and the sacred.</w:t>
      </w:r>
      <w:r w:rsidR="00CF3F73" w:rsidRPr="00EB431D">
        <w:rPr>
          <w:rStyle w:val="FootnoteReference"/>
          <w:sz w:val="24"/>
          <w:szCs w:val="24"/>
        </w:rPr>
        <w:footnoteReference w:id="10"/>
      </w:r>
      <w:r w:rsidR="002F41C5" w:rsidRPr="00EB431D">
        <w:rPr>
          <w:sz w:val="24"/>
          <w:szCs w:val="24"/>
        </w:rPr>
        <w:t xml:space="preserve">This contrast in opinions about religion </w:t>
      </w:r>
      <w:r w:rsidR="00FD51EC" w:rsidRPr="00EB431D">
        <w:rPr>
          <w:sz w:val="24"/>
          <w:szCs w:val="24"/>
        </w:rPr>
        <w:t>is merely about how it was erupted</w:t>
      </w:r>
      <w:r w:rsidR="00187BC3" w:rsidRPr="00EB431D">
        <w:rPr>
          <w:sz w:val="24"/>
          <w:szCs w:val="24"/>
        </w:rPr>
        <w:t xml:space="preserve"> and viewed</w:t>
      </w:r>
      <w:r w:rsidR="00FD51EC" w:rsidRPr="00EB431D">
        <w:rPr>
          <w:sz w:val="24"/>
          <w:szCs w:val="24"/>
        </w:rPr>
        <w:t>, both do state that its main trigger is ‘the sacred’, which will reflect on religious spaces for being identified as sacred</w:t>
      </w:r>
      <w:r w:rsidR="00217D0C" w:rsidRPr="00EB431D">
        <w:rPr>
          <w:sz w:val="24"/>
          <w:szCs w:val="24"/>
        </w:rPr>
        <w:t>.</w:t>
      </w:r>
    </w:p>
    <w:p w14:paraId="6EFD1501" w14:textId="7E1BAAB7" w:rsidR="00C230A1" w:rsidRPr="00EB431D" w:rsidRDefault="00C230A1" w:rsidP="00D170AB">
      <w:pPr>
        <w:jc w:val="both"/>
        <w:rPr>
          <w:sz w:val="24"/>
          <w:szCs w:val="24"/>
        </w:rPr>
      </w:pPr>
    </w:p>
    <w:p w14:paraId="7B4F5362" w14:textId="33BE93E4" w:rsidR="00D170AB" w:rsidRPr="00EB431D" w:rsidRDefault="00C230A1" w:rsidP="00D170AB">
      <w:pPr>
        <w:jc w:val="both"/>
        <w:rPr>
          <w:sz w:val="24"/>
          <w:szCs w:val="24"/>
        </w:rPr>
      </w:pPr>
      <w:r w:rsidRPr="00EB431D">
        <w:rPr>
          <w:sz w:val="24"/>
          <w:szCs w:val="24"/>
        </w:rPr>
        <w:t xml:space="preserve">Something that is common for Durkheim and Eliade is their analysis of totems and symbols </w:t>
      </w:r>
      <w:r w:rsidR="00D6498F" w:rsidRPr="00EB431D">
        <w:rPr>
          <w:sz w:val="24"/>
          <w:szCs w:val="24"/>
        </w:rPr>
        <w:t xml:space="preserve">as </w:t>
      </w:r>
      <w:r w:rsidR="003278F5" w:rsidRPr="00EB431D">
        <w:rPr>
          <w:sz w:val="24"/>
          <w:szCs w:val="24"/>
        </w:rPr>
        <w:t xml:space="preserve">essential </w:t>
      </w:r>
      <w:r w:rsidR="00D6498F" w:rsidRPr="00EB431D">
        <w:rPr>
          <w:sz w:val="24"/>
          <w:szCs w:val="24"/>
        </w:rPr>
        <w:t>elements of religion since they connect directly to sacredness. For example, Durkheim argues that early religion is totemic in nature</w:t>
      </w:r>
      <w:r w:rsidR="003278F5" w:rsidRPr="00EB431D">
        <w:rPr>
          <w:sz w:val="24"/>
          <w:szCs w:val="24"/>
        </w:rPr>
        <w:t xml:space="preserve"> and that it is achieved when a group of people through collective consciousness identify a certain totem and rise from it to create rituals that are based on this identification.</w:t>
      </w:r>
      <w:r w:rsidR="007F29B6" w:rsidRPr="00EB431D">
        <w:rPr>
          <w:rStyle w:val="FootnoteReference"/>
          <w:sz w:val="24"/>
          <w:szCs w:val="24"/>
        </w:rPr>
        <w:footnoteReference w:id="11"/>
      </w:r>
      <w:r w:rsidR="007F29B6" w:rsidRPr="00EB431D">
        <w:rPr>
          <w:sz w:val="24"/>
          <w:szCs w:val="24"/>
        </w:rPr>
        <w:t xml:space="preserve"> </w:t>
      </w:r>
      <w:r w:rsidR="000F5557" w:rsidRPr="00EB431D">
        <w:rPr>
          <w:sz w:val="24"/>
          <w:szCs w:val="24"/>
        </w:rPr>
        <w:t>“From the analysis to which we have been giving our attention, it is evident that it expresses and symbolizes two different sorts of things. In the first place, it is the outward and visible form from what we have called the totemic principle or god. But it is also the symbol of the determined society called the clan. It is its flag; it is the sign by which each clan distinguishes itself from others”.</w:t>
      </w:r>
      <w:r w:rsidR="000F5557" w:rsidRPr="00EB431D">
        <w:rPr>
          <w:rStyle w:val="FootnoteReference"/>
          <w:sz w:val="24"/>
          <w:szCs w:val="24"/>
        </w:rPr>
        <w:footnoteReference w:id="12"/>
      </w:r>
      <w:r w:rsidR="000F5557" w:rsidRPr="00EB431D">
        <w:rPr>
          <w:sz w:val="24"/>
          <w:szCs w:val="24"/>
        </w:rPr>
        <w:t xml:space="preserve"> </w:t>
      </w:r>
      <w:r w:rsidR="00E111AC" w:rsidRPr="00EB431D">
        <w:rPr>
          <w:sz w:val="24"/>
          <w:szCs w:val="24"/>
        </w:rPr>
        <w:t>This idea also applies on personal individuals’ perceptions of totems, where durkheim gives examples of north American an</w:t>
      </w:r>
      <w:r w:rsidR="000F5557" w:rsidRPr="00EB431D">
        <w:rPr>
          <w:sz w:val="24"/>
          <w:szCs w:val="24"/>
        </w:rPr>
        <w:t>d</w:t>
      </w:r>
      <w:r w:rsidR="00E111AC" w:rsidRPr="00EB431D">
        <w:rPr>
          <w:sz w:val="24"/>
          <w:szCs w:val="24"/>
        </w:rPr>
        <w:t xml:space="preserve"> Indian tribes of personally sustaining relations with some determined objects and totems. </w:t>
      </w:r>
      <w:r w:rsidR="00E111AC" w:rsidRPr="00EB431D">
        <w:rPr>
          <w:rStyle w:val="FootnoteReference"/>
          <w:sz w:val="24"/>
          <w:szCs w:val="24"/>
        </w:rPr>
        <w:footnoteReference w:id="13"/>
      </w:r>
      <w:r w:rsidR="00E111AC" w:rsidRPr="00EB431D">
        <w:rPr>
          <w:sz w:val="24"/>
          <w:szCs w:val="24"/>
        </w:rPr>
        <w:t xml:space="preserve"> </w:t>
      </w:r>
      <w:r w:rsidR="009660A0" w:rsidRPr="00EB431D">
        <w:rPr>
          <w:sz w:val="24"/>
          <w:szCs w:val="24"/>
        </w:rPr>
        <w:t>As for Eliade,</w:t>
      </w:r>
      <w:r w:rsidR="00115AFF" w:rsidRPr="00EB431D">
        <w:rPr>
          <w:sz w:val="24"/>
          <w:szCs w:val="24"/>
        </w:rPr>
        <w:t xml:space="preserve"> he investigates t</w:t>
      </w:r>
      <w:r w:rsidR="001579C6" w:rsidRPr="00EB431D">
        <w:rPr>
          <w:sz w:val="24"/>
          <w:szCs w:val="24"/>
        </w:rPr>
        <w:t>he moon</w:t>
      </w:r>
      <w:r w:rsidR="00E619C9" w:rsidRPr="00EB431D">
        <w:rPr>
          <w:sz w:val="24"/>
          <w:szCs w:val="24"/>
        </w:rPr>
        <w:t xml:space="preserve"> not as being sacred, but</w:t>
      </w:r>
      <w:r w:rsidR="001579C6" w:rsidRPr="00EB431D">
        <w:rPr>
          <w:sz w:val="24"/>
          <w:szCs w:val="24"/>
        </w:rPr>
        <w:t xml:space="preserve"> as being a symbol of the sacred, </w:t>
      </w:r>
      <w:r w:rsidR="00E619C9" w:rsidRPr="00EB431D">
        <w:rPr>
          <w:sz w:val="24"/>
          <w:szCs w:val="24"/>
        </w:rPr>
        <w:t xml:space="preserve">and when in contact of the phenomena of the moon that reflects certain powers as fertility, or regeneration this will create </w:t>
      </w:r>
      <w:r w:rsidR="00E619C9" w:rsidRPr="00EB431D">
        <w:rPr>
          <w:sz w:val="24"/>
          <w:szCs w:val="24"/>
        </w:rPr>
        <w:lastRenderedPageBreak/>
        <w:t>a heirophany in which the person will sense, and that is how it connects to religion.</w:t>
      </w:r>
      <w:r w:rsidR="000F5557" w:rsidRPr="00EB431D">
        <w:rPr>
          <w:rStyle w:val="FootnoteReference"/>
          <w:sz w:val="24"/>
          <w:szCs w:val="24"/>
        </w:rPr>
        <w:footnoteReference w:id="14"/>
      </w:r>
      <w:r w:rsidR="00E619C9" w:rsidRPr="00EB431D">
        <w:rPr>
          <w:sz w:val="24"/>
          <w:szCs w:val="24"/>
        </w:rPr>
        <w:t xml:space="preserve"> </w:t>
      </w:r>
      <w:r w:rsidR="007D665F" w:rsidRPr="00EB431D">
        <w:rPr>
          <w:sz w:val="24"/>
          <w:szCs w:val="24"/>
        </w:rPr>
        <w:t>“The sacred reality of the moon was recognized either immediately, in the lunar hierophany itself, or in the forms created by that hierophany over the course of thousands of years-that is in the representations to which it had given birth: personifications, symbols or myths.”</w:t>
      </w:r>
      <w:r w:rsidR="007D665F" w:rsidRPr="00EB431D">
        <w:rPr>
          <w:rStyle w:val="FootnoteReference"/>
          <w:sz w:val="24"/>
          <w:szCs w:val="24"/>
        </w:rPr>
        <w:footnoteReference w:id="15"/>
      </w:r>
      <w:r w:rsidR="000F5557" w:rsidRPr="00EB431D">
        <w:rPr>
          <w:sz w:val="24"/>
          <w:szCs w:val="24"/>
        </w:rPr>
        <w:t xml:space="preserve"> Similar to Durkheim, Eliade also talks about the sacred with respect to the individual, he gives examples of a man’s birthplace as of being a</w:t>
      </w:r>
      <w:r w:rsidR="001F1CF9" w:rsidRPr="00EB431D">
        <w:rPr>
          <w:sz w:val="24"/>
          <w:szCs w:val="24"/>
        </w:rPr>
        <w:t xml:space="preserve"> symbol of a</w:t>
      </w:r>
      <w:r w:rsidR="000F5557" w:rsidRPr="00EB431D">
        <w:rPr>
          <w:sz w:val="24"/>
          <w:szCs w:val="24"/>
        </w:rPr>
        <w:t xml:space="preserve"> private holy place. </w:t>
      </w:r>
      <w:r w:rsidR="000F5557" w:rsidRPr="00EB431D">
        <w:rPr>
          <w:rStyle w:val="FootnoteReference"/>
          <w:sz w:val="24"/>
          <w:szCs w:val="24"/>
        </w:rPr>
        <w:footnoteReference w:id="16"/>
      </w:r>
      <w:r w:rsidR="001F1CF9" w:rsidRPr="00EB431D">
        <w:rPr>
          <w:sz w:val="24"/>
          <w:szCs w:val="24"/>
        </w:rPr>
        <w:t xml:space="preserve"> Hence, sacred space for both durkheim and Eliade can be determined by totems or symbols and that can also apply for a group of people or individuals, the only difference they present is the recognition of this sacred space, where Durkheim sees it as constructed</w:t>
      </w:r>
      <w:r w:rsidR="001426DC" w:rsidRPr="00EB431D">
        <w:rPr>
          <w:sz w:val="24"/>
          <w:szCs w:val="24"/>
        </w:rPr>
        <w:t>,</w:t>
      </w:r>
      <w:r w:rsidR="001F1CF9" w:rsidRPr="00EB431D">
        <w:rPr>
          <w:sz w:val="24"/>
          <w:szCs w:val="24"/>
        </w:rPr>
        <w:t xml:space="preserve"> while Eliade thinks that it is initially a sacred object or event that is recognized by the people by a heirophany.</w:t>
      </w:r>
      <w:r w:rsidR="001426DC" w:rsidRPr="00EB431D">
        <w:rPr>
          <w:sz w:val="24"/>
          <w:szCs w:val="24"/>
        </w:rPr>
        <w:t xml:space="preserve"> “‘The sacred’ is a cover-term for that category of ‘objects’ constituted in the mind of the believer as both ‘ultimately real’ and as distinct from the profane world.”</w:t>
      </w:r>
      <w:r w:rsidR="001426DC" w:rsidRPr="00EB431D">
        <w:rPr>
          <w:rStyle w:val="FootnoteReference"/>
          <w:sz w:val="24"/>
          <w:szCs w:val="24"/>
        </w:rPr>
        <w:footnoteReference w:id="17"/>
      </w:r>
    </w:p>
    <w:p w14:paraId="07551726" w14:textId="4A4C5325" w:rsidR="00B52107" w:rsidRDefault="00B900D2" w:rsidP="00D170AB">
      <w:pPr>
        <w:jc w:val="both"/>
        <w:rPr>
          <w:sz w:val="24"/>
          <w:szCs w:val="24"/>
        </w:rPr>
      </w:pPr>
      <w:r w:rsidRPr="00EB431D">
        <w:rPr>
          <w:sz w:val="24"/>
          <w:szCs w:val="24"/>
        </w:rPr>
        <w:t xml:space="preserve">In conclusion, </w:t>
      </w:r>
      <w:r w:rsidR="008C7E1E" w:rsidRPr="00EB431D">
        <w:rPr>
          <w:sz w:val="24"/>
          <w:szCs w:val="24"/>
        </w:rPr>
        <w:t xml:space="preserve">it shows that Durkheim dealt with his </w:t>
      </w:r>
      <w:r w:rsidR="00AC770A" w:rsidRPr="00EB431D">
        <w:rPr>
          <w:sz w:val="24"/>
          <w:szCs w:val="24"/>
        </w:rPr>
        <w:t>theories in a more sociological way rather than phenomenological as Eliade.</w:t>
      </w:r>
      <w:r w:rsidR="00B07793" w:rsidRPr="00EB431D">
        <w:rPr>
          <w:rStyle w:val="FootnoteReference"/>
          <w:sz w:val="24"/>
          <w:szCs w:val="24"/>
        </w:rPr>
        <w:footnoteReference w:id="18"/>
      </w:r>
      <w:r w:rsidR="00AC770A" w:rsidRPr="00EB431D">
        <w:rPr>
          <w:sz w:val="24"/>
          <w:szCs w:val="24"/>
        </w:rPr>
        <w:t xml:space="preserve"> For durkheim focuses </w:t>
      </w:r>
      <w:r w:rsidR="00B52107" w:rsidRPr="00EB431D">
        <w:rPr>
          <w:sz w:val="24"/>
          <w:szCs w:val="24"/>
        </w:rPr>
        <w:t xml:space="preserve">on the distinction of the </w:t>
      </w:r>
      <w:r w:rsidR="00AC770A" w:rsidRPr="00EB431D">
        <w:rPr>
          <w:sz w:val="24"/>
          <w:szCs w:val="24"/>
        </w:rPr>
        <w:t xml:space="preserve">sacred </w:t>
      </w:r>
      <w:r w:rsidR="00B52107" w:rsidRPr="00EB431D">
        <w:rPr>
          <w:sz w:val="24"/>
          <w:szCs w:val="24"/>
        </w:rPr>
        <w:t>according to</w:t>
      </w:r>
      <w:r w:rsidR="00AC770A" w:rsidRPr="00EB431D">
        <w:rPr>
          <w:sz w:val="24"/>
          <w:szCs w:val="24"/>
        </w:rPr>
        <w:t xml:space="preserve"> society and how do people deal with</w:t>
      </w:r>
      <w:r w:rsidR="00B52107" w:rsidRPr="00EB431D">
        <w:rPr>
          <w:sz w:val="24"/>
          <w:szCs w:val="24"/>
        </w:rPr>
        <w:t xml:space="preserve"> </w:t>
      </w:r>
      <w:r w:rsidR="00AC770A" w:rsidRPr="00EB431D">
        <w:rPr>
          <w:sz w:val="24"/>
          <w:szCs w:val="24"/>
        </w:rPr>
        <w:t>it</w:t>
      </w:r>
      <w:r w:rsidR="00B52107" w:rsidRPr="00EB431D">
        <w:rPr>
          <w:sz w:val="24"/>
          <w:szCs w:val="24"/>
        </w:rPr>
        <w:t>,</w:t>
      </w:r>
      <w:r w:rsidR="00AC770A" w:rsidRPr="00EB431D">
        <w:rPr>
          <w:sz w:val="24"/>
          <w:szCs w:val="24"/>
        </w:rPr>
        <w:t xml:space="preserve"> which lead him to the idea of collective consciousness. </w:t>
      </w:r>
      <w:r w:rsidR="00EB431D" w:rsidRPr="00EB431D">
        <w:rPr>
          <w:sz w:val="24"/>
          <w:szCs w:val="24"/>
        </w:rPr>
        <w:t>Hence,</w:t>
      </w:r>
      <w:r w:rsidR="00EB68D5">
        <w:rPr>
          <w:sz w:val="24"/>
          <w:szCs w:val="24"/>
        </w:rPr>
        <w:t xml:space="preserve"> according to Durkheim,</w:t>
      </w:r>
      <w:r w:rsidR="00EB431D" w:rsidRPr="00EB431D">
        <w:rPr>
          <w:sz w:val="24"/>
          <w:szCs w:val="24"/>
        </w:rPr>
        <w:t xml:space="preserve"> sacred place is </w:t>
      </w:r>
      <w:r w:rsidR="00EB68D5">
        <w:rPr>
          <w:sz w:val="24"/>
          <w:szCs w:val="24"/>
        </w:rPr>
        <w:t xml:space="preserve">a </w:t>
      </w:r>
      <w:r w:rsidR="00EB431D" w:rsidRPr="00EB431D">
        <w:rPr>
          <w:sz w:val="24"/>
          <w:szCs w:val="24"/>
        </w:rPr>
        <w:t xml:space="preserve">human construct. </w:t>
      </w:r>
      <w:r w:rsidR="00AC770A" w:rsidRPr="00EB431D">
        <w:rPr>
          <w:sz w:val="24"/>
          <w:szCs w:val="24"/>
        </w:rPr>
        <w:t xml:space="preserve">As for Eliade, he focuses on </w:t>
      </w:r>
      <w:r w:rsidR="00B52107" w:rsidRPr="00EB431D">
        <w:rPr>
          <w:sz w:val="24"/>
          <w:szCs w:val="24"/>
        </w:rPr>
        <w:t>the sacred</w:t>
      </w:r>
      <w:r w:rsidR="00AC770A" w:rsidRPr="00EB431D">
        <w:rPr>
          <w:sz w:val="24"/>
          <w:szCs w:val="24"/>
        </w:rPr>
        <w:t xml:space="preserve"> as an independent feature that is added to society by the recognition of the people through heirophanies</w:t>
      </w:r>
      <w:r w:rsidR="00EB431D" w:rsidRPr="00EB431D">
        <w:rPr>
          <w:sz w:val="24"/>
          <w:szCs w:val="24"/>
        </w:rPr>
        <w:t xml:space="preserve">, which shows that sacred place </w:t>
      </w:r>
      <w:r w:rsidR="00EB68D5">
        <w:rPr>
          <w:sz w:val="24"/>
          <w:szCs w:val="24"/>
        </w:rPr>
        <w:t xml:space="preserve">or object </w:t>
      </w:r>
      <w:r w:rsidR="00EB431D" w:rsidRPr="00EB431D">
        <w:rPr>
          <w:sz w:val="24"/>
          <w:szCs w:val="24"/>
        </w:rPr>
        <w:t>is independent from the human mind.</w:t>
      </w:r>
      <w:r w:rsidR="00B52107" w:rsidRPr="00EB431D">
        <w:rPr>
          <w:sz w:val="24"/>
          <w:szCs w:val="24"/>
        </w:rPr>
        <w:t xml:space="preserve"> </w:t>
      </w:r>
      <w:r w:rsidR="00AC770A" w:rsidRPr="00EB431D">
        <w:rPr>
          <w:sz w:val="24"/>
          <w:szCs w:val="24"/>
        </w:rPr>
        <w:t xml:space="preserve">However, </w:t>
      </w:r>
      <w:r w:rsidR="00B52107" w:rsidRPr="00EB431D">
        <w:rPr>
          <w:sz w:val="24"/>
          <w:szCs w:val="24"/>
        </w:rPr>
        <w:t xml:space="preserve">an idea </w:t>
      </w:r>
      <w:r w:rsidR="00AC770A" w:rsidRPr="00EB431D">
        <w:rPr>
          <w:sz w:val="24"/>
          <w:szCs w:val="24"/>
        </w:rPr>
        <w:t xml:space="preserve">that is </w:t>
      </w:r>
      <w:r w:rsidR="00B52107" w:rsidRPr="00EB431D">
        <w:rPr>
          <w:sz w:val="24"/>
          <w:szCs w:val="24"/>
        </w:rPr>
        <w:t>common</w:t>
      </w:r>
      <w:r w:rsidR="00AC770A" w:rsidRPr="00EB431D">
        <w:rPr>
          <w:sz w:val="24"/>
          <w:szCs w:val="24"/>
        </w:rPr>
        <w:t xml:space="preserve"> in both </w:t>
      </w:r>
      <w:r w:rsidR="00187BC3" w:rsidRPr="00EB431D">
        <w:rPr>
          <w:sz w:val="24"/>
          <w:szCs w:val="24"/>
        </w:rPr>
        <w:t>theorists</w:t>
      </w:r>
      <w:r w:rsidR="00AC770A" w:rsidRPr="00EB431D">
        <w:rPr>
          <w:sz w:val="24"/>
          <w:szCs w:val="24"/>
        </w:rPr>
        <w:t xml:space="preserve"> is the importance of the </w:t>
      </w:r>
      <w:r w:rsidR="00B52107" w:rsidRPr="00EB431D">
        <w:rPr>
          <w:sz w:val="24"/>
          <w:szCs w:val="24"/>
        </w:rPr>
        <w:t xml:space="preserve">role of the </w:t>
      </w:r>
      <w:r w:rsidR="00AC770A" w:rsidRPr="00EB431D">
        <w:rPr>
          <w:sz w:val="24"/>
          <w:szCs w:val="24"/>
        </w:rPr>
        <w:t>human mind</w:t>
      </w:r>
      <w:r w:rsidR="00F92A5C" w:rsidRPr="00EB431D">
        <w:rPr>
          <w:sz w:val="24"/>
          <w:szCs w:val="24"/>
        </w:rPr>
        <w:t xml:space="preserve"> when dealing with </w:t>
      </w:r>
      <w:r w:rsidR="00E10903" w:rsidRPr="00EB431D">
        <w:rPr>
          <w:sz w:val="24"/>
          <w:szCs w:val="24"/>
        </w:rPr>
        <w:t>‘</w:t>
      </w:r>
      <w:r w:rsidR="00F92A5C" w:rsidRPr="00EB431D">
        <w:rPr>
          <w:sz w:val="24"/>
          <w:szCs w:val="24"/>
        </w:rPr>
        <w:t>the sacred</w:t>
      </w:r>
      <w:r w:rsidR="00E10903" w:rsidRPr="00EB431D">
        <w:rPr>
          <w:sz w:val="24"/>
          <w:szCs w:val="24"/>
        </w:rPr>
        <w:t>’,</w:t>
      </w:r>
      <w:r w:rsidR="00AC770A" w:rsidRPr="00EB431D">
        <w:rPr>
          <w:sz w:val="24"/>
          <w:szCs w:val="24"/>
        </w:rPr>
        <w:t xml:space="preserve"> </w:t>
      </w:r>
      <w:r w:rsidR="006C71B0" w:rsidRPr="00EB431D">
        <w:rPr>
          <w:sz w:val="24"/>
          <w:szCs w:val="24"/>
        </w:rPr>
        <w:t>whether</w:t>
      </w:r>
      <w:r w:rsidR="00AC770A" w:rsidRPr="00EB431D">
        <w:rPr>
          <w:sz w:val="24"/>
          <w:szCs w:val="24"/>
        </w:rPr>
        <w:t xml:space="preserve"> it was</w:t>
      </w:r>
      <w:r w:rsidR="00B52107" w:rsidRPr="00EB431D">
        <w:rPr>
          <w:sz w:val="24"/>
          <w:szCs w:val="24"/>
        </w:rPr>
        <w:t xml:space="preserve"> to create the sacred through groups</w:t>
      </w:r>
      <w:r w:rsidR="00EB68D5">
        <w:rPr>
          <w:sz w:val="24"/>
          <w:szCs w:val="24"/>
        </w:rPr>
        <w:t xml:space="preserve"> or individual thoughts</w:t>
      </w:r>
      <w:r w:rsidR="00B52107" w:rsidRPr="00EB431D">
        <w:rPr>
          <w:sz w:val="24"/>
          <w:szCs w:val="24"/>
        </w:rPr>
        <w:t>, or by the recognition of the sacred through heirophanies</w:t>
      </w:r>
      <w:r w:rsidR="00F92A5C" w:rsidRPr="00EB431D">
        <w:rPr>
          <w:sz w:val="24"/>
          <w:szCs w:val="24"/>
        </w:rPr>
        <w:t xml:space="preserve">. Studstill </w:t>
      </w:r>
      <w:r w:rsidR="00EB68D5">
        <w:rPr>
          <w:sz w:val="24"/>
          <w:szCs w:val="24"/>
        </w:rPr>
        <w:t xml:space="preserve">explains </w:t>
      </w:r>
      <w:r w:rsidR="00F92A5C" w:rsidRPr="00EB431D">
        <w:rPr>
          <w:sz w:val="24"/>
          <w:szCs w:val="24"/>
        </w:rPr>
        <w:t xml:space="preserve">this idea about </w:t>
      </w:r>
      <w:r w:rsidR="00E10903" w:rsidRPr="00EB431D">
        <w:rPr>
          <w:sz w:val="24"/>
          <w:szCs w:val="24"/>
        </w:rPr>
        <w:t>Eliade,</w:t>
      </w:r>
      <w:r w:rsidR="00EB68D5">
        <w:rPr>
          <w:sz w:val="24"/>
          <w:szCs w:val="24"/>
        </w:rPr>
        <w:t xml:space="preserve"> </w:t>
      </w:r>
      <w:r w:rsidR="00F754FA">
        <w:rPr>
          <w:sz w:val="24"/>
          <w:szCs w:val="24"/>
        </w:rPr>
        <w:t>that ‘the sacred’ that is manifested as religion</w:t>
      </w:r>
      <w:r w:rsidR="00EB68D5">
        <w:rPr>
          <w:sz w:val="24"/>
          <w:szCs w:val="24"/>
        </w:rPr>
        <w:t>,</w:t>
      </w:r>
      <w:r w:rsidR="00F754FA">
        <w:rPr>
          <w:sz w:val="24"/>
          <w:szCs w:val="24"/>
        </w:rPr>
        <w:t xml:space="preserve"> is in the mind due to the nature of the object and its experience.</w:t>
      </w:r>
      <w:r w:rsidR="00EB68D5">
        <w:rPr>
          <w:rStyle w:val="FootnoteReference"/>
          <w:sz w:val="24"/>
          <w:szCs w:val="24"/>
        </w:rPr>
        <w:footnoteReference w:id="19"/>
      </w:r>
      <w:r w:rsidR="00F754FA">
        <w:rPr>
          <w:sz w:val="24"/>
          <w:szCs w:val="24"/>
        </w:rPr>
        <w:t xml:space="preserve"> </w:t>
      </w:r>
      <w:r w:rsidR="00F92A5C" w:rsidRPr="00EB431D">
        <w:rPr>
          <w:sz w:val="24"/>
          <w:szCs w:val="24"/>
        </w:rPr>
        <w:t>He explains this phrase by stating that “This mind may relate itself to something it considers real and transcendent, but we are still ‘in the mind’, this relation to ‘other’ being an issue of how the mind constitutes the objects of its experience.</w:t>
      </w:r>
      <w:r w:rsidR="00EB68D5">
        <w:rPr>
          <w:rStyle w:val="FootnoteReference"/>
          <w:sz w:val="24"/>
          <w:szCs w:val="24"/>
        </w:rPr>
        <w:footnoteReference w:id="20"/>
      </w:r>
      <w:r w:rsidR="00E10903">
        <w:rPr>
          <w:sz w:val="24"/>
          <w:szCs w:val="24"/>
        </w:rPr>
        <w:t xml:space="preserve"> </w:t>
      </w:r>
    </w:p>
    <w:bookmarkEnd w:id="1"/>
    <w:bookmarkEnd w:id="2"/>
    <w:p w14:paraId="6A99844A" w14:textId="77777777" w:rsidR="00B52107" w:rsidRDefault="00B52107" w:rsidP="00D170AB">
      <w:pPr>
        <w:jc w:val="both"/>
        <w:rPr>
          <w:sz w:val="24"/>
          <w:szCs w:val="24"/>
        </w:rPr>
      </w:pPr>
    </w:p>
    <w:p w14:paraId="07FB41EA" w14:textId="77777777" w:rsidR="00B52107" w:rsidRDefault="00B52107" w:rsidP="00D170AB">
      <w:pPr>
        <w:jc w:val="both"/>
        <w:rPr>
          <w:sz w:val="24"/>
          <w:szCs w:val="24"/>
        </w:rPr>
      </w:pPr>
    </w:p>
    <w:p w14:paraId="26D6A54E" w14:textId="587EED4E" w:rsidR="00B900D2" w:rsidRDefault="00AC770A" w:rsidP="00D170AB">
      <w:pPr>
        <w:jc w:val="both"/>
        <w:rPr>
          <w:sz w:val="24"/>
          <w:szCs w:val="24"/>
        </w:rPr>
      </w:pPr>
      <w:r w:rsidRPr="00672F6D">
        <w:rPr>
          <w:sz w:val="24"/>
          <w:szCs w:val="24"/>
        </w:rPr>
        <w:t xml:space="preserve"> </w:t>
      </w:r>
    </w:p>
    <w:p w14:paraId="11E9DF20" w14:textId="37742103" w:rsidR="00F0760C" w:rsidRDefault="00F0760C" w:rsidP="00D170AB">
      <w:pPr>
        <w:pStyle w:val="EndnoteText"/>
        <w:jc w:val="both"/>
        <w:rPr>
          <w:rFonts w:eastAsia="Times New Roman" w:cstheme="minorHAnsi"/>
          <w:sz w:val="24"/>
          <w:szCs w:val="24"/>
        </w:rPr>
      </w:pPr>
    </w:p>
    <w:p w14:paraId="69FA71CE" w14:textId="47ECCDC4" w:rsidR="00853779" w:rsidRDefault="00853779" w:rsidP="00D170AB">
      <w:pPr>
        <w:pStyle w:val="EndnoteText"/>
        <w:jc w:val="both"/>
        <w:rPr>
          <w:rFonts w:eastAsia="Times New Roman" w:cstheme="minorHAnsi"/>
          <w:sz w:val="24"/>
          <w:szCs w:val="24"/>
        </w:rPr>
      </w:pPr>
    </w:p>
    <w:p w14:paraId="6502C8F4" w14:textId="36E418D9" w:rsidR="00122D8E" w:rsidRDefault="00122D8E" w:rsidP="00941430">
      <w:pPr>
        <w:pStyle w:val="EndnoteText"/>
        <w:rPr>
          <w:rFonts w:ascii="Times New Roman" w:eastAsia="Times New Roman" w:hAnsi="Times New Roman" w:cs="Times New Roman"/>
          <w:color w:val="000000"/>
          <w:sz w:val="24"/>
          <w:szCs w:val="24"/>
        </w:rPr>
      </w:pPr>
    </w:p>
    <w:p w14:paraId="679A1F5C" w14:textId="1EB20728" w:rsidR="00122D8E" w:rsidRDefault="00122D8E" w:rsidP="00941430">
      <w:pPr>
        <w:pStyle w:val="EndnoteText"/>
        <w:rPr>
          <w:rFonts w:ascii="Times New Roman" w:eastAsia="Times New Roman" w:hAnsi="Times New Roman" w:cs="Times New Roman"/>
          <w:color w:val="000000"/>
          <w:sz w:val="24"/>
          <w:szCs w:val="24"/>
        </w:rPr>
      </w:pPr>
    </w:p>
    <w:p w14:paraId="2EC9513D" w14:textId="77777777" w:rsidR="00122D8E" w:rsidRPr="00323D0C" w:rsidRDefault="00122D8E" w:rsidP="00941430">
      <w:pPr>
        <w:pStyle w:val="EndnoteText"/>
        <w:rPr>
          <w:rFonts w:ascii="Times New Roman" w:eastAsia="Times New Roman" w:hAnsi="Times New Roman" w:cs="Times New Roman"/>
          <w:b/>
          <w:bCs/>
          <w:color w:val="000000"/>
          <w:sz w:val="24"/>
          <w:szCs w:val="24"/>
        </w:rPr>
      </w:pPr>
    </w:p>
    <w:p w14:paraId="4D0E73A5" w14:textId="77777777" w:rsidR="00F80BA3" w:rsidRDefault="00F80BA3" w:rsidP="00941430">
      <w:pPr>
        <w:pStyle w:val="EndnoteText"/>
        <w:rPr>
          <w:rFonts w:ascii="Times New Roman" w:eastAsia="Times New Roman" w:hAnsi="Times New Roman" w:cs="Times New Roman"/>
          <w:color w:val="000000"/>
          <w:sz w:val="24"/>
          <w:szCs w:val="24"/>
        </w:rPr>
      </w:pPr>
    </w:p>
    <w:p w14:paraId="74FD32AB" w14:textId="77777777" w:rsidR="004863E0" w:rsidRDefault="004863E0"/>
    <w:p w14:paraId="33AE91A0" w14:textId="1327BF7E" w:rsidR="004863E0" w:rsidRPr="00AB188E" w:rsidRDefault="00AB188E">
      <w:pPr>
        <w:rPr>
          <w:b/>
          <w:bCs/>
          <w:u w:val="single"/>
        </w:rPr>
      </w:pPr>
      <w:r w:rsidRPr="00AB188E">
        <w:rPr>
          <w:b/>
          <w:bCs/>
          <w:u w:val="single"/>
        </w:rPr>
        <w:t>Bibliography:</w:t>
      </w:r>
      <w:r w:rsidR="004863E0" w:rsidRPr="00AB188E">
        <w:rPr>
          <w:b/>
          <w:bCs/>
          <w:u w:val="single"/>
        </w:rPr>
        <w:t xml:space="preserve"> </w:t>
      </w:r>
    </w:p>
    <w:p w14:paraId="0B57C6B8" w14:textId="078C9072" w:rsidR="004863E0" w:rsidRPr="00AB188E" w:rsidRDefault="004863E0">
      <w:pPr>
        <w:rPr>
          <w:u w:val="single"/>
        </w:rPr>
      </w:pPr>
      <w:r w:rsidRPr="00AB188E">
        <w:rPr>
          <w:u w:val="single"/>
        </w:rPr>
        <w:t xml:space="preserve">Secondary </w:t>
      </w:r>
      <w:r w:rsidR="00AB188E" w:rsidRPr="00AB188E">
        <w:rPr>
          <w:u w:val="single"/>
        </w:rPr>
        <w:t>sources:</w:t>
      </w:r>
      <w:r w:rsidRPr="00AB188E">
        <w:rPr>
          <w:u w:val="single"/>
        </w:rPr>
        <w:t xml:space="preserve"> </w:t>
      </w:r>
    </w:p>
    <w:p w14:paraId="4EF47D15" w14:textId="0D233B03" w:rsidR="004863E0" w:rsidRPr="00AB188E" w:rsidRDefault="004863E0" w:rsidP="004863E0">
      <w:pPr>
        <w:pStyle w:val="EndnoteText"/>
        <w:rPr>
          <w:rFonts w:eastAsia="Times New Roman" w:cstheme="minorHAnsi"/>
          <w:color w:val="000000"/>
          <w:sz w:val="22"/>
          <w:szCs w:val="22"/>
        </w:rPr>
      </w:pPr>
      <w:r w:rsidRPr="00AB188E">
        <w:rPr>
          <w:rFonts w:eastAsia="Times New Roman" w:cstheme="minorHAnsi"/>
          <w:color w:val="000000"/>
          <w:sz w:val="22"/>
          <w:szCs w:val="22"/>
        </w:rPr>
        <w:t xml:space="preserve">Datta, R.P. “The elementary Forms of Religious Life: Discursive Monument, Symbolic Feast”, </w:t>
      </w:r>
      <w:r w:rsidRPr="00AB188E">
        <w:rPr>
          <w:rFonts w:eastAsia="Times New Roman" w:cstheme="minorHAnsi"/>
          <w:i/>
          <w:iCs/>
          <w:color w:val="000000"/>
          <w:sz w:val="22"/>
          <w:szCs w:val="22"/>
        </w:rPr>
        <w:t>Publications of the Canadian Journal of Sociology</w:t>
      </w:r>
      <w:r w:rsidRPr="00AB188E">
        <w:rPr>
          <w:rFonts w:eastAsia="Times New Roman" w:cstheme="minorHAnsi"/>
          <w:color w:val="000000"/>
          <w:sz w:val="22"/>
          <w:szCs w:val="22"/>
        </w:rPr>
        <w:t>, 32.4 (2014), pp.473-522</w:t>
      </w:r>
    </w:p>
    <w:p w14:paraId="1B9B909F" w14:textId="3A07F5E2" w:rsidR="004863E0" w:rsidRPr="00AB188E" w:rsidRDefault="004863E0" w:rsidP="004863E0">
      <w:pPr>
        <w:pStyle w:val="EndnoteText"/>
        <w:rPr>
          <w:rFonts w:eastAsia="Times New Roman" w:cstheme="minorHAnsi"/>
          <w:color w:val="000000"/>
          <w:sz w:val="22"/>
          <w:szCs w:val="22"/>
        </w:rPr>
      </w:pPr>
    </w:p>
    <w:p w14:paraId="25E6C20D" w14:textId="77777777" w:rsidR="004863E0" w:rsidRPr="00AB188E" w:rsidRDefault="004863E0" w:rsidP="004863E0">
      <w:pPr>
        <w:pStyle w:val="EndnoteText"/>
        <w:rPr>
          <w:rFonts w:eastAsia="Times New Roman" w:cstheme="minorHAnsi"/>
          <w:color w:val="000000"/>
          <w:sz w:val="22"/>
          <w:szCs w:val="22"/>
        </w:rPr>
      </w:pPr>
      <w:r w:rsidRPr="00AB188E">
        <w:rPr>
          <w:rFonts w:eastAsia="Times New Roman" w:cstheme="minorHAnsi"/>
          <w:color w:val="000000"/>
          <w:sz w:val="22"/>
          <w:szCs w:val="22"/>
        </w:rPr>
        <w:t xml:space="preserve">Randall, S. “Eliade, Phenomenology, and the Sacred”, </w:t>
      </w:r>
      <w:r w:rsidRPr="00AB188E">
        <w:rPr>
          <w:rFonts w:eastAsia="Times New Roman" w:cstheme="minorHAnsi"/>
          <w:i/>
          <w:iCs/>
          <w:color w:val="000000"/>
          <w:sz w:val="22"/>
          <w:szCs w:val="22"/>
        </w:rPr>
        <w:t>Publications of Cambridge University Press</w:t>
      </w:r>
      <w:r w:rsidRPr="00AB188E">
        <w:rPr>
          <w:rFonts w:eastAsia="Times New Roman" w:cstheme="minorHAnsi"/>
          <w:color w:val="000000"/>
          <w:sz w:val="22"/>
          <w:szCs w:val="22"/>
        </w:rPr>
        <w:t xml:space="preserve">, 36.2 (2000), pp.177-194 </w:t>
      </w:r>
    </w:p>
    <w:p w14:paraId="5E70BBF0" w14:textId="20AF3ABA" w:rsidR="004863E0" w:rsidRPr="00AB188E" w:rsidRDefault="004863E0" w:rsidP="004863E0">
      <w:pPr>
        <w:pStyle w:val="EndnoteText"/>
        <w:rPr>
          <w:rFonts w:eastAsia="Times New Roman" w:cstheme="minorHAnsi"/>
          <w:color w:val="000000"/>
          <w:sz w:val="22"/>
          <w:szCs w:val="22"/>
        </w:rPr>
      </w:pPr>
    </w:p>
    <w:p w14:paraId="7D6CA86A" w14:textId="58743CB5" w:rsidR="004863E0" w:rsidRPr="00AB188E" w:rsidRDefault="004863E0" w:rsidP="004863E0">
      <w:pPr>
        <w:pStyle w:val="EndnoteText"/>
        <w:rPr>
          <w:rFonts w:eastAsia="Times New Roman" w:cstheme="minorHAnsi"/>
          <w:color w:val="000000"/>
          <w:sz w:val="22"/>
          <w:szCs w:val="22"/>
          <w:u w:val="single"/>
        </w:rPr>
      </w:pPr>
      <w:r w:rsidRPr="00AB188E">
        <w:rPr>
          <w:rFonts w:eastAsia="Times New Roman" w:cstheme="minorHAnsi"/>
          <w:color w:val="000000"/>
          <w:sz w:val="22"/>
          <w:szCs w:val="22"/>
          <w:u w:val="single"/>
        </w:rPr>
        <w:t xml:space="preserve">Primary Sources: </w:t>
      </w:r>
    </w:p>
    <w:p w14:paraId="7E49E343" w14:textId="4D24EBD7" w:rsidR="004863E0" w:rsidRPr="00AB188E" w:rsidRDefault="004863E0" w:rsidP="004863E0">
      <w:pPr>
        <w:pStyle w:val="EndnoteText"/>
        <w:rPr>
          <w:rFonts w:eastAsia="Times New Roman" w:cstheme="minorHAnsi"/>
          <w:color w:val="000000"/>
          <w:sz w:val="22"/>
          <w:szCs w:val="22"/>
        </w:rPr>
      </w:pPr>
    </w:p>
    <w:p w14:paraId="38D01163" w14:textId="26DB0664" w:rsidR="006D3236" w:rsidRPr="00AB188E" w:rsidRDefault="006D3236" w:rsidP="006D3236">
      <w:pPr>
        <w:pStyle w:val="EndnoteText"/>
        <w:rPr>
          <w:rFonts w:cstheme="minorHAnsi"/>
          <w:sz w:val="22"/>
          <w:szCs w:val="22"/>
        </w:rPr>
      </w:pPr>
      <w:r w:rsidRPr="00AB188E">
        <w:rPr>
          <w:rFonts w:cstheme="minorHAnsi"/>
          <w:sz w:val="22"/>
          <w:szCs w:val="22"/>
        </w:rPr>
        <w:t xml:space="preserve">Durkheim, Emile. The Elementary forms of Religious Life. </w:t>
      </w:r>
      <w:r w:rsidR="00AB188E" w:rsidRPr="00AB188E">
        <w:rPr>
          <w:rFonts w:cstheme="minorHAnsi"/>
          <w:sz w:val="22"/>
          <w:szCs w:val="22"/>
        </w:rPr>
        <w:t>Translated by Karen E. Fields. N</w:t>
      </w:r>
      <w:r w:rsidRPr="00AB188E">
        <w:rPr>
          <w:rFonts w:cstheme="minorHAnsi"/>
          <w:sz w:val="22"/>
          <w:szCs w:val="22"/>
        </w:rPr>
        <w:t>ewyork,1995</w:t>
      </w:r>
    </w:p>
    <w:p w14:paraId="532AFC63" w14:textId="50B99152" w:rsidR="00B67806" w:rsidRPr="00AB188E" w:rsidRDefault="00B67806" w:rsidP="006D3236">
      <w:pPr>
        <w:pStyle w:val="EndnoteText"/>
        <w:rPr>
          <w:rFonts w:cstheme="minorHAnsi"/>
          <w:sz w:val="22"/>
          <w:szCs w:val="22"/>
        </w:rPr>
      </w:pPr>
    </w:p>
    <w:p w14:paraId="22174F15" w14:textId="4CAE9863" w:rsidR="0004782E" w:rsidRPr="00AB188E" w:rsidRDefault="0004782E" w:rsidP="006D3236">
      <w:pPr>
        <w:pStyle w:val="EndnoteText"/>
        <w:rPr>
          <w:rFonts w:cstheme="minorHAnsi"/>
          <w:color w:val="212529"/>
          <w:sz w:val="22"/>
          <w:szCs w:val="22"/>
          <w:shd w:val="clear" w:color="auto" w:fill="FFFFFF"/>
        </w:rPr>
      </w:pPr>
      <w:r w:rsidRPr="00AB188E">
        <w:rPr>
          <w:rFonts w:cstheme="minorHAnsi"/>
          <w:color w:val="212529"/>
          <w:sz w:val="22"/>
          <w:szCs w:val="22"/>
          <w:shd w:val="clear" w:color="auto" w:fill="FFFFFF"/>
        </w:rPr>
        <w:t xml:space="preserve">Eliade, Mircea. The Sacred and the Profane, the Nature of </w:t>
      </w:r>
      <w:r w:rsidR="007D665F" w:rsidRPr="00AB188E">
        <w:rPr>
          <w:rFonts w:cstheme="minorHAnsi"/>
          <w:color w:val="212529"/>
          <w:sz w:val="22"/>
          <w:szCs w:val="22"/>
          <w:shd w:val="clear" w:color="auto" w:fill="FFFFFF"/>
        </w:rPr>
        <w:t>Religion. Translated</w:t>
      </w:r>
      <w:r w:rsidRPr="00AB188E">
        <w:rPr>
          <w:rFonts w:cstheme="minorHAnsi"/>
          <w:color w:val="212529"/>
          <w:sz w:val="22"/>
          <w:szCs w:val="22"/>
          <w:shd w:val="clear" w:color="auto" w:fill="FFFFFF"/>
        </w:rPr>
        <w:t xml:space="preserve"> by Willard R. Trask. London: Harcourt, </w:t>
      </w:r>
      <w:r w:rsidR="00AB188E" w:rsidRPr="00AB188E">
        <w:rPr>
          <w:rFonts w:cstheme="minorHAnsi"/>
          <w:color w:val="212529"/>
          <w:sz w:val="22"/>
          <w:szCs w:val="22"/>
          <w:shd w:val="clear" w:color="auto" w:fill="FFFFFF"/>
        </w:rPr>
        <w:t>Inc.</w:t>
      </w:r>
      <w:r w:rsidR="00B54C22">
        <w:rPr>
          <w:rFonts w:cstheme="minorHAnsi"/>
          <w:color w:val="212529"/>
          <w:sz w:val="22"/>
          <w:szCs w:val="22"/>
          <w:shd w:val="clear" w:color="auto" w:fill="FFFFFF"/>
        </w:rPr>
        <w:t xml:space="preserve"> </w:t>
      </w:r>
      <w:r w:rsidRPr="00AB188E">
        <w:rPr>
          <w:rFonts w:cstheme="minorHAnsi"/>
          <w:color w:val="212529"/>
          <w:sz w:val="22"/>
          <w:szCs w:val="22"/>
          <w:shd w:val="clear" w:color="auto" w:fill="FFFFFF"/>
        </w:rPr>
        <w:t>1987</w:t>
      </w:r>
    </w:p>
    <w:p w14:paraId="40D38FAB" w14:textId="0F3B5EBA" w:rsidR="00B67806" w:rsidRPr="00AB188E" w:rsidRDefault="00B67806" w:rsidP="006D3236">
      <w:pPr>
        <w:pStyle w:val="EndnoteText"/>
        <w:rPr>
          <w:rFonts w:cstheme="minorHAnsi"/>
          <w:color w:val="212529"/>
          <w:sz w:val="22"/>
          <w:szCs w:val="22"/>
          <w:shd w:val="clear" w:color="auto" w:fill="FFFFFF"/>
        </w:rPr>
      </w:pPr>
    </w:p>
    <w:p w14:paraId="73ADC39C" w14:textId="7D3FDF09" w:rsidR="00B67806" w:rsidRPr="00AB188E" w:rsidRDefault="00B67806" w:rsidP="006D3236">
      <w:pPr>
        <w:pStyle w:val="EndnoteText"/>
        <w:rPr>
          <w:rFonts w:cstheme="minorHAnsi"/>
          <w:color w:val="212529"/>
          <w:sz w:val="22"/>
          <w:szCs w:val="22"/>
          <w:shd w:val="clear" w:color="auto" w:fill="FFFFFF"/>
        </w:rPr>
      </w:pPr>
      <w:r w:rsidRPr="00AB188E">
        <w:rPr>
          <w:rFonts w:cstheme="minorHAnsi"/>
          <w:color w:val="212529"/>
          <w:sz w:val="22"/>
          <w:szCs w:val="22"/>
          <w:shd w:val="clear" w:color="auto" w:fill="FFFFFF"/>
        </w:rPr>
        <w:t>Durkheim, Emile. The Elementary Forms of Religious Life. Translated by Joseph W</w:t>
      </w:r>
      <w:r w:rsidR="00AB188E" w:rsidRPr="00AB188E">
        <w:rPr>
          <w:rFonts w:cstheme="minorHAnsi"/>
          <w:color w:val="212529"/>
          <w:sz w:val="22"/>
          <w:szCs w:val="22"/>
          <w:shd w:val="clear" w:color="auto" w:fill="FFFFFF"/>
        </w:rPr>
        <w:t>.</w:t>
      </w:r>
      <w:r w:rsidRPr="00AB188E">
        <w:rPr>
          <w:rFonts w:cstheme="minorHAnsi"/>
          <w:color w:val="212529"/>
          <w:sz w:val="22"/>
          <w:szCs w:val="22"/>
          <w:shd w:val="clear" w:color="auto" w:fill="FFFFFF"/>
        </w:rPr>
        <w:t xml:space="preserve"> Swain. Mineola, </w:t>
      </w:r>
      <w:r w:rsidR="00AB188E" w:rsidRPr="00AB188E">
        <w:rPr>
          <w:rFonts w:cstheme="minorHAnsi"/>
          <w:color w:val="212529"/>
          <w:sz w:val="22"/>
          <w:szCs w:val="22"/>
          <w:shd w:val="clear" w:color="auto" w:fill="FFFFFF"/>
        </w:rPr>
        <w:t>New York</w:t>
      </w:r>
      <w:r w:rsidRPr="00AB188E">
        <w:rPr>
          <w:rFonts w:cstheme="minorHAnsi"/>
          <w:color w:val="212529"/>
          <w:sz w:val="22"/>
          <w:szCs w:val="22"/>
          <w:shd w:val="clear" w:color="auto" w:fill="FFFFFF"/>
        </w:rPr>
        <w:t>, 1891</w:t>
      </w:r>
    </w:p>
    <w:p w14:paraId="43378FDD" w14:textId="4596FA69" w:rsidR="00AB188E" w:rsidRPr="00AB188E" w:rsidRDefault="00AB188E" w:rsidP="006D3236">
      <w:pPr>
        <w:pStyle w:val="EndnoteText"/>
        <w:rPr>
          <w:rFonts w:cstheme="minorHAnsi"/>
          <w:color w:val="212529"/>
          <w:sz w:val="22"/>
          <w:szCs w:val="22"/>
          <w:shd w:val="clear" w:color="auto" w:fill="FFFFFF"/>
        </w:rPr>
      </w:pPr>
    </w:p>
    <w:p w14:paraId="4C1161EA" w14:textId="28CA861C" w:rsidR="00AB188E" w:rsidRPr="00AB188E" w:rsidRDefault="00AB188E" w:rsidP="006D3236">
      <w:pPr>
        <w:pStyle w:val="EndnoteText"/>
        <w:rPr>
          <w:rFonts w:cstheme="minorHAnsi"/>
          <w:sz w:val="22"/>
          <w:szCs w:val="22"/>
        </w:rPr>
      </w:pPr>
      <w:r w:rsidRPr="00AB188E">
        <w:rPr>
          <w:rFonts w:cstheme="minorHAnsi"/>
          <w:color w:val="212529"/>
          <w:sz w:val="22"/>
          <w:szCs w:val="22"/>
          <w:shd w:val="clear" w:color="auto" w:fill="FFFFFF"/>
        </w:rPr>
        <w:t>Patterns of Comparative Religion. Translated by Sheed and Ward Inc. New York 1958</w:t>
      </w:r>
    </w:p>
    <w:p w14:paraId="1361599A" w14:textId="364C669A" w:rsidR="006D3236" w:rsidRPr="00AB188E" w:rsidRDefault="0004782E" w:rsidP="006D3236">
      <w:pPr>
        <w:pStyle w:val="EndnoteText"/>
        <w:rPr>
          <w:rFonts w:cstheme="minorHAnsi"/>
          <w:sz w:val="22"/>
          <w:szCs w:val="22"/>
        </w:rPr>
      </w:pPr>
      <w:r w:rsidRPr="00AB188E">
        <w:rPr>
          <w:rFonts w:cstheme="minorHAnsi"/>
          <w:sz w:val="22"/>
          <w:szCs w:val="22"/>
        </w:rPr>
        <w:t xml:space="preserve"> </w:t>
      </w:r>
    </w:p>
    <w:p w14:paraId="1C787A17" w14:textId="77777777" w:rsidR="004863E0" w:rsidRDefault="004863E0" w:rsidP="004863E0">
      <w:pPr>
        <w:pStyle w:val="EndnoteText"/>
        <w:rPr>
          <w:rFonts w:ascii="Times New Roman" w:eastAsia="Times New Roman" w:hAnsi="Times New Roman" w:cs="Times New Roman"/>
          <w:color w:val="000000"/>
        </w:rPr>
      </w:pPr>
    </w:p>
    <w:p w14:paraId="2AFCC031" w14:textId="3D65F28A" w:rsidR="004863E0" w:rsidRDefault="004863E0" w:rsidP="004863E0">
      <w:pPr>
        <w:pStyle w:val="EndnoteText"/>
        <w:rPr>
          <w:rFonts w:ascii="Times New Roman" w:eastAsia="Times New Roman" w:hAnsi="Times New Roman" w:cs="Times New Roman"/>
          <w:color w:val="000000"/>
        </w:rPr>
      </w:pPr>
    </w:p>
    <w:p w14:paraId="0B1670B4" w14:textId="77777777" w:rsidR="004863E0" w:rsidRDefault="004863E0" w:rsidP="004863E0">
      <w:pPr>
        <w:pStyle w:val="EndnoteText"/>
        <w:rPr>
          <w:rFonts w:ascii="Times New Roman" w:eastAsia="Times New Roman" w:hAnsi="Times New Roman" w:cs="Times New Roman"/>
          <w:color w:val="000000"/>
        </w:rPr>
      </w:pPr>
    </w:p>
    <w:p w14:paraId="1482AD2D" w14:textId="77777777" w:rsidR="004863E0" w:rsidRDefault="004863E0"/>
    <w:sectPr w:rsidR="004863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FF6A8" w14:textId="77777777" w:rsidR="007E08CD" w:rsidRDefault="007E08CD" w:rsidP="005F6784">
      <w:pPr>
        <w:spacing w:after="0" w:line="240" w:lineRule="auto"/>
      </w:pPr>
      <w:r>
        <w:separator/>
      </w:r>
    </w:p>
  </w:endnote>
  <w:endnote w:type="continuationSeparator" w:id="0">
    <w:p w14:paraId="479A1660" w14:textId="77777777" w:rsidR="007E08CD" w:rsidRDefault="007E08CD" w:rsidP="005F6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4614C1" w14:textId="77777777" w:rsidR="007E08CD" w:rsidRDefault="007E08CD" w:rsidP="005F6784">
      <w:pPr>
        <w:spacing w:after="0" w:line="240" w:lineRule="auto"/>
      </w:pPr>
      <w:r>
        <w:separator/>
      </w:r>
    </w:p>
  </w:footnote>
  <w:footnote w:type="continuationSeparator" w:id="0">
    <w:p w14:paraId="2423B5CD" w14:textId="77777777" w:rsidR="007E08CD" w:rsidRDefault="007E08CD" w:rsidP="005F6784">
      <w:pPr>
        <w:spacing w:after="0" w:line="240" w:lineRule="auto"/>
      </w:pPr>
      <w:r>
        <w:continuationSeparator/>
      </w:r>
    </w:p>
  </w:footnote>
  <w:footnote w:id="1">
    <w:p w14:paraId="2B10BBD2" w14:textId="18923879" w:rsidR="001511A2" w:rsidRDefault="001511A2">
      <w:pPr>
        <w:pStyle w:val="FootnoteText"/>
      </w:pPr>
      <w:r>
        <w:rPr>
          <w:rStyle w:val="FootnoteReference"/>
        </w:rPr>
        <w:footnoteRef/>
      </w:r>
      <w:r>
        <w:t xml:space="preserve"> </w:t>
      </w:r>
      <w:r w:rsidR="00E2628A">
        <w:t>Eliade, p. 10</w:t>
      </w:r>
    </w:p>
  </w:footnote>
  <w:footnote w:id="2">
    <w:p w14:paraId="58637001" w14:textId="593B75F4" w:rsidR="00DB2D34" w:rsidRDefault="00DB2D34">
      <w:pPr>
        <w:pStyle w:val="FootnoteText"/>
      </w:pPr>
      <w:r>
        <w:rPr>
          <w:rStyle w:val="FootnoteReference"/>
        </w:rPr>
        <w:footnoteRef/>
      </w:r>
      <w:r>
        <w:t xml:space="preserve"> Milbrandt and Datta, p. 481</w:t>
      </w:r>
    </w:p>
  </w:footnote>
  <w:footnote w:id="3">
    <w:p w14:paraId="52AF0A64" w14:textId="125C273C" w:rsidR="00B900D2" w:rsidRDefault="00B900D2">
      <w:pPr>
        <w:pStyle w:val="FootnoteText"/>
      </w:pPr>
      <w:r>
        <w:rPr>
          <w:rStyle w:val="FootnoteReference"/>
        </w:rPr>
        <w:footnoteRef/>
      </w:r>
      <w:r>
        <w:t xml:space="preserve"> </w:t>
      </w:r>
      <w:r w:rsidR="00E2628A">
        <w:t>Durkheim, 52</w:t>
      </w:r>
      <w:r w:rsidR="00853779">
        <w:t xml:space="preserve"> </w:t>
      </w:r>
    </w:p>
  </w:footnote>
  <w:footnote w:id="4">
    <w:p w14:paraId="6022EC5F" w14:textId="7459F419" w:rsidR="00FC6DC7" w:rsidRDefault="00FC6DC7">
      <w:pPr>
        <w:pStyle w:val="FootnoteText"/>
      </w:pPr>
      <w:r>
        <w:rPr>
          <w:rStyle w:val="FootnoteReference"/>
        </w:rPr>
        <w:footnoteRef/>
      </w:r>
      <w:r>
        <w:t xml:space="preserve"> Studstill, p. 178</w:t>
      </w:r>
    </w:p>
  </w:footnote>
  <w:footnote w:id="5">
    <w:p w14:paraId="038850E0" w14:textId="3E82D973" w:rsidR="001B7E8B" w:rsidRDefault="001B7E8B">
      <w:pPr>
        <w:pStyle w:val="FootnoteText"/>
      </w:pPr>
      <w:r>
        <w:rPr>
          <w:rStyle w:val="FootnoteReference"/>
        </w:rPr>
        <w:footnoteRef/>
      </w:r>
      <w:r>
        <w:t xml:space="preserve"> </w:t>
      </w:r>
      <w:r w:rsidR="00E2628A">
        <w:t>Eliade, p.</w:t>
      </w:r>
      <w:r w:rsidR="00B0638E">
        <w:t xml:space="preserve"> 11</w:t>
      </w:r>
    </w:p>
  </w:footnote>
  <w:footnote w:id="6">
    <w:p w14:paraId="6D32C05E" w14:textId="1360B9C3" w:rsidR="00853779" w:rsidRDefault="00853779">
      <w:pPr>
        <w:pStyle w:val="FootnoteText"/>
      </w:pPr>
      <w:r>
        <w:rPr>
          <w:rStyle w:val="FootnoteReference"/>
        </w:rPr>
        <w:footnoteRef/>
      </w:r>
      <w:r>
        <w:t xml:space="preserve"> </w:t>
      </w:r>
      <w:r w:rsidR="00F7786E">
        <w:t xml:space="preserve">Fields Karen, </w:t>
      </w:r>
      <w:r w:rsidR="00E2628A">
        <w:t xml:space="preserve">p. </w:t>
      </w:r>
      <w:r>
        <w:t xml:space="preserve">xliv </w:t>
      </w:r>
    </w:p>
  </w:footnote>
  <w:footnote w:id="7">
    <w:p w14:paraId="33AE3E68" w14:textId="3E27B007" w:rsidR="00897EE9" w:rsidRDefault="00897EE9">
      <w:pPr>
        <w:pStyle w:val="FootnoteText"/>
      </w:pPr>
      <w:r>
        <w:rPr>
          <w:rStyle w:val="FootnoteReference"/>
        </w:rPr>
        <w:footnoteRef/>
      </w:r>
      <w:r>
        <w:t xml:space="preserve"> </w:t>
      </w:r>
      <w:r w:rsidR="00B67806">
        <w:t xml:space="preserve">Durkheim, </w:t>
      </w:r>
      <w:r>
        <w:t xml:space="preserve">62 </w:t>
      </w:r>
    </w:p>
  </w:footnote>
  <w:footnote w:id="8">
    <w:p w14:paraId="447A9CE7" w14:textId="3CAF49B5" w:rsidR="00CE20A4" w:rsidRDefault="00CE20A4">
      <w:pPr>
        <w:pStyle w:val="FootnoteText"/>
      </w:pPr>
      <w:r>
        <w:rPr>
          <w:rStyle w:val="FootnoteReference"/>
        </w:rPr>
        <w:footnoteRef/>
      </w:r>
      <w:r>
        <w:t xml:space="preserve"> Milbrandt and Datta, p. 475</w:t>
      </w:r>
    </w:p>
  </w:footnote>
  <w:footnote w:id="9">
    <w:p w14:paraId="1CB404A2" w14:textId="1398DBEE" w:rsidR="008C7E1E" w:rsidRDefault="008C7E1E">
      <w:pPr>
        <w:pStyle w:val="FootnoteText"/>
      </w:pPr>
      <w:r>
        <w:rPr>
          <w:rStyle w:val="FootnoteReference"/>
        </w:rPr>
        <w:footnoteRef/>
      </w:r>
      <w:r>
        <w:t xml:space="preserve"> </w:t>
      </w:r>
      <w:r w:rsidR="00B67806">
        <w:t xml:space="preserve">Eliade, </w:t>
      </w:r>
      <w:r>
        <w:t>p.11</w:t>
      </w:r>
    </w:p>
  </w:footnote>
  <w:footnote w:id="10">
    <w:p w14:paraId="27BEB746" w14:textId="361B0403" w:rsidR="00CF3F73" w:rsidRDefault="00CF3F73">
      <w:pPr>
        <w:pStyle w:val="FootnoteText"/>
      </w:pPr>
      <w:r>
        <w:rPr>
          <w:rStyle w:val="FootnoteReference"/>
        </w:rPr>
        <w:footnoteRef/>
      </w:r>
      <w:r>
        <w:t xml:space="preserve"> Studstill, p. 181</w:t>
      </w:r>
    </w:p>
  </w:footnote>
  <w:footnote w:id="11">
    <w:p w14:paraId="2BAE01D1" w14:textId="4575BCCF" w:rsidR="007F29B6" w:rsidRDefault="007F29B6">
      <w:pPr>
        <w:pStyle w:val="FootnoteText"/>
      </w:pPr>
      <w:r>
        <w:rPr>
          <w:rStyle w:val="FootnoteReference"/>
        </w:rPr>
        <w:footnoteRef/>
      </w:r>
      <w:r>
        <w:t xml:space="preserve"> Durkheim, 221</w:t>
      </w:r>
    </w:p>
  </w:footnote>
  <w:footnote w:id="12">
    <w:p w14:paraId="4ADCF04B" w14:textId="26D9F97D" w:rsidR="000F5557" w:rsidRDefault="000F5557" w:rsidP="000F5557">
      <w:pPr>
        <w:pStyle w:val="FootnoteText"/>
      </w:pPr>
      <w:r>
        <w:rPr>
          <w:rStyle w:val="FootnoteReference"/>
        </w:rPr>
        <w:footnoteRef/>
      </w:r>
      <w:r>
        <w:t xml:space="preserve"> Durkheim, 221</w:t>
      </w:r>
    </w:p>
  </w:footnote>
  <w:footnote w:id="13">
    <w:p w14:paraId="6557A527" w14:textId="20AA8B3A" w:rsidR="00E111AC" w:rsidRDefault="00E111AC">
      <w:pPr>
        <w:pStyle w:val="FootnoteText"/>
      </w:pPr>
      <w:r>
        <w:rPr>
          <w:rStyle w:val="FootnoteReference"/>
        </w:rPr>
        <w:footnoteRef/>
      </w:r>
      <w:r>
        <w:t xml:space="preserve"> Durkheim, 172</w:t>
      </w:r>
    </w:p>
  </w:footnote>
  <w:footnote w:id="14">
    <w:p w14:paraId="539CAB75" w14:textId="096783E2" w:rsidR="000F5557" w:rsidRDefault="000F5557">
      <w:pPr>
        <w:pStyle w:val="FootnoteText"/>
      </w:pPr>
      <w:r>
        <w:rPr>
          <w:rStyle w:val="FootnoteReference"/>
        </w:rPr>
        <w:footnoteRef/>
      </w:r>
      <w:r>
        <w:t xml:space="preserve"> </w:t>
      </w:r>
      <w:r w:rsidR="00A81B2E">
        <w:t>Eliade</w:t>
      </w:r>
      <w:r>
        <w:t>. 158</w:t>
      </w:r>
    </w:p>
  </w:footnote>
  <w:footnote w:id="15">
    <w:p w14:paraId="18EE5FCE" w14:textId="4D9A3CA2" w:rsidR="007D665F" w:rsidRDefault="007D665F">
      <w:pPr>
        <w:pStyle w:val="FootnoteText"/>
      </w:pPr>
      <w:r>
        <w:rPr>
          <w:rStyle w:val="FootnoteReference"/>
        </w:rPr>
        <w:footnoteRef/>
      </w:r>
      <w:r>
        <w:t xml:space="preserve"> </w:t>
      </w:r>
      <w:r w:rsidR="00B67806">
        <w:t>Eliade, p.</w:t>
      </w:r>
      <w:r>
        <w:t xml:space="preserve"> 158</w:t>
      </w:r>
    </w:p>
  </w:footnote>
  <w:footnote w:id="16">
    <w:p w14:paraId="4FAFF199" w14:textId="633B304B" w:rsidR="000F5557" w:rsidRDefault="000F5557">
      <w:pPr>
        <w:pStyle w:val="FootnoteText"/>
      </w:pPr>
      <w:r>
        <w:rPr>
          <w:rStyle w:val="FootnoteReference"/>
        </w:rPr>
        <w:footnoteRef/>
      </w:r>
      <w:r>
        <w:t xml:space="preserve"> Eliade, p.11</w:t>
      </w:r>
    </w:p>
  </w:footnote>
  <w:footnote w:id="17">
    <w:p w14:paraId="7635BE8A" w14:textId="70B89A1D" w:rsidR="001426DC" w:rsidRDefault="001426DC">
      <w:pPr>
        <w:pStyle w:val="FootnoteText"/>
      </w:pPr>
      <w:r>
        <w:rPr>
          <w:rStyle w:val="FootnoteReference"/>
        </w:rPr>
        <w:footnoteRef/>
      </w:r>
      <w:r>
        <w:t xml:space="preserve"> Studstill, p.181</w:t>
      </w:r>
    </w:p>
  </w:footnote>
  <w:footnote w:id="18">
    <w:p w14:paraId="6A86F709" w14:textId="74FD47D0" w:rsidR="00B07793" w:rsidRDefault="00B07793">
      <w:pPr>
        <w:pStyle w:val="FootnoteText"/>
      </w:pPr>
      <w:r>
        <w:rPr>
          <w:rStyle w:val="FootnoteReference"/>
        </w:rPr>
        <w:footnoteRef/>
      </w:r>
      <w:r>
        <w:t xml:space="preserve"> Studstill,</w:t>
      </w:r>
      <w:r w:rsidR="00CF3F73">
        <w:t xml:space="preserve"> </w:t>
      </w:r>
      <w:r>
        <w:t>p.177</w:t>
      </w:r>
    </w:p>
  </w:footnote>
  <w:footnote w:id="19">
    <w:p w14:paraId="217BBE87" w14:textId="5133A266" w:rsidR="00EB68D5" w:rsidRDefault="00EB68D5">
      <w:pPr>
        <w:pStyle w:val="FootnoteText"/>
      </w:pPr>
      <w:r>
        <w:rPr>
          <w:rStyle w:val="FootnoteReference"/>
        </w:rPr>
        <w:footnoteRef/>
      </w:r>
      <w:r>
        <w:t xml:space="preserve"> Studstill, p.1</w:t>
      </w:r>
      <w:r w:rsidR="005E597B">
        <w:t>82</w:t>
      </w:r>
    </w:p>
  </w:footnote>
  <w:footnote w:id="20">
    <w:p w14:paraId="249DB345" w14:textId="108D2B64" w:rsidR="00EB68D5" w:rsidRDefault="00EB68D5">
      <w:pPr>
        <w:pStyle w:val="FootnoteText"/>
      </w:pPr>
      <w:r>
        <w:rPr>
          <w:rStyle w:val="FootnoteReference"/>
        </w:rPr>
        <w:footnoteRef/>
      </w:r>
      <w:r>
        <w:t xml:space="preserve"> </w:t>
      </w:r>
      <w:r w:rsidR="005E597B">
        <w:t>Studstill, p.182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A4599B"/>
    <w:multiLevelType w:val="hybridMultilevel"/>
    <w:tmpl w:val="D31ECD8E"/>
    <w:lvl w:ilvl="0" w:tplc="033ED5B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1A5"/>
    <w:rsid w:val="0001614B"/>
    <w:rsid w:val="0004782E"/>
    <w:rsid w:val="000528F7"/>
    <w:rsid w:val="00062CF6"/>
    <w:rsid w:val="00081010"/>
    <w:rsid w:val="000F5557"/>
    <w:rsid w:val="00102D07"/>
    <w:rsid w:val="00115AFF"/>
    <w:rsid w:val="00122D8E"/>
    <w:rsid w:val="00123B72"/>
    <w:rsid w:val="001426DC"/>
    <w:rsid w:val="001511A2"/>
    <w:rsid w:val="001579C6"/>
    <w:rsid w:val="00167136"/>
    <w:rsid w:val="001751EE"/>
    <w:rsid w:val="00187BC3"/>
    <w:rsid w:val="00194F24"/>
    <w:rsid w:val="001B6E09"/>
    <w:rsid w:val="001B7E8B"/>
    <w:rsid w:val="001C3839"/>
    <w:rsid w:val="001F1CF9"/>
    <w:rsid w:val="00206DC6"/>
    <w:rsid w:val="00217D0C"/>
    <w:rsid w:val="00263C73"/>
    <w:rsid w:val="002A4610"/>
    <w:rsid w:val="002D7429"/>
    <w:rsid w:val="002E2F9A"/>
    <w:rsid w:val="002E5DDC"/>
    <w:rsid w:val="002F41C5"/>
    <w:rsid w:val="00323D0C"/>
    <w:rsid w:val="003278F5"/>
    <w:rsid w:val="00364FEE"/>
    <w:rsid w:val="003863A7"/>
    <w:rsid w:val="003D374D"/>
    <w:rsid w:val="003E7542"/>
    <w:rsid w:val="004568EC"/>
    <w:rsid w:val="00467A80"/>
    <w:rsid w:val="00476F35"/>
    <w:rsid w:val="004863E0"/>
    <w:rsid w:val="005851A5"/>
    <w:rsid w:val="005A3AA5"/>
    <w:rsid w:val="005E597B"/>
    <w:rsid w:val="005F6784"/>
    <w:rsid w:val="00637762"/>
    <w:rsid w:val="00637955"/>
    <w:rsid w:val="00661234"/>
    <w:rsid w:val="0066590E"/>
    <w:rsid w:val="00672F6D"/>
    <w:rsid w:val="006849DA"/>
    <w:rsid w:val="006C71B0"/>
    <w:rsid w:val="006D3236"/>
    <w:rsid w:val="006F6554"/>
    <w:rsid w:val="00701F82"/>
    <w:rsid w:val="0073433B"/>
    <w:rsid w:val="007674D8"/>
    <w:rsid w:val="007A24A3"/>
    <w:rsid w:val="007D665F"/>
    <w:rsid w:val="007E08CD"/>
    <w:rsid w:val="007F29B6"/>
    <w:rsid w:val="00853779"/>
    <w:rsid w:val="00897EE9"/>
    <w:rsid w:val="008C7E1E"/>
    <w:rsid w:val="008E474D"/>
    <w:rsid w:val="00941430"/>
    <w:rsid w:val="009660A0"/>
    <w:rsid w:val="009D3451"/>
    <w:rsid w:val="009E481D"/>
    <w:rsid w:val="00A5143F"/>
    <w:rsid w:val="00A81B2E"/>
    <w:rsid w:val="00AB188E"/>
    <w:rsid w:val="00AC770A"/>
    <w:rsid w:val="00AD1199"/>
    <w:rsid w:val="00AD38BD"/>
    <w:rsid w:val="00AF02DA"/>
    <w:rsid w:val="00B0638E"/>
    <w:rsid w:val="00B07793"/>
    <w:rsid w:val="00B277C6"/>
    <w:rsid w:val="00B363D5"/>
    <w:rsid w:val="00B52107"/>
    <w:rsid w:val="00B54C22"/>
    <w:rsid w:val="00B67806"/>
    <w:rsid w:val="00B74457"/>
    <w:rsid w:val="00B81CC6"/>
    <w:rsid w:val="00B823BF"/>
    <w:rsid w:val="00B900D2"/>
    <w:rsid w:val="00C230A1"/>
    <w:rsid w:val="00C327B0"/>
    <w:rsid w:val="00C44836"/>
    <w:rsid w:val="00C52F24"/>
    <w:rsid w:val="00CE20A4"/>
    <w:rsid w:val="00CF3F73"/>
    <w:rsid w:val="00CF6AE8"/>
    <w:rsid w:val="00D170AB"/>
    <w:rsid w:val="00D6498F"/>
    <w:rsid w:val="00DB2D34"/>
    <w:rsid w:val="00E10903"/>
    <w:rsid w:val="00E111AC"/>
    <w:rsid w:val="00E2628A"/>
    <w:rsid w:val="00E26BB4"/>
    <w:rsid w:val="00E619C9"/>
    <w:rsid w:val="00E662A9"/>
    <w:rsid w:val="00E7331E"/>
    <w:rsid w:val="00E74622"/>
    <w:rsid w:val="00EB431D"/>
    <w:rsid w:val="00EB68D5"/>
    <w:rsid w:val="00EF2847"/>
    <w:rsid w:val="00F0760C"/>
    <w:rsid w:val="00F20802"/>
    <w:rsid w:val="00F62B11"/>
    <w:rsid w:val="00F754FA"/>
    <w:rsid w:val="00F7786E"/>
    <w:rsid w:val="00F80BA3"/>
    <w:rsid w:val="00F92A5C"/>
    <w:rsid w:val="00FA5138"/>
    <w:rsid w:val="00FC6DC7"/>
    <w:rsid w:val="00FD51EC"/>
    <w:rsid w:val="00FF07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967B3"/>
  <w15:chartTrackingRefBased/>
  <w15:docId w15:val="{B05EDE54-62C5-4083-9BC2-939BC910B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1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4863E0"/>
    <w:pPr>
      <w:spacing w:after="0" w:line="240" w:lineRule="auto"/>
    </w:pPr>
    <w:rPr>
      <w:sz w:val="20"/>
      <w:szCs w:val="20"/>
    </w:rPr>
  </w:style>
  <w:style w:type="character" w:customStyle="1" w:styleId="EndnoteTextChar">
    <w:name w:val="Endnote Text Char"/>
    <w:basedOn w:val="DefaultParagraphFont"/>
    <w:link w:val="EndnoteText"/>
    <w:uiPriority w:val="99"/>
    <w:rsid w:val="004863E0"/>
    <w:rPr>
      <w:sz w:val="20"/>
      <w:szCs w:val="20"/>
    </w:rPr>
  </w:style>
  <w:style w:type="paragraph" w:styleId="FootnoteText">
    <w:name w:val="footnote text"/>
    <w:basedOn w:val="Normal"/>
    <w:link w:val="FootnoteTextChar"/>
    <w:uiPriority w:val="99"/>
    <w:semiHidden/>
    <w:unhideWhenUsed/>
    <w:rsid w:val="005F67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6784"/>
    <w:rPr>
      <w:sz w:val="20"/>
      <w:szCs w:val="20"/>
    </w:rPr>
  </w:style>
  <w:style w:type="character" w:styleId="FootnoteReference">
    <w:name w:val="footnote reference"/>
    <w:basedOn w:val="DefaultParagraphFont"/>
    <w:uiPriority w:val="99"/>
    <w:semiHidden/>
    <w:unhideWhenUsed/>
    <w:rsid w:val="005F6784"/>
    <w:rPr>
      <w:vertAlign w:val="superscript"/>
    </w:rPr>
  </w:style>
  <w:style w:type="paragraph" w:styleId="ListParagraph">
    <w:name w:val="List Paragraph"/>
    <w:basedOn w:val="Normal"/>
    <w:uiPriority w:val="34"/>
    <w:qFormat/>
    <w:rsid w:val="00C230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2691BD-4ADD-422C-9F3D-965AEF7CF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Pages>
  <Words>1398</Words>
  <Characters>7974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bizri</dc:creator>
  <cp:keywords/>
  <dc:description/>
  <cp:lastModifiedBy>sara bizri</cp:lastModifiedBy>
  <cp:revision>16</cp:revision>
  <dcterms:created xsi:type="dcterms:W3CDTF">2019-12-16T21:56:00Z</dcterms:created>
  <dcterms:modified xsi:type="dcterms:W3CDTF">2019-12-17T11:51:00Z</dcterms:modified>
</cp:coreProperties>
</file>