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103B985">
      <w:pPr>
        <w:shd w:val="clear" w:color="auto" w:fill="FFFFFF"/>
        <w:spacing w:before="0" w:after="0" w:line="240" w:lineRule="auto"/>
        <w:jc w:val="center"/>
        <w:rPr>
          <w:rFonts w:cs="Arial"/>
          <w:b/>
          <w:bCs/>
          <w:color w:val="222222"/>
          <w:sz w:val="40"/>
          <w:szCs w:val="40"/>
          <w:lang w:val="en-US"/>
        </w:rPr>
      </w:pPr>
    </w:p>
    <w:p w14:paraId="66F103D2">
      <w:pPr>
        <w:shd w:val="clear" w:color="auto" w:fill="FFFFFF"/>
        <w:spacing w:before="0" w:after="0" w:line="240" w:lineRule="auto"/>
        <w:jc w:val="center"/>
        <w:rPr>
          <w:rFonts w:cs="Arial"/>
          <w:b/>
          <w:bCs/>
          <w:color w:val="222222"/>
          <w:sz w:val="40"/>
          <w:szCs w:val="40"/>
          <w:lang w:val="en-US"/>
        </w:rPr>
      </w:pPr>
      <w:r>
        <w:rPr>
          <w:rFonts w:cs="Arial"/>
          <w:b/>
          <w:bCs/>
          <w:color w:val="222222"/>
          <w:sz w:val="40"/>
          <w:szCs w:val="40"/>
          <w:lang w:val="en-US"/>
        </w:rPr>
        <w:drawing>
          <wp:inline distT="0" distB="0" distL="0" distR="0">
            <wp:extent cx="4930140" cy="1955165"/>
            <wp:effectExtent l="0" t="0" r="3810" b="6985"/>
            <wp:docPr id="158118590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85901" name="Picture 1" descr="A close-up of a sign&#10;&#10;AI-generated content may be incorrect."/>
                    <pic:cNvPicPr>
                      <a:picLocks noChangeAspect="1"/>
                    </pic:cNvPicPr>
                  </pic:nvPicPr>
                  <pic:blipFill>
                    <a:blip r:embed="rId7"/>
                    <a:stretch>
                      <a:fillRect/>
                    </a:stretch>
                  </pic:blipFill>
                  <pic:spPr>
                    <a:xfrm>
                      <a:off x="0" y="0"/>
                      <a:ext cx="4935208" cy="1957739"/>
                    </a:xfrm>
                    <a:prstGeom prst="rect">
                      <a:avLst/>
                    </a:prstGeom>
                  </pic:spPr>
                </pic:pic>
              </a:graphicData>
            </a:graphic>
          </wp:inline>
        </w:drawing>
      </w:r>
    </w:p>
    <w:p w14:paraId="7CBDD87D">
      <w:pPr>
        <w:shd w:val="clear" w:color="auto" w:fill="FFFFFF"/>
        <w:spacing w:before="0" w:after="0" w:line="240" w:lineRule="auto"/>
        <w:jc w:val="center"/>
        <w:rPr>
          <w:rFonts w:hint="default" w:cs="Arial"/>
          <w:b/>
          <w:bCs/>
          <w:color w:val="222222"/>
          <w:sz w:val="40"/>
          <w:szCs w:val="40"/>
          <w:lang w:val="en-US"/>
        </w:rPr>
      </w:pPr>
    </w:p>
    <w:p w14:paraId="69FAACFA">
      <w:pPr>
        <w:shd w:val="clear" w:color="auto" w:fill="FFFFFF"/>
        <w:spacing w:before="0" w:after="0" w:line="240" w:lineRule="auto"/>
        <w:jc w:val="center"/>
        <w:rPr>
          <w:rFonts w:hint="default" w:cs="Arial"/>
          <w:b/>
          <w:bCs/>
          <w:color w:val="222222"/>
          <w:sz w:val="40"/>
          <w:szCs w:val="40"/>
          <w:lang w:val="en-US"/>
        </w:rPr>
      </w:pPr>
    </w:p>
    <w:p w14:paraId="0F3E6C47">
      <w:pPr>
        <w:shd w:val="clear" w:color="auto" w:fill="FFFFFF"/>
        <w:spacing w:before="0" w:after="0" w:line="240" w:lineRule="auto"/>
        <w:jc w:val="center"/>
        <w:rPr>
          <w:rFonts w:hint="default" w:cs="Arial"/>
          <w:b/>
          <w:bCs/>
          <w:color w:val="222222"/>
          <w:sz w:val="40"/>
          <w:szCs w:val="40"/>
          <w:lang w:val="en-US"/>
        </w:rPr>
      </w:pPr>
      <w:bookmarkStart w:id="31" w:name="_GoBack"/>
      <w:bookmarkEnd w:id="31"/>
      <w:r>
        <w:rPr>
          <w:rFonts w:hint="default" w:cs="Arial"/>
          <w:b/>
          <w:bCs/>
          <w:color w:val="222222"/>
          <w:sz w:val="40"/>
          <w:szCs w:val="40"/>
          <w:lang w:val="en-US"/>
        </w:rPr>
        <w:t xml:space="preserve">Student Name : Poojan  Patel </w:t>
      </w:r>
    </w:p>
    <w:p w14:paraId="295EDB5B">
      <w:pPr>
        <w:shd w:val="clear" w:color="auto" w:fill="FFFFFF"/>
        <w:spacing w:before="0" w:after="0" w:line="240" w:lineRule="auto"/>
        <w:jc w:val="center"/>
        <w:rPr>
          <w:rFonts w:hint="default" w:cs="Arial"/>
          <w:b/>
          <w:bCs/>
          <w:color w:val="222222"/>
          <w:sz w:val="40"/>
          <w:szCs w:val="40"/>
          <w:lang w:val="en-US"/>
        </w:rPr>
      </w:pPr>
      <w:r>
        <w:rPr>
          <w:rFonts w:hint="default" w:cs="Arial"/>
          <w:b/>
          <w:bCs/>
          <w:color w:val="222222"/>
          <w:sz w:val="40"/>
          <w:szCs w:val="40"/>
          <w:lang w:val="en-US"/>
        </w:rPr>
        <w:t>Student ID : 2334751</w:t>
      </w:r>
    </w:p>
    <w:p w14:paraId="6D227289">
      <w:pPr>
        <w:shd w:val="clear" w:color="auto" w:fill="FFFFFF"/>
        <w:spacing w:before="0" w:after="0" w:line="240" w:lineRule="auto"/>
        <w:jc w:val="center"/>
        <w:rPr>
          <w:rFonts w:hint="default" w:cs="Arial"/>
          <w:b/>
          <w:bCs/>
          <w:color w:val="222222"/>
          <w:sz w:val="40"/>
          <w:szCs w:val="40"/>
          <w:lang w:val="en-US"/>
        </w:rPr>
      </w:pPr>
      <w:r>
        <w:rPr>
          <w:rFonts w:hint="default" w:cs="Arial"/>
          <w:b/>
          <w:bCs/>
          <w:color w:val="222222"/>
          <w:sz w:val="40"/>
          <w:szCs w:val="40"/>
          <w:lang w:val="en-US"/>
        </w:rPr>
        <w:t>Module Code : LCMB7035</w:t>
      </w:r>
    </w:p>
    <w:p w14:paraId="3055F347">
      <w:pPr>
        <w:shd w:val="clear" w:color="auto" w:fill="FFFFFF"/>
        <w:spacing w:before="0" w:after="0" w:line="240" w:lineRule="auto"/>
        <w:jc w:val="center"/>
        <w:rPr>
          <w:rFonts w:hint="default" w:cs="Arial"/>
          <w:b/>
          <w:bCs/>
          <w:color w:val="222222"/>
          <w:sz w:val="40"/>
          <w:szCs w:val="40"/>
          <w:lang w:val="en-US"/>
        </w:rPr>
      </w:pPr>
      <w:r>
        <w:rPr>
          <w:rFonts w:hint="default" w:cs="Arial"/>
          <w:b/>
          <w:bCs/>
          <w:color w:val="222222"/>
          <w:sz w:val="40"/>
          <w:szCs w:val="40"/>
          <w:lang w:val="en-US"/>
        </w:rPr>
        <w:t>Supervisor : Dr Jia Miao</w:t>
      </w:r>
    </w:p>
    <w:p w14:paraId="2EE33D64">
      <w:pPr>
        <w:shd w:val="clear" w:color="auto" w:fill="FFFFFF"/>
        <w:spacing w:before="0" w:after="0" w:line="240" w:lineRule="auto"/>
        <w:jc w:val="center"/>
        <w:rPr>
          <w:rFonts w:hint="default" w:cs="Arial"/>
          <w:b/>
          <w:bCs/>
          <w:color w:val="222222"/>
          <w:sz w:val="40"/>
          <w:szCs w:val="40"/>
          <w:lang w:val="en-US"/>
        </w:rPr>
      </w:pPr>
    </w:p>
    <w:p w14:paraId="65ECEAEA">
      <w:pPr>
        <w:shd w:val="clear" w:color="auto" w:fill="FFFFFF"/>
        <w:spacing w:before="0" w:after="0" w:line="240" w:lineRule="auto"/>
        <w:jc w:val="center"/>
        <w:rPr>
          <w:rFonts w:cs="Arial"/>
          <w:b/>
          <w:bCs/>
          <w:color w:val="222222"/>
          <w:sz w:val="40"/>
          <w:szCs w:val="40"/>
          <w:lang w:val="en-US"/>
        </w:rPr>
      </w:pPr>
    </w:p>
    <w:p w14:paraId="472C8DB1">
      <w:pPr>
        <w:shd w:val="clear" w:color="auto" w:fill="FFFFFF"/>
        <w:spacing w:before="0" w:after="0" w:line="240" w:lineRule="auto"/>
        <w:jc w:val="center"/>
        <w:rPr>
          <w:rFonts w:cs="Arial"/>
          <w:b/>
          <w:bCs/>
          <w:color w:val="222222"/>
          <w:sz w:val="40"/>
          <w:szCs w:val="40"/>
          <w:lang w:val="en-US"/>
        </w:rPr>
      </w:pPr>
      <w:r>
        <w:rPr>
          <w:rFonts w:cs="Arial"/>
          <w:b/>
          <w:bCs/>
          <w:color w:val="222222"/>
          <w:sz w:val="40"/>
          <w:szCs w:val="40"/>
          <w:lang w:val="en-US"/>
        </w:rPr>
        <w:t>A study evaluating the impact of marketing strategies of automobile companies on customer purchasing behaviour- comparative analysis of BMW and Aston Martin</w:t>
      </w:r>
    </w:p>
    <w:p w14:paraId="1344A98D">
      <w:pPr>
        <w:spacing w:before="0" w:after="200" w:line="276" w:lineRule="auto"/>
        <w:jc w:val="left"/>
        <w:rPr>
          <w:rFonts w:cs="Arial"/>
          <w:b/>
          <w:bCs/>
          <w:color w:val="222222"/>
          <w:sz w:val="40"/>
          <w:szCs w:val="40"/>
          <w:lang w:val="en-US"/>
        </w:rPr>
      </w:pPr>
      <w:r>
        <w:rPr>
          <w:rFonts w:cs="Arial"/>
          <w:b/>
          <w:bCs/>
          <w:color w:val="222222"/>
          <w:sz w:val="40"/>
          <w:szCs w:val="40"/>
          <w:lang w:val="en-US"/>
        </w:rPr>
        <w:br w:type="page"/>
      </w:r>
    </w:p>
    <w:sdt>
      <w:sdtPr>
        <w:rPr>
          <w:rFonts w:ascii="Times New Roman" w:hAnsi="Times New Roman" w:eastAsia="Times New Roman" w:cs="Times New Roman"/>
          <w:color w:val="auto"/>
          <w:sz w:val="24"/>
          <w:szCs w:val="24"/>
          <w:lang w:val="en"/>
        </w:rPr>
        <w:id w:val="-1002885111"/>
        <w:docPartObj>
          <w:docPartGallery w:val="Table of Contents"/>
          <w:docPartUnique/>
        </w:docPartObj>
      </w:sdtPr>
      <w:sdtEndPr>
        <w:rPr>
          <w:rFonts w:ascii="Times New Roman" w:hAnsi="Times New Roman" w:eastAsia="Times New Roman" w:cs="Times New Roman"/>
          <w:b/>
          <w:bCs/>
          <w:color w:val="auto"/>
          <w:sz w:val="24"/>
          <w:szCs w:val="24"/>
          <w:lang w:val="en"/>
        </w:rPr>
      </w:sdtEndPr>
      <w:sdtContent>
        <w:p w14:paraId="4C294F6D">
          <w:pPr>
            <w:pStyle w:val="23"/>
            <w:jc w:val="center"/>
          </w:pPr>
          <w:r>
            <w:rPr>
              <w:b/>
              <w:color w:val="000000" w:themeColor="text1"/>
              <w14:textFill>
                <w14:solidFill>
                  <w14:schemeClr w14:val="tx1"/>
                </w14:solidFill>
              </w14:textFill>
            </w:rPr>
            <w:t>Table of Contents</w:t>
          </w:r>
        </w:p>
        <w:p w14:paraId="0B35D357">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TOC \o "1-3" \h \z \u </w:instrText>
          </w:r>
          <w:r>
            <w:fldChar w:fldCharType="separate"/>
          </w:r>
          <w:r>
            <w:fldChar w:fldCharType="begin"/>
          </w:r>
          <w:r>
            <w:instrText xml:space="preserve"> HYPERLINK \l "_Toc192849036" </w:instrText>
          </w:r>
          <w:r>
            <w:fldChar w:fldCharType="separate"/>
          </w:r>
          <w:r>
            <w:rPr>
              <w:rStyle w:val="11"/>
            </w:rPr>
            <w:t>1: Introduction</w:t>
          </w:r>
          <w:r>
            <w:tab/>
          </w:r>
          <w:r>
            <w:fldChar w:fldCharType="begin"/>
          </w:r>
          <w:r>
            <w:instrText xml:space="preserve"> PAGEREF _Toc192849036 \h </w:instrText>
          </w:r>
          <w:r>
            <w:fldChar w:fldCharType="separate"/>
          </w:r>
          <w:r>
            <w:t>5</w:t>
          </w:r>
          <w:r>
            <w:fldChar w:fldCharType="end"/>
          </w:r>
          <w:r>
            <w:fldChar w:fldCharType="end"/>
          </w:r>
        </w:p>
        <w:p w14:paraId="2AF96DC0">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"_Toc192849037" </w:instrText>
          </w:r>
          <w:r>
            <w:fldChar w:fldCharType="separate"/>
          </w:r>
          <w:r>
            <w:rPr>
              <w:rStyle w:val="11"/>
            </w:rPr>
            <w:t>1.1 Background</w:t>
          </w:r>
          <w:r>
            <w:tab/>
          </w:r>
          <w:r>
            <w:fldChar w:fldCharType="begin"/>
          </w:r>
          <w:r>
            <w:instrText xml:space="preserve"> PAGEREF _Toc192849037 \h </w:instrText>
          </w:r>
          <w:r>
            <w:fldChar w:fldCharType="separate"/>
          </w:r>
          <w:r>
            <w:t>5</w:t>
          </w:r>
          <w:r>
            <w:fldChar w:fldCharType="end"/>
          </w:r>
          <w:r>
            <w:fldChar w:fldCharType="end"/>
          </w:r>
        </w:p>
        <w:p w14:paraId="3DF41A9E">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"_Toc192849038" </w:instrText>
          </w:r>
          <w:r>
            <w:fldChar w:fldCharType="separate"/>
          </w:r>
          <w:r>
            <w:rPr>
              <w:rStyle w:val="11"/>
              <w:lang w:val="en-US"/>
            </w:rPr>
            <w:t>1.2 Research Problem</w:t>
          </w:r>
          <w:r>
            <w:tab/>
          </w:r>
          <w:r>
            <w:fldChar w:fldCharType="begin"/>
          </w:r>
          <w:r>
            <w:instrText xml:space="preserve"> PAGEREF _Toc192849038 \h </w:instrText>
          </w:r>
          <w:r>
            <w:fldChar w:fldCharType="separate"/>
          </w:r>
          <w:r>
            <w:t>5</w:t>
          </w:r>
          <w:r>
            <w:fldChar w:fldCharType="end"/>
          </w:r>
          <w:r>
            <w:fldChar w:fldCharType="end"/>
          </w:r>
        </w:p>
        <w:p w14:paraId="58ADFE42">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"_Toc192849039" </w:instrText>
          </w:r>
          <w:r>
            <w:fldChar w:fldCharType="separate"/>
          </w:r>
          <w:r>
            <w:rPr>
              <w:rStyle w:val="11"/>
            </w:rPr>
            <w:t>1.3 Aims and Objectives:</w:t>
          </w:r>
          <w:r>
            <w:tab/>
          </w:r>
          <w:r>
            <w:fldChar w:fldCharType="begin"/>
          </w:r>
          <w:r>
            <w:instrText xml:space="preserve"> PAGEREF _Toc192849039 \h </w:instrText>
          </w:r>
          <w:r>
            <w:fldChar w:fldCharType="separate"/>
          </w:r>
          <w:r>
            <w:t>6</w:t>
          </w:r>
          <w:r>
            <w:fldChar w:fldCharType="end"/>
          </w:r>
          <w:r>
            <w:fldChar w:fldCharType="end"/>
          </w:r>
        </w:p>
        <w:p w14:paraId="2600022B">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"_Toc192849040" </w:instrText>
          </w:r>
          <w:r>
            <w:fldChar w:fldCharType="separate"/>
          </w:r>
          <w:r>
            <w:rPr>
              <w:rStyle w:val="11"/>
            </w:rPr>
            <w:t>1.4 Research Question</w:t>
          </w:r>
          <w:r>
            <w:tab/>
          </w:r>
          <w:r>
            <w:fldChar w:fldCharType="begin"/>
          </w:r>
          <w:r>
            <w:instrText xml:space="preserve"> PAGEREF _Toc192849040 \h </w:instrText>
          </w:r>
          <w:r>
            <w:fldChar w:fldCharType="separate"/>
          </w:r>
          <w:r>
            <w:t>6</w:t>
          </w:r>
          <w:r>
            <w:fldChar w:fldCharType="end"/>
          </w:r>
          <w:r>
            <w:fldChar w:fldCharType="end"/>
          </w:r>
        </w:p>
        <w:p w14:paraId="695FFD71">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"_Toc192849041" </w:instrText>
          </w:r>
          <w:r>
            <w:fldChar w:fldCharType="separate"/>
          </w:r>
          <w:r>
            <w:rPr>
              <w:rStyle w:val="11"/>
            </w:rPr>
            <w:t>2: Literature Review</w:t>
          </w:r>
          <w:r>
            <w:tab/>
          </w:r>
          <w:r>
            <w:fldChar w:fldCharType="begin"/>
          </w:r>
          <w:r>
            <w:instrText xml:space="preserve"> PAGEREF _Toc192849041 \h </w:instrText>
          </w:r>
          <w:r>
            <w:fldChar w:fldCharType="separate"/>
          </w:r>
          <w:r>
            <w:t>8</w:t>
          </w:r>
          <w:r>
            <w:fldChar w:fldCharType="end"/>
          </w:r>
          <w:r>
            <w:fldChar w:fldCharType="end"/>
          </w:r>
        </w:p>
        <w:p w14:paraId="228ABF61">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"_Toc192849042" </w:instrText>
          </w:r>
          <w:r>
            <w:fldChar w:fldCharType="separate"/>
          </w:r>
          <w:r>
            <w:rPr>
              <w:rStyle w:val="11"/>
            </w:rPr>
            <w:t>2.1 Significance of marketing strategies for automobile companies on customer purchasing behaviour through a comparative analysis between BMW and Aston Martin</w:t>
          </w:r>
          <w:r>
            <w:tab/>
          </w:r>
          <w:r>
            <w:fldChar w:fldCharType="begin"/>
          </w:r>
          <w:r>
            <w:instrText xml:space="preserve"> PAGEREF _Toc192849042 \h </w:instrText>
          </w:r>
          <w:r>
            <w:fldChar w:fldCharType="separate"/>
          </w:r>
          <w:r>
            <w:t>8</w:t>
          </w:r>
          <w:r>
            <w:fldChar w:fldCharType="end"/>
          </w:r>
          <w:r>
            <w:fldChar w:fldCharType="end"/>
          </w:r>
        </w:p>
        <w:p w14:paraId="3FDCB239">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"_Toc192849043" </w:instrText>
          </w:r>
          <w:r>
            <w:fldChar w:fldCharType="separate"/>
          </w:r>
          <w:r>
            <w:rPr>
              <w:rStyle w:val="11"/>
              <w:lang w:val="en-US"/>
            </w:rPr>
            <w:t>2.2 M</w:t>
          </w:r>
          <w:r>
            <w:rPr>
              <w:rStyle w:val="11"/>
            </w:rPr>
            <w:t>arketing strategies adopted by automobile companies to influence customer purchasing behaviour by a comparative  analysis between BMW and Aston Martin</w:t>
          </w:r>
          <w:r>
            <w:tab/>
          </w:r>
          <w:r>
            <w:fldChar w:fldCharType="begin"/>
          </w:r>
          <w:r>
            <w:instrText xml:space="preserve"> PAGEREF _Toc192849043 \h </w:instrText>
          </w:r>
          <w:r>
            <w:fldChar w:fldCharType="separate"/>
          </w:r>
          <w:r>
            <w:t>9</w:t>
          </w:r>
          <w:r>
            <w:fldChar w:fldCharType="end"/>
          </w:r>
          <w:r>
            <w:fldChar w:fldCharType="end"/>
          </w:r>
        </w:p>
        <w:p w14:paraId="10AE0136">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"_Toc192849044" </w:instrText>
          </w:r>
          <w:r>
            <w:fldChar w:fldCharType="separate"/>
          </w:r>
          <w:r>
            <w:rPr>
              <w:rStyle w:val="11"/>
              <w:lang w:val="en-US"/>
            </w:rPr>
            <w:t xml:space="preserve">2.3 </w:t>
          </w:r>
          <w:r>
            <w:rPr>
              <w:rStyle w:val="11"/>
            </w:rPr>
            <w:t>Barriers faced by automobile companies regarding marketing strategies for influencing customer purchasing behaviour through a comparative analysis between BMW and Aston Martin</w:t>
          </w:r>
          <w:r>
            <w:tab/>
          </w:r>
          <w:r>
            <w:fldChar w:fldCharType="begin"/>
          </w:r>
          <w:r>
            <w:instrText xml:space="preserve"> PAGEREF _Toc192849044 \h </w:instrText>
          </w:r>
          <w:r>
            <w:fldChar w:fldCharType="separate"/>
          </w:r>
          <w:r>
            <w:t>9</w:t>
          </w:r>
          <w:r>
            <w:fldChar w:fldCharType="end"/>
          </w:r>
          <w:r>
            <w:fldChar w:fldCharType="end"/>
          </w:r>
        </w:p>
        <w:p w14:paraId="7E71398C">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"_Toc192849045" </w:instrText>
          </w:r>
          <w:r>
            <w:fldChar w:fldCharType="separate"/>
          </w:r>
          <w:r>
            <w:rPr>
              <w:rStyle w:val="11"/>
            </w:rPr>
            <w:t>2.3 Theory of Planned Behaviour</w:t>
          </w:r>
          <w:r>
            <w:tab/>
          </w:r>
          <w:r>
            <w:fldChar w:fldCharType="begin"/>
          </w:r>
          <w:r>
            <w:instrText xml:space="preserve"> PAGEREF _Toc192849045 \h </w:instrText>
          </w:r>
          <w:r>
            <w:fldChar w:fldCharType="separate"/>
          </w:r>
          <w:r>
            <w:t>10</w:t>
          </w:r>
          <w:r>
            <w:fldChar w:fldCharType="end"/>
          </w:r>
          <w:r>
            <w:fldChar w:fldCharType="end"/>
          </w:r>
        </w:p>
        <w:p w14:paraId="58B9B442">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"_Toc192849046" </w:instrText>
          </w:r>
          <w:r>
            <w:fldChar w:fldCharType="separate"/>
          </w:r>
          <w:r>
            <w:rPr>
              <w:rStyle w:val="11"/>
            </w:rPr>
            <w:t>2.4 Marketing Mix Theory</w:t>
          </w:r>
          <w:r>
            <w:tab/>
          </w:r>
          <w:r>
            <w:fldChar w:fldCharType="begin"/>
          </w:r>
          <w:r>
            <w:instrText xml:space="preserve"> PAGEREF _Toc192849046 \h </w:instrText>
          </w:r>
          <w:r>
            <w:fldChar w:fldCharType="separate"/>
          </w:r>
          <w:r>
            <w:t>11</w:t>
          </w:r>
          <w:r>
            <w:fldChar w:fldCharType="end"/>
          </w:r>
          <w:r>
            <w:fldChar w:fldCharType="end"/>
          </w:r>
        </w:p>
        <w:p w14:paraId="67452051">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"_Toc192849047" </w:instrText>
          </w:r>
          <w:r>
            <w:fldChar w:fldCharType="separate"/>
          </w:r>
          <w:r>
            <w:rPr>
              <w:rStyle w:val="11"/>
            </w:rPr>
            <w:t>2.5 Literature Gap</w:t>
          </w:r>
          <w:r>
            <w:tab/>
          </w:r>
          <w:r>
            <w:fldChar w:fldCharType="begin"/>
          </w:r>
          <w:r>
            <w:instrText xml:space="preserve"> PAGEREF _Toc192849047 \h </w:instrText>
          </w:r>
          <w:r>
            <w:fldChar w:fldCharType="separate"/>
          </w:r>
          <w:r>
            <w:t>11</w:t>
          </w:r>
          <w:r>
            <w:fldChar w:fldCharType="end"/>
          </w:r>
          <w:r>
            <w:fldChar w:fldCharType="end"/>
          </w:r>
        </w:p>
        <w:p w14:paraId="61F5A32F">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"_Toc192849048" </w:instrText>
          </w:r>
          <w:r>
            <w:fldChar w:fldCharType="separate"/>
          </w:r>
          <w:r>
            <w:rPr>
              <w:rStyle w:val="11"/>
            </w:rPr>
            <w:t>3. Research Methodology</w:t>
          </w:r>
          <w:r>
            <w:tab/>
          </w:r>
          <w:r>
            <w:fldChar w:fldCharType="begin"/>
          </w:r>
          <w:r>
            <w:instrText xml:space="preserve"> PAGEREF _Toc192849048 \h </w:instrText>
          </w:r>
          <w:r>
            <w:fldChar w:fldCharType="separate"/>
          </w:r>
          <w:r>
            <w:t>12</w:t>
          </w:r>
          <w:r>
            <w:fldChar w:fldCharType="end"/>
          </w:r>
          <w:r>
            <w:fldChar w:fldCharType="end"/>
          </w:r>
        </w:p>
        <w:p w14:paraId="27822129">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"_Toc192849049" </w:instrText>
          </w:r>
          <w:r>
            <w:fldChar w:fldCharType="separate"/>
          </w:r>
          <w:r>
            <w:rPr>
              <w:rStyle w:val="11"/>
            </w:rPr>
            <w:t>3.1 Research Design</w:t>
          </w:r>
          <w:r>
            <w:tab/>
          </w:r>
          <w:r>
            <w:fldChar w:fldCharType="begin"/>
          </w:r>
          <w:r>
            <w:instrText xml:space="preserve"> PAGEREF _Toc192849049 \h </w:instrText>
          </w:r>
          <w:r>
            <w:fldChar w:fldCharType="separate"/>
          </w:r>
          <w:r>
            <w:t>12</w:t>
          </w:r>
          <w:r>
            <w:fldChar w:fldCharType="end"/>
          </w:r>
          <w:r>
            <w:fldChar w:fldCharType="end"/>
          </w:r>
        </w:p>
        <w:p w14:paraId="463EE8A0">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"_Toc192849050" </w:instrText>
          </w:r>
          <w:r>
            <w:fldChar w:fldCharType="separate"/>
          </w:r>
          <w:r>
            <w:rPr>
              <w:rStyle w:val="11"/>
              <w:lang w:val="en-IN" w:eastAsia="en-IN"/>
            </w:rPr>
            <w:t>3.2 Research Method</w:t>
          </w:r>
          <w:r>
            <w:tab/>
          </w:r>
          <w:r>
            <w:fldChar w:fldCharType="begin"/>
          </w:r>
          <w:r>
            <w:instrText xml:space="preserve"> PAGEREF _Toc192849050 \h </w:instrText>
          </w:r>
          <w:r>
            <w:fldChar w:fldCharType="separate"/>
          </w:r>
          <w:r>
            <w:t>12</w:t>
          </w:r>
          <w:r>
            <w:fldChar w:fldCharType="end"/>
          </w:r>
          <w:r>
            <w:fldChar w:fldCharType="end"/>
          </w:r>
        </w:p>
        <w:p w14:paraId="766F2DF2">
          <w:pPr>
            <w:pStyle w:val="16"/>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"_Toc192849051" </w:instrText>
          </w:r>
          <w:r>
            <w:fldChar w:fldCharType="separate"/>
          </w:r>
          <w:r>
            <w:rPr>
              <w:rStyle w:val="11"/>
            </w:rPr>
            <w:t>3.3 Data Collection and Data Analysis</w:t>
          </w:r>
          <w:r>
            <w:tab/>
          </w:r>
          <w:r>
            <w:fldChar w:fldCharType="begin"/>
          </w:r>
          <w:r>
            <w:instrText xml:space="preserve"> PAGEREF _Toc192849051 \h </w:instrText>
          </w:r>
          <w:r>
            <w:fldChar w:fldCharType="separate"/>
          </w:r>
          <w:r>
            <w:t>13</w:t>
          </w:r>
          <w:r>
            <w:fldChar w:fldCharType="end"/>
          </w:r>
          <w:r>
            <w:fldChar w:fldCharType="end"/>
          </w:r>
        </w:p>
        <w:p w14:paraId="2242855E">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"_Toc192849052" </w:instrText>
          </w:r>
          <w:r>
            <w:fldChar w:fldCharType="separate"/>
          </w:r>
          <w:r>
            <w:rPr>
              <w:rStyle w:val="11"/>
            </w:rPr>
            <w:t>4. Ethical Considerations</w:t>
          </w:r>
          <w:r>
            <w:tab/>
          </w:r>
          <w:r>
            <w:fldChar w:fldCharType="begin"/>
          </w:r>
          <w:r>
            <w:instrText xml:space="preserve"> PAGEREF _Toc192849052 \h </w:instrText>
          </w:r>
          <w:r>
            <w:fldChar w:fldCharType="separate"/>
          </w:r>
          <w:r>
            <w:t>14</w:t>
          </w:r>
          <w:r>
            <w:fldChar w:fldCharType="end"/>
          </w:r>
          <w:r>
            <w:fldChar w:fldCharType="end"/>
          </w:r>
        </w:p>
        <w:p w14:paraId="6D0322B7">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"_Toc192849053" </w:instrText>
          </w:r>
          <w:r>
            <w:fldChar w:fldCharType="separate"/>
          </w:r>
          <w:r>
            <w:rPr>
              <w:rStyle w:val="11"/>
            </w:rPr>
            <w:t>5. Limitation</w:t>
          </w:r>
          <w:r>
            <w:tab/>
          </w:r>
          <w:r>
            <w:fldChar w:fldCharType="begin"/>
          </w:r>
          <w:r>
            <w:instrText xml:space="preserve"> PAGEREF _Toc192849053 \h </w:instrText>
          </w:r>
          <w:r>
            <w:fldChar w:fldCharType="separate"/>
          </w:r>
          <w:r>
            <w:t>14</w:t>
          </w:r>
          <w:r>
            <w:fldChar w:fldCharType="end"/>
          </w:r>
          <w:r>
            <w:fldChar w:fldCharType="end"/>
          </w:r>
        </w:p>
        <w:p w14:paraId="2C57AFD5">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"_Toc192849054" </w:instrText>
          </w:r>
          <w:r>
            <w:fldChar w:fldCharType="separate"/>
          </w:r>
          <w:r>
            <w:rPr>
              <w:rStyle w:val="11"/>
            </w:rPr>
            <w:t>6.Expected Outcome</w:t>
          </w:r>
          <w:r>
            <w:tab/>
          </w:r>
          <w:r>
            <w:fldChar w:fldCharType="begin"/>
          </w:r>
          <w:r>
            <w:instrText xml:space="preserve"> PAGEREF _Toc192849054 \h </w:instrText>
          </w:r>
          <w:r>
            <w:fldChar w:fldCharType="separate"/>
          </w:r>
          <w:r>
            <w:t>14</w:t>
          </w:r>
          <w:r>
            <w:fldChar w:fldCharType="end"/>
          </w:r>
          <w:r>
            <w:fldChar w:fldCharType="end"/>
          </w:r>
        </w:p>
        <w:p w14:paraId="3B0140D7">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"_Toc192849055" </w:instrText>
          </w:r>
          <w:r>
            <w:fldChar w:fldCharType="separate"/>
          </w:r>
          <w:r>
            <w:rPr>
              <w:rStyle w:val="11"/>
            </w:rPr>
            <w:t>7. Timeline</w:t>
          </w:r>
          <w:r>
            <w:tab/>
          </w:r>
          <w:r>
            <w:fldChar w:fldCharType="begin"/>
          </w:r>
          <w:r>
            <w:instrText xml:space="preserve"> PAGEREF _Toc192849055 \h </w:instrText>
          </w:r>
          <w:r>
            <w:fldChar w:fldCharType="separate"/>
          </w:r>
          <w:r>
            <w:t>15</w:t>
          </w:r>
          <w:r>
            <w:fldChar w:fldCharType="end"/>
          </w:r>
          <w:r>
            <w:fldChar w:fldCharType="end"/>
          </w:r>
        </w:p>
        <w:p w14:paraId="3A21565E">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"_Toc192849056" </w:instrText>
          </w:r>
          <w:r>
            <w:fldChar w:fldCharType="separate"/>
          </w:r>
          <w:r>
            <w:rPr>
              <w:rStyle w:val="11"/>
            </w:rPr>
            <w:t>8. Conclusion</w:t>
          </w:r>
          <w:r>
            <w:tab/>
          </w:r>
          <w:r>
            <w:fldChar w:fldCharType="begin"/>
          </w:r>
          <w:r>
            <w:instrText xml:space="preserve"> PAGEREF _Toc192849056 \h </w:instrText>
          </w:r>
          <w:r>
            <w:fldChar w:fldCharType="separate"/>
          </w:r>
          <w:r>
            <w:t>15</w:t>
          </w:r>
          <w:r>
            <w:fldChar w:fldCharType="end"/>
          </w:r>
          <w:r>
            <w:fldChar w:fldCharType="end"/>
          </w:r>
        </w:p>
        <w:p w14:paraId="2BFB1AF5">
          <w:pPr>
            <w:pStyle w:val="15"/>
            <w:tabs>
              <w:tab w:val="right" w:leader="dot" w:pos="9350"/>
            </w:tabs>
            <w:rPr>
              <w:rFonts w:asciiTheme="minorHAnsi" w:hAnsiTheme="minorHAnsi" w:eastAsiaTheme="minorEastAsia" w:cstheme="minorBidi"/>
              <w:kern w:val="2"/>
              <w:lang w:val="en-IN" w:eastAsia="en-IN"/>
              <w14:ligatures w14:val="standardContextual"/>
            </w:rPr>
          </w:pPr>
          <w:r>
            <w:fldChar w:fldCharType="begin"/>
          </w:r>
          <w:r>
            <w:instrText xml:space="preserve"> HYPERLINK \l "_Toc192849057" </w:instrText>
          </w:r>
          <w:r>
            <w:fldChar w:fldCharType="separate"/>
          </w:r>
          <w:r>
            <w:rPr>
              <w:rStyle w:val="11"/>
            </w:rPr>
            <w:t>Reference List</w:t>
          </w:r>
          <w:r>
            <w:tab/>
          </w:r>
          <w:r>
            <w:fldChar w:fldCharType="begin"/>
          </w:r>
          <w:r>
            <w:instrText xml:space="preserve"> PAGEREF _Toc192849057 \h </w:instrText>
          </w:r>
          <w:r>
            <w:fldChar w:fldCharType="separate"/>
          </w:r>
          <w:r>
            <w:t>16</w:t>
          </w:r>
          <w:r>
            <w:fldChar w:fldCharType="end"/>
          </w:r>
          <w:r>
            <w:fldChar w:fldCharType="end"/>
          </w:r>
        </w:p>
        <w:p w14:paraId="468B64DE">
          <w:r>
            <w:rPr>
              <w:b/>
              <w:bCs/>
            </w:rPr>
            <w:fldChar w:fldCharType="end"/>
          </w:r>
        </w:p>
      </w:sdtContent>
    </w:sdt>
    <w:p w14:paraId="6CA96A51">
      <w:pPr>
        <w:spacing w:before="0" w:after="200" w:line="276" w:lineRule="auto"/>
        <w:jc w:val="left"/>
        <w:rPr>
          <w:rFonts w:cs="Arial"/>
          <w:b/>
          <w:bCs/>
          <w:color w:val="222222"/>
          <w:sz w:val="36"/>
          <w:szCs w:val="36"/>
          <w:lang w:val="en-US"/>
        </w:rPr>
      </w:pPr>
      <w:r>
        <w:rPr>
          <w:rFonts w:cs="Arial"/>
          <w:b/>
          <w:bCs/>
          <w:color w:val="222222"/>
          <w:sz w:val="36"/>
          <w:szCs w:val="36"/>
          <w:lang w:val="en-US"/>
        </w:rPr>
        <w:br w:type="page"/>
      </w:r>
    </w:p>
    <w:p w14:paraId="3A60A52E">
      <w:pPr>
        <w:jc w:val="center"/>
        <w:rPr>
          <w:b/>
        </w:rPr>
      </w:pPr>
      <w:r>
        <w:rPr>
          <w:b/>
        </w:rPr>
        <w:t>List of Figures</w:t>
      </w:r>
    </w:p>
    <w:p w14:paraId="28ADA403">
      <w:pPr>
        <w:pStyle w:val="14"/>
        <w:tabs>
          <w:tab w:val="right" w:leader="dot" w:pos="9350"/>
        </w:tabs>
      </w:pPr>
      <w:r>
        <w:rPr>
          <w:rFonts w:cs="Arial"/>
          <w:b/>
          <w:bCs/>
          <w:color w:val="222222"/>
          <w:sz w:val="36"/>
          <w:szCs w:val="36"/>
          <w:lang w:val="en-US"/>
        </w:rPr>
        <w:fldChar w:fldCharType="begin"/>
      </w:r>
      <w:r>
        <w:rPr>
          <w:rFonts w:cs="Arial"/>
          <w:b/>
          <w:bCs/>
          <w:color w:val="222222"/>
          <w:sz w:val="36"/>
          <w:szCs w:val="36"/>
          <w:lang w:val="en-US"/>
        </w:rPr>
        <w:instrText xml:space="preserve"> TOC \h \z \t "Heading 4" \c </w:instrText>
      </w:r>
      <w:r>
        <w:rPr>
          <w:rFonts w:cs="Arial"/>
          <w:b/>
          <w:bCs/>
          <w:color w:val="222222"/>
          <w:sz w:val="36"/>
          <w:szCs w:val="36"/>
          <w:lang w:val="en-US"/>
        </w:rPr>
        <w:fldChar w:fldCharType="separate"/>
      </w:r>
      <w:r>
        <w:fldChar w:fldCharType="begin"/>
      </w:r>
      <w:r>
        <w:instrText xml:space="preserve"> HYPERLINK \l "_Toc192768237" </w:instrText>
      </w:r>
      <w:r>
        <w:fldChar w:fldCharType="separate"/>
      </w:r>
      <w:r>
        <w:rPr>
          <w:rStyle w:val="11"/>
          <w:rFonts w:eastAsiaTheme="majorEastAsia"/>
        </w:rPr>
        <w:t>Figure 1 : Gantt chart</w:t>
      </w:r>
      <w:r>
        <w:tab/>
      </w:r>
      <w:r>
        <w:fldChar w:fldCharType="begin"/>
      </w:r>
      <w:r>
        <w:instrText xml:space="preserve"> PAGEREF _Toc192768237 \h </w:instrText>
      </w:r>
      <w:r>
        <w:fldChar w:fldCharType="separate"/>
      </w:r>
      <w:r>
        <w:t>14</w:t>
      </w:r>
      <w:r>
        <w:fldChar w:fldCharType="end"/>
      </w:r>
      <w:r>
        <w:fldChar w:fldCharType="end"/>
      </w:r>
    </w:p>
    <w:p w14:paraId="2879D9D0">
      <w:pPr>
        <w:shd w:val="clear" w:color="auto" w:fill="FFFFFF"/>
        <w:spacing w:before="0" w:after="0" w:line="240" w:lineRule="auto"/>
        <w:jc w:val="center"/>
        <w:rPr>
          <w:rFonts w:cs="Arial"/>
          <w:b/>
          <w:bCs/>
          <w:color w:val="222222"/>
          <w:sz w:val="36"/>
          <w:szCs w:val="36"/>
          <w:lang w:val="en-US"/>
        </w:rPr>
      </w:pPr>
      <w:r>
        <w:rPr>
          <w:rFonts w:cs="Arial"/>
          <w:b/>
          <w:bCs/>
          <w:color w:val="222222"/>
          <w:sz w:val="36"/>
          <w:szCs w:val="36"/>
          <w:lang w:val="en-US"/>
        </w:rPr>
        <w:fldChar w:fldCharType="end"/>
      </w:r>
    </w:p>
    <w:p w14:paraId="65A5C86B">
      <w:pPr>
        <w:spacing w:before="0" w:after="200" w:line="276" w:lineRule="auto"/>
        <w:jc w:val="left"/>
        <w:rPr>
          <w:rFonts w:cs="Arial"/>
          <w:b/>
          <w:bCs/>
          <w:color w:val="222222"/>
          <w:sz w:val="36"/>
          <w:szCs w:val="36"/>
          <w:lang w:val="en-US"/>
        </w:rPr>
      </w:pPr>
      <w:r>
        <w:rPr>
          <w:rFonts w:cs="Arial"/>
          <w:b/>
          <w:bCs/>
          <w:color w:val="222222"/>
          <w:sz w:val="36"/>
          <w:szCs w:val="36"/>
          <w:lang w:val="en-US"/>
        </w:rPr>
        <w:br w:type="page"/>
      </w:r>
    </w:p>
    <w:p w14:paraId="24069221">
      <w:pPr>
        <w:pStyle w:val="2"/>
      </w:pPr>
      <w:bookmarkStart w:id="0" w:name="_Toc192849036"/>
      <w:r>
        <w:t>1: Introduction</w:t>
      </w:r>
      <w:bookmarkEnd w:id="0"/>
      <w:r>
        <w:t xml:space="preserve"> </w:t>
      </w:r>
    </w:p>
    <w:p w14:paraId="2B20CCFD">
      <w:pPr>
        <w:pStyle w:val="3"/>
      </w:pPr>
      <w:bookmarkStart w:id="1" w:name="_Toc192849037"/>
      <w:r>
        <w:t>1.1 Background</w:t>
      </w:r>
      <w:bookmarkEnd w:id="1"/>
    </w:p>
    <w:p w14:paraId="2464C6F3">
      <w:pPr>
        <w:rPr>
          <w:rFonts w:eastAsiaTheme="majorEastAsia"/>
        </w:rPr>
      </w:pPr>
      <w:r>
        <w:rPr>
          <w:rFonts w:eastAsiaTheme="majorEastAsia"/>
        </w:rPr>
        <w:t>The global automobile industry faces intense competition because manufacturers use creative marketing methods to modify customer choices about buying cars.</w:t>
      </w:r>
      <w:r>
        <w:t xml:space="preserve"> </w:t>
      </w:r>
      <w:r>
        <w:rPr>
          <w:rFonts w:eastAsiaTheme="majorEastAsia"/>
        </w:rPr>
        <w:t>The competitive automotive sector allows BMW and Aston Martin to showcase different methods for marketing luxury products within their unique market positions.</w:t>
      </w:r>
      <w:r>
        <w:t xml:space="preserve"> </w:t>
      </w:r>
      <w:r>
        <w:rPr>
          <w:rFonts w:eastAsiaTheme="majorEastAsia"/>
        </w:rPr>
        <w:t>BMWs approach the luxury segment by attracting a wide range of customers through innovative products combined with sustainable practices and competitive pricing.</w:t>
      </w:r>
      <w:r>
        <w:t xml:space="preserve"> </w:t>
      </w:r>
      <w:r>
        <w:rPr>
          <w:rFonts w:eastAsiaTheme="majorEastAsia"/>
        </w:rPr>
        <w:t>The “i” electric vehicle line from BMW, like the i4 and iX has proven successful, with 215,000 global total sales in 2022, because it responds to consumer interest in sustainable transportation (</w:t>
      </w:r>
      <w:r>
        <w:t>EDF, 2024)</w:t>
      </w:r>
      <w:r>
        <w:rPr>
          <w:rFonts w:eastAsiaTheme="majorEastAsia"/>
        </w:rPr>
        <w:t>.</w:t>
      </w:r>
      <w:r>
        <w:t xml:space="preserve"> </w:t>
      </w:r>
      <w:r>
        <w:rPr>
          <w:rFonts w:eastAsiaTheme="majorEastAsia"/>
        </w:rPr>
        <w:t>Aston Martin addresses exclusive buyer demographics since its primary customer base consists of well-off consumers interested in heritage and skilled craftsmanship in their luxury purchases.</w:t>
      </w:r>
      <w:r>
        <w:t xml:space="preserve"> </w:t>
      </w:r>
      <w:r>
        <w:rPr>
          <w:rFonts w:eastAsiaTheme="majorEastAsia"/>
        </w:rPr>
        <w:t>The manufacturer achieved limited market expansion because it prioritised sustainability through its speciality vehicles but raised production costs above most customers' affordances, thus selling just 6,000 units globally during 2022 (</w:t>
      </w:r>
      <w:r>
        <w:t>Solar Power Europe, 2023)</w:t>
      </w:r>
      <w:r>
        <w:rPr>
          <w:rFonts w:eastAsiaTheme="majorEastAsia"/>
        </w:rPr>
        <w:t>.</w:t>
      </w:r>
      <w:r>
        <w:t xml:space="preserve"> </w:t>
      </w:r>
    </w:p>
    <w:p w14:paraId="7D6E10D0">
      <w:pPr>
        <w:rPr>
          <w:rFonts w:eastAsiaTheme="majorEastAsia"/>
        </w:rPr>
      </w:pPr>
      <w:r>
        <w:rPr>
          <w:rFonts w:eastAsiaTheme="majorEastAsia"/>
        </w:rPr>
        <w:t>The strategic examination of BMW alongside Aston Martin allows researchers to develop an understanding of how organisations can achieve equilibrium between their pursuit of innovation along with exclusive offerings and sustainability goals (</w:t>
      </w:r>
      <w:r>
        <w:t>Rame, Purwanto and Sudarno, 2024)</w:t>
      </w:r>
      <w:r>
        <w:rPr>
          <w:rFonts w:eastAsiaTheme="majorEastAsia"/>
        </w:rPr>
        <w:t>.</w:t>
      </w:r>
      <w:r>
        <w:t xml:space="preserve"> </w:t>
      </w:r>
      <w:r>
        <w:rPr>
          <w:rFonts w:eastAsiaTheme="majorEastAsia"/>
        </w:rPr>
        <w:t>Research on changing customer desires benefits from this information which allows theoretical development of best marketing methods for competitive markets.</w:t>
      </w:r>
      <w:r>
        <w:t xml:space="preserve"> </w:t>
      </w:r>
      <w:r>
        <w:rPr>
          <w:rFonts w:eastAsiaTheme="majorEastAsia"/>
        </w:rPr>
        <w:t>Real-time data in this study gives researchers essential practical evidence to study upcoming market developments such as electrification and digital marketing.</w:t>
      </w:r>
    </w:p>
    <w:p w14:paraId="0287E73D">
      <w:pPr>
        <w:pStyle w:val="3"/>
        <w:rPr>
          <w:lang w:val="en-US"/>
        </w:rPr>
      </w:pPr>
      <w:bookmarkStart w:id="2" w:name="_Toc192849038"/>
      <w:r>
        <w:rPr>
          <w:lang w:val="en-US"/>
        </w:rPr>
        <w:t>1.2 Research Problem</w:t>
      </w:r>
      <w:bookmarkEnd w:id="2"/>
    </w:p>
    <w:p w14:paraId="32BEC363">
      <w:r>
        <w:t>In this study, accurately capturing and comparing how BMW and Aston Martin approach marketing strategy is a big challenge as both brands target similar luxury customers and might use different ways in social media, branding, and customer engagement. To achieve this, particularly given the customers’ varying perceptions and the varying demographics and contexts in each culture, it is complex to identify these nuances and measure their direct impact on customer purchasing behaviour (Haralayya, 2021)</w:t>
      </w:r>
      <w:r>
        <w:rPr>
          <w:rFonts w:eastAsiaTheme="majorEastAsia"/>
        </w:rPr>
        <w:t>.</w:t>
      </w:r>
      <w:r>
        <w:t xml:space="preserve"> The existing literature lacks comparative studies on different marketing strategies and their consequent impact on consumer behaviour, particularly between two famous luxury automotive brands, i.e. BMW and Aston Martin (ORJI, 2024). </w:t>
      </w:r>
    </w:p>
    <w:p w14:paraId="5B5A7798">
      <w:pPr>
        <w:pStyle w:val="3"/>
      </w:pPr>
      <w:bookmarkStart w:id="3" w:name="_Toc192849039"/>
      <w:r>
        <w:t>1.3 Aims and Objectives:</w:t>
      </w:r>
      <w:bookmarkEnd w:id="3"/>
    </w:p>
    <w:p w14:paraId="38AAEFC4">
      <w:pPr>
        <w:rPr>
          <w:rStyle w:val="22"/>
          <w:rFonts w:ascii="__GeistSans_Fallback_3a0388" w:hAnsi="__GeistSans_Fallback_3a0388" w:eastAsiaTheme="majorEastAsia"/>
          <w:color w:val="000000"/>
          <w:bdr w:val="single" w:color="auto" w:sz="2" w:space="0"/>
          <w:shd w:val="clear" w:color="auto" w:fill="99FF99"/>
        </w:rPr>
      </w:pPr>
      <w:r>
        <w:rPr>
          <w:b/>
          <w:lang w:val="en-US"/>
        </w:rPr>
        <w:t>Aim:</w:t>
      </w:r>
      <w:r>
        <w:rPr>
          <w:lang w:val="en-US"/>
        </w:rPr>
        <w:t xml:space="preserve"> </w:t>
      </w:r>
      <w:r>
        <w:rPr>
          <w:rFonts w:eastAsiaTheme="majorEastAsia"/>
        </w:rPr>
        <w:t>The aim of this research is to investigate how BMW and Aston Martin's marketing initiatives affect their target customers' buying choices.</w:t>
      </w:r>
      <w:r>
        <w:t xml:space="preserve"> </w:t>
      </w:r>
      <w:r>
        <w:rPr>
          <w:rFonts w:eastAsiaTheme="majorEastAsia"/>
        </w:rPr>
        <w:t>A real-time comparative analysis functions to uncover the effectiveness of these strategies regarding consumer preference management, barrier elimination and alignment with trends that include sustainability and innovation for automobile industry applications.</w:t>
      </w:r>
    </w:p>
    <w:p w14:paraId="10BCFB1D">
      <w:pPr>
        <w:rPr>
          <w:b/>
        </w:rPr>
      </w:pPr>
      <w:r>
        <w:rPr>
          <w:b/>
        </w:rPr>
        <w:t xml:space="preserve">Objectives: </w:t>
      </w:r>
    </w:p>
    <w:p w14:paraId="3CFA30E5">
      <w:pPr>
        <w:pStyle w:val="21"/>
        <w:numPr>
          <w:ilvl w:val="0"/>
          <w:numId w:val="1"/>
        </w:numPr>
        <w:shd w:val="clear" w:color="auto" w:fill="FFFFFF"/>
        <w:spacing w:before="0" w:after="160" w:line="360" w:lineRule="atLeast"/>
        <w:rPr>
          <w:color w:val="222222"/>
          <w:lang w:val="en-US"/>
        </w:rPr>
      </w:pPr>
      <w:r>
        <w:rPr>
          <w:color w:val="222222"/>
          <w:lang w:val="en-GB"/>
        </w:rPr>
        <w:t>To assess the significance of marketing strategies for automobile companies on customer purchasing behaviour through a comparative analysis between BMW and Aston Martin</w:t>
      </w:r>
    </w:p>
    <w:p w14:paraId="6532A538">
      <w:pPr>
        <w:pStyle w:val="21"/>
        <w:numPr>
          <w:ilvl w:val="0"/>
          <w:numId w:val="1"/>
        </w:numPr>
        <w:shd w:val="clear" w:color="auto" w:fill="FFFFFF"/>
        <w:spacing w:before="0" w:after="160" w:line="360" w:lineRule="atLeast"/>
        <w:rPr>
          <w:color w:val="222222"/>
          <w:lang w:val="en-US"/>
        </w:rPr>
      </w:pPr>
      <w:r>
        <w:rPr>
          <w:color w:val="222222"/>
          <w:lang w:val="en-GB"/>
        </w:rPr>
        <w:t>To inspect the different marketing strategies adopted by automobile companies to influence customer purchasing behaviour by a comparative  analysis between BMW and Aston Martin</w:t>
      </w:r>
    </w:p>
    <w:p w14:paraId="62F941FD">
      <w:pPr>
        <w:pStyle w:val="21"/>
        <w:numPr>
          <w:ilvl w:val="0"/>
          <w:numId w:val="1"/>
        </w:numPr>
        <w:shd w:val="clear" w:color="auto" w:fill="FFFFFF"/>
        <w:spacing w:before="0" w:after="160" w:line="360" w:lineRule="atLeast"/>
        <w:rPr>
          <w:color w:val="222222"/>
          <w:lang w:val="en-US"/>
        </w:rPr>
      </w:pPr>
      <w:r>
        <w:rPr>
          <w:color w:val="222222"/>
          <w:lang w:val="en-GB"/>
        </w:rPr>
        <w:t>To analyse the barriers faced by automobile companies regarding marketing strategies for influencing customer purchasing behaviour through a comparative analysis between BMW and Aston Martin </w:t>
      </w:r>
    </w:p>
    <w:p w14:paraId="0F656F4A">
      <w:pPr>
        <w:pStyle w:val="3"/>
      </w:pPr>
      <w:bookmarkStart w:id="4" w:name="_Toc192849040"/>
      <w:r>
        <w:t>1.4 Research Question</w:t>
      </w:r>
      <w:bookmarkEnd w:id="4"/>
    </w:p>
    <w:p w14:paraId="416B1E55">
      <w:pPr>
        <w:pStyle w:val="21"/>
        <w:numPr>
          <w:ilvl w:val="0"/>
          <w:numId w:val="2"/>
        </w:numPr>
        <w:rPr>
          <w:color w:val="222222"/>
          <w:lang w:val="en-GB"/>
        </w:rPr>
      </w:pPr>
      <w:r>
        <w:rPr>
          <w:lang w:val="en-GB"/>
        </w:rPr>
        <w:t xml:space="preserve">What is the </w:t>
      </w:r>
      <w:r>
        <w:rPr>
          <w:color w:val="222222"/>
          <w:lang w:val="en-GB"/>
        </w:rPr>
        <w:t>significance of marketing strategies for automobile companies on customer purchasing behaviour through a comparative analysis between BMW and Aston Martin?</w:t>
      </w:r>
    </w:p>
    <w:p w14:paraId="4577826A">
      <w:pPr>
        <w:pStyle w:val="21"/>
        <w:numPr>
          <w:ilvl w:val="0"/>
          <w:numId w:val="2"/>
        </w:numPr>
        <w:shd w:val="clear" w:color="auto" w:fill="FFFFFF"/>
        <w:spacing w:before="0" w:after="160" w:line="360" w:lineRule="atLeast"/>
        <w:rPr>
          <w:color w:val="222222"/>
          <w:lang w:val="en-US"/>
        </w:rPr>
      </w:pPr>
      <w:r>
        <w:rPr>
          <w:color w:val="222222"/>
          <w:lang w:val="en-GB"/>
        </w:rPr>
        <w:t>What are different marketing strategies adopted by automobile companies to influence customer purchasing behaviour by a comparative analysis between BMW and Aston Martin?</w:t>
      </w:r>
    </w:p>
    <w:p w14:paraId="14D2E6B1">
      <w:pPr>
        <w:pStyle w:val="21"/>
        <w:numPr>
          <w:ilvl w:val="0"/>
          <w:numId w:val="2"/>
        </w:numPr>
        <w:shd w:val="clear" w:color="auto" w:fill="FFFFFF"/>
        <w:spacing w:before="0" w:after="160" w:line="360" w:lineRule="atLeast"/>
        <w:rPr>
          <w:color w:val="222222"/>
          <w:lang w:val="en-US"/>
        </w:rPr>
      </w:pPr>
      <w:r>
        <w:rPr>
          <w:color w:val="222222"/>
          <w:lang w:val="en-GB"/>
        </w:rPr>
        <w:t>What are the barriers faced by automobile companies regarding marketing strategies for influencing customer purchasing behaviour through a comparative analysis between BMW and Aston Martin?</w:t>
      </w:r>
    </w:p>
    <w:p w14:paraId="79E8C108">
      <w:pPr>
        <w:pStyle w:val="21"/>
        <w:shd w:val="clear" w:color="auto" w:fill="FFFFFF"/>
        <w:spacing w:before="0" w:after="160" w:line="360" w:lineRule="atLeast"/>
        <w:rPr>
          <w:color w:val="222222"/>
          <w:lang w:val="en-US"/>
        </w:rPr>
      </w:pPr>
    </w:p>
    <w:p w14:paraId="71423A9A">
      <w:pPr>
        <w:rPr>
          <w:lang w:val="en-GB"/>
        </w:rPr>
      </w:pPr>
    </w:p>
    <w:p w14:paraId="14CF18F7">
      <w:pPr>
        <w:spacing w:before="0" w:after="200" w:line="276" w:lineRule="auto"/>
        <w:jc w:val="left"/>
        <w:rPr>
          <w:lang w:val="en-US"/>
        </w:rPr>
      </w:pPr>
      <w:r>
        <w:rPr>
          <w:lang w:val="en-US"/>
        </w:rPr>
        <w:br w:type="page"/>
      </w:r>
    </w:p>
    <w:p w14:paraId="67FD6850">
      <w:pPr>
        <w:pStyle w:val="2"/>
      </w:pPr>
      <w:r>
        <w:t xml:space="preserve"> </w:t>
      </w:r>
      <w:bookmarkStart w:id="5" w:name="_Toc192849041"/>
      <w:r>
        <w:t>2: Literature Review</w:t>
      </w:r>
      <w:bookmarkEnd w:id="5"/>
      <w:r>
        <w:t xml:space="preserve"> </w:t>
      </w:r>
    </w:p>
    <w:p w14:paraId="7F97A1D2">
      <w:pPr>
        <w:pStyle w:val="3"/>
      </w:pPr>
      <w:bookmarkStart w:id="6" w:name="_Toc192849042"/>
      <w:r>
        <w:t>2.1 Significance of marketing strategies for automobile companies on customer purchasing behaviour through a comparative analysis between BMW and Aston Martin</w:t>
      </w:r>
      <w:bookmarkEnd w:id="6"/>
      <w:r>
        <w:t xml:space="preserve"> </w:t>
      </w:r>
    </w:p>
    <w:p w14:paraId="7727F08B">
      <w:pPr>
        <w:rPr>
          <w:rFonts w:eastAsiaTheme="majorEastAsia"/>
        </w:rPr>
      </w:pPr>
      <w:r>
        <w:rPr>
          <w:rFonts w:eastAsiaTheme="majorEastAsia"/>
        </w:rPr>
        <w:t>Luxury automobile marketing efforts influence how customers buy cars which becomes visible when analysing the BMW and Aston Martin competitive sectors.</w:t>
      </w:r>
      <w:r>
        <w:t xml:space="preserve"> </w:t>
      </w:r>
      <w:r>
        <w:rPr>
          <w:rFonts w:eastAsiaTheme="majorEastAsia"/>
        </w:rPr>
        <w:t>BMW markets itself to various customers by offering technological innovations aside from embracing sustainability with affordable luxury options.</w:t>
      </w:r>
      <w:r>
        <w:t xml:space="preserve"> </w:t>
      </w:r>
      <w:r>
        <w:rPr>
          <w:rFonts w:eastAsiaTheme="majorEastAsia"/>
        </w:rPr>
        <w:t xml:space="preserve">The BMW “i” series of EVs, which includes the i4 and iX, demonstrates sustainable innovation that follows global environmental trends, as noted by </w:t>
      </w:r>
      <w:r>
        <w:t>Haralayya (2021)</w:t>
      </w:r>
      <w:r>
        <w:rPr>
          <w:rFonts w:eastAsiaTheme="majorEastAsia"/>
        </w:rPr>
        <w:t>.</w:t>
      </w:r>
      <w:r>
        <w:t xml:space="preserve"> </w:t>
      </w:r>
      <w:r>
        <w:rPr>
          <w:rFonts w:eastAsiaTheme="majorEastAsia"/>
        </w:rPr>
        <w:t>The global EV sales numbers released by BMW in 2022 exceeded 215,000 units, indicating the effectiveness of its market approach for eco-conscious consumers.</w:t>
      </w:r>
      <w:r>
        <w:t xml:space="preserve"> </w:t>
      </w:r>
      <w:r>
        <w:rPr>
          <w:rFonts w:eastAsiaTheme="majorEastAsia"/>
        </w:rPr>
        <w:t>Through digital marketing initiatives, social media activities and customer engagement events BMW succeeds in expanding brand loyalty worldwide.</w:t>
      </w:r>
      <w:r>
        <w:t xml:space="preserve"> </w:t>
      </w:r>
      <w:r>
        <w:rPr>
          <w:rFonts w:eastAsiaTheme="majorEastAsia"/>
        </w:rPr>
        <w:t>The luxury car brand Aston Martin implements an elite brand identity that caters to wealthy buyers who want the combination of status and master craftsmanship.</w:t>
      </w:r>
      <w:r>
        <w:t xml:space="preserve"> </w:t>
      </w:r>
      <w:r>
        <w:rPr>
          <w:rFonts w:eastAsiaTheme="majorEastAsia"/>
        </w:rPr>
        <w:t>The DBX SUV and Vantage family of models emphasise both luxury and high-performance capabilities, which attract individuals from high-net-worth backgrounds.</w:t>
      </w:r>
      <w:r>
        <w:t xml:space="preserve"> </w:t>
      </w:r>
      <w:r>
        <w:rPr>
          <w:rFonts w:eastAsiaTheme="majorEastAsia"/>
        </w:rPr>
        <w:t>The restricted effort of Aston Martin to address sustainability and affordability issues has blocked the company from reaching broader customer markets.</w:t>
      </w:r>
      <w:r>
        <w:t xml:space="preserve"> </w:t>
      </w:r>
      <w:r>
        <w:rPr>
          <w:rFonts w:eastAsiaTheme="majorEastAsia"/>
        </w:rPr>
        <w:t>In 2022, Aston Martin released approximately 6,000 vehicles to the global market, which indicates its specialised market approach.</w:t>
      </w:r>
      <w:r>
        <w:t xml:space="preserve"> The studies of Thumiger (2021) suggest that </w:t>
      </w:r>
      <w:r>
        <w:rPr>
          <w:rFonts w:eastAsiaTheme="majorEastAsia"/>
        </w:rPr>
        <w:t>Current data demonstrates that BMW's comprehensive approach brings in various customer types yet Aston Martin maintains its special status that hinders market growth yet keeps its top status.</w:t>
      </w:r>
      <w:r>
        <w:t xml:space="preserve"> </w:t>
      </w:r>
      <w:r>
        <w:rPr>
          <w:rFonts w:eastAsiaTheme="majorEastAsia"/>
        </w:rPr>
        <w:t>The examination demonstrates that market-specific strategies determine which customers make buying choices.</w:t>
      </w:r>
      <w:r>
        <w:t xml:space="preserve"> </w:t>
      </w:r>
      <w:r>
        <w:rPr>
          <w:rFonts w:eastAsiaTheme="majorEastAsia"/>
        </w:rPr>
        <w:t xml:space="preserve">BMW strategies their consumer-adaption for wide appeal, but Aston Martin specialises in exclusivity to maintain their heritage despite having reduced sales numbers reported by </w:t>
      </w:r>
      <w:r>
        <w:t xml:space="preserve">Schnierle (2021). </w:t>
      </w:r>
      <w:r>
        <w:rPr>
          <w:rFonts w:eastAsiaTheme="majorEastAsia"/>
        </w:rPr>
        <w:t>The two models prove that brand marketing functions as an essential tool for ensuring brands achieve proper alignment between their identity and consumer perceptions of value.</w:t>
      </w:r>
    </w:p>
    <w:p w14:paraId="5243FD0E">
      <w:pPr>
        <w:pStyle w:val="3"/>
      </w:pPr>
      <w:bookmarkStart w:id="7" w:name="_Toc192849043"/>
      <w:r>
        <w:rPr>
          <w:lang w:val="en-US"/>
        </w:rPr>
        <w:t>2.2 M</w:t>
      </w:r>
      <w:r>
        <w:t>arketing strategies adopted by automobile companies to influence customer purchasing behaviour by a comparative  analysis between BMW and Aston Martin</w:t>
      </w:r>
      <w:bookmarkEnd w:id="7"/>
    </w:p>
    <w:p w14:paraId="154FE5F8">
      <w:pPr>
        <w:rPr>
          <w:rFonts w:eastAsiaTheme="majorEastAsia"/>
        </w:rPr>
      </w:pPr>
      <w:r>
        <w:rPr>
          <w:rFonts w:eastAsiaTheme="majorEastAsia"/>
        </w:rPr>
        <w:t>Automobile industries BMW and Aston Martin present different marketing methods to guide their customers toward purchases which match their brand identity.</w:t>
      </w:r>
      <w:r>
        <w:t xml:space="preserve"> </w:t>
      </w:r>
      <w:r>
        <w:rPr>
          <w:rFonts w:eastAsiaTheme="majorEastAsia"/>
        </w:rPr>
        <w:t xml:space="preserve">A wide spectrum of potential customers choose BMW because the brand focuses on state-of-the-art technology, together with eco-friendly practices and premium pricing options, as noted by </w:t>
      </w:r>
      <w:r>
        <w:t>Maradin, Malnar, and Kaštelan (2022)</w:t>
      </w:r>
      <w:r>
        <w:rPr>
          <w:rFonts w:eastAsiaTheme="majorEastAsia"/>
        </w:rPr>
        <w:t>.</w:t>
      </w:r>
      <w:r>
        <w:t xml:space="preserve"> Its “i” series of electric vehicles (EVs), such as the i4 and iX, appeals to eco-conscious buyers, with BMW reporting over 215,000 EV sales globally in 2022. </w:t>
      </w:r>
      <w:r>
        <w:rPr>
          <w:rFonts w:eastAsiaTheme="majorEastAsia"/>
        </w:rPr>
        <w:t>The brand engages customers through digital marketing, social media activities and experiential events along with the goal of creating an inclusive modern image.</w:t>
      </w:r>
      <w:r>
        <w:t xml:space="preserve"> </w:t>
      </w:r>
      <w:r>
        <w:rPr>
          <w:rFonts w:eastAsiaTheme="majorEastAsia"/>
        </w:rPr>
        <w:t>Different age groups and types of consumers, including professionals and households, choose to participate in operations managed through this methodology.</w:t>
      </w:r>
      <w:r>
        <w:t xml:space="preserve"> Thumiger (2021) states that </w:t>
      </w:r>
      <w:r>
        <w:rPr>
          <w:rFonts w:eastAsiaTheme="majorEastAsia"/>
        </w:rPr>
        <w:t>Aston Martin creates market appeal by concentrating on exclusively luxurious offerings that attract consumers driven by heritage alongside craftsmanship.</w:t>
      </w:r>
      <w:r>
        <w:t xml:space="preserve"> </w:t>
      </w:r>
      <w:r>
        <w:rPr>
          <w:rFonts w:eastAsiaTheme="majorEastAsia"/>
        </w:rPr>
        <w:t>The DBX SUV, along with the Vantage, showcases luxurious performance capabilities that attract consumers from high-net-worth demographics.</w:t>
      </w:r>
      <w:r>
        <w:t xml:space="preserve"> </w:t>
      </w:r>
      <w:r>
        <w:rPr>
          <w:rFonts w:eastAsiaTheme="majorEastAsia"/>
        </w:rPr>
        <w:t>The limited focus on sustainability coupled with unaffordable pricing keeps the company's market reach narrow due to its 6,000 unit global sales in 2022.</w:t>
      </w:r>
      <w:r>
        <w:t xml:space="preserve"> </w:t>
      </w:r>
      <w:r>
        <w:rPr>
          <w:rFonts w:eastAsiaTheme="majorEastAsia"/>
        </w:rPr>
        <w:t>The flexible approach of BMW toward trends like electric mobility brings wide market success, yet Aston Martin maintains its upper-class brand identity to avoid broader expansion.</w:t>
      </w:r>
      <w:r>
        <w:t xml:space="preserve"> As per the observation of ORJI (2024), </w:t>
      </w:r>
      <w:r>
        <w:rPr>
          <w:rFonts w:eastAsiaTheme="majorEastAsia"/>
        </w:rPr>
        <w:t>Environmental insights show BMW gains big market share through a broad brand strategy while Aston Martin maintains business success by preserving its sampling to exclusive sections.</w:t>
      </w:r>
      <w:r>
        <w:t xml:space="preserve"> </w:t>
      </w:r>
      <w:r>
        <w:rPr>
          <w:rFonts w:eastAsiaTheme="majorEastAsia"/>
        </w:rPr>
        <w:t>The strategies prove that market-specific promotion techniques guide purchasing behaviour because they match product messaging to customer values.</w:t>
      </w:r>
    </w:p>
    <w:p w14:paraId="35361371">
      <w:pPr>
        <w:pStyle w:val="3"/>
      </w:pPr>
      <w:bookmarkStart w:id="8" w:name="_Toc192849044"/>
      <w:r>
        <w:rPr>
          <w:lang w:val="en-US"/>
        </w:rPr>
        <w:t xml:space="preserve">2.3 </w:t>
      </w:r>
      <w:r>
        <w:t>Barriers faced by automobile companies regarding marketing strategies for influencing customer purchasing behaviour through a comparative analysis between BMW and Aston Martin</w:t>
      </w:r>
      <w:bookmarkEnd w:id="8"/>
      <w:r>
        <w:t> </w:t>
      </w:r>
    </w:p>
    <w:p w14:paraId="7694A04D">
      <w:pPr>
        <w:rPr>
          <w:rFonts w:eastAsiaTheme="majorEastAsia"/>
        </w:rPr>
      </w:pPr>
      <w:r>
        <w:rPr>
          <w:rFonts w:eastAsiaTheme="majorEastAsia"/>
        </w:rPr>
        <w:t>Two major automotive firms, including BMW and Aston Martin, experience different marketing obstacles while seeking to affect customer buying decisions.</w:t>
      </w:r>
      <w:r>
        <w:t xml:space="preserve"> </w:t>
      </w:r>
      <w:r>
        <w:rPr>
          <w:rFonts w:eastAsiaTheme="majorEastAsia"/>
        </w:rPr>
        <w:t>The successful marketing of BMW toward diverse audiences through sustainability and innovation creates obstacles because it must address price and luxury image alignment.</w:t>
      </w:r>
      <w:r>
        <w:t xml:space="preserve"> </w:t>
      </w:r>
      <w:r>
        <w:rPr>
          <w:rFonts w:eastAsiaTheme="majorEastAsia"/>
        </w:rPr>
        <w:t>BMW electric vehicles (EVs) such as i4 and iX successfully market to eco-conscious buyers because of their innovative electric features, but budget-conscious consumers find their prices too high to obtain these models.</w:t>
      </w:r>
      <w:r>
        <w:t xml:space="preserve"> Thumiger (2021) noted that t</w:t>
      </w:r>
      <w:r>
        <w:rPr>
          <w:rFonts w:eastAsiaTheme="majorEastAsia"/>
        </w:rPr>
        <w:t>he digital marketing and experiential campaign infrastructure of BMW requires a substantial financial commitment that puts pressure on company resources.</w:t>
      </w:r>
      <w:r>
        <w:t xml:space="preserve"> Aston Martin, on the other hand, faces barriers due to its exclusive branding strategy. The studies of Brun (2021) suggest that s</w:t>
      </w:r>
      <w:r>
        <w:rPr>
          <w:rFonts w:eastAsiaTheme="majorEastAsia"/>
        </w:rPr>
        <w:t>ince it caters to prestigious buyers with traditional design values, the brand separates itself from tech-dependent younger generations who prioritise modern, sustainable products.</w:t>
      </w:r>
      <w:r>
        <w:t xml:space="preserve"> </w:t>
      </w:r>
      <w:r>
        <w:rPr>
          <w:rFonts w:eastAsiaTheme="majorEastAsia"/>
        </w:rPr>
        <w:t>High prices of models and slow EV adaptation have prevented the firm from achieving competitive success and resulted in global sales of just 6,000 units during 2022.</w:t>
      </w:r>
      <w:r>
        <w:t xml:space="preserve"> </w:t>
      </w:r>
      <w:r>
        <w:rPr>
          <w:rFonts w:eastAsiaTheme="majorEastAsia"/>
        </w:rPr>
        <w:t xml:space="preserve">The exclusive market segmentation of Aston Martin hinders company expansion opportunities, which prevents successful competition against general automobile manufacturers such as BMW noted by </w:t>
      </w:r>
      <w:r>
        <w:t>Kuraś (2023)</w:t>
      </w:r>
      <w:r>
        <w:rPr>
          <w:rFonts w:eastAsiaTheme="majorEastAsia"/>
        </w:rPr>
        <w:t>.</w:t>
      </w:r>
      <w:r>
        <w:t xml:space="preserve"> </w:t>
      </w:r>
      <w:r>
        <w:rPr>
          <w:rFonts w:eastAsiaTheme="majorEastAsia"/>
        </w:rPr>
        <w:t>Coinciding real-time data demonstrates opposing challenges for BMW and Aston Martin regarding their pursuit of affordability and market expansion.</w:t>
      </w:r>
      <w:r>
        <w:t xml:space="preserve"> </w:t>
      </w:r>
      <w:r>
        <w:rPr>
          <w:rFonts w:eastAsiaTheme="majorEastAsia"/>
        </w:rPr>
        <w:t>The brands need to respond to competitive market challenges through strategies that match current consumer preferences to remain relevant in their competitive position.</w:t>
      </w:r>
    </w:p>
    <w:p w14:paraId="3ED6AA66">
      <w:pPr>
        <w:pStyle w:val="3"/>
      </w:pPr>
      <w:bookmarkStart w:id="9" w:name="_Toc192849045"/>
      <w:r>
        <w:t>2.3 Theory of Planned Behaviour</w:t>
      </w:r>
      <w:bookmarkEnd w:id="9"/>
      <w:r>
        <w:t xml:space="preserve"> </w:t>
      </w:r>
    </w:p>
    <w:p w14:paraId="4C53F1C8">
      <w:r>
        <w:t>The integration of the Theory of Planned Behavior (TPB) enables researchers to understand marketing strategy effects on customer choices through the evaluation of three fundamental elements (Praswati, Sari, and Murwanti, 2022). The values established through BMW and Aston Martin’s brand positioning, together with their advertising strategies and messaging, will determine consumer understanding. The analysis of subjective norms will analyse social pressure and group influences that drive consumers toward buying luxury cars from this pair of automobile brands. The analysis will investigate the ease of acquiring luxury cars through marketing strategies according to perceived behavioural control. The Theory of Planned Behavior at once provides an extensive structure to study how marketing elements shape consumer buying intentions together with actual market behaviour within the luxury automobile sector.</w:t>
      </w:r>
    </w:p>
    <w:p w14:paraId="4B6F609E">
      <w:pPr>
        <w:pStyle w:val="3"/>
      </w:pPr>
      <w:bookmarkStart w:id="10" w:name="_Toc192849046"/>
      <w:r>
        <w:t>2.4 Marketing Mix Theory</w:t>
      </w:r>
      <w:bookmarkEnd w:id="10"/>
    </w:p>
    <w:p w14:paraId="0ADA7ADF">
      <w:r>
        <w:t xml:space="preserve">The analysis of customer purchasing behaviour for BMW and Aston Martin benefits from an implementation of the Marketing Mix Theory, which examines the 4Ps (Product, Price, Place, and Promotion) (Wichmann </w:t>
      </w:r>
      <w:r>
        <w:rPr>
          <w:i/>
        </w:rPr>
        <w:t>et al.</w:t>
      </w:r>
      <w:r>
        <w:t xml:space="preserve"> 2022). The study evaluates market segment attractiveness by comparing product innovations between BMW and Aston Martin. This part examines pricing factors and their effects on customer perceived value together with purchase decisions. The research uses place as a method to examine distribution structures and accessibility levels of both brands, which affect customer buying decisions. Research on promotion will disclose advertising mechanisms which influence consumer decisions to achieve a full grasp of marketing's impact on purchase conduct.</w:t>
      </w:r>
    </w:p>
    <w:p w14:paraId="7AA87EF2">
      <w:pPr>
        <w:pStyle w:val="3"/>
      </w:pPr>
      <w:bookmarkStart w:id="11" w:name="_Toc192849047"/>
      <w:r>
        <w:t>2.5 Literature Gap</w:t>
      </w:r>
      <w:bookmarkEnd w:id="11"/>
    </w:p>
    <w:p w14:paraId="2D1B0420">
      <w:pPr>
        <w:rPr>
          <w:rFonts w:eastAsiaTheme="majorEastAsia"/>
        </w:rPr>
      </w:pPr>
      <w:r>
        <w:rPr>
          <w:rFonts w:eastAsiaTheme="majorEastAsia"/>
        </w:rPr>
        <w:t>The main research gap in this study pertains to the insufficient investigation of marketing strategy dynamics between BMW and Aston Martin which affect luxury automobile market customer behavior.</w:t>
      </w:r>
      <w:r>
        <w:t xml:space="preserve"> </w:t>
      </w:r>
      <w:r>
        <w:rPr>
          <w:rFonts w:eastAsiaTheme="majorEastAsia"/>
        </w:rPr>
        <w:t>Studies about luxury brand marketing exist separately but lack comprehensive evaluations of behavioural effects between marketing segments (performance-focused versus exclusivity-focused brands).</w:t>
      </w:r>
      <w:r>
        <w:t xml:space="preserve"> </w:t>
      </w:r>
      <w:r>
        <w:rPr>
          <w:rFonts w:eastAsiaTheme="majorEastAsia"/>
        </w:rPr>
        <w:t>The field lacks empirical studies regarding the influence of particular promotional methods, including digital techniques, influencer promotions and experiential experiences, on luxury automotive consumer purchasing choices.</w:t>
      </w:r>
      <w:r>
        <w:t xml:space="preserve"> </w:t>
      </w:r>
      <w:r>
        <w:rPr>
          <w:rFonts w:eastAsiaTheme="majorEastAsia"/>
        </w:rPr>
        <w:t>The research seeks to address this knowledge gap by providing an extensive assessment of these two brands.</w:t>
      </w:r>
    </w:p>
    <w:p w14:paraId="0079FCFF">
      <w:pPr>
        <w:spacing w:before="0" w:after="200" w:line="276" w:lineRule="auto"/>
        <w:jc w:val="left"/>
        <w:rPr>
          <w:rFonts w:eastAsiaTheme="majorEastAsia"/>
        </w:rPr>
      </w:pPr>
      <w:r>
        <w:rPr>
          <w:rFonts w:eastAsiaTheme="majorEastAsia"/>
        </w:rPr>
        <w:br w:type="page"/>
      </w:r>
    </w:p>
    <w:p w14:paraId="62EB6D0B">
      <w:pPr>
        <w:pStyle w:val="2"/>
      </w:pPr>
      <w:bookmarkStart w:id="12" w:name="_Toc192849048"/>
      <w:r>
        <w:t>3. Research Methodology</w:t>
      </w:r>
      <w:bookmarkEnd w:id="12"/>
    </w:p>
    <w:p w14:paraId="7CC337DA">
      <w:pPr>
        <w:pStyle w:val="3"/>
      </w:pPr>
      <w:bookmarkStart w:id="13" w:name="_Toc192767168"/>
      <w:bookmarkStart w:id="14" w:name="_Toc192849049"/>
      <w:r>
        <w:t>3.1 Research Design</w:t>
      </w:r>
      <w:bookmarkEnd w:id="13"/>
      <w:bookmarkEnd w:id="14"/>
      <w:r>
        <w:t xml:space="preserve"> </w:t>
      </w:r>
    </w:p>
    <w:p w14:paraId="6842B156">
      <w:pPr>
        <w:rPr>
          <w:b/>
          <w:i/>
        </w:rPr>
      </w:pPr>
      <w:r>
        <w:rPr>
          <w:b/>
          <w:i/>
        </w:rPr>
        <w:t xml:space="preserve">Research Philosophy  </w:t>
      </w:r>
    </w:p>
    <w:p w14:paraId="6F47C4DD">
      <w:r>
        <w:t xml:space="preserve">For this study, the positivist research philosophy is applicable because it is geared towards helping see objective reality and measurable outcomes, which is consistent with the objective of seeing the measurement of the effects of marketing strategies on customer purchasing behaviour (Goundar, 2012).  The data that are to be collected by positivism must be quantifiable since it is also necessary to understand customer behaviour through surveys, experiments with customers, or sales figures. Less appropriate are other philosophies, such as interpretivism or constructivism, which focus on subjective experiences and, as such, do not provide clear cause-and-effect relationships (Rajasekar and Verma, 2013).  Overall, the positivist approach provides the researcher with the ability to produce reliable and generalisable results, and therefore, it would be appropriate to apply it to test marketing strategy effectiveness in BMW and Aston Martin. </w:t>
      </w:r>
    </w:p>
    <w:p w14:paraId="2F585317">
      <w:pPr>
        <w:rPr>
          <w:b/>
          <w:i/>
        </w:rPr>
      </w:pPr>
      <w:r>
        <w:rPr>
          <w:b/>
          <w:i/>
        </w:rPr>
        <w:t xml:space="preserve">Research Approach </w:t>
      </w:r>
    </w:p>
    <w:p w14:paraId="6A78561F">
      <w:r>
        <w:rPr>
          <w:rFonts w:eastAsiaTheme="majorEastAsia"/>
        </w:rPr>
        <w:t xml:space="preserve">This study is appropriate for the use of the deductive approach for research as this approach enables </w:t>
      </w:r>
      <w:r>
        <w:t xml:space="preserve">the </w:t>
      </w:r>
      <w:r>
        <w:rPr>
          <w:rFonts w:eastAsiaTheme="majorEastAsia"/>
        </w:rPr>
        <w:t xml:space="preserve">testing of existing theories and hypotheses that may relate to the effect </w:t>
      </w:r>
      <w:r>
        <w:t>of</w:t>
      </w:r>
      <w:r>
        <w:rPr>
          <w:rFonts w:eastAsiaTheme="majorEastAsia"/>
        </w:rPr>
        <w:t xml:space="preserve"> marketing strategies on customer purchasing behavio</w:t>
      </w:r>
      <w:r>
        <w:t>u</w:t>
      </w:r>
      <w:r>
        <w:rPr>
          <w:rFonts w:eastAsiaTheme="majorEastAsia"/>
        </w:rPr>
        <w:t>r.</w:t>
      </w:r>
      <w:r>
        <w:t xml:space="preserve"> </w:t>
      </w:r>
      <w:r>
        <w:rPr>
          <w:rFonts w:eastAsiaTheme="majorEastAsia"/>
        </w:rPr>
        <w:t>The researcher</w:t>
      </w:r>
      <w:r>
        <w:t>,</w:t>
      </w:r>
      <w:r>
        <w:rPr>
          <w:rFonts w:eastAsiaTheme="majorEastAsia"/>
        </w:rPr>
        <w:t xml:space="preserve"> by beginning with a theoretical framework based o</w:t>
      </w:r>
      <w:r>
        <w:t xml:space="preserve">n the principles of marketing </w:t>
      </w:r>
      <w:r>
        <w:rPr>
          <w:rFonts w:eastAsiaTheme="majorEastAsia"/>
        </w:rPr>
        <w:t>brand equity and consumer decision</w:t>
      </w:r>
      <w:r>
        <w:t>-</w:t>
      </w:r>
      <w:r>
        <w:rPr>
          <w:rFonts w:eastAsiaTheme="majorEastAsia"/>
        </w:rPr>
        <w:t>making, can test these theories against the real</w:t>
      </w:r>
      <w:r>
        <w:t>-</w:t>
      </w:r>
      <w:r>
        <w:rPr>
          <w:rFonts w:eastAsiaTheme="majorEastAsia"/>
        </w:rPr>
        <w:t>world BMW and Aston Martin.</w:t>
      </w:r>
      <w:r>
        <w:t xml:space="preserve"> </w:t>
      </w:r>
      <w:r>
        <w:rPr>
          <w:rFonts w:eastAsiaTheme="majorEastAsia"/>
        </w:rPr>
        <w:t>This is unlike an inductive method of generating new theories from data; instead, the deductive method is structured in order to confirm or refute the hypotheses.</w:t>
      </w:r>
      <w:r>
        <w:t xml:space="preserve"> </w:t>
      </w:r>
      <w:r>
        <w:rPr>
          <w:rFonts w:eastAsiaTheme="majorEastAsia"/>
        </w:rPr>
        <w:t xml:space="preserve">The result is clearer and sharper because this increases </w:t>
      </w:r>
      <w:r>
        <w:t xml:space="preserve">the </w:t>
      </w:r>
      <w:r>
        <w:rPr>
          <w:rFonts w:eastAsiaTheme="majorEastAsia"/>
        </w:rPr>
        <w:t>validity of conclusions about the effe</w:t>
      </w:r>
      <w:r>
        <w:t xml:space="preserve">ctiveness of marketing strategy (Patel and Patel, 2019). </w:t>
      </w:r>
    </w:p>
    <w:p w14:paraId="258CC904">
      <w:pPr>
        <w:pStyle w:val="3"/>
        <w:rPr>
          <w:rFonts w:eastAsia="Times New Roman"/>
          <w:lang w:val="en-IN" w:eastAsia="en-IN"/>
        </w:rPr>
      </w:pPr>
      <w:bookmarkStart w:id="15" w:name="_Toc192767169"/>
      <w:bookmarkStart w:id="16" w:name="_Toc192849050"/>
      <w:r>
        <w:rPr>
          <w:rFonts w:eastAsia="Times New Roman"/>
          <w:lang w:val="en-IN" w:eastAsia="en-IN"/>
        </w:rPr>
        <w:t>3.2 Research Method</w:t>
      </w:r>
      <w:bookmarkEnd w:id="15"/>
      <w:bookmarkEnd w:id="16"/>
      <w:r>
        <w:rPr>
          <w:rFonts w:eastAsia="Times New Roman"/>
          <w:lang w:val="en-IN" w:eastAsia="en-IN"/>
        </w:rPr>
        <w:t xml:space="preserve"> </w:t>
      </w:r>
    </w:p>
    <w:p w14:paraId="25086B8E">
      <w:pPr>
        <w:rPr>
          <w:b/>
          <w:i/>
          <w:lang w:val="en-IN" w:eastAsia="en-IN"/>
        </w:rPr>
      </w:pPr>
      <w:r>
        <w:rPr>
          <w:b/>
          <w:i/>
          <w:lang w:val="en-IN" w:eastAsia="en-IN"/>
        </w:rPr>
        <w:t>Research Choice</w:t>
      </w:r>
    </w:p>
    <w:p w14:paraId="4F12FCE7">
      <w:r>
        <w:rPr>
          <w:rFonts w:eastAsiaTheme="majorEastAsia"/>
        </w:rPr>
        <w:t>This study has chosen a mono</w:t>
      </w:r>
      <w:r>
        <w:t>-</w:t>
      </w:r>
      <w:r>
        <w:rPr>
          <w:rFonts w:eastAsiaTheme="majorEastAsia"/>
        </w:rPr>
        <w:t>method approach where there is only one research method used for the assessment of the marketing strategies</w:t>
      </w:r>
      <w:r>
        <w:t>'</w:t>
      </w:r>
      <w:r>
        <w:rPr>
          <w:rFonts w:eastAsiaTheme="majorEastAsia"/>
        </w:rPr>
        <w:t xml:space="preserve"> impact on customer buying behavio</w:t>
      </w:r>
      <w:r>
        <w:t>u</w:t>
      </w:r>
      <w:r>
        <w:rPr>
          <w:rFonts w:eastAsiaTheme="majorEastAsia"/>
        </w:rPr>
        <w:t>r.</w:t>
      </w:r>
      <w:r>
        <w:t xml:space="preserve"> </w:t>
      </w:r>
      <w:r>
        <w:rPr>
          <w:rFonts w:eastAsiaTheme="majorEastAsia"/>
        </w:rPr>
        <w:t>The collection of such large amounts of data</w:t>
      </w:r>
      <w:r>
        <w:t>,</w:t>
      </w:r>
      <w:r>
        <w:rPr>
          <w:rFonts w:eastAsiaTheme="majorEastAsia"/>
        </w:rPr>
        <w:t xml:space="preserve"> which can easily be analy</w:t>
      </w:r>
      <w:r>
        <w:t>s</w:t>
      </w:r>
      <w:r>
        <w:rPr>
          <w:rFonts w:eastAsiaTheme="majorEastAsia"/>
        </w:rPr>
        <w:t>ed for patterns and relationships</w:t>
      </w:r>
      <w:r>
        <w:t>,</w:t>
      </w:r>
      <w:r>
        <w:rPr>
          <w:rFonts w:eastAsiaTheme="majorEastAsia"/>
        </w:rPr>
        <w:t xml:space="preserve"> is appropriate because they can b</w:t>
      </w:r>
      <w:r>
        <w:t xml:space="preserve">e collected using this approach (Garg, 2016).  </w:t>
      </w:r>
      <w:r>
        <w:rPr>
          <w:rFonts w:eastAsiaTheme="majorEastAsia"/>
        </w:rPr>
        <w:t xml:space="preserve">This means that the option adopted by BMW and Aston Martin in a choice that one or other method rather than a mixed method approach is also consistent with or with clear comparisons and comparisons between the strategies </w:t>
      </w:r>
      <w:r>
        <w:t xml:space="preserve">that </w:t>
      </w:r>
      <w:r>
        <w:rPr>
          <w:rFonts w:eastAsiaTheme="majorEastAsia"/>
        </w:rPr>
        <w:t>have been adopted by BMW and Aston Martin.</w:t>
      </w:r>
      <w:r>
        <w:t xml:space="preserve"> </w:t>
      </w:r>
      <w:r>
        <w:rPr>
          <w:rFonts w:eastAsiaTheme="majorEastAsia"/>
        </w:rPr>
        <w:t xml:space="preserve">However, </w:t>
      </w:r>
      <w:r>
        <w:t xml:space="preserve">the </w:t>
      </w:r>
      <w:r>
        <w:rPr>
          <w:rFonts w:eastAsiaTheme="majorEastAsia"/>
        </w:rPr>
        <w:t>mono method gives us simpl</w:t>
      </w:r>
      <w:r>
        <w:t>icity</w:t>
      </w:r>
      <w:r>
        <w:rPr>
          <w:rFonts w:eastAsiaTheme="majorEastAsia"/>
        </w:rPr>
        <w:t>, strong validity in quantitative analysis</w:t>
      </w:r>
      <w:r>
        <w:t xml:space="preserve">, and a narrow research process (Pandey and Pandey, 2015). </w:t>
      </w:r>
    </w:p>
    <w:p w14:paraId="267D0D5A">
      <w:pPr>
        <w:rPr>
          <w:b/>
          <w:i/>
          <w:lang w:val="en-IN" w:eastAsia="en-IN"/>
        </w:rPr>
      </w:pPr>
      <w:r>
        <w:rPr>
          <w:b/>
          <w:i/>
          <w:lang w:val="en-IN" w:eastAsia="en-IN"/>
        </w:rPr>
        <w:t xml:space="preserve">Research Strategy </w:t>
      </w:r>
    </w:p>
    <w:p w14:paraId="2675EA99">
      <w:r>
        <w:rPr>
          <w:rFonts w:eastAsiaTheme="majorEastAsia"/>
        </w:rPr>
        <w:t xml:space="preserve">For the study, a survey strategy has been chosen since it caters for </w:t>
      </w:r>
      <w:r>
        <w:t xml:space="preserve">the </w:t>
      </w:r>
      <w:r>
        <w:rPr>
          <w:rFonts w:eastAsiaTheme="majorEastAsia"/>
        </w:rPr>
        <w:t xml:space="preserve">systematic collection of data from </w:t>
      </w:r>
      <w:r>
        <w:t xml:space="preserve">a </w:t>
      </w:r>
      <w:r>
        <w:rPr>
          <w:rFonts w:eastAsiaTheme="majorEastAsia"/>
        </w:rPr>
        <w:t xml:space="preserve">defined sample of 70 – 100 consumers </w:t>
      </w:r>
      <w:r>
        <w:t>who</w:t>
      </w:r>
      <w:r>
        <w:rPr>
          <w:rFonts w:eastAsiaTheme="majorEastAsia"/>
        </w:rPr>
        <w:t xml:space="preserve"> </w:t>
      </w:r>
      <w:r>
        <w:t>frequently interact</w:t>
      </w:r>
      <w:r>
        <w:rPr>
          <w:rFonts w:eastAsiaTheme="majorEastAsia"/>
        </w:rPr>
        <w:t xml:space="preserve"> with </w:t>
      </w:r>
      <w:r>
        <w:t xml:space="preserve">the </w:t>
      </w:r>
      <w:r>
        <w:rPr>
          <w:rFonts w:eastAsiaTheme="majorEastAsia"/>
        </w:rPr>
        <w:t>social media pages of BMW and Aston Martin</w:t>
      </w:r>
      <w:r>
        <w:t>. T</w:t>
      </w:r>
      <w:r>
        <w:rPr>
          <w:rFonts w:eastAsiaTheme="majorEastAsia"/>
        </w:rPr>
        <w:t>en close</w:t>
      </w:r>
      <w:r>
        <w:t>-</w:t>
      </w:r>
      <w:r>
        <w:rPr>
          <w:rFonts w:eastAsiaTheme="majorEastAsia"/>
        </w:rPr>
        <w:t>ended questions will be used.</w:t>
      </w:r>
      <w:r>
        <w:t xml:space="preserve"> </w:t>
      </w:r>
      <w:r>
        <w:rPr>
          <w:rFonts w:eastAsiaTheme="majorEastAsia"/>
        </w:rPr>
        <w:t>This method is good because researchers may gather direct inputs from consumer perceptions and behavio</w:t>
      </w:r>
      <w:r>
        <w:t>u</w:t>
      </w:r>
      <w:r>
        <w:rPr>
          <w:rFonts w:eastAsiaTheme="majorEastAsia"/>
        </w:rPr>
        <w:t>rs targeting those that would be exposed to the companies’ marketing strategies.</w:t>
      </w:r>
      <w:r>
        <w:t xml:space="preserve"> </w:t>
      </w:r>
      <w:r>
        <w:rPr>
          <w:rFonts w:eastAsiaTheme="majorEastAsia"/>
        </w:rPr>
        <w:t>Because the survey approach is less expensive, scalable, and able to analyse the patterns over a larger sample, it is preferred over other approaches like interviews.</w:t>
      </w:r>
      <w:r>
        <w:t xml:space="preserve"> </w:t>
      </w:r>
      <w:r>
        <w:rPr>
          <w:rFonts w:eastAsiaTheme="majorEastAsia"/>
        </w:rPr>
        <w:t>But it also provides clear and quantifiable results enabling robust comparison of the two brands and helps in knowi</w:t>
      </w:r>
      <w:r>
        <w:t xml:space="preserve">ng for sure which one is better (Pandey and Pandey, 2015). </w:t>
      </w:r>
    </w:p>
    <w:p w14:paraId="14B5AC34">
      <w:pPr>
        <w:pStyle w:val="3"/>
      </w:pPr>
      <w:bookmarkStart w:id="17" w:name="_Toc192849051"/>
      <w:bookmarkStart w:id="18" w:name="_Toc192767170"/>
      <w:r>
        <w:t>3.3 Data Collection and Data Analysis</w:t>
      </w:r>
      <w:bookmarkEnd w:id="17"/>
      <w:bookmarkEnd w:id="18"/>
      <w:r>
        <w:t xml:space="preserve"> </w:t>
      </w:r>
    </w:p>
    <w:p w14:paraId="189BF859">
      <w:pPr>
        <w:rPr>
          <w:b/>
          <w:i/>
          <w:lang w:val="en-IN" w:eastAsia="en-IN"/>
        </w:rPr>
      </w:pPr>
      <w:r>
        <w:rPr>
          <w:b/>
          <w:i/>
          <w:lang w:val="en-IN" w:eastAsia="en-IN"/>
        </w:rPr>
        <w:t xml:space="preserve"> Data Collection </w:t>
      </w:r>
    </w:p>
    <w:p w14:paraId="32931D50">
      <w:r>
        <w:rPr>
          <w:rFonts w:eastAsiaTheme="majorEastAsia"/>
        </w:rPr>
        <w:t>Data collection will consist of an online survey using Google Form, an online form from Google, because of its cost</w:t>
      </w:r>
      <w:r>
        <w:t>-</w:t>
      </w:r>
      <w:r>
        <w:rPr>
          <w:rFonts w:eastAsiaTheme="majorEastAsia"/>
        </w:rPr>
        <w:t>effectiveness, convenience and reach for a wide target audience, among which</w:t>
      </w:r>
      <w:r>
        <w:t xml:space="preserve"> it has been undertaken the</w:t>
      </w:r>
      <w:r>
        <w:rPr>
          <w:rFonts w:eastAsiaTheme="majorEastAsia"/>
        </w:rPr>
        <w:t xml:space="preserve"> social media engaged people who consume BMW and Aston Martin.</w:t>
      </w:r>
      <w:r>
        <w:t xml:space="preserve"> </w:t>
      </w:r>
      <w:r>
        <w:rPr>
          <w:rFonts w:eastAsiaTheme="majorEastAsia"/>
        </w:rPr>
        <w:t xml:space="preserve">By applying this method, participants’ data are collected within a short period of time, </w:t>
      </w:r>
      <w:r>
        <w:t xml:space="preserve">and </w:t>
      </w:r>
      <w:r>
        <w:rPr>
          <w:rFonts w:eastAsiaTheme="majorEastAsia"/>
        </w:rPr>
        <w:t>results are easy to analy</w:t>
      </w:r>
      <w:r>
        <w:t>s</w:t>
      </w:r>
      <w:r>
        <w:rPr>
          <w:rFonts w:eastAsiaTheme="majorEastAsia"/>
        </w:rPr>
        <w:t>e, while at the same time</w:t>
      </w:r>
      <w:r>
        <w:t>,</w:t>
      </w:r>
      <w:r>
        <w:rPr>
          <w:rFonts w:eastAsiaTheme="majorEastAsia"/>
        </w:rPr>
        <w:t xml:space="preserve"> anonymity and convenience for participants are provided, unlike what other m</w:t>
      </w:r>
      <w:r>
        <w:t xml:space="preserve">ethods like offline surveys can (Verma, Verma and Abhishek, 2024). </w:t>
      </w:r>
    </w:p>
    <w:p w14:paraId="50D85BA1">
      <w:pPr>
        <w:rPr>
          <w:b/>
          <w:i/>
        </w:rPr>
      </w:pPr>
      <w:r>
        <w:rPr>
          <w:b/>
          <w:i/>
        </w:rPr>
        <w:t xml:space="preserve">Data Analysis </w:t>
      </w:r>
    </w:p>
    <w:p w14:paraId="174019F7">
      <w:r>
        <w:rPr>
          <w:rFonts w:eastAsiaTheme="majorEastAsia"/>
        </w:rPr>
        <w:t>In choosing MS Excel to do the analysis, they use</w:t>
      </w:r>
      <w:r>
        <w:t>d</w:t>
      </w:r>
      <w:r>
        <w:rPr>
          <w:rFonts w:eastAsiaTheme="majorEastAsia"/>
        </w:rPr>
        <w:t xml:space="preserve"> the fact that data analysis could be done in a friendlier manner, it is available to many with </w:t>
      </w:r>
      <w:r>
        <w:t xml:space="preserve">a </w:t>
      </w:r>
      <w:r>
        <w:rPr>
          <w:rFonts w:eastAsiaTheme="majorEastAsia"/>
        </w:rPr>
        <w:t>short learning curve, and because of its ability to manipulate data well</w:t>
      </w:r>
      <w:r>
        <w:t xml:space="preserve"> b</w:t>
      </w:r>
      <w:r>
        <w:rPr>
          <w:rFonts w:eastAsiaTheme="majorEastAsia"/>
        </w:rPr>
        <w:t>y permitting efficient management of big datasets, doing statistics and even making visuali</w:t>
      </w:r>
      <w:r>
        <w:t>s</w:t>
      </w:r>
      <w:r>
        <w:rPr>
          <w:rFonts w:eastAsiaTheme="majorEastAsia"/>
        </w:rPr>
        <w:t>ation.</w:t>
      </w:r>
      <w:r>
        <w:t xml:space="preserve"> </w:t>
      </w:r>
      <w:r>
        <w:rPr>
          <w:rFonts w:eastAsiaTheme="majorEastAsia"/>
        </w:rPr>
        <w:t>Such more complex and resource</w:t>
      </w:r>
      <w:r>
        <w:t>-</w:t>
      </w:r>
      <w:r>
        <w:rPr>
          <w:rFonts w:eastAsiaTheme="majorEastAsia"/>
        </w:rPr>
        <w:t>intensive tools as SPSS may have additional features, but the scope of this study doe</w:t>
      </w:r>
      <w:r>
        <w:t xml:space="preserve">s not make such tools practical (Greening, 2019). </w:t>
      </w:r>
    </w:p>
    <w:p w14:paraId="1130D07B">
      <w:pPr>
        <w:pStyle w:val="2"/>
      </w:pPr>
      <w:bookmarkStart w:id="19" w:name="_Toc192849052"/>
      <w:bookmarkStart w:id="20" w:name="_Toc192767171"/>
      <w:r>
        <w:t>4. Ethical Considerations</w:t>
      </w:r>
      <w:bookmarkEnd w:id="19"/>
      <w:bookmarkEnd w:id="20"/>
    </w:p>
    <w:p w14:paraId="18BAB78F">
      <w:r>
        <w:t>This study will be conducted in such a way that all the participants are treated with the same moral and ethical responsibilities, for instance, informed consent, privacy and confidentiality of the respondents. Participants will be clearly informed about this survey’s purpose and their right to withdraw from it at any time without penalty. Individual responses will be anonymised so that who has replied to any questions will not be able to be traced back to anyone. Also, the study will keep ethical practices of data handling and will not utilise techniques that create misleading or deceitful data.</w:t>
      </w:r>
    </w:p>
    <w:p w14:paraId="4E209741">
      <w:pPr>
        <w:pStyle w:val="2"/>
      </w:pPr>
      <w:bookmarkStart w:id="21" w:name="_Toc192767172"/>
      <w:bookmarkStart w:id="22" w:name="_Toc192849053"/>
      <w:r>
        <w:t>5. Limitation</w:t>
      </w:r>
      <w:bookmarkEnd w:id="21"/>
      <w:bookmarkEnd w:id="22"/>
    </w:p>
    <w:p w14:paraId="53577C31">
      <w:r>
        <w:rPr>
          <w:rFonts w:eastAsiaTheme="majorEastAsia"/>
        </w:rPr>
        <w:t>A limitation of this study is that it relies on self</w:t>
      </w:r>
      <w:r>
        <w:t>-</w:t>
      </w:r>
      <w:r>
        <w:rPr>
          <w:rFonts w:eastAsiaTheme="majorEastAsia"/>
        </w:rPr>
        <w:t>report data – for instance</w:t>
      </w:r>
      <w:r>
        <w:t>,</w:t>
      </w:r>
      <w:r>
        <w:rPr>
          <w:rFonts w:eastAsiaTheme="majorEastAsia"/>
        </w:rPr>
        <w:t xml:space="preserve"> there is a potential for participants to respond in a socially desirable manner.</w:t>
      </w:r>
      <w:r>
        <w:t xml:space="preserve"> </w:t>
      </w:r>
      <w:r>
        <w:rPr>
          <w:rFonts w:eastAsiaTheme="majorEastAsia"/>
        </w:rPr>
        <w:t>Finally, the number of sample size consumers (70-100) might narrow the scope of generalizability of the findings.</w:t>
      </w:r>
      <w:r>
        <w:t xml:space="preserve"> </w:t>
      </w:r>
      <w:r>
        <w:rPr>
          <w:rFonts w:eastAsiaTheme="majorEastAsia"/>
        </w:rPr>
        <w:t>The concentration on the social media engaged consumers in a sense</w:t>
      </w:r>
      <w:r>
        <w:t>,</w:t>
      </w:r>
      <w:r>
        <w:rPr>
          <w:rFonts w:eastAsiaTheme="majorEastAsia"/>
        </w:rPr>
        <w:t xml:space="preserve"> limits the effectiveness of the study, in that it may leave out some part of the target audience.</w:t>
      </w:r>
      <w:r>
        <w:t xml:space="preserve"> </w:t>
      </w:r>
      <w:r>
        <w:rPr>
          <w:rFonts w:eastAsiaTheme="majorEastAsia"/>
        </w:rPr>
        <w:t>In addition, data analysis in MS Excel</w:t>
      </w:r>
      <w:r>
        <w:t>,</w:t>
      </w:r>
      <w:r>
        <w:rPr>
          <w:rFonts w:eastAsiaTheme="majorEastAsia"/>
        </w:rPr>
        <w:t xml:space="preserve"> while easy, could prove to a lesser extent possible in terms of statistical depth analysis compared to speciali</w:t>
      </w:r>
      <w:r>
        <w:t>s</w:t>
      </w:r>
      <w:r>
        <w:rPr>
          <w:rFonts w:eastAsiaTheme="majorEastAsia"/>
        </w:rPr>
        <w:t>ed software.</w:t>
      </w:r>
    </w:p>
    <w:p w14:paraId="5E444D00">
      <w:pPr>
        <w:pStyle w:val="2"/>
      </w:pPr>
      <w:bookmarkStart w:id="23" w:name="_Toc192767173"/>
      <w:bookmarkStart w:id="24" w:name="_Toc192849054"/>
      <w:r>
        <w:t>6.Expected Outcome</w:t>
      </w:r>
      <w:bookmarkEnd w:id="23"/>
      <w:bookmarkEnd w:id="24"/>
      <w:r>
        <w:t xml:space="preserve">   </w:t>
      </w:r>
    </w:p>
    <w:p w14:paraId="7D4AD3BC">
      <w:r>
        <w:rPr>
          <w:rFonts w:eastAsiaTheme="majorEastAsia"/>
        </w:rPr>
        <w:t>Overall, this research is expected to discover the marketing strategies used by BMW and Aston Martin and how they affect the customer</w:t>
      </w:r>
      <w:r>
        <w:t>'</w:t>
      </w:r>
      <w:r>
        <w:rPr>
          <w:rFonts w:eastAsiaTheme="majorEastAsia"/>
        </w:rPr>
        <w:t>s purchase behaviour.</w:t>
      </w:r>
      <w:r>
        <w:t xml:space="preserve"> </w:t>
      </w:r>
      <w:r>
        <w:rPr>
          <w:rFonts w:eastAsiaTheme="majorEastAsia"/>
        </w:rPr>
        <w:t>The purpose of the study is to decipher how the decisions made by the consumer operating in the luxury automobile arena are further influenced by various tactics employed by marketing</w:t>
      </w:r>
      <w:r>
        <w:t>,</w:t>
      </w:r>
      <w:r>
        <w:rPr>
          <w:rFonts w:eastAsiaTheme="majorEastAsia"/>
        </w:rPr>
        <w:t xml:space="preserve"> including social media engagement, branding, product positioning</w:t>
      </w:r>
      <w:r>
        <w:t>,</w:t>
      </w:r>
      <w:r>
        <w:rPr>
          <w:rFonts w:eastAsiaTheme="majorEastAsia"/>
        </w:rPr>
        <w:t xml:space="preserve"> etc.</w:t>
      </w:r>
      <w:r>
        <w:t xml:space="preserve"> </w:t>
      </w:r>
      <w:r>
        <w:rPr>
          <w:rFonts w:eastAsiaTheme="majorEastAsia"/>
        </w:rPr>
        <w:t xml:space="preserve">The results should show that marketers have different effects in promoting the two brands and insights into brand loyalty, consumer preferences, </w:t>
      </w:r>
      <w:r>
        <w:t xml:space="preserve">and </w:t>
      </w:r>
      <w:r>
        <w:rPr>
          <w:rFonts w:eastAsiaTheme="majorEastAsia"/>
        </w:rPr>
        <w:t>purchasing intent.</w:t>
      </w:r>
      <w:r>
        <w:t xml:space="preserve"> </w:t>
      </w:r>
      <w:r>
        <w:rPr>
          <w:rFonts w:eastAsiaTheme="majorEastAsia"/>
        </w:rPr>
        <w:t>However, this ultimately provides valuable knowledge when improving marketing strategy in the automotive industry.</w:t>
      </w:r>
    </w:p>
    <w:p w14:paraId="3AA9D23A">
      <w:pPr>
        <w:pStyle w:val="2"/>
      </w:pPr>
      <w:bookmarkStart w:id="25" w:name="_Toc192767174"/>
      <w:bookmarkStart w:id="26" w:name="_Toc192849055"/>
      <w:r>
        <w:t>7. Timeline</w:t>
      </w:r>
      <w:bookmarkEnd w:id="25"/>
      <w:bookmarkEnd w:id="26"/>
    </w:p>
    <w:p w14:paraId="1FF2C986">
      <w:pPr>
        <w:jc w:val="center"/>
      </w:pPr>
      <w:r>
        <w:rPr>
          <w:lang w:val="en-US"/>
        </w:rPr>
        <w:drawing>
          <wp:inline distT="0" distB="0" distL="0" distR="0">
            <wp:extent cx="5731510" cy="15589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731510" cy="1558925"/>
                    </a:xfrm>
                    <a:prstGeom prst="rect">
                      <a:avLst/>
                    </a:prstGeom>
                  </pic:spPr>
                </pic:pic>
              </a:graphicData>
            </a:graphic>
          </wp:inline>
        </w:drawing>
      </w:r>
    </w:p>
    <w:p w14:paraId="4029D3F9">
      <w:pPr>
        <w:pStyle w:val="4"/>
        <w:jc w:val="center"/>
      </w:pPr>
      <w:bookmarkStart w:id="27" w:name="_Toc192768237"/>
      <w:bookmarkStart w:id="28" w:name="_Toc192767180"/>
      <w:r>
        <w:t>Figure 1: Gantt chart</w:t>
      </w:r>
      <w:bookmarkEnd w:id="27"/>
      <w:bookmarkEnd w:id="28"/>
    </w:p>
    <w:p w14:paraId="1FB5DD70">
      <w:pPr>
        <w:jc w:val="center"/>
      </w:pPr>
      <w:r>
        <w:t>(Source: Created by Scholar)</w:t>
      </w:r>
    </w:p>
    <w:p w14:paraId="23ABD40F">
      <w:pPr>
        <w:pStyle w:val="2"/>
      </w:pPr>
      <w:bookmarkStart w:id="29" w:name="_Toc192849056"/>
      <w:r>
        <w:t>8. Conclusion</w:t>
      </w:r>
      <w:bookmarkEnd w:id="29"/>
      <w:r>
        <w:t xml:space="preserve"> </w:t>
      </w:r>
    </w:p>
    <w:p w14:paraId="0950BF68">
      <w:r>
        <w:rPr>
          <w:rFonts w:eastAsiaTheme="majorEastAsia"/>
        </w:rPr>
        <w:t>The study examines the purchasing behaviour changes caused by these market strategies to determine their performance level.</w:t>
      </w:r>
      <w:r>
        <w:t xml:space="preserve"> </w:t>
      </w:r>
      <w:r>
        <w:rPr>
          <w:rFonts w:eastAsiaTheme="majorEastAsia"/>
        </w:rPr>
        <w:t>The analysis of current statistics and case studies demonstrates the ways in which organisations succeed through adaptable strategies and branding approaches and tracking consumer market tendencies.</w:t>
      </w:r>
      <w:r>
        <w:t xml:space="preserve"> T</w:t>
      </w:r>
      <w:r>
        <w:rPr>
          <w:rFonts w:eastAsiaTheme="majorEastAsia"/>
        </w:rPr>
        <w:t>he research findings will provide essential information to upcoming scholars through their analysis of behavioural elements which affect premium automobile buyers.</w:t>
      </w:r>
    </w:p>
    <w:p w14:paraId="1EFCCD55">
      <w:pPr>
        <w:spacing w:line="259" w:lineRule="auto"/>
        <w:jc w:val="left"/>
      </w:pPr>
      <w:r>
        <w:br w:type="page"/>
      </w:r>
    </w:p>
    <w:p w14:paraId="635DFFD5">
      <w:pPr>
        <w:rPr>
          <w:rFonts w:eastAsiaTheme="majorEastAsia"/>
        </w:rPr>
      </w:pPr>
    </w:p>
    <w:p w14:paraId="282C72EF">
      <w:pPr>
        <w:pStyle w:val="2"/>
      </w:pPr>
      <w:bookmarkStart w:id="30" w:name="_Toc192849057"/>
      <w:r>
        <w:t>Reference List</w:t>
      </w:r>
      <w:bookmarkEnd w:id="30"/>
    </w:p>
    <w:p w14:paraId="4C420B86">
      <w:r>
        <w:t xml:space="preserve">Brun, A. (2021). DEFINING LUXURY CARS: A COMPREHENSIVE STUDY OF CRITICAL. </w:t>
      </w:r>
      <w:r>
        <w:fldChar w:fldCharType="begin"/>
      </w:r>
      <w:r>
        <w:instrText xml:space="preserve"> HYPERLINK "https://www.academia.edu/download/78099876/DEFINING_LUXURY_CARS_1_.pdf" </w:instrText>
      </w:r>
      <w:r>
        <w:fldChar w:fldCharType="separate"/>
      </w:r>
      <w:r>
        <w:rPr>
          <w:rStyle w:val="11"/>
        </w:rPr>
        <w:t>https://www.academia.edu/download/78099876/DEFINING_LUXURY_CARS_1_.pdf</w:t>
      </w:r>
      <w:r>
        <w:rPr>
          <w:rStyle w:val="11"/>
        </w:rPr>
        <w:fldChar w:fldCharType="end"/>
      </w:r>
    </w:p>
    <w:p w14:paraId="1CC0DF36">
      <w:r>
        <w:t xml:space="preserve">Garg, R. (2016). Methodology for research I. Indian journal of anaesthesia, 60(9), 640-645. </w:t>
      </w:r>
      <w:r>
        <w:fldChar w:fldCharType="begin"/>
      </w:r>
      <w:r>
        <w:instrText xml:space="preserve"> HYPERLINK "https://journals.lww.com/ijaweb/_layouts/15/oaks.journals/downloadpdf.aspx?an=01762628-201660090-00006" </w:instrText>
      </w:r>
      <w:r>
        <w:fldChar w:fldCharType="separate"/>
      </w:r>
      <w:r>
        <w:rPr>
          <w:rStyle w:val="11"/>
          <w:rFonts w:eastAsiaTheme="majorEastAsia"/>
        </w:rPr>
        <w:t>https://journals.lww.com/ijaweb/_layouts/15/oaks.journals/downloadpdf.aspx?an=01762628-201660090-00006</w:t>
      </w:r>
      <w:r>
        <w:rPr>
          <w:rStyle w:val="11"/>
          <w:rFonts w:eastAsiaTheme="majorEastAsia"/>
        </w:rPr>
        <w:fldChar w:fldCharType="end"/>
      </w:r>
      <w:r>
        <w:t xml:space="preserve"> </w:t>
      </w:r>
    </w:p>
    <w:p w14:paraId="2E3FD1B1">
      <w:r>
        <w:t xml:space="preserve">Goundar, S. (2012). Research methodology and research method. Victoria University of Wellington, 1(1), 1-47. </w:t>
      </w:r>
      <w:r>
        <w:fldChar w:fldCharType="begin"/>
      </w:r>
      <w:r>
        <w:instrText xml:space="preserve"> HYPERLINK "https://prallagon.com/wp-content/uploads/2021/05/Research-Methodology-A2.pdf" </w:instrText>
      </w:r>
      <w:r>
        <w:fldChar w:fldCharType="separate"/>
      </w:r>
      <w:r>
        <w:rPr>
          <w:rStyle w:val="11"/>
          <w:rFonts w:eastAsiaTheme="majorEastAsia"/>
        </w:rPr>
        <w:t>https://prallagon.com/wp-content/uploads/2021/05/Research-Methodology-A2.pdf</w:t>
      </w:r>
      <w:r>
        <w:rPr>
          <w:rStyle w:val="11"/>
          <w:rFonts w:eastAsiaTheme="majorEastAsia"/>
        </w:rPr>
        <w:fldChar w:fldCharType="end"/>
      </w:r>
      <w:r>
        <w:t xml:space="preserve"> </w:t>
      </w:r>
    </w:p>
    <w:p w14:paraId="615C3A2E">
      <w:r>
        <w:t xml:space="preserve">Greening, N. (2019). Phenomenological research methodology. Scientific Research Journal, 7(5), 88-92. </w:t>
      </w:r>
      <w:r>
        <w:fldChar w:fldCharType="begin"/>
      </w:r>
      <w:r>
        <w:instrText xml:space="preserve"> HYPERLINK "https://www.academia.edu/download/109046401/v7.i5.2019.pdf" </w:instrText>
      </w:r>
      <w:r>
        <w:fldChar w:fldCharType="separate"/>
      </w:r>
      <w:r>
        <w:rPr>
          <w:rStyle w:val="11"/>
          <w:rFonts w:eastAsiaTheme="majorEastAsia"/>
        </w:rPr>
        <w:t>https://www.academia.edu/download/109046401/v7.i5.2019.pdf</w:t>
      </w:r>
      <w:r>
        <w:rPr>
          <w:rStyle w:val="11"/>
          <w:rFonts w:eastAsiaTheme="majorEastAsia"/>
        </w:rPr>
        <w:fldChar w:fldCharType="end"/>
      </w:r>
      <w:r>
        <w:t xml:space="preserve"> </w:t>
      </w:r>
    </w:p>
    <w:p w14:paraId="2A30F079">
      <w:r>
        <w:t xml:space="preserve">Haralayya, B. (2021). Effect of branding on consumer buying behaviour at Vijay Bharat Motors Pvt Ltd, Bidar. Iconic Research And Engineering Journals, 4(12), 207-222. </w:t>
      </w:r>
      <w:r>
        <w:fldChar w:fldCharType="begin"/>
      </w:r>
      <w:r>
        <w:instrText xml:space="preserve"> HYPERLINK "https://www.researchgate.net/profile/Dr-Haralayya/publication/352819844_Effect_of_Branding_on_Consumer_Buying_Behaviour_at/links/60db1aeca6fdccb745f214ee/Effect-of-Branding-on-Consumer-Buying-Behaviour-at.pdf" </w:instrText>
      </w:r>
      <w:r>
        <w:fldChar w:fldCharType="separate"/>
      </w:r>
      <w:r>
        <w:rPr>
          <w:rStyle w:val="11"/>
        </w:rPr>
        <w:t>https://www.researchgate.net/profile/Dr-Haralayya/publication/352819844_Effect_of_Branding_on_Consumer_Buying_Behaviour_at/links/60db1aeca6fdccb745f214ee/Effect-of-Branding-on-Consumer-Buying-Behaviour-at.pdf</w:t>
      </w:r>
      <w:r>
        <w:rPr>
          <w:rStyle w:val="11"/>
        </w:rPr>
        <w:fldChar w:fldCharType="end"/>
      </w:r>
      <w:r>
        <w:t xml:space="preserve"> </w:t>
      </w:r>
    </w:p>
    <w:p w14:paraId="32860BCE">
      <w:r>
        <w:t xml:space="preserve">Kuraś, P. (2023). ENTRY MODES USED IN THE INTERNATIONALIZATION PROCESS OF AUTOMOTIVE ENTERPRISES. Scientific Papers of Silesian University of Technology. Organization &amp; Management/Zeszyty Naukowe Politechniki Slaskiej. Seria Organizacji i Zarzadzanie, (180). </w:t>
      </w:r>
      <w:r>
        <w:fldChar w:fldCharType="begin"/>
      </w:r>
      <w:r>
        <w:instrText xml:space="preserve"> HYPERLINK "https://managementpapers.polsl.pl/wp-content/uploads/2023/11/180-Kura%C5%9B.pdf" </w:instrText>
      </w:r>
      <w:r>
        <w:fldChar w:fldCharType="separate"/>
      </w:r>
      <w:r>
        <w:rPr>
          <w:rStyle w:val="11"/>
        </w:rPr>
        <w:t>https://managementpapers.polsl.pl/wp-content/uploads/2023/11/180-Kura%C5%9B.pdf</w:t>
      </w:r>
      <w:r>
        <w:rPr>
          <w:rStyle w:val="11"/>
        </w:rPr>
        <w:fldChar w:fldCharType="end"/>
      </w:r>
      <w:r>
        <w:t xml:space="preserve"> </w:t>
      </w:r>
    </w:p>
    <w:p w14:paraId="5B7F9A01">
      <w:r>
        <w:t xml:space="preserve">Maradin, D., Malnar, A., and Kaštelan, A. (2022). Sustainable and clean energy: the case of tesla company. Journal of economics, finance and management studies, 5(12), 3531-3542. </w:t>
      </w:r>
      <w:r>
        <w:fldChar w:fldCharType="begin"/>
      </w:r>
      <w:r>
        <w:instrText xml:space="preserve"> HYPERLINK "https://www.bib.irb.hr:8443/1235912/download/1235912.Sustainable_and_Clean_Energy_The_Case_of_Tesla_Company.pdf" </w:instrText>
      </w:r>
      <w:r>
        <w:fldChar w:fldCharType="separate"/>
      </w:r>
      <w:r>
        <w:rPr>
          <w:rStyle w:val="11"/>
        </w:rPr>
        <w:t>https://www.bib.irb.hr:8443/1235912/download/1235912.Sustainable_and_Clean_Energy_The_Case_of_Tesla_Company.pdf</w:t>
      </w:r>
      <w:r>
        <w:rPr>
          <w:rStyle w:val="11"/>
        </w:rPr>
        <w:fldChar w:fldCharType="end"/>
      </w:r>
      <w:r>
        <w:t xml:space="preserve"> </w:t>
      </w:r>
    </w:p>
    <w:p w14:paraId="4943ECBB">
      <w:r>
        <w:t xml:space="preserve">ORJI, A. (2024). Assessing the Implementation of Sustainable Manufacturing Practices: A Comparative Analysis between the Automobile Sectors of Sweden and Select European Countries. </w:t>
      </w:r>
      <w:r>
        <w:fldChar w:fldCharType="begin"/>
      </w:r>
      <w:r>
        <w:instrText xml:space="preserve"> HYPERLINK "https://www.diva-portal.org/smash/record.jsf?pid=diva2:1885530" </w:instrText>
      </w:r>
      <w:r>
        <w:fldChar w:fldCharType="separate"/>
      </w:r>
      <w:r>
        <w:rPr>
          <w:rStyle w:val="11"/>
        </w:rPr>
        <w:t>https://www.diva-portal.org/smash/record.jsf?pid=diva2:1885530</w:t>
      </w:r>
      <w:r>
        <w:rPr>
          <w:rStyle w:val="11"/>
        </w:rPr>
        <w:fldChar w:fldCharType="end"/>
      </w:r>
      <w:r>
        <w:t xml:space="preserve"> </w:t>
      </w:r>
    </w:p>
    <w:p w14:paraId="4DDDB001">
      <w:r>
        <w:t xml:space="preserve">Pandey, P., and Pandey, M. M. (2015). Research methodology: Tools and techniques. </w:t>
      </w:r>
      <w:r>
        <w:fldChar w:fldCharType="begin"/>
      </w:r>
      <w:r>
        <w:instrText xml:space="preserve"> HYPERLINK "https://dspace.unitywomenscollege.ac.in/bitstream/123456789/157/1/RESEARCH%20METHODOLOGY%20TOOLS%20AND%20TECHNIQUES%20.pdf" </w:instrText>
      </w:r>
      <w:r>
        <w:fldChar w:fldCharType="separate"/>
      </w:r>
      <w:r>
        <w:rPr>
          <w:rStyle w:val="11"/>
          <w:rFonts w:eastAsiaTheme="majorEastAsia"/>
        </w:rPr>
        <w:t>https://dspace.unitywomenscollege.ac.in/bitstream/123456789/157/1/RESEARCH%20METHODOLOGY%20TOOLS%20AND%20TECHNIQUES%20.pdf</w:t>
      </w:r>
      <w:r>
        <w:rPr>
          <w:rStyle w:val="11"/>
          <w:rFonts w:eastAsiaTheme="majorEastAsia"/>
        </w:rPr>
        <w:fldChar w:fldCharType="end"/>
      </w:r>
      <w:r>
        <w:t xml:space="preserve"> </w:t>
      </w:r>
    </w:p>
    <w:p w14:paraId="4CB5E9AF">
      <w:r>
        <w:t xml:space="preserve">Patel, M., and Patel, N. (2019). Exploring research methodology. International Journal of Research and Review, 6(3), 48-55. </w:t>
      </w:r>
      <w:r>
        <w:fldChar w:fldCharType="begin"/>
      </w:r>
      <w:r>
        <w:instrText xml:space="preserve"> HYPERLINK "https://www.academia.edu/download/63543152/IJRR001120200605115829-bxlrli.pdf" </w:instrText>
      </w:r>
      <w:r>
        <w:fldChar w:fldCharType="separate"/>
      </w:r>
      <w:r>
        <w:rPr>
          <w:rStyle w:val="11"/>
          <w:rFonts w:eastAsiaTheme="majorEastAsia"/>
        </w:rPr>
        <w:t>https://www.academia.edu/download/63543152/IJRR001120200605115829-bxlrli.pdf</w:t>
      </w:r>
      <w:r>
        <w:rPr>
          <w:rStyle w:val="11"/>
          <w:rFonts w:eastAsiaTheme="majorEastAsia"/>
        </w:rPr>
        <w:fldChar w:fldCharType="end"/>
      </w:r>
      <w:r>
        <w:t xml:space="preserve"> </w:t>
      </w:r>
    </w:p>
    <w:p w14:paraId="79D2B7D0">
      <w:r>
        <w:t xml:space="preserve">Praswati, A. N., Sari, N. P., and Murwanti, S. (2022). Youth entrepreneurial intention: Theory of planned behaviour and social cognitive theory. Benefit: Jurnal Manajemen dan Bisnis (Jurnal ini Sudah Migrasi), 7(1), 66-79. </w:t>
      </w:r>
      <w:r>
        <w:fldChar w:fldCharType="begin"/>
      </w:r>
      <w:r>
        <w:instrText xml:space="preserve"> HYPERLINK "https://journals.ums.ac.id/benefit/article/view/18197" </w:instrText>
      </w:r>
      <w:r>
        <w:fldChar w:fldCharType="separate"/>
      </w:r>
      <w:r>
        <w:rPr>
          <w:rStyle w:val="11"/>
        </w:rPr>
        <w:t>https://journals.ums.ac.id/benefit/article/view/18197</w:t>
      </w:r>
      <w:r>
        <w:rPr>
          <w:rStyle w:val="11"/>
        </w:rPr>
        <w:fldChar w:fldCharType="end"/>
      </w:r>
      <w:r>
        <w:t xml:space="preserve"> </w:t>
      </w:r>
    </w:p>
    <w:p w14:paraId="23E28D37">
      <w:r>
        <w:t xml:space="preserve">Rajasekar, D., and Verma, R. (2013). Research methodology. Archers &amp; Elevators Publishing House. </w:t>
      </w:r>
      <w:r>
        <w:fldChar w:fldCharType="begin"/>
      </w:r>
      <w:r>
        <w:instrText xml:space="preserve"> HYPERLINK "https://arxiv.org/pdf/physics/0601009" </w:instrText>
      </w:r>
      <w:r>
        <w:fldChar w:fldCharType="separate"/>
      </w:r>
      <w:r>
        <w:rPr>
          <w:rStyle w:val="11"/>
          <w:rFonts w:eastAsiaTheme="majorEastAsia"/>
        </w:rPr>
        <w:t>https://arxiv.org/pdf/physics/0601009</w:t>
      </w:r>
      <w:r>
        <w:rPr>
          <w:rStyle w:val="11"/>
          <w:rFonts w:eastAsiaTheme="majorEastAsia"/>
        </w:rPr>
        <w:fldChar w:fldCharType="end"/>
      </w:r>
      <w:r>
        <w:t xml:space="preserve"> </w:t>
      </w:r>
    </w:p>
    <w:p w14:paraId="45504B20">
      <w:r>
        <w:t xml:space="preserve">Schnierle, P. (2021). Investigating the determinants of customer experience with affordable luxury sport car brands in Germany (Doctoral dissertation, University of Portsmouth). </w:t>
      </w:r>
      <w:r>
        <w:fldChar w:fldCharType="begin"/>
      </w:r>
      <w:r>
        <w:instrText xml:space="preserve"> HYPERLINK "https://publikationen.reutlingen-university.de/files/3167/3167.pdf" </w:instrText>
      </w:r>
      <w:r>
        <w:fldChar w:fldCharType="separate"/>
      </w:r>
      <w:r>
        <w:rPr>
          <w:rStyle w:val="11"/>
        </w:rPr>
        <w:t>https://publikationen.reutlingen-university.de/files/3167/3167.pdf</w:t>
      </w:r>
      <w:r>
        <w:rPr>
          <w:rStyle w:val="11"/>
        </w:rPr>
        <w:fldChar w:fldCharType="end"/>
      </w:r>
      <w:r>
        <w:t xml:space="preserve"> </w:t>
      </w:r>
    </w:p>
    <w:p w14:paraId="345EE3CA">
      <w:r>
        <w:t xml:space="preserve">Thumiger, B. (2021). The valuation of Tesla and BMW in a disrupted industry: a comparative analysis. </w:t>
      </w:r>
      <w:r>
        <w:fldChar w:fldCharType="begin"/>
      </w:r>
      <w:r>
        <w:instrText xml:space="preserve"> HYPERLINK "https://digitalcollection.zhaw.ch/bitstream/11475/24386/1/BThumiger_MSC_Thesis.pdf" </w:instrText>
      </w:r>
      <w:r>
        <w:fldChar w:fldCharType="separate"/>
      </w:r>
      <w:r>
        <w:rPr>
          <w:rStyle w:val="11"/>
        </w:rPr>
        <w:t>https://digitalcollection.zhaw.ch/bitstream/11475/24386/1/BThumiger_MSC_Thesis.pdf</w:t>
      </w:r>
      <w:r>
        <w:rPr>
          <w:rStyle w:val="11"/>
        </w:rPr>
        <w:fldChar w:fldCharType="end"/>
      </w:r>
      <w:r>
        <w:t xml:space="preserve"> </w:t>
      </w:r>
    </w:p>
    <w:p w14:paraId="37559C11">
      <w:r>
        <w:t xml:space="preserve">Verma, R., Verma, S., and Abhishek, K. (2024). Research methodology. Booksclinic Publishing. </w:t>
      </w:r>
      <w:r>
        <w:fldChar w:fldCharType="begin"/>
      </w:r>
      <w:r>
        <w:instrText xml:space="preserve"> HYPERLINK "https://hpuniv.ac.in/hpuniv/upload/uploadfiles/files/3_5.pdf" </w:instrText>
      </w:r>
      <w:r>
        <w:fldChar w:fldCharType="separate"/>
      </w:r>
      <w:r>
        <w:rPr>
          <w:rStyle w:val="11"/>
          <w:rFonts w:eastAsiaTheme="majorEastAsia"/>
        </w:rPr>
        <w:t>https://hpuniv.ac.in/hpuniv/upload/uploadfiles/files/3_5.pdf</w:t>
      </w:r>
      <w:r>
        <w:rPr>
          <w:rStyle w:val="11"/>
          <w:rFonts w:eastAsiaTheme="majorEastAsia"/>
        </w:rPr>
        <w:fldChar w:fldCharType="end"/>
      </w:r>
      <w:r>
        <w:t xml:space="preserve"> </w:t>
      </w:r>
    </w:p>
    <w:p w14:paraId="6A51104A">
      <w:r>
        <w:t xml:space="preserve">Wichmann, J. R., Uppal, A., Sharma, A., and Dekimpe, M. G. (2022). A global perspective on the marketing mix across time and space. International Journal of Research in Marketing, 39(2), 502-521. </w:t>
      </w:r>
      <w:r>
        <w:fldChar w:fldCharType="begin"/>
      </w:r>
      <w:r>
        <w:instrText xml:space="preserve"> HYPERLINK "https://www.sciencedirect.com/science/article/pii/S0167811621000665" </w:instrText>
      </w:r>
      <w:r>
        <w:fldChar w:fldCharType="separate"/>
      </w:r>
      <w:r>
        <w:rPr>
          <w:rStyle w:val="11"/>
        </w:rPr>
        <w:t>https://www.sciencedirect.com/science/article/pii/S0167811621000665</w:t>
      </w:r>
      <w:r>
        <w:rPr>
          <w:rStyle w:val="11"/>
        </w:rPr>
        <w:fldChar w:fldCharType="end"/>
      </w:r>
      <w:r>
        <w:t xml:space="preserve"> </w:t>
      </w:r>
    </w:p>
    <w:p w14:paraId="42EAD819"/>
    <w:p w14:paraId="46712287">
      <w:pPr>
        <w:spacing w:before="0" w:after="200" w:line="276" w:lineRule="auto"/>
        <w:jc w:val="left"/>
      </w:pPr>
      <w:r>
        <w:br w:type="page"/>
      </w:r>
    </w:p>
    <w:p w14:paraId="7D468103"/>
    <w:p w14:paraId="14D0467B"/>
    <w:p w14:paraId="152C8FDD"/>
    <w:p w14:paraId="6997C715"/>
    <w:p w14:paraId="7EBD5A80">
      <w:pPr>
        <w:shd w:val="clear" w:color="auto" w:fill="FFFFFF"/>
        <w:spacing w:before="0" w:after="0" w:line="240" w:lineRule="auto"/>
        <w:rPr>
          <w:rFonts w:cs="Arial"/>
          <w:color w:val="222222"/>
          <w:lang w:val="en-US"/>
        </w:rPr>
      </w:pPr>
    </w:p>
    <w:p w14:paraId="4145D397">
      <w:pPr>
        <w:shd w:val="clear" w:color="auto" w:fill="FFFFFF"/>
        <w:spacing w:before="0" w:after="0" w:line="240" w:lineRule="auto"/>
        <w:rPr>
          <w:rFonts w:cs="Arial"/>
          <w:color w:val="222222"/>
          <w:lang w:val="en-US"/>
        </w:rPr>
      </w:pPr>
    </w:p>
    <w:p w14:paraId="2ED321B2">
      <w:pPr>
        <w:shd w:val="clear" w:color="auto" w:fill="FFFFFF"/>
        <w:spacing w:before="0" w:after="0" w:line="240" w:lineRule="auto"/>
        <w:rPr>
          <w:rFonts w:cs="Arial"/>
          <w:color w:val="222222"/>
          <w:lang w:val="en-US"/>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__GeistSans_Fallback_3a0388">
    <w:altName w:val="Times New Roman"/>
    <w:panose1 w:val="00000000000000000000"/>
    <w:charset w:val="00"/>
    <w:family w:val="roman"/>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05384962"/>
      <w:docPartObj>
        <w:docPartGallery w:val="AutoText"/>
      </w:docPartObj>
    </w:sdtPr>
    <w:sdtContent>
      <w:p w14:paraId="100F44E4">
        <w:pPr>
          <w:pStyle w:val="9"/>
          <w:jc w:val="right"/>
        </w:pPr>
        <w:r>
          <w:fldChar w:fldCharType="begin"/>
        </w:r>
        <w:r>
          <w:instrText xml:space="preserve"> PAGE   \* MERGEFORMAT </w:instrText>
        </w:r>
        <w:r>
          <w:fldChar w:fldCharType="separate"/>
        </w:r>
        <w:r>
          <w:t>9</w:t>
        </w:r>
        <w:r>
          <w:fldChar w:fldCharType="end"/>
        </w:r>
      </w:p>
    </w:sdtContent>
  </w:sdt>
  <w:p w14:paraId="34D2A27D">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D3F57EF"/>
    <w:multiLevelType w:val="multilevel"/>
    <w:tmpl w:val="3D3F57E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E5420D7"/>
    <w:multiLevelType w:val="multilevel"/>
    <w:tmpl w:val="4E5420D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M2Mje3sDQwsbQwMDFX0lEKTi0uzszPAykwrgUAIVDsdSwAAAA="/>
  </w:docVars>
  <w:rsids>
    <w:rsidRoot w:val="00AB16AA"/>
    <w:rsid w:val="00014395"/>
    <w:rsid w:val="000C0088"/>
    <w:rsid w:val="000E0FF5"/>
    <w:rsid w:val="000F0AEC"/>
    <w:rsid w:val="000F312E"/>
    <w:rsid w:val="00162B3F"/>
    <w:rsid w:val="00235C80"/>
    <w:rsid w:val="002C3C4D"/>
    <w:rsid w:val="002C7953"/>
    <w:rsid w:val="00305E99"/>
    <w:rsid w:val="00455E48"/>
    <w:rsid w:val="004B2549"/>
    <w:rsid w:val="005079D5"/>
    <w:rsid w:val="005743D1"/>
    <w:rsid w:val="005A37FC"/>
    <w:rsid w:val="00644B31"/>
    <w:rsid w:val="006B0C3C"/>
    <w:rsid w:val="00747D24"/>
    <w:rsid w:val="00750732"/>
    <w:rsid w:val="00763900"/>
    <w:rsid w:val="00782BC9"/>
    <w:rsid w:val="007D34F8"/>
    <w:rsid w:val="007E733A"/>
    <w:rsid w:val="00836F32"/>
    <w:rsid w:val="00862486"/>
    <w:rsid w:val="008D5BE1"/>
    <w:rsid w:val="008F292E"/>
    <w:rsid w:val="009A6338"/>
    <w:rsid w:val="009D69B7"/>
    <w:rsid w:val="00AB16AA"/>
    <w:rsid w:val="00B70DF9"/>
    <w:rsid w:val="00B8289A"/>
    <w:rsid w:val="00BD4822"/>
    <w:rsid w:val="00C5644F"/>
    <w:rsid w:val="00C702ED"/>
    <w:rsid w:val="00CB1F83"/>
    <w:rsid w:val="00CD1332"/>
    <w:rsid w:val="00D323D1"/>
    <w:rsid w:val="00FD0E72"/>
    <w:rsid w:val="0D3B79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imes New Roman"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semiHidden="0" w:name="heading 4"/>
    <w:lsdException w:qFormat="1" w:uiPriority="9" w:name="heading 5"/>
    <w:lsdException w:qFormat="1" w:uiPriority="9" w:name="heading 6"/>
    <w:lsdException w:qFormat="1" w:uiPriority="9" w:semiHidden="0" w:name="heading 7"/>
    <w:lsdException w:qFormat="1" w:uiPriority="9" w:semiHidden="0"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240" w:line="360" w:lineRule="auto"/>
      <w:jc w:val="both"/>
    </w:pPr>
    <w:rPr>
      <w:rFonts w:ascii="Times New Roman" w:hAnsi="Times New Roman" w:eastAsia="Times New Roman" w:cs="Times New Roman"/>
      <w:sz w:val="24"/>
      <w:szCs w:val="24"/>
      <w:lang w:val="en" w:eastAsia="en-US" w:bidi="ar-SA"/>
    </w:rPr>
  </w:style>
  <w:style w:type="paragraph" w:styleId="2">
    <w:name w:val="heading 1"/>
    <w:basedOn w:val="1"/>
    <w:next w:val="1"/>
    <w:link w:val="17"/>
    <w:qFormat/>
    <w:uiPriority w:val="9"/>
    <w:pPr>
      <w:keepNext/>
      <w:keepLines/>
      <w:spacing w:after="0"/>
      <w:outlineLvl w:val="0"/>
    </w:pPr>
    <w:rPr>
      <w:rFonts w:eastAsiaTheme="majorEastAsia" w:cstheme="majorBidi"/>
      <w:b/>
      <w:color w:val="000000" w:themeColor="text1"/>
      <w:sz w:val="28"/>
      <w:szCs w:val="32"/>
      <w:lang w:val="en-US"/>
      <w14:textFill>
        <w14:solidFill>
          <w14:schemeClr w14:val="tx1"/>
        </w14:solidFill>
      </w14:textFill>
    </w:rPr>
  </w:style>
  <w:style w:type="paragraph" w:styleId="3">
    <w:name w:val="heading 2"/>
    <w:basedOn w:val="1"/>
    <w:next w:val="1"/>
    <w:link w:val="18"/>
    <w:unhideWhenUsed/>
    <w:qFormat/>
    <w:uiPriority w:val="9"/>
    <w:pPr>
      <w:keepNext/>
      <w:keepLines/>
      <w:spacing w:before="40" w:after="0"/>
      <w:outlineLvl w:val="1"/>
    </w:pPr>
    <w:rPr>
      <w:rFonts w:eastAsiaTheme="majorEastAsia" w:cstheme="majorBidi"/>
      <w:b/>
      <w:color w:val="000000" w:themeColor="text1"/>
      <w:sz w:val="26"/>
      <w:szCs w:val="26"/>
      <w:lang w:val="en-GB"/>
      <w14:textFill>
        <w14:solidFill>
          <w14:schemeClr w14:val="tx1"/>
        </w14:solidFill>
      </w14:textFill>
    </w:rPr>
  </w:style>
  <w:style w:type="paragraph" w:styleId="4">
    <w:name w:val="heading 4"/>
    <w:basedOn w:val="1"/>
    <w:next w:val="1"/>
    <w:link w:val="26"/>
    <w:unhideWhenUsed/>
    <w:qFormat/>
    <w:uiPriority w:val="9"/>
    <w:pPr>
      <w:keepNext/>
      <w:keepLines/>
      <w:spacing w:before="40" w:after="0"/>
      <w:outlineLvl w:val="3"/>
    </w:pPr>
    <w:rPr>
      <w:rFonts w:eastAsiaTheme="majorEastAsia" w:cstheme="majorBidi"/>
      <w:b/>
      <w:iCs/>
      <w:color w:val="000000" w:themeColor="text1"/>
      <w14:textFill>
        <w14:solidFill>
          <w14:schemeClr w14:val="tx1"/>
        </w14:solidFill>
      </w14:textFill>
    </w:rPr>
  </w:style>
  <w:style w:type="paragraph" w:styleId="5">
    <w:name w:val="heading 7"/>
    <w:basedOn w:val="1"/>
    <w:next w:val="1"/>
    <w:link w:val="19"/>
    <w:unhideWhenUsed/>
    <w:qFormat/>
    <w:uiPriority w:val="9"/>
    <w:pPr>
      <w:keepNext/>
      <w:keepLines/>
      <w:spacing w:before="40" w:after="0"/>
      <w:outlineLvl w:val="6"/>
    </w:pPr>
    <w:rPr>
      <w:rFonts w:asciiTheme="minorHAnsi" w:hAnsiTheme="minorHAnsi" w:eastAsiaTheme="majorEastAsia" w:cstheme="majorBidi"/>
      <w:iCs/>
      <w:color w:val="000000" w:themeColor="text1"/>
      <w:sz w:val="28"/>
      <w:lang w:val="en-US"/>
      <w14:textFill>
        <w14:solidFill>
          <w14:schemeClr w14:val="tx1"/>
        </w14:solidFill>
      </w14:textFill>
    </w:rPr>
  </w:style>
  <w:style w:type="paragraph" w:styleId="6">
    <w:name w:val="heading 8"/>
    <w:basedOn w:val="1"/>
    <w:next w:val="1"/>
    <w:link w:val="20"/>
    <w:unhideWhenUsed/>
    <w:qFormat/>
    <w:uiPriority w:val="9"/>
    <w:pPr>
      <w:keepNext/>
      <w:keepLines/>
      <w:spacing w:before="40" w:after="0"/>
      <w:outlineLvl w:val="7"/>
    </w:pPr>
    <w:rPr>
      <w:rFonts w:asciiTheme="minorHAnsi" w:hAnsiTheme="minorHAnsi" w:eastAsiaTheme="majorEastAsia" w:cstheme="majorBidi"/>
      <w:color w:val="262626" w:themeColor="text1" w:themeTint="D9"/>
      <w:sz w:val="26"/>
      <w:szCs w:val="21"/>
      <w:lang w:val="en-US"/>
      <w14:textFill>
        <w14:solidFill>
          <w14:schemeClr w14:val="tx1">
            <w14:lumMod w14:val="85000"/>
            <w14:lumOff w14:val="15000"/>
          </w14:schemeClr>
        </w14:solidFill>
      </w14:textFill>
    </w:rPr>
  </w:style>
  <w:style w:type="character" w:default="1" w:styleId="7">
    <w:name w:val="Default Paragraph Font"/>
    <w:semiHidden/>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9">
    <w:name w:val="footer"/>
    <w:basedOn w:val="1"/>
    <w:link w:val="25"/>
    <w:unhideWhenUsed/>
    <w:qFormat/>
    <w:uiPriority w:val="99"/>
    <w:pPr>
      <w:tabs>
        <w:tab w:val="center" w:pos="4680"/>
        <w:tab w:val="right" w:pos="9360"/>
      </w:tabs>
      <w:spacing w:before="0" w:after="0" w:line="240" w:lineRule="auto"/>
    </w:pPr>
  </w:style>
  <w:style w:type="paragraph" w:styleId="10">
    <w:name w:val="header"/>
    <w:basedOn w:val="1"/>
    <w:link w:val="24"/>
    <w:unhideWhenUsed/>
    <w:qFormat/>
    <w:uiPriority w:val="99"/>
    <w:pPr>
      <w:tabs>
        <w:tab w:val="center" w:pos="4680"/>
        <w:tab w:val="right" w:pos="9360"/>
      </w:tabs>
      <w:spacing w:before="0" w:after="0" w:line="240" w:lineRule="auto"/>
    </w:pPr>
  </w:style>
  <w:style w:type="character" w:styleId="11">
    <w:name w:val="Hyperlink"/>
    <w:basedOn w:val="7"/>
    <w:unhideWhenUsed/>
    <w:uiPriority w:val="99"/>
    <w:rPr>
      <w:color w:val="0000FF" w:themeColor="hyperlink"/>
      <w:u w:val="single"/>
      <w14:textFill>
        <w14:solidFill>
          <w14:schemeClr w14:val="hlink"/>
        </w14:solidFill>
      </w14:textFill>
    </w:rPr>
  </w:style>
  <w:style w:type="paragraph" w:styleId="12">
    <w:name w:val="Normal (Web)"/>
    <w:basedOn w:val="1"/>
    <w:semiHidden/>
    <w:unhideWhenUsed/>
    <w:qFormat/>
    <w:uiPriority w:val="99"/>
    <w:pPr>
      <w:spacing w:before="100" w:beforeAutospacing="1" w:after="100" w:afterAutospacing="1" w:line="240" w:lineRule="auto"/>
      <w:jc w:val="left"/>
    </w:pPr>
    <w:rPr>
      <w:lang w:val="en-US"/>
    </w:rPr>
  </w:style>
  <w:style w:type="character" w:styleId="13">
    <w:name w:val="Strong"/>
    <w:basedOn w:val="7"/>
    <w:qFormat/>
    <w:uiPriority w:val="22"/>
    <w:rPr>
      <w:b/>
      <w:bCs/>
    </w:rPr>
  </w:style>
  <w:style w:type="paragraph" w:styleId="14">
    <w:name w:val="table of figures"/>
    <w:basedOn w:val="1"/>
    <w:next w:val="1"/>
    <w:unhideWhenUsed/>
    <w:qFormat/>
    <w:uiPriority w:val="99"/>
    <w:pPr>
      <w:spacing w:after="0"/>
    </w:p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40"/>
    </w:pPr>
  </w:style>
  <w:style w:type="character" w:customStyle="1" w:styleId="17">
    <w:name w:val="Heading 1 Char"/>
    <w:basedOn w:val="7"/>
    <w:link w:val="2"/>
    <w:qFormat/>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18">
    <w:name w:val="Heading 2 Char"/>
    <w:basedOn w:val="7"/>
    <w:link w:val="3"/>
    <w:qFormat/>
    <w:uiPriority w:val="9"/>
    <w:rPr>
      <w:rFonts w:ascii="Times New Roman" w:hAnsi="Times New Roman" w:eastAsiaTheme="majorEastAsia" w:cstheme="majorBidi"/>
      <w:b/>
      <w:color w:val="000000" w:themeColor="text1"/>
      <w:sz w:val="26"/>
      <w:szCs w:val="26"/>
      <w:lang w:val="en-GB"/>
      <w14:textFill>
        <w14:solidFill>
          <w14:schemeClr w14:val="tx1"/>
        </w14:solidFill>
      </w14:textFill>
    </w:rPr>
  </w:style>
  <w:style w:type="character" w:customStyle="1" w:styleId="19">
    <w:name w:val="Heading 7 Char"/>
    <w:basedOn w:val="7"/>
    <w:link w:val="5"/>
    <w:uiPriority w:val="9"/>
    <w:rPr>
      <w:rFonts w:eastAsiaTheme="majorEastAsia" w:cstheme="majorBidi"/>
      <w:b/>
      <w:iCs/>
      <w:color w:val="000000" w:themeColor="text1"/>
      <w:sz w:val="28"/>
      <w14:textFill>
        <w14:solidFill>
          <w14:schemeClr w14:val="tx1"/>
        </w14:solidFill>
      </w14:textFill>
    </w:rPr>
  </w:style>
  <w:style w:type="character" w:customStyle="1" w:styleId="20">
    <w:name w:val="Heading 8 Char"/>
    <w:basedOn w:val="7"/>
    <w:link w:val="6"/>
    <w:qFormat/>
    <w:uiPriority w:val="9"/>
    <w:rPr>
      <w:rFonts w:eastAsiaTheme="majorEastAsia" w:cstheme="majorBidi"/>
      <w:b/>
      <w:color w:val="262626" w:themeColor="text1" w:themeTint="D9"/>
      <w:sz w:val="26"/>
      <w:szCs w:val="21"/>
      <w14:textFill>
        <w14:solidFill>
          <w14:schemeClr w14:val="tx1">
            <w14:lumMod w14:val="85000"/>
            <w14:lumOff w14:val="15000"/>
          </w14:schemeClr>
        </w14:solidFill>
      </w14:textFill>
    </w:rPr>
  </w:style>
  <w:style w:type="paragraph" w:styleId="21">
    <w:name w:val="List Paragraph"/>
    <w:basedOn w:val="1"/>
    <w:qFormat/>
    <w:uiPriority w:val="34"/>
    <w:pPr>
      <w:ind w:left="720"/>
      <w:contextualSpacing/>
    </w:pPr>
  </w:style>
  <w:style w:type="character" w:customStyle="1" w:styleId="22">
    <w:name w:val="cursor-pointer"/>
    <w:basedOn w:val="7"/>
    <w:qFormat/>
    <w:uiPriority w:val="0"/>
  </w:style>
  <w:style w:type="paragraph" w:customStyle="1" w:styleId="23">
    <w:name w:val="TOC Heading"/>
    <w:basedOn w:val="2"/>
    <w:next w:val="1"/>
    <w:unhideWhenUsed/>
    <w:qFormat/>
    <w:uiPriority w:val="39"/>
    <w:pPr>
      <w:jc w:val="left"/>
      <w:outlineLvl w:val="9"/>
    </w:pPr>
    <w:rPr>
      <w:rFonts w:asciiTheme="majorHAnsi" w:hAnsiTheme="majorHAnsi"/>
      <w:b w:val="0"/>
      <w:color w:val="376092" w:themeColor="accent1" w:themeShade="BF"/>
    </w:rPr>
  </w:style>
  <w:style w:type="character" w:customStyle="1" w:styleId="24">
    <w:name w:val="Header Char"/>
    <w:basedOn w:val="7"/>
    <w:link w:val="10"/>
    <w:qFormat/>
    <w:uiPriority w:val="99"/>
    <w:rPr>
      <w:rFonts w:ascii="Times New Roman" w:hAnsi="Times New Roman" w:cs="Times New Roman"/>
      <w:sz w:val="24"/>
      <w:szCs w:val="24"/>
      <w:lang w:val="en"/>
    </w:rPr>
  </w:style>
  <w:style w:type="character" w:customStyle="1" w:styleId="25">
    <w:name w:val="Footer Char"/>
    <w:basedOn w:val="7"/>
    <w:link w:val="9"/>
    <w:qFormat/>
    <w:uiPriority w:val="99"/>
    <w:rPr>
      <w:rFonts w:ascii="Times New Roman" w:hAnsi="Times New Roman" w:cs="Times New Roman"/>
      <w:sz w:val="24"/>
      <w:szCs w:val="24"/>
      <w:lang w:val="en"/>
    </w:rPr>
  </w:style>
  <w:style w:type="character" w:customStyle="1" w:styleId="26">
    <w:name w:val="Heading 4 Char"/>
    <w:basedOn w:val="7"/>
    <w:link w:val="4"/>
    <w:qFormat/>
    <w:uiPriority w:val="9"/>
    <w:rPr>
      <w:rFonts w:ascii="Times New Roman" w:hAnsi="Times New Roman" w:eastAsiaTheme="majorEastAsia" w:cstheme="majorBidi"/>
      <w:b/>
      <w:iCs/>
      <w:color w:val="000000" w:themeColor="text1"/>
      <w:sz w:val="24"/>
      <w:szCs w:val="24"/>
      <w:lang w:val="en"/>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023CE-BC52-4FCD-B461-59FA6F96656B}">
  <ds:schemaRefs/>
</ds:datastoreItem>
</file>

<file path=docProps/app.xml><?xml version="1.0" encoding="utf-8"?>
<Properties xmlns="http://schemas.openxmlformats.org/officeDocument/2006/extended-properties" xmlns:vt="http://schemas.openxmlformats.org/officeDocument/2006/docPropsVTypes">
  <Template>Normal</Template>
  <Pages>18</Pages>
  <Words>4144</Words>
  <Characters>23624</Characters>
  <Lines>196</Lines>
  <Paragraphs>55</Paragraphs>
  <TotalTime>11</TotalTime>
  <ScaleCrop>false</ScaleCrop>
  <LinksUpToDate>false</LinksUpToDate>
  <CharactersWithSpaces>27713</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2025-03-13T10:20:00Z</dcterms:created>
  <dc:creator>win7</dc:creator>
  <cp:lastModifiedBy>patel poojan</cp:lastModifiedBy>
  <dcterms:modified xsi:type="dcterms:W3CDTF">2025-03-14T12:02:43Z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1033-12.2.0.19307</vt:lpwstr>
  </property>
  <property fmtid="{D5CDD505-2E9C-101B-9397-08002B2CF9AE}" pid="3" name="ICV">
    <vt:lpwstr>FC827C7B9F7B4CC391D4DF66F48B7DB0_13</vt:lpwstr>
  </property>
</Properties>
</file>