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90B7B" w14:textId="1C492D49" w:rsidR="000E4B81" w:rsidRDefault="000E4B81">
      <w:pPr>
        <w:spacing w:line="259" w:lineRule="auto"/>
        <w:jc w:val="left"/>
      </w:pPr>
    </w:p>
    <w:p w14:paraId="21FA36E4" w14:textId="77777777" w:rsidR="000E4B81" w:rsidRDefault="00C9461A">
      <w:pPr>
        <w:spacing w:line="259" w:lineRule="auto"/>
        <w:jc w:val="left"/>
      </w:pPr>
      <w:r>
        <w:rPr>
          <w:noProof/>
        </w:rPr>
        <w:drawing>
          <wp:anchor distT="0" distB="0" distL="114300" distR="114300" simplePos="0" relativeHeight="251658240" behindDoc="0" locked="0" layoutInCell="1" hidden="0" allowOverlap="1" wp14:anchorId="5E1C6E24" wp14:editId="03BA4EC5">
            <wp:simplePos x="0" y="0"/>
            <wp:positionH relativeFrom="column">
              <wp:posOffset>1</wp:posOffset>
            </wp:positionH>
            <wp:positionV relativeFrom="paragraph">
              <wp:posOffset>-1269</wp:posOffset>
            </wp:positionV>
            <wp:extent cx="1810385" cy="597535"/>
            <wp:effectExtent l="0" t="0" r="0" b="0"/>
            <wp:wrapTopAndBottom distT="0" dist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1810385" cy="597535"/>
                    </a:xfrm>
                    <a:prstGeom prst="rect">
                      <a:avLst/>
                    </a:prstGeom>
                    <a:ln/>
                  </pic:spPr>
                </pic:pic>
              </a:graphicData>
            </a:graphic>
          </wp:anchor>
        </w:drawing>
      </w:r>
    </w:p>
    <w:p w14:paraId="17188E11" w14:textId="77777777" w:rsidR="000E4B81" w:rsidRDefault="000E4B81">
      <w:pPr>
        <w:spacing w:line="259" w:lineRule="auto"/>
        <w:jc w:val="left"/>
      </w:pPr>
    </w:p>
    <w:p w14:paraId="240ECF5C" w14:textId="77777777" w:rsidR="000E4B81" w:rsidRDefault="000E4B81">
      <w:pPr>
        <w:spacing w:line="259" w:lineRule="auto"/>
        <w:jc w:val="left"/>
      </w:pPr>
    </w:p>
    <w:p w14:paraId="6735C433" w14:textId="77777777" w:rsidR="000E4B81" w:rsidRDefault="000E4B81">
      <w:pPr>
        <w:spacing w:line="259" w:lineRule="auto"/>
        <w:jc w:val="center"/>
        <w:rPr>
          <w:b/>
          <w:sz w:val="32"/>
          <w:szCs w:val="32"/>
        </w:rPr>
      </w:pPr>
    </w:p>
    <w:p w14:paraId="14B4D92F" w14:textId="77777777" w:rsidR="000E4B81" w:rsidRDefault="000E4B81">
      <w:pPr>
        <w:spacing w:line="259" w:lineRule="auto"/>
        <w:jc w:val="center"/>
        <w:rPr>
          <w:b/>
          <w:sz w:val="32"/>
          <w:szCs w:val="32"/>
        </w:rPr>
      </w:pPr>
    </w:p>
    <w:p w14:paraId="78FC8ED4" w14:textId="77777777" w:rsidR="000E4B81" w:rsidRDefault="00C9461A">
      <w:pPr>
        <w:spacing w:line="259" w:lineRule="auto"/>
        <w:jc w:val="center"/>
        <w:rPr>
          <w:b/>
          <w:sz w:val="32"/>
          <w:szCs w:val="32"/>
        </w:rPr>
      </w:pPr>
      <w:r>
        <w:rPr>
          <w:b/>
          <w:sz w:val="32"/>
          <w:szCs w:val="32"/>
        </w:rPr>
        <w:t>Strategic Management and Sustainability Report of Jaguar Land Rover</w:t>
      </w:r>
    </w:p>
    <w:p w14:paraId="0C00420C" w14:textId="77777777" w:rsidR="000E4B81" w:rsidRDefault="000E4B81">
      <w:pPr>
        <w:spacing w:line="259" w:lineRule="auto"/>
        <w:jc w:val="center"/>
        <w:rPr>
          <w:sz w:val="36"/>
          <w:szCs w:val="36"/>
        </w:rPr>
      </w:pPr>
    </w:p>
    <w:p w14:paraId="00F2708C" w14:textId="77777777" w:rsidR="000E4B81" w:rsidRDefault="000E4B81">
      <w:pPr>
        <w:spacing w:line="259" w:lineRule="auto"/>
        <w:jc w:val="center"/>
        <w:rPr>
          <w:sz w:val="36"/>
          <w:szCs w:val="36"/>
        </w:rPr>
      </w:pPr>
    </w:p>
    <w:p w14:paraId="6FD46873" w14:textId="77777777" w:rsidR="000E4B81" w:rsidRDefault="000E4B81">
      <w:pPr>
        <w:spacing w:line="259" w:lineRule="auto"/>
        <w:jc w:val="center"/>
        <w:rPr>
          <w:sz w:val="36"/>
          <w:szCs w:val="36"/>
        </w:rPr>
      </w:pPr>
    </w:p>
    <w:p w14:paraId="42B7E975" w14:textId="77777777" w:rsidR="000E4B81" w:rsidRDefault="000E4B81">
      <w:pPr>
        <w:spacing w:line="259" w:lineRule="auto"/>
        <w:jc w:val="center"/>
        <w:rPr>
          <w:sz w:val="36"/>
          <w:szCs w:val="36"/>
        </w:rPr>
      </w:pPr>
    </w:p>
    <w:p w14:paraId="2483FF41" w14:textId="77777777" w:rsidR="000E4B81" w:rsidRDefault="000E4B81">
      <w:pPr>
        <w:spacing w:line="259" w:lineRule="auto"/>
        <w:jc w:val="center"/>
        <w:rPr>
          <w:sz w:val="36"/>
          <w:szCs w:val="36"/>
        </w:rPr>
      </w:pPr>
    </w:p>
    <w:p w14:paraId="76E41A9B" w14:textId="19F4A117" w:rsidR="000E4B81" w:rsidRDefault="00004CB5">
      <w:r>
        <w:t xml:space="preserve">Lecturer name: Navid </w:t>
      </w:r>
      <w:proofErr w:type="spellStart"/>
      <w:r>
        <w:t>Nasirpourosgoei</w:t>
      </w:r>
      <w:proofErr w:type="spellEnd"/>
    </w:p>
    <w:p w14:paraId="27DD9CC7" w14:textId="77777777" w:rsidR="000E4B81" w:rsidRDefault="00C9461A">
      <w:r>
        <w:t>Module Code: LCBB6004</w:t>
      </w:r>
    </w:p>
    <w:p w14:paraId="7BD44A7E" w14:textId="77777777" w:rsidR="000E4B81" w:rsidRDefault="00C9461A">
      <w:r>
        <w:t xml:space="preserve">Module Name: Strategic Management and Sustainability  </w:t>
      </w:r>
    </w:p>
    <w:p w14:paraId="1A3AB990" w14:textId="1A2D47C7" w:rsidR="000E4B81" w:rsidRDefault="00004CB5">
      <w:r>
        <w:t xml:space="preserve">Student name and number: Viorica </w:t>
      </w:r>
      <w:proofErr w:type="spellStart"/>
      <w:r>
        <w:t>Birloiu</w:t>
      </w:r>
      <w:proofErr w:type="spellEnd"/>
      <w:r>
        <w:t xml:space="preserve"> - 2227895</w:t>
      </w:r>
    </w:p>
    <w:p w14:paraId="59ED9178" w14:textId="77777777" w:rsidR="000E4B81" w:rsidRDefault="00C9461A">
      <w:r>
        <w:br w:type="page"/>
      </w:r>
    </w:p>
    <w:p w14:paraId="09F27F5D" w14:textId="77777777" w:rsidR="000E4B81" w:rsidRDefault="00C9461A">
      <w:pPr>
        <w:pStyle w:val="Heading1"/>
      </w:pPr>
      <w:bookmarkStart w:id="0" w:name="_gkbxglj7pa11" w:colFirst="0" w:colLast="0"/>
      <w:bookmarkEnd w:id="0"/>
      <w:r>
        <w:lastRenderedPageBreak/>
        <w:t>Executive Summary</w:t>
      </w:r>
    </w:p>
    <w:p w14:paraId="370CD34D" w14:textId="77777777" w:rsidR="000E4B81" w:rsidRDefault="00C9461A">
      <w:pPr>
        <w:rPr>
          <w:b/>
        </w:rPr>
      </w:pPr>
      <w:r>
        <w:t>This report looks into Jaguar Land Rover (JLR), the largest automaker in the UK, to give a clear strategy as the industry adapts to new trends. Its significance has grown for JLR because electric cars are gaining popularity, rules made by governments are becoming stricter and digital progress continues. The PESTLE and Porter’s Five Forces are external methods to detect risks, while the Value Chain, Resource-Based View (RBV) and VRIO analyse strengths within the company. A SWOT analysis compiles information for each section, showing customers the brand, growth chances and the places where the company struggles in its work. The study pointed out that accelerating the move to electrification and introducing innovative products, setting up vertical structures and making technical partnerships and providing more digital mobility services could be the main tactics. The final part of the report suggests practical ideas to JLR that will make the company more adaptable, increase its profits and help it succeed in the premium electric vehicle market. The goals are to gain recognition for JLR around the world because of its sustainable luxury cars.</w:t>
      </w:r>
      <w:r>
        <w:br w:type="page"/>
      </w:r>
    </w:p>
    <w:p w14:paraId="0212F383" w14:textId="77777777" w:rsidR="000E4B81" w:rsidRDefault="00C9461A">
      <w:pPr>
        <w:keepNext/>
        <w:keepLines/>
        <w:pBdr>
          <w:top w:val="nil"/>
          <w:left w:val="nil"/>
          <w:bottom w:val="nil"/>
          <w:right w:val="nil"/>
          <w:between w:val="nil"/>
        </w:pBdr>
        <w:spacing w:before="240" w:after="0" w:line="259" w:lineRule="auto"/>
        <w:jc w:val="center"/>
        <w:rPr>
          <w:b/>
          <w:color w:val="2F5496"/>
          <w:sz w:val="36"/>
          <w:szCs w:val="36"/>
        </w:rPr>
      </w:pPr>
      <w:r>
        <w:rPr>
          <w:b/>
          <w:color w:val="2F5496"/>
          <w:sz w:val="36"/>
          <w:szCs w:val="36"/>
        </w:rPr>
        <w:lastRenderedPageBreak/>
        <w:t>Table of Contents</w:t>
      </w:r>
    </w:p>
    <w:sdt>
      <w:sdtPr>
        <w:id w:val="1666041878"/>
        <w:docPartObj>
          <w:docPartGallery w:val="Table of Contents"/>
          <w:docPartUnique/>
        </w:docPartObj>
      </w:sdtPr>
      <w:sdtContent>
        <w:p w14:paraId="2C14A775" w14:textId="77777777" w:rsidR="000E4B81" w:rsidRDefault="00C9461A">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gkbxglj7pa11">
            <w:r w:rsidR="000E4B81">
              <w:rPr>
                <w:color w:val="000000"/>
              </w:rPr>
              <w:t>Executive Summary</w:t>
            </w:r>
            <w:r w:rsidR="000E4B81">
              <w:rPr>
                <w:color w:val="000000"/>
              </w:rPr>
              <w:tab/>
              <w:t>2</w:t>
            </w:r>
          </w:hyperlink>
        </w:p>
        <w:p w14:paraId="2F68F632" w14:textId="77777777" w:rsidR="000E4B81" w:rsidRDefault="000E4B81">
          <w:pPr>
            <w:pBdr>
              <w:top w:val="nil"/>
              <w:left w:val="nil"/>
              <w:bottom w:val="nil"/>
              <w:right w:val="nil"/>
              <w:between w:val="nil"/>
            </w:pBdr>
            <w:tabs>
              <w:tab w:val="right" w:leader="dot" w:pos="9350"/>
            </w:tabs>
            <w:spacing w:after="100"/>
            <w:rPr>
              <w:rFonts w:ascii="Calibri" w:eastAsia="Calibri" w:hAnsi="Calibri" w:cs="Calibri"/>
              <w:color w:val="000000"/>
            </w:rPr>
          </w:pPr>
          <w:hyperlink w:anchor="_x0g7gxeh5zdw">
            <w:r>
              <w:rPr>
                <w:color w:val="000000"/>
              </w:rPr>
              <w:t>Introduction</w:t>
            </w:r>
            <w:r>
              <w:rPr>
                <w:color w:val="000000"/>
              </w:rPr>
              <w:tab/>
              <w:t>4</w:t>
            </w:r>
          </w:hyperlink>
        </w:p>
        <w:p w14:paraId="68B9999A" w14:textId="77777777" w:rsidR="000E4B81" w:rsidRDefault="000E4B81">
          <w:pPr>
            <w:pBdr>
              <w:top w:val="nil"/>
              <w:left w:val="nil"/>
              <w:bottom w:val="nil"/>
              <w:right w:val="nil"/>
              <w:between w:val="nil"/>
            </w:pBdr>
            <w:tabs>
              <w:tab w:val="right" w:leader="dot" w:pos="9350"/>
            </w:tabs>
            <w:spacing w:after="100"/>
            <w:rPr>
              <w:rFonts w:ascii="Calibri" w:eastAsia="Calibri" w:hAnsi="Calibri" w:cs="Calibri"/>
              <w:color w:val="000000"/>
            </w:rPr>
          </w:pPr>
          <w:hyperlink w:anchor="_p1jixihj35w8">
            <w:r>
              <w:rPr>
                <w:color w:val="000000"/>
              </w:rPr>
              <w:t>Strategy Analysis</w:t>
            </w:r>
            <w:r>
              <w:rPr>
                <w:color w:val="000000"/>
              </w:rPr>
              <w:tab/>
              <w:t>6</w:t>
            </w:r>
          </w:hyperlink>
        </w:p>
        <w:p w14:paraId="3346A70D"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xjop12o1946l">
            <w:r>
              <w:rPr>
                <w:color w:val="000000"/>
              </w:rPr>
              <w:t>External Environment Audit</w:t>
            </w:r>
            <w:r>
              <w:rPr>
                <w:color w:val="000000"/>
              </w:rPr>
              <w:tab/>
              <w:t>6</w:t>
            </w:r>
          </w:hyperlink>
        </w:p>
        <w:p w14:paraId="38836C19" w14:textId="77777777" w:rsidR="000E4B81" w:rsidRDefault="000E4B81">
          <w:pPr>
            <w:pBdr>
              <w:top w:val="nil"/>
              <w:left w:val="nil"/>
              <w:bottom w:val="nil"/>
              <w:right w:val="nil"/>
              <w:between w:val="nil"/>
            </w:pBdr>
            <w:tabs>
              <w:tab w:val="right" w:leader="dot" w:pos="9350"/>
            </w:tabs>
            <w:spacing w:after="100"/>
            <w:ind w:left="480"/>
            <w:rPr>
              <w:rFonts w:ascii="Calibri" w:eastAsia="Calibri" w:hAnsi="Calibri" w:cs="Calibri"/>
              <w:color w:val="000000"/>
            </w:rPr>
          </w:pPr>
          <w:hyperlink w:anchor="_bl02sta6xaz5">
            <w:r>
              <w:rPr>
                <w:color w:val="000000"/>
              </w:rPr>
              <w:t>PESTLE Analysis</w:t>
            </w:r>
            <w:r>
              <w:rPr>
                <w:color w:val="000000"/>
              </w:rPr>
              <w:tab/>
              <w:t>6</w:t>
            </w:r>
          </w:hyperlink>
        </w:p>
        <w:p w14:paraId="24D6D4C6" w14:textId="77777777" w:rsidR="000E4B81" w:rsidRDefault="000E4B81">
          <w:pPr>
            <w:pBdr>
              <w:top w:val="nil"/>
              <w:left w:val="nil"/>
              <w:bottom w:val="nil"/>
              <w:right w:val="nil"/>
              <w:between w:val="nil"/>
            </w:pBdr>
            <w:tabs>
              <w:tab w:val="right" w:leader="dot" w:pos="9350"/>
            </w:tabs>
            <w:spacing w:after="100"/>
            <w:ind w:left="480"/>
            <w:rPr>
              <w:rFonts w:ascii="Calibri" w:eastAsia="Calibri" w:hAnsi="Calibri" w:cs="Calibri"/>
              <w:color w:val="000000"/>
            </w:rPr>
          </w:pPr>
          <w:hyperlink w:anchor="_54mgeyiwo5us">
            <w:r>
              <w:rPr>
                <w:color w:val="000000"/>
              </w:rPr>
              <w:t>Porter’s Five Forces</w:t>
            </w:r>
            <w:r>
              <w:rPr>
                <w:color w:val="000000"/>
              </w:rPr>
              <w:tab/>
              <w:t>7</w:t>
            </w:r>
          </w:hyperlink>
        </w:p>
        <w:p w14:paraId="60AD73AA"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7lg4c22796vg">
            <w:r>
              <w:rPr>
                <w:color w:val="000000"/>
              </w:rPr>
              <w:t>Internal Environment Audit</w:t>
            </w:r>
            <w:r>
              <w:rPr>
                <w:color w:val="000000"/>
              </w:rPr>
              <w:tab/>
              <w:t>9</w:t>
            </w:r>
          </w:hyperlink>
        </w:p>
        <w:p w14:paraId="793B2263" w14:textId="77777777" w:rsidR="000E4B81" w:rsidRDefault="000E4B81">
          <w:pPr>
            <w:pBdr>
              <w:top w:val="nil"/>
              <w:left w:val="nil"/>
              <w:bottom w:val="nil"/>
              <w:right w:val="nil"/>
              <w:between w:val="nil"/>
            </w:pBdr>
            <w:tabs>
              <w:tab w:val="right" w:leader="dot" w:pos="9350"/>
            </w:tabs>
            <w:spacing w:after="100"/>
            <w:ind w:left="480"/>
            <w:rPr>
              <w:rFonts w:ascii="Calibri" w:eastAsia="Calibri" w:hAnsi="Calibri" w:cs="Calibri"/>
              <w:color w:val="000000"/>
            </w:rPr>
          </w:pPr>
          <w:hyperlink w:anchor="_q5eyjkhx8skx">
            <w:r>
              <w:rPr>
                <w:color w:val="000000"/>
              </w:rPr>
              <w:t>Value Chain Analysis</w:t>
            </w:r>
            <w:r>
              <w:rPr>
                <w:color w:val="000000"/>
              </w:rPr>
              <w:tab/>
              <w:t>9</w:t>
            </w:r>
          </w:hyperlink>
        </w:p>
        <w:p w14:paraId="6CA323CD" w14:textId="77777777" w:rsidR="000E4B81" w:rsidRDefault="000E4B81">
          <w:pPr>
            <w:pBdr>
              <w:top w:val="nil"/>
              <w:left w:val="nil"/>
              <w:bottom w:val="nil"/>
              <w:right w:val="nil"/>
              <w:between w:val="nil"/>
            </w:pBdr>
            <w:tabs>
              <w:tab w:val="right" w:leader="dot" w:pos="9350"/>
            </w:tabs>
            <w:spacing w:after="100"/>
            <w:ind w:left="480"/>
            <w:rPr>
              <w:rFonts w:ascii="Calibri" w:eastAsia="Calibri" w:hAnsi="Calibri" w:cs="Calibri"/>
              <w:color w:val="000000"/>
            </w:rPr>
          </w:pPr>
          <w:hyperlink w:anchor="_9o8clrtr4orw">
            <w:r>
              <w:rPr>
                <w:color w:val="000000"/>
              </w:rPr>
              <w:t>Resource-Based View (RBV)</w:t>
            </w:r>
            <w:r>
              <w:rPr>
                <w:color w:val="000000"/>
              </w:rPr>
              <w:tab/>
              <w:t>10</w:t>
            </w:r>
          </w:hyperlink>
        </w:p>
        <w:p w14:paraId="49A168C8" w14:textId="77777777" w:rsidR="000E4B81" w:rsidRDefault="000E4B81">
          <w:pPr>
            <w:pBdr>
              <w:top w:val="nil"/>
              <w:left w:val="nil"/>
              <w:bottom w:val="nil"/>
              <w:right w:val="nil"/>
              <w:between w:val="nil"/>
            </w:pBdr>
            <w:tabs>
              <w:tab w:val="right" w:leader="dot" w:pos="9350"/>
            </w:tabs>
            <w:spacing w:after="100"/>
            <w:ind w:left="480"/>
            <w:rPr>
              <w:rFonts w:ascii="Calibri" w:eastAsia="Calibri" w:hAnsi="Calibri" w:cs="Calibri"/>
              <w:color w:val="000000"/>
            </w:rPr>
          </w:pPr>
          <w:hyperlink w:anchor="_16a63vfuheq0">
            <w:r>
              <w:rPr>
                <w:color w:val="000000"/>
              </w:rPr>
              <w:t>VRIO Framework</w:t>
            </w:r>
            <w:r>
              <w:rPr>
                <w:color w:val="000000"/>
              </w:rPr>
              <w:tab/>
              <w:t>10</w:t>
            </w:r>
          </w:hyperlink>
        </w:p>
        <w:p w14:paraId="503D9D7E"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pize7252u">
            <w:r>
              <w:rPr>
                <w:color w:val="000000"/>
              </w:rPr>
              <w:t>SWOT Analysis</w:t>
            </w:r>
            <w:r>
              <w:rPr>
                <w:color w:val="000000"/>
              </w:rPr>
              <w:tab/>
              <w:t>11</w:t>
            </w:r>
          </w:hyperlink>
        </w:p>
        <w:p w14:paraId="66CFC6A2" w14:textId="77777777" w:rsidR="000E4B81" w:rsidRDefault="000E4B81">
          <w:pPr>
            <w:pBdr>
              <w:top w:val="nil"/>
              <w:left w:val="nil"/>
              <w:bottom w:val="nil"/>
              <w:right w:val="nil"/>
              <w:between w:val="nil"/>
            </w:pBdr>
            <w:tabs>
              <w:tab w:val="right" w:leader="dot" w:pos="9350"/>
            </w:tabs>
            <w:spacing w:after="100"/>
            <w:rPr>
              <w:rFonts w:ascii="Calibri" w:eastAsia="Calibri" w:hAnsi="Calibri" w:cs="Calibri"/>
              <w:color w:val="000000"/>
            </w:rPr>
          </w:pPr>
          <w:hyperlink w:anchor="_dyrre8mk4nae">
            <w:r>
              <w:rPr>
                <w:color w:val="000000"/>
              </w:rPr>
              <w:t>Strategy Formulation</w:t>
            </w:r>
            <w:r>
              <w:rPr>
                <w:color w:val="000000"/>
              </w:rPr>
              <w:tab/>
              <w:t>13</w:t>
            </w:r>
          </w:hyperlink>
        </w:p>
        <w:p w14:paraId="4C042937"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e9pepxhgra8p">
            <w:r>
              <w:rPr>
                <w:color w:val="000000"/>
              </w:rPr>
              <w:t>Strategy 1: Accelerated Electrification and Product Innovation</w:t>
            </w:r>
            <w:r>
              <w:rPr>
                <w:color w:val="000000"/>
              </w:rPr>
              <w:tab/>
              <w:t>13</w:t>
            </w:r>
          </w:hyperlink>
        </w:p>
        <w:p w14:paraId="56AE0031"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35xxn4d5ezi9">
            <w:r>
              <w:rPr>
                <w:color w:val="000000"/>
              </w:rPr>
              <w:t>Strategy 2: Strategic Partnerships and Vertical Integration</w:t>
            </w:r>
            <w:r>
              <w:rPr>
                <w:color w:val="000000"/>
              </w:rPr>
              <w:tab/>
              <w:t>13</w:t>
            </w:r>
          </w:hyperlink>
        </w:p>
        <w:p w14:paraId="6C4A3024"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7n8lydtyo8gc">
            <w:r>
              <w:rPr>
                <w:color w:val="000000"/>
              </w:rPr>
              <w:t>Strategy 3: Smart Mobility and Digital Service Expansion</w:t>
            </w:r>
            <w:r>
              <w:rPr>
                <w:color w:val="000000"/>
              </w:rPr>
              <w:tab/>
              <w:t>14</w:t>
            </w:r>
          </w:hyperlink>
        </w:p>
        <w:p w14:paraId="7525B4D5" w14:textId="77777777" w:rsidR="000E4B81" w:rsidRDefault="000E4B81">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4jmh9sdfjwot">
            <w:r>
              <w:rPr>
                <w:color w:val="000000"/>
              </w:rPr>
              <w:t>Strategic Fit and Synergy</w:t>
            </w:r>
            <w:r>
              <w:rPr>
                <w:color w:val="000000"/>
              </w:rPr>
              <w:tab/>
              <w:t>14</w:t>
            </w:r>
          </w:hyperlink>
        </w:p>
        <w:p w14:paraId="429754FA" w14:textId="77777777" w:rsidR="000E4B81" w:rsidRDefault="000E4B81">
          <w:pPr>
            <w:pBdr>
              <w:top w:val="nil"/>
              <w:left w:val="nil"/>
              <w:bottom w:val="nil"/>
              <w:right w:val="nil"/>
              <w:between w:val="nil"/>
            </w:pBdr>
            <w:tabs>
              <w:tab w:val="right" w:leader="dot" w:pos="9350"/>
            </w:tabs>
            <w:spacing w:after="100"/>
            <w:rPr>
              <w:rFonts w:ascii="Calibri" w:eastAsia="Calibri" w:hAnsi="Calibri" w:cs="Calibri"/>
              <w:color w:val="000000"/>
            </w:rPr>
          </w:pPr>
          <w:hyperlink w:anchor="_8yaf187dpne1">
            <w:r>
              <w:rPr>
                <w:color w:val="000000"/>
              </w:rPr>
              <w:t>Recommendations and Conclusion</w:t>
            </w:r>
            <w:r>
              <w:rPr>
                <w:color w:val="000000"/>
              </w:rPr>
              <w:tab/>
              <w:t>15</w:t>
            </w:r>
          </w:hyperlink>
        </w:p>
        <w:p w14:paraId="42A3CF90" w14:textId="77777777" w:rsidR="000E4B81" w:rsidRDefault="000E4B81">
          <w:pPr>
            <w:pBdr>
              <w:top w:val="nil"/>
              <w:left w:val="nil"/>
              <w:bottom w:val="nil"/>
              <w:right w:val="nil"/>
              <w:between w:val="nil"/>
            </w:pBdr>
            <w:tabs>
              <w:tab w:val="right" w:leader="dot" w:pos="9350"/>
            </w:tabs>
            <w:spacing w:after="100"/>
            <w:rPr>
              <w:rFonts w:ascii="Calibri" w:eastAsia="Calibri" w:hAnsi="Calibri" w:cs="Calibri"/>
              <w:color w:val="000000"/>
            </w:rPr>
          </w:pPr>
          <w:hyperlink w:anchor="_kluln0ocv1qq">
            <w:r>
              <w:rPr>
                <w:color w:val="000000"/>
              </w:rPr>
              <w:t>References</w:t>
            </w:r>
            <w:r>
              <w:rPr>
                <w:color w:val="000000"/>
              </w:rPr>
              <w:tab/>
              <w:t>16</w:t>
            </w:r>
          </w:hyperlink>
        </w:p>
        <w:p w14:paraId="215EB1DD" w14:textId="77777777" w:rsidR="000E4B81" w:rsidRDefault="00C9461A">
          <w:r>
            <w:fldChar w:fldCharType="end"/>
          </w:r>
        </w:p>
      </w:sdtContent>
    </w:sdt>
    <w:p w14:paraId="48DA2A00" w14:textId="77777777" w:rsidR="000E4B81" w:rsidRDefault="00C9461A">
      <w:pPr>
        <w:spacing w:line="259" w:lineRule="auto"/>
        <w:jc w:val="left"/>
        <w:rPr>
          <w:b/>
          <w:color w:val="2F5496"/>
          <w:sz w:val="32"/>
          <w:szCs w:val="32"/>
        </w:rPr>
      </w:pPr>
      <w:r>
        <w:br w:type="page"/>
      </w:r>
    </w:p>
    <w:p w14:paraId="748A1D1C" w14:textId="77777777" w:rsidR="000E4B81" w:rsidRDefault="00C9461A">
      <w:pPr>
        <w:pStyle w:val="Heading1"/>
      </w:pPr>
      <w:bookmarkStart w:id="1" w:name="_x0g7gxeh5zdw" w:colFirst="0" w:colLast="0"/>
      <w:bookmarkEnd w:id="1"/>
      <w:r>
        <w:lastRenderedPageBreak/>
        <w:t>Introduction</w:t>
      </w:r>
    </w:p>
    <w:p w14:paraId="718BB693" w14:textId="77777777" w:rsidR="000E4B81" w:rsidRDefault="00C9461A">
      <w:r>
        <w:t>Strategic management enables organisations to adapt to market changes quickly, capitalise on new opportunities, and manage risks. It helps companies align their internal capabilities with external pressures to stay ahead of rivals for a longer period (Rothaermel, 2024). When industries transform, such as the automotive sector, companies require strong strategic management to remain competitive in the long term.</w:t>
      </w:r>
    </w:p>
    <w:p w14:paraId="17E82BE7" w14:textId="77777777" w:rsidR="000E4B81" w:rsidRDefault="00C9461A">
      <w:r>
        <w:t>The UK automotive industry is crucial to the country, generating over £67 billion annually and providing more than 180,000 direct jobs (Placek, 2023). At the same time, banking is being significantly impacted by technological advancements, shifts in laws, changes in consumer preferences for service use, and unpredictable fluctuations in the global economy. The rise of electric vehicles (EVs), greater importance placed on sustainability and digital changes are causing the automotive industry to rethink its approach.</w:t>
      </w:r>
    </w:p>
    <w:p w14:paraId="40E8F231" w14:textId="77777777" w:rsidR="000E4B81" w:rsidRDefault="00C9461A">
      <w:r>
        <w:t>Jaguar Land Rover (JLR) is the largest automaker in the UK and a division of India's Tata Motors. Due to its range of top-of-the-line Jaguar sedans and high-end Land Rover SUVs, the company is active in 120 countries (JLR, 2025). JLR is based in Coventry and has made significant investments in electrification, digital technology, and environmental care, utilising a strategy called "Reimagine".</w:t>
      </w:r>
    </w:p>
    <w:p w14:paraId="43A02142" w14:textId="77777777" w:rsidR="000E4B81" w:rsidRDefault="00C9461A">
      <w:r>
        <w:rPr>
          <w:b/>
        </w:rPr>
        <w:t>Vision:</w:t>
      </w:r>
      <w:r>
        <w:t xml:space="preserve"> To be the creator of the world's most desirable modern luxury vehicles for the most discerning of customers.</w:t>
      </w:r>
    </w:p>
    <w:p w14:paraId="7128CA8C" w14:textId="77777777" w:rsidR="000E4B81" w:rsidRDefault="00C9461A">
      <w:r>
        <w:rPr>
          <w:b/>
        </w:rPr>
        <w:t>Mission:</w:t>
      </w:r>
      <w:r>
        <w:t xml:space="preserve"> To reimagine the future of modern luxury by design through our distinct British brands.</w:t>
      </w:r>
    </w:p>
    <w:p w14:paraId="44EF5A70" w14:textId="77777777" w:rsidR="000E4B81" w:rsidRDefault="00C9461A">
      <w:pPr>
        <w:rPr>
          <w:b/>
        </w:rPr>
      </w:pPr>
      <w:r>
        <w:rPr>
          <w:b/>
        </w:rPr>
        <w:t>Strategic Objectives:</w:t>
      </w:r>
    </w:p>
    <w:tbl>
      <w:tblPr>
        <w:tblStyle w:val="a"/>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202"/>
        <w:gridCol w:w="6148"/>
      </w:tblGrid>
      <w:tr w:rsidR="000E4B81" w14:paraId="304F95D1" w14:textId="77777777" w:rsidTr="000E4B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2" w:type="dxa"/>
          </w:tcPr>
          <w:p w14:paraId="2D6D6503" w14:textId="77777777" w:rsidR="000E4B81" w:rsidRDefault="00C9461A">
            <w:r>
              <w:t>Strategic Objective</w:t>
            </w:r>
          </w:p>
        </w:tc>
        <w:tc>
          <w:tcPr>
            <w:tcW w:w="6148" w:type="dxa"/>
          </w:tcPr>
          <w:p w14:paraId="58C8F443" w14:textId="77777777" w:rsidR="000E4B81" w:rsidRDefault="00C9461A">
            <w:pPr>
              <w:cnfStyle w:val="100000000000" w:firstRow="1" w:lastRow="0" w:firstColumn="0" w:lastColumn="0" w:oddVBand="0" w:evenVBand="0" w:oddHBand="0" w:evenHBand="0" w:firstRowFirstColumn="0" w:firstRowLastColumn="0" w:lastRowFirstColumn="0" w:lastRowLastColumn="0"/>
            </w:pPr>
            <w:r>
              <w:t>Description</w:t>
            </w:r>
          </w:p>
        </w:tc>
      </w:tr>
      <w:tr w:rsidR="000E4B81" w14:paraId="2849D97B" w14:textId="77777777" w:rsidTr="000E4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2" w:type="dxa"/>
          </w:tcPr>
          <w:p w14:paraId="783346D8" w14:textId="77777777" w:rsidR="000E4B81" w:rsidRDefault="00C9461A">
            <w:r>
              <w:rPr>
                <w:b w:val="0"/>
              </w:rPr>
              <w:t>Achieve Net-Zero by 2039</w:t>
            </w:r>
          </w:p>
        </w:tc>
        <w:tc>
          <w:tcPr>
            <w:tcW w:w="6148" w:type="dxa"/>
          </w:tcPr>
          <w:p w14:paraId="6231B717" w14:textId="77777777" w:rsidR="000E4B81" w:rsidRDefault="00C9461A">
            <w:pPr>
              <w:cnfStyle w:val="000000100000" w:firstRow="0" w:lastRow="0" w:firstColumn="0" w:lastColumn="0" w:oddVBand="0" w:evenVBand="0" w:oddHBand="1" w:evenHBand="0" w:firstRowFirstColumn="0" w:firstRowLastColumn="0" w:lastRowFirstColumn="0" w:lastRowLastColumn="0"/>
            </w:pPr>
            <w:r>
              <w:t>Attain carbon neutrality across operations, supply chain, and products.</w:t>
            </w:r>
          </w:p>
        </w:tc>
      </w:tr>
      <w:tr w:rsidR="000E4B81" w14:paraId="6E2FA10D" w14:textId="77777777" w:rsidTr="000E4B81">
        <w:tc>
          <w:tcPr>
            <w:cnfStyle w:val="001000000000" w:firstRow="0" w:lastRow="0" w:firstColumn="1" w:lastColumn="0" w:oddVBand="0" w:evenVBand="0" w:oddHBand="0" w:evenHBand="0" w:firstRowFirstColumn="0" w:firstRowLastColumn="0" w:lastRowFirstColumn="0" w:lastRowLastColumn="0"/>
            <w:tcW w:w="3202" w:type="dxa"/>
          </w:tcPr>
          <w:p w14:paraId="3428FB48" w14:textId="77777777" w:rsidR="000E4B81" w:rsidRDefault="00C9461A">
            <w:r>
              <w:rPr>
                <w:b w:val="0"/>
              </w:rPr>
              <w:t>Launch Electric Jaguar Models by 2025</w:t>
            </w:r>
          </w:p>
        </w:tc>
        <w:tc>
          <w:tcPr>
            <w:tcW w:w="6148" w:type="dxa"/>
          </w:tcPr>
          <w:p w14:paraId="233CCA75" w14:textId="77777777" w:rsidR="000E4B81" w:rsidRDefault="00C9461A">
            <w:pPr>
              <w:cnfStyle w:val="000000000000" w:firstRow="0" w:lastRow="0" w:firstColumn="0" w:lastColumn="0" w:oddVBand="0" w:evenVBand="0" w:oddHBand="0" w:evenHBand="0" w:firstRowFirstColumn="0" w:firstRowLastColumn="0" w:lastRowFirstColumn="0" w:lastRowLastColumn="0"/>
            </w:pPr>
            <w:r>
              <w:t>Introduce a fully electric Jaguar lineup by 2025.</w:t>
            </w:r>
          </w:p>
        </w:tc>
      </w:tr>
      <w:tr w:rsidR="000E4B81" w14:paraId="31A421B0" w14:textId="77777777" w:rsidTr="000E4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2" w:type="dxa"/>
          </w:tcPr>
          <w:p w14:paraId="3442528E" w14:textId="77777777" w:rsidR="000E4B81" w:rsidRDefault="00C9461A">
            <w:r>
              <w:rPr>
                <w:b w:val="0"/>
              </w:rPr>
              <w:t>Digitally Enhance Customer Experience</w:t>
            </w:r>
          </w:p>
        </w:tc>
        <w:tc>
          <w:tcPr>
            <w:tcW w:w="6148" w:type="dxa"/>
          </w:tcPr>
          <w:p w14:paraId="6F65DB8A" w14:textId="77777777" w:rsidR="000E4B81" w:rsidRDefault="00C9461A">
            <w:pPr>
              <w:cnfStyle w:val="000000100000" w:firstRow="0" w:lastRow="0" w:firstColumn="0" w:lastColumn="0" w:oddVBand="0" w:evenVBand="0" w:oddHBand="1" w:evenHBand="0" w:firstRowFirstColumn="0" w:firstRowLastColumn="0" w:lastRowFirstColumn="0" w:lastRowLastColumn="0"/>
            </w:pPr>
            <w:r>
              <w:t>Transform the customer journey with digital retail and connected services (JLR, 2025).</w:t>
            </w:r>
          </w:p>
        </w:tc>
      </w:tr>
      <w:tr w:rsidR="000E4B81" w14:paraId="4FBCD73E" w14:textId="77777777" w:rsidTr="000E4B81">
        <w:tc>
          <w:tcPr>
            <w:cnfStyle w:val="001000000000" w:firstRow="0" w:lastRow="0" w:firstColumn="1" w:lastColumn="0" w:oddVBand="0" w:evenVBand="0" w:oddHBand="0" w:evenHBand="0" w:firstRowFirstColumn="0" w:firstRowLastColumn="0" w:lastRowFirstColumn="0" w:lastRowLastColumn="0"/>
            <w:tcW w:w="3202" w:type="dxa"/>
          </w:tcPr>
          <w:p w14:paraId="00AD2DCA" w14:textId="77777777" w:rsidR="000E4B81" w:rsidRDefault="00C9461A">
            <w:r>
              <w:rPr>
                <w:b w:val="0"/>
              </w:rPr>
              <w:t>Boost Profitability through Innovation</w:t>
            </w:r>
          </w:p>
        </w:tc>
        <w:tc>
          <w:tcPr>
            <w:tcW w:w="6148" w:type="dxa"/>
          </w:tcPr>
          <w:p w14:paraId="0EC2517D" w14:textId="77777777" w:rsidR="000E4B81" w:rsidRDefault="00C9461A">
            <w:pPr>
              <w:cnfStyle w:val="000000000000" w:firstRow="0" w:lastRow="0" w:firstColumn="0" w:lastColumn="0" w:oddVBand="0" w:evenVBand="0" w:oddHBand="0" w:evenHBand="0" w:firstRowFirstColumn="0" w:firstRowLastColumn="0" w:lastRowFirstColumn="0" w:lastRowLastColumn="0"/>
            </w:pPr>
            <w:r>
              <w:t>Enhance efficiency and drive growth through innovation and operational agility.</w:t>
            </w:r>
          </w:p>
        </w:tc>
      </w:tr>
    </w:tbl>
    <w:p w14:paraId="1A9A38A9" w14:textId="77777777" w:rsidR="000E4B81" w:rsidRDefault="000E4B81"/>
    <w:p w14:paraId="297C5FFF" w14:textId="77777777" w:rsidR="000E4B81" w:rsidRDefault="00C9461A">
      <w:r>
        <w:t>The report assesses the challenges facing JLR and provides recommendations to help them succeed in a competitive and rapidly changing automotive industry worldwide.</w:t>
      </w:r>
      <w:r>
        <w:br w:type="page"/>
      </w:r>
    </w:p>
    <w:p w14:paraId="237B80BF" w14:textId="77777777" w:rsidR="000E4B81" w:rsidRDefault="00C9461A">
      <w:pPr>
        <w:pStyle w:val="Heading1"/>
      </w:pPr>
      <w:bookmarkStart w:id="2" w:name="_p1jixihj35w8" w:colFirst="0" w:colLast="0"/>
      <w:bookmarkEnd w:id="2"/>
      <w:r>
        <w:lastRenderedPageBreak/>
        <w:t>Strategy Analysis</w:t>
      </w:r>
    </w:p>
    <w:p w14:paraId="5406E153" w14:textId="77777777" w:rsidR="000E4B81" w:rsidRDefault="00C9461A">
      <w:pPr>
        <w:pStyle w:val="Heading2"/>
      </w:pPr>
      <w:bookmarkStart w:id="3" w:name="_xjop12o1946l" w:colFirst="0" w:colLast="0"/>
      <w:bookmarkEnd w:id="3"/>
      <w:r>
        <w:t xml:space="preserve">External Environment Audit </w:t>
      </w:r>
    </w:p>
    <w:p w14:paraId="26FF0100" w14:textId="77777777" w:rsidR="000E4B81" w:rsidRDefault="00C9461A">
      <w:pPr>
        <w:pStyle w:val="Heading3"/>
      </w:pPr>
      <w:bookmarkStart w:id="4" w:name="_bl02sta6xaz5" w:colFirst="0" w:colLast="0"/>
      <w:bookmarkEnd w:id="4"/>
      <w:r>
        <w:t>PESTLE Analysis</w:t>
      </w:r>
    </w:p>
    <w:p w14:paraId="1FD61A4B" w14:textId="77777777" w:rsidR="000E4B81" w:rsidRDefault="00C9461A">
      <w:r>
        <w:rPr>
          <w:b/>
        </w:rPr>
        <w:t>Political:</w:t>
      </w:r>
      <w:r>
        <w:t xml:space="preserve"> Jaguar Land Rover's commitment to moving to electric vehicles in 2030 is in line with the UK government's strategy to not sell petrol or diesel versions from 2035. This enables electric vehicle (EV) sales to rise over the long term. As a result of Brexit, trading has become more challenging due to increased paperwork and longer customs checks. Since more than 80% of JLR's vehicles are exported, these delays have a significant impact on the company's profits (The Strategy Story, 2023). While government incentives encourage more people to switch to EVs, they may be cut as a result of budget tightening.</w:t>
      </w:r>
    </w:p>
    <w:p w14:paraId="73BB790C" w14:textId="77777777" w:rsidR="000E4B81" w:rsidRDefault="00C9461A">
      <w:r>
        <w:rPr>
          <w:b/>
        </w:rPr>
        <w:t>Economic:</w:t>
      </w:r>
      <w:r>
        <w:t xml:space="preserve"> Inflation is occurring in the UK, with a rate of 3.2% for the first quarter of 2025. The rising cost of living is prompting people to seek more affordable vehicles. Due to the global semiconductor shortage, the company's wholesale volumes decreased by 36% in 2022 (</w:t>
      </w:r>
      <w:proofErr w:type="spellStart"/>
      <w:r>
        <w:t>Tran.T</w:t>
      </w:r>
      <w:proofErr w:type="spellEnd"/>
      <w:r>
        <w:t>, 2024). Although the situation has improved, problems continue to occur in the supply chain. Since the value of the pound fluctuated after Brexit, import prices have increased, adding strain to company revenues.</w:t>
      </w:r>
    </w:p>
    <w:p w14:paraId="7A1FBE56" w14:textId="77777777" w:rsidR="000E4B81" w:rsidRDefault="00C9461A">
      <w:r>
        <w:rPr>
          <w:b/>
        </w:rPr>
        <w:t>Social:</w:t>
      </w:r>
      <w:r>
        <w:t xml:space="preserve"> Considering the environment has become very important to millennial and Gen Z shoppers. Companies with a strong environmental focus are more attractive to these groups. The Range Rover brand from JLR gets support from the continued sales success of luxury SUVs in the UK, US and China. The increasing popularity of city living has led people to prefer compact electric vehicles (EVs). Furthermore, buying cars online has become common, as 25% of UK buyers now make their purchases that way.</w:t>
      </w:r>
    </w:p>
    <w:p w14:paraId="2ED5E88C" w14:textId="77777777" w:rsidR="000E4B81" w:rsidRDefault="00C9461A">
      <w:r>
        <w:rPr>
          <w:b/>
        </w:rPr>
        <w:t>Technological:</w:t>
      </w:r>
      <w:r>
        <w:t xml:space="preserve"> The auto industry is being reshaped by revolutionary improvements in batteries, AI and autonomous driving. By adopting Nvidia's DRIVE Hyperion, JLR aims to introduce new levels of driver assistance technology to its vehicles. Gaining communicative ability through a Software-Defined Vehicle (SDV) architecture enables updates to be sent to vehicles over the air (</w:t>
      </w:r>
      <w:proofErr w:type="spellStart"/>
      <w:r>
        <w:t>Tran.T</w:t>
      </w:r>
      <w:proofErr w:type="spellEnd"/>
      <w:r>
        <w:t>, 2024). Besides its electric cars, JLR is also studying the use of hydrogen fuel cell technology.</w:t>
      </w:r>
    </w:p>
    <w:p w14:paraId="5F470DB6" w14:textId="77777777" w:rsidR="000E4B81" w:rsidRDefault="00C9461A">
      <w:pPr>
        <w:rPr>
          <w:b/>
        </w:rPr>
      </w:pPr>
      <w:r>
        <w:rPr>
          <w:b/>
        </w:rPr>
        <w:lastRenderedPageBreak/>
        <w:t xml:space="preserve">Legal: </w:t>
      </w:r>
      <w:r>
        <w:t>Carbon emissions rules have been made stricter for cars in both the UK and the EU (Williams, 2020). To ensure compliance, JLR will need to reimagine its vehicle lineup and invest in cleaner technology. If targets are not met, utilities might face financial penalisations. Factories must comply with both employment laws and workplace safety requirements when utilising automation, which can be challenging due to the varying rules across different regions.</w:t>
      </w:r>
    </w:p>
    <w:p w14:paraId="43E5EA90" w14:textId="77777777" w:rsidR="000E4B81" w:rsidRDefault="00C9461A">
      <w:r>
        <w:rPr>
          <w:b/>
        </w:rPr>
        <w:t>Environmental:</w:t>
      </w:r>
      <w:r>
        <w:t xml:space="preserve"> The industry is being asked to reduce emissions, as transport accounts for nearly 14% of the UK's greenhouse gases. JLR has promised to be net-zero carbon by 2039. Apple is backing green energy, eco-friendly factory processes and careful sourcing of items like lithium and cobalt. Because of how people and groups are focusing on these issues, companies are expected to act responsibly and transparently in their supplies (Williams and Blyth, 2023).</w:t>
      </w:r>
      <w:r>
        <w:rPr>
          <w:noProof/>
        </w:rPr>
        <w:drawing>
          <wp:anchor distT="0" distB="0" distL="114300" distR="114300" simplePos="0" relativeHeight="251659264" behindDoc="0" locked="0" layoutInCell="1" hidden="0" allowOverlap="1" wp14:anchorId="1D6CA06E" wp14:editId="6B534CA9">
            <wp:simplePos x="0" y="0"/>
            <wp:positionH relativeFrom="column">
              <wp:posOffset>335279</wp:posOffset>
            </wp:positionH>
            <wp:positionV relativeFrom="paragraph">
              <wp:posOffset>1813560</wp:posOffset>
            </wp:positionV>
            <wp:extent cx="5543550" cy="1844675"/>
            <wp:effectExtent l="0" t="0" r="0" b="0"/>
            <wp:wrapTopAndBottom distT="0" dist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543550" cy="1844675"/>
                    </a:xfrm>
                    <a:prstGeom prst="rect">
                      <a:avLst/>
                    </a:prstGeom>
                    <a:ln/>
                  </pic:spPr>
                </pic:pic>
              </a:graphicData>
            </a:graphic>
          </wp:anchor>
        </w:drawing>
      </w:r>
      <w:r>
        <w:rPr>
          <w:noProof/>
        </w:rPr>
        <mc:AlternateContent>
          <mc:Choice Requires="wps">
            <w:drawing>
              <wp:anchor distT="0" distB="0" distL="114300" distR="114300" simplePos="0" relativeHeight="251660288" behindDoc="0" locked="0" layoutInCell="1" hidden="0" allowOverlap="1" wp14:anchorId="75B0F224" wp14:editId="20464DEF">
                <wp:simplePos x="0" y="0"/>
                <wp:positionH relativeFrom="column">
                  <wp:posOffset>200025</wp:posOffset>
                </wp:positionH>
                <wp:positionV relativeFrom="paragraph">
                  <wp:posOffset>3833495</wp:posOffset>
                </wp:positionV>
                <wp:extent cx="5543550" cy="635"/>
                <wp:effectExtent l="0" t="0" r="0" b="0"/>
                <wp:wrapTopAndBottom distT="0" distB="0"/>
                <wp:docPr id="1" name="Text Box 1"/>
                <wp:cNvGraphicFramePr/>
                <a:graphic xmlns:a="http://schemas.openxmlformats.org/drawingml/2006/main">
                  <a:graphicData uri="http://schemas.microsoft.com/office/word/2010/wordprocessingShape">
                    <wps:wsp>
                      <wps:cNvSpPr txBox="1"/>
                      <wps:spPr>
                        <a:xfrm>
                          <a:off x="0" y="0"/>
                          <a:ext cx="5543550" cy="635"/>
                        </a:xfrm>
                        <a:prstGeom prst="rect">
                          <a:avLst/>
                        </a:prstGeom>
                        <a:solidFill>
                          <a:prstClr val="white"/>
                        </a:solidFill>
                        <a:ln>
                          <a:noFill/>
                        </a:ln>
                      </wps:spPr>
                      <wps:txbx>
                        <w:txbxContent>
                          <w:p w14:paraId="72C12881" w14:textId="77777777" w:rsidR="00362058" w:rsidRPr="00D464C8" w:rsidRDefault="00C9461A" w:rsidP="00D464C8">
                            <w:pPr>
                              <w:jc w:val="center"/>
                              <w:rPr>
                                <w:b/>
                                <w:bCs/>
                                <w:noProof/>
                                <w:sz w:val="28"/>
                                <w:szCs w:val="20"/>
                              </w:rPr>
                            </w:pPr>
                            <w:r w:rsidRPr="00D464C8">
                              <w:rPr>
                                <w:b/>
                                <w:bCs/>
                                <w:sz w:val="20"/>
                                <w:szCs w:val="20"/>
                              </w:rPr>
                              <w:t xml:space="preserve">Figure </w:t>
                            </w:r>
                            <w:r w:rsidRPr="00D464C8">
                              <w:rPr>
                                <w:b/>
                                <w:bCs/>
                                <w:sz w:val="20"/>
                                <w:szCs w:val="20"/>
                              </w:rPr>
                              <w:fldChar w:fldCharType="begin"/>
                            </w:r>
                            <w:r w:rsidRPr="00D464C8">
                              <w:rPr>
                                <w:b/>
                                <w:bCs/>
                                <w:sz w:val="20"/>
                                <w:szCs w:val="20"/>
                              </w:rPr>
                              <w:instrText xml:space="preserve"> SEQ Figure \* ARABIC </w:instrText>
                            </w:r>
                            <w:r w:rsidRPr="00D464C8">
                              <w:rPr>
                                <w:b/>
                                <w:bCs/>
                                <w:sz w:val="20"/>
                                <w:szCs w:val="20"/>
                              </w:rPr>
                              <w:fldChar w:fldCharType="separate"/>
                            </w:r>
                            <w:r>
                              <w:rPr>
                                <w:b/>
                                <w:bCs/>
                                <w:noProof/>
                                <w:sz w:val="20"/>
                                <w:szCs w:val="20"/>
                              </w:rPr>
                              <w:t>1</w:t>
                            </w:r>
                            <w:r w:rsidRPr="00D464C8">
                              <w:rPr>
                                <w:b/>
                                <w:bCs/>
                                <w:sz w:val="20"/>
                                <w:szCs w:val="20"/>
                              </w:rPr>
                              <w:fldChar w:fldCharType="end"/>
                            </w:r>
                            <w:r w:rsidRPr="00D464C8">
                              <w:rPr>
                                <w:b/>
                                <w:bCs/>
                                <w:sz w:val="20"/>
                                <w:szCs w:val="20"/>
                              </w:rPr>
                              <w:t xml:space="preserve"> PESTLE Analysis (Washington State University,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B0F224" id="_x0000_t202" coordsize="21600,21600" o:spt="202" path="m,l,21600r21600,l21600,xe">
                <v:stroke joinstyle="miter"/>
                <v:path gradientshapeok="t" o:connecttype="rect"/>
              </v:shapetype>
              <v:shape id="Text Box 1" o:spid="_x0000_s1026" type="#_x0000_t202" style="position:absolute;left:0;text-align:left;margin-left:15.75pt;margin-top:301.85pt;width:436.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5iOFQIAADgEAAAOAAAAZHJzL2Uyb0RvYy54bWysU8Fu2zAMvQ/YPwi6L07apRi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cfb+Z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" stroked="f">
                <v:textbox style="mso-fit-shape-to-text:t" inset="0,0,0,0">
                  <w:txbxContent>
                    <w:p w14:paraId="72C12881" w14:textId="77777777" w:rsidR="00000000" w:rsidRPr="00D464C8" w:rsidRDefault="00000000" w:rsidP="00D464C8">
                      <w:pPr>
                        <w:jc w:val="center"/>
                        <w:rPr>
                          <w:b/>
                          <w:bCs/>
                          <w:noProof/>
                          <w:sz w:val="28"/>
                          <w:szCs w:val="20"/>
                        </w:rPr>
                      </w:pPr>
                      <w:r w:rsidRPr="00D464C8">
                        <w:rPr>
                          <w:b/>
                          <w:bCs/>
                          <w:sz w:val="20"/>
                          <w:szCs w:val="20"/>
                        </w:rPr>
                        <w:t xml:space="preserve">Figure </w:t>
                      </w:r>
                      <w:r w:rsidRPr="00D464C8">
                        <w:rPr>
                          <w:b/>
                          <w:bCs/>
                          <w:sz w:val="20"/>
                          <w:szCs w:val="20"/>
                        </w:rPr>
                        <w:fldChar w:fldCharType="begin"/>
                      </w:r>
                      <w:r w:rsidRPr="00D464C8">
                        <w:rPr>
                          <w:b/>
                          <w:bCs/>
                          <w:sz w:val="20"/>
                          <w:szCs w:val="20"/>
                        </w:rPr>
                        <w:instrText xml:space="preserve"> SEQ Figure \* ARABIC </w:instrText>
                      </w:r>
                      <w:r w:rsidRPr="00D464C8">
                        <w:rPr>
                          <w:b/>
                          <w:bCs/>
                          <w:sz w:val="20"/>
                          <w:szCs w:val="20"/>
                        </w:rPr>
                        <w:fldChar w:fldCharType="separate"/>
                      </w:r>
                      <w:r>
                        <w:rPr>
                          <w:b/>
                          <w:bCs/>
                          <w:noProof/>
                          <w:sz w:val="20"/>
                          <w:szCs w:val="20"/>
                        </w:rPr>
                        <w:t>1</w:t>
                      </w:r>
                      <w:r w:rsidRPr="00D464C8">
                        <w:rPr>
                          <w:b/>
                          <w:bCs/>
                          <w:sz w:val="20"/>
                          <w:szCs w:val="20"/>
                        </w:rPr>
                        <w:fldChar w:fldCharType="end"/>
                      </w:r>
                      <w:r w:rsidRPr="00D464C8">
                        <w:rPr>
                          <w:b/>
                          <w:bCs/>
                          <w:sz w:val="20"/>
                          <w:szCs w:val="20"/>
                        </w:rPr>
                        <w:t xml:space="preserve"> PESTLE Analysis (Washington State University, 2025)</w:t>
                      </w:r>
                    </w:p>
                  </w:txbxContent>
                </v:textbox>
                <w10:wrap type="topAndBottom"/>
              </v:shape>
            </w:pict>
          </mc:Fallback>
        </mc:AlternateContent>
      </w:r>
    </w:p>
    <w:p w14:paraId="66648248" w14:textId="77777777" w:rsidR="000E4B81" w:rsidRDefault="00C9461A">
      <w:pPr>
        <w:pStyle w:val="Heading3"/>
      </w:pPr>
      <w:bookmarkStart w:id="5" w:name="_54mgeyiwo5us" w:colFirst="0" w:colLast="0"/>
      <w:bookmarkEnd w:id="5"/>
      <w:r>
        <w:t>Porter’s Five Forces</w:t>
      </w:r>
    </w:p>
    <w:p w14:paraId="38E6FA8B" w14:textId="77777777" w:rsidR="000E4B81" w:rsidRDefault="00C9461A">
      <w:r>
        <w:rPr>
          <w:b/>
        </w:rPr>
        <w:t>Competitive Rivalry (High):</w:t>
      </w:r>
      <w:r>
        <w:t xml:space="preserve"> JLR must contend with global competitors, including BMW, Mercedes-Benz, and Audi, as well as emerging electric vehicle (EV) companies such as Tesla and Lucid. The heavy investment in innovation by these competitors forces JLR to keep evolving. Market share can be maintained by making products unique, being sustainable and adding digital benefits. Improvements in electric vehicles (EVs) and computer systems are driving increased competition among companies.</w:t>
      </w:r>
    </w:p>
    <w:p w14:paraId="1026800A" w14:textId="77777777" w:rsidR="000E4B81" w:rsidRDefault="00C9461A">
      <w:r>
        <w:rPr>
          <w:b/>
        </w:rPr>
        <w:lastRenderedPageBreak/>
        <w:t>Threat of New Entrants (Moderate):</w:t>
      </w:r>
      <w:r>
        <w:t xml:space="preserve"> It is challenging for many new firms to enter the market due to the need for substantial capital, complex regulations, and strong customer loyalty to established businesses (Farooq, 2024). At the same time, new electric vehicle companies like Rivian, BYD, and NIO are making progress with the support of the government and innovative new technologies. Because technology and connectivity are central, companies in the tech field are now entering the market, making it harder for major carmakers to stay ahead.</w:t>
      </w:r>
    </w:p>
    <w:p w14:paraId="300AB56F" w14:textId="77777777" w:rsidR="000E4B81" w:rsidRDefault="00C9461A">
      <w:r>
        <w:rPr>
          <w:b/>
        </w:rPr>
        <w:t>Bargaining Power of Suppliers (Moderate to High):</w:t>
      </w:r>
      <w:r>
        <w:t xml:space="preserve"> The high demand for semiconductors, batteries and high-tech components has led to suppliers gaining more power (Lynch, 2018). It was the global chip shortage that highlighted this connection. Even as JLR tries to control production and engage in partnerships, suppliers are still able to influence the company over the short term.</w:t>
      </w:r>
    </w:p>
    <w:p w14:paraId="25DF26D6" w14:textId="77777777" w:rsidR="000E4B81" w:rsidRDefault="00C9461A">
      <w:r>
        <w:rPr>
          <w:b/>
        </w:rPr>
        <w:t>Bargaining Power of Buyers (High):</w:t>
      </w:r>
      <w:r>
        <w:t xml:space="preserve"> Individuals who purchase luxury products seek out quality, innovative ideas, and environmentally friendly options. A wide range of brands, combined with the ability to compare prices online, has given consumers more control over their shopping (Candelo, 2019). A good brand reputation and selection of customisation choices lead to customers staying loyal and paying more.</w:t>
      </w:r>
    </w:p>
    <w:p w14:paraId="7CE1AC77" w14:textId="77777777" w:rsidR="000E4B81" w:rsidRDefault="00C9461A">
      <w:r>
        <w:rPr>
          <w:noProof/>
        </w:rPr>
        <w:drawing>
          <wp:anchor distT="0" distB="0" distL="114300" distR="114300" simplePos="0" relativeHeight="251661312" behindDoc="0" locked="0" layoutInCell="1" hidden="0" allowOverlap="1" wp14:anchorId="4428913B" wp14:editId="6358623E">
            <wp:simplePos x="0" y="0"/>
            <wp:positionH relativeFrom="margin">
              <wp:align>center</wp:align>
            </wp:positionH>
            <wp:positionV relativeFrom="margin">
              <wp:posOffset>5757545</wp:posOffset>
            </wp:positionV>
            <wp:extent cx="5067300" cy="2292350"/>
            <wp:effectExtent l="0" t="0" r="0" b="0"/>
            <wp:wrapTopAndBottom distT="0" dist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67300" cy="2292350"/>
                    </a:xfrm>
                    <a:prstGeom prst="rect">
                      <a:avLst/>
                    </a:prstGeom>
                    <a:ln/>
                  </pic:spPr>
                </pic:pic>
              </a:graphicData>
            </a:graphic>
          </wp:anchor>
        </w:drawing>
      </w:r>
      <w:r>
        <w:rPr>
          <w:b/>
        </w:rPr>
        <w:t>Threat of Substitutes (Moderate):</w:t>
      </w:r>
      <w:r>
        <w:t xml:space="preserve"> Alternatives to owning a car, such as numerous public buses, scooter-sharing, and ride-sharing apps, are popular in cities. While luxury vehicles will still retain their appeal, they can also influence the spending habits of younger individuals in the future.</w:t>
      </w:r>
      <w:r>
        <w:rPr>
          <w:noProof/>
        </w:rPr>
        <mc:AlternateContent>
          <mc:Choice Requires="wps">
            <w:drawing>
              <wp:anchor distT="0" distB="0" distL="114300" distR="114300" simplePos="0" relativeHeight="251662336" behindDoc="0" locked="0" layoutInCell="1" hidden="0" allowOverlap="1" wp14:anchorId="50BDCE3F" wp14:editId="1C9E2C0B">
                <wp:simplePos x="0" y="0"/>
                <wp:positionH relativeFrom="column">
                  <wp:posOffset>438150</wp:posOffset>
                </wp:positionH>
                <wp:positionV relativeFrom="paragraph">
                  <wp:posOffset>3180080</wp:posOffset>
                </wp:positionV>
                <wp:extent cx="5067300" cy="635"/>
                <wp:effectExtent l="0" t="0" r="0" b="0"/>
                <wp:wrapTopAndBottom distT="0" distB="0"/>
                <wp:docPr id="4" name="Text Box 4"/>
                <wp:cNvGraphicFramePr/>
                <a:graphic xmlns:a="http://schemas.openxmlformats.org/drawingml/2006/main">
                  <a:graphicData uri="http://schemas.microsoft.com/office/word/2010/wordprocessingShape">
                    <wps:wsp>
                      <wps:cNvSpPr txBox="1"/>
                      <wps:spPr>
                        <a:xfrm>
                          <a:off x="0" y="0"/>
                          <a:ext cx="5067300" cy="635"/>
                        </a:xfrm>
                        <a:prstGeom prst="rect">
                          <a:avLst/>
                        </a:prstGeom>
                        <a:solidFill>
                          <a:prstClr val="white"/>
                        </a:solidFill>
                        <a:ln>
                          <a:noFill/>
                        </a:ln>
                      </wps:spPr>
                      <wps:txbx>
                        <w:txbxContent>
                          <w:p w14:paraId="4A135B2B" w14:textId="77777777" w:rsidR="00362058" w:rsidRPr="00D464C8" w:rsidRDefault="00C9461A" w:rsidP="00D464C8">
                            <w:pPr>
                              <w:jc w:val="center"/>
                              <w:rPr>
                                <w:b/>
                                <w:bCs/>
                                <w:noProof/>
                                <w:sz w:val="28"/>
                                <w:szCs w:val="20"/>
                              </w:rPr>
                            </w:pPr>
                            <w:r w:rsidRPr="00D464C8">
                              <w:rPr>
                                <w:b/>
                                <w:bCs/>
                                <w:sz w:val="20"/>
                                <w:szCs w:val="20"/>
                              </w:rPr>
                              <w:t xml:space="preserve">Figure </w:t>
                            </w:r>
                            <w:r w:rsidRPr="00D464C8">
                              <w:rPr>
                                <w:b/>
                                <w:bCs/>
                                <w:sz w:val="20"/>
                                <w:szCs w:val="20"/>
                              </w:rPr>
                              <w:fldChar w:fldCharType="begin"/>
                            </w:r>
                            <w:r w:rsidRPr="00D464C8">
                              <w:rPr>
                                <w:b/>
                                <w:bCs/>
                                <w:sz w:val="20"/>
                                <w:szCs w:val="20"/>
                              </w:rPr>
                              <w:instrText xml:space="preserve"> SEQ Figure \* ARABIC </w:instrText>
                            </w:r>
                            <w:r w:rsidRPr="00D464C8">
                              <w:rPr>
                                <w:b/>
                                <w:bCs/>
                                <w:sz w:val="20"/>
                                <w:szCs w:val="20"/>
                              </w:rPr>
                              <w:fldChar w:fldCharType="separate"/>
                            </w:r>
                            <w:r>
                              <w:rPr>
                                <w:b/>
                                <w:bCs/>
                                <w:noProof/>
                                <w:sz w:val="20"/>
                                <w:szCs w:val="20"/>
                              </w:rPr>
                              <w:t>2</w:t>
                            </w:r>
                            <w:r w:rsidRPr="00D464C8">
                              <w:rPr>
                                <w:b/>
                                <w:bCs/>
                                <w:sz w:val="20"/>
                                <w:szCs w:val="20"/>
                              </w:rPr>
                              <w:fldChar w:fldCharType="end"/>
                            </w:r>
                            <w:r w:rsidRPr="00D464C8">
                              <w:rPr>
                                <w:b/>
                                <w:bCs/>
                                <w:sz w:val="20"/>
                                <w:szCs w:val="20"/>
                              </w:rPr>
                              <w:t xml:space="preserve"> Porter’s Five Forces (The Strategy Institute,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BDCE3F" id="Text Box 4" o:spid="_x0000_s1027" type="#_x0000_t202" style="position:absolute;left:0;text-align:left;margin-left:34.5pt;margin-top:250.4pt;width:399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" stroked="f">
                <v:textbox style="mso-fit-shape-to-text:t" inset="0,0,0,0">
                  <w:txbxContent>
                    <w:p w14:paraId="4A135B2B" w14:textId="77777777" w:rsidR="00000000" w:rsidRPr="00D464C8" w:rsidRDefault="00000000" w:rsidP="00D464C8">
                      <w:pPr>
                        <w:jc w:val="center"/>
                        <w:rPr>
                          <w:b/>
                          <w:bCs/>
                          <w:noProof/>
                          <w:sz w:val="28"/>
                          <w:szCs w:val="20"/>
                        </w:rPr>
                      </w:pPr>
                      <w:r w:rsidRPr="00D464C8">
                        <w:rPr>
                          <w:b/>
                          <w:bCs/>
                          <w:sz w:val="20"/>
                          <w:szCs w:val="20"/>
                        </w:rPr>
                        <w:t xml:space="preserve">Figure </w:t>
                      </w:r>
                      <w:r w:rsidRPr="00D464C8">
                        <w:rPr>
                          <w:b/>
                          <w:bCs/>
                          <w:sz w:val="20"/>
                          <w:szCs w:val="20"/>
                        </w:rPr>
                        <w:fldChar w:fldCharType="begin"/>
                      </w:r>
                      <w:r w:rsidRPr="00D464C8">
                        <w:rPr>
                          <w:b/>
                          <w:bCs/>
                          <w:sz w:val="20"/>
                          <w:szCs w:val="20"/>
                        </w:rPr>
                        <w:instrText xml:space="preserve"> SEQ Figure \* ARABIC </w:instrText>
                      </w:r>
                      <w:r w:rsidRPr="00D464C8">
                        <w:rPr>
                          <w:b/>
                          <w:bCs/>
                          <w:sz w:val="20"/>
                          <w:szCs w:val="20"/>
                        </w:rPr>
                        <w:fldChar w:fldCharType="separate"/>
                      </w:r>
                      <w:r>
                        <w:rPr>
                          <w:b/>
                          <w:bCs/>
                          <w:noProof/>
                          <w:sz w:val="20"/>
                          <w:szCs w:val="20"/>
                        </w:rPr>
                        <w:t>2</w:t>
                      </w:r>
                      <w:r w:rsidRPr="00D464C8">
                        <w:rPr>
                          <w:b/>
                          <w:bCs/>
                          <w:sz w:val="20"/>
                          <w:szCs w:val="20"/>
                        </w:rPr>
                        <w:fldChar w:fldCharType="end"/>
                      </w:r>
                      <w:r w:rsidRPr="00D464C8">
                        <w:rPr>
                          <w:b/>
                          <w:bCs/>
                          <w:sz w:val="20"/>
                          <w:szCs w:val="20"/>
                        </w:rPr>
                        <w:t xml:space="preserve"> Porter’s Five Forces (The Strategy Institute, 2024)</w:t>
                      </w:r>
                    </w:p>
                  </w:txbxContent>
                </v:textbox>
                <w10:wrap type="topAndBottom"/>
              </v:shape>
            </w:pict>
          </mc:Fallback>
        </mc:AlternateContent>
      </w:r>
    </w:p>
    <w:p w14:paraId="78A2516E" w14:textId="77777777" w:rsidR="000E4B81" w:rsidRPr="00004CB5" w:rsidRDefault="00C9461A">
      <w:pPr>
        <w:pStyle w:val="Heading2"/>
        <w:rPr>
          <w:lang w:val="fr-FR"/>
        </w:rPr>
      </w:pPr>
      <w:bookmarkStart w:id="6" w:name="_7lg4c22796vg" w:colFirst="0" w:colLast="0"/>
      <w:bookmarkEnd w:id="6"/>
      <w:proofErr w:type="spellStart"/>
      <w:r w:rsidRPr="00004CB5">
        <w:rPr>
          <w:lang w:val="fr-FR"/>
        </w:rPr>
        <w:lastRenderedPageBreak/>
        <w:t>Internal</w:t>
      </w:r>
      <w:proofErr w:type="spellEnd"/>
      <w:r w:rsidRPr="00004CB5">
        <w:rPr>
          <w:lang w:val="fr-FR"/>
        </w:rPr>
        <w:t xml:space="preserve"> </w:t>
      </w:r>
      <w:proofErr w:type="spellStart"/>
      <w:r w:rsidRPr="00004CB5">
        <w:rPr>
          <w:lang w:val="fr-FR"/>
        </w:rPr>
        <w:t>Environment</w:t>
      </w:r>
      <w:proofErr w:type="spellEnd"/>
      <w:r w:rsidRPr="00004CB5">
        <w:rPr>
          <w:lang w:val="fr-FR"/>
        </w:rPr>
        <w:t xml:space="preserve"> Audit</w:t>
      </w:r>
    </w:p>
    <w:p w14:paraId="061AE113" w14:textId="77777777" w:rsidR="000E4B81" w:rsidRPr="00004CB5" w:rsidRDefault="00C9461A">
      <w:pPr>
        <w:pStyle w:val="Heading3"/>
        <w:rPr>
          <w:lang w:val="fr-FR"/>
        </w:rPr>
      </w:pPr>
      <w:bookmarkStart w:id="7" w:name="_q5eyjkhx8skx" w:colFirst="0" w:colLast="0"/>
      <w:bookmarkEnd w:id="7"/>
      <w:r w:rsidRPr="00004CB5">
        <w:rPr>
          <w:lang w:val="fr-FR"/>
        </w:rPr>
        <w:t xml:space="preserve">Value Chain </w:t>
      </w:r>
      <w:proofErr w:type="spellStart"/>
      <w:r w:rsidRPr="00004CB5">
        <w:rPr>
          <w:lang w:val="fr-FR"/>
        </w:rPr>
        <w:t>Analysis</w:t>
      </w:r>
      <w:proofErr w:type="spellEnd"/>
    </w:p>
    <w:p w14:paraId="50394FF9" w14:textId="77777777" w:rsidR="000E4B81" w:rsidRDefault="00C9461A">
      <w:r>
        <w:rPr>
          <w:b/>
        </w:rPr>
        <w:t>Inbound Logistics:</w:t>
      </w:r>
      <w:r>
        <w:t xml:space="preserve"> JLR uses a well-connected supply chain to get parts from around the globe. However, the company is at risk since it relies heavily on external sources for its semiconductors and battery cells (Kim, Yoo and Byeon, 2019). JLR is utilising strategic supplier relationships and producing many components closer to home.</w:t>
      </w:r>
    </w:p>
    <w:p w14:paraId="41BDD488" w14:textId="77777777" w:rsidR="000E4B81" w:rsidRDefault="00C9461A">
      <w:r>
        <w:rPr>
          <w:b/>
        </w:rPr>
        <w:t>Operations:</w:t>
      </w:r>
      <w:r>
        <w:t xml:space="preserve"> JLR has advanced factories in Solihull, Castle Bromwich and Halewood. To ensure efficient production, the company switched to Modular Longitudinal Architecture (MLA) for ICE and EV models. Using this method, organisations experience fewer interruptions and a smoother transition to new operations.</w:t>
      </w:r>
    </w:p>
    <w:p w14:paraId="2A8F2D6A" w14:textId="77777777" w:rsidR="000E4B81" w:rsidRDefault="00C9461A">
      <w:r>
        <w:rPr>
          <w:b/>
        </w:rPr>
        <w:t>Outbound Logistics:</w:t>
      </w:r>
      <w:r>
        <w:t xml:space="preserve"> Approximately 80% of JLR's products are shipped to more than 120 locations, indicating strong logistics and distribution practices. Leveraging railway and seaport transport improves both the environment and costs, but shipments are still delayed by border control and worldwide challenges in freight (Winkelhake, 2025).</w:t>
      </w:r>
    </w:p>
    <w:p w14:paraId="51CE0456" w14:textId="77777777" w:rsidR="000E4B81" w:rsidRDefault="00C9461A">
      <w:r>
        <w:rPr>
          <w:b/>
        </w:rPr>
        <w:t>Marketing and Sales:</w:t>
      </w:r>
      <w:r>
        <w:t xml:space="preserve"> The company promotes its heritage and luxury branding through luxurious advertisements and collaborations with well-known influencers. The company now utilises online tools and virtual showrooms, offering sales directly to customers as part of its digital retail shift. Models are implemented to enhance customer interaction and foster loyalty to a business.</w:t>
      </w:r>
    </w:p>
    <w:p w14:paraId="6789465C" w14:textId="77777777" w:rsidR="000E4B81" w:rsidRDefault="00C9461A">
      <w:r>
        <w:rPr>
          <w:b/>
        </w:rPr>
        <w:t>Services:</w:t>
      </w:r>
      <w:r>
        <w:t xml:space="preserve"> Post-sale services are provided through the JLR InControl platform, which offers live vehicle health reporting, remote operation, and navigation support. The business is working on increasing customer lifelong value by providing subscriptions and updating the software used in vehicles.</w:t>
      </w:r>
    </w:p>
    <w:p w14:paraId="185D1F93" w14:textId="77777777" w:rsidR="000E4B81" w:rsidRDefault="00C9461A">
      <w:r>
        <w:rPr>
          <w:noProof/>
        </w:rPr>
        <w:lastRenderedPageBreak/>
        <w:drawing>
          <wp:anchor distT="0" distB="0" distL="114300" distR="114300" simplePos="0" relativeHeight="251663360" behindDoc="0" locked="0" layoutInCell="1" hidden="0" allowOverlap="1" wp14:anchorId="7B0C5DB6" wp14:editId="24740668">
            <wp:simplePos x="0" y="0"/>
            <wp:positionH relativeFrom="column">
              <wp:posOffset>215900</wp:posOffset>
            </wp:positionH>
            <wp:positionV relativeFrom="paragraph">
              <wp:posOffset>0</wp:posOffset>
            </wp:positionV>
            <wp:extent cx="5511800" cy="2533650"/>
            <wp:effectExtent l="0" t="0" r="0" b="0"/>
            <wp:wrapTopAndBottom distT="0" dist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511800" cy="2533650"/>
                    </a:xfrm>
                    <a:prstGeom prst="rect">
                      <a:avLst/>
                    </a:prstGeom>
                    <a:ln/>
                  </pic:spPr>
                </pic:pic>
              </a:graphicData>
            </a:graphic>
          </wp:anchor>
        </w:drawing>
      </w:r>
      <w:r>
        <w:rPr>
          <w:noProof/>
        </w:rPr>
        <mc:AlternateContent>
          <mc:Choice Requires="wps">
            <w:drawing>
              <wp:anchor distT="0" distB="0" distL="114300" distR="114300" simplePos="0" relativeHeight="251664384" behindDoc="0" locked="0" layoutInCell="1" hidden="0" allowOverlap="1" wp14:anchorId="12267DDB" wp14:editId="69B6E544">
                <wp:simplePos x="0" y="0"/>
                <wp:positionH relativeFrom="column">
                  <wp:posOffset>215900</wp:posOffset>
                </wp:positionH>
                <wp:positionV relativeFrom="paragraph">
                  <wp:posOffset>2659380</wp:posOffset>
                </wp:positionV>
                <wp:extent cx="5511800" cy="635"/>
                <wp:effectExtent l="0" t="0" r="0" b="0"/>
                <wp:wrapTopAndBottom distT="0" distB="0"/>
                <wp:docPr id="3" name="Text Box 3"/>
                <wp:cNvGraphicFramePr/>
                <a:graphic xmlns:a="http://schemas.openxmlformats.org/drawingml/2006/main">
                  <a:graphicData uri="http://schemas.microsoft.com/office/word/2010/wordprocessingShape">
                    <wps:wsp>
                      <wps:cNvSpPr txBox="1"/>
                      <wps:spPr>
                        <a:xfrm>
                          <a:off x="0" y="0"/>
                          <a:ext cx="5511800" cy="635"/>
                        </a:xfrm>
                        <a:prstGeom prst="rect">
                          <a:avLst/>
                        </a:prstGeom>
                        <a:solidFill>
                          <a:prstClr val="white"/>
                        </a:solidFill>
                        <a:ln>
                          <a:noFill/>
                        </a:ln>
                      </wps:spPr>
                      <wps:txbx>
                        <w:txbxContent>
                          <w:p w14:paraId="29EB8CC7" w14:textId="77777777" w:rsidR="00362058" w:rsidRPr="00D464C8" w:rsidRDefault="00C9461A" w:rsidP="00D464C8">
                            <w:pPr>
                              <w:jc w:val="center"/>
                              <w:rPr>
                                <w:b/>
                                <w:bCs/>
                                <w:noProof/>
                                <w:sz w:val="28"/>
                                <w:szCs w:val="20"/>
                              </w:rPr>
                            </w:pPr>
                            <w:r w:rsidRPr="00D464C8">
                              <w:rPr>
                                <w:b/>
                                <w:bCs/>
                                <w:sz w:val="20"/>
                                <w:szCs w:val="20"/>
                              </w:rPr>
                              <w:t xml:space="preserve">Figure </w:t>
                            </w:r>
                            <w:r w:rsidRPr="00D464C8">
                              <w:rPr>
                                <w:b/>
                                <w:bCs/>
                                <w:sz w:val="20"/>
                                <w:szCs w:val="20"/>
                              </w:rPr>
                              <w:fldChar w:fldCharType="begin"/>
                            </w:r>
                            <w:r w:rsidRPr="00D464C8">
                              <w:rPr>
                                <w:b/>
                                <w:bCs/>
                                <w:sz w:val="20"/>
                                <w:szCs w:val="20"/>
                              </w:rPr>
                              <w:instrText xml:space="preserve"> SEQ Figure \* ARABIC </w:instrText>
                            </w:r>
                            <w:r w:rsidRPr="00D464C8">
                              <w:rPr>
                                <w:b/>
                                <w:bCs/>
                                <w:sz w:val="20"/>
                                <w:szCs w:val="20"/>
                              </w:rPr>
                              <w:fldChar w:fldCharType="separate"/>
                            </w:r>
                            <w:r>
                              <w:rPr>
                                <w:b/>
                                <w:bCs/>
                                <w:noProof/>
                                <w:sz w:val="20"/>
                                <w:szCs w:val="20"/>
                              </w:rPr>
                              <w:t>3</w:t>
                            </w:r>
                            <w:r w:rsidRPr="00D464C8">
                              <w:rPr>
                                <w:b/>
                                <w:bCs/>
                                <w:sz w:val="20"/>
                                <w:szCs w:val="20"/>
                              </w:rPr>
                              <w:fldChar w:fldCharType="end"/>
                            </w:r>
                            <w:r w:rsidRPr="00D464C8">
                              <w:rPr>
                                <w:b/>
                                <w:bCs/>
                                <w:sz w:val="20"/>
                                <w:szCs w:val="20"/>
                              </w:rPr>
                              <w:t xml:space="preserve"> Value Chain Analysis (Bruin,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67DDB" id="Text Box 3" o:spid="_x0000_s1028" type="#_x0000_t202" style="position:absolute;left:0;text-align:left;margin-left:17pt;margin-top:209.4pt;width:43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" stroked="f">
                <v:textbox style="mso-fit-shape-to-text:t" inset="0,0,0,0">
                  <w:txbxContent>
                    <w:p w14:paraId="29EB8CC7" w14:textId="77777777" w:rsidR="00000000" w:rsidRPr="00D464C8" w:rsidRDefault="00000000" w:rsidP="00D464C8">
                      <w:pPr>
                        <w:jc w:val="center"/>
                        <w:rPr>
                          <w:b/>
                          <w:bCs/>
                          <w:noProof/>
                          <w:sz w:val="28"/>
                          <w:szCs w:val="20"/>
                        </w:rPr>
                      </w:pPr>
                      <w:r w:rsidRPr="00D464C8">
                        <w:rPr>
                          <w:b/>
                          <w:bCs/>
                          <w:sz w:val="20"/>
                          <w:szCs w:val="20"/>
                        </w:rPr>
                        <w:t xml:space="preserve">Figure </w:t>
                      </w:r>
                      <w:r w:rsidRPr="00D464C8">
                        <w:rPr>
                          <w:b/>
                          <w:bCs/>
                          <w:sz w:val="20"/>
                          <w:szCs w:val="20"/>
                        </w:rPr>
                        <w:fldChar w:fldCharType="begin"/>
                      </w:r>
                      <w:r w:rsidRPr="00D464C8">
                        <w:rPr>
                          <w:b/>
                          <w:bCs/>
                          <w:sz w:val="20"/>
                          <w:szCs w:val="20"/>
                        </w:rPr>
                        <w:instrText xml:space="preserve"> SEQ Figure \* ARABIC </w:instrText>
                      </w:r>
                      <w:r w:rsidRPr="00D464C8">
                        <w:rPr>
                          <w:b/>
                          <w:bCs/>
                          <w:sz w:val="20"/>
                          <w:szCs w:val="20"/>
                        </w:rPr>
                        <w:fldChar w:fldCharType="separate"/>
                      </w:r>
                      <w:r>
                        <w:rPr>
                          <w:b/>
                          <w:bCs/>
                          <w:noProof/>
                          <w:sz w:val="20"/>
                          <w:szCs w:val="20"/>
                        </w:rPr>
                        <w:t>3</w:t>
                      </w:r>
                      <w:r w:rsidRPr="00D464C8">
                        <w:rPr>
                          <w:b/>
                          <w:bCs/>
                          <w:sz w:val="20"/>
                          <w:szCs w:val="20"/>
                        </w:rPr>
                        <w:fldChar w:fldCharType="end"/>
                      </w:r>
                      <w:r w:rsidRPr="00D464C8">
                        <w:rPr>
                          <w:b/>
                          <w:bCs/>
                          <w:sz w:val="20"/>
                          <w:szCs w:val="20"/>
                        </w:rPr>
                        <w:t xml:space="preserve"> Value Chain Analysis (Bruin, 2024)</w:t>
                      </w:r>
                    </w:p>
                  </w:txbxContent>
                </v:textbox>
                <w10:wrap type="topAndBottom"/>
              </v:shape>
            </w:pict>
          </mc:Fallback>
        </mc:AlternateContent>
      </w:r>
    </w:p>
    <w:p w14:paraId="4791104F" w14:textId="77777777" w:rsidR="000E4B81" w:rsidRDefault="00C9461A">
      <w:pPr>
        <w:pStyle w:val="Heading3"/>
      </w:pPr>
      <w:bookmarkStart w:id="8" w:name="_9o8clrtr4orw" w:colFirst="0" w:colLast="0"/>
      <w:bookmarkEnd w:id="8"/>
      <w:r>
        <w:t>Resource-Based View (RBV)</w:t>
      </w:r>
    </w:p>
    <w:p w14:paraId="232B9299" w14:textId="77777777" w:rsidR="000E4B81" w:rsidRDefault="00C9461A">
      <w:r>
        <w:t>Various important resources support the business's success. Its important features are world-class R&amp;D, a legendary brand reputation, highly skilled workers and updated manufacturing sites. Its partnership with Tata Motors allows it to be part of a wider innovation ecosystem.</w:t>
      </w:r>
    </w:p>
    <w:p w14:paraId="59A3C0A3" w14:textId="77777777" w:rsidR="000E4B81" w:rsidRDefault="00C9461A">
      <w:pPr>
        <w:pStyle w:val="Heading3"/>
      </w:pPr>
      <w:bookmarkStart w:id="9" w:name="_16a63vfuheq0" w:colFirst="0" w:colLast="0"/>
      <w:bookmarkEnd w:id="9"/>
      <w:r>
        <w:t>VRIO Framework</w:t>
      </w:r>
    </w:p>
    <w:tbl>
      <w:tblPr>
        <w:tblStyle w:val="a0"/>
        <w:tblW w:w="9617"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880"/>
        <w:gridCol w:w="1190"/>
        <w:gridCol w:w="750"/>
        <w:gridCol w:w="1337"/>
        <w:gridCol w:w="1403"/>
        <w:gridCol w:w="2057"/>
      </w:tblGrid>
      <w:tr w:rsidR="000E4B81" w14:paraId="1CED17BC" w14:textId="77777777" w:rsidTr="000E4B81">
        <w:trPr>
          <w:cnfStyle w:val="100000000000" w:firstRow="1" w:lastRow="0" w:firstColumn="0" w:lastColumn="0" w:oddVBand="0" w:evenVBand="0" w:oddHBand="0"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2880" w:type="dxa"/>
          </w:tcPr>
          <w:p w14:paraId="7A220ADF" w14:textId="77777777" w:rsidR="000E4B81" w:rsidRDefault="00C9461A">
            <w:r>
              <w:t>Resource/Capability</w:t>
            </w:r>
          </w:p>
        </w:tc>
        <w:tc>
          <w:tcPr>
            <w:tcW w:w="1190" w:type="dxa"/>
          </w:tcPr>
          <w:p w14:paraId="07080F2A" w14:textId="77777777" w:rsidR="000E4B81" w:rsidRDefault="00C9461A">
            <w:pPr>
              <w:cnfStyle w:val="100000000000" w:firstRow="1" w:lastRow="0" w:firstColumn="0" w:lastColumn="0" w:oddVBand="0" w:evenVBand="0" w:oddHBand="0" w:evenHBand="0" w:firstRowFirstColumn="0" w:firstRowLastColumn="0" w:lastRowFirstColumn="0" w:lastRowLastColumn="0"/>
            </w:pPr>
            <w:r>
              <w:t>Valuable</w:t>
            </w:r>
          </w:p>
        </w:tc>
        <w:tc>
          <w:tcPr>
            <w:tcW w:w="750" w:type="dxa"/>
          </w:tcPr>
          <w:p w14:paraId="5B3A855D" w14:textId="77777777" w:rsidR="000E4B81" w:rsidRDefault="00C9461A">
            <w:pPr>
              <w:cnfStyle w:val="100000000000" w:firstRow="1" w:lastRow="0" w:firstColumn="0" w:lastColumn="0" w:oddVBand="0" w:evenVBand="0" w:oddHBand="0" w:evenHBand="0" w:firstRowFirstColumn="0" w:firstRowLastColumn="0" w:lastRowFirstColumn="0" w:lastRowLastColumn="0"/>
            </w:pPr>
            <w:r>
              <w:t>Rare</w:t>
            </w:r>
          </w:p>
        </w:tc>
        <w:tc>
          <w:tcPr>
            <w:tcW w:w="1337" w:type="dxa"/>
          </w:tcPr>
          <w:p w14:paraId="6F1B2915" w14:textId="77777777" w:rsidR="000E4B81" w:rsidRDefault="00C9461A">
            <w:pPr>
              <w:cnfStyle w:val="100000000000" w:firstRow="1" w:lastRow="0" w:firstColumn="0" w:lastColumn="0" w:oddVBand="0" w:evenVBand="0" w:oddHBand="0" w:evenHBand="0" w:firstRowFirstColumn="0" w:firstRowLastColumn="0" w:lastRowFirstColumn="0" w:lastRowLastColumn="0"/>
            </w:pPr>
            <w:r>
              <w:t>Inimitable</w:t>
            </w:r>
          </w:p>
        </w:tc>
        <w:tc>
          <w:tcPr>
            <w:tcW w:w="1403" w:type="dxa"/>
          </w:tcPr>
          <w:p w14:paraId="000404D7" w14:textId="77777777" w:rsidR="000E4B81" w:rsidRDefault="00C9461A">
            <w:pPr>
              <w:cnfStyle w:val="100000000000" w:firstRow="1" w:lastRow="0" w:firstColumn="0" w:lastColumn="0" w:oddVBand="0" w:evenVBand="0" w:oddHBand="0" w:evenHBand="0" w:firstRowFirstColumn="0" w:firstRowLastColumn="0" w:lastRowFirstColumn="0" w:lastRowLastColumn="0"/>
            </w:pPr>
            <w:r>
              <w:t>Organised</w:t>
            </w:r>
          </w:p>
        </w:tc>
        <w:tc>
          <w:tcPr>
            <w:tcW w:w="2057" w:type="dxa"/>
          </w:tcPr>
          <w:p w14:paraId="353A6979" w14:textId="77777777" w:rsidR="000E4B81" w:rsidRDefault="00C9461A">
            <w:pPr>
              <w:cnfStyle w:val="100000000000" w:firstRow="1" w:lastRow="0" w:firstColumn="0" w:lastColumn="0" w:oddVBand="0" w:evenVBand="0" w:oddHBand="0" w:evenHBand="0" w:firstRowFirstColumn="0" w:firstRowLastColumn="0" w:lastRowFirstColumn="0" w:lastRowLastColumn="0"/>
            </w:pPr>
            <w:r>
              <w:t>Outcome</w:t>
            </w:r>
          </w:p>
        </w:tc>
      </w:tr>
      <w:tr w:rsidR="000E4B81" w14:paraId="35DEFEA1" w14:textId="77777777" w:rsidTr="000E4B81">
        <w:trPr>
          <w:cnfStyle w:val="000000100000" w:firstRow="0" w:lastRow="0" w:firstColumn="0" w:lastColumn="0" w:oddVBand="0" w:evenVBand="0" w:oddHBand="1" w:evenHBand="0" w:firstRowFirstColumn="0" w:firstRowLastColumn="0" w:lastRowFirstColumn="0" w:lastRowLastColumn="0"/>
          <w:trHeight w:val="1449"/>
        </w:trPr>
        <w:tc>
          <w:tcPr>
            <w:cnfStyle w:val="001000000000" w:firstRow="0" w:lastRow="0" w:firstColumn="1" w:lastColumn="0" w:oddVBand="0" w:evenVBand="0" w:oddHBand="0" w:evenHBand="0" w:firstRowFirstColumn="0" w:firstRowLastColumn="0" w:lastRowFirstColumn="0" w:lastRowLastColumn="0"/>
            <w:tcW w:w="2880" w:type="dxa"/>
          </w:tcPr>
          <w:p w14:paraId="4EB44141" w14:textId="77777777" w:rsidR="000E4B81" w:rsidRDefault="00C9461A">
            <w:r>
              <w:t>Brand Heritage &amp; Equity</w:t>
            </w:r>
          </w:p>
        </w:tc>
        <w:tc>
          <w:tcPr>
            <w:tcW w:w="1190" w:type="dxa"/>
          </w:tcPr>
          <w:p w14:paraId="74383469"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750" w:type="dxa"/>
          </w:tcPr>
          <w:p w14:paraId="2B3FA7EB"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1337" w:type="dxa"/>
          </w:tcPr>
          <w:p w14:paraId="44199AF1"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1403" w:type="dxa"/>
          </w:tcPr>
          <w:p w14:paraId="2559EEB6"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2057" w:type="dxa"/>
          </w:tcPr>
          <w:p w14:paraId="062789D2" w14:textId="77777777" w:rsidR="000E4B81" w:rsidRDefault="00C9461A">
            <w:pPr>
              <w:cnfStyle w:val="000000100000" w:firstRow="0" w:lastRow="0" w:firstColumn="0" w:lastColumn="0" w:oddVBand="0" w:evenVBand="0" w:oddHBand="1" w:evenHBand="0" w:firstRowFirstColumn="0" w:firstRowLastColumn="0" w:lastRowFirstColumn="0" w:lastRowLastColumn="0"/>
            </w:pPr>
            <w:r>
              <w:t>Sustainable Competitive Advantage</w:t>
            </w:r>
          </w:p>
        </w:tc>
      </w:tr>
      <w:tr w:rsidR="000E4B81" w14:paraId="15DD4022" w14:textId="77777777" w:rsidTr="000E4B81">
        <w:trPr>
          <w:trHeight w:val="951"/>
        </w:trPr>
        <w:tc>
          <w:tcPr>
            <w:cnfStyle w:val="001000000000" w:firstRow="0" w:lastRow="0" w:firstColumn="1" w:lastColumn="0" w:oddVBand="0" w:evenVBand="0" w:oddHBand="0" w:evenHBand="0" w:firstRowFirstColumn="0" w:firstRowLastColumn="0" w:lastRowFirstColumn="0" w:lastRowLastColumn="0"/>
            <w:tcW w:w="2880" w:type="dxa"/>
          </w:tcPr>
          <w:p w14:paraId="46DB28F3" w14:textId="77777777" w:rsidR="000E4B81" w:rsidRDefault="00C9461A">
            <w:r>
              <w:t>EV R&amp;D and Modular Architecture</w:t>
            </w:r>
          </w:p>
        </w:tc>
        <w:tc>
          <w:tcPr>
            <w:tcW w:w="1190" w:type="dxa"/>
          </w:tcPr>
          <w:p w14:paraId="60BED089"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750" w:type="dxa"/>
          </w:tcPr>
          <w:p w14:paraId="135304F1"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1337" w:type="dxa"/>
          </w:tcPr>
          <w:p w14:paraId="72F15DFA"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1403" w:type="dxa"/>
          </w:tcPr>
          <w:p w14:paraId="30AF2427"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2057" w:type="dxa"/>
          </w:tcPr>
          <w:p w14:paraId="4A0AA809" w14:textId="77777777" w:rsidR="000E4B81" w:rsidRDefault="00C9461A">
            <w:pPr>
              <w:cnfStyle w:val="000000000000" w:firstRow="0" w:lastRow="0" w:firstColumn="0" w:lastColumn="0" w:oddVBand="0" w:evenVBand="0" w:oddHBand="0" w:evenHBand="0" w:firstRowFirstColumn="0" w:firstRowLastColumn="0" w:lastRowFirstColumn="0" w:lastRowLastColumn="0"/>
            </w:pPr>
            <w:r>
              <w:t>Temporary Advantage</w:t>
            </w:r>
          </w:p>
        </w:tc>
      </w:tr>
      <w:tr w:rsidR="000E4B81" w14:paraId="75FAC054" w14:textId="77777777" w:rsidTr="000E4B81">
        <w:trPr>
          <w:cnfStyle w:val="000000100000" w:firstRow="0" w:lastRow="0" w:firstColumn="0" w:lastColumn="0" w:oddVBand="0" w:evenVBand="0" w:oddHBand="1" w:evenHBand="0" w:firstRowFirstColumn="0" w:firstRowLastColumn="0" w:lastRowFirstColumn="0" w:lastRowLastColumn="0"/>
          <w:trHeight w:val="962"/>
        </w:trPr>
        <w:tc>
          <w:tcPr>
            <w:cnfStyle w:val="001000000000" w:firstRow="0" w:lastRow="0" w:firstColumn="1" w:lastColumn="0" w:oddVBand="0" w:evenVBand="0" w:oddHBand="0" w:evenHBand="0" w:firstRowFirstColumn="0" w:firstRowLastColumn="0" w:lastRowFirstColumn="0" w:lastRowLastColumn="0"/>
            <w:tcW w:w="2880" w:type="dxa"/>
          </w:tcPr>
          <w:p w14:paraId="63F20A2D" w14:textId="77777777" w:rsidR="000E4B81" w:rsidRDefault="00C9461A">
            <w:r>
              <w:t>AI &amp; Software Partnerships</w:t>
            </w:r>
          </w:p>
        </w:tc>
        <w:tc>
          <w:tcPr>
            <w:tcW w:w="1190" w:type="dxa"/>
          </w:tcPr>
          <w:p w14:paraId="577D5888"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750" w:type="dxa"/>
          </w:tcPr>
          <w:p w14:paraId="7EBA40BB"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1337" w:type="dxa"/>
          </w:tcPr>
          <w:p w14:paraId="4A523248"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1403" w:type="dxa"/>
          </w:tcPr>
          <w:p w14:paraId="4E5FC0CF" w14:textId="77777777" w:rsidR="000E4B81" w:rsidRDefault="00C9461A">
            <w:pPr>
              <w:cnfStyle w:val="000000100000" w:firstRow="0" w:lastRow="0" w:firstColumn="0" w:lastColumn="0" w:oddVBand="0" w:evenVBand="0" w:oddHBand="1" w:evenHBand="0" w:firstRowFirstColumn="0" w:firstRowLastColumn="0" w:lastRowFirstColumn="0" w:lastRowLastColumn="0"/>
            </w:pPr>
            <w:r>
              <w:rPr>
                <w:rFonts w:ascii="Quattrocento Sans" w:eastAsia="Quattrocento Sans" w:hAnsi="Quattrocento Sans" w:cs="Quattrocento Sans"/>
              </w:rPr>
              <w:t>✓</w:t>
            </w:r>
          </w:p>
        </w:tc>
        <w:tc>
          <w:tcPr>
            <w:tcW w:w="2057" w:type="dxa"/>
          </w:tcPr>
          <w:p w14:paraId="4A749812" w14:textId="77777777" w:rsidR="000E4B81" w:rsidRDefault="00C9461A">
            <w:pPr>
              <w:cnfStyle w:val="000000100000" w:firstRow="0" w:lastRow="0" w:firstColumn="0" w:lastColumn="0" w:oddVBand="0" w:evenVBand="0" w:oddHBand="1" w:evenHBand="0" w:firstRowFirstColumn="0" w:firstRowLastColumn="0" w:lastRowFirstColumn="0" w:lastRowLastColumn="0"/>
            </w:pPr>
            <w:r>
              <w:t>Competitive Parity</w:t>
            </w:r>
          </w:p>
        </w:tc>
      </w:tr>
      <w:tr w:rsidR="000E4B81" w14:paraId="4E4DBE84" w14:textId="77777777" w:rsidTr="000E4B81">
        <w:trPr>
          <w:trHeight w:val="962"/>
        </w:trPr>
        <w:tc>
          <w:tcPr>
            <w:cnfStyle w:val="001000000000" w:firstRow="0" w:lastRow="0" w:firstColumn="1" w:lastColumn="0" w:oddVBand="0" w:evenVBand="0" w:oddHBand="0" w:evenHBand="0" w:firstRowFirstColumn="0" w:firstRowLastColumn="0" w:lastRowFirstColumn="0" w:lastRowLastColumn="0"/>
            <w:tcW w:w="2880" w:type="dxa"/>
          </w:tcPr>
          <w:p w14:paraId="2FB155E5" w14:textId="77777777" w:rsidR="000E4B81" w:rsidRDefault="00C9461A">
            <w:r>
              <w:lastRenderedPageBreak/>
              <w:t>Global Distribution Network</w:t>
            </w:r>
          </w:p>
        </w:tc>
        <w:tc>
          <w:tcPr>
            <w:tcW w:w="1190" w:type="dxa"/>
          </w:tcPr>
          <w:p w14:paraId="413903F0"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750" w:type="dxa"/>
          </w:tcPr>
          <w:p w14:paraId="4358EE8C"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1337" w:type="dxa"/>
          </w:tcPr>
          <w:p w14:paraId="45C43AF7"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1403" w:type="dxa"/>
          </w:tcPr>
          <w:p w14:paraId="1416E1DC" w14:textId="77777777" w:rsidR="000E4B81" w:rsidRDefault="00C9461A">
            <w:pPr>
              <w:cnfStyle w:val="000000000000" w:firstRow="0" w:lastRow="0" w:firstColumn="0" w:lastColumn="0" w:oddVBand="0" w:evenVBand="0" w:oddHBand="0" w:evenHBand="0" w:firstRowFirstColumn="0" w:firstRowLastColumn="0" w:lastRowFirstColumn="0" w:lastRowLastColumn="0"/>
            </w:pPr>
            <w:r>
              <w:rPr>
                <w:rFonts w:ascii="Quattrocento Sans" w:eastAsia="Quattrocento Sans" w:hAnsi="Quattrocento Sans" w:cs="Quattrocento Sans"/>
              </w:rPr>
              <w:t>✓</w:t>
            </w:r>
          </w:p>
        </w:tc>
        <w:tc>
          <w:tcPr>
            <w:tcW w:w="2057" w:type="dxa"/>
          </w:tcPr>
          <w:p w14:paraId="4CE37D61" w14:textId="77777777" w:rsidR="000E4B81" w:rsidRDefault="00C9461A">
            <w:pPr>
              <w:cnfStyle w:val="000000000000" w:firstRow="0" w:lastRow="0" w:firstColumn="0" w:lastColumn="0" w:oddVBand="0" w:evenVBand="0" w:oddHBand="0" w:evenHBand="0" w:firstRowFirstColumn="0" w:firstRowLastColumn="0" w:lastRowFirstColumn="0" w:lastRowLastColumn="0"/>
            </w:pPr>
            <w:r>
              <w:t>Temporary Advantage</w:t>
            </w:r>
          </w:p>
        </w:tc>
      </w:tr>
    </w:tbl>
    <w:p w14:paraId="1792A459" w14:textId="77777777" w:rsidR="000E4B81" w:rsidRDefault="000E4B81"/>
    <w:p w14:paraId="6FB7AE5D" w14:textId="77777777" w:rsidR="000E4B81" w:rsidRDefault="00C9461A">
      <w:r>
        <w:t>JLR's principal assets enable it to gain both ongoing and limited advantages, primarily through its brand identity and focus on electric vehicles.</w:t>
      </w:r>
    </w:p>
    <w:p w14:paraId="74A9234A" w14:textId="77777777" w:rsidR="000E4B81" w:rsidRDefault="00C9461A">
      <w:pPr>
        <w:pStyle w:val="Heading2"/>
      </w:pPr>
      <w:bookmarkStart w:id="10" w:name="_pize7252u" w:colFirst="0" w:colLast="0"/>
      <w:bookmarkEnd w:id="10"/>
      <w:r>
        <w:t>SWOT Analysis</w:t>
      </w:r>
    </w:p>
    <w:p w14:paraId="17BBB151" w14:textId="77777777" w:rsidR="000E4B81" w:rsidRDefault="00C9461A">
      <w:pPr>
        <w:rPr>
          <w:b/>
        </w:rPr>
      </w:pPr>
      <w:r>
        <w:rPr>
          <w:noProof/>
        </w:rPr>
        <w:drawing>
          <wp:anchor distT="0" distB="0" distL="114300" distR="114300" simplePos="0" relativeHeight="251665408" behindDoc="0" locked="0" layoutInCell="1" hidden="0" allowOverlap="1" wp14:anchorId="28865013" wp14:editId="43BAB1BC">
            <wp:simplePos x="0" y="0"/>
            <wp:positionH relativeFrom="margin">
              <wp:align>center</wp:align>
            </wp:positionH>
            <wp:positionV relativeFrom="page">
              <wp:posOffset>4145279</wp:posOffset>
            </wp:positionV>
            <wp:extent cx="4559300" cy="2564130"/>
            <wp:effectExtent l="0" t="0" r="0" b="0"/>
            <wp:wrapTopAndBottom distT="0" dist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l="880" r="880"/>
                    <a:stretch>
                      <a:fillRect/>
                    </a:stretch>
                  </pic:blipFill>
                  <pic:spPr>
                    <a:xfrm>
                      <a:off x="0" y="0"/>
                      <a:ext cx="4559300" cy="2564130"/>
                    </a:xfrm>
                    <a:prstGeom prst="rect">
                      <a:avLst/>
                    </a:prstGeom>
                    <a:ln/>
                  </pic:spPr>
                </pic:pic>
              </a:graphicData>
            </a:graphic>
          </wp:anchor>
        </w:drawing>
      </w:r>
      <w:r>
        <w:rPr>
          <w:b/>
        </w:rPr>
        <w:t xml:space="preserve">Strengths: </w:t>
      </w:r>
      <w:r>
        <w:t>Jaguar Land Rover is recognised worldwide, with the majority of its sales originating from exports. Both the Range Rover and Jaguar brands are symbols of high-class British vehicles worldwide. Especially the Range Rover is often valued higher in over 100 countries. JLR has designed the "Reimagine" strategy, which commits £15 billion toward electrification, digitalisation and sustainability over five years. Jaguar's new lineup of electric vehicles, set to debut in 2025, showcases its R&amp;D capabilities and promises innovation.</w:t>
      </w:r>
    </w:p>
    <w:p w14:paraId="168E2567" w14:textId="77777777" w:rsidR="000E4B81" w:rsidRDefault="00C9461A">
      <w:pPr>
        <w:rPr>
          <w:b/>
        </w:rPr>
      </w:pPr>
      <w:r>
        <w:rPr>
          <w:noProof/>
        </w:rPr>
        <mc:AlternateContent>
          <mc:Choice Requires="wps">
            <w:drawing>
              <wp:anchor distT="0" distB="0" distL="114300" distR="114300" simplePos="0" relativeHeight="251666432" behindDoc="0" locked="0" layoutInCell="1" hidden="0" allowOverlap="1" wp14:anchorId="6C41420D" wp14:editId="1E8FD4E0">
                <wp:simplePos x="0" y="0"/>
                <wp:positionH relativeFrom="column">
                  <wp:posOffset>533400</wp:posOffset>
                </wp:positionH>
                <wp:positionV relativeFrom="paragraph">
                  <wp:posOffset>2693670</wp:posOffset>
                </wp:positionV>
                <wp:extent cx="4876800" cy="635"/>
                <wp:effectExtent l="0" t="0" r="0" b="0"/>
                <wp:wrapTopAndBottom distT="0" distB="0"/>
                <wp:docPr id="2" name="Text Box 2"/>
                <wp:cNvGraphicFramePr/>
                <a:graphic xmlns:a="http://schemas.openxmlformats.org/drawingml/2006/main">
                  <a:graphicData uri="http://schemas.microsoft.com/office/word/2010/wordprocessingShape">
                    <wps:wsp>
                      <wps:cNvSpPr txBox="1"/>
                      <wps:spPr>
                        <a:xfrm>
                          <a:off x="0" y="0"/>
                          <a:ext cx="4876800" cy="635"/>
                        </a:xfrm>
                        <a:prstGeom prst="rect">
                          <a:avLst/>
                        </a:prstGeom>
                        <a:solidFill>
                          <a:prstClr val="white"/>
                        </a:solidFill>
                        <a:ln>
                          <a:noFill/>
                        </a:ln>
                      </wps:spPr>
                      <wps:txbx>
                        <w:txbxContent>
                          <w:p w14:paraId="1139AB1E" w14:textId="77777777" w:rsidR="00362058" w:rsidRPr="00FE6D0D" w:rsidRDefault="00C9461A" w:rsidP="00FE6D0D">
                            <w:pPr>
                              <w:jc w:val="center"/>
                              <w:rPr>
                                <w:b/>
                                <w:bCs/>
                                <w:noProof/>
                                <w:sz w:val="20"/>
                              </w:rPr>
                            </w:pPr>
                            <w:r w:rsidRPr="00FE6D0D">
                              <w:rPr>
                                <w:b/>
                                <w:bCs/>
                                <w:sz w:val="20"/>
                                <w:szCs w:val="20"/>
                              </w:rPr>
                              <w:t xml:space="preserve">Figure </w:t>
                            </w:r>
                            <w:r w:rsidRPr="00FE6D0D">
                              <w:rPr>
                                <w:b/>
                                <w:bCs/>
                                <w:sz w:val="20"/>
                                <w:szCs w:val="20"/>
                              </w:rPr>
                              <w:fldChar w:fldCharType="begin"/>
                            </w:r>
                            <w:r w:rsidRPr="00FE6D0D">
                              <w:rPr>
                                <w:b/>
                                <w:bCs/>
                                <w:sz w:val="20"/>
                                <w:szCs w:val="20"/>
                              </w:rPr>
                              <w:instrText xml:space="preserve"> SEQ Figure \* ARABIC </w:instrText>
                            </w:r>
                            <w:r w:rsidRPr="00FE6D0D">
                              <w:rPr>
                                <w:b/>
                                <w:bCs/>
                                <w:sz w:val="20"/>
                                <w:szCs w:val="20"/>
                              </w:rPr>
                              <w:fldChar w:fldCharType="separate"/>
                            </w:r>
                            <w:r w:rsidRPr="00FE6D0D">
                              <w:rPr>
                                <w:b/>
                                <w:bCs/>
                                <w:noProof/>
                                <w:sz w:val="20"/>
                                <w:szCs w:val="20"/>
                              </w:rPr>
                              <w:t>4</w:t>
                            </w:r>
                            <w:r w:rsidRPr="00FE6D0D">
                              <w:rPr>
                                <w:b/>
                                <w:bCs/>
                                <w:sz w:val="20"/>
                                <w:szCs w:val="20"/>
                              </w:rPr>
                              <w:fldChar w:fldCharType="end"/>
                            </w:r>
                            <w:r w:rsidRPr="00FE6D0D">
                              <w:rPr>
                                <w:b/>
                                <w:bCs/>
                                <w:sz w:val="20"/>
                                <w:szCs w:val="20"/>
                              </w:rPr>
                              <w:t xml:space="preserve"> SWOT Analysis (Kenton,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41420D" id="Text Box 2" o:spid="_x0000_s1029" type="#_x0000_t202" style="position:absolute;left:0;text-align:left;margin-left:42pt;margin-top:212.1pt;width:38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" stroked="f">
                <v:textbox style="mso-fit-shape-to-text:t" inset="0,0,0,0">
                  <w:txbxContent>
                    <w:p w14:paraId="1139AB1E" w14:textId="77777777" w:rsidR="00000000" w:rsidRPr="00FE6D0D" w:rsidRDefault="00000000" w:rsidP="00FE6D0D">
                      <w:pPr>
                        <w:jc w:val="center"/>
                        <w:rPr>
                          <w:b/>
                          <w:bCs/>
                          <w:noProof/>
                          <w:sz w:val="20"/>
                        </w:rPr>
                      </w:pPr>
                      <w:r w:rsidRPr="00FE6D0D">
                        <w:rPr>
                          <w:b/>
                          <w:bCs/>
                          <w:sz w:val="20"/>
                          <w:szCs w:val="20"/>
                        </w:rPr>
                        <w:t xml:space="preserve">Figure </w:t>
                      </w:r>
                      <w:r w:rsidRPr="00FE6D0D">
                        <w:rPr>
                          <w:b/>
                          <w:bCs/>
                          <w:sz w:val="20"/>
                          <w:szCs w:val="20"/>
                        </w:rPr>
                        <w:fldChar w:fldCharType="begin"/>
                      </w:r>
                      <w:r w:rsidRPr="00FE6D0D">
                        <w:rPr>
                          <w:b/>
                          <w:bCs/>
                          <w:sz w:val="20"/>
                          <w:szCs w:val="20"/>
                        </w:rPr>
                        <w:instrText xml:space="preserve"> SEQ Figure \* ARABIC </w:instrText>
                      </w:r>
                      <w:r w:rsidRPr="00FE6D0D">
                        <w:rPr>
                          <w:b/>
                          <w:bCs/>
                          <w:sz w:val="20"/>
                          <w:szCs w:val="20"/>
                        </w:rPr>
                        <w:fldChar w:fldCharType="separate"/>
                      </w:r>
                      <w:r w:rsidRPr="00FE6D0D">
                        <w:rPr>
                          <w:b/>
                          <w:bCs/>
                          <w:noProof/>
                          <w:sz w:val="20"/>
                          <w:szCs w:val="20"/>
                        </w:rPr>
                        <w:t>4</w:t>
                      </w:r>
                      <w:r w:rsidRPr="00FE6D0D">
                        <w:rPr>
                          <w:b/>
                          <w:bCs/>
                          <w:sz w:val="20"/>
                          <w:szCs w:val="20"/>
                        </w:rPr>
                        <w:fldChar w:fldCharType="end"/>
                      </w:r>
                      <w:r w:rsidRPr="00FE6D0D">
                        <w:rPr>
                          <w:b/>
                          <w:bCs/>
                          <w:sz w:val="20"/>
                          <w:szCs w:val="20"/>
                        </w:rPr>
                        <w:t xml:space="preserve"> SWOT Analysis</w:t>
                      </w:r>
                      <w:r w:rsidRPr="00FE6D0D">
                        <w:rPr>
                          <w:b/>
                          <w:bCs/>
                          <w:sz w:val="20"/>
                          <w:szCs w:val="20"/>
                        </w:rPr>
                        <w:t xml:space="preserve"> (Kenton, 2025)</w:t>
                      </w:r>
                    </w:p>
                  </w:txbxContent>
                </v:textbox>
                <w10:wrap type="topAndBottom"/>
              </v:shape>
            </w:pict>
          </mc:Fallback>
        </mc:AlternateContent>
      </w:r>
    </w:p>
    <w:p w14:paraId="663DA400" w14:textId="77777777" w:rsidR="000E4B81" w:rsidRDefault="00C9461A">
      <w:pPr>
        <w:rPr>
          <w:b/>
        </w:rPr>
      </w:pPr>
      <w:r>
        <w:rPr>
          <w:b/>
        </w:rPr>
        <w:t xml:space="preserve">Weaknesses: </w:t>
      </w:r>
      <w:r>
        <w:t xml:space="preserve">Legacy internal combustion engine (ICE) models still play a significant role, accounting for over 80% of all sales in 2023. The shortage of semiconductor supplies and other supply chain disruptions resulted in a delay in manufacturing and a 13% decline </w:t>
      </w:r>
      <w:r>
        <w:lastRenderedPageBreak/>
        <w:t>in revenue during the second quarter (Monye et al., 2023). Because major competitors have much lower costs due to economies of scale, this reduces the ability to be profitable.</w:t>
      </w:r>
    </w:p>
    <w:p w14:paraId="65C98E0E" w14:textId="77777777" w:rsidR="000E4B81" w:rsidRDefault="00C9461A">
      <w:pPr>
        <w:rPr>
          <w:b/>
        </w:rPr>
      </w:pPr>
      <w:r>
        <w:rPr>
          <w:b/>
        </w:rPr>
        <w:t xml:space="preserve">Opportunities: </w:t>
      </w:r>
      <w:r>
        <w:t>In 2024, UK EV sales experienced an 18% increase, and global EV sales are projected to surpass 17 million in 2025 (IEA, 2025). It enables new forms of revenue by selling battery-powered models, updating software and providing mobility options. India and Southeast Asia are experiencing an increase in wealthy customers who are seeking premium cars and are drawn to them.</w:t>
      </w:r>
    </w:p>
    <w:p w14:paraId="005BAB2C" w14:textId="77777777" w:rsidR="000E4B81" w:rsidRDefault="00C9461A">
      <w:r>
        <w:rPr>
          <w:b/>
        </w:rPr>
        <w:t xml:space="preserve">Threats: </w:t>
      </w:r>
      <w:r>
        <w:t>Increased competition from Tesla, BYD and German brands for luxury electric vehicles creates a strategic threat. At the same time, companies are paying more to comply with regulations and protect the environment. Unstable political conditions and prices of important raw materials (such as lithium and cobalt) can disrupt the supply and profits of these businesses.</w:t>
      </w:r>
    </w:p>
    <w:p w14:paraId="57C262AB" w14:textId="77777777" w:rsidR="000E4B81" w:rsidRDefault="00C9461A">
      <w:pPr>
        <w:spacing w:line="259" w:lineRule="auto"/>
        <w:jc w:val="left"/>
      </w:pPr>
      <w:r>
        <w:br w:type="page"/>
      </w:r>
    </w:p>
    <w:p w14:paraId="57500FFD" w14:textId="77777777" w:rsidR="000E4B81" w:rsidRDefault="00C9461A">
      <w:pPr>
        <w:pStyle w:val="Heading1"/>
      </w:pPr>
      <w:bookmarkStart w:id="11" w:name="_dyrre8mk4nae" w:colFirst="0" w:colLast="0"/>
      <w:bookmarkEnd w:id="11"/>
      <w:r>
        <w:lastRenderedPageBreak/>
        <w:t>Strategy Formulation</w:t>
      </w:r>
    </w:p>
    <w:p w14:paraId="35824B48" w14:textId="77777777" w:rsidR="000E4B81" w:rsidRDefault="00C9461A">
      <w:r>
        <w:t>Jaguar Land Rover (JLR) is involved in industries that are advancing rapidly, are highly regulated, and respond to changing customer demands, as evident from the audit reports. JLR must follow strategies based on market changes, utilise its key skills to its advantage, and address major obstacles to maintain its position and grow steadily.</w:t>
      </w:r>
    </w:p>
    <w:p w14:paraId="628ED1FC" w14:textId="77777777" w:rsidR="000E4B81" w:rsidRDefault="00C9461A">
      <w:pPr>
        <w:pStyle w:val="Heading2"/>
      </w:pPr>
      <w:bookmarkStart w:id="12" w:name="_e9pepxhgra8p" w:colFirst="0" w:colLast="0"/>
      <w:bookmarkEnd w:id="12"/>
      <w:r>
        <w:t>Strategy 1: Accelerated Electrification and Product Innovation</w:t>
      </w:r>
    </w:p>
    <w:p w14:paraId="1C1A9FAB" w14:textId="77777777" w:rsidR="000E4B81" w:rsidRDefault="00C9461A">
      <w:r>
        <w:t>JLR is already committed to making Jaguar fully electric by 2025 and achieving 60% of Land Rover sales from electric vehicles by 2030. JLR should accelerate the pace of introducing new EVs and prioritise producing more of them. Backing solid-state battery development, lengthening vehicle ranges and providing EV models at many price levels might lead to better adoption (Aalto, 2021).</w:t>
      </w:r>
    </w:p>
    <w:p w14:paraId="446C24E8" w14:textId="77777777" w:rsidR="000E4B81" w:rsidRDefault="00C9461A">
      <w:r>
        <w:t xml:space="preserve">The business must also redefine Jaguar as a significant rival to both the Model S and the </w:t>
      </w:r>
      <w:proofErr w:type="spellStart"/>
      <w:r>
        <w:t>Taycan</w:t>
      </w:r>
      <w:proofErr w:type="spellEnd"/>
      <w:r>
        <w:t>. It is also working on new luxury electric sedans that stand out for their speed and advanced features. The company should continue to focus on robust luxury EV SUVs to maintain its own brand identity. Building modular platforms and having shared electric vehicle architecture among models leads to lower development costs and greater flexibility.</w:t>
      </w:r>
    </w:p>
    <w:p w14:paraId="03D0C48E" w14:textId="77777777" w:rsidR="000E4B81" w:rsidRDefault="00C9461A">
      <w:r>
        <w:rPr>
          <w:b/>
        </w:rPr>
        <w:t xml:space="preserve">Justification: </w:t>
      </w:r>
      <w:r>
        <w:t>Sales of electric vehicles (EVs) worldwide are expected to reach 17 million vehicles by 2025 (Statista, 2025). The luxury electric vehicle (EV) segment is experiencing more than 20% annual growth. If JLR produces more electric cars and differentiates them, it can attract people who want the latest and maintain its market share.</w:t>
      </w:r>
    </w:p>
    <w:p w14:paraId="7B11411E" w14:textId="77777777" w:rsidR="000E4B81" w:rsidRDefault="00C9461A">
      <w:pPr>
        <w:pStyle w:val="Heading2"/>
      </w:pPr>
      <w:bookmarkStart w:id="13" w:name="_35xxn4d5ezi9" w:colFirst="0" w:colLast="0"/>
      <w:bookmarkEnd w:id="13"/>
      <w:r>
        <w:t>Strategy 2: Strategic Partnerships and Vertical Integration</w:t>
      </w:r>
    </w:p>
    <w:p w14:paraId="5FFC0B51" w14:textId="77777777" w:rsidR="000E4B81" w:rsidRDefault="00C9461A">
      <w:r>
        <w:t>JLR should take charge of manufacturing vital EV components, such as batteries and semiconductors, to mitigate supply chain risks. It can involve purchasing a stake in battery companies or partnering with suppliers from Europe and Asia for the long term.</w:t>
      </w:r>
    </w:p>
    <w:p w14:paraId="634B0029" w14:textId="77777777" w:rsidR="000E4B81" w:rsidRDefault="00C9461A">
      <w:r>
        <w:t>JLR should also strengthen its alliances with companies working on autonomous driving and AI. For instance, working with Nvidia helps BMW offer better automated and driver-</w:t>
      </w:r>
      <w:r>
        <w:lastRenderedPageBreak/>
        <w:t>related driver features. JLR has the opportunity to collaborate with 5G and IoT suppliers and integrate real-time connections and automatic updates into all of its cars from now on (Emmer, 2024). Cooperating with the UK government and the Tata Group to invest in domestic battery gigafactories would enhance energy security and align with UK government policies.</w:t>
      </w:r>
    </w:p>
    <w:p w14:paraId="4F5207A6" w14:textId="77777777" w:rsidR="000E4B81" w:rsidRDefault="00C9461A">
      <w:r>
        <w:rPr>
          <w:b/>
        </w:rPr>
        <w:t>Justification:</w:t>
      </w:r>
      <w:r>
        <w:t xml:space="preserve"> Shortages of semiconductors and batteries led to a big interruption in JLR’s production from 2021 to 2023. Being vertically integrated means facing fewer external challenges and keeping costs under better control. It is projected that together, autonomous and connected technologies will bring the global automotive industry over $100 billion in annual value by 2030, which JLR should not miss out on.</w:t>
      </w:r>
    </w:p>
    <w:p w14:paraId="18FC5495" w14:textId="77777777" w:rsidR="000E4B81" w:rsidRDefault="00C9461A">
      <w:pPr>
        <w:pStyle w:val="Heading2"/>
      </w:pPr>
      <w:bookmarkStart w:id="14" w:name="_7n8lydtyo8gc" w:colFirst="0" w:colLast="0"/>
      <w:bookmarkEnd w:id="14"/>
      <w:r>
        <w:t>Strategy 3: Smart Mobility and Digital Service Expansion</w:t>
      </w:r>
    </w:p>
    <w:p w14:paraId="23459379" w14:textId="77777777" w:rsidR="000E4B81" w:rsidRDefault="00C9461A">
      <w:r>
        <w:t>The company should develop a smart mobility system by offering subscription, leasing, and sharing options for vehicles. Urban mobility patterns are shifting toward shared vehicles, particularly among young people residing in large cities.</w:t>
      </w:r>
    </w:p>
    <w:p w14:paraId="3F375D67" w14:textId="77777777" w:rsidR="000E4B81" w:rsidRDefault="00C9461A">
      <w:r>
        <w:t xml:space="preserve">Offering a modern, attractive electric vehicle (EV) line locally would help JLR enter new markets without compromising its luxury brand image. Additionally, creating a proprietary digital platform that offers real-time diagnostic checks, remote software updates, entertainment options, and map navigation can generate extra revenue (McQueen, Safi and </w:t>
      </w:r>
      <w:proofErr w:type="spellStart"/>
      <w:r>
        <w:t>Alkheyaili</w:t>
      </w:r>
      <w:proofErr w:type="spellEnd"/>
      <w:r>
        <w:t>, 2022).</w:t>
      </w:r>
    </w:p>
    <w:p w14:paraId="4A070718" w14:textId="77777777" w:rsidR="000E4B81" w:rsidRDefault="00C9461A">
      <w:r>
        <w:rPr>
          <w:b/>
        </w:rPr>
        <w:t>Justification:</w:t>
      </w:r>
      <w:r>
        <w:t xml:space="preserve"> Mobility subscriptions and digital services in cars are expected to account for 15% of OEM revenue by 2030 (</w:t>
      </w:r>
      <w:proofErr w:type="spellStart"/>
      <w:r>
        <w:t>Prokopets</w:t>
      </w:r>
      <w:proofErr w:type="spellEnd"/>
      <w:r>
        <w:t>, 2024). Early entry enables JLR to build brand power, reach a wider audience, and diversify its revenue streams.</w:t>
      </w:r>
    </w:p>
    <w:p w14:paraId="0AA7F2EC" w14:textId="77777777" w:rsidR="000E4B81" w:rsidRDefault="00C9461A">
      <w:pPr>
        <w:pStyle w:val="Heading2"/>
      </w:pPr>
      <w:bookmarkStart w:id="15" w:name="_4jmh9sdfjwot" w:colFirst="0" w:colLast="0"/>
      <w:bookmarkEnd w:id="15"/>
      <w:r>
        <w:t>Strategic Fit and Synergy</w:t>
      </w:r>
    </w:p>
    <w:p w14:paraId="681EFAFC" w14:textId="77777777" w:rsidR="000E4B81" w:rsidRDefault="00C9461A">
      <w:r>
        <w:t>Every approach mentioned supports JLR's existing strengths, including its worldwide operations, a renowned brand, and a strong research team. With these strategies, the company can achieve long-term success in a modern market that prioritises low emissions and excellent customer service (</w:t>
      </w:r>
      <w:proofErr w:type="spellStart"/>
      <w:r>
        <w:t>Garzella</w:t>
      </w:r>
      <w:proofErr w:type="spellEnd"/>
      <w:r>
        <w:t xml:space="preserve"> and Fiorentino, 2017). Coherent action throughout the value chain depends on agility, digital progress and sustainability.</w:t>
      </w:r>
    </w:p>
    <w:p w14:paraId="078F78AE" w14:textId="77777777" w:rsidR="000E4B81" w:rsidRDefault="00C9461A">
      <w:pPr>
        <w:pStyle w:val="Heading1"/>
      </w:pPr>
      <w:bookmarkStart w:id="16" w:name="_8yaf187dpne1" w:colFirst="0" w:colLast="0"/>
      <w:bookmarkEnd w:id="16"/>
      <w:r>
        <w:lastRenderedPageBreak/>
        <w:t>Recommendations and Conclusion</w:t>
      </w:r>
    </w:p>
    <w:p w14:paraId="26156A9A" w14:textId="77777777" w:rsidR="000E4B81" w:rsidRDefault="00C9461A">
      <w:r>
        <w:t>The strategic audit of Jaguar Land Rover indicates a firm which is ready to be reinvented rather than to implement incremental change. This means that by 2028 the planned Tata-JLR gigafactory in Somerset would add 40 GWh of cell capacity per year, giving the business 75% of its battery demand under its own control and further reducing the cost per kilowatt hour by a further 20%. This infrastructure allows JLR to take advantage of rising demand fuelled by Europe's goal that seven in ten new cars sold are electric by 2030 and to in turn insulate margins from swings in commodities.</w:t>
      </w:r>
    </w:p>
    <w:p w14:paraId="1EA7630D" w14:textId="77777777" w:rsidR="000E4B81" w:rsidRDefault="00C9461A">
      <w:r>
        <w:t xml:space="preserve">JLR will need the speed as well as the scale over the next five years. Prototype cycles could be cut by 30 % by digital twin factories which could also free engineers for over the air upgrades, with a profit pool of £3 billion for luxury brands by 2030. Synthetic fuel research is parallel invested for insurance against performance models in which battery mass is still prohibitive. Agile governance, small cross functional squads, data dashboards and a culture that rewards experimentation is what makes it succeed. These moves executed decisively can turn turmoil into lasting advantage. </w:t>
      </w:r>
    </w:p>
    <w:p w14:paraId="168F99AE" w14:textId="77777777" w:rsidR="000E4B81" w:rsidRDefault="00C9461A">
      <w:pPr>
        <w:rPr>
          <w:b/>
        </w:rPr>
      </w:pPr>
      <w:r>
        <w:rPr>
          <w:b/>
        </w:rPr>
        <w:t>Key Recommendations:</w:t>
      </w:r>
    </w:p>
    <w:tbl>
      <w:tblPr>
        <w:tblStyle w:val="a1"/>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793"/>
        <w:gridCol w:w="6557"/>
      </w:tblGrid>
      <w:tr w:rsidR="000E4B81" w14:paraId="53D16C11" w14:textId="77777777" w:rsidTr="000E4B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3" w:type="dxa"/>
          </w:tcPr>
          <w:p w14:paraId="1E076548" w14:textId="77777777" w:rsidR="000E4B81" w:rsidRDefault="00C9461A">
            <w:r>
              <w:t>Key Strategic Priority</w:t>
            </w:r>
          </w:p>
        </w:tc>
        <w:tc>
          <w:tcPr>
            <w:tcW w:w="6557" w:type="dxa"/>
          </w:tcPr>
          <w:p w14:paraId="1CC5300F" w14:textId="77777777" w:rsidR="000E4B81" w:rsidRDefault="00C9461A">
            <w:pPr>
              <w:cnfStyle w:val="100000000000" w:firstRow="1" w:lastRow="0" w:firstColumn="0" w:lastColumn="0" w:oddVBand="0" w:evenVBand="0" w:oddHBand="0" w:evenHBand="0" w:firstRowFirstColumn="0" w:firstRowLastColumn="0" w:lastRowFirstColumn="0" w:lastRowLastColumn="0"/>
            </w:pPr>
            <w:r>
              <w:t>Recommendation</w:t>
            </w:r>
          </w:p>
        </w:tc>
      </w:tr>
      <w:tr w:rsidR="000E4B81" w14:paraId="46428AF7" w14:textId="77777777" w:rsidTr="000E4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3" w:type="dxa"/>
          </w:tcPr>
          <w:p w14:paraId="242B9FFE" w14:textId="77777777" w:rsidR="000E4B81" w:rsidRDefault="00C9461A">
            <w:r>
              <w:rPr>
                <w:b w:val="0"/>
              </w:rPr>
              <w:t>Accelerate Electrification</w:t>
            </w:r>
          </w:p>
        </w:tc>
        <w:tc>
          <w:tcPr>
            <w:tcW w:w="6557" w:type="dxa"/>
          </w:tcPr>
          <w:p w14:paraId="38A5A89E" w14:textId="77777777" w:rsidR="000E4B81" w:rsidRDefault="00C9461A">
            <w:pPr>
              <w:cnfStyle w:val="000000100000" w:firstRow="0" w:lastRow="0" w:firstColumn="0" w:lastColumn="0" w:oddVBand="0" w:evenVBand="0" w:oddHBand="1" w:evenHBand="0" w:firstRowFirstColumn="0" w:firstRowLastColumn="0" w:lastRowFirstColumn="0" w:lastRowLastColumn="0"/>
            </w:pPr>
            <w:r>
              <w:t>Launch more EV models rapidly, focusing on advanced battery technologies and modular vehicle platforms.</w:t>
            </w:r>
          </w:p>
        </w:tc>
      </w:tr>
      <w:tr w:rsidR="000E4B81" w14:paraId="64AAD43C" w14:textId="77777777" w:rsidTr="000E4B81">
        <w:tc>
          <w:tcPr>
            <w:cnfStyle w:val="001000000000" w:firstRow="0" w:lastRow="0" w:firstColumn="1" w:lastColumn="0" w:oddVBand="0" w:evenVBand="0" w:oddHBand="0" w:evenHBand="0" w:firstRowFirstColumn="0" w:firstRowLastColumn="0" w:lastRowFirstColumn="0" w:lastRowLastColumn="0"/>
            <w:tcW w:w="2793" w:type="dxa"/>
          </w:tcPr>
          <w:p w14:paraId="01DA1035" w14:textId="77777777" w:rsidR="000E4B81" w:rsidRDefault="00C9461A">
            <w:r>
              <w:rPr>
                <w:b w:val="0"/>
              </w:rPr>
              <w:t>Strengthen Supply Chain Resilience</w:t>
            </w:r>
          </w:p>
        </w:tc>
        <w:tc>
          <w:tcPr>
            <w:tcW w:w="6557" w:type="dxa"/>
          </w:tcPr>
          <w:p w14:paraId="25AC7901" w14:textId="77777777" w:rsidR="000E4B81" w:rsidRDefault="00C9461A">
            <w:pPr>
              <w:cnfStyle w:val="000000000000" w:firstRow="0" w:lastRow="0" w:firstColumn="0" w:lastColumn="0" w:oddVBand="0" w:evenVBand="0" w:oddHBand="0" w:evenHBand="0" w:firstRowFirstColumn="0" w:firstRowLastColumn="0" w:lastRowFirstColumn="0" w:lastRowLastColumn="0"/>
            </w:pPr>
            <w:r>
              <w:t>Secure essential components through vertical integration and long-term agreements with key suppliers.</w:t>
            </w:r>
          </w:p>
        </w:tc>
      </w:tr>
      <w:tr w:rsidR="000E4B81" w14:paraId="7A37C8D4" w14:textId="77777777" w:rsidTr="000E4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3" w:type="dxa"/>
          </w:tcPr>
          <w:p w14:paraId="089CED79" w14:textId="77777777" w:rsidR="000E4B81" w:rsidRDefault="00C9461A">
            <w:r>
              <w:rPr>
                <w:b w:val="0"/>
              </w:rPr>
              <w:t>Advance Digital Capabilities</w:t>
            </w:r>
          </w:p>
        </w:tc>
        <w:tc>
          <w:tcPr>
            <w:tcW w:w="6557" w:type="dxa"/>
          </w:tcPr>
          <w:p w14:paraId="074EEF1C" w14:textId="77777777" w:rsidR="000E4B81" w:rsidRDefault="00C9461A">
            <w:pPr>
              <w:cnfStyle w:val="000000100000" w:firstRow="0" w:lastRow="0" w:firstColumn="0" w:lastColumn="0" w:oddVBand="0" w:evenVBand="0" w:oddHBand="1" w:evenHBand="0" w:firstRowFirstColumn="0" w:firstRowLastColumn="0" w:lastRowFirstColumn="0" w:lastRowLastColumn="0"/>
            </w:pPr>
            <w:r>
              <w:t>Improve cooperation in AI and software to make self-driving and interconnected services better.</w:t>
            </w:r>
          </w:p>
        </w:tc>
      </w:tr>
      <w:tr w:rsidR="000E4B81" w14:paraId="02C0F263" w14:textId="77777777" w:rsidTr="000E4B81">
        <w:tc>
          <w:tcPr>
            <w:cnfStyle w:val="001000000000" w:firstRow="0" w:lastRow="0" w:firstColumn="1" w:lastColumn="0" w:oddVBand="0" w:evenVBand="0" w:oddHBand="0" w:evenHBand="0" w:firstRowFirstColumn="0" w:firstRowLastColumn="0" w:lastRowFirstColumn="0" w:lastRowLastColumn="0"/>
            <w:tcW w:w="2793" w:type="dxa"/>
          </w:tcPr>
          <w:p w14:paraId="49206E0B" w14:textId="77777777" w:rsidR="000E4B81" w:rsidRDefault="00C9461A">
            <w:r>
              <w:rPr>
                <w:b w:val="0"/>
              </w:rPr>
              <w:t>Innovate Mobility Offerings</w:t>
            </w:r>
          </w:p>
        </w:tc>
        <w:tc>
          <w:tcPr>
            <w:tcW w:w="6557" w:type="dxa"/>
          </w:tcPr>
          <w:p w14:paraId="7C2A6DBD" w14:textId="77777777" w:rsidR="000E4B81" w:rsidRDefault="00C9461A">
            <w:pPr>
              <w:cnfStyle w:val="000000000000" w:firstRow="0" w:lastRow="0" w:firstColumn="0" w:lastColumn="0" w:oddVBand="0" w:evenVBand="0" w:oddHBand="0" w:evenHBand="0" w:firstRowFirstColumn="0" w:firstRowLastColumn="0" w:lastRowFirstColumn="0" w:lastRowLastColumn="0"/>
            </w:pPr>
            <w:r>
              <w:t>Create electric vehicle subscription services and smaller electric vehicles suited for city driving.</w:t>
            </w:r>
          </w:p>
        </w:tc>
      </w:tr>
      <w:tr w:rsidR="000E4B81" w14:paraId="5AD9AB57" w14:textId="77777777" w:rsidTr="000E4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3" w:type="dxa"/>
          </w:tcPr>
          <w:p w14:paraId="3F1F63DB" w14:textId="77777777" w:rsidR="000E4B81" w:rsidRDefault="00C9461A">
            <w:r>
              <w:rPr>
                <w:b w:val="0"/>
              </w:rPr>
              <w:t>Global Market Diversification</w:t>
            </w:r>
          </w:p>
        </w:tc>
        <w:tc>
          <w:tcPr>
            <w:tcW w:w="6557" w:type="dxa"/>
          </w:tcPr>
          <w:p w14:paraId="3246A2A0" w14:textId="77777777" w:rsidR="000E4B81" w:rsidRDefault="00C9461A">
            <w:pPr>
              <w:cnfStyle w:val="000000100000" w:firstRow="0" w:lastRow="0" w:firstColumn="0" w:lastColumn="0" w:oddVBand="0" w:evenVBand="0" w:oddHBand="1" w:evenHBand="0" w:firstRowFirstColumn="0" w:firstRowLastColumn="0" w:lastRowFirstColumn="0" w:lastRowLastColumn="0"/>
            </w:pPr>
            <w:r>
              <w:t>Do more business and advertising campaigns in high-growth countries to rely less on Europe.</w:t>
            </w:r>
          </w:p>
        </w:tc>
      </w:tr>
    </w:tbl>
    <w:p w14:paraId="6B8F12ED" w14:textId="77777777" w:rsidR="000E4B81" w:rsidRDefault="000E4B81">
      <w:pPr>
        <w:spacing w:line="259" w:lineRule="auto"/>
        <w:jc w:val="left"/>
        <w:rPr>
          <w:b/>
          <w:color w:val="2F5496"/>
          <w:sz w:val="32"/>
          <w:szCs w:val="32"/>
        </w:rPr>
      </w:pPr>
    </w:p>
    <w:p w14:paraId="6AD604A2" w14:textId="77777777" w:rsidR="000E4B81" w:rsidRDefault="00C9461A">
      <w:pPr>
        <w:spacing w:line="259" w:lineRule="auto"/>
        <w:jc w:val="left"/>
        <w:rPr>
          <w:b/>
          <w:color w:val="2F5496"/>
          <w:sz w:val="32"/>
          <w:szCs w:val="32"/>
        </w:rPr>
      </w:pPr>
      <w:r>
        <w:br w:type="page"/>
      </w:r>
    </w:p>
    <w:p w14:paraId="2F7CA27B" w14:textId="77777777" w:rsidR="000E4B81" w:rsidRDefault="00C9461A">
      <w:pPr>
        <w:pStyle w:val="Heading1"/>
      </w:pPr>
      <w:bookmarkStart w:id="17" w:name="_kluln0ocv1qq" w:colFirst="0" w:colLast="0"/>
      <w:bookmarkEnd w:id="17"/>
      <w:r>
        <w:lastRenderedPageBreak/>
        <w:t>References</w:t>
      </w:r>
    </w:p>
    <w:p w14:paraId="5B720440" w14:textId="77777777" w:rsidR="000E4B81" w:rsidRDefault="00C9461A">
      <w:r>
        <w:t xml:space="preserve">Aalto, P. (2021). </w:t>
      </w:r>
      <w:r>
        <w:rPr>
          <w:i/>
        </w:rPr>
        <w:t>Electrification</w:t>
      </w:r>
      <w:r>
        <w:t>. Academic Press.</w:t>
      </w:r>
    </w:p>
    <w:p w14:paraId="4019F499" w14:textId="77777777" w:rsidR="000E4B81" w:rsidRDefault="00C9461A">
      <w:r>
        <w:t xml:space="preserve">Bruin, L. de (2024). </w:t>
      </w:r>
      <w:r>
        <w:rPr>
          <w:i/>
        </w:rPr>
        <w:t>Value Chain Analysis EXPLAINED with EXAMPLES | B2U</w:t>
      </w:r>
      <w:r>
        <w:t>. [online] B2U - Business-to-you.com. Available at: https://www.business-to-you.com/value-chain/ [Accessed 1 Jun. 2025].</w:t>
      </w:r>
    </w:p>
    <w:p w14:paraId="3EC97A42" w14:textId="77777777" w:rsidR="000E4B81" w:rsidRDefault="00C9461A">
      <w:r>
        <w:t xml:space="preserve">Candelo, E. (2019). </w:t>
      </w:r>
      <w:r>
        <w:rPr>
          <w:i/>
        </w:rPr>
        <w:t>Marketing Innovations in the Automotive Industry: Meeting the Challenges of the Digital Age</w:t>
      </w:r>
      <w:r>
        <w:t>. Cham Springer International Publishing Imprint, Springer.</w:t>
      </w:r>
    </w:p>
    <w:p w14:paraId="5264064D" w14:textId="77777777" w:rsidR="000E4B81" w:rsidRDefault="00C9461A">
      <w:r>
        <w:t xml:space="preserve">Emmer, M. (2024). Why vertical integration is the path to strategic advantage. </w:t>
      </w:r>
      <w:r>
        <w:rPr>
          <w:i/>
        </w:rPr>
        <w:t>Forbes</w:t>
      </w:r>
      <w:r>
        <w:t>. [online] 29 Jan. Available at: https://www.forbes.com/councils/forbesbusinesscouncil/2024/01/29/why-vertical-integration-is-the-path-to-strategic-advantage/ [Accessed 29 May 2025].</w:t>
      </w:r>
    </w:p>
    <w:p w14:paraId="62528705" w14:textId="77777777" w:rsidR="000E4B81" w:rsidRDefault="00C9461A">
      <w:r>
        <w:t xml:space="preserve">Farooq, S. (2024). Identification and prioritization of risks for new entrants in automobile sector using Monte Carlo based approach. </w:t>
      </w:r>
      <w:r>
        <w:rPr>
          <w:i/>
        </w:rPr>
        <w:t>Scientific reports</w:t>
      </w:r>
      <w:r>
        <w:t xml:space="preserve">, 14(1). Doi: </w:t>
      </w:r>
      <w:hyperlink r:id="rId11">
        <w:r w:rsidR="000E4B81">
          <w:rPr>
            <w:color w:val="0563C1"/>
            <w:u w:val="single"/>
          </w:rPr>
          <w:t>HTTPs://doi.org/10.1038/s41598-024-62803-8</w:t>
        </w:r>
      </w:hyperlink>
      <w:r>
        <w:t>.</w:t>
      </w:r>
    </w:p>
    <w:p w14:paraId="1312BCDC" w14:textId="77777777" w:rsidR="000E4B81" w:rsidRDefault="00C9461A">
      <w:proofErr w:type="spellStart"/>
      <w:r>
        <w:t>Garzella</w:t>
      </w:r>
      <w:proofErr w:type="spellEnd"/>
      <w:r>
        <w:t xml:space="preserve">, S. and Fiorentino, R. (2017). </w:t>
      </w:r>
      <w:r>
        <w:rPr>
          <w:i/>
        </w:rPr>
        <w:t>Synergy value and strategic management: inside the black box of mergers and acquisitions</w:t>
      </w:r>
      <w:r>
        <w:t>. Cham: Springer.</w:t>
      </w:r>
    </w:p>
    <w:p w14:paraId="50E408EE" w14:textId="77777777" w:rsidR="000E4B81" w:rsidRDefault="00C9461A">
      <w:r>
        <w:t xml:space="preserve">IEA (2025). </w:t>
      </w:r>
      <w:r>
        <w:rPr>
          <w:i/>
        </w:rPr>
        <w:t>Trends in electric car markets – Global EV Outlook 2025 – Analysis - IEA</w:t>
      </w:r>
      <w:r>
        <w:t>. [online] IEA. Available at: https://www.iea.org/reports/global-ev-outlook-2025/trends-in-electric-car-markets-2 [Accessed 1 Jun. 2025].</w:t>
      </w:r>
    </w:p>
    <w:p w14:paraId="57377777" w14:textId="77777777" w:rsidR="000E4B81" w:rsidRDefault="00C9461A">
      <w:r>
        <w:t xml:space="preserve">JLR (2025). </w:t>
      </w:r>
      <w:r>
        <w:rPr>
          <w:i/>
        </w:rPr>
        <w:t>JLR Corporate Website</w:t>
      </w:r>
      <w:r>
        <w:t>. [online] Jlr.com. Available at: https://www.jlr.com/ [Accessed 2 Jun. 2025].</w:t>
      </w:r>
    </w:p>
    <w:p w14:paraId="05EEE461" w14:textId="77777777" w:rsidR="000E4B81" w:rsidRDefault="00C9461A">
      <w:r>
        <w:t xml:space="preserve">Kenton, W. (2025). </w:t>
      </w:r>
      <w:r>
        <w:rPr>
          <w:i/>
        </w:rPr>
        <w:t>How to perform a SWOT analysis</w:t>
      </w:r>
      <w:r>
        <w:t>. [online] Investopedia. Available at: https://www.investopedia.com/terms/s/swot.asp [Accessed 2 Jun. 2025].</w:t>
      </w:r>
    </w:p>
    <w:p w14:paraId="38BC100A" w14:textId="77777777" w:rsidR="000E4B81" w:rsidRDefault="00C9461A">
      <w:r>
        <w:t xml:space="preserve">Kim, I., Yoo, D.-G. and Byeon, J. (2019). An Analysis on Value Chain of Automobile Industry in Gwangju. </w:t>
      </w:r>
      <w:r>
        <w:rPr>
          <w:i/>
        </w:rPr>
        <w:t>Journal of the Korean Regional Economics</w:t>
      </w:r>
      <w:r>
        <w:t xml:space="preserve">, 43(34), pp.23–48. Doi: </w:t>
      </w:r>
      <w:hyperlink r:id="rId12">
        <w:r w:rsidR="000E4B81">
          <w:rPr>
            <w:color w:val="0563C1"/>
            <w:u w:val="single"/>
          </w:rPr>
          <w:t>HTTPs://doi.org/10.34282/krea.2019.17.2.2</w:t>
        </w:r>
      </w:hyperlink>
      <w:r>
        <w:t>.</w:t>
      </w:r>
    </w:p>
    <w:p w14:paraId="21C02F52" w14:textId="77777777" w:rsidR="000E4B81" w:rsidRDefault="00C9461A">
      <w:r>
        <w:lastRenderedPageBreak/>
        <w:t xml:space="preserve">Lynch, R. (2018). </w:t>
      </w:r>
      <w:r>
        <w:rPr>
          <w:i/>
        </w:rPr>
        <w:t>Strategic Management</w:t>
      </w:r>
      <w:r>
        <w:t>. 8th ed. Harlow, United Kingdom ; New York: Pearson Education Limited.</w:t>
      </w:r>
    </w:p>
    <w:p w14:paraId="64E40E8A" w14:textId="77777777" w:rsidR="000E4B81" w:rsidRDefault="00C9461A">
      <w:r>
        <w:t xml:space="preserve">McQueen, B., Safi, A. and </w:t>
      </w:r>
      <w:proofErr w:type="spellStart"/>
      <w:r>
        <w:t>Alkheyaili</w:t>
      </w:r>
      <w:proofErr w:type="spellEnd"/>
      <w:r>
        <w:t xml:space="preserve">, S. (2022). </w:t>
      </w:r>
      <w:r>
        <w:rPr>
          <w:i/>
        </w:rPr>
        <w:t>Smart Mobility</w:t>
      </w:r>
      <w:r>
        <w:t>. Wiley-IEEE Press.</w:t>
      </w:r>
    </w:p>
    <w:p w14:paraId="1C0EB55A" w14:textId="77777777" w:rsidR="000E4B81" w:rsidRDefault="00C9461A">
      <w:r>
        <w:t xml:space="preserve">Monye, S.I., </w:t>
      </w:r>
      <w:proofErr w:type="spellStart"/>
      <w:r>
        <w:t>Afolalu</w:t>
      </w:r>
      <w:proofErr w:type="spellEnd"/>
      <w:r>
        <w:t xml:space="preserve">, S.A., Lawal, S.L., </w:t>
      </w:r>
      <w:proofErr w:type="spellStart"/>
      <w:r>
        <w:t>Gisanrin</w:t>
      </w:r>
      <w:proofErr w:type="spellEnd"/>
      <w:r>
        <w:t xml:space="preserve">, T.T., Oluwatoyin, O. and Adeyemi, A. (2023). Now and Future Challenges of the Automobile Industry in the Developing World. </w:t>
      </w:r>
      <w:r>
        <w:rPr>
          <w:i/>
        </w:rPr>
        <w:t>E3S web of conferences</w:t>
      </w:r>
      <w:r>
        <w:t xml:space="preserve">, [online] 430(23), pp.01221–01221. Doi: </w:t>
      </w:r>
      <w:hyperlink r:id="rId13">
        <w:r w:rsidR="000E4B81">
          <w:rPr>
            <w:color w:val="0563C1"/>
            <w:u w:val="single"/>
          </w:rPr>
          <w:t>HTTPs://doi.org/10.1051/e3sconf/202343001221</w:t>
        </w:r>
      </w:hyperlink>
      <w:r>
        <w:t>.</w:t>
      </w:r>
    </w:p>
    <w:p w14:paraId="7B5002C7" w14:textId="77777777" w:rsidR="000E4B81" w:rsidRDefault="00C9461A">
      <w:r>
        <w:t xml:space="preserve">Placek, M. (2023). </w:t>
      </w:r>
      <w:r>
        <w:rPr>
          <w:i/>
        </w:rPr>
        <w:t>Topic: Automotive manufacturing industry in the United Kingdom</w:t>
      </w:r>
      <w:r>
        <w:t>. [online] Statista. Available at: https://www.statista.com/topics/5457/automotive-manufacturing-industry-in-the-uk/ [Accessed 1 Jun. 2025].</w:t>
      </w:r>
    </w:p>
    <w:p w14:paraId="47877844" w14:textId="77777777" w:rsidR="000E4B81" w:rsidRDefault="00C9461A">
      <w:proofErr w:type="spellStart"/>
      <w:r>
        <w:t>Prokopets</w:t>
      </w:r>
      <w:proofErr w:type="spellEnd"/>
      <w:r>
        <w:t xml:space="preserve">, E. (2024). </w:t>
      </w:r>
      <w:r>
        <w:rPr>
          <w:i/>
        </w:rPr>
        <w:t xml:space="preserve">Spotlight on Digital Transformation in Mobility: 4 Main Themes - </w:t>
      </w:r>
      <w:proofErr w:type="spellStart"/>
      <w:r>
        <w:rPr>
          <w:i/>
        </w:rPr>
        <w:t>Edvantis</w:t>
      </w:r>
      <w:proofErr w:type="spellEnd"/>
      <w:r>
        <w:t xml:space="preserve">. [online] </w:t>
      </w:r>
      <w:proofErr w:type="spellStart"/>
      <w:r>
        <w:t>Edvantis</w:t>
      </w:r>
      <w:proofErr w:type="spellEnd"/>
      <w:r>
        <w:t>. Available at: https://www.edvantis.com/blog/digital-transformation-in-mobility/ [Accessed 31 May 2025].</w:t>
      </w:r>
    </w:p>
    <w:p w14:paraId="331D98CD" w14:textId="77777777" w:rsidR="000E4B81" w:rsidRDefault="00C9461A">
      <w:r>
        <w:t xml:space="preserve">Rothaermel, F. (2024). </w:t>
      </w:r>
      <w:r>
        <w:rPr>
          <w:i/>
        </w:rPr>
        <w:t>Strategic Management</w:t>
      </w:r>
      <w:r>
        <w:t xml:space="preserve">. 6th ed. New York, New York: </w:t>
      </w:r>
      <w:proofErr w:type="spellStart"/>
      <w:r>
        <w:t>Mcgraw-Hill</w:t>
      </w:r>
      <w:proofErr w:type="spellEnd"/>
      <w:r>
        <w:t xml:space="preserve"> Education.</w:t>
      </w:r>
    </w:p>
    <w:p w14:paraId="117BD0FC" w14:textId="77777777" w:rsidR="000E4B81" w:rsidRDefault="00C9461A">
      <w:r>
        <w:t xml:space="preserve">Statista (2025). </w:t>
      </w:r>
      <w:r>
        <w:rPr>
          <w:i/>
        </w:rPr>
        <w:t>Electric Vehicles - Worldwide</w:t>
      </w:r>
      <w:r>
        <w:t>. [online] Statista. Available at: https://www.statista.com/outlook/mmo/electric-vehicles/worldwide [Accessed 1 Jun. 2025].</w:t>
      </w:r>
    </w:p>
    <w:p w14:paraId="560D0539" w14:textId="77777777" w:rsidR="000E4B81" w:rsidRDefault="00C9461A">
      <w:r>
        <w:t xml:space="preserve">The Strategy Institute (2024). </w:t>
      </w:r>
      <w:r>
        <w:rPr>
          <w:i/>
        </w:rPr>
        <w:t>Porter’s five forces: The ultimate competitive strategy blueprint</w:t>
      </w:r>
      <w:r>
        <w:t>. [online] www.thestrategyinstitute.org. Available at: https://www.thestrategyinstitute.org/insights/porters-five-forces-the-ultimate-competitive-strategy-blueprint [Accessed 29 May 2025].</w:t>
      </w:r>
    </w:p>
    <w:p w14:paraId="4C8E45F4" w14:textId="77777777" w:rsidR="000E4B81" w:rsidRDefault="00C9461A">
      <w:r>
        <w:t xml:space="preserve">The Strategy Story (2023). </w:t>
      </w:r>
      <w:r>
        <w:rPr>
          <w:i/>
        </w:rPr>
        <w:t>Jaguar Land Rover PESTEL Analysis - The Strategy Story</w:t>
      </w:r>
      <w:r>
        <w:t>. [online] The Strategy Story. Available at: https://thestrategystory.com/blog/jaguar-land-rover-pestel-analysis/ [Accessed 30 May 2025].</w:t>
      </w:r>
    </w:p>
    <w:p w14:paraId="091E9136" w14:textId="77777777" w:rsidR="000E4B81" w:rsidRDefault="00C9461A">
      <w:proofErr w:type="spellStart"/>
      <w:r>
        <w:t>Tran.T</w:t>
      </w:r>
      <w:proofErr w:type="spellEnd"/>
      <w:r>
        <w:t xml:space="preserve">, J. (2024). </w:t>
      </w:r>
      <w:r>
        <w:rPr>
          <w:i/>
        </w:rPr>
        <w:t>Strategic Leadership and Management in the Automotive Industry</w:t>
      </w:r>
      <w:r>
        <w:t>. Partridge Publishing Singapore.</w:t>
      </w:r>
    </w:p>
    <w:p w14:paraId="74B589D9" w14:textId="77777777" w:rsidR="000E4B81" w:rsidRDefault="00C9461A">
      <w:r>
        <w:lastRenderedPageBreak/>
        <w:t xml:space="preserve">Washington State University (2025). </w:t>
      </w:r>
      <w:r>
        <w:rPr>
          <w:i/>
        </w:rPr>
        <w:t>Industry Research: PESTEL Analysis</w:t>
      </w:r>
      <w:r>
        <w:t>. [online] Washington State University. Available at: https://libguides.libraries.wsu.edu/c.php?g=294263&amp;p=4358409 [Accessed 1 Jun. 2025].</w:t>
      </w:r>
    </w:p>
    <w:p w14:paraId="737643BD" w14:textId="77777777" w:rsidR="000E4B81" w:rsidRDefault="00C9461A">
      <w:r>
        <w:t xml:space="preserve">Williams, I. (2020). </w:t>
      </w:r>
      <w:r>
        <w:rPr>
          <w:i/>
        </w:rPr>
        <w:t>Unsettled Legal Issues Facing Automated Vehicles</w:t>
      </w:r>
      <w:r>
        <w:t>. SAE International.</w:t>
      </w:r>
    </w:p>
    <w:p w14:paraId="1B1197E2" w14:textId="77777777" w:rsidR="000E4B81" w:rsidRDefault="00C9461A">
      <w:r>
        <w:t xml:space="preserve">Williams, I.D. and Blyth, M. (2023). </w:t>
      </w:r>
      <w:proofErr w:type="spellStart"/>
      <w:r>
        <w:t>Autogeddon</w:t>
      </w:r>
      <w:proofErr w:type="spellEnd"/>
      <w:r>
        <w:t xml:space="preserve"> or </w:t>
      </w:r>
      <w:proofErr w:type="spellStart"/>
      <w:r>
        <w:t>autoheaven</w:t>
      </w:r>
      <w:proofErr w:type="spellEnd"/>
      <w:r>
        <w:t xml:space="preserve">: Environmental and Social Effects of the Automotive Industry from Launch to Present. </w:t>
      </w:r>
      <w:r>
        <w:rPr>
          <w:i/>
        </w:rPr>
        <w:t>Science of The Total Environment</w:t>
      </w:r>
      <w:r>
        <w:t xml:space="preserve">, [online] 858(3), p.159987. Doi: </w:t>
      </w:r>
      <w:hyperlink r:id="rId14">
        <w:r w:rsidR="000E4B81">
          <w:rPr>
            <w:color w:val="0563C1"/>
            <w:u w:val="single"/>
          </w:rPr>
          <w:t>HTTPs://doi.org/10.1016/j.scitotenv.2022.159987</w:t>
        </w:r>
      </w:hyperlink>
      <w:r>
        <w:t>.</w:t>
      </w:r>
    </w:p>
    <w:p w14:paraId="0CFC7413" w14:textId="77777777" w:rsidR="000E4B81" w:rsidRDefault="00C9461A">
      <w:r>
        <w:t xml:space="preserve">Winkelhake, U. (2025). </w:t>
      </w:r>
      <w:r>
        <w:rPr>
          <w:i/>
        </w:rPr>
        <w:t>The Digital Transformation of the Automotive Industry</w:t>
      </w:r>
      <w:r>
        <w:t>. Springer Nature.</w:t>
      </w:r>
    </w:p>
    <w:p w14:paraId="4BFDAE81" w14:textId="77777777" w:rsidR="000E4B81" w:rsidRDefault="000E4B81">
      <w:pPr>
        <w:spacing w:line="259" w:lineRule="auto"/>
        <w:jc w:val="left"/>
      </w:pPr>
    </w:p>
    <w:sectPr w:rsidR="000E4B81">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4E783" w14:textId="77777777" w:rsidR="00AA5835" w:rsidRDefault="00AA5835">
      <w:pPr>
        <w:spacing w:after="0" w:line="240" w:lineRule="auto"/>
      </w:pPr>
      <w:r>
        <w:separator/>
      </w:r>
    </w:p>
  </w:endnote>
  <w:endnote w:type="continuationSeparator" w:id="0">
    <w:p w14:paraId="4174194E" w14:textId="77777777" w:rsidR="00AA5835" w:rsidRDefault="00AA5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Quattrocento Sans">
    <w:charset w:val="00"/>
    <w:family w:val="swiss"/>
    <w:pitch w:val="variable"/>
    <w:sig w:usb0="800000BF" w:usb1="4000005B"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E4464" w14:textId="77777777" w:rsidR="000E4B81" w:rsidRDefault="00C9461A">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04CB5">
      <w:rPr>
        <w:noProof/>
        <w:color w:val="000000"/>
      </w:rPr>
      <w:t>1</w:t>
    </w:r>
    <w:r>
      <w:rPr>
        <w:color w:val="000000"/>
      </w:rPr>
      <w:fldChar w:fldCharType="end"/>
    </w:r>
  </w:p>
  <w:p w14:paraId="69D296C1" w14:textId="77777777" w:rsidR="000E4B81" w:rsidRDefault="000E4B8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DE081" w14:textId="77777777" w:rsidR="00AA5835" w:rsidRDefault="00AA5835">
      <w:pPr>
        <w:spacing w:after="0" w:line="240" w:lineRule="auto"/>
      </w:pPr>
      <w:r>
        <w:separator/>
      </w:r>
    </w:p>
  </w:footnote>
  <w:footnote w:type="continuationSeparator" w:id="0">
    <w:p w14:paraId="27EDB3F2" w14:textId="77777777" w:rsidR="00AA5835" w:rsidRDefault="00AA58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B81"/>
    <w:rsid w:val="00004CB5"/>
    <w:rsid w:val="000E4B81"/>
    <w:rsid w:val="002E4A65"/>
    <w:rsid w:val="00362058"/>
    <w:rsid w:val="006058E8"/>
    <w:rsid w:val="00830877"/>
    <w:rsid w:val="009B09CC"/>
    <w:rsid w:val="00AA5835"/>
    <w:rsid w:val="00B050AE"/>
    <w:rsid w:val="00C102CC"/>
    <w:rsid w:val="00C7309E"/>
    <w:rsid w:val="00C94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A005F"/>
  <w15:docId w15:val="{37E3B967-E878-4357-B923-0F12E656C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color w:val="2F5496"/>
      <w:sz w:val="32"/>
      <w:szCs w:val="32"/>
    </w:rPr>
  </w:style>
  <w:style w:type="paragraph" w:styleId="Heading2">
    <w:name w:val="heading 2"/>
    <w:basedOn w:val="Normal"/>
    <w:next w:val="Normal"/>
    <w:uiPriority w:val="9"/>
    <w:unhideWhenUsed/>
    <w:qFormat/>
    <w:pPr>
      <w:keepNext/>
      <w:keepLines/>
      <w:spacing w:before="160" w:after="80"/>
      <w:outlineLvl w:val="1"/>
    </w:pPr>
    <w:rPr>
      <w:b/>
      <w:color w:val="2F5496"/>
      <w:sz w:val="28"/>
      <w:szCs w:val="28"/>
    </w:rPr>
  </w:style>
  <w:style w:type="paragraph" w:styleId="Heading3">
    <w:name w:val="heading 3"/>
    <w:basedOn w:val="Normal"/>
    <w:next w:val="Normal"/>
    <w:uiPriority w:val="9"/>
    <w:unhideWhenUsed/>
    <w:qFormat/>
    <w:pPr>
      <w:keepNext/>
      <w:keepLines/>
      <w:spacing w:before="160" w:after="80"/>
      <w:outlineLvl w:val="2"/>
    </w:pPr>
    <w:rPr>
      <w:b/>
      <w:color w:val="2F5496"/>
      <w:sz w:val="26"/>
      <w:szCs w:val="26"/>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0"/>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0"/>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51/e3sconf/202343001221"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34282/krea.2019.17.2.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38/s41598-024-62803-8"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1016/j.scitotenv.2022.1599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3725</Words>
  <Characters>21237</Characters>
  <Application>Microsoft Office Word</Application>
  <DocSecurity>0</DocSecurity>
  <Lines>176</Lines>
  <Paragraphs>49</Paragraphs>
  <ScaleCrop>false</ScaleCrop>
  <Company/>
  <LinksUpToDate>false</LinksUpToDate>
  <CharactersWithSpaces>24913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6</cp:revision>
  <dcterms:created xsi:type="dcterms:W3CDTF">2025-06-15T13:12:00Z</dcterms:created>
  <dcterms:modified xsi:type="dcterms:W3CDTF">2025-06-15T13:45:00Z</dcterms:modified>
</cp:coreProperties>
</file>